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F3FCB4" w14:textId="77777777" w:rsidR="00667F52" w:rsidRDefault="00667F52">
      <w:pPr>
        <w:rPr>
          <w:rFonts w:ascii="Roboto" w:hAnsi="Roboto"/>
          <w:sz w:val="72"/>
          <w:szCs w:val="72"/>
        </w:rPr>
      </w:pPr>
    </w:p>
    <w:p w14:paraId="551201A7" w14:textId="77777777" w:rsidR="00667F52" w:rsidRDefault="00667F52">
      <w:pPr>
        <w:rPr>
          <w:rFonts w:ascii="Roboto" w:hAnsi="Roboto"/>
          <w:sz w:val="72"/>
          <w:szCs w:val="72"/>
        </w:rPr>
      </w:pPr>
    </w:p>
    <w:p w14:paraId="5D84E449" w14:textId="1F74FF7A" w:rsidR="00667F52" w:rsidRDefault="005013CC">
      <w:pPr>
        <w:rPr>
          <w:rFonts w:ascii="Roboto" w:hAnsi="Roboto"/>
          <w:sz w:val="72"/>
          <w:szCs w:val="72"/>
        </w:rPr>
      </w:pPr>
      <w:r>
        <w:rPr>
          <w:rFonts w:ascii="Roboto" w:hAnsi="Roboto"/>
          <w:noProof/>
          <w:sz w:val="72"/>
          <w:szCs w:val="72"/>
        </w:rPr>
        <mc:AlternateContent>
          <mc:Choice Requires="wps">
            <w:drawing>
              <wp:anchor distT="0" distB="0" distL="114300" distR="114300" simplePos="0" relativeHeight="251658240" behindDoc="1" locked="0" layoutInCell="1" allowOverlap="1" wp14:anchorId="29DA0062" wp14:editId="3D4FD8FE">
                <wp:simplePos x="0" y="0"/>
                <wp:positionH relativeFrom="margin">
                  <wp:posOffset>-918845</wp:posOffset>
                </wp:positionH>
                <wp:positionV relativeFrom="paragraph">
                  <wp:posOffset>286385</wp:posOffset>
                </wp:positionV>
                <wp:extent cx="6768000" cy="5231218"/>
                <wp:effectExtent l="0" t="0" r="0" b="7620"/>
                <wp:wrapNone/>
                <wp:docPr id="2006472515" name="Rectangle 1"/>
                <wp:cNvGraphicFramePr/>
                <a:graphic xmlns:a="http://schemas.openxmlformats.org/drawingml/2006/main">
                  <a:graphicData uri="http://schemas.microsoft.com/office/word/2010/wordprocessingShape">
                    <wps:wsp>
                      <wps:cNvSpPr/>
                      <wps:spPr>
                        <a:xfrm>
                          <a:off x="0" y="0"/>
                          <a:ext cx="6768000" cy="5231218"/>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788EA1" id="Rectangle 1" o:spid="_x0000_s1026" style="position:absolute;margin-left:-72.35pt;margin-top:22.55pt;width:532.9pt;height:411.9pt;z-index:-25165824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" fillcolor="#156082 [3204]" stroked="f" strokeweight="1pt">
                <w10:wrap anchorx="margin"/>
              </v:rect>
            </w:pict>
          </mc:Fallback>
        </mc:AlternateContent>
      </w:r>
    </w:p>
    <w:p w14:paraId="5AF039E7" w14:textId="3A9E1076" w:rsidR="00874A92" w:rsidRPr="00AB73A8" w:rsidRDefault="00667F52" w:rsidP="00E56B85">
      <w:pPr>
        <w:ind w:right="2505"/>
        <w:rPr>
          <w:rFonts w:asciiTheme="majorHAnsi" w:hAnsiTheme="majorHAnsi"/>
          <w:color w:val="FFFFFF" w:themeColor="background1"/>
          <w:sz w:val="64"/>
          <w:szCs w:val="64"/>
        </w:rPr>
      </w:pPr>
      <w:r w:rsidRPr="005013CC">
        <w:rPr>
          <w:rFonts w:asciiTheme="minorHAnsi" w:hAnsiTheme="minorHAnsi"/>
          <w:b/>
          <w:color w:val="FFFFFF" w:themeColor="background1"/>
          <w:sz w:val="64"/>
          <w:szCs w:val="64"/>
        </w:rPr>
        <w:t xml:space="preserve">Identifying policy options </w:t>
      </w:r>
      <w:r w:rsidR="00E56B85" w:rsidRPr="005013CC">
        <w:rPr>
          <w:rFonts w:asciiTheme="minorHAnsi" w:hAnsiTheme="minorHAnsi"/>
          <w:b/>
          <w:color w:val="FFFFFF" w:themeColor="background1"/>
          <w:sz w:val="64"/>
          <w:szCs w:val="64"/>
        </w:rPr>
        <w:t>to</w:t>
      </w:r>
      <w:r w:rsidRPr="005013CC">
        <w:rPr>
          <w:rFonts w:asciiTheme="minorHAnsi" w:hAnsiTheme="minorHAnsi"/>
          <w:b/>
          <w:color w:val="FFFFFF" w:themeColor="background1"/>
          <w:sz w:val="64"/>
          <w:szCs w:val="64"/>
        </w:rPr>
        <w:t xml:space="preserve"> </w:t>
      </w:r>
      <w:r w:rsidR="00E56B85" w:rsidRPr="005013CC">
        <w:rPr>
          <w:rFonts w:asciiTheme="minorHAnsi" w:hAnsiTheme="minorHAnsi"/>
          <w:b/>
          <w:color w:val="FFFFFF" w:themeColor="background1"/>
          <w:sz w:val="64"/>
          <w:szCs w:val="64"/>
        </w:rPr>
        <w:t>tackle</w:t>
      </w:r>
      <w:r w:rsidRPr="005013CC">
        <w:rPr>
          <w:rFonts w:asciiTheme="minorHAnsi" w:hAnsiTheme="minorHAnsi"/>
          <w:b/>
          <w:color w:val="FFFFFF" w:themeColor="background1"/>
          <w:sz w:val="64"/>
          <w:szCs w:val="64"/>
        </w:rPr>
        <w:t xml:space="preserve"> health inequalities:</w:t>
      </w:r>
      <w:r w:rsidRPr="005013CC">
        <w:rPr>
          <w:rFonts w:asciiTheme="majorHAnsi" w:hAnsiTheme="majorHAnsi"/>
          <w:color w:val="FFFFFF" w:themeColor="background1"/>
          <w:sz w:val="64"/>
          <w:szCs w:val="64"/>
        </w:rPr>
        <w:t xml:space="preserve"> </w:t>
      </w:r>
      <w:r w:rsidRPr="005013CC">
        <w:rPr>
          <w:rFonts w:asciiTheme="majorHAnsi" w:hAnsiTheme="majorHAnsi"/>
          <w:sz w:val="64"/>
          <w:szCs w:val="64"/>
        </w:rPr>
        <w:br/>
      </w:r>
      <w:r w:rsidRPr="00AB73A8">
        <w:rPr>
          <w:rFonts w:asciiTheme="majorHAnsi" w:hAnsiTheme="majorHAnsi"/>
          <w:color w:val="FFFFFF" w:themeColor="background1"/>
          <w:sz w:val="64"/>
          <w:szCs w:val="64"/>
        </w:rPr>
        <w:t xml:space="preserve">policy analysis and </w:t>
      </w:r>
      <w:r w:rsidR="005164FC" w:rsidRPr="00AB73A8">
        <w:rPr>
          <w:rFonts w:asciiTheme="majorHAnsi" w:hAnsiTheme="majorHAnsi"/>
          <w:color w:val="FFFFFF" w:themeColor="background1"/>
          <w:sz w:val="64"/>
          <w:szCs w:val="64"/>
        </w:rPr>
        <w:t>opportunities for learning for</w:t>
      </w:r>
      <w:r w:rsidRPr="00AB73A8">
        <w:rPr>
          <w:rFonts w:asciiTheme="majorHAnsi" w:hAnsiTheme="majorHAnsi"/>
          <w:color w:val="FFFFFF" w:themeColor="background1"/>
          <w:sz w:val="64"/>
          <w:szCs w:val="64"/>
        </w:rPr>
        <w:t xml:space="preserve"> Wales</w:t>
      </w:r>
    </w:p>
    <w:p w14:paraId="41541981" w14:textId="6E720910" w:rsidR="0045300A" w:rsidRPr="00AB73A8" w:rsidRDefault="0045300A" w:rsidP="0045300A">
      <w:pPr>
        <w:rPr>
          <w:color w:val="FFFFFF" w:themeColor="background1"/>
        </w:rPr>
      </w:pPr>
    </w:p>
    <w:p w14:paraId="6EC0E1F2" w14:textId="62BB6B8A" w:rsidR="00BE1BEE" w:rsidRPr="00AB73A8" w:rsidRDefault="007962D0">
      <w:pPr>
        <w:rPr>
          <w:rFonts w:asciiTheme="majorHAnsi" w:hAnsiTheme="majorHAnsi"/>
          <w:color w:val="FFFFFF" w:themeColor="background1"/>
          <w:sz w:val="36"/>
          <w:szCs w:val="36"/>
        </w:rPr>
      </w:pPr>
      <w:r w:rsidRPr="00AB73A8">
        <w:rPr>
          <w:rFonts w:asciiTheme="majorHAnsi" w:hAnsiTheme="majorHAnsi"/>
          <w:color w:val="FFFFFF" w:themeColor="background1"/>
          <w:sz w:val="36"/>
          <w:szCs w:val="36"/>
        </w:rPr>
        <w:t>F</w:t>
      </w:r>
      <w:r w:rsidR="00BE1BEE" w:rsidRPr="00AB73A8">
        <w:rPr>
          <w:rFonts w:asciiTheme="majorHAnsi" w:hAnsiTheme="majorHAnsi"/>
          <w:color w:val="FFFFFF" w:themeColor="background1"/>
          <w:sz w:val="36"/>
          <w:szCs w:val="36"/>
        </w:rPr>
        <w:t>inal</w:t>
      </w:r>
      <w:r w:rsidR="00ED365B" w:rsidRPr="00AB73A8">
        <w:rPr>
          <w:rFonts w:asciiTheme="majorHAnsi" w:hAnsiTheme="majorHAnsi"/>
          <w:color w:val="FFFFFF" w:themeColor="background1"/>
          <w:sz w:val="36"/>
          <w:szCs w:val="36"/>
        </w:rPr>
        <w:t xml:space="preserve"> report</w:t>
      </w:r>
      <w:r w:rsidR="0045300A" w:rsidRPr="00AB73A8">
        <w:rPr>
          <w:rFonts w:asciiTheme="majorHAnsi" w:hAnsiTheme="majorHAnsi"/>
          <w:color w:val="FFFFFF" w:themeColor="background1"/>
          <w:sz w:val="36"/>
          <w:szCs w:val="36"/>
        </w:rPr>
        <w:t xml:space="preserve"> for Public Health Wales </w:t>
      </w:r>
    </w:p>
    <w:p w14:paraId="1969563E" w14:textId="3C9977D1" w:rsidR="00ED365B" w:rsidRPr="00AB73A8" w:rsidRDefault="007962D0">
      <w:pPr>
        <w:rPr>
          <w:rFonts w:asciiTheme="majorHAnsi" w:hAnsiTheme="majorHAnsi"/>
          <w:color w:val="FFFFFF" w:themeColor="background1"/>
          <w:sz w:val="36"/>
          <w:szCs w:val="36"/>
        </w:rPr>
      </w:pPr>
      <w:r w:rsidRPr="00AB73A8">
        <w:rPr>
          <w:rFonts w:asciiTheme="majorHAnsi" w:hAnsiTheme="majorHAnsi"/>
          <w:color w:val="FFFFFF" w:themeColor="background1"/>
          <w:sz w:val="36"/>
          <w:szCs w:val="36"/>
        </w:rPr>
        <w:t>January</w:t>
      </w:r>
      <w:r w:rsidR="00F334B2" w:rsidRPr="00AB73A8">
        <w:rPr>
          <w:rFonts w:asciiTheme="majorHAnsi" w:hAnsiTheme="majorHAnsi"/>
          <w:color w:val="FFFFFF" w:themeColor="background1"/>
          <w:sz w:val="36"/>
          <w:szCs w:val="36"/>
        </w:rPr>
        <w:t xml:space="preserve"> 202</w:t>
      </w:r>
      <w:r w:rsidRPr="00AB73A8">
        <w:rPr>
          <w:rFonts w:asciiTheme="majorHAnsi" w:hAnsiTheme="majorHAnsi"/>
          <w:color w:val="FFFFFF" w:themeColor="background1"/>
          <w:sz w:val="36"/>
          <w:szCs w:val="36"/>
        </w:rPr>
        <w:t>5</w:t>
      </w:r>
    </w:p>
    <w:p w14:paraId="0AEF186F" w14:textId="28BA7911" w:rsidR="0045300A" w:rsidRPr="00E56B85" w:rsidRDefault="0045300A">
      <w:pPr>
        <w:rPr>
          <w:rFonts w:asciiTheme="majorHAnsi" w:hAnsiTheme="majorHAnsi"/>
          <w:sz w:val="36"/>
          <w:szCs w:val="36"/>
        </w:rPr>
      </w:pPr>
    </w:p>
    <w:p w14:paraId="58C7B964" w14:textId="6158FA37" w:rsidR="00BE1BEE" w:rsidRPr="00E56B85" w:rsidRDefault="00BE1BEE">
      <w:pPr>
        <w:rPr>
          <w:rFonts w:asciiTheme="majorHAnsi" w:hAnsiTheme="majorHAnsi"/>
          <w:sz w:val="36"/>
          <w:szCs w:val="36"/>
        </w:rPr>
      </w:pPr>
    </w:p>
    <w:p w14:paraId="7CEEC9C7" w14:textId="77777777" w:rsidR="00E56B85" w:rsidRPr="00E56B85" w:rsidRDefault="0045300A" w:rsidP="00350650">
      <w:pPr>
        <w:rPr>
          <w:rFonts w:asciiTheme="majorHAnsi" w:hAnsiTheme="majorHAnsi"/>
          <w:sz w:val="32"/>
          <w:szCs w:val="32"/>
        </w:rPr>
      </w:pPr>
      <w:r w:rsidRPr="00E56B85">
        <w:rPr>
          <w:rFonts w:asciiTheme="majorHAnsi" w:hAnsiTheme="majorHAnsi"/>
          <w:sz w:val="32"/>
          <w:szCs w:val="32"/>
        </w:rPr>
        <w:t>Lisa Jones, Mennatallah Abdelgawad and Professor Mark Bellis</w:t>
      </w:r>
    </w:p>
    <w:p w14:paraId="203AE936" w14:textId="30475DDE" w:rsidR="00A7391F" w:rsidRDefault="0045300A" w:rsidP="00350650">
      <w:pPr>
        <w:rPr>
          <w:rFonts w:asciiTheme="majorHAnsi" w:hAnsiTheme="majorHAnsi"/>
          <w:sz w:val="32"/>
          <w:szCs w:val="32"/>
        </w:rPr>
      </w:pPr>
      <w:r w:rsidRPr="00E56B85">
        <w:rPr>
          <w:rFonts w:asciiTheme="majorHAnsi" w:hAnsiTheme="majorHAnsi"/>
          <w:sz w:val="32"/>
          <w:szCs w:val="32"/>
        </w:rPr>
        <w:t>Faculty of Health</w:t>
      </w:r>
      <w:r w:rsidR="00A7391F">
        <w:rPr>
          <w:rFonts w:asciiTheme="majorHAnsi" w:hAnsiTheme="majorHAnsi"/>
          <w:sz w:val="32"/>
          <w:szCs w:val="32"/>
        </w:rPr>
        <w:t xml:space="preserve"> and Public Health Institute</w:t>
      </w:r>
    </w:p>
    <w:p w14:paraId="23BB30A5" w14:textId="06922879" w:rsidR="00350650" w:rsidRDefault="0045300A" w:rsidP="00795F5E">
      <w:pPr>
        <w:rPr>
          <w:rFonts w:asciiTheme="majorHAnsi" w:eastAsiaTheme="majorEastAsia" w:hAnsiTheme="majorHAnsi" w:cstheme="majorBidi"/>
          <w:color w:val="156082" w:themeColor="accent1"/>
          <w:sz w:val="40"/>
          <w:szCs w:val="40"/>
        </w:rPr>
      </w:pPr>
      <w:r w:rsidRPr="00E56B85">
        <w:rPr>
          <w:rFonts w:asciiTheme="majorHAnsi" w:hAnsiTheme="majorHAnsi"/>
          <w:sz w:val="32"/>
          <w:szCs w:val="32"/>
        </w:rPr>
        <w:t>Liverpool John Moores University</w:t>
      </w:r>
    </w:p>
    <w:p w14:paraId="201B191E" w14:textId="77777777" w:rsidR="00350650" w:rsidRDefault="00350650" w:rsidP="00350650">
      <w:pPr>
        <w:rPr>
          <w:rFonts w:asciiTheme="majorHAnsi" w:eastAsiaTheme="majorEastAsia" w:hAnsiTheme="majorHAnsi" w:cstheme="majorBidi"/>
          <w:color w:val="156082" w:themeColor="accent1"/>
          <w:sz w:val="40"/>
          <w:szCs w:val="40"/>
        </w:rPr>
      </w:pPr>
    </w:p>
    <w:p w14:paraId="02E127EA" w14:textId="77777777" w:rsidR="00350650" w:rsidRPr="00350650" w:rsidRDefault="00350650" w:rsidP="00350650">
      <w:pPr>
        <w:sectPr w:rsidR="00350650" w:rsidRPr="00350650" w:rsidSect="00350650">
          <w:footerReference w:type="even" r:id="rId11"/>
          <w:footerReference w:type="default" r:id="rId12"/>
          <w:pgSz w:w="11906" w:h="16838"/>
          <w:pgMar w:top="1440" w:right="1440" w:bottom="1440" w:left="1440" w:header="708" w:footer="708" w:gutter="0"/>
          <w:cols w:space="708"/>
          <w:titlePg/>
          <w:docGrid w:linePitch="360"/>
        </w:sectPr>
      </w:pPr>
    </w:p>
    <w:p w14:paraId="43AFBF2E" w14:textId="66A9A0BB" w:rsidR="00F334B2" w:rsidRPr="00D166DF" w:rsidRDefault="00B67739" w:rsidP="00F334B2">
      <w:pPr>
        <w:pStyle w:val="Title"/>
        <w:rPr>
          <w:rFonts w:ascii="Aptos" w:hAnsi="Aptos"/>
          <w:color w:val="156082" w:themeColor="accent1"/>
          <w:sz w:val="72"/>
          <w:szCs w:val="72"/>
        </w:rPr>
      </w:pPr>
      <w:r w:rsidRPr="00D166DF">
        <w:rPr>
          <w:rFonts w:ascii="Aptos" w:hAnsi="Aptos"/>
          <w:color w:val="156082" w:themeColor="accent1"/>
          <w:sz w:val="72"/>
          <w:szCs w:val="72"/>
        </w:rPr>
        <w:lastRenderedPageBreak/>
        <w:t>Table of contents</w:t>
      </w:r>
    </w:p>
    <w:p w14:paraId="498D0222" w14:textId="77777777" w:rsidR="0030785B" w:rsidRPr="0030785B" w:rsidRDefault="0030785B" w:rsidP="0030785B"/>
    <w:p w14:paraId="210F9C70" w14:textId="57EED0EC" w:rsidR="007430E6" w:rsidRDefault="00CD3BAF">
      <w:pPr>
        <w:pStyle w:val="TOC1"/>
        <w:tabs>
          <w:tab w:val="right" w:leader="dot" w:pos="9016"/>
        </w:tabs>
        <w:rPr>
          <w:rFonts w:asciiTheme="minorHAnsi" w:eastAsiaTheme="minorEastAsia" w:hAnsiTheme="minorHAnsi"/>
          <w:noProof/>
          <w:lang w:eastAsia="en-GB"/>
        </w:rPr>
      </w:pPr>
      <w:r>
        <w:fldChar w:fldCharType="begin"/>
      </w:r>
      <w:r>
        <w:instrText xml:space="preserve"> TOC \o "1-1" \h \z \u </w:instrText>
      </w:r>
      <w:r>
        <w:fldChar w:fldCharType="separate"/>
      </w:r>
      <w:hyperlink w:anchor="_Toc189563137" w:history="1">
        <w:r w:rsidR="007430E6" w:rsidRPr="00A32A4D">
          <w:rPr>
            <w:rStyle w:val="Hyperlink"/>
            <w:noProof/>
          </w:rPr>
          <w:t>Executive summary</w:t>
        </w:r>
        <w:r w:rsidR="007430E6">
          <w:rPr>
            <w:noProof/>
            <w:webHidden/>
          </w:rPr>
          <w:tab/>
        </w:r>
        <w:r w:rsidR="007430E6">
          <w:rPr>
            <w:noProof/>
            <w:webHidden/>
          </w:rPr>
          <w:fldChar w:fldCharType="begin"/>
        </w:r>
        <w:r w:rsidR="007430E6">
          <w:rPr>
            <w:noProof/>
            <w:webHidden/>
          </w:rPr>
          <w:instrText xml:space="preserve"> PAGEREF _Toc189563137 \h </w:instrText>
        </w:r>
        <w:r w:rsidR="007430E6">
          <w:rPr>
            <w:noProof/>
            <w:webHidden/>
          </w:rPr>
        </w:r>
        <w:r w:rsidR="007430E6">
          <w:rPr>
            <w:noProof/>
            <w:webHidden/>
          </w:rPr>
          <w:fldChar w:fldCharType="separate"/>
        </w:r>
        <w:r w:rsidR="007430E6">
          <w:rPr>
            <w:noProof/>
            <w:webHidden/>
          </w:rPr>
          <w:t>2</w:t>
        </w:r>
        <w:r w:rsidR="007430E6">
          <w:rPr>
            <w:noProof/>
            <w:webHidden/>
          </w:rPr>
          <w:fldChar w:fldCharType="end"/>
        </w:r>
      </w:hyperlink>
    </w:p>
    <w:p w14:paraId="6EF12876" w14:textId="128F5212" w:rsidR="007430E6" w:rsidRDefault="007430E6">
      <w:pPr>
        <w:pStyle w:val="TOC1"/>
        <w:tabs>
          <w:tab w:val="left" w:pos="480"/>
          <w:tab w:val="right" w:leader="dot" w:pos="9016"/>
        </w:tabs>
        <w:rPr>
          <w:rFonts w:asciiTheme="minorHAnsi" w:eastAsiaTheme="minorEastAsia" w:hAnsiTheme="minorHAnsi"/>
          <w:noProof/>
          <w:lang w:eastAsia="en-GB"/>
        </w:rPr>
      </w:pPr>
      <w:hyperlink w:anchor="_Toc189563138" w:history="1">
        <w:r w:rsidRPr="00A32A4D">
          <w:rPr>
            <w:rStyle w:val="Hyperlink"/>
            <w:noProof/>
          </w:rPr>
          <w:t>1</w:t>
        </w:r>
        <w:r>
          <w:rPr>
            <w:rFonts w:asciiTheme="minorHAnsi" w:eastAsiaTheme="minorEastAsia" w:hAnsiTheme="minorHAnsi"/>
            <w:noProof/>
            <w:lang w:eastAsia="en-GB"/>
          </w:rPr>
          <w:tab/>
        </w:r>
        <w:r w:rsidRPr="00A32A4D">
          <w:rPr>
            <w:rStyle w:val="Hyperlink"/>
            <w:noProof/>
          </w:rPr>
          <w:t>Introduction</w:t>
        </w:r>
        <w:r>
          <w:rPr>
            <w:noProof/>
            <w:webHidden/>
          </w:rPr>
          <w:tab/>
        </w:r>
        <w:r>
          <w:rPr>
            <w:noProof/>
            <w:webHidden/>
          </w:rPr>
          <w:fldChar w:fldCharType="begin"/>
        </w:r>
        <w:r>
          <w:rPr>
            <w:noProof/>
            <w:webHidden/>
          </w:rPr>
          <w:instrText xml:space="preserve"> PAGEREF _Toc189563138 \h </w:instrText>
        </w:r>
        <w:r>
          <w:rPr>
            <w:noProof/>
            <w:webHidden/>
          </w:rPr>
        </w:r>
        <w:r>
          <w:rPr>
            <w:noProof/>
            <w:webHidden/>
          </w:rPr>
          <w:fldChar w:fldCharType="separate"/>
        </w:r>
        <w:r>
          <w:rPr>
            <w:noProof/>
            <w:webHidden/>
          </w:rPr>
          <w:t>5</w:t>
        </w:r>
        <w:r>
          <w:rPr>
            <w:noProof/>
            <w:webHidden/>
          </w:rPr>
          <w:fldChar w:fldCharType="end"/>
        </w:r>
      </w:hyperlink>
    </w:p>
    <w:p w14:paraId="34AA246A" w14:textId="109EC0C3" w:rsidR="007430E6" w:rsidRDefault="007430E6">
      <w:pPr>
        <w:pStyle w:val="TOC1"/>
        <w:tabs>
          <w:tab w:val="left" w:pos="480"/>
          <w:tab w:val="right" w:leader="dot" w:pos="9016"/>
        </w:tabs>
        <w:rPr>
          <w:rFonts w:asciiTheme="minorHAnsi" w:eastAsiaTheme="minorEastAsia" w:hAnsiTheme="minorHAnsi"/>
          <w:noProof/>
          <w:lang w:eastAsia="en-GB"/>
        </w:rPr>
      </w:pPr>
      <w:hyperlink w:anchor="_Toc189563139" w:history="1">
        <w:r w:rsidRPr="00A32A4D">
          <w:rPr>
            <w:rStyle w:val="Hyperlink"/>
            <w:noProof/>
          </w:rPr>
          <w:t>2</w:t>
        </w:r>
        <w:r>
          <w:rPr>
            <w:rFonts w:asciiTheme="minorHAnsi" w:eastAsiaTheme="minorEastAsia" w:hAnsiTheme="minorHAnsi"/>
            <w:noProof/>
            <w:lang w:eastAsia="en-GB"/>
          </w:rPr>
          <w:tab/>
        </w:r>
        <w:r w:rsidRPr="00A32A4D">
          <w:rPr>
            <w:rStyle w:val="Hyperlink"/>
            <w:noProof/>
          </w:rPr>
          <w:t>International trend data on health inequalities within countries</w:t>
        </w:r>
        <w:r>
          <w:rPr>
            <w:noProof/>
            <w:webHidden/>
          </w:rPr>
          <w:tab/>
        </w:r>
        <w:r>
          <w:rPr>
            <w:noProof/>
            <w:webHidden/>
          </w:rPr>
          <w:fldChar w:fldCharType="begin"/>
        </w:r>
        <w:r>
          <w:rPr>
            <w:noProof/>
            <w:webHidden/>
          </w:rPr>
          <w:instrText xml:space="preserve"> PAGEREF _Toc189563139 \h </w:instrText>
        </w:r>
        <w:r>
          <w:rPr>
            <w:noProof/>
            <w:webHidden/>
          </w:rPr>
        </w:r>
        <w:r>
          <w:rPr>
            <w:noProof/>
            <w:webHidden/>
          </w:rPr>
          <w:fldChar w:fldCharType="separate"/>
        </w:r>
        <w:r>
          <w:rPr>
            <w:noProof/>
            <w:webHidden/>
          </w:rPr>
          <w:t>7</w:t>
        </w:r>
        <w:r>
          <w:rPr>
            <w:noProof/>
            <w:webHidden/>
          </w:rPr>
          <w:fldChar w:fldCharType="end"/>
        </w:r>
      </w:hyperlink>
    </w:p>
    <w:p w14:paraId="7E43BF8F" w14:textId="4525B818" w:rsidR="007430E6" w:rsidRDefault="007430E6">
      <w:pPr>
        <w:pStyle w:val="TOC1"/>
        <w:tabs>
          <w:tab w:val="left" w:pos="480"/>
          <w:tab w:val="right" w:leader="dot" w:pos="9016"/>
        </w:tabs>
        <w:rPr>
          <w:rFonts w:asciiTheme="minorHAnsi" w:eastAsiaTheme="minorEastAsia" w:hAnsiTheme="minorHAnsi"/>
          <w:noProof/>
          <w:lang w:eastAsia="en-GB"/>
        </w:rPr>
      </w:pPr>
      <w:hyperlink w:anchor="_Toc189563140" w:history="1">
        <w:r w:rsidRPr="00A32A4D">
          <w:rPr>
            <w:rStyle w:val="Hyperlink"/>
            <w:noProof/>
          </w:rPr>
          <w:t>3</w:t>
        </w:r>
        <w:r>
          <w:rPr>
            <w:rFonts w:asciiTheme="minorHAnsi" w:eastAsiaTheme="minorEastAsia" w:hAnsiTheme="minorHAnsi"/>
            <w:noProof/>
            <w:lang w:eastAsia="en-GB"/>
          </w:rPr>
          <w:tab/>
        </w:r>
        <w:r w:rsidRPr="00A32A4D">
          <w:rPr>
            <w:rStyle w:val="Hyperlink"/>
            <w:noProof/>
          </w:rPr>
          <w:t>The policy context for action on health inequalities</w:t>
        </w:r>
        <w:r>
          <w:rPr>
            <w:noProof/>
            <w:webHidden/>
          </w:rPr>
          <w:tab/>
        </w:r>
        <w:r>
          <w:rPr>
            <w:noProof/>
            <w:webHidden/>
          </w:rPr>
          <w:fldChar w:fldCharType="begin"/>
        </w:r>
        <w:r>
          <w:rPr>
            <w:noProof/>
            <w:webHidden/>
          </w:rPr>
          <w:instrText xml:space="preserve"> PAGEREF _Toc189563140 \h </w:instrText>
        </w:r>
        <w:r>
          <w:rPr>
            <w:noProof/>
            <w:webHidden/>
          </w:rPr>
        </w:r>
        <w:r>
          <w:rPr>
            <w:noProof/>
            <w:webHidden/>
          </w:rPr>
          <w:fldChar w:fldCharType="separate"/>
        </w:r>
        <w:r>
          <w:rPr>
            <w:noProof/>
            <w:webHidden/>
          </w:rPr>
          <w:t>12</w:t>
        </w:r>
        <w:r>
          <w:rPr>
            <w:noProof/>
            <w:webHidden/>
          </w:rPr>
          <w:fldChar w:fldCharType="end"/>
        </w:r>
      </w:hyperlink>
    </w:p>
    <w:p w14:paraId="0818D4FA" w14:textId="0EAFB23E" w:rsidR="007430E6" w:rsidRDefault="007430E6">
      <w:pPr>
        <w:pStyle w:val="TOC1"/>
        <w:tabs>
          <w:tab w:val="left" w:pos="480"/>
          <w:tab w:val="right" w:leader="dot" w:pos="9016"/>
        </w:tabs>
        <w:rPr>
          <w:rFonts w:asciiTheme="minorHAnsi" w:eastAsiaTheme="minorEastAsia" w:hAnsiTheme="minorHAnsi"/>
          <w:noProof/>
          <w:lang w:eastAsia="en-GB"/>
        </w:rPr>
      </w:pPr>
      <w:hyperlink w:anchor="_Toc189563141" w:history="1">
        <w:r w:rsidRPr="00A32A4D">
          <w:rPr>
            <w:rStyle w:val="Hyperlink"/>
            <w:noProof/>
          </w:rPr>
          <w:t>4</w:t>
        </w:r>
        <w:r>
          <w:rPr>
            <w:rFonts w:asciiTheme="minorHAnsi" w:eastAsiaTheme="minorEastAsia" w:hAnsiTheme="minorHAnsi"/>
            <w:noProof/>
            <w:lang w:eastAsia="en-GB"/>
          </w:rPr>
          <w:tab/>
        </w:r>
        <w:r w:rsidRPr="00A32A4D">
          <w:rPr>
            <w:rStyle w:val="Hyperlink"/>
            <w:noProof/>
          </w:rPr>
          <w:t>Discussion &amp; Recommendations</w:t>
        </w:r>
        <w:r>
          <w:rPr>
            <w:noProof/>
            <w:webHidden/>
          </w:rPr>
          <w:tab/>
        </w:r>
        <w:r>
          <w:rPr>
            <w:noProof/>
            <w:webHidden/>
          </w:rPr>
          <w:fldChar w:fldCharType="begin"/>
        </w:r>
        <w:r>
          <w:rPr>
            <w:noProof/>
            <w:webHidden/>
          </w:rPr>
          <w:instrText xml:space="preserve"> PAGEREF _Toc189563141 \h </w:instrText>
        </w:r>
        <w:r>
          <w:rPr>
            <w:noProof/>
            <w:webHidden/>
          </w:rPr>
        </w:r>
        <w:r>
          <w:rPr>
            <w:noProof/>
            <w:webHidden/>
          </w:rPr>
          <w:fldChar w:fldCharType="separate"/>
        </w:r>
        <w:r>
          <w:rPr>
            <w:noProof/>
            <w:webHidden/>
          </w:rPr>
          <w:t>27</w:t>
        </w:r>
        <w:r>
          <w:rPr>
            <w:noProof/>
            <w:webHidden/>
          </w:rPr>
          <w:fldChar w:fldCharType="end"/>
        </w:r>
      </w:hyperlink>
    </w:p>
    <w:p w14:paraId="3BAF3065" w14:textId="30C3F038" w:rsidR="007430E6" w:rsidRDefault="007430E6">
      <w:pPr>
        <w:pStyle w:val="TOC1"/>
        <w:tabs>
          <w:tab w:val="left" w:pos="480"/>
          <w:tab w:val="right" w:leader="dot" w:pos="9016"/>
        </w:tabs>
        <w:rPr>
          <w:rFonts w:asciiTheme="minorHAnsi" w:eastAsiaTheme="minorEastAsia" w:hAnsiTheme="minorHAnsi"/>
          <w:noProof/>
          <w:lang w:eastAsia="en-GB"/>
        </w:rPr>
      </w:pPr>
      <w:hyperlink w:anchor="_Toc189563142" w:history="1">
        <w:r w:rsidRPr="00A32A4D">
          <w:rPr>
            <w:rStyle w:val="Hyperlink"/>
            <w:noProof/>
          </w:rPr>
          <w:t>5</w:t>
        </w:r>
        <w:r>
          <w:rPr>
            <w:rFonts w:asciiTheme="minorHAnsi" w:eastAsiaTheme="minorEastAsia" w:hAnsiTheme="minorHAnsi"/>
            <w:noProof/>
            <w:lang w:eastAsia="en-GB"/>
          </w:rPr>
          <w:tab/>
        </w:r>
        <w:r w:rsidRPr="00A32A4D">
          <w:rPr>
            <w:rStyle w:val="Hyperlink"/>
            <w:noProof/>
          </w:rPr>
          <w:t>References</w:t>
        </w:r>
        <w:r>
          <w:rPr>
            <w:noProof/>
            <w:webHidden/>
          </w:rPr>
          <w:tab/>
        </w:r>
        <w:r>
          <w:rPr>
            <w:noProof/>
            <w:webHidden/>
          </w:rPr>
          <w:fldChar w:fldCharType="begin"/>
        </w:r>
        <w:r>
          <w:rPr>
            <w:noProof/>
            <w:webHidden/>
          </w:rPr>
          <w:instrText xml:space="preserve"> PAGEREF _Toc189563142 \h </w:instrText>
        </w:r>
        <w:r>
          <w:rPr>
            <w:noProof/>
            <w:webHidden/>
          </w:rPr>
        </w:r>
        <w:r>
          <w:rPr>
            <w:noProof/>
            <w:webHidden/>
          </w:rPr>
          <w:fldChar w:fldCharType="separate"/>
        </w:r>
        <w:r>
          <w:rPr>
            <w:noProof/>
            <w:webHidden/>
          </w:rPr>
          <w:t>31</w:t>
        </w:r>
        <w:r>
          <w:rPr>
            <w:noProof/>
            <w:webHidden/>
          </w:rPr>
          <w:fldChar w:fldCharType="end"/>
        </w:r>
      </w:hyperlink>
    </w:p>
    <w:p w14:paraId="4AE067A9" w14:textId="176E0E72" w:rsidR="007430E6" w:rsidRDefault="007430E6">
      <w:pPr>
        <w:pStyle w:val="TOC1"/>
        <w:tabs>
          <w:tab w:val="right" w:leader="dot" w:pos="9016"/>
        </w:tabs>
        <w:rPr>
          <w:rFonts w:asciiTheme="minorHAnsi" w:eastAsiaTheme="minorEastAsia" w:hAnsiTheme="minorHAnsi"/>
          <w:noProof/>
          <w:lang w:eastAsia="en-GB"/>
        </w:rPr>
      </w:pPr>
      <w:hyperlink w:anchor="_Toc189563143" w:history="1">
        <w:r w:rsidRPr="00A32A4D">
          <w:rPr>
            <w:rStyle w:val="Hyperlink"/>
            <w:noProof/>
          </w:rPr>
          <w:t>Appendix 1. Summary of studies with trend data on differences in adult and infant health outcomes</w:t>
        </w:r>
        <w:r>
          <w:rPr>
            <w:noProof/>
            <w:webHidden/>
          </w:rPr>
          <w:tab/>
        </w:r>
        <w:r>
          <w:rPr>
            <w:noProof/>
            <w:webHidden/>
          </w:rPr>
          <w:fldChar w:fldCharType="begin"/>
        </w:r>
        <w:r>
          <w:rPr>
            <w:noProof/>
            <w:webHidden/>
          </w:rPr>
          <w:instrText xml:space="preserve"> PAGEREF _Toc189563143 \h </w:instrText>
        </w:r>
        <w:r>
          <w:rPr>
            <w:noProof/>
            <w:webHidden/>
          </w:rPr>
        </w:r>
        <w:r>
          <w:rPr>
            <w:noProof/>
            <w:webHidden/>
          </w:rPr>
          <w:fldChar w:fldCharType="separate"/>
        </w:r>
        <w:r>
          <w:rPr>
            <w:noProof/>
            <w:webHidden/>
          </w:rPr>
          <w:t>38</w:t>
        </w:r>
        <w:r>
          <w:rPr>
            <w:noProof/>
            <w:webHidden/>
          </w:rPr>
          <w:fldChar w:fldCharType="end"/>
        </w:r>
      </w:hyperlink>
    </w:p>
    <w:p w14:paraId="1DF5977D" w14:textId="08D6CF5D" w:rsidR="007430E6" w:rsidRDefault="007430E6">
      <w:pPr>
        <w:pStyle w:val="TOC1"/>
        <w:tabs>
          <w:tab w:val="right" w:leader="dot" w:pos="9016"/>
        </w:tabs>
        <w:rPr>
          <w:rFonts w:asciiTheme="minorHAnsi" w:eastAsiaTheme="minorEastAsia" w:hAnsiTheme="minorHAnsi"/>
          <w:noProof/>
          <w:lang w:eastAsia="en-GB"/>
        </w:rPr>
      </w:pPr>
      <w:hyperlink w:anchor="_Toc189563144" w:history="1">
        <w:r w:rsidRPr="00A32A4D">
          <w:rPr>
            <w:rStyle w:val="Hyperlink"/>
            <w:noProof/>
          </w:rPr>
          <w:t>Appendix 2: Welsh policies and strategies with relevance to health inequalities</w:t>
        </w:r>
        <w:r>
          <w:rPr>
            <w:noProof/>
            <w:webHidden/>
          </w:rPr>
          <w:tab/>
        </w:r>
        <w:r>
          <w:rPr>
            <w:noProof/>
            <w:webHidden/>
          </w:rPr>
          <w:fldChar w:fldCharType="begin"/>
        </w:r>
        <w:r>
          <w:rPr>
            <w:noProof/>
            <w:webHidden/>
          </w:rPr>
          <w:instrText xml:space="preserve"> PAGEREF _Toc189563144 \h </w:instrText>
        </w:r>
        <w:r>
          <w:rPr>
            <w:noProof/>
            <w:webHidden/>
          </w:rPr>
        </w:r>
        <w:r>
          <w:rPr>
            <w:noProof/>
            <w:webHidden/>
          </w:rPr>
          <w:fldChar w:fldCharType="separate"/>
        </w:r>
        <w:r>
          <w:rPr>
            <w:noProof/>
            <w:webHidden/>
          </w:rPr>
          <w:t>46</w:t>
        </w:r>
        <w:r>
          <w:rPr>
            <w:noProof/>
            <w:webHidden/>
          </w:rPr>
          <w:fldChar w:fldCharType="end"/>
        </w:r>
      </w:hyperlink>
    </w:p>
    <w:p w14:paraId="71C148C2" w14:textId="37E48D8D" w:rsidR="007430E6" w:rsidRDefault="007430E6">
      <w:pPr>
        <w:pStyle w:val="TOC1"/>
        <w:tabs>
          <w:tab w:val="right" w:leader="dot" w:pos="9016"/>
        </w:tabs>
        <w:rPr>
          <w:rFonts w:asciiTheme="minorHAnsi" w:eastAsiaTheme="minorEastAsia" w:hAnsiTheme="minorHAnsi"/>
          <w:noProof/>
          <w:lang w:eastAsia="en-GB"/>
        </w:rPr>
      </w:pPr>
      <w:hyperlink w:anchor="_Toc189563145" w:history="1">
        <w:r w:rsidRPr="00A32A4D">
          <w:rPr>
            <w:rStyle w:val="Hyperlink"/>
            <w:noProof/>
          </w:rPr>
          <w:t>Appendix 3: Country-level comparison data</w:t>
        </w:r>
        <w:r>
          <w:rPr>
            <w:noProof/>
            <w:webHidden/>
          </w:rPr>
          <w:tab/>
        </w:r>
        <w:r>
          <w:rPr>
            <w:noProof/>
            <w:webHidden/>
          </w:rPr>
          <w:fldChar w:fldCharType="begin"/>
        </w:r>
        <w:r>
          <w:rPr>
            <w:noProof/>
            <w:webHidden/>
          </w:rPr>
          <w:instrText xml:space="preserve"> PAGEREF _Toc189563145 \h </w:instrText>
        </w:r>
        <w:r>
          <w:rPr>
            <w:noProof/>
            <w:webHidden/>
          </w:rPr>
        </w:r>
        <w:r>
          <w:rPr>
            <w:noProof/>
            <w:webHidden/>
          </w:rPr>
          <w:fldChar w:fldCharType="separate"/>
        </w:r>
        <w:r>
          <w:rPr>
            <w:noProof/>
            <w:webHidden/>
          </w:rPr>
          <w:t>48</w:t>
        </w:r>
        <w:r>
          <w:rPr>
            <w:noProof/>
            <w:webHidden/>
          </w:rPr>
          <w:fldChar w:fldCharType="end"/>
        </w:r>
      </w:hyperlink>
    </w:p>
    <w:p w14:paraId="1F113D14" w14:textId="6AB21BB3" w:rsidR="007430E6" w:rsidRDefault="007430E6">
      <w:pPr>
        <w:pStyle w:val="TOC1"/>
        <w:tabs>
          <w:tab w:val="right" w:leader="dot" w:pos="9016"/>
        </w:tabs>
        <w:rPr>
          <w:rFonts w:asciiTheme="minorHAnsi" w:eastAsiaTheme="minorEastAsia" w:hAnsiTheme="minorHAnsi"/>
          <w:noProof/>
          <w:lang w:eastAsia="en-GB"/>
        </w:rPr>
      </w:pPr>
      <w:hyperlink w:anchor="_Toc189563146" w:history="1">
        <w:r w:rsidRPr="00A32A4D">
          <w:rPr>
            <w:rStyle w:val="Hyperlink"/>
            <w:noProof/>
          </w:rPr>
          <w:t>Appendix 4: Country-level reports and policy documents</w:t>
        </w:r>
        <w:r>
          <w:rPr>
            <w:noProof/>
            <w:webHidden/>
          </w:rPr>
          <w:tab/>
        </w:r>
        <w:r>
          <w:rPr>
            <w:noProof/>
            <w:webHidden/>
          </w:rPr>
          <w:fldChar w:fldCharType="begin"/>
        </w:r>
        <w:r>
          <w:rPr>
            <w:noProof/>
            <w:webHidden/>
          </w:rPr>
          <w:instrText xml:space="preserve"> PAGEREF _Toc189563146 \h </w:instrText>
        </w:r>
        <w:r>
          <w:rPr>
            <w:noProof/>
            <w:webHidden/>
          </w:rPr>
        </w:r>
        <w:r>
          <w:rPr>
            <w:noProof/>
            <w:webHidden/>
          </w:rPr>
          <w:fldChar w:fldCharType="separate"/>
        </w:r>
        <w:r>
          <w:rPr>
            <w:noProof/>
            <w:webHidden/>
          </w:rPr>
          <w:t>51</w:t>
        </w:r>
        <w:r>
          <w:rPr>
            <w:noProof/>
            <w:webHidden/>
          </w:rPr>
          <w:fldChar w:fldCharType="end"/>
        </w:r>
      </w:hyperlink>
    </w:p>
    <w:p w14:paraId="329689BC" w14:textId="7360F2D1" w:rsidR="00F334B2" w:rsidRDefault="00CD3BAF" w:rsidP="00F334B2">
      <w:r>
        <w:fldChar w:fldCharType="end"/>
      </w:r>
    </w:p>
    <w:p w14:paraId="40964EC0" w14:textId="2A534BB0" w:rsidR="00F334B2" w:rsidRPr="00D166DF" w:rsidRDefault="00F334B2" w:rsidP="00F334B2">
      <w:pPr>
        <w:pStyle w:val="Title"/>
        <w:rPr>
          <w:rFonts w:asciiTheme="minorHAnsi" w:hAnsiTheme="minorHAnsi"/>
          <w:color w:val="156082" w:themeColor="accent1"/>
          <w:sz w:val="40"/>
          <w:szCs w:val="40"/>
        </w:rPr>
      </w:pPr>
      <w:r w:rsidRPr="00D166DF">
        <w:rPr>
          <w:rFonts w:asciiTheme="minorHAnsi" w:hAnsiTheme="minorHAnsi"/>
          <w:color w:val="156082" w:themeColor="accent1"/>
          <w:sz w:val="40"/>
          <w:szCs w:val="40"/>
        </w:rPr>
        <w:t>Table of tables</w:t>
      </w:r>
    </w:p>
    <w:p w14:paraId="0CE8C87F" w14:textId="38814F49" w:rsidR="00A75936" w:rsidRDefault="00F334B2">
      <w:pPr>
        <w:pStyle w:val="TableofFigures"/>
        <w:tabs>
          <w:tab w:val="right" w:leader="dot" w:pos="9016"/>
        </w:tabs>
        <w:rPr>
          <w:rFonts w:asciiTheme="minorHAnsi" w:eastAsiaTheme="minorEastAsia" w:hAnsiTheme="minorHAnsi"/>
          <w:noProof/>
          <w:lang w:eastAsia="en-GB"/>
        </w:rPr>
      </w:pPr>
      <w:r>
        <w:fldChar w:fldCharType="begin"/>
      </w:r>
      <w:r>
        <w:instrText xml:space="preserve"> TOC \h \z \c "Table" </w:instrText>
      </w:r>
      <w:r>
        <w:fldChar w:fldCharType="separate"/>
      </w:r>
      <w:hyperlink w:anchor="_Toc189563115" w:history="1">
        <w:r w:rsidR="00A75936" w:rsidRPr="00D43CBE">
          <w:rPr>
            <w:rStyle w:val="Hyperlink"/>
            <w:noProof/>
          </w:rPr>
          <w:t>Table 1. Time-trend analysis of geographical inequalities in 32 EEA countries, 2009 to 2019 (Chen-Xu et al., 2024)</w:t>
        </w:r>
        <w:r w:rsidR="00A75936">
          <w:rPr>
            <w:noProof/>
            <w:webHidden/>
          </w:rPr>
          <w:tab/>
        </w:r>
        <w:r w:rsidR="00A75936">
          <w:rPr>
            <w:noProof/>
            <w:webHidden/>
          </w:rPr>
          <w:fldChar w:fldCharType="begin"/>
        </w:r>
        <w:r w:rsidR="00A75936">
          <w:rPr>
            <w:noProof/>
            <w:webHidden/>
          </w:rPr>
          <w:instrText xml:space="preserve"> PAGEREF _Toc189563115 \h </w:instrText>
        </w:r>
        <w:r w:rsidR="00A75936">
          <w:rPr>
            <w:noProof/>
            <w:webHidden/>
          </w:rPr>
        </w:r>
        <w:r w:rsidR="00A75936">
          <w:rPr>
            <w:noProof/>
            <w:webHidden/>
          </w:rPr>
          <w:fldChar w:fldCharType="separate"/>
        </w:r>
        <w:r w:rsidR="00A75936">
          <w:rPr>
            <w:noProof/>
            <w:webHidden/>
          </w:rPr>
          <w:t>8</w:t>
        </w:r>
        <w:r w:rsidR="00A75936">
          <w:rPr>
            <w:noProof/>
            <w:webHidden/>
          </w:rPr>
          <w:fldChar w:fldCharType="end"/>
        </w:r>
      </w:hyperlink>
    </w:p>
    <w:p w14:paraId="59607A04" w14:textId="709F3B08" w:rsidR="00A75936" w:rsidRDefault="00A75936">
      <w:pPr>
        <w:pStyle w:val="TableofFigures"/>
        <w:tabs>
          <w:tab w:val="right" w:leader="dot" w:pos="9016"/>
        </w:tabs>
        <w:rPr>
          <w:rFonts w:asciiTheme="minorHAnsi" w:eastAsiaTheme="minorEastAsia" w:hAnsiTheme="minorHAnsi"/>
          <w:noProof/>
          <w:lang w:eastAsia="en-GB"/>
        </w:rPr>
      </w:pPr>
      <w:hyperlink w:anchor="_Toc189563116" w:history="1">
        <w:r w:rsidRPr="00D43CBE">
          <w:rPr>
            <w:rStyle w:val="Hyperlink"/>
            <w:noProof/>
          </w:rPr>
          <w:t>Table 2. Country examples of policy action on health inequalities across the five essential conditions</w:t>
        </w:r>
        <w:r>
          <w:rPr>
            <w:noProof/>
            <w:webHidden/>
          </w:rPr>
          <w:tab/>
        </w:r>
        <w:r>
          <w:rPr>
            <w:noProof/>
            <w:webHidden/>
          </w:rPr>
          <w:fldChar w:fldCharType="begin"/>
        </w:r>
        <w:r>
          <w:rPr>
            <w:noProof/>
            <w:webHidden/>
          </w:rPr>
          <w:instrText xml:space="preserve"> PAGEREF _Toc189563116 \h </w:instrText>
        </w:r>
        <w:r>
          <w:rPr>
            <w:noProof/>
            <w:webHidden/>
          </w:rPr>
        </w:r>
        <w:r>
          <w:rPr>
            <w:noProof/>
            <w:webHidden/>
          </w:rPr>
          <w:fldChar w:fldCharType="separate"/>
        </w:r>
        <w:r>
          <w:rPr>
            <w:noProof/>
            <w:webHidden/>
          </w:rPr>
          <w:t>15</w:t>
        </w:r>
        <w:r>
          <w:rPr>
            <w:noProof/>
            <w:webHidden/>
          </w:rPr>
          <w:fldChar w:fldCharType="end"/>
        </w:r>
      </w:hyperlink>
    </w:p>
    <w:p w14:paraId="6535C909" w14:textId="6A812448" w:rsidR="00A75936" w:rsidRDefault="00A75936">
      <w:pPr>
        <w:pStyle w:val="TableofFigures"/>
        <w:tabs>
          <w:tab w:val="right" w:leader="dot" w:pos="9016"/>
        </w:tabs>
        <w:rPr>
          <w:rFonts w:asciiTheme="minorHAnsi" w:eastAsiaTheme="minorEastAsia" w:hAnsiTheme="minorHAnsi"/>
          <w:noProof/>
          <w:lang w:eastAsia="en-GB"/>
        </w:rPr>
      </w:pPr>
      <w:hyperlink w:anchor="_Toc189563117" w:history="1">
        <w:r w:rsidRPr="00D43CBE">
          <w:rPr>
            <w:rStyle w:val="Hyperlink"/>
            <w:noProof/>
          </w:rPr>
          <w:t>Table 3. Approaches to well-being economy in Finland, Iceland, Scotland, and Wales</w:t>
        </w:r>
        <w:r>
          <w:rPr>
            <w:noProof/>
            <w:webHidden/>
          </w:rPr>
          <w:tab/>
        </w:r>
        <w:r>
          <w:rPr>
            <w:noProof/>
            <w:webHidden/>
          </w:rPr>
          <w:fldChar w:fldCharType="begin"/>
        </w:r>
        <w:r>
          <w:rPr>
            <w:noProof/>
            <w:webHidden/>
          </w:rPr>
          <w:instrText xml:space="preserve"> PAGEREF _Toc189563117 \h </w:instrText>
        </w:r>
        <w:r>
          <w:rPr>
            <w:noProof/>
            <w:webHidden/>
          </w:rPr>
        </w:r>
        <w:r>
          <w:rPr>
            <w:noProof/>
            <w:webHidden/>
          </w:rPr>
          <w:fldChar w:fldCharType="separate"/>
        </w:r>
        <w:r>
          <w:rPr>
            <w:noProof/>
            <w:webHidden/>
          </w:rPr>
          <w:t>22</w:t>
        </w:r>
        <w:r>
          <w:rPr>
            <w:noProof/>
            <w:webHidden/>
          </w:rPr>
          <w:fldChar w:fldCharType="end"/>
        </w:r>
      </w:hyperlink>
    </w:p>
    <w:p w14:paraId="3BA70915" w14:textId="5B6E5973" w:rsidR="00F334B2" w:rsidRDefault="00F334B2" w:rsidP="00F334B2">
      <w:r>
        <w:fldChar w:fldCharType="end"/>
      </w:r>
    </w:p>
    <w:p w14:paraId="1E90794A" w14:textId="77777777" w:rsidR="00F334B2" w:rsidRDefault="00F334B2" w:rsidP="00F334B2"/>
    <w:p w14:paraId="12C4FB2D" w14:textId="77777777" w:rsidR="00F334B2" w:rsidRPr="00F334B2" w:rsidRDefault="00F334B2" w:rsidP="00F334B2">
      <w:pPr>
        <w:sectPr w:rsidR="00F334B2" w:rsidRPr="00F334B2" w:rsidSect="009A538C">
          <w:pgSz w:w="11906" w:h="16838"/>
          <w:pgMar w:top="1440" w:right="1440" w:bottom="1440" w:left="1440" w:header="708" w:footer="708" w:gutter="0"/>
          <w:pgNumType w:start="1"/>
          <w:cols w:space="708"/>
          <w:docGrid w:linePitch="360"/>
        </w:sectPr>
      </w:pPr>
    </w:p>
    <w:bookmarkStart w:id="0" w:name="_Toc185516828"/>
    <w:bookmarkStart w:id="1" w:name="_Toc189563137"/>
    <w:p w14:paraId="54D9C383" w14:textId="3D22EC3B" w:rsidR="003270CD" w:rsidRPr="00190700" w:rsidRDefault="003E64F6" w:rsidP="00190700">
      <w:pPr>
        <w:pStyle w:val="Heading1"/>
        <w:numPr>
          <w:ilvl w:val="0"/>
          <w:numId w:val="0"/>
        </w:numPr>
        <w:ind w:left="431" w:hanging="431"/>
      </w:pPr>
      <w:r>
        <w:rPr>
          <w:rFonts w:ascii="Roboto" w:hAnsi="Roboto"/>
          <w:noProof/>
          <w:sz w:val="72"/>
          <w:szCs w:val="72"/>
        </w:rPr>
        <w:lastRenderedPageBreak/>
        <mc:AlternateContent>
          <mc:Choice Requires="wps">
            <w:drawing>
              <wp:anchor distT="0" distB="0" distL="114300" distR="114300" simplePos="0" relativeHeight="251658241" behindDoc="1" locked="0" layoutInCell="1" allowOverlap="1" wp14:anchorId="2F6CECF2" wp14:editId="7070A528">
                <wp:simplePos x="0" y="0"/>
                <wp:positionH relativeFrom="margin">
                  <wp:posOffset>-914400</wp:posOffset>
                </wp:positionH>
                <wp:positionV relativeFrom="paragraph">
                  <wp:posOffset>655093</wp:posOffset>
                </wp:positionV>
                <wp:extent cx="6769290" cy="5296395"/>
                <wp:effectExtent l="0" t="0" r="0" b="0"/>
                <wp:wrapNone/>
                <wp:docPr id="1275914838" name="Rectangle 1"/>
                <wp:cNvGraphicFramePr/>
                <a:graphic xmlns:a="http://schemas.openxmlformats.org/drawingml/2006/main">
                  <a:graphicData uri="http://schemas.microsoft.com/office/word/2010/wordprocessingShape">
                    <wps:wsp>
                      <wps:cNvSpPr/>
                      <wps:spPr>
                        <a:xfrm>
                          <a:off x="0" y="0"/>
                          <a:ext cx="6769290" cy="5296395"/>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A3696F" id="Rectangle 1" o:spid="_x0000_s1026" style="position:absolute;margin-left:-1in;margin-top:51.6pt;width:533pt;height:417.05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" fillcolor="#156082 [3204]" stroked="f" strokeweight="1pt">
                <w10:wrap anchorx="margin"/>
              </v:rect>
            </w:pict>
          </mc:Fallback>
        </mc:AlternateContent>
      </w:r>
      <w:r w:rsidR="003270CD" w:rsidRPr="00190700">
        <w:t xml:space="preserve">Executive </w:t>
      </w:r>
      <w:r w:rsidR="00D166DF" w:rsidRPr="00190700">
        <w:t>s</w:t>
      </w:r>
      <w:r w:rsidR="003270CD" w:rsidRPr="00190700">
        <w:t>ummary</w:t>
      </w:r>
      <w:bookmarkEnd w:id="1"/>
    </w:p>
    <w:p w14:paraId="46A020BB" w14:textId="6E8CA5B1" w:rsidR="008A5F77" w:rsidRPr="00DD63DC" w:rsidRDefault="008A5F77" w:rsidP="008A5F77">
      <w:pPr>
        <w:pStyle w:val="Heading2"/>
        <w:numPr>
          <w:ilvl w:val="0"/>
          <w:numId w:val="0"/>
        </w:numPr>
        <w:ind w:left="576" w:hanging="576"/>
        <w:rPr>
          <w:color w:val="FFFFFF" w:themeColor="background1"/>
        </w:rPr>
      </w:pPr>
      <w:r w:rsidRPr="00DD63DC">
        <w:rPr>
          <w:color w:val="FFFFFF" w:themeColor="background1"/>
        </w:rPr>
        <w:t>Policy background</w:t>
      </w:r>
    </w:p>
    <w:p w14:paraId="08147BCE" w14:textId="4146BD42" w:rsidR="008A5F77" w:rsidRPr="003461B8" w:rsidRDefault="008A5F77" w:rsidP="00976634">
      <w:pPr>
        <w:rPr>
          <w:color w:val="FFFFFF" w:themeColor="background1"/>
        </w:rPr>
      </w:pPr>
      <w:r w:rsidRPr="003461B8">
        <w:rPr>
          <w:color w:val="FFFFFF" w:themeColor="background1"/>
        </w:rPr>
        <w:t xml:space="preserve">Health inequalities are recognised as an issue in most countries around the world and they are a major concern for policymakers. Many countries have developed strategies to reduce the differences in health seen across populations with a major focus on tackling socioeconomic health inequalities. However, despite the steps taken by governments around the world, the English cross-government strategy implemented between 1997 and 2010 remains the most ambitious policy attempt to date. </w:t>
      </w:r>
    </w:p>
    <w:p w14:paraId="14DE4775" w14:textId="4A2A2C6B" w:rsidR="008A5F77" w:rsidRPr="00DD63DC" w:rsidRDefault="008A5F77" w:rsidP="0047349F">
      <w:pPr>
        <w:pStyle w:val="Heading2"/>
        <w:numPr>
          <w:ilvl w:val="0"/>
          <w:numId w:val="0"/>
        </w:numPr>
        <w:ind w:left="576" w:hanging="576"/>
        <w:rPr>
          <w:color w:val="FFFFFF" w:themeColor="background1"/>
        </w:rPr>
      </w:pPr>
      <w:r w:rsidRPr="00DD63DC">
        <w:rPr>
          <w:color w:val="FFFFFF" w:themeColor="background1"/>
        </w:rPr>
        <w:t>International trends in health inequalities</w:t>
      </w:r>
    </w:p>
    <w:p w14:paraId="2E682122" w14:textId="7171FDCF" w:rsidR="008A5F77" w:rsidRPr="003461B8" w:rsidRDefault="008A5F77" w:rsidP="007E0E85">
      <w:pPr>
        <w:rPr>
          <w:color w:val="FFFFFF" w:themeColor="background1"/>
        </w:rPr>
      </w:pPr>
      <w:r w:rsidRPr="003461B8">
        <w:rPr>
          <w:color w:val="FFFFFF" w:themeColor="background1"/>
        </w:rPr>
        <w:t>Recent studies show that many high-income countries have experienced a widening in health inequalities. Studies of gaps in adult and infant mortality within a range of high-incomes countries typically show that the most deprived areas and groups have had a slower rate of improvement in life expectancy compared to the least deprived areas and groups. In the United Kingdom and Germany, data suggests that improvements in life expectancy have slowed in recent years.</w:t>
      </w:r>
    </w:p>
    <w:p w14:paraId="6BCBCFB8" w14:textId="3D1619DA" w:rsidR="008A5F77" w:rsidRPr="00DD63DC" w:rsidRDefault="008A5F77" w:rsidP="0047349F">
      <w:pPr>
        <w:pStyle w:val="Heading2"/>
        <w:numPr>
          <w:ilvl w:val="0"/>
          <w:numId w:val="0"/>
        </w:numPr>
        <w:ind w:left="576" w:hanging="576"/>
        <w:rPr>
          <w:color w:val="FFFFFF" w:themeColor="background1"/>
        </w:rPr>
      </w:pPr>
      <w:r w:rsidRPr="00DD63DC">
        <w:rPr>
          <w:color w:val="FFFFFF" w:themeColor="background1"/>
        </w:rPr>
        <w:t>The policy context for action on health inequalities</w:t>
      </w:r>
    </w:p>
    <w:p w14:paraId="04ECB2CB" w14:textId="77777777" w:rsidR="008A5F77" w:rsidRPr="003461B8" w:rsidRDefault="008A5F77" w:rsidP="00814E56">
      <w:pPr>
        <w:rPr>
          <w:color w:val="FFFFFF" w:themeColor="background1"/>
        </w:rPr>
      </w:pPr>
      <w:r w:rsidRPr="003461B8">
        <w:rPr>
          <w:color w:val="FFFFFF" w:themeColor="background1"/>
        </w:rPr>
        <w:t>A commitment to act on health inequalities requires high-level political will and a strong culture of intersectoral collaboration inside and outside of government. In Wales, the strategic and policy context for action has been strengthened by key pieces of enabling legislation that support a greater focus on prevention and addressing inequalities. However, there are also major challenges and constraints to what policy actions are possible within the powers that the Welsh Government can exercise under devolution.</w:t>
      </w:r>
    </w:p>
    <w:p w14:paraId="2CC30E47" w14:textId="51B7B997" w:rsidR="001C66B4" w:rsidRDefault="001C66B4" w:rsidP="00CF451C">
      <w:pPr>
        <w:pStyle w:val="Heading2"/>
        <w:numPr>
          <w:ilvl w:val="0"/>
          <w:numId w:val="0"/>
        </w:numPr>
        <w:spacing w:before="360"/>
        <w:ind w:left="578" w:hanging="578"/>
      </w:pPr>
      <w:r>
        <w:t>The policy context for action on health inequalities</w:t>
      </w:r>
    </w:p>
    <w:p w14:paraId="2987FBD4" w14:textId="5FDB8DCD" w:rsidR="00AD7D80" w:rsidRDefault="00AD7D80" w:rsidP="00D2052C">
      <w:r>
        <w:t xml:space="preserve">The World Health Organization </w:t>
      </w:r>
      <w:r w:rsidR="00D2052C">
        <w:t>health equity policy tool is structured around five policy action areas</w:t>
      </w:r>
      <w:r w:rsidR="00AE7890">
        <w:t>.</w:t>
      </w:r>
    </w:p>
    <w:tbl>
      <w:tblPr>
        <w:tblStyle w:val="TableGrid"/>
        <w:tblW w:w="0" w:type="auto"/>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1801"/>
        <w:gridCol w:w="1801"/>
        <w:gridCol w:w="1801"/>
        <w:gridCol w:w="1800"/>
        <w:gridCol w:w="1803"/>
      </w:tblGrid>
      <w:tr w:rsidR="00801095" w14:paraId="105267B5" w14:textId="77777777" w:rsidTr="004C7AA0">
        <w:trPr>
          <w:trHeight w:val="1209"/>
        </w:trPr>
        <w:tc>
          <w:tcPr>
            <w:tcW w:w="1803" w:type="dxa"/>
            <w:shd w:val="clear" w:color="auto" w:fill="FF0000"/>
            <w:vAlign w:val="center"/>
          </w:tcPr>
          <w:p w14:paraId="0D6C1627" w14:textId="77F68FCD" w:rsidR="00801095" w:rsidRPr="004C7AA0" w:rsidRDefault="00801095" w:rsidP="000B76DB">
            <w:pPr>
              <w:spacing w:line="240" w:lineRule="auto"/>
              <w:jc w:val="center"/>
              <w:rPr>
                <w:rFonts w:ascii="Aptos SemiBold" w:hAnsi="Aptos SemiBold"/>
                <w:color w:val="FFFFFF" w:themeColor="background1"/>
                <w:sz w:val="22"/>
                <w:szCs w:val="22"/>
              </w:rPr>
            </w:pPr>
            <w:r w:rsidRPr="004C7AA0">
              <w:rPr>
                <w:rFonts w:ascii="Aptos SemiBold" w:hAnsi="Aptos SemiBold"/>
                <w:color w:val="FFFFFF" w:themeColor="background1"/>
                <w:sz w:val="22"/>
                <w:szCs w:val="22"/>
              </w:rPr>
              <w:t xml:space="preserve">Health </w:t>
            </w:r>
            <w:r w:rsidR="009639CE">
              <w:rPr>
                <w:rFonts w:ascii="Aptos SemiBold" w:hAnsi="Aptos SemiBold"/>
                <w:color w:val="FFFFFF" w:themeColor="background1"/>
                <w:sz w:val="22"/>
                <w:szCs w:val="22"/>
              </w:rPr>
              <w:br/>
            </w:r>
            <w:r w:rsidR="00FF5994">
              <w:rPr>
                <w:rFonts w:ascii="Aptos SemiBold" w:hAnsi="Aptos SemiBold"/>
                <w:color w:val="FFFFFF" w:themeColor="background1"/>
                <w:sz w:val="22"/>
                <w:szCs w:val="22"/>
              </w:rPr>
              <w:t>S</w:t>
            </w:r>
            <w:r w:rsidRPr="004C7AA0">
              <w:rPr>
                <w:rFonts w:ascii="Aptos SemiBold" w:hAnsi="Aptos SemiBold"/>
                <w:color w:val="FFFFFF" w:themeColor="background1"/>
                <w:sz w:val="22"/>
                <w:szCs w:val="22"/>
              </w:rPr>
              <w:t>ervice</w:t>
            </w:r>
            <w:r w:rsidR="00A0231D">
              <w:rPr>
                <w:rFonts w:ascii="Aptos SemiBold" w:hAnsi="Aptos SemiBold"/>
                <w:color w:val="FFFFFF" w:themeColor="background1"/>
                <w:sz w:val="22"/>
                <w:szCs w:val="22"/>
              </w:rPr>
              <w:t>s</w:t>
            </w:r>
          </w:p>
        </w:tc>
        <w:tc>
          <w:tcPr>
            <w:tcW w:w="1803" w:type="dxa"/>
            <w:shd w:val="clear" w:color="auto" w:fill="FAA832"/>
            <w:vAlign w:val="center"/>
          </w:tcPr>
          <w:p w14:paraId="069A8D9E" w14:textId="64A9E668" w:rsidR="00801095" w:rsidRPr="004C7AA0" w:rsidRDefault="00801095" w:rsidP="000B76DB">
            <w:pPr>
              <w:spacing w:line="240" w:lineRule="auto"/>
              <w:jc w:val="center"/>
              <w:rPr>
                <w:rFonts w:ascii="Aptos SemiBold" w:hAnsi="Aptos SemiBold"/>
                <w:color w:val="FFFFFF" w:themeColor="background1"/>
                <w:sz w:val="22"/>
                <w:szCs w:val="22"/>
              </w:rPr>
            </w:pPr>
            <w:r w:rsidRPr="004C7AA0">
              <w:rPr>
                <w:rFonts w:ascii="Aptos SemiBold" w:hAnsi="Aptos SemiBold"/>
                <w:color w:val="FFFFFF" w:themeColor="background1"/>
                <w:sz w:val="22"/>
                <w:szCs w:val="22"/>
              </w:rPr>
              <w:t xml:space="preserve">Income </w:t>
            </w:r>
            <w:r w:rsidR="00FF5994">
              <w:rPr>
                <w:rFonts w:ascii="Aptos SemiBold" w:hAnsi="Aptos SemiBold"/>
                <w:color w:val="FFFFFF" w:themeColor="background1"/>
                <w:sz w:val="22"/>
                <w:szCs w:val="22"/>
              </w:rPr>
              <w:t>S</w:t>
            </w:r>
            <w:r w:rsidRPr="004C7AA0">
              <w:rPr>
                <w:rFonts w:ascii="Aptos SemiBold" w:hAnsi="Aptos SemiBold"/>
                <w:color w:val="FFFFFF" w:themeColor="background1"/>
                <w:sz w:val="22"/>
                <w:szCs w:val="22"/>
              </w:rPr>
              <w:t xml:space="preserve">ecurity &amp; </w:t>
            </w:r>
            <w:r w:rsidR="00FF5994">
              <w:rPr>
                <w:rFonts w:ascii="Aptos SemiBold" w:hAnsi="Aptos SemiBold"/>
                <w:color w:val="FFFFFF" w:themeColor="background1"/>
                <w:sz w:val="22"/>
                <w:szCs w:val="22"/>
              </w:rPr>
              <w:t>S</w:t>
            </w:r>
            <w:r w:rsidRPr="004C7AA0">
              <w:rPr>
                <w:rFonts w:ascii="Aptos SemiBold" w:hAnsi="Aptos SemiBold"/>
                <w:color w:val="FFFFFF" w:themeColor="background1"/>
                <w:sz w:val="22"/>
                <w:szCs w:val="22"/>
              </w:rPr>
              <w:t xml:space="preserve">ocial </w:t>
            </w:r>
            <w:r w:rsidR="00FF5994">
              <w:rPr>
                <w:rFonts w:ascii="Aptos SemiBold" w:hAnsi="Aptos SemiBold"/>
                <w:color w:val="FFFFFF" w:themeColor="background1"/>
                <w:sz w:val="22"/>
                <w:szCs w:val="22"/>
              </w:rPr>
              <w:t>P</w:t>
            </w:r>
            <w:r w:rsidRPr="004C7AA0">
              <w:rPr>
                <w:rFonts w:ascii="Aptos SemiBold" w:hAnsi="Aptos SemiBold"/>
                <w:color w:val="FFFFFF" w:themeColor="background1"/>
                <w:sz w:val="22"/>
                <w:szCs w:val="22"/>
              </w:rPr>
              <w:t>rotection</w:t>
            </w:r>
          </w:p>
        </w:tc>
        <w:tc>
          <w:tcPr>
            <w:tcW w:w="1803" w:type="dxa"/>
            <w:shd w:val="clear" w:color="auto" w:fill="90C84A"/>
            <w:vAlign w:val="center"/>
          </w:tcPr>
          <w:p w14:paraId="7237A9C2" w14:textId="6531648F" w:rsidR="00801095" w:rsidRPr="004C7AA0" w:rsidRDefault="00801095" w:rsidP="000B76DB">
            <w:pPr>
              <w:spacing w:line="240" w:lineRule="auto"/>
              <w:jc w:val="center"/>
              <w:rPr>
                <w:rFonts w:ascii="Aptos SemiBold" w:hAnsi="Aptos SemiBold"/>
                <w:color w:val="FFFFFF" w:themeColor="background1"/>
                <w:sz w:val="22"/>
                <w:szCs w:val="22"/>
              </w:rPr>
            </w:pPr>
            <w:r w:rsidRPr="004C7AA0">
              <w:rPr>
                <w:rFonts w:ascii="Aptos SemiBold" w:hAnsi="Aptos SemiBold"/>
                <w:color w:val="FFFFFF" w:themeColor="background1"/>
                <w:sz w:val="22"/>
                <w:szCs w:val="22"/>
              </w:rPr>
              <w:t xml:space="preserve">Living </w:t>
            </w:r>
            <w:r w:rsidR="00FF5994">
              <w:rPr>
                <w:rFonts w:ascii="Aptos SemiBold" w:hAnsi="Aptos SemiBold"/>
                <w:color w:val="FFFFFF" w:themeColor="background1"/>
                <w:sz w:val="22"/>
                <w:szCs w:val="22"/>
              </w:rPr>
              <w:t>C</w:t>
            </w:r>
            <w:r w:rsidRPr="004C7AA0">
              <w:rPr>
                <w:rFonts w:ascii="Aptos SemiBold" w:hAnsi="Aptos SemiBold"/>
                <w:color w:val="FFFFFF" w:themeColor="background1"/>
                <w:sz w:val="22"/>
                <w:szCs w:val="22"/>
              </w:rPr>
              <w:t>onditions</w:t>
            </w:r>
          </w:p>
        </w:tc>
        <w:tc>
          <w:tcPr>
            <w:tcW w:w="1803" w:type="dxa"/>
            <w:shd w:val="clear" w:color="auto" w:fill="944197"/>
            <w:vAlign w:val="center"/>
          </w:tcPr>
          <w:p w14:paraId="5C785CA1" w14:textId="5DC09038" w:rsidR="00801095" w:rsidRPr="004C7AA0" w:rsidRDefault="00801095" w:rsidP="000B76DB">
            <w:pPr>
              <w:spacing w:line="240" w:lineRule="auto"/>
              <w:jc w:val="center"/>
              <w:rPr>
                <w:rFonts w:ascii="Aptos SemiBold" w:hAnsi="Aptos SemiBold"/>
                <w:color w:val="FFFFFF" w:themeColor="background1"/>
                <w:sz w:val="22"/>
                <w:szCs w:val="22"/>
              </w:rPr>
            </w:pPr>
            <w:r w:rsidRPr="004C7AA0">
              <w:rPr>
                <w:rFonts w:ascii="Aptos SemiBold" w:hAnsi="Aptos SemiBold"/>
                <w:color w:val="FFFFFF" w:themeColor="background1"/>
                <w:sz w:val="22"/>
                <w:szCs w:val="22"/>
              </w:rPr>
              <w:t xml:space="preserve">Social &amp; </w:t>
            </w:r>
            <w:r w:rsidR="00FF5994">
              <w:rPr>
                <w:rFonts w:ascii="Aptos SemiBold" w:hAnsi="Aptos SemiBold"/>
                <w:color w:val="FFFFFF" w:themeColor="background1"/>
                <w:sz w:val="22"/>
                <w:szCs w:val="22"/>
              </w:rPr>
              <w:t>H</w:t>
            </w:r>
            <w:r w:rsidRPr="004C7AA0">
              <w:rPr>
                <w:rFonts w:ascii="Aptos SemiBold" w:hAnsi="Aptos SemiBold"/>
                <w:color w:val="FFFFFF" w:themeColor="background1"/>
                <w:sz w:val="22"/>
                <w:szCs w:val="22"/>
              </w:rPr>
              <w:t xml:space="preserve">uman </w:t>
            </w:r>
            <w:r w:rsidR="00FF5994">
              <w:rPr>
                <w:rFonts w:ascii="Aptos SemiBold" w:hAnsi="Aptos SemiBold"/>
                <w:color w:val="FFFFFF" w:themeColor="background1"/>
                <w:sz w:val="22"/>
                <w:szCs w:val="22"/>
              </w:rPr>
              <w:t>C</w:t>
            </w:r>
            <w:r w:rsidRPr="004C7AA0">
              <w:rPr>
                <w:rFonts w:ascii="Aptos SemiBold" w:hAnsi="Aptos SemiBold"/>
                <w:color w:val="FFFFFF" w:themeColor="background1"/>
                <w:sz w:val="22"/>
                <w:szCs w:val="22"/>
              </w:rPr>
              <w:t>apital</w:t>
            </w:r>
          </w:p>
        </w:tc>
        <w:tc>
          <w:tcPr>
            <w:tcW w:w="1804" w:type="dxa"/>
            <w:shd w:val="clear" w:color="auto" w:fill="3AABE2"/>
            <w:vAlign w:val="center"/>
          </w:tcPr>
          <w:p w14:paraId="10866EB9" w14:textId="0FB36B39" w:rsidR="00801095" w:rsidRPr="004C7AA0" w:rsidRDefault="00801095" w:rsidP="000B76DB">
            <w:pPr>
              <w:spacing w:line="240" w:lineRule="auto"/>
              <w:jc w:val="center"/>
              <w:rPr>
                <w:rFonts w:ascii="Aptos SemiBold" w:hAnsi="Aptos SemiBold"/>
                <w:color w:val="FFFFFF" w:themeColor="background1"/>
                <w:sz w:val="22"/>
                <w:szCs w:val="22"/>
              </w:rPr>
            </w:pPr>
            <w:r w:rsidRPr="004C7AA0">
              <w:rPr>
                <w:rFonts w:ascii="Aptos SemiBold" w:hAnsi="Aptos SemiBold"/>
                <w:color w:val="FFFFFF" w:themeColor="background1"/>
                <w:sz w:val="22"/>
                <w:szCs w:val="22"/>
              </w:rPr>
              <w:t xml:space="preserve">Employment &amp; </w:t>
            </w:r>
            <w:r w:rsidR="00FF5994">
              <w:rPr>
                <w:rFonts w:ascii="Aptos SemiBold" w:hAnsi="Aptos SemiBold"/>
                <w:color w:val="FFFFFF" w:themeColor="background1"/>
                <w:sz w:val="22"/>
                <w:szCs w:val="22"/>
              </w:rPr>
              <w:t>W</w:t>
            </w:r>
            <w:r w:rsidRPr="004C7AA0">
              <w:rPr>
                <w:rFonts w:ascii="Aptos SemiBold" w:hAnsi="Aptos SemiBold"/>
                <w:color w:val="FFFFFF" w:themeColor="background1"/>
                <w:sz w:val="22"/>
                <w:szCs w:val="22"/>
              </w:rPr>
              <w:t xml:space="preserve">orking </w:t>
            </w:r>
            <w:r w:rsidR="00FF5994">
              <w:rPr>
                <w:rFonts w:ascii="Aptos SemiBold" w:hAnsi="Aptos SemiBold"/>
                <w:color w:val="FFFFFF" w:themeColor="background1"/>
                <w:sz w:val="22"/>
                <w:szCs w:val="22"/>
              </w:rPr>
              <w:t>C</w:t>
            </w:r>
            <w:r w:rsidRPr="004C7AA0">
              <w:rPr>
                <w:rFonts w:ascii="Aptos SemiBold" w:hAnsi="Aptos SemiBold"/>
                <w:color w:val="FFFFFF" w:themeColor="background1"/>
                <w:sz w:val="22"/>
                <w:szCs w:val="22"/>
              </w:rPr>
              <w:t>onditions</w:t>
            </w:r>
          </w:p>
        </w:tc>
      </w:tr>
    </w:tbl>
    <w:p w14:paraId="0C3F021B" w14:textId="4E5E7C83" w:rsidR="00801095" w:rsidRDefault="00801095" w:rsidP="00692DCF">
      <w:pPr>
        <w:spacing w:before="120"/>
      </w:pPr>
      <w:r>
        <w:t xml:space="preserve">We </w:t>
      </w:r>
      <w:r w:rsidR="00887ECF">
        <w:t xml:space="preserve">have </w:t>
      </w:r>
      <w:r>
        <w:t xml:space="preserve">summarised key examples of policy actions across seven high-income countries of a similar population size and with </w:t>
      </w:r>
      <w:r w:rsidRPr="00AD4B45">
        <w:t>similarities</w:t>
      </w:r>
      <w:r>
        <w:t xml:space="preserve"> in their </w:t>
      </w:r>
      <w:r w:rsidRPr="00AD4B45">
        <w:t>political</w:t>
      </w:r>
      <w:r>
        <w:t xml:space="preserve"> systems and policy choices</w:t>
      </w:r>
      <w:r w:rsidRPr="00AD4B45">
        <w:t xml:space="preserve"> </w:t>
      </w:r>
      <w:r>
        <w:t>to Wales: Finland, New Zealand, Iceland, Slovenia, Scotland, Ireland, and Belgium.</w:t>
      </w:r>
    </w:p>
    <w:p w14:paraId="446EA4D4" w14:textId="77777777" w:rsidR="00A0231D" w:rsidRDefault="00A0231D">
      <w:pPr>
        <w:spacing w:after="0" w:line="240" w:lineRule="auto"/>
        <w:rPr>
          <w:b/>
          <w:bCs/>
        </w:rPr>
      </w:pPr>
      <w:r>
        <w:rPr>
          <w:b/>
          <w:bCs/>
        </w:rPr>
        <w:br w:type="page"/>
      </w:r>
    </w:p>
    <w:p w14:paraId="5140782D" w14:textId="1FB93911" w:rsidR="00A0231D" w:rsidRPr="000B39F1" w:rsidRDefault="00A0231D" w:rsidP="0083026A">
      <w:pPr>
        <w:rPr>
          <w:rFonts w:asciiTheme="minorHAnsi" w:hAnsiTheme="minorHAnsi"/>
          <w:color w:val="FFFFFF" w:themeColor="background1"/>
          <w:sz w:val="32"/>
          <w:szCs w:val="32"/>
        </w:rPr>
      </w:pPr>
      <w:r w:rsidRPr="000B39F1">
        <w:rPr>
          <w:rFonts w:asciiTheme="minorHAnsi" w:hAnsiTheme="minorHAnsi"/>
          <w:noProof/>
          <w:color w:val="FFFFFF" w:themeColor="background1"/>
          <w:sz w:val="32"/>
          <w:szCs w:val="32"/>
        </w:rPr>
        <w:lastRenderedPageBreak/>
        <mc:AlternateContent>
          <mc:Choice Requires="wps">
            <w:drawing>
              <wp:anchor distT="0" distB="0" distL="114300" distR="114300" simplePos="0" relativeHeight="251658242" behindDoc="1" locked="0" layoutInCell="1" allowOverlap="1" wp14:anchorId="462A8154" wp14:editId="566F2AC6">
                <wp:simplePos x="0" y="0"/>
                <wp:positionH relativeFrom="margin">
                  <wp:posOffset>-913765</wp:posOffset>
                </wp:positionH>
                <wp:positionV relativeFrom="paragraph">
                  <wp:posOffset>-41910</wp:posOffset>
                </wp:positionV>
                <wp:extent cx="6768000" cy="320634"/>
                <wp:effectExtent l="0" t="0" r="0" b="3810"/>
                <wp:wrapNone/>
                <wp:docPr id="967888766" name="Rectangle 1"/>
                <wp:cNvGraphicFramePr/>
                <a:graphic xmlns:a="http://schemas.openxmlformats.org/drawingml/2006/main">
                  <a:graphicData uri="http://schemas.microsoft.com/office/word/2010/wordprocessingShape">
                    <wps:wsp>
                      <wps:cNvSpPr/>
                      <wps:spPr>
                        <a:xfrm>
                          <a:off x="0" y="0"/>
                          <a:ext cx="6768000" cy="320634"/>
                        </a:xfrm>
                        <a:prstGeom prst="rect">
                          <a:avLst/>
                        </a:prstGeom>
                        <a:solidFill>
                          <a:srgbClr val="FF0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C570D8" id="Rectangle 1" o:spid="_x0000_s1026" style="position:absolute;margin-left:-71.95pt;margin-top:-3.3pt;width:532.9pt;height:25.25pt;z-index:-2516582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" fillcolor="red" stroked="f" strokeweight="1pt">
                <w10:wrap anchorx="margin"/>
              </v:rect>
            </w:pict>
          </mc:Fallback>
        </mc:AlternateContent>
      </w:r>
      <w:r w:rsidR="0083026A" w:rsidRPr="000B39F1">
        <w:rPr>
          <w:rFonts w:asciiTheme="minorHAnsi" w:hAnsiTheme="minorHAnsi"/>
          <w:color w:val="FFFFFF" w:themeColor="background1"/>
          <w:sz w:val="32"/>
          <w:szCs w:val="32"/>
        </w:rPr>
        <w:t>Health Services</w:t>
      </w:r>
    </w:p>
    <w:p w14:paraId="40C8E684" w14:textId="24F58F05" w:rsidR="0083026A" w:rsidRDefault="00200DA4" w:rsidP="0083026A">
      <w:pPr>
        <w:rPr>
          <w:lang w:eastAsia="en-GB"/>
        </w:rPr>
      </w:pPr>
      <w:r w:rsidRPr="00A0231D">
        <w:rPr>
          <w:rFonts w:asciiTheme="minorHAnsi" w:hAnsiTheme="minorHAnsi"/>
          <w:noProof/>
          <w:color w:val="FFFFFF" w:themeColor="background1"/>
          <w:sz w:val="32"/>
          <w:szCs w:val="32"/>
        </w:rPr>
        <mc:AlternateContent>
          <mc:Choice Requires="wps">
            <w:drawing>
              <wp:anchor distT="0" distB="0" distL="114300" distR="114300" simplePos="0" relativeHeight="251658243" behindDoc="1" locked="0" layoutInCell="1" allowOverlap="1" wp14:anchorId="79C83C72" wp14:editId="52B72356">
                <wp:simplePos x="0" y="0"/>
                <wp:positionH relativeFrom="margin">
                  <wp:posOffset>-961390</wp:posOffset>
                </wp:positionH>
                <wp:positionV relativeFrom="paragraph">
                  <wp:posOffset>1424305</wp:posOffset>
                </wp:positionV>
                <wp:extent cx="6768000" cy="320634"/>
                <wp:effectExtent l="0" t="0" r="0" b="3810"/>
                <wp:wrapNone/>
                <wp:docPr id="400027801" name="Rectangle 1"/>
                <wp:cNvGraphicFramePr/>
                <a:graphic xmlns:a="http://schemas.openxmlformats.org/drawingml/2006/main">
                  <a:graphicData uri="http://schemas.microsoft.com/office/word/2010/wordprocessingShape">
                    <wps:wsp>
                      <wps:cNvSpPr/>
                      <wps:spPr>
                        <a:xfrm>
                          <a:off x="0" y="0"/>
                          <a:ext cx="6768000" cy="320634"/>
                        </a:xfrm>
                        <a:prstGeom prst="rect">
                          <a:avLst/>
                        </a:prstGeom>
                        <a:solidFill>
                          <a:srgbClr val="FAA832"/>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3A202E" id="Rectangle 1" o:spid="_x0000_s1026" style="position:absolute;margin-left:-75.7pt;margin-top:112.15pt;width:532.9pt;height:25.25pt;z-index:-25165823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" fillcolor="#faa832" stroked="f" strokeweight="1pt">
                <w10:wrap anchorx="margin"/>
              </v:rect>
            </w:pict>
          </mc:Fallback>
        </mc:AlternateContent>
      </w:r>
      <w:r w:rsidR="00010185" w:rsidRPr="00010185">
        <w:t>K</w:t>
      </w:r>
      <w:r w:rsidR="0083026A">
        <w:t>ey policy actions were focused on r</w:t>
      </w:r>
      <w:r w:rsidR="0083026A" w:rsidRPr="3030E45D">
        <w:rPr>
          <w:lang w:eastAsia="en-GB"/>
        </w:rPr>
        <w:t>educing waiting times and</w:t>
      </w:r>
      <w:r w:rsidR="0083026A" w:rsidRPr="3030E45D">
        <w:rPr>
          <w:b/>
          <w:bCs/>
          <w:lang w:eastAsia="en-GB"/>
        </w:rPr>
        <w:t xml:space="preserve"> </w:t>
      </w:r>
      <w:r w:rsidR="0083026A" w:rsidRPr="3030E45D">
        <w:rPr>
          <w:lang w:eastAsia="en-GB"/>
        </w:rPr>
        <w:t>collaborative approaches within the health system. The governments in Finland and Ireland have implemented specific policies to reduce waiting times, including legislative changes and significant financial investments. From Slovenia and Iceland, we identified examples of programmes focused on strengthening the role of primary health care providers by engaging with community partners and addressing community health needs through intersectoral collaboration and community partnerships.</w:t>
      </w:r>
    </w:p>
    <w:p w14:paraId="701A108E" w14:textId="0AD3C763" w:rsidR="00A0231D" w:rsidRPr="000B39F1" w:rsidRDefault="0083026A" w:rsidP="0083026A">
      <w:pPr>
        <w:rPr>
          <w:rFonts w:asciiTheme="minorHAnsi" w:hAnsiTheme="minorHAnsi"/>
          <w:color w:val="FFFFFF" w:themeColor="background1"/>
          <w:sz w:val="32"/>
          <w:szCs w:val="32"/>
        </w:rPr>
      </w:pPr>
      <w:r w:rsidRPr="000B39F1">
        <w:rPr>
          <w:rFonts w:asciiTheme="minorHAnsi" w:hAnsiTheme="minorHAnsi"/>
          <w:color w:val="FFFFFF" w:themeColor="background1"/>
          <w:sz w:val="32"/>
          <w:szCs w:val="32"/>
        </w:rPr>
        <w:t xml:space="preserve">Income Security </w:t>
      </w:r>
      <w:r w:rsidR="000B39F1">
        <w:rPr>
          <w:rFonts w:asciiTheme="minorHAnsi" w:hAnsiTheme="minorHAnsi"/>
          <w:color w:val="FFFFFF" w:themeColor="background1"/>
          <w:sz w:val="32"/>
          <w:szCs w:val="32"/>
        </w:rPr>
        <w:t>&amp;</w:t>
      </w:r>
      <w:r w:rsidRPr="000B39F1">
        <w:rPr>
          <w:rFonts w:asciiTheme="minorHAnsi" w:hAnsiTheme="minorHAnsi"/>
          <w:color w:val="FFFFFF" w:themeColor="background1"/>
          <w:sz w:val="32"/>
          <w:szCs w:val="32"/>
        </w:rPr>
        <w:t xml:space="preserve"> Social Protection</w:t>
      </w:r>
    </w:p>
    <w:p w14:paraId="1D708FD5" w14:textId="32C6E91C" w:rsidR="0083026A" w:rsidRPr="00633A4F" w:rsidRDefault="00A0231D" w:rsidP="0083026A">
      <w:pPr>
        <w:rPr>
          <w:lang w:eastAsia="en-GB"/>
        </w:rPr>
      </w:pPr>
      <w:r w:rsidRPr="00A0231D">
        <w:rPr>
          <w:rFonts w:asciiTheme="minorHAnsi" w:hAnsiTheme="minorHAnsi"/>
          <w:noProof/>
          <w:color w:val="FFFFFF" w:themeColor="background1"/>
          <w:sz w:val="32"/>
          <w:szCs w:val="32"/>
        </w:rPr>
        <mc:AlternateContent>
          <mc:Choice Requires="wps">
            <w:drawing>
              <wp:anchor distT="0" distB="0" distL="114300" distR="114300" simplePos="0" relativeHeight="251658244" behindDoc="1" locked="0" layoutInCell="1" allowOverlap="1" wp14:anchorId="4448C978" wp14:editId="69C44A11">
                <wp:simplePos x="0" y="0"/>
                <wp:positionH relativeFrom="margin">
                  <wp:posOffset>-918845</wp:posOffset>
                </wp:positionH>
                <wp:positionV relativeFrom="paragraph">
                  <wp:posOffset>1040130</wp:posOffset>
                </wp:positionV>
                <wp:extent cx="6768000" cy="320634"/>
                <wp:effectExtent l="0" t="0" r="0" b="3810"/>
                <wp:wrapNone/>
                <wp:docPr id="1075743947" name="Rectangle 1"/>
                <wp:cNvGraphicFramePr/>
                <a:graphic xmlns:a="http://schemas.openxmlformats.org/drawingml/2006/main">
                  <a:graphicData uri="http://schemas.microsoft.com/office/word/2010/wordprocessingShape">
                    <wps:wsp>
                      <wps:cNvSpPr/>
                      <wps:spPr>
                        <a:xfrm>
                          <a:off x="0" y="0"/>
                          <a:ext cx="6768000" cy="320634"/>
                        </a:xfrm>
                        <a:prstGeom prst="rect">
                          <a:avLst/>
                        </a:prstGeom>
                        <a:solidFill>
                          <a:srgbClr val="90C84A"/>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FACEC5" id="Rectangle 1" o:spid="_x0000_s1026" style="position:absolute;margin-left:-72.35pt;margin-top:81.9pt;width:532.9pt;height:25.25pt;z-index:-2516582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" fillcolor="#90c84a" stroked="f" strokeweight="1pt">
                <w10:wrap anchorx="margin"/>
              </v:rect>
            </w:pict>
          </mc:Fallback>
        </mc:AlternateContent>
      </w:r>
      <w:r w:rsidR="00010185">
        <w:t>I</w:t>
      </w:r>
      <w:r w:rsidR="0083026A">
        <w:t>nterest has grown i</w:t>
      </w:r>
      <w:r w:rsidR="0083026A" w:rsidRPr="3030E45D">
        <w:rPr>
          <w:rFonts w:eastAsia="Arial" w:cs="Arial"/>
        </w:rPr>
        <w:t xml:space="preserve">n providing security through a UBI and trials of UBI-like policies in Finland and Wales are informing policy development in this area. There have also been renewed calls to review the social security system in Wales. </w:t>
      </w:r>
      <w:r w:rsidR="0083026A" w:rsidRPr="3030E45D">
        <w:rPr>
          <w:lang w:eastAsia="en-GB"/>
        </w:rPr>
        <w:t>Scotland has used its devolved powers to establish a new social security system, delivering benefits such as child and adult disability payments and the Scottish Child Payment.</w:t>
      </w:r>
    </w:p>
    <w:p w14:paraId="298C9355" w14:textId="32EBA36F" w:rsidR="00A0231D" w:rsidRPr="000B39F1" w:rsidRDefault="00010185" w:rsidP="0083026A">
      <w:pPr>
        <w:rPr>
          <w:rFonts w:asciiTheme="minorHAnsi" w:hAnsiTheme="minorHAnsi"/>
          <w:color w:val="FFFFFF" w:themeColor="background1"/>
          <w:sz w:val="32"/>
          <w:szCs w:val="32"/>
        </w:rPr>
      </w:pPr>
      <w:r w:rsidRPr="000B39F1">
        <w:rPr>
          <w:rFonts w:asciiTheme="minorHAnsi" w:hAnsiTheme="minorHAnsi"/>
          <w:color w:val="FFFFFF" w:themeColor="background1"/>
          <w:sz w:val="32"/>
          <w:szCs w:val="32"/>
        </w:rPr>
        <w:t>Living Conditions</w:t>
      </w:r>
    </w:p>
    <w:p w14:paraId="024AA231" w14:textId="33CA6B72" w:rsidR="0083026A" w:rsidRDefault="000B39F1" w:rsidP="0083026A">
      <w:pPr>
        <w:rPr>
          <w:lang w:eastAsia="en-GB"/>
        </w:rPr>
      </w:pPr>
      <w:r w:rsidRPr="000B39F1">
        <w:rPr>
          <w:rFonts w:asciiTheme="minorHAnsi" w:hAnsiTheme="minorHAnsi"/>
          <w:noProof/>
          <w:color w:val="FFFFFF" w:themeColor="background1"/>
          <w:sz w:val="32"/>
          <w:szCs w:val="32"/>
        </w:rPr>
        <mc:AlternateContent>
          <mc:Choice Requires="wps">
            <w:drawing>
              <wp:anchor distT="0" distB="0" distL="114300" distR="114300" simplePos="0" relativeHeight="251658245" behindDoc="1" locked="0" layoutInCell="1" allowOverlap="1" wp14:anchorId="2094D244" wp14:editId="40A9C0C9">
                <wp:simplePos x="0" y="0"/>
                <wp:positionH relativeFrom="margin">
                  <wp:posOffset>-913765</wp:posOffset>
                </wp:positionH>
                <wp:positionV relativeFrom="paragraph">
                  <wp:posOffset>1828800</wp:posOffset>
                </wp:positionV>
                <wp:extent cx="6767830" cy="320040"/>
                <wp:effectExtent l="0" t="0" r="0" b="3810"/>
                <wp:wrapNone/>
                <wp:docPr id="2069395663" name="Rectangle 1"/>
                <wp:cNvGraphicFramePr/>
                <a:graphic xmlns:a="http://schemas.openxmlformats.org/drawingml/2006/main">
                  <a:graphicData uri="http://schemas.microsoft.com/office/word/2010/wordprocessingShape">
                    <wps:wsp>
                      <wps:cNvSpPr/>
                      <wps:spPr>
                        <a:xfrm>
                          <a:off x="0" y="0"/>
                          <a:ext cx="6767830" cy="320040"/>
                        </a:xfrm>
                        <a:prstGeom prst="rect">
                          <a:avLst/>
                        </a:prstGeom>
                        <a:solidFill>
                          <a:srgbClr val="944197"/>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6D2801" id="Rectangle 1" o:spid="_x0000_s1026" style="position:absolute;margin-left:-71.95pt;margin-top:2in;width:532.9pt;height:25.2pt;z-index:-25165823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" fillcolor="#944197" stroked="f" strokeweight="1pt">
                <w10:wrap anchorx="margin"/>
              </v:rect>
            </w:pict>
          </mc:Fallback>
        </mc:AlternateContent>
      </w:r>
      <w:r w:rsidR="0083026A">
        <w:t xml:space="preserve">Regional economic frameworks are </w:t>
      </w:r>
      <w:r w:rsidR="002946F9">
        <w:t xml:space="preserve">a </w:t>
      </w:r>
      <w:r w:rsidR="0083026A">
        <w:t xml:space="preserve">commonly used </w:t>
      </w:r>
      <w:r w:rsidR="0083026A" w:rsidRPr="3030E45D">
        <w:rPr>
          <w:rFonts w:eastAsia="Arial" w:cs="Arial"/>
        </w:rPr>
        <w:t>to tackle regional inequalities</w:t>
      </w:r>
      <w:r w:rsidR="00010185">
        <w:rPr>
          <w:rFonts w:eastAsia="Arial" w:cs="Arial"/>
        </w:rPr>
        <w:t>,</w:t>
      </w:r>
      <w:r w:rsidR="0083026A">
        <w:t xml:space="preserve"> </w:t>
      </w:r>
      <w:r w:rsidR="00010185">
        <w:t>bu</w:t>
      </w:r>
      <w:r w:rsidR="001F5C90">
        <w:t xml:space="preserve">t </w:t>
      </w:r>
      <w:proofErr w:type="gramStart"/>
      <w:r w:rsidR="00BC791F">
        <w:t>in an effort to</w:t>
      </w:r>
      <w:proofErr w:type="gramEnd"/>
      <w:r w:rsidR="00BC791F">
        <w:t xml:space="preserve"> </w:t>
      </w:r>
      <w:r w:rsidR="001F5C90">
        <w:t xml:space="preserve">join up </w:t>
      </w:r>
      <w:r w:rsidR="00010185">
        <w:t>e</w:t>
      </w:r>
      <w:r w:rsidR="0083026A" w:rsidRPr="3030E45D">
        <w:rPr>
          <w:rFonts w:eastAsia="Arial" w:cs="Arial"/>
        </w:rPr>
        <w:t>conomic development and public health strategies</w:t>
      </w:r>
      <w:r w:rsidR="001F5C90">
        <w:rPr>
          <w:rFonts w:eastAsia="Arial" w:cs="Arial"/>
        </w:rPr>
        <w:t>,</w:t>
      </w:r>
      <w:r w:rsidR="00010185">
        <w:rPr>
          <w:rFonts w:eastAsia="Arial" w:cs="Arial"/>
        </w:rPr>
        <w:t xml:space="preserve"> </w:t>
      </w:r>
      <w:r w:rsidR="0083026A" w:rsidRPr="3030E45D">
        <w:rPr>
          <w:lang w:eastAsia="en-GB"/>
        </w:rPr>
        <w:t xml:space="preserve">Public Health Scotland has </w:t>
      </w:r>
      <w:r w:rsidR="00CF0ACB">
        <w:rPr>
          <w:lang w:eastAsia="en-GB"/>
        </w:rPr>
        <w:t xml:space="preserve">recently </w:t>
      </w:r>
      <w:r w:rsidR="0083026A" w:rsidRPr="3030E45D">
        <w:rPr>
          <w:lang w:eastAsia="en-GB"/>
        </w:rPr>
        <w:t>collaborated with the Glasgow City Region to integrate health into regional economic decisions. Ensuring healthy homes and ending homelessness are key policy priorities in many countries aiming to equalize living conditions. New Zealand's Healthy Homes Initiative provides an example of a sustained government-led partnership on housing. Finland is the only European country to have seen a decline in the number of people who are homeless and is considered a world leader in implementation of the Housing First approach.</w:t>
      </w:r>
    </w:p>
    <w:p w14:paraId="67F52E84" w14:textId="4FA1D4B1" w:rsidR="00A0231D" w:rsidRPr="000B39F1" w:rsidRDefault="00F81421" w:rsidP="0083026A">
      <w:pPr>
        <w:rPr>
          <w:rFonts w:asciiTheme="minorHAnsi" w:hAnsiTheme="minorHAnsi"/>
          <w:color w:val="FFFFFF" w:themeColor="background1"/>
          <w:sz w:val="32"/>
          <w:szCs w:val="32"/>
        </w:rPr>
      </w:pPr>
      <w:r w:rsidRPr="000B39F1">
        <w:rPr>
          <w:rFonts w:asciiTheme="minorHAnsi" w:hAnsiTheme="minorHAnsi"/>
          <w:color w:val="FFFFFF" w:themeColor="background1"/>
          <w:sz w:val="32"/>
          <w:szCs w:val="32"/>
        </w:rPr>
        <w:t xml:space="preserve">Social </w:t>
      </w:r>
      <w:r w:rsidR="000B39F1">
        <w:rPr>
          <w:rFonts w:asciiTheme="minorHAnsi" w:hAnsiTheme="minorHAnsi"/>
          <w:color w:val="FFFFFF" w:themeColor="background1"/>
          <w:sz w:val="32"/>
          <w:szCs w:val="32"/>
        </w:rPr>
        <w:t>&amp;</w:t>
      </w:r>
      <w:r w:rsidRPr="000B39F1">
        <w:rPr>
          <w:rFonts w:asciiTheme="minorHAnsi" w:hAnsiTheme="minorHAnsi"/>
          <w:color w:val="FFFFFF" w:themeColor="background1"/>
          <w:sz w:val="32"/>
          <w:szCs w:val="32"/>
        </w:rPr>
        <w:t xml:space="preserve"> Human </w:t>
      </w:r>
      <w:r w:rsidR="002946F9" w:rsidRPr="000B39F1">
        <w:rPr>
          <w:rFonts w:asciiTheme="minorHAnsi" w:hAnsiTheme="minorHAnsi"/>
          <w:color w:val="FFFFFF" w:themeColor="background1"/>
          <w:sz w:val="32"/>
          <w:szCs w:val="32"/>
        </w:rPr>
        <w:t>C</w:t>
      </w:r>
      <w:r w:rsidRPr="000B39F1">
        <w:rPr>
          <w:rFonts w:asciiTheme="minorHAnsi" w:hAnsiTheme="minorHAnsi"/>
          <w:color w:val="FFFFFF" w:themeColor="background1"/>
          <w:sz w:val="32"/>
          <w:szCs w:val="32"/>
        </w:rPr>
        <w:t>apital</w:t>
      </w:r>
    </w:p>
    <w:p w14:paraId="47F79992" w14:textId="59B9CD1F" w:rsidR="0083026A" w:rsidRPr="00633A4F" w:rsidRDefault="00F4798E" w:rsidP="0083026A">
      <w:pPr>
        <w:rPr>
          <w:lang w:eastAsia="en-GB"/>
        </w:rPr>
      </w:pPr>
      <w:r w:rsidRPr="00A0231D">
        <w:rPr>
          <w:rFonts w:asciiTheme="minorHAnsi" w:hAnsiTheme="minorHAnsi"/>
          <w:noProof/>
          <w:color w:val="FFFFFF" w:themeColor="background1"/>
          <w:sz w:val="32"/>
          <w:szCs w:val="32"/>
        </w:rPr>
        <mc:AlternateContent>
          <mc:Choice Requires="wps">
            <w:drawing>
              <wp:anchor distT="0" distB="0" distL="114300" distR="114300" simplePos="0" relativeHeight="251658246" behindDoc="1" locked="0" layoutInCell="1" allowOverlap="1" wp14:anchorId="7C42E0C3" wp14:editId="0F9D276D">
                <wp:simplePos x="0" y="0"/>
                <wp:positionH relativeFrom="margin">
                  <wp:posOffset>-913765</wp:posOffset>
                </wp:positionH>
                <wp:positionV relativeFrom="paragraph">
                  <wp:posOffset>1028065</wp:posOffset>
                </wp:positionV>
                <wp:extent cx="6768000" cy="320040"/>
                <wp:effectExtent l="0" t="0" r="0" b="3810"/>
                <wp:wrapNone/>
                <wp:docPr id="1255620302" name="Rectangle 1"/>
                <wp:cNvGraphicFramePr/>
                <a:graphic xmlns:a="http://schemas.openxmlformats.org/drawingml/2006/main">
                  <a:graphicData uri="http://schemas.microsoft.com/office/word/2010/wordprocessingShape">
                    <wps:wsp>
                      <wps:cNvSpPr/>
                      <wps:spPr>
                        <a:xfrm>
                          <a:off x="0" y="0"/>
                          <a:ext cx="6768000" cy="320040"/>
                        </a:xfrm>
                        <a:prstGeom prst="rect">
                          <a:avLst/>
                        </a:prstGeom>
                        <a:solidFill>
                          <a:srgbClr val="3AABE2"/>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53AF9F" id="Rectangle 1" o:spid="_x0000_s1026" style="position:absolute;margin-left:-71.95pt;margin-top:80.95pt;width:532.9pt;height:25.2pt;z-index:-25165823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" fillcolor="#3aabe2" stroked="f" strokeweight="1pt">
                <w10:wrap anchorx="margin"/>
              </v:rect>
            </w:pict>
          </mc:Fallback>
        </mc:AlternateContent>
      </w:r>
      <w:r w:rsidR="00E75F1D">
        <w:t>S</w:t>
      </w:r>
      <w:r w:rsidR="00F81421">
        <w:t>ocial and human capital</w:t>
      </w:r>
      <w:r w:rsidR="0083026A">
        <w:t xml:space="preserve"> form part of the W</w:t>
      </w:r>
      <w:r w:rsidR="00E75F1D">
        <w:t>orld Health Organization’s</w:t>
      </w:r>
      <w:r w:rsidR="0083026A">
        <w:t xml:space="preserve"> four well-being capitals </w:t>
      </w:r>
      <w:r w:rsidR="00E75F1D">
        <w:t>and</w:t>
      </w:r>
      <w:r w:rsidR="0083026A">
        <w:t xml:space="preserve"> are considered vital for achieving inclusive and sustainable development.</w:t>
      </w:r>
      <w:r w:rsidR="0083026A" w:rsidRPr="3030E45D">
        <w:rPr>
          <w:lang w:eastAsia="en-GB"/>
        </w:rPr>
        <w:t xml:space="preserve"> Wales, along with Finland, Iceland and Scotland have all committed to making progress towards a Well-being Economy and moving beyond GDP and economic growth as markers of progress.</w:t>
      </w:r>
    </w:p>
    <w:p w14:paraId="4EFC4757" w14:textId="7CF701F4" w:rsidR="00A0231D" w:rsidRPr="000B39F1" w:rsidRDefault="0083026A" w:rsidP="0083026A">
      <w:pPr>
        <w:rPr>
          <w:rFonts w:asciiTheme="minorHAnsi" w:hAnsiTheme="minorHAnsi"/>
          <w:color w:val="FFFFFF" w:themeColor="background1"/>
          <w:sz w:val="32"/>
          <w:szCs w:val="32"/>
        </w:rPr>
      </w:pPr>
      <w:r w:rsidRPr="000B39F1">
        <w:rPr>
          <w:rFonts w:asciiTheme="minorHAnsi" w:hAnsiTheme="minorHAnsi"/>
          <w:color w:val="FFFFFF" w:themeColor="background1"/>
          <w:sz w:val="32"/>
          <w:szCs w:val="32"/>
        </w:rPr>
        <w:t xml:space="preserve">Employment </w:t>
      </w:r>
      <w:r w:rsidR="000B39F1">
        <w:rPr>
          <w:rFonts w:asciiTheme="minorHAnsi" w:hAnsiTheme="minorHAnsi"/>
          <w:color w:val="FFFFFF" w:themeColor="background1"/>
          <w:sz w:val="32"/>
          <w:szCs w:val="32"/>
        </w:rPr>
        <w:t>&amp;</w:t>
      </w:r>
      <w:r w:rsidRPr="000B39F1">
        <w:rPr>
          <w:rFonts w:asciiTheme="minorHAnsi" w:hAnsiTheme="minorHAnsi"/>
          <w:color w:val="FFFFFF" w:themeColor="background1"/>
          <w:sz w:val="32"/>
          <w:szCs w:val="32"/>
        </w:rPr>
        <w:t xml:space="preserve"> Working Conditions</w:t>
      </w:r>
    </w:p>
    <w:p w14:paraId="00CB4ED5" w14:textId="6B696A11" w:rsidR="0083026A" w:rsidRPr="00633A4F" w:rsidRDefault="000B39F1" w:rsidP="0083026A">
      <w:r>
        <w:t>L</w:t>
      </w:r>
      <w:r w:rsidR="0083026A" w:rsidRPr="3030E45D">
        <w:t>abour and employment practices are a key factor in the commercial determinants of health and escalating health harms. Government policies can support c</w:t>
      </w:r>
      <w:r w:rsidR="0083026A">
        <w:t xml:space="preserve">ollective bargaining to improve labour and employment practices, and Belgium, Iceland, Finland, and Slovenia have maintained high rates of union coverage against declines elsewhere. </w:t>
      </w:r>
      <w:r w:rsidR="00E6409C">
        <w:t xml:space="preserve">New Zealand’s </w:t>
      </w:r>
      <w:r w:rsidR="0083026A">
        <w:t>attempt to introduce sector-wide collective bargaining through the Fair Pay Agreements Act</w:t>
      </w:r>
      <w:r w:rsidR="00277AE8">
        <w:t xml:space="preserve"> </w:t>
      </w:r>
      <w:r w:rsidR="0083026A">
        <w:t xml:space="preserve">provides a further example of government action. Ill health is a large driver of economic inactivity across the UK and there is a need for policy interventions that </w:t>
      </w:r>
      <w:r w:rsidR="0083026A" w:rsidRPr="3030E45D">
        <w:t xml:space="preserve">focus on protecting those at risk of leaving </w:t>
      </w:r>
      <w:r w:rsidR="0083026A" w:rsidRPr="3030E45D">
        <w:lastRenderedPageBreak/>
        <w:t>employment for health reasons and helping those who want to return to work</w:t>
      </w:r>
      <w:r w:rsidR="0083026A">
        <w:t xml:space="preserve">. Finland's integrated employment and health services ‘one-stop-shop' model provides an example of policy in this area which is jointly funded by the </w:t>
      </w:r>
      <w:r w:rsidR="0083026A" w:rsidRPr="3030E45D">
        <w:t xml:space="preserve">employment services </w:t>
      </w:r>
      <w:r w:rsidR="00277AE8" w:rsidRPr="00A0231D">
        <w:rPr>
          <w:rFonts w:asciiTheme="minorHAnsi" w:hAnsiTheme="minorHAnsi"/>
          <w:noProof/>
          <w:color w:val="FFFFFF" w:themeColor="background1"/>
          <w:sz w:val="32"/>
          <w:szCs w:val="32"/>
        </w:rPr>
        <mc:AlternateContent>
          <mc:Choice Requires="wps">
            <w:drawing>
              <wp:anchor distT="0" distB="0" distL="114300" distR="114300" simplePos="0" relativeHeight="251658247" behindDoc="1" locked="0" layoutInCell="1" allowOverlap="1" wp14:anchorId="21662E03" wp14:editId="57747283">
                <wp:simplePos x="0" y="0"/>
                <wp:positionH relativeFrom="margin">
                  <wp:posOffset>-911225</wp:posOffset>
                </wp:positionH>
                <wp:positionV relativeFrom="paragraph">
                  <wp:posOffset>839749</wp:posOffset>
                </wp:positionV>
                <wp:extent cx="6768000" cy="320040"/>
                <wp:effectExtent l="0" t="0" r="0" b="3810"/>
                <wp:wrapNone/>
                <wp:docPr id="2126095333" name="Rectangle 1"/>
                <wp:cNvGraphicFramePr/>
                <a:graphic xmlns:a="http://schemas.openxmlformats.org/drawingml/2006/main">
                  <a:graphicData uri="http://schemas.microsoft.com/office/word/2010/wordprocessingShape">
                    <wps:wsp>
                      <wps:cNvSpPr/>
                      <wps:spPr>
                        <a:xfrm>
                          <a:off x="0" y="0"/>
                          <a:ext cx="6768000" cy="320040"/>
                        </a:xfrm>
                        <a:prstGeom prst="rect">
                          <a:avLst/>
                        </a:prstGeom>
                        <a:solidFill>
                          <a:schemeClr val="accent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EFA08D" id="Rectangle 1" o:spid="_x0000_s1026" style="position:absolute;margin-left:-71.75pt;margin-top:66.1pt;width:532.9pt;height:25.2pt;z-index:-25165823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" fillcolor="#156082 [3204]" stroked="f" strokeweight="1pt">
                <w10:wrap anchorx="margin"/>
              </v:rect>
            </w:pict>
          </mc:Fallback>
        </mc:AlternateContent>
      </w:r>
      <w:r w:rsidR="0083026A" w:rsidRPr="3030E45D">
        <w:t>and local health and social services.</w:t>
      </w:r>
    </w:p>
    <w:p w14:paraId="7578DBFB" w14:textId="033A332C" w:rsidR="00EA1C11" w:rsidRPr="000B39F1" w:rsidRDefault="00CA24E6" w:rsidP="0083026A">
      <w:pPr>
        <w:rPr>
          <w:rFonts w:asciiTheme="minorHAnsi" w:eastAsia="Arial" w:hAnsiTheme="minorHAnsi" w:cs="Arial"/>
          <w:color w:val="FFFFFF" w:themeColor="background1"/>
          <w:sz w:val="32"/>
          <w:szCs w:val="32"/>
        </w:rPr>
      </w:pPr>
      <w:r w:rsidRPr="000B39F1">
        <w:rPr>
          <w:rFonts w:asciiTheme="minorHAnsi" w:eastAsia="Arial" w:hAnsiTheme="minorHAnsi" w:cs="Arial"/>
          <w:color w:val="FFFFFF" w:themeColor="background1"/>
          <w:sz w:val="32"/>
          <w:szCs w:val="32"/>
        </w:rPr>
        <w:t>E</w:t>
      </w:r>
      <w:r w:rsidRPr="000B39F1">
        <w:rPr>
          <w:rFonts w:asciiTheme="minorHAnsi" w:hAnsiTheme="minorHAnsi"/>
          <w:color w:val="FFFFFF" w:themeColor="background1"/>
          <w:sz w:val="32"/>
          <w:szCs w:val="32"/>
        </w:rPr>
        <w:t xml:space="preserve">arly years, Childhood, </w:t>
      </w:r>
      <w:r w:rsidR="000B39F1">
        <w:rPr>
          <w:rFonts w:asciiTheme="minorHAnsi" w:hAnsiTheme="minorHAnsi"/>
          <w:color w:val="FFFFFF" w:themeColor="background1"/>
          <w:sz w:val="32"/>
          <w:szCs w:val="32"/>
        </w:rPr>
        <w:t>&amp;</w:t>
      </w:r>
      <w:r w:rsidRPr="000B39F1">
        <w:rPr>
          <w:rFonts w:asciiTheme="minorHAnsi" w:hAnsiTheme="minorHAnsi"/>
          <w:color w:val="FFFFFF" w:themeColor="background1"/>
          <w:sz w:val="32"/>
          <w:szCs w:val="32"/>
        </w:rPr>
        <w:t xml:space="preserve"> Adolescence</w:t>
      </w:r>
    </w:p>
    <w:p w14:paraId="129BFE39" w14:textId="14C17C75" w:rsidR="0083026A" w:rsidRPr="005B4954" w:rsidRDefault="0083026A" w:rsidP="0083026A">
      <w:pPr>
        <w:rPr>
          <w:lang w:eastAsia="en-GB"/>
        </w:rPr>
      </w:pPr>
      <w:r w:rsidRPr="3030E45D">
        <w:rPr>
          <w:lang w:eastAsia="en-GB"/>
        </w:rPr>
        <w:t xml:space="preserve">In countries including Wales, Scotland, and Ireland, integrated policy frameworks and whole-of-government approaches are a key feature of plans to support child wellbeing. Early childhood education and care policies are seen as crucial for advancing </w:t>
      </w:r>
      <w:r w:rsidRPr="3030E45D">
        <w:rPr>
          <w:rFonts w:eastAsia="Arial" w:cs="Arial"/>
        </w:rPr>
        <w:t xml:space="preserve">equity in child health and development outcomes. </w:t>
      </w:r>
      <w:r w:rsidRPr="3030E45D">
        <w:rPr>
          <w:lang w:eastAsia="en-GB"/>
        </w:rPr>
        <w:t xml:space="preserve">Slovenia and Finland have recently implemented a legal entitlement to </w:t>
      </w:r>
      <w:r w:rsidR="00D00DBD">
        <w:rPr>
          <w:lang w:eastAsia="en-GB"/>
        </w:rPr>
        <w:t>e</w:t>
      </w:r>
      <w:r w:rsidR="00D00DBD" w:rsidRPr="3030E45D">
        <w:rPr>
          <w:lang w:eastAsia="en-GB"/>
        </w:rPr>
        <w:t xml:space="preserve">arly childhood education and care </w:t>
      </w:r>
      <w:r w:rsidRPr="3030E45D">
        <w:rPr>
          <w:lang w:eastAsia="en-GB"/>
        </w:rPr>
        <w:t>following the end of paid parental leave and have an integrated approach based on a unitary system.</w:t>
      </w:r>
    </w:p>
    <w:p w14:paraId="06C25213" w14:textId="5DD046B4" w:rsidR="0083026A" w:rsidRPr="000B39F1" w:rsidRDefault="00277AE8" w:rsidP="00D00DBD">
      <w:pPr>
        <w:pStyle w:val="Heading2"/>
        <w:numPr>
          <w:ilvl w:val="0"/>
          <w:numId w:val="0"/>
        </w:numPr>
        <w:ind w:left="576" w:hanging="576"/>
        <w:rPr>
          <w:rFonts w:ascii="Aptos SemiBold" w:hAnsi="Aptos SemiBold"/>
          <w:color w:val="FFFFFF" w:themeColor="background1"/>
        </w:rPr>
      </w:pPr>
      <w:r>
        <w:rPr>
          <w:rFonts w:ascii="Roboto" w:hAnsi="Roboto"/>
          <w:noProof/>
          <w:sz w:val="72"/>
          <w:szCs w:val="72"/>
        </w:rPr>
        <mc:AlternateContent>
          <mc:Choice Requires="wps">
            <w:drawing>
              <wp:anchor distT="0" distB="0" distL="114300" distR="114300" simplePos="0" relativeHeight="251658248" behindDoc="1" locked="0" layoutInCell="1" allowOverlap="1" wp14:anchorId="719E3B4D" wp14:editId="0C1957CF">
                <wp:simplePos x="0" y="0"/>
                <wp:positionH relativeFrom="margin">
                  <wp:posOffset>-914400</wp:posOffset>
                </wp:positionH>
                <wp:positionV relativeFrom="paragraph">
                  <wp:posOffset>-6350</wp:posOffset>
                </wp:positionV>
                <wp:extent cx="6767830" cy="2819400"/>
                <wp:effectExtent l="0" t="0" r="0" b="0"/>
                <wp:wrapNone/>
                <wp:docPr id="445368807" name="Rectangle 1"/>
                <wp:cNvGraphicFramePr/>
                <a:graphic xmlns:a="http://schemas.openxmlformats.org/drawingml/2006/main">
                  <a:graphicData uri="http://schemas.microsoft.com/office/word/2010/wordprocessingShape">
                    <wps:wsp>
                      <wps:cNvSpPr/>
                      <wps:spPr>
                        <a:xfrm>
                          <a:off x="0" y="0"/>
                          <a:ext cx="6767830" cy="2819400"/>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F8588D" id="Rectangle 1" o:spid="_x0000_s1026" style="position:absolute;margin-left:-1in;margin-top:-.5pt;width:532.9pt;height:222pt;z-index:-251658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" fillcolor="#156082 [3204]" stroked="f" strokeweight="1pt">
                <w10:wrap anchorx="margin"/>
              </v:rect>
            </w:pict>
          </mc:Fallback>
        </mc:AlternateContent>
      </w:r>
      <w:r w:rsidR="00D00DBD" w:rsidRPr="000B39F1">
        <w:rPr>
          <w:rFonts w:ascii="Aptos SemiBold" w:hAnsi="Aptos SemiBold"/>
          <w:color w:val="FFFFFF" w:themeColor="background1"/>
        </w:rPr>
        <w:t>Learning opportunities for Wales</w:t>
      </w:r>
    </w:p>
    <w:p w14:paraId="5D1B86ED" w14:textId="3D265219" w:rsidR="00D00DBD" w:rsidRPr="008153A1" w:rsidRDefault="00D00DBD" w:rsidP="00D00DBD">
      <w:pPr>
        <w:pStyle w:val="ListParagraph"/>
        <w:numPr>
          <w:ilvl w:val="0"/>
          <w:numId w:val="17"/>
        </w:numPr>
        <w:rPr>
          <w:color w:val="FFFFFF" w:themeColor="background1"/>
        </w:rPr>
      </w:pPr>
      <w:r w:rsidRPr="008153A1">
        <w:rPr>
          <w:color w:val="FFFFFF" w:themeColor="background1"/>
        </w:rPr>
        <w:t>With the development of the Public Health Wales framework for a system leadership role in healthcare public health (Public Health Wales, 2023). There is the potential to learn from the policy actions in Slovenia, Iceland, and Ireland about the development of health promotion and prevention services at a local level and the structures needed to support intersectoral working.</w:t>
      </w:r>
    </w:p>
    <w:p w14:paraId="47AD58E2" w14:textId="583DFCE3" w:rsidR="008153A1" w:rsidRDefault="00D00DBD" w:rsidP="008153A1">
      <w:pPr>
        <w:pStyle w:val="ListParagraph"/>
        <w:numPr>
          <w:ilvl w:val="0"/>
          <w:numId w:val="17"/>
        </w:numPr>
        <w:rPr>
          <w:color w:val="FFFFFF" w:themeColor="background1"/>
        </w:rPr>
      </w:pPr>
      <w:r w:rsidRPr="008153A1">
        <w:rPr>
          <w:color w:val="FFFFFF" w:themeColor="background1"/>
        </w:rPr>
        <w:t>There may be opportunities to learn from the collaboration between Public Health Scotland and Glasgow City Region (Winterbottom, 2023) to guide the greater involvement of public health in regional economic policy development and delivery in Wales.</w:t>
      </w:r>
    </w:p>
    <w:p w14:paraId="19001150" w14:textId="44CF1731" w:rsidR="00D00DBD" w:rsidRPr="008153A1" w:rsidRDefault="00D00DBD" w:rsidP="008153A1">
      <w:pPr>
        <w:pStyle w:val="ListParagraph"/>
        <w:numPr>
          <w:ilvl w:val="0"/>
          <w:numId w:val="17"/>
        </w:numPr>
        <w:rPr>
          <w:color w:val="FFFFFF" w:themeColor="background1"/>
        </w:rPr>
      </w:pPr>
      <w:r w:rsidRPr="008153A1">
        <w:rPr>
          <w:color w:val="FFFFFF" w:themeColor="background1"/>
        </w:rPr>
        <w:t>With the call to co-create a vision for housing in Wales (Future Generations Commissioner for Wales, 2024), there are opportunities to put health at the centre of housing policy</w:t>
      </w:r>
      <w:r>
        <w:t>.</w:t>
      </w:r>
    </w:p>
    <w:p w14:paraId="01D2A117" w14:textId="061B3BD5" w:rsidR="00D00DBD" w:rsidRDefault="00D00DBD" w:rsidP="00D00DBD">
      <w:pPr>
        <w:pStyle w:val="Heading2"/>
        <w:numPr>
          <w:ilvl w:val="0"/>
          <w:numId w:val="0"/>
        </w:numPr>
        <w:ind w:left="576" w:hanging="576"/>
      </w:pPr>
      <w:r>
        <w:t>Conclusion</w:t>
      </w:r>
    </w:p>
    <w:p w14:paraId="05735144" w14:textId="2B7DBE6F" w:rsidR="00F977FE" w:rsidRDefault="00587C9F" w:rsidP="00D2052C">
      <w:r w:rsidRPr="007F4ECA">
        <w:t xml:space="preserve">The international data </w:t>
      </w:r>
      <w:r>
        <w:t>highlights</w:t>
      </w:r>
      <w:r w:rsidRPr="007F4ECA">
        <w:t xml:space="preserve"> </w:t>
      </w:r>
      <w:r>
        <w:t>the</w:t>
      </w:r>
      <w:r w:rsidRPr="007F4ECA">
        <w:t xml:space="preserve"> persistent and complex nature</w:t>
      </w:r>
      <w:r>
        <w:t xml:space="preserve"> of </w:t>
      </w:r>
      <w:r w:rsidRPr="007F4ECA">
        <w:t xml:space="preserve">health inequalities, particularly those driven by socioeconomic factors. Despite various strategies and policies, significant </w:t>
      </w:r>
      <w:r w:rsidR="00F977FE">
        <w:t>differences</w:t>
      </w:r>
      <w:r w:rsidRPr="007F4ECA">
        <w:t xml:space="preserve"> in health outcomes remain</w:t>
      </w:r>
      <w:r w:rsidR="001B68B8">
        <w:t xml:space="preserve"> across </w:t>
      </w:r>
      <w:r w:rsidR="00F977FE">
        <w:t xml:space="preserve">population groups in </w:t>
      </w:r>
      <w:r w:rsidR="001B68B8">
        <w:t>high-income countries</w:t>
      </w:r>
      <w:r w:rsidRPr="007F4ECA">
        <w:t>, exacerbated by recent challenges such as the</w:t>
      </w:r>
      <w:r w:rsidR="00F977FE">
        <w:t xml:space="preserve"> responses to the global financial crisis and the</w:t>
      </w:r>
      <w:r w:rsidRPr="007F4ECA">
        <w:t xml:space="preserve"> COVID-19 pandemic.</w:t>
      </w:r>
      <w:r>
        <w:t xml:space="preserve"> </w:t>
      </w:r>
    </w:p>
    <w:p w14:paraId="07A088F9" w14:textId="2E3B4A98" w:rsidR="00303B78" w:rsidRDefault="00587C9F" w:rsidP="00D2052C">
      <w:r w:rsidRPr="00FE75A5">
        <w:t xml:space="preserve">The key findings from this report highlight the </w:t>
      </w:r>
      <w:r>
        <w:t>need for</w:t>
      </w:r>
      <w:r w:rsidRPr="00FE75A5">
        <w:t xml:space="preserve"> comprehensive</w:t>
      </w:r>
      <w:r>
        <w:t xml:space="preserve"> and</w:t>
      </w:r>
      <w:r w:rsidRPr="00FE75A5">
        <w:t xml:space="preserve"> multi-faceted policy approaches to address health inequalities. The </w:t>
      </w:r>
      <w:r>
        <w:t>evidence highlights the</w:t>
      </w:r>
      <w:r w:rsidRPr="00FE75A5">
        <w:t xml:space="preserve"> </w:t>
      </w:r>
      <w:r>
        <w:t xml:space="preserve">importance of </w:t>
      </w:r>
      <w:r w:rsidRPr="00FE75A5">
        <w:t>preserving equitable healthcare access, expand</w:t>
      </w:r>
      <w:r>
        <w:t>ing</w:t>
      </w:r>
      <w:r w:rsidRPr="00FE75A5">
        <w:t xml:space="preserve"> the welfare state, and targeting health-related behaviours through coordinated </w:t>
      </w:r>
      <w:r w:rsidR="00277FBD">
        <w:t xml:space="preserve">intersectoral </w:t>
      </w:r>
      <w:r w:rsidRPr="00FE75A5">
        <w:t xml:space="preserve">strategies. By learning from international examples and adapting successful policies, Wales can </w:t>
      </w:r>
      <w:r>
        <w:t>work towards effective actions to</w:t>
      </w:r>
      <w:r w:rsidRPr="00FE75A5">
        <w:t xml:space="preserve"> reducing health inequalities and improving overall population health</w:t>
      </w:r>
      <w:r w:rsidR="00F22EF5">
        <w:t xml:space="preserve"> and wellbeing</w:t>
      </w:r>
      <w:r w:rsidRPr="00FE75A5">
        <w:t>.</w:t>
      </w:r>
      <w:r>
        <w:t xml:space="preserve"> A</w:t>
      </w:r>
      <w:r w:rsidRPr="00FE75A5">
        <w:t>ddressing health inequalities requires high-level political will, strong intersectoral collaboration, and a commitment to long-term, sustainable policy actions. These efforts will not only improve health outcomes but also contribute to a more equitable and just society.</w:t>
      </w:r>
    </w:p>
    <w:p w14:paraId="056385BA" w14:textId="53FBCBE1" w:rsidR="0083026A" w:rsidRPr="003270CD" w:rsidRDefault="0083026A" w:rsidP="00D2052C">
      <w:pPr>
        <w:sectPr w:rsidR="0083026A" w:rsidRPr="003270CD">
          <w:pgSz w:w="11906" w:h="16838"/>
          <w:pgMar w:top="1440" w:right="1440" w:bottom="1440" w:left="1440" w:header="708" w:footer="708" w:gutter="0"/>
          <w:cols w:space="708"/>
          <w:docGrid w:linePitch="360"/>
        </w:sectPr>
      </w:pPr>
    </w:p>
    <w:p w14:paraId="67833181" w14:textId="67F638B4" w:rsidR="00667F52" w:rsidRDefault="00667F52" w:rsidP="00971227">
      <w:pPr>
        <w:pStyle w:val="Heading1"/>
      </w:pPr>
      <w:bookmarkStart w:id="2" w:name="_Toc189563138"/>
      <w:r>
        <w:lastRenderedPageBreak/>
        <w:t>Introduction</w:t>
      </w:r>
      <w:bookmarkEnd w:id="0"/>
      <w:bookmarkEnd w:id="2"/>
    </w:p>
    <w:p w14:paraId="1E81D53C" w14:textId="67889AF7" w:rsidR="007A2763" w:rsidRDefault="00A9066B" w:rsidP="007A2763">
      <w:pPr>
        <w:pStyle w:val="Heading2"/>
      </w:pPr>
      <w:bookmarkStart w:id="3" w:name="_Toc185516829"/>
      <w:r>
        <w:t>Policy actions to t</w:t>
      </w:r>
      <w:r w:rsidR="00B35DF8">
        <w:t>ackl</w:t>
      </w:r>
      <w:r>
        <w:t>e</w:t>
      </w:r>
      <w:r w:rsidR="00B35DF8">
        <w:t xml:space="preserve"> health inequalities</w:t>
      </w:r>
      <w:bookmarkEnd w:id="3"/>
    </w:p>
    <w:p w14:paraId="0F96939A" w14:textId="50F0977E" w:rsidR="00D8187C" w:rsidRDefault="00E76DD9" w:rsidP="00044D04">
      <w:r>
        <w:t>H</w:t>
      </w:r>
      <w:r w:rsidR="00667F52" w:rsidRPr="00667F52">
        <w:t xml:space="preserve">ealth inequalities are </w:t>
      </w:r>
      <w:r w:rsidR="00D84645">
        <w:t xml:space="preserve">recognised as </w:t>
      </w:r>
      <w:r w:rsidR="00667F52" w:rsidRPr="00667F52">
        <w:t>an issue in most countries around the world</w:t>
      </w:r>
      <w:r w:rsidR="0059090C">
        <w:t>. T</w:t>
      </w:r>
      <w:r w:rsidR="00D84645">
        <w:t>hey</w:t>
      </w:r>
      <w:r w:rsidR="00EC1676">
        <w:t xml:space="preserve"> have become </w:t>
      </w:r>
      <w:r w:rsidR="007864D2">
        <w:t xml:space="preserve">a major concern </w:t>
      </w:r>
      <w:r w:rsidR="007C418A">
        <w:t xml:space="preserve">for policymakers </w:t>
      </w:r>
      <w:r w:rsidR="007864D2">
        <w:t>in recent decades</w:t>
      </w:r>
      <w:r w:rsidR="0059090C">
        <w:t xml:space="preserve"> and m</w:t>
      </w:r>
      <w:r w:rsidR="00D84645">
        <w:t>any</w:t>
      </w:r>
      <w:r w:rsidR="00EC1676" w:rsidRPr="00667F52">
        <w:t xml:space="preserve"> countries have </w:t>
      </w:r>
      <w:r w:rsidR="00D84645">
        <w:t>subsequently</w:t>
      </w:r>
      <w:r w:rsidR="00EC1676">
        <w:t xml:space="preserve"> develop</w:t>
      </w:r>
      <w:r w:rsidR="00D84645">
        <w:t>ed</w:t>
      </w:r>
      <w:r w:rsidR="00EC1676">
        <w:t xml:space="preserve"> comprehensive strategies</w:t>
      </w:r>
      <w:r w:rsidR="00EC1676" w:rsidRPr="00667F52">
        <w:t xml:space="preserve"> to reduce </w:t>
      </w:r>
      <w:r w:rsidR="008C7BD2">
        <w:t xml:space="preserve">the </w:t>
      </w:r>
      <w:r w:rsidR="00A6694A">
        <w:t>differences</w:t>
      </w:r>
      <w:r w:rsidR="00321981" w:rsidRPr="00667F52">
        <w:t xml:space="preserve"> </w:t>
      </w:r>
      <w:r w:rsidR="00AB200B">
        <w:t xml:space="preserve">in health </w:t>
      </w:r>
      <w:r w:rsidR="008C7BD2">
        <w:t xml:space="preserve">seen </w:t>
      </w:r>
      <w:r w:rsidR="00C602E7">
        <w:t xml:space="preserve">across populations with a major focus on tackling socioeconomic </w:t>
      </w:r>
      <w:r w:rsidR="00AB200B" w:rsidRPr="00667F52">
        <w:t>health</w:t>
      </w:r>
      <w:r w:rsidR="00AB200B">
        <w:t xml:space="preserve"> </w:t>
      </w:r>
      <w:r w:rsidR="00C602E7">
        <w:t>inequalities</w:t>
      </w:r>
      <w:r w:rsidR="0059090C">
        <w:t>.</w:t>
      </w:r>
      <w:r w:rsidR="001150E2">
        <w:t xml:space="preserve"> </w:t>
      </w:r>
      <w:r w:rsidR="004115B6">
        <w:t>Through</w:t>
      </w:r>
      <w:r w:rsidR="00D84645">
        <w:t xml:space="preserve"> the 2000s, comprehensive </w:t>
      </w:r>
      <w:r w:rsidR="0059090C">
        <w:t xml:space="preserve">national </w:t>
      </w:r>
      <w:r w:rsidR="00D84645">
        <w:t xml:space="preserve">strategies were developed in </w:t>
      </w:r>
      <w:r w:rsidR="003121E0">
        <w:t>England</w:t>
      </w:r>
      <w:r w:rsidR="00D84645">
        <w:t xml:space="preserve">, </w:t>
      </w:r>
      <w:r w:rsidR="003121E0">
        <w:t xml:space="preserve">the </w:t>
      </w:r>
      <w:r w:rsidR="00D84645">
        <w:t xml:space="preserve">Netherlands and </w:t>
      </w:r>
      <w:r w:rsidR="003121E0">
        <w:t xml:space="preserve">the </w:t>
      </w:r>
      <w:r w:rsidR="001150E2">
        <w:t>Nordic countries</w:t>
      </w:r>
      <w:r w:rsidR="00D84645">
        <w:t xml:space="preserve"> (</w:t>
      </w:r>
      <w:proofErr w:type="spellStart"/>
      <w:r w:rsidR="00D84645">
        <w:t>Mackenbac</w:t>
      </w:r>
      <w:r w:rsidR="00800641">
        <w:t>h</w:t>
      </w:r>
      <w:proofErr w:type="spellEnd"/>
      <w:r w:rsidR="00D84645">
        <w:t xml:space="preserve"> &amp; Bakker, 2003</w:t>
      </w:r>
      <w:r w:rsidR="001150E2">
        <w:t xml:space="preserve">; </w:t>
      </w:r>
      <w:proofErr w:type="spellStart"/>
      <w:r w:rsidR="001150E2">
        <w:t>Macken</w:t>
      </w:r>
      <w:r w:rsidR="00C9112E">
        <w:t>bach</w:t>
      </w:r>
      <w:proofErr w:type="spellEnd"/>
      <w:r w:rsidR="00C9112E">
        <w:t>, 2019</w:t>
      </w:r>
      <w:r w:rsidR="00D84645">
        <w:t>).</w:t>
      </w:r>
      <w:r w:rsidR="00C9112E">
        <w:t xml:space="preserve"> </w:t>
      </w:r>
      <w:r w:rsidR="003D56B8">
        <w:t xml:space="preserve">However, despite </w:t>
      </w:r>
      <w:r w:rsidR="001051BE">
        <w:t xml:space="preserve">this growing </w:t>
      </w:r>
      <w:r w:rsidR="006B035B">
        <w:t>awareness</w:t>
      </w:r>
      <w:r w:rsidR="001051BE">
        <w:t xml:space="preserve"> and </w:t>
      </w:r>
      <w:r w:rsidR="006B035B">
        <w:t xml:space="preserve">progression </w:t>
      </w:r>
      <w:r w:rsidR="00C602E7">
        <w:t>in</w:t>
      </w:r>
      <w:r w:rsidR="006B035B">
        <w:t xml:space="preserve"> </w:t>
      </w:r>
      <w:r w:rsidR="00085348">
        <w:t>action</w:t>
      </w:r>
      <w:r w:rsidR="00C602E7">
        <w:t xml:space="preserve"> on</w:t>
      </w:r>
      <w:r w:rsidR="003D56B8">
        <w:t xml:space="preserve"> </w:t>
      </w:r>
      <w:r w:rsidR="00256BEB">
        <w:t xml:space="preserve">socioeconomic </w:t>
      </w:r>
      <w:r w:rsidR="002F7C10" w:rsidRPr="00667F52">
        <w:t>health inequalities</w:t>
      </w:r>
      <w:r w:rsidR="00C602E7">
        <w:t>, they</w:t>
      </w:r>
      <w:r w:rsidR="002F7C10" w:rsidRPr="00667F52">
        <w:t xml:space="preserve"> </w:t>
      </w:r>
      <w:r w:rsidR="000A0691">
        <w:t>continue to</w:t>
      </w:r>
      <w:r w:rsidR="000D64B4">
        <w:t xml:space="preserve"> </w:t>
      </w:r>
      <w:r w:rsidR="0095692C">
        <w:t>persist and</w:t>
      </w:r>
      <w:r w:rsidR="00782E62">
        <w:t xml:space="preserve"> </w:t>
      </w:r>
      <w:r w:rsidR="001A28FA">
        <w:t xml:space="preserve">have been further exacerbated by the </w:t>
      </w:r>
      <w:r w:rsidR="00CF2757">
        <w:t>COVID-19 pandemic</w:t>
      </w:r>
      <w:r w:rsidR="00C23713">
        <w:t>.</w:t>
      </w:r>
      <w:r w:rsidR="00CD7D83">
        <w:t xml:space="preserve"> </w:t>
      </w:r>
      <w:r w:rsidR="00CC1329" w:rsidRPr="002D4898">
        <w:t>While different policy approaches have been proposed to reduce health inequalities</w:t>
      </w:r>
      <w:r w:rsidR="00CC1329">
        <w:t xml:space="preserve"> and</w:t>
      </w:r>
      <w:r w:rsidR="00EA469A">
        <w:t xml:space="preserve"> much evidence has accumulated</w:t>
      </w:r>
      <w:r w:rsidR="005D0C1F">
        <w:t xml:space="preserve"> about the factors which contribute to </w:t>
      </w:r>
      <w:r w:rsidR="0032768D">
        <w:t xml:space="preserve">socioeconomic </w:t>
      </w:r>
      <w:r w:rsidR="005D0C1F">
        <w:t xml:space="preserve">health inequalities, there is a lack of </w:t>
      </w:r>
      <w:r w:rsidR="00E91EB2">
        <w:t xml:space="preserve">clear </w:t>
      </w:r>
      <w:r w:rsidR="005D0C1F">
        <w:t xml:space="preserve">evidence about which interventions and policies reduce </w:t>
      </w:r>
      <w:r w:rsidR="00CD7D83">
        <w:t>them</w:t>
      </w:r>
      <w:r w:rsidR="005D0C1F">
        <w:t xml:space="preserve"> (Jones et al., 2023; </w:t>
      </w:r>
      <w:proofErr w:type="spellStart"/>
      <w:r w:rsidR="00DF28E8">
        <w:t>Mackenbach</w:t>
      </w:r>
      <w:proofErr w:type="spellEnd"/>
      <w:r w:rsidR="00DF28E8">
        <w:t>, 2019)</w:t>
      </w:r>
      <w:r w:rsidR="00DE616C">
        <w:t>.</w:t>
      </w:r>
    </w:p>
    <w:p w14:paraId="4DD716B1" w14:textId="3F760CD4" w:rsidR="002C256B" w:rsidRDefault="00344DFD" w:rsidP="00044D04">
      <w:r>
        <w:t>R</w:t>
      </w:r>
      <w:r w:rsidR="0050255B">
        <w:t xml:space="preserve">esearchers have </w:t>
      </w:r>
      <w:r>
        <w:t xml:space="preserve">nonetheless </w:t>
      </w:r>
      <w:r w:rsidR="0050255B">
        <w:t xml:space="preserve">attempted to </w:t>
      </w:r>
      <w:r w:rsidR="004878AB">
        <w:t>draw out lessons for polic</w:t>
      </w:r>
      <w:r w:rsidR="0061348D">
        <w:t>y mak</w:t>
      </w:r>
      <w:r w:rsidR="00C602E7">
        <w:t>ers</w:t>
      </w:r>
      <w:r w:rsidR="004878AB">
        <w:t xml:space="preserve">. </w:t>
      </w:r>
      <w:r w:rsidR="0061348D">
        <w:t>For example, u</w:t>
      </w:r>
      <w:r w:rsidR="004878AB">
        <w:t>sing</w:t>
      </w:r>
      <w:r w:rsidR="007B442A">
        <w:t xml:space="preserve"> historical examples</w:t>
      </w:r>
      <w:r w:rsidR="00A93C59">
        <w:t xml:space="preserve"> of </w:t>
      </w:r>
      <w:r w:rsidR="00A93C59" w:rsidRPr="007B442A">
        <w:t xml:space="preserve">health inequalities </w:t>
      </w:r>
      <w:r w:rsidR="00A93C59">
        <w:t>being</w:t>
      </w:r>
      <w:r w:rsidR="00A93C59" w:rsidRPr="007B442A">
        <w:t xml:space="preserve"> reduced at scale</w:t>
      </w:r>
      <w:r w:rsidR="007B442A">
        <w:t xml:space="preserve">, </w:t>
      </w:r>
      <w:r w:rsidR="00BA796E">
        <w:t>Bambra (</w:t>
      </w:r>
      <w:r w:rsidR="00CE14AA">
        <w:t>2022)</w:t>
      </w:r>
      <w:r w:rsidR="008421F5">
        <w:t xml:space="preserve"> </w:t>
      </w:r>
      <w:r w:rsidR="00C602E7">
        <w:t xml:space="preserve">has </w:t>
      </w:r>
      <w:r w:rsidR="007B442A" w:rsidRPr="007B442A">
        <w:t>identif</w:t>
      </w:r>
      <w:r w:rsidR="007B442A">
        <w:t>ied</w:t>
      </w:r>
      <w:r w:rsidR="007B442A" w:rsidRPr="007B442A">
        <w:t xml:space="preserve"> </w:t>
      </w:r>
      <w:r w:rsidR="00BE226C">
        <w:t>three mechanisms</w:t>
      </w:r>
      <w:r w:rsidR="00AC7113">
        <w:t xml:space="preserve"> linked to the reduction of health inequalities</w:t>
      </w:r>
      <w:r w:rsidR="007B442A">
        <w:t xml:space="preserve">: </w:t>
      </w:r>
      <w:r w:rsidR="007B442A" w:rsidRPr="007B442A">
        <w:t>welfare state expansion, improved health care access and enhanced political incorporation</w:t>
      </w:r>
      <w:r w:rsidR="00BE226C">
        <w:t>.</w:t>
      </w:r>
      <w:r w:rsidR="002F4224">
        <w:t xml:space="preserve"> </w:t>
      </w:r>
      <w:proofErr w:type="spellStart"/>
      <w:r w:rsidR="00BB053F">
        <w:t>Mackenbach</w:t>
      </w:r>
      <w:proofErr w:type="spellEnd"/>
      <w:r w:rsidR="00BB053F">
        <w:t xml:space="preserve"> (2019) </w:t>
      </w:r>
      <w:r w:rsidR="00867E01">
        <w:t xml:space="preserve">also </w:t>
      </w:r>
      <w:r w:rsidR="00BC65C7">
        <w:t xml:space="preserve">draws attention to </w:t>
      </w:r>
      <w:r w:rsidR="00B6770C">
        <w:t xml:space="preserve">welfare policy </w:t>
      </w:r>
      <w:r w:rsidR="00BB053F">
        <w:t>suggest</w:t>
      </w:r>
      <w:r w:rsidR="00B6770C">
        <w:t xml:space="preserve">ing </w:t>
      </w:r>
      <w:r w:rsidR="00BB053F">
        <w:t xml:space="preserve">that more should be done in terms of developing conventional welfare policies </w:t>
      </w:r>
      <w:r w:rsidR="00B6770C">
        <w:t>such as</w:t>
      </w:r>
      <w:r w:rsidR="00BB053F">
        <w:t xml:space="preserve"> progressive income taxation, social security safety nets, and social housing policies</w:t>
      </w:r>
      <w:r w:rsidR="00246DC2">
        <w:t>.</w:t>
      </w:r>
      <w:r w:rsidR="0032768D">
        <w:t xml:space="preserve"> </w:t>
      </w:r>
      <w:r w:rsidR="00EB056C">
        <w:t xml:space="preserve">The </w:t>
      </w:r>
      <w:r w:rsidR="002C256B" w:rsidRPr="002C256B">
        <w:t>‘upstream–downstream’ metaphor</w:t>
      </w:r>
      <w:r w:rsidR="00EB056C">
        <w:t xml:space="preserve"> is widely used in discussions of the policy contexts for acting on health inequalities</w:t>
      </w:r>
      <w:r w:rsidR="00044D04">
        <w:t>.</w:t>
      </w:r>
      <w:r w:rsidR="00EB056C">
        <w:t xml:space="preserve"> </w:t>
      </w:r>
      <w:r w:rsidR="00044D04">
        <w:t>The World Health Organi</w:t>
      </w:r>
      <w:r w:rsidR="0058285C">
        <w:t>z</w:t>
      </w:r>
      <w:r w:rsidR="00044D04">
        <w:t>ation</w:t>
      </w:r>
      <w:r w:rsidR="00B14C42">
        <w:t xml:space="preserve"> </w:t>
      </w:r>
      <w:r w:rsidR="0058285C">
        <w:t xml:space="preserve">(WHO) </w:t>
      </w:r>
      <w:r w:rsidR="00044D04">
        <w:t>emphasises</w:t>
      </w:r>
      <w:r w:rsidR="00B14C42">
        <w:t xml:space="preserve"> </w:t>
      </w:r>
      <w:r w:rsidR="00044D04" w:rsidRPr="00044D04">
        <w:t>policy proposals aimed at tackling</w:t>
      </w:r>
      <w:r w:rsidR="000E6C52">
        <w:t xml:space="preserve"> the</w:t>
      </w:r>
      <w:r w:rsidR="00044D04" w:rsidRPr="00044D04">
        <w:t xml:space="preserve"> ‘upstream’ causes of health inequalities</w:t>
      </w:r>
      <w:r w:rsidR="000C295C">
        <w:t xml:space="preserve"> (</w:t>
      </w:r>
      <w:r w:rsidR="006D5E81">
        <w:t xml:space="preserve">such </w:t>
      </w:r>
      <w:r w:rsidR="00092282">
        <w:t xml:space="preserve">as </w:t>
      </w:r>
      <w:r w:rsidR="00CE60C0">
        <w:t xml:space="preserve">income, </w:t>
      </w:r>
      <w:r w:rsidR="00614C11">
        <w:t>education</w:t>
      </w:r>
      <w:r w:rsidR="00092282">
        <w:t>,</w:t>
      </w:r>
      <w:r w:rsidR="00614C11">
        <w:t xml:space="preserve"> </w:t>
      </w:r>
      <w:r w:rsidR="007E6383">
        <w:t xml:space="preserve">and </w:t>
      </w:r>
      <w:r w:rsidR="009410CF">
        <w:t>employment</w:t>
      </w:r>
      <w:r w:rsidR="006D5E81">
        <w:t>)</w:t>
      </w:r>
      <w:r w:rsidR="00044D04">
        <w:t xml:space="preserve"> </w:t>
      </w:r>
      <w:r w:rsidR="00D84A65">
        <w:t xml:space="preserve">but </w:t>
      </w:r>
      <w:proofErr w:type="spellStart"/>
      <w:r w:rsidR="00D84A65">
        <w:t>Mackenbach</w:t>
      </w:r>
      <w:proofErr w:type="spellEnd"/>
      <w:r w:rsidR="00D84A65">
        <w:t xml:space="preserve"> (2019) argues that </w:t>
      </w:r>
      <w:r w:rsidR="00D84A65" w:rsidRPr="004C0C0A">
        <w:t>inequalities</w:t>
      </w:r>
      <w:r w:rsidR="00D84A65" w:rsidRPr="000E6C52">
        <w:t xml:space="preserve"> </w:t>
      </w:r>
      <w:r w:rsidR="00D84A65" w:rsidRPr="004C0C0A">
        <w:t>in exposure to ‘downstream’ risk factors</w:t>
      </w:r>
      <w:r w:rsidR="00D84A65" w:rsidRPr="000E6C52">
        <w:t xml:space="preserve">, </w:t>
      </w:r>
      <w:r w:rsidR="00D84A65" w:rsidRPr="004C0C0A">
        <w:t>such as specific working and housing conditions and</w:t>
      </w:r>
      <w:r w:rsidR="00D84A65" w:rsidRPr="000E6C52">
        <w:t xml:space="preserve"> health-related behaviours</w:t>
      </w:r>
      <w:r w:rsidR="001B0C62" w:rsidRPr="000E6C52">
        <w:t xml:space="preserve"> including smoking and alcohol consumption</w:t>
      </w:r>
      <w:r w:rsidR="0032768D">
        <w:t xml:space="preserve"> should </w:t>
      </w:r>
      <w:r w:rsidR="00D84A65" w:rsidRPr="000E6C52">
        <w:t xml:space="preserve">also be specifically </w:t>
      </w:r>
      <w:r w:rsidR="00D84A65" w:rsidRPr="00651220">
        <w:t xml:space="preserve">targeted </w:t>
      </w:r>
      <w:r w:rsidR="00523630">
        <w:t>in</w:t>
      </w:r>
      <w:r w:rsidR="00D84A65" w:rsidRPr="00651220">
        <w:t xml:space="preserve"> policy</w:t>
      </w:r>
      <w:r w:rsidR="00D84A65" w:rsidRPr="000E6C52">
        <w:t>.</w:t>
      </w:r>
      <w:r w:rsidR="0058285C">
        <w:t xml:space="preserve"> </w:t>
      </w:r>
    </w:p>
    <w:p w14:paraId="6341E7F2" w14:textId="3AAB9597" w:rsidR="00374CAF" w:rsidRDefault="00374CAF" w:rsidP="007A2763">
      <w:pPr>
        <w:pStyle w:val="Heading2"/>
      </w:pPr>
      <w:bookmarkStart w:id="4" w:name="_Toc185516830"/>
      <w:r>
        <w:t>Aims and objectives</w:t>
      </w:r>
      <w:bookmarkEnd w:id="4"/>
    </w:p>
    <w:p w14:paraId="0CB2AB65" w14:textId="1836EE69" w:rsidR="00C541D7" w:rsidRDefault="00667F52" w:rsidP="00A9066B">
      <w:r w:rsidRPr="00667F52">
        <w:t xml:space="preserve">This project </w:t>
      </w:r>
      <w:r w:rsidR="001B0C62">
        <w:t>aimed to</w:t>
      </w:r>
      <w:r w:rsidRPr="00667F52">
        <w:t xml:space="preserve"> consider the differences in polic</w:t>
      </w:r>
      <w:r w:rsidR="00831199">
        <w:t>y actions</w:t>
      </w:r>
      <w:r w:rsidRPr="00667F52">
        <w:t xml:space="preserve"> </w:t>
      </w:r>
      <w:r w:rsidR="006D3231" w:rsidRPr="00667F52">
        <w:t>between countries</w:t>
      </w:r>
      <w:r w:rsidR="006D3231">
        <w:t>, which have been</w:t>
      </w:r>
      <w:r w:rsidR="006D3231" w:rsidRPr="00667F52">
        <w:t xml:space="preserve"> </w:t>
      </w:r>
      <w:r w:rsidRPr="00667F52">
        <w:t xml:space="preserve">introduced to reduce </w:t>
      </w:r>
      <w:r w:rsidR="00523630">
        <w:t xml:space="preserve">socioeconomic </w:t>
      </w:r>
      <w:r w:rsidRPr="00667F52">
        <w:t>health inequalities.</w:t>
      </w:r>
      <w:r w:rsidR="00B6770C">
        <w:t xml:space="preserve"> </w:t>
      </w:r>
      <w:r w:rsidRPr="00667F52">
        <w:t xml:space="preserve">Through a policy analysis </w:t>
      </w:r>
      <w:r w:rsidR="0033171F">
        <w:t>we aimed</w:t>
      </w:r>
      <w:r w:rsidRPr="00667F52">
        <w:t xml:space="preserve"> to </w:t>
      </w:r>
      <w:r w:rsidR="006D3231">
        <w:t>gain an</w:t>
      </w:r>
      <w:r w:rsidRPr="00667F52">
        <w:t xml:space="preserve"> understand</w:t>
      </w:r>
      <w:r w:rsidR="006D3231">
        <w:t>ing</w:t>
      </w:r>
      <w:r w:rsidRPr="00667F52">
        <w:t xml:space="preserve"> what policy </w:t>
      </w:r>
      <w:r w:rsidR="006D3231">
        <w:t xml:space="preserve">actions or </w:t>
      </w:r>
      <w:r w:rsidRPr="00667F52">
        <w:t>approach</w:t>
      </w:r>
      <w:r w:rsidR="00952AD7">
        <w:t>es</w:t>
      </w:r>
      <w:r w:rsidRPr="00667F52">
        <w:t xml:space="preserve"> appear</w:t>
      </w:r>
      <w:r w:rsidR="0033171F">
        <w:t>ed</w:t>
      </w:r>
      <w:r w:rsidRPr="00667F52">
        <w:t xml:space="preserve"> to be working to reduce </w:t>
      </w:r>
      <w:r w:rsidR="001B0C62">
        <w:t xml:space="preserve">socioeconomic </w:t>
      </w:r>
      <w:r w:rsidRPr="00667F52">
        <w:t xml:space="preserve">health inequalities. </w:t>
      </w:r>
      <w:r w:rsidR="000700D7">
        <w:t>To achieve our project aim we addressed the following three objectives:</w:t>
      </w:r>
    </w:p>
    <w:p w14:paraId="6BB17063" w14:textId="4A88D9D5" w:rsidR="000700D7" w:rsidRDefault="00E95A2A" w:rsidP="0049380C">
      <w:pPr>
        <w:pStyle w:val="ListParagraph"/>
        <w:numPr>
          <w:ilvl w:val="0"/>
          <w:numId w:val="11"/>
        </w:numPr>
      </w:pPr>
      <w:r>
        <w:t xml:space="preserve">examine </w:t>
      </w:r>
      <w:r w:rsidR="00A36BD5">
        <w:t xml:space="preserve">international </w:t>
      </w:r>
      <w:r w:rsidR="00F2795F">
        <w:t xml:space="preserve">trend </w:t>
      </w:r>
      <w:r w:rsidR="00A36BD5">
        <w:t xml:space="preserve">data </w:t>
      </w:r>
      <w:r w:rsidR="00053FA2">
        <w:t xml:space="preserve">on health </w:t>
      </w:r>
      <w:r w:rsidR="008D6FA0">
        <w:t>inequalities</w:t>
      </w:r>
      <w:r w:rsidR="00E34BCF">
        <w:t xml:space="preserve"> within countries</w:t>
      </w:r>
      <w:r w:rsidR="00B613A7">
        <w:t xml:space="preserve"> (Section </w:t>
      </w:r>
      <w:r w:rsidR="001E23B6">
        <w:t>3</w:t>
      </w:r>
      <w:r w:rsidR="00B613A7">
        <w:t>)</w:t>
      </w:r>
      <w:r w:rsidR="005D67B8">
        <w:t>.</w:t>
      </w:r>
      <w:r w:rsidR="00B613A7">
        <w:t xml:space="preserve"> However,</w:t>
      </w:r>
      <w:r w:rsidR="005D67B8">
        <w:t xml:space="preserve"> </w:t>
      </w:r>
      <w:r w:rsidR="00B613A7">
        <w:t>w</w:t>
      </w:r>
      <w:r w:rsidR="00780301">
        <w:t xml:space="preserve">ith </w:t>
      </w:r>
      <w:r w:rsidR="00A9066B">
        <w:t xml:space="preserve">historical and </w:t>
      </w:r>
      <w:r w:rsidR="003B7389">
        <w:t>recent trends show</w:t>
      </w:r>
      <w:r w:rsidR="00780301">
        <w:t>ing</w:t>
      </w:r>
      <w:r w:rsidR="003B7389">
        <w:t xml:space="preserve"> static or widening gaps in health</w:t>
      </w:r>
      <w:r w:rsidR="004E4E8C">
        <w:t xml:space="preserve"> </w:t>
      </w:r>
      <w:r w:rsidR="00A86358">
        <w:t>by socioeconomic factors</w:t>
      </w:r>
      <w:r w:rsidR="003B7389">
        <w:t xml:space="preserve"> in most countries, it </w:t>
      </w:r>
      <w:r w:rsidR="00056802">
        <w:t>is</w:t>
      </w:r>
      <w:r w:rsidR="003B7389">
        <w:t xml:space="preserve"> not </w:t>
      </w:r>
      <w:r w:rsidR="00056802">
        <w:lastRenderedPageBreak/>
        <w:t xml:space="preserve">currently </w:t>
      </w:r>
      <w:r w:rsidR="003B7389">
        <w:t>possible</w:t>
      </w:r>
      <w:r w:rsidR="00056802">
        <w:t xml:space="preserve"> to</w:t>
      </w:r>
      <w:r w:rsidR="003B7389">
        <w:t xml:space="preserve"> identify the contribution that </w:t>
      </w:r>
      <w:r w:rsidR="003B7389" w:rsidRPr="00667F52">
        <w:t>differen</w:t>
      </w:r>
      <w:r w:rsidR="003B7389">
        <w:t>t</w:t>
      </w:r>
      <w:r w:rsidR="003B7389" w:rsidRPr="00667F52">
        <w:t xml:space="preserve"> </w:t>
      </w:r>
      <w:r w:rsidR="00A4155F">
        <w:t xml:space="preserve">types of </w:t>
      </w:r>
      <w:r w:rsidR="003B7389" w:rsidRPr="00667F52">
        <w:t xml:space="preserve">policies </w:t>
      </w:r>
      <w:r w:rsidR="003B7389">
        <w:t>have made</w:t>
      </w:r>
      <w:r w:rsidR="003B7389" w:rsidRPr="00667F52">
        <w:t xml:space="preserve"> to reduc</w:t>
      </w:r>
      <w:r w:rsidR="003B7389">
        <w:t>ing</w:t>
      </w:r>
      <w:r w:rsidR="003B7389" w:rsidRPr="00667F52">
        <w:t xml:space="preserve"> health inequalities.</w:t>
      </w:r>
    </w:p>
    <w:p w14:paraId="07A00587" w14:textId="4D645804" w:rsidR="000700D7" w:rsidRDefault="0096122E" w:rsidP="0049380C">
      <w:pPr>
        <w:pStyle w:val="ListParagraph"/>
        <w:numPr>
          <w:ilvl w:val="0"/>
          <w:numId w:val="11"/>
        </w:numPr>
      </w:pPr>
      <w:r>
        <w:t>review</w:t>
      </w:r>
      <w:r w:rsidR="003B7389">
        <w:t xml:space="preserve"> </w:t>
      </w:r>
      <w:r w:rsidR="00C70684">
        <w:t xml:space="preserve">the </w:t>
      </w:r>
      <w:r w:rsidR="004F2A7E">
        <w:t>policy</w:t>
      </w:r>
      <w:r w:rsidR="00C70684">
        <w:t xml:space="preserve"> context for action on health inequalities </w:t>
      </w:r>
      <w:r w:rsidR="001E23B6">
        <w:t>(Section 4)</w:t>
      </w:r>
      <w:r w:rsidR="00C70684">
        <w:t xml:space="preserve"> across the five domains of the WHO health equity framework </w:t>
      </w:r>
      <w:r w:rsidR="003B7389">
        <w:t xml:space="preserve">in </w:t>
      </w:r>
      <w:r w:rsidR="000700D7">
        <w:t xml:space="preserve">Wales and </w:t>
      </w:r>
      <w:r w:rsidR="00191BFC">
        <w:t>seven</w:t>
      </w:r>
      <w:r w:rsidR="003B7389">
        <w:t xml:space="preserve"> high-income countries</w:t>
      </w:r>
      <w:r w:rsidR="00A9066B">
        <w:t xml:space="preserve"> of a similar population size </w:t>
      </w:r>
      <w:r w:rsidR="00861489">
        <w:t xml:space="preserve">and </w:t>
      </w:r>
      <w:r w:rsidR="00CA2021">
        <w:t xml:space="preserve">with </w:t>
      </w:r>
      <w:r w:rsidR="00441D4B" w:rsidRPr="00AD4B45">
        <w:t>similarities</w:t>
      </w:r>
      <w:r w:rsidR="00441D4B">
        <w:t xml:space="preserve"> in their </w:t>
      </w:r>
      <w:r w:rsidR="00861489" w:rsidRPr="00AD4B45">
        <w:t>political</w:t>
      </w:r>
      <w:r w:rsidR="00441D4B">
        <w:t xml:space="preserve"> systems and policy choices</w:t>
      </w:r>
      <w:r w:rsidR="00861489" w:rsidRPr="00AD4B45">
        <w:t xml:space="preserve"> </w:t>
      </w:r>
      <w:r w:rsidR="00A9066B">
        <w:t xml:space="preserve">to Wales: Finland, New Zealand, Iceland, Slovenia, Scotland, </w:t>
      </w:r>
      <w:r w:rsidR="007E22FB">
        <w:t>Ireland,</w:t>
      </w:r>
      <w:r w:rsidR="00A9066B">
        <w:t xml:space="preserve"> and Belgium.</w:t>
      </w:r>
    </w:p>
    <w:p w14:paraId="01DE7D93" w14:textId="751F7D9A" w:rsidR="00971227" w:rsidRDefault="000700D7" w:rsidP="0049380C">
      <w:pPr>
        <w:pStyle w:val="ListParagraph"/>
        <w:numPr>
          <w:ilvl w:val="0"/>
          <w:numId w:val="11"/>
        </w:numPr>
      </w:pPr>
      <w:r>
        <w:t>c</w:t>
      </w:r>
      <w:r w:rsidR="00214A16">
        <w:t>arr</w:t>
      </w:r>
      <w:r>
        <w:t>y</w:t>
      </w:r>
      <w:r w:rsidR="00214A16">
        <w:t xml:space="preserve"> out</w:t>
      </w:r>
      <w:r w:rsidR="00667F52" w:rsidRPr="00667F52">
        <w:t xml:space="preserve"> a gap analysis </w:t>
      </w:r>
      <w:r w:rsidR="001E23B6">
        <w:t>(Section 5)</w:t>
      </w:r>
      <w:r w:rsidR="00667F52" w:rsidRPr="00667F52">
        <w:t xml:space="preserve"> against </w:t>
      </w:r>
      <w:r w:rsidR="001B0C62">
        <w:t xml:space="preserve">the policy context for acting on socioeconomic </w:t>
      </w:r>
      <w:r w:rsidR="001B0C62" w:rsidRPr="00667F52">
        <w:t xml:space="preserve">health inequalities </w:t>
      </w:r>
      <w:r w:rsidR="001B0C62">
        <w:t xml:space="preserve">in </w:t>
      </w:r>
      <w:r w:rsidR="00667F52" w:rsidRPr="00667F52">
        <w:t xml:space="preserve">Wales to </w:t>
      </w:r>
      <w:r w:rsidR="001B0C62">
        <w:t>identify</w:t>
      </w:r>
      <w:r w:rsidR="00667F52" w:rsidRPr="00667F52">
        <w:t xml:space="preserve"> what additional polices </w:t>
      </w:r>
      <w:r w:rsidR="001B0C62">
        <w:t xml:space="preserve">or approaches </w:t>
      </w:r>
      <w:r w:rsidR="00667F52" w:rsidRPr="00667F52">
        <w:t>might be worth considering in Wales.</w:t>
      </w:r>
    </w:p>
    <w:p w14:paraId="486A909A" w14:textId="77777777" w:rsidR="00A9066B" w:rsidRDefault="00A9066B" w:rsidP="00667F52">
      <w:pPr>
        <w:rPr>
          <w:highlight w:val="yellow"/>
        </w:rPr>
      </w:pPr>
    </w:p>
    <w:p w14:paraId="166662C6" w14:textId="3B3A48B9" w:rsidR="003A6140" w:rsidRDefault="003A6140" w:rsidP="00667F52"/>
    <w:p w14:paraId="562E8031" w14:textId="77777777" w:rsidR="00144270" w:rsidRDefault="00144270" w:rsidP="00667F52">
      <w:pPr>
        <w:sectPr w:rsidR="00144270">
          <w:pgSz w:w="11906" w:h="16838"/>
          <w:pgMar w:top="1440" w:right="1440" w:bottom="1440" w:left="1440" w:header="708" w:footer="708" w:gutter="0"/>
          <w:cols w:space="708"/>
          <w:docGrid w:linePitch="360"/>
        </w:sectPr>
      </w:pPr>
    </w:p>
    <w:p w14:paraId="2EB63D5D" w14:textId="6BEA3CE9" w:rsidR="00667F52" w:rsidRDefault="00667F52" w:rsidP="00667F52">
      <w:pPr>
        <w:pStyle w:val="Heading1"/>
      </w:pPr>
      <w:bookmarkStart w:id="5" w:name="_Toc185516831"/>
      <w:bookmarkStart w:id="6" w:name="_Toc189563139"/>
      <w:r>
        <w:lastRenderedPageBreak/>
        <w:t xml:space="preserve">International </w:t>
      </w:r>
      <w:r w:rsidR="004F2A7E">
        <w:t xml:space="preserve">trend </w:t>
      </w:r>
      <w:r>
        <w:t>data on health inequalities within countries</w:t>
      </w:r>
      <w:bookmarkEnd w:id="5"/>
      <w:bookmarkEnd w:id="6"/>
    </w:p>
    <w:p w14:paraId="7E095224" w14:textId="35C1926B" w:rsidR="009379CF" w:rsidRDefault="009379CF" w:rsidP="00971227">
      <w:pPr>
        <w:pStyle w:val="Heading2"/>
      </w:pPr>
      <w:bookmarkStart w:id="7" w:name="_Toc185516832"/>
      <w:r>
        <w:t>Introduction</w:t>
      </w:r>
      <w:bookmarkEnd w:id="7"/>
    </w:p>
    <w:p w14:paraId="129D1E91" w14:textId="2B035F07" w:rsidR="009379CF" w:rsidRPr="009379CF" w:rsidRDefault="009379CF" w:rsidP="009379CF">
      <w:r>
        <w:t>To examine international trend data on health inequalities within countries</w:t>
      </w:r>
      <w:r w:rsidRPr="009379CF">
        <w:t xml:space="preserve"> </w:t>
      </w:r>
      <w:r>
        <w:t xml:space="preserve">we sought studies that reported trend data on regional or socioeconomic differences </w:t>
      </w:r>
      <w:r w:rsidR="00950895">
        <w:t>with</w:t>
      </w:r>
      <w:r>
        <w:t>in</w:t>
      </w:r>
      <w:r w:rsidR="00950895">
        <w:t xml:space="preserve"> the country on outcomes related to</w:t>
      </w:r>
      <w:r>
        <w:t xml:space="preserve"> </w:t>
      </w:r>
      <w:r w:rsidR="000F0817">
        <w:t xml:space="preserve">adult or infant </w:t>
      </w:r>
      <w:r>
        <w:t xml:space="preserve">mortality. We searched Medline (via Ovid) and Google Scholar in March and April 2024 using the following search string from </w:t>
      </w:r>
      <w:proofErr w:type="spellStart"/>
      <w:r>
        <w:t>Lewer</w:t>
      </w:r>
      <w:proofErr w:type="spellEnd"/>
      <w:r>
        <w:t xml:space="preserve"> et al. (2019): </w:t>
      </w:r>
      <w:r w:rsidRPr="004C706F">
        <w:t>(“deprivation” OR “poverty” OR “income” OR “socioeconomic” OR “inequality”) AND (“attributable” OR “years of life” OR “YLL”) AND (“mortality” OR “death*</w:t>
      </w:r>
      <w:r>
        <w:t>”</w:t>
      </w:r>
      <w:r w:rsidRPr="004C706F">
        <w:t>).</w:t>
      </w:r>
    </w:p>
    <w:p w14:paraId="239A08EB" w14:textId="74679B15" w:rsidR="00971227" w:rsidRDefault="000C48D0" w:rsidP="00971227">
      <w:pPr>
        <w:pStyle w:val="Heading2"/>
      </w:pPr>
      <w:bookmarkStart w:id="8" w:name="_Toc185516833"/>
      <w:r>
        <w:t>Inequalities in a</w:t>
      </w:r>
      <w:r w:rsidR="0062209D">
        <w:t xml:space="preserve">dult </w:t>
      </w:r>
      <w:r w:rsidR="00461E52">
        <w:t>mortality</w:t>
      </w:r>
      <w:bookmarkEnd w:id="8"/>
    </w:p>
    <w:p w14:paraId="5A7B6720" w14:textId="500114FA" w:rsidR="00734B77" w:rsidRPr="00317198" w:rsidRDefault="00C75D06" w:rsidP="00734B77">
      <w:r>
        <w:t>A total of 1</w:t>
      </w:r>
      <w:r w:rsidR="00DC7C25">
        <w:t>6</w:t>
      </w:r>
      <w:r>
        <w:t xml:space="preserve"> </w:t>
      </w:r>
      <w:r w:rsidR="00734B77">
        <w:t>studies</w:t>
      </w:r>
      <w:r>
        <w:t xml:space="preserve"> </w:t>
      </w:r>
      <w:r w:rsidR="00461A98">
        <w:t xml:space="preserve">from high-income countries </w:t>
      </w:r>
      <w:r>
        <w:t>published since 2018 were identified</w:t>
      </w:r>
      <w:r w:rsidR="003679FC">
        <w:t xml:space="preserve">. A summary of these studies is </w:t>
      </w:r>
      <w:r w:rsidR="003679FC" w:rsidRPr="003679FC">
        <w:t xml:space="preserve">provided in </w:t>
      </w:r>
      <w:r w:rsidRPr="003679FC">
        <w:t xml:space="preserve">Table </w:t>
      </w:r>
      <w:r w:rsidR="00573EEE">
        <w:t>4 in Appendix 1</w:t>
      </w:r>
      <w:r w:rsidRPr="003679FC">
        <w:t>.</w:t>
      </w:r>
      <w:r w:rsidR="00317198">
        <w:t xml:space="preserve"> </w:t>
      </w:r>
      <w:r w:rsidR="00734B77">
        <w:t>Of the 1</w:t>
      </w:r>
      <w:r w:rsidR="00DC7C25">
        <w:t>6</w:t>
      </w:r>
      <w:r w:rsidR="00734B77">
        <w:t xml:space="preserve"> studies, two included more than one country. </w:t>
      </w:r>
      <w:r w:rsidR="001E0FC0" w:rsidRPr="0074679C">
        <w:t>A</w:t>
      </w:r>
      <w:r>
        <w:t xml:space="preserve"> recent</w:t>
      </w:r>
      <w:r w:rsidR="001E0FC0" w:rsidRPr="0074679C">
        <w:t xml:space="preserve"> article by Chen-Xu et al. (2024) published in the </w:t>
      </w:r>
      <w:r w:rsidR="00667F52" w:rsidRPr="0074679C">
        <w:t xml:space="preserve">Lancet Public Health </w:t>
      </w:r>
      <w:r w:rsidR="001E0FC0" w:rsidRPr="0074679C">
        <w:t>reports on a</w:t>
      </w:r>
      <w:r w:rsidR="00667F52" w:rsidRPr="0074679C">
        <w:t xml:space="preserve"> time trend analysis of age-standardised all-cause years of life lost (YLL) rates at a sub-national level across </w:t>
      </w:r>
      <w:r w:rsidR="001E0FC0" w:rsidRPr="0074679C">
        <w:t>32 countries within the European Economic Area (EEA)</w:t>
      </w:r>
      <w:r w:rsidR="00667F52" w:rsidRPr="0074679C">
        <w:t>.</w:t>
      </w:r>
      <w:r w:rsidR="001E0FC0" w:rsidRPr="0074679C">
        <w:t xml:space="preserve"> </w:t>
      </w:r>
      <w:r w:rsidR="00734B77" w:rsidRPr="00734B77">
        <w:t xml:space="preserve">The study by </w:t>
      </w:r>
      <w:proofErr w:type="spellStart"/>
      <w:r w:rsidR="00734B77" w:rsidRPr="00734B77">
        <w:t>Brønnum</w:t>
      </w:r>
      <w:proofErr w:type="spellEnd"/>
      <w:r w:rsidR="00734B77" w:rsidRPr="00734B77">
        <w:t>-Hansen et al.</w:t>
      </w:r>
      <w:r w:rsidR="00734B77">
        <w:t xml:space="preserve"> (</w:t>
      </w:r>
      <w:r w:rsidR="00734B77" w:rsidRPr="00734B77">
        <w:t>2021</w:t>
      </w:r>
      <w:r w:rsidR="00734B77">
        <w:t xml:space="preserve">) </w:t>
      </w:r>
      <w:r w:rsidR="00D81EFE">
        <w:t>examined</w:t>
      </w:r>
      <w:r w:rsidR="009C5279">
        <w:t xml:space="preserve"> c</w:t>
      </w:r>
      <w:r w:rsidR="009C5279" w:rsidRPr="009C5279">
        <w:t>hanges in life expectancy and lifespan variability</w:t>
      </w:r>
      <w:r w:rsidR="009C5279">
        <w:t xml:space="preserve"> </w:t>
      </w:r>
      <w:r w:rsidR="00D81EFE" w:rsidRPr="00D81EFE">
        <w:t>in Denmark, Finland, Norway, and Sweden over two decades.</w:t>
      </w:r>
      <w:r w:rsidR="009C5279">
        <w:t xml:space="preserve"> The majority of the other studies were done in single countries, including Norway (</w:t>
      </w:r>
      <w:proofErr w:type="spellStart"/>
      <w:r w:rsidR="009C5279">
        <w:t>Clarsen</w:t>
      </w:r>
      <w:proofErr w:type="spellEnd"/>
      <w:r w:rsidR="009C5279">
        <w:t xml:space="preserve"> et al., 2022), Denmark, (Jensen et al., </w:t>
      </w:r>
      <w:r w:rsidR="00462650">
        <w:t>2023</w:t>
      </w:r>
      <w:r w:rsidR="009C5279">
        <w:t>), Belgium (</w:t>
      </w:r>
      <w:proofErr w:type="spellStart"/>
      <w:r w:rsidR="009C5279">
        <w:t>Otavova</w:t>
      </w:r>
      <w:proofErr w:type="spellEnd"/>
      <w:r w:rsidR="009C5279">
        <w:t xml:space="preserve"> et al., 2024), Ita</w:t>
      </w:r>
      <w:r w:rsidR="00461A98">
        <w:t>ly (</w:t>
      </w:r>
      <w:proofErr w:type="spellStart"/>
      <w:r w:rsidR="00461A98">
        <w:t>Petrelli</w:t>
      </w:r>
      <w:proofErr w:type="spellEnd"/>
      <w:r w:rsidR="00461A98">
        <w:t xml:space="preserve"> et al., 2024), Finland (</w:t>
      </w:r>
      <w:proofErr w:type="spellStart"/>
      <w:r w:rsidR="00461A98">
        <w:t>Suulamo</w:t>
      </w:r>
      <w:proofErr w:type="spellEnd"/>
      <w:r w:rsidR="00461A98">
        <w:t xml:space="preserve"> et al., 2021), Canada (Shahidi et al., 2020), Germany (</w:t>
      </w:r>
      <w:proofErr w:type="spellStart"/>
      <w:r w:rsidR="00461A98">
        <w:t>Tetzlaff</w:t>
      </w:r>
      <w:proofErr w:type="spellEnd"/>
      <w:r w:rsidR="00461A98">
        <w:t xml:space="preserve"> et al., 2024)</w:t>
      </w:r>
      <w:r w:rsidR="00423CE7">
        <w:t>,</w:t>
      </w:r>
      <w:r w:rsidR="00461A98">
        <w:t xml:space="preserve"> and the United Kingdom (</w:t>
      </w:r>
      <w:r w:rsidR="00DC7C25">
        <w:t xml:space="preserve">Currie et al., 2021; </w:t>
      </w:r>
      <w:r w:rsidR="00423CE7">
        <w:t>Currie et al., 202</w:t>
      </w:r>
      <w:r w:rsidR="00935C33">
        <w:t>3</w:t>
      </w:r>
      <w:r w:rsidR="00423CE7">
        <w:t xml:space="preserve">; </w:t>
      </w:r>
      <w:proofErr w:type="spellStart"/>
      <w:r w:rsidR="00461A98">
        <w:t>Lewer</w:t>
      </w:r>
      <w:proofErr w:type="spellEnd"/>
      <w:r w:rsidR="00461A98">
        <w:t xml:space="preserve"> et al., 2019; Seaman et al., 2019; Steel et al., 2018; Walsh et al., 2020). One study (</w:t>
      </w:r>
      <w:proofErr w:type="spellStart"/>
      <w:r w:rsidR="00461A98" w:rsidRPr="00461A98">
        <w:t>Buajitti</w:t>
      </w:r>
      <w:proofErr w:type="spellEnd"/>
      <w:r w:rsidR="00461A98">
        <w:t xml:space="preserve"> et al., 2020) </w:t>
      </w:r>
      <w:r w:rsidR="00462650">
        <w:t>was done in</w:t>
      </w:r>
      <w:r w:rsidR="0075008D">
        <w:t xml:space="preserve"> the Canadian province of</w:t>
      </w:r>
      <w:r w:rsidR="00462650">
        <w:t xml:space="preserve"> Ontari</w:t>
      </w:r>
      <w:r w:rsidR="0075008D">
        <w:t>o</w:t>
      </w:r>
      <w:r w:rsidR="00462650">
        <w:t>.</w:t>
      </w:r>
    </w:p>
    <w:p w14:paraId="30479511" w14:textId="444957A0" w:rsidR="00CF5DA9" w:rsidRDefault="007C79E1" w:rsidP="001319BE">
      <w:r>
        <w:t xml:space="preserve">In their analysis of 32 EEA countries, Chen-Xu et al. (2024) found that </w:t>
      </w:r>
      <w:r w:rsidR="0074679C" w:rsidRPr="0074679C">
        <w:t>YLLs were lower in 2019 than 2009 in almost all subnational regions</w:t>
      </w:r>
      <w:r w:rsidR="008510C1">
        <w:t xml:space="preserve"> within the countries. However, </w:t>
      </w:r>
      <w:r w:rsidR="0074679C" w:rsidRPr="0074679C">
        <w:t xml:space="preserve">small geographical relative and absolute inequalities persisted in YLLs. </w:t>
      </w:r>
      <w:r w:rsidR="001D64E6" w:rsidRPr="0074679C">
        <w:t>Table 1 summarises within-country changes in geographical inequalities across NUTS 2-level regions between 2009 and 2019.</w:t>
      </w:r>
      <w:r w:rsidR="0042231D">
        <w:t xml:space="preserve"> </w:t>
      </w:r>
      <w:r w:rsidR="001F5703">
        <w:t>It</w:t>
      </w:r>
      <w:r w:rsidR="00D8223A">
        <w:t xml:space="preserve"> i</w:t>
      </w:r>
      <w:r w:rsidR="001F5703">
        <w:t xml:space="preserve">s common for health inequalities </w:t>
      </w:r>
      <w:r w:rsidR="00D8223A">
        <w:t xml:space="preserve">to be measured in </w:t>
      </w:r>
      <w:r w:rsidR="00F00ECB">
        <w:t xml:space="preserve">these </w:t>
      </w:r>
      <w:r w:rsidR="00D8223A">
        <w:t>two separate ways</w:t>
      </w:r>
      <w:r w:rsidR="00F00ECB">
        <w:t>.</w:t>
      </w:r>
      <w:r w:rsidR="00D8223A">
        <w:t xml:space="preserve"> </w:t>
      </w:r>
      <w:r w:rsidR="00F00ECB">
        <w:t>Chen-Xu et al. (2024) evaluated r</w:t>
      </w:r>
      <w:r w:rsidR="0042231D">
        <w:t xml:space="preserve">elative inequalities in YLLs were using the Gini coefficient, with </w:t>
      </w:r>
      <w:r w:rsidR="00B72850">
        <w:t>a</w:t>
      </w:r>
      <w:r w:rsidR="0042231D">
        <w:t xml:space="preserve"> G</w:t>
      </w:r>
      <w:r w:rsidR="00BE5E22">
        <w:t>ini</w:t>
      </w:r>
      <w:r w:rsidR="0042231D">
        <w:t xml:space="preserve"> coefficient</w:t>
      </w:r>
      <w:r w:rsidR="00B72850">
        <w:t xml:space="preserve"> of 100% representing complete inequality and 0% indicating complete equality. Absolute inequalities in YLLs were measured with the slope index of inequality</w:t>
      </w:r>
      <w:r w:rsidR="00526108">
        <w:t>, representing</w:t>
      </w:r>
      <w:r w:rsidR="00374020">
        <w:t xml:space="preserve"> </w:t>
      </w:r>
      <w:r w:rsidR="001319BE">
        <w:t xml:space="preserve">the average absolute difference in YLLs between the most advantaged and most disadvantaged regions within </w:t>
      </w:r>
      <w:r w:rsidR="0071607F">
        <w:t>e</w:t>
      </w:r>
      <w:r w:rsidR="001319BE">
        <w:t>a</w:t>
      </w:r>
      <w:r w:rsidR="0071607F">
        <w:t>ch</w:t>
      </w:r>
      <w:r w:rsidR="001319BE">
        <w:t xml:space="preserve"> country</w:t>
      </w:r>
      <w:r w:rsidR="00BE5E22">
        <w:t>.</w:t>
      </w:r>
      <w:r w:rsidR="0042231D">
        <w:t xml:space="preserve"> </w:t>
      </w:r>
      <w:r w:rsidR="00BD087F">
        <w:t>Many</w:t>
      </w:r>
      <w:r w:rsidR="00D043C1">
        <w:t xml:space="preserve"> coun</w:t>
      </w:r>
      <w:r w:rsidR="0063517F">
        <w:t xml:space="preserve">tries did not see a significant change in </w:t>
      </w:r>
      <w:r w:rsidR="00BD087F">
        <w:t xml:space="preserve">relative or absolute </w:t>
      </w:r>
      <w:r w:rsidR="00ED582D">
        <w:t xml:space="preserve">geographical </w:t>
      </w:r>
      <w:r w:rsidR="0063517F">
        <w:t>inequalities</w:t>
      </w:r>
      <w:r w:rsidR="007B51E1">
        <w:t xml:space="preserve"> in YLLs</w:t>
      </w:r>
      <w:r w:rsidR="00ED582D">
        <w:t>, but</w:t>
      </w:r>
      <w:r w:rsidR="000A66BA">
        <w:t xml:space="preserve"> Pola</w:t>
      </w:r>
      <w:r w:rsidR="009B2FD8">
        <w:t>nd</w:t>
      </w:r>
      <w:r w:rsidR="00092452">
        <w:t xml:space="preserve"> experienced small reductions in</w:t>
      </w:r>
      <w:r w:rsidR="009B2FD8">
        <w:t xml:space="preserve"> both relative and absolute geographical </w:t>
      </w:r>
      <w:r w:rsidR="00907DF4">
        <w:t xml:space="preserve">inequality among men and </w:t>
      </w:r>
      <w:r w:rsidR="00092452">
        <w:t xml:space="preserve">in </w:t>
      </w:r>
      <w:r w:rsidR="00907DF4">
        <w:t>absolute geographical inequality (but not relative) among women.</w:t>
      </w:r>
      <w:r w:rsidR="00863ACD">
        <w:t xml:space="preserve"> </w:t>
      </w:r>
      <w:r w:rsidR="00863ACD">
        <w:lastRenderedPageBreak/>
        <w:t>Denmark also experienced reductions in both</w:t>
      </w:r>
      <w:r w:rsidR="00863ACD" w:rsidRPr="00863ACD">
        <w:t xml:space="preserve"> </w:t>
      </w:r>
      <w:r w:rsidR="00863ACD">
        <w:t>relative and absolute geographical inequality among men</w:t>
      </w:r>
      <w:r w:rsidR="00581AB8">
        <w:t>.</w:t>
      </w:r>
      <w:r w:rsidR="00AE3616">
        <w:t xml:space="preserve"> However, there is no further discussion by Chen-Xu et al </w:t>
      </w:r>
      <w:r w:rsidR="00335595">
        <w:t>or potential explanations for</w:t>
      </w:r>
      <w:r w:rsidR="00AE3616">
        <w:t xml:space="preserve"> why Poland and Denmark </w:t>
      </w:r>
      <w:r w:rsidR="00971227">
        <w:t>experienced these reductions.</w:t>
      </w:r>
      <w:r w:rsidR="00E27CEC">
        <w:t xml:space="preserve"> </w:t>
      </w:r>
    </w:p>
    <w:p w14:paraId="064E0510" w14:textId="315B02EC" w:rsidR="00952AD7" w:rsidRDefault="0064319F" w:rsidP="001319BE">
      <w:r>
        <w:t>Opposing trends for relative and absolute</w:t>
      </w:r>
      <w:r w:rsidR="006C6C9D">
        <w:t xml:space="preserve"> inequalities were</w:t>
      </w:r>
      <w:r w:rsidR="00300FC0">
        <w:t xml:space="preserve"> also observed (e.g.</w:t>
      </w:r>
      <w:r w:rsidR="00AD72FC">
        <w:t>,</w:t>
      </w:r>
      <w:r w:rsidR="00300FC0">
        <w:t xml:space="preserve"> for males in Belgium)</w:t>
      </w:r>
      <w:r w:rsidR="00560808">
        <w:t xml:space="preserve"> but this </w:t>
      </w:r>
      <w:r w:rsidR="008F0AC0">
        <w:t xml:space="preserve">is </w:t>
      </w:r>
      <w:r w:rsidR="009A5B78">
        <w:t>not un</w:t>
      </w:r>
      <w:r w:rsidR="008F0AC0">
        <w:t>common</w:t>
      </w:r>
      <w:r w:rsidR="00B63694">
        <w:t xml:space="preserve"> when </w:t>
      </w:r>
      <w:r w:rsidR="00667FD7" w:rsidRPr="00667FD7">
        <w:t xml:space="preserve">absolute and relative measures of </w:t>
      </w:r>
      <w:r w:rsidR="00803465">
        <w:t>inequalities</w:t>
      </w:r>
      <w:r w:rsidR="00667FD7" w:rsidRPr="00667FD7">
        <w:t xml:space="preserve"> are compared over </w:t>
      </w:r>
      <w:r w:rsidR="00667FD7" w:rsidRPr="009D228F">
        <w:t>time</w:t>
      </w:r>
      <w:r w:rsidR="008D1783" w:rsidRPr="009D228F">
        <w:t xml:space="preserve"> (</w:t>
      </w:r>
      <w:proofErr w:type="spellStart"/>
      <w:r w:rsidR="008D1783" w:rsidRPr="009D228F">
        <w:t>Mackenbach</w:t>
      </w:r>
      <w:proofErr w:type="spellEnd"/>
      <w:r w:rsidR="008D1783" w:rsidRPr="009D228F">
        <w:t>, 2015</w:t>
      </w:r>
      <w:r w:rsidR="00D52CB4" w:rsidRPr="009D228F">
        <w:t xml:space="preserve">; </w:t>
      </w:r>
      <w:r w:rsidR="00527159" w:rsidRPr="009D228F">
        <w:t>O</w:t>
      </w:r>
      <w:r w:rsidR="003D7C5A" w:rsidRPr="009D228F">
        <w:t xml:space="preserve">ffice for </w:t>
      </w:r>
      <w:r w:rsidR="00527159" w:rsidRPr="009D228F">
        <w:t>H</w:t>
      </w:r>
      <w:r w:rsidR="003D7C5A" w:rsidRPr="009D228F">
        <w:t xml:space="preserve">ealth </w:t>
      </w:r>
      <w:r w:rsidR="00527159" w:rsidRPr="009D228F">
        <w:t>I</w:t>
      </w:r>
      <w:r w:rsidR="003D7C5A" w:rsidRPr="009D228F">
        <w:t xml:space="preserve">mprovement &amp; </w:t>
      </w:r>
      <w:r w:rsidR="00527159" w:rsidRPr="009D228F">
        <w:t>D</w:t>
      </w:r>
      <w:r w:rsidR="003D7C5A" w:rsidRPr="009D228F">
        <w:t>isparities</w:t>
      </w:r>
      <w:r w:rsidR="00527159" w:rsidRPr="009D228F">
        <w:t>, 2023)</w:t>
      </w:r>
      <w:r w:rsidR="008F0AC0" w:rsidRPr="009D228F">
        <w:t>.</w:t>
      </w:r>
      <w:r w:rsidR="006D21B5" w:rsidRPr="009D228F">
        <w:t xml:space="preserve"> </w:t>
      </w:r>
      <w:r w:rsidR="008303ED" w:rsidRPr="009D228F">
        <w:t xml:space="preserve">Further, </w:t>
      </w:r>
      <w:r w:rsidR="00942BBC" w:rsidRPr="009D228F">
        <w:t>a narrowing of relative inequalities is rare</w:t>
      </w:r>
      <w:r w:rsidR="009D228F">
        <w:t>ly seen</w:t>
      </w:r>
      <w:r w:rsidR="00942BBC" w:rsidRPr="009D228F">
        <w:t xml:space="preserve"> against a backdrop of declining mortality whereas </w:t>
      </w:r>
      <w:r w:rsidR="008303ED" w:rsidRPr="009D228F">
        <w:t>a narrowing of absolute inequalities is not</w:t>
      </w:r>
      <w:r w:rsidR="00942BBC" w:rsidRPr="009D228F">
        <w:t xml:space="preserve"> </w:t>
      </w:r>
      <w:r w:rsidR="00E644FF">
        <w:t xml:space="preserve">uncommon </w:t>
      </w:r>
      <w:r w:rsidR="00942BBC" w:rsidRPr="009D228F">
        <w:t>(</w:t>
      </w:r>
      <w:proofErr w:type="spellStart"/>
      <w:r w:rsidR="00942BBC" w:rsidRPr="009D228F">
        <w:t>Mackenbach</w:t>
      </w:r>
      <w:proofErr w:type="spellEnd"/>
      <w:r w:rsidR="00942BBC" w:rsidRPr="009D228F">
        <w:t>, 2019)</w:t>
      </w:r>
      <w:r w:rsidR="008303ED" w:rsidRPr="009D228F">
        <w:t>.</w:t>
      </w:r>
      <w:r w:rsidR="00942BBC" w:rsidRPr="009D228F">
        <w:t xml:space="preserve"> </w:t>
      </w:r>
      <w:r w:rsidR="00E644FF">
        <w:t>As such, c</w:t>
      </w:r>
      <w:r w:rsidR="009A5B78">
        <w:t>onclusions about changes in inequalities over time</w:t>
      </w:r>
      <w:r w:rsidR="008F1D1D">
        <w:t xml:space="preserve"> may differ d</w:t>
      </w:r>
      <w:r w:rsidR="00551349">
        <w:t xml:space="preserve">epending on how the underlying mortality rate </w:t>
      </w:r>
      <w:r w:rsidR="008F1D1D">
        <w:t xml:space="preserve">is </w:t>
      </w:r>
      <w:r w:rsidR="00551349">
        <w:t>chang</w:t>
      </w:r>
      <w:r w:rsidR="008F1D1D">
        <w:t>ing</w:t>
      </w:r>
      <w:r w:rsidR="00A82C17">
        <w:t xml:space="preserve"> </w:t>
      </w:r>
      <w:r w:rsidR="006A18A0">
        <w:t>(Keppel et al., 2013)</w:t>
      </w:r>
      <w:r w:rsidR="008F1D1D">
        <w:t>.</w:t>
      </w:r>
      <w:r w:rsidR="009A47F8">
        <w:t xml:space="preserve"> </w:t>
      </w:r>
      <w:r w:rsidR="008F1D1D">
        <w:t xml:space="preserve">As </w:t>
      </w:r>
      <w:r w:rsidR="006D21B5">
        <w:t>Chen-Xu et al. note “absolute inequalities generally reduce with lower YLLs because the overall impact of YLL is reduced. Conversely, relative inequalities seem more pronounced or prominent in comparison to absolute inequalities, especially when YLL levels are lower”.</w:t>
      </w:r>
      <w:r w:rsidR="00980FD2">
        <w:t xml:space="preserve"> </w:t>
      </w:r>
    </w:p>
    <w:p w14:paraId="6EE655C5" w14:textId="2E48AA3A" w:rsidR="005403C7" w:rsidRDefault="00903BE0" w:rsidP="00903BE0">
      <w:pPr>
        <w:pStyle w:val="Caption"/>
      </w:pPr>
      <w:bookmarkStart w:id="9" w:name="_Toc189563115"/>
      <w:r>
        <w:t xml:space="preserve">Table </w:t>
      </w:r>
      <w:r w:rsidR="002C3A6C">
        <w:fldChar w:fldCharType="begin"/>
      </w:r>
      <w:r w:rsidR="002C3A6C">
        <w:instrText xml:space="preserve"> SEQ Table \* ARABIC </w:instrText>
      </w:r>
      <w:r w:rsidR="002C3A6C">
        <w:fldChar w:fldCharType="separate"/>
      </w:r>
      <w:r w:rsidR="00E56B85">
        <w:rPr>
          <w:noProof/>
        </w:rPr>
        <w:t>1</w:t>
      </w:r>
      <w:r w:rsidR="002C3A6C">
        <w:rPr>
          <w:noProof/>
        </w:rPr>
        <w:fldChar w:fldCharType="end"/>
      </w:r>
      <w:r w:rsidR="00A96ED3" w:rsidRPr="00D36643">
        <w:t>.</w:t>
      </w:r>
      <w:r w:rsidR="00D36643" w:rsidRPr="00D36643">
        <w:t xml:space="preserve"> Time-trend analysis of geographical inequalities in 32 EEA countries</w:t>
      </w:r>
      <w:r w:rsidR="001C172A">
        <w:t>, 2009 to 2019</w:t>
      </w:r>
      <w:r w:rsidR="00D36643" w:rsidRPr="00D36643">
        <w:t xml:space="preserve"> (Chen-Xu et al., 2024)</w:t>
      </w:r>
      <w:bookmarkEnd w:id="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1794"/>
        <w:gridCol w:w="1795"/>
        <w:gridCol w:w="1794"/>
        <w:gridCol w:w="1795"/>
      </w:tblGrid>
      <w:tr w:rsidR="009300BB" w:rsidRPr="00317198" w14:paraId="16B469CC" w14:textId="66ADEA63" w:rsidTr="00BC254A">
        <w:trPr>
          <w:trHeight w:val="284"/>
          <w:tblHeader/>
        </w:trPr>
        <w:tc>
          <w:tcPr>
            <w:tcW w:w="1838" w:type="dxa"/>
            <w:shd w:val="clear" w:color="auto" w:fill="156082" w:themeFill="accent1"/>
            <w:vAlign w:val="center"/>
          </w:tcPr>
          <w:p w14:paraId="30A074FA" w14:textId="77777777" w:rsidR="009300BB" w:rsidRPr="00A64FFA" w:rsidRDefault="009300BB" w:rsidP="00317198">
            <w:pPr>
              <w:pStyle w:val="NoSpacing"/>
              <w:rPr>
                <w:color w:val="FFFFFF" w:themeColor="background1"/>
                <w:sz w:val="20"/>
                <w:szCs w:val="20"/>
              </w:rPr>
            </w:pPr>
          </w:p>
        </w:tc>
        <w:tc>
          <w:tcPr>
            <w:tcW w:w="3589" w:type="dxa"/>
            <w:gridSpan w:val="2"/>
            <w:shd w:val="clear" w:color="auto" w:fill="156082" w:themeFill="accent1"/>
            <w:vAlign w:val="center"/>
          </w:tcPr>
          <w:p w14:paraId="1135AC43" w14:textId="304BF513" w:rsidR="009300BB" w:rsidRPr="00A64FFA" w:rsidRDefault="009300BB" w:rsidP="00317198">
            <w:pPr>
              <w:pStyle w:val="NoSpacing"/>
              <w:jc w:val="center"/>
              <w:rPr>
                <w:b/>
                <w:color w:val="FFFFFF" w:themeColor="background1"/>
                <w:sz w:val="20"/>
                <w:szCs w:val="20"/>
              </w:rPr>
            </w:pPr>
            <w:r w:rsidRPr="00A64FFA">
              <w:rPr>
                <w:b/>
                <w:color w:val="FFFFFF" w:themeColor="background1"/>
                <w:sz w:val="20"/>
                <w:szCs w:val="20"/>
              </w:rPr>
              <w:t>Relative inequalities</w:t>
            </w:r>
            <w:r w:rsidR="002C1079" w:rsidRPr="00A64FFA">
              <w:rPr>
                <w:b/>
                <w:color w:val="FFFFFF" w:themeColor="background1"/>
                <w:sz w:val="20"/>
                <w:szCs w:val="20"/>
              </w:rPr>
              <w:t>*</w:t>
            </w:r>
          </w:p>
        </w:tc>
        <w:tc>
          <w:tcPr>
            <w:tcW w:w="3589" w:type="dxa"/>
            <w:gridSpan w:val="2"/>
            <w:shd w:val="clear" w:color="auto" w:fill="156082" w:themeFill="accent1"/>
            <w:vAlign w:val="center"/>
          </w:tcPr>
          <w:p w14:paraId="3905CE94" w14:textId="0D911FED" w:rsidR="009300BB" w:rsidRPr="00A64FFA" w:rsidRDefault="009300BB" w:rsidP="00317198">
            <w:pPr>
              <w:pStyle w:val="NoSpacing"/>
              <w:jc w:val="center"/>
              <w:rPr>
                <w:b/>
                <w:color w:val="FFFFFF" w:themeColor="background1"/>
                <w:sz w:val="20"/>
                <w:szCs w:val="20"/>
              </w:rPr>
            </w:pPr>
            <w:r w:rsidRPr="00A64FFA">
              <w:rPr>
                <w:b/>
                <w:color w:val="FFFFFF" w:themeColor="background1"/>
                <w:sz w:val="20"/>
                <w:szCs w:val="20"/>
              </w:rPr>
              <w:t>Absolute inequalities</w:t>
            </w:r>
            <w:r w:rsidR="002C1079" w:rsidRPr="00A64FFA">
              <w:rPr>
                <w:b/>
                <w:color w:val="FFFFFF" w:themeColor="background1"/>
                <w:sz w:val="20"/>
                <w:szCs w:val="20"/>
              </w:rPr>
              <w:t>**</w:t>
            </w:r>
          </w:p>
        </w:tc>
      </w:tr>
      <w:tr w:rsidR="009300BB" w:rsidRPr="00317198" w14:paraId="406E4214" w14:textId="0D74F27D" w:rsidTr="00BC254A">
        <w:trPr>
          <w:trHeight w:val="284"/>
          <w:tblHeader/>
        </w:trPr>
        <w:tc>
          <w:tcPr>
            <w:tcW w:w="1838" w:type="dxa"/>
            <w:shd w:val="clear" w:color="auto" w:fill="156082" w:themeFill="accent1"/>
            <w:vAlign w:val="center"/>
          </w:tcPr>
          <w:p w14:paraId="75FB3006" w14:textId="77777777" w:rsidR="009300BB" w:rsidRPr="00A64FFA" w:rsidRDefault="009300BB" w:rsidP="00317198">
            <w:pPr>
              <w:pStyle w:val="NoSpacing"/>
              <w:rPr>
                <w:color w:val="FFFFFF" w:themeColor="background1"/>
                <w:sz w:val="20"/>
                <w:szCs w:val="20"/>
              </w:rPr>
            </w:pPr>
          </w:p>
        </w:tc>
        <w:tc>
          <w:tcPr>
            <w:tcW w:w="1794" w:type="dxa"/>
            <w:shd w:val="clear" w:color="auto" w:fill="156082" w:themeFill="accent1"/>
            <w:vAlign w:val="center"/>
          </w:tcPr>
          <w:p w14:paraId="5073FE0B" w14:textId="61CB0BC4" w:rsidR="009300BB" w:rsidRPr="00A64FFA" w:rsidRDefault="009300BB" w:rsidP="00317198">
            <w:pPr>
              <w:pStyle w:val="NoSpacing"/>
              <w:jc w:val="center"/>
              <w:rPr>
                <w:b/>
                <w:color w:val="FFFFFF" w:themeColor="background1"/>
                <w:sz w:val="20"/>
                <w:szCs w:val="20"/>
              </w:rPr>
            </w:pPr>
            <w:r w:rsidRPr="00A64FFA">
              <w:rPr>
                <w:b/>
                <w:color w:val="FFFFFF" w:themeColor="background1"/>
                <w:sz w:val="20"/>
                <w:szCs w:val="20"/>
              </w:rPr>
              <w:t>Females</w:t>
            </w:r>
          </w:p>
        </w:tc>
        <w:tc>
          <w:tcPr>
            <w:tcW w:w="1795" w:type="dxa"/>
            <w:shd w:val="clear" w:color="auto" w:fill="156082" w:themeFill="accent1"/>
            <w:vAlign w:val="center"/>
          </w:tcPr>
          <w:p w14:paraId="129874ED" w14:textId="1A70AA4A" w:rsidR="009300BB" w:rsidRPr="00A64FFA" w:rsidRDefault="009300BB" w:rsidP="00317198">
            <w:pPr>
              <w:pStyle w:val="NoSpacing"/>
              <w:jc w:val="center"/>
              <w:rPr>
                <w:b/>
                <w:color w:val="FFFFFF" w:themeColor="background1"/>
                <w:sz w:val="20"/>
                <w:szCs w:val="20"/>
              </w:rPr>
            </w:pPr>
            <w:r w:rsidRPr="00A64FFA">
              <w:rPr>
                <w:b/>
                <w:color w:val="FFFFFF" w:themeColor="background1"/>
                <w:sz w:val="20"/>
                <w:szCs w:val="20"/>
              </w:rPr>
              <w:t>Males</w:t>
            </w:r>
          </w:p>
        </w:tc>
        <w:tc>
          <w:tcPr>
            <w:tcW w:w="1794" w:type="dxa"/>
            <w:shd w:val="clear" w:color="auto" w:fill="156082" w:themeFill="accent1"/>
            <w:vAlign w:val="center"/>
          </w:tcPr>
          <w:p w14:paraId="34E68D6D" w14:textId="43E89711" w:rsidR="009300BB" w:rsidRPr="00A64FFA" w:rsidRDefault="009300BB" w:rsidP="00317198">
            <w:pPr>
              <w:pStyle w:val="NoSpacing"/>
              <w:jc w:val="center"/>
              <w:rPr>
                <w:b/>
                <w:color w:val="FFFFFF" w:themeColor="background1"/>
                <w:sz w:val="20"/>
                <w:szCs w:val="20"/>
              </w:rPr>
            </w:pPr>
            <w:r w:rsidRPr="00A64FFA">
              <w:rPr>
                <w:b/>
                <w:color w:val="FFFFFF" w:themeColor="background1"/>
                <w:sz w:val="20"/>
                <w:szCs w:val="20"/>
              </w:rPr>
              <w:t>Females</w:t>
            </w:r>
          </w:p>
        </w:tc>
        <w:tc>
          <w:tcPr>
            <w:tcW w:w="1795" w:type="dxa"/>
            <w:shd w:val="clear" w:color="auto" w:fill="156082" w:themeFill="accent1"/>
            <w:vAlign w:val="center"/>
          </w:tcPr>
          <w:p w14:paraId="5A876792" w14:textId="3E3506B2" w:rsidR="009300BB" w:rsidRPr="00A64FFA" w:rsidRDefault="009300BB" w:rsidP="00317198">
            <w:pPr>
              <w:pStyle w:val="NoSpacing"/>
              <w:jc w:val="center"/>
              <w:rPr>
                <w:b/>
                <w:color w:val="FFFFFF" w:themeColor="background1"/>
                <w:sz w:val="20"/>
                <w:szCs w:val="20"/>
              </w:rPr>
            </w:pPr>
            <w:r w:rsidRPr="00A64FFA">
              <w:rPr>
                <w:b/>
                <w:color w:val="FFFFFF" w:themeColor="background1"/>
                <w:sz w:val="20"/>
                <w:szCs w:val="20"/>
              </w:rPr>
              <w:t>Males</w:t>
            </w:r>
          </w:p>
        </w:tc>
      </w:tr>
      <w:tr w:rsidR="00A42485" w:rsidRPr="00317198" w14:paraId="1511B712" w14:textId="77777777" w:rsidTr="00BC254A">
        <w:trPr>
          <w:trHeight w:val="284"/>
        </w:trPr>
        <w:tc>
          <w:tcPr>
            <w:tcW w:w="1838" w:type="dxa"/>
            <w:shd w:val="clear" w:color="auto" w:fill="auto"/>
            <w:vAlign w:val="center"/>
          </w:tcPr>
          <w:p w14:paraId="11A2A917" w14:textId="77777777" w:rsidR="00A42485" w:rsidRPr="00317198" w:rsidRDefault="00A42485" w:rsidP="00BC254A">
            <w:pPr>
              <w:pStyle w:val="NoSpacing"/>
              <w:rPr>
                <w:sz w:val="20"/>
                <w:szCs w:val="20"/>
              </w:rPr>
            </w:pPr>
            <w:r w:rsidRPr="00317198">
              <w:rPr>
                <w:sz w:val="20"/>
                <w:szCs w:val="20"/>
              </w:rPr>
              <w:t>Austria</w:t>
            </w:r>
          </w:p>
        </w:tc>
        <w:tc>
          <w:tcPr>
            <w:tcW w:w="1794" w:type="dxa"/>
            <w:shd w:val="clear" w:color="auto" w:fill="auto"/>
            <w:vAlign w:val="center"/>
          </w:tcPr>
          <w:p w14:paraId="283D8B22" w14:textId="24D6BDEC" w:rsidR="00A42485" w:rsidRPr="00317198" w:rsidRDefault="0059001F" w:rsidP="00BC254A">
            <w:pPr>
              <w:pStyle w:val="NoSpacing"/>
              <w:jc w:val="center"/>
              <w:rPr>
                <w:sz w:val="20"/>
                <w:szCs w:val="20"/>
              </w:rPr>
            </w:pPr>
            <w:r w:rsidRPr="00317198">
              <w:rPr>
                <w:sz w:val="20"/>
                <w:szCs w:val="20"/>
              </w:rPr>
              <w:t>↔</w:t>
            </w:r>
          </w:p>
        </w:tc>
        <w:tc>
          <w:tcPr>
            <w:tcW w:w="1795" w:type="dxa"/>
            <w:shd w:val="clear" w:color="auto" w:fill="auto"/>
            <w:vAlign w:val="center"/>
          </w:tcPr>
          <w:p w14:paraId="5C0F5E88" w14:textId="07B793A2"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auto"/>
            <w:vAlign w:val="center"/>
          </w:tcPr>
          <w:p w14:paraId="54AA76AC" w14:textId="28A76DB1"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2A979A93" w14:textId="3A27EFD9" w:rsidR="00A42485" w:rsidRPr="00317198" w:rsidRDefault="004A1A4F" w:rsidP="00BC254A">
            <w:pPr>
              <w:pStyle w:val="NoSpacing"/>
              <w:jc w:val="center"/>
              <w:rPr>
                <w:sz w:val="20"/>
                <w:szCs w:val="20"/>
              </w:rPr>
            </w:pPr>
            <w:r w:rsidRPr="00317198">
              <w:rPr>
                <w:sz w:val="20"/>
                <w:szCs w:val="20"/>
              </w:rPr>
              <w:t>↔</w:t>
            </w:r>
          </w:p>
        </w:tc>
      </w:tr>
      <w:tr w:rsidR="00A42485" w:rsidRPr="00317198" w14:paraId="16EECF3A" w14:textId="77777777" w:rsidTr="00BC254A">
        <w:trPr>
          <w:trHeight w:val="284"/>
        </w:trPr>
        <w:tc>
          <w:tcPr>
            <w:tcW w:w="1838" w:type="dxa"/>
            <w:shd w:val="clear" w:color="auto" w:fill="F2F2F2" w:themeFill="background1" w:themeFillShade="F2"/>
            <w:vAlign w:val="center"/>
          </w:tcPr>
          <w:p w14:paraId="63A8F3D2" w14:textId="77777777" w:rsidR="00A42485" w:rsidRPr="00317198" w:rsidRDefault="00A42485" w:rsidP="00BC254A">
            <w:pPr>
              <w:pStyle w:val="NoSpacing"/>
              <w:rPr>
                <w:sz w:val="20"/>
                <w:szCs w:val="20"/>
              </w:rPr>
            </w:pPr>
            <w:r w:rsidRPr="00317198">
              <w:rPr>
                <w:sz w:val="20"/>
                <w:szCs w:val="20"/>
              </w:rPr>
              <w:t>Belgium</w:t>
            </w:r>
          </w:p>
        </w:tc>
        <w:tc>
          <w:tcPr>
            <w:tcW w:w="1794" w:type="dxa"/>
            <w:shd w:val="clear" w:color="auto" w:fill="F2F2F2" w:themeFill="background1" w:themeFillShade="F2"/>
            <w:vAlign w:val="center"/>
          </w:tcPr>
          <w:p w14:paraId="639EA7AA" w14:textId="29293BCA"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5892FF92" w14:textId="7EA532EE" w:rsidR="00A42485" w:rsidRPr="00317198" w:rsidRDefault="00AF432C" w:rsidP="00BC254A">
            <w:pPr>
              <w:pStyle w:val="NoSpacing"/>
              <w:jc w:val="center"/>
              <w:rPr>
                <w:sz w:val="20"/>
                <w:szCs w:val="20"/>
              </w:rPr>
            </w:pPr>
            <w:r w:rsidRPr="00317198">
              <w:rPr>
                <w:sz w:val="20"/>
                <w:szCs w:val="20"/>
              </w:rPr>
              <w:t>Increased</w:t>
            </w:r>
            <w:r w:rsidR="0059001F" w:rsidRPr="00317198">
              <w:rPr>
                <w:sz w:val="20"/>
                <w:szCs w:val="20"/>
              </w:rPr>
              <w:t xml:space="preserve"> ↑</w:t>
            </w:r>
          </w:p>
        </w:tc>
        <w:tc>
          <w:tcPr>
            <w:tcW w:w="1794" w:type="dxa"/>
            <w:shd w:val="clear" w:color="auto" w:fill="F2F2F2" w:themeFill="background1" w:themeFillShade="F2"/>
            <w:vAlign w:val="center"/>
          </w:tcPr>
          <w:p w14:paraId="1A636393" w14:textId="2DE773B3"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71EFC894" w14:textId="4BCD0464" w:rsidR="00A42485" w:rsidRPr="00317198" w:rsidRDefault="00BF0067" w:rsidP="00BC254A">
            <w:pPr>
              <w:pStyle w:val="NoSpacing"/>
              <w:jc w:val="center"/>
              <w:rPr>
                <w:sz w:val="20"/>
                <w:szCs w:val="20"/>
              </w:rPr>
            </w:pPr>
            <w:r w:rsidRPr="00317198">
              <w:rPr>
                <w:sz w:val="20"/>
                <w:szCs w:val="20"/>
              </w:rPr>
              <w:t>Reduced</w:t>
            </w:r>
            <w:r w:rsidR="0059001F" w:rsidRPr="00317198">
              <w:rPr>
                <w:sz w:val="20"/>
                <w:szCs w:val="20"/>
              </w:rPr>
              <w:t xml:space="preserve"> ↓</w:t>
            </w:r>
          </w:p>
        </w:tc>
      </w:tr>
      <w:tr w:rsidR="00A42485" w:rsidRPr="00317198" w14:paraId="43F22278" w14:textId="77777777" w:rsidTr="00BC254A">
        <w:trPr>
          <w:trHeight w:val="284"/>
        </w:trPr>
        <w:tc>
          <w:tcPr>
            <w:tcW w:w="1838" w:type="dxa"/>
            <w:shd w:val="clear" w:color="auto" w:fill="auto"/>
            <w:vAlign w:val="center"/>
          </w:tcPr>
          <w:p w14:paraId="6290A87A" w14:textId="77777777" w:rsidR="00A42485" w:rsidRPr="00317198" w:rsidRDefault="00A42485" w:rsidP="00BC254A">
            <w:pPr>
              <w:pStyle w:val="NoSpacing"/>
              <w:rPr>
                <w:sz w:val="20"/>
                <w:szCs w:val="20"/>
              </w:rPr>
            </w:pPr>
            <w:r w:rsidRPr="00317198">
              <w:rPr>
                <w:sz w:val="20"/>
                <w:szCs w:val="20"/>
              </w:rPr>
              <w:t>Bulgaria</w:t>
            </w:r>
          </w:p>
        </w:tc>
        <w:tc>
          <w:tcPr>
            <w:tcW w:w="1794" w:type="dxa"/>
            <w:shd w:val="clear" w:color="auto" w:fill="auto"/>
            <w:vAlign w:val="center"/>
          </w:tcPr>
          <w:p w14:paraId="629C4A4D" w14:textId="234E602A"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20DB6116" w14:textId="10CBDF56"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auto"/>
            <w:vAlign w:val="center"/>
          </w:tcPr>
          <w:p w14:paraId="1B285F2A" w14:textId="72EBBA31"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76D77D62" w14:textId="5852DA0B" w:rsidR="00A42485" w:rsidRPr="00317198" w:rsidRDefault="004A1A4F" w:rsidP="00BC254A">
            <w:pPr>
              <w:pStyle w:val="NoSpacing"/>
              <w:jc w:val="center"/>
              <w:rPr>
                <w:sz w:val="20"/>
                <w:szCs w:val="20"/>
              </w:rPr>
            </w:pPr>
            <w:r w:rsidRPr="00317198">
              <w:rPr>
                <w:sz w:val="20"/>
                <w:szCs w:val="20"/>
              </w:rPr>
              <w:t>↔</w:t>
            </w:r>
          </w:p>
        </w:tc>
      </w:tr>
      <w:tr w:rsidR="00A42485" w:rsidRPr="00317198" w14:paraId="1319A84A" w14:textId="77777777" w:rsidTr="00BC254A">
        <w:trPr>
          <w:trHeight w:val="284"/>
        </w:trPr>
        <w:tc>
          <w:tcPr>
            <w:tcW w:w="1838" w:type="dxa"/>
            <w:shd w:val="clear" w:color="auto" w:fill="F2F2F2" w:themeFill="background1" w:themeFillShade="F2"/>
            <w:vAlign w:val="center"/>
          </w:tcPr>
          <w:p w14:paraId="3B2137D3" w14:textId="77777777" w:rsidR="00A42485" w:rsidRPr="00317198" w:rsidRDefault="00A42485" w:rsidP="00BC254A">
            <w:pPr>
              <w:pStyle w:val="NoSpacing"/>
              <w:rPr>
                <w:sz w:val="20"/>
                <w:szCs w:val="20"/>
              </w:rPr>
            </w:pPr>
            <w:r w:rsidRPr="00317198">
              <w:rPr>
                <w:sz w:val="20"/>
                <w:szCs w:val="20"/>
              </w:rPr>
              <w:t>Czechia</w:t>
            </w:r>
          </w:p>
        </w:tc>
        <w:tc>
          <w:tcPr>
            <w:tcW w:w="1794" w:type="dxa"/>
            <w:shd w:val="clear" w:color="auto" w:fill="F2F2F2" w:themeFill="background1" w:themeFillShade="F2"/>
            <w:vAlign w:val="center"/>
          </w:tcPr>
          <w:p w14:paraId="04677884" w14:textId="7D83B5BA"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108711C9" w14:textId="40DFA9B0"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F2F2F2" w:themeFill="background1" w:themeFillShade="F2"/>
            <w:vAlign w:val="center"/>
          </w:tcPr>
          <w:p w14:paraId="28C1F77B" w14:textId="5F7DAE5C"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343FEAA6" w14:textId="2512CFBD" w:rsidR="00A42485" w:rsidRPr="00317198" w:rsidRDefault="00FD007E" w:rsidP="00BC254A">
            <w:pPr>
              <w:pStyle w:val="NoSpacing"/>
              <w:jc w:val="center"/>
              <w:rPr>
                <w:sz w:val="20"/>
                <w:szCs w:val="20"/>
              </w:rPr>
            </w:pPr>
            <w:r w:rsidRPr="00317198">
              <w:rPr>
                <w:sz w:val="20"/>
                <w:szCs w:val="20"/>
              </w:rPr>
              <w:t>Reduced</w:t>
            </w:r>
            <w:r w:rsidR="0059001F" w:rsidRPr="00317198">
              <w:rPr>
                <w:sz w:val="20"/>
                <w:szCs w:val="20"/>
              </w:rPr>
              <w:t xml:space="preserve"> ↓</w:t>
            </w:r>
          </w:p>
        </w:tc>
      </w:tr>
      <w:tr w:rsidR="00A42485" w:rsidRPr="00317198" w14:paraId="44F28EEE" w14:textId="77777777" w:rsidTr="00BC254A">
        <w:trPr>
          <w:trHeight w:val="284"/>
        </w:trPr>
        <w:tc>
          <w:tcPr>
            <w:tcW w:w="1838" w:type="dxa"/>
            <w:shd w:val="clear" w:color="auto" w:fill="auto"/>
            <w:vAlign w:val="center"/>
          </w:tcPr>
          <w:p w14:paraId="5A59EB62" w14:textId="77777777" w:rsidR="00A42485" w:rsidRPr="00317198" w:rsidRDefault="00A42485" w:rsidP="00BC254A">
            <w:pPr>
              <w:pStyle w:val="NoSpacing"/>
              <w:rPr>
                <w:sz w:val="20"/>
                <w:szCs w:val="20"/>
              </w:rPr>
            </w:pPr>
            <w:r w:rsidRPr="00317198">
              <w:rPr>
                <w:sz w:val="20"/>
                <w:szCs w:val="20"/>
              </w:rPr>
              <w:t>Denmark</w:t>
            </w:r>
          </w:p>
        </w:tc>
        <w:tc>
          <w:tcPr>
            <w:tcW w:w="1794" w:type="dxa"/>
            <w:shd w:val="clear" w:color="auto" w:fill="auto"/>
            <w:vAlign w:val="center"/>
          </w:tcPr>
          <w:p w14:paraId="46A7F9E6" w14:textId="7396EF10"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352ACA97" w14:textId="1B4D28CC" w:rsidR="00A42485" w:rsidRPr="00317198" w:rsidRDefault="00DB3C1D" w:rsidP="00BC254A">
            <w:pPr>
              <w:pStyle w:val="NoSpacing"/>
              <w:jc w:val="center"/>
              <w:rPr>
                <w:sz w:val="20"/>
                <w:szCs w:val="20"/>
              </w:rPr>
            </w:pPr>
            <w:r w:rsidRPr="00317198">
              <w:rPr>
                <w:sz w:val="20"/>
                <w:szCs w:val="20"/>
              </w:rPr>
              <w:t>Reduced</w:t>
            </w:r>
            <w:r w:rsidR="0059001F" w:rsidRPr="00317198">
              <w:rPr>
                <w:sz w:val="20"/>
                <w:szCs w:val="20"/>
              </w:rPr>
              <w:t xml:space="preserve"> ↓</w:t>
            </w:r>
          </w:p>
        </w:tc>
        <w:tc>
          <w:tcPr>
            <w:tcW w:w="1794" w:type="dxa"/>
            <w:shd w:val="clear" w:color="auto" w:fill="auto"/>
            <w:vAlign w:val="center"/>
          </w:tcPr>
          <w:p w14:paraId="45AADB1F" w14:textId="005E2B62"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46A50D0D" w14:textId="5DB84B6B" w:rsidR="00A42485" w:rsidRPr="00317198" w:rsidRDefault="007F2ABF" w:rsidP="00BC254A">
            <w:pPr>
              <w:pStyle w:val="NoSpacing"/>
              <w:jc w:val="center"/>
              <w:rPr>
                <w:sz w:val="20"/>
                <w:szCs w:val="20"/>
              </w:rPr>
            </w:pPr>
            <w:r w:rsidRPr="00317198">
              <w:rPr>
                <w:sz w:val="20"/>
                <w:szCs w:val="20"/>
              </w:rPr>
              <w:t>Reduced</w:t>
            </w:r>
            <w:r w:rsidR="0059001F" w:rsidRPr="00317198">
              <w:rPr>
                <w:sz w:val="20"/>
                <w:szCs w:val="20"/>
              </w:rPr>
              <w:t xml:space="preserve"> ↓</w:t>
            </w:r>
          </w:p>
        </w:tc>
      </w:tr>
      <w:tr w:rsidR="00A42485" w:rsidRPr="00317198" w14:paraId="30F8E69E" w14:textId="77777777" w:rsidTr="00BC254A">
        <w:trPr>
          <w:trHeight w:val="284"/>
        </w:trPr>
        <w:tc>
          <w:tcPr>
            <w:tcW w:w="1838" w:type="dxa"/>
            <w:shd w:val="clear" w:color="auto" w:fill="F2F2F2" w:themeFill="background1" w:themeFillShade="F2"/>
            <w:vAlign w:val="center"/>
          </w:tcPr>
          <w:p w14:paraId="286206D2" w14:textId="77777777" w:rsidR="00A42485" w:rsidRPr="00317198" w:rsidRDefault="00A42485" w:rsidP="00BC254A">
            <w:pPr>
              <w:pStyle w:val="NoSpacing"/>
              <w:rPr>
                <w:sz w:val="20"/>
                <w:szCs w:val="20"/>
              </w:rPr>
            </w:pPr>
            <w:r w:rsidRPr="00317198">
              <w:rPr>
                <w:sz w:val="20"/>
                <w:szCs w:val="20"/>
              </w:rPr>
              <w:t>Finland</w:t>
            </w:r>
          </w:p>
        </w:tc>
        <w:tc>
          <w:tcPr>
            <w:tcW w:w="1794" w:type="dxa"/>
            <w:shd w:val="clear" w:color="auto" w:fill="F2F2F2" w:themeFill="background1" w:themeFillShade="F2"/>
            <w:vAlign w:val="center"/>
          </w:tcPr>
          <w:p w14:paraId="53AC6F45" w14:textId="67D6DCC9"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193580C3" w14:textId="6DEA5F1C"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F2F2F2" w:themeFill="background1" w:themeFillShade="F2"/>
            <w:vAlign w:val="center"/>
          </w:tcPr>
          <w:p w14:paraId="34997263" w14:textId="37B2F7BD"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7DC6069E" w14:textId="534FA75D" w:rsidR="00A42485" w:rsidRPr="00317198" w:rsidRDefault="004A1A4F" w:rsidP="00BC254A">
            <w:pPr>
              <w:pStyle w:val="NoSpacing"/>
              <w:jc w:val="center"/>
              <w:rPr>
                <w:sz w:val="20"/>
                <w:szCs w:val="20"/>
              </w:rPr>
            </w:pPr>
            <w:r w:rsidRPr="00317198">
              <w:rPr>
                <w:sz w:val="20"/>
                <w:szCs w:val="20"/>
              </w:rPr>
              <w:t>↔</w:t>
            </w:r>
          </w:p>
        </w:tc>
      </w:tr>
      <w:tr w:rsidR="00A42485" w:rsidRPr="00317198" w14:paraId="334676CE" w14:textId="77777777" w:rsidTr="00BC254A">
        <w:trPr>
          <w:trHeight w:val="284"/>
        </w:trPr>
        <w:tc>
          <w:tcPr>
            <w:tcW w:w="1838" w:type="dxa"/>
            <w:shd w:val="clear" w:color="auto" w:fill="auto"/>
            <w:vAlign w:val="center"/>
          </w:tcPr>
          <w:p w14:paraId="57B401C1" w14:textId="77777777" w:rsidR="00A42485" w:rsidRPr="00317198" w:rsidRDefault="00A42485" w:rsidP="00BC254A">
            <w:pPr>
              <w:pStyle w:val="NoSpacing"/>
              <w:rPr>
                <w:sz w:val="20"/>
                <w:szCs w:val="20"/>
              </w:rPr>
            </w:pPr>
            <w:r w:rsidRPr="00317198">
              <w:rPr>
                <w:sz w:val="20"/>
                <w:szCs w:val="20"/>
              </w:rPr>
              <w:t>France</w:t>
            </w:r>
          </w:p>
        </w:tc>
        <w:tc>
          <w:tcPr>
            <w:tcW w:w="1794" w:type="dxa"/>
            <w:shd w:val="clear" w:color="auto" w:fill="auto"/>
            <w:vAlign w:val="center"/>
          </w:tcPr>
          <w:p w14:paraId="2FB43875" w14:textId="38E0EC0D"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2FE6B732" w14:textId="27CC912E"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auto"/>
            <w:vAlign w:val="center"/>
          </w:tcPr>
          <w:p w14:paraId="410ED913" w14:textId="31D46DBB"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71AA748F" w14:textId="023225D6" w:rsidR="00A42485" w:rsidRPr="00317198" w:rsidRDefault="006616BA" w:rsidP="00BC254A">
            <w:pPr>
              <w:pStyle w:val="NoSpacing"/>
              <w:jc w:val="center"/>
              <w:rPr>
                <w:sz w:val="20"/>
                <w:szCs w:val="20"/>
              </w:rPr>
            </w:pPr>
            <w:r w:rsidRPr="00317198">
              <w:rPr>
                <w:sz w:val="20"/>
                <w:szCs w:val="20"/>
              </w:rPr>
              <w:t>Reduced</w:t>
            </w:r>
            <w:r w:rsidR="0059001F" w:rsidRPr="00317198">
              <w:rPr>
                <w:sz w:val="20"/>
                <w:szCs w:val="20"/>
              </w:rPr>
              <w:t xml:space="preserve"> ↓</w:t>
            </w:r>
          </w:p>
        </w:tc>
      </w:tr>
      <w:tr w:rsidR="00A42485" w:rsidRPr="00317198" w14:paraId="1AF08B91" w14:textId="77777777" w:rsidTr="00BC254A">
        <w:trPr>
          <w:trHeight w:val="284"/>
        </w:trPr>
        <w:tc>
          <w:tcPr>
            <w:tcW w:w="1838" w:type="dxa"/>
            <w:shd w:val="clear" w:color="auto" w:fill="F2F2F2" w:themeFill="background1" w:themeFillShade="F2"/>
            <w:vAlign w:val="center"/>
          </w:tcPr>
          <w:p w14:paraId="31488332" w14:textId="77777777" w:rsidR="00A42485" w:rsidRPr="00317198" w:rsidRDefault="00A42485" w:rsidP="00BC254A">
            <w:pPr>
              <w:pStyle w:val="NoSpacing"/>
              <w:rPr>
                <w:sz w:val="20"/>
                <w:szCs w:val="20"/>
              </w:rPr>
            </w:pPr>
            <w:r w:rsidRPr="00317198">
              <w:rPr>
                <w:sz w:val="20"/>
                <w:szCs w:val="20"/>
              </w:rPr>
              <w:t>Germany</w:t>
            </w:r>
          </w:p>
        </w:tc>
        <w:tc>
          <w:tcPr>
            <w:tcW w:w="1794" w:type="dxa"/>
            <w:shd w:val="clear" w:color="auto" w:fill="F2F2F2" w:themeFill="background1" w:themeFillShade="F2"/>
            <w:vAlign w:val="center"/>
          </w:tcPr>
          <w:p w14:paraId="45DDDE25" w14:textId="0BED7F6D" w:rsidR="00A42485" w:rsidRPr="00317198" w:rsidRDefault="0091798B" w:rsidP="00BC254A">
            <w:pPr>
              <w:pStyle w:val="NoSpacing"/>
              <w:jc w:val="center"/>
              <w:rPr>
                <w:sz w:val="20"/>
                <w:szCs w:val="20"/>
              </w:rPr>
            </w:pPr>
            <w:r w:rsidRPr="00317198">
              <w:rPr>
                <w:sz w:val="20"/>
                <w:szCs w:val="20"/>
              </w:rPr>
              <w:t>Increased</w:t>
            </w:r>
            <w:r w:rsidR="0059001F" w:rsidRPr="00317198">
              <w:rPr>
                <w:sz w:val="20"/>
                <w:szCs w:val="20"/>
              </w:rPr>
              <w:t xml:space="preserve"> ↑</w:t>
            </w:r>
          </w:p>
        </w:tc>
        <w:tc>
          <w:tcPr>
            <w:tcW w:w="1795" w:type="dxa"/>
            <w:shd w:val="clear" w:color="auto" w:fill="F2F2F2" w:themeFill="background1" w:themeFillShade="F2"/>
            <w:vAlign w:val="center"/>
          </w:tcPr>
          <w:p w14:paraId="6BA00822" w14:textId="3D827BB2"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F2F2F2" w:themeFill="background1" w:themeFillShade="F2"/>
            <w:vAlign w:val="center"/>
          </w:tcPr>
          <w:p w14:paraId="7564E042" w14:textId="6929EA04" w:rsidR="00A42485" w:rsidRPr="00317198" w:rsidRDefault="0091798B" w:rsidP="00BC254A">
            <w:pPr>
              <w:pStyle w:val="NoSpacing"/>
              <w:jc w:val="center"/>
              <w:rPr>
                <w:sz w:val="20"/>
                <w:szCs w:val="20"/>
              </w:rPr>
            </w:pPr>
            <w:r w:rsidRPr="00317198">
              <w:rPr>
                <w:sz w:val="20"/>
                <w:szCs w:val="20"/>
              </w:rPr>
              <w:t>Increased</w:t>
            </w:r>
            <w:r w:rsidR="0059001F" w:rsidRPr="00317198">
              <w:rPr>
                <w:sz w:val="20"/>
                <w:szCs w:val="20"/>
              </w:rPr>
              <w:t xml:space="preserve"> ↑</w:t>
            </w:r>
          </w:p>
        </w:tc>
        <w:tc>
          <w:tcPr>
            <w:tcW w:w="1795" w:type="dxa"/>
            <w:shd w:val="clear" w:color="auto" w:fill="F2F2F2" w:themeFill="background1" w:themeFillShade="F2"/>
            <w:vAlign w:val="center"/>
          </w:tcPr>
          <w:p w14:paraId="39FC30FF" w14:textId="58E22DAD" w:rsidR="00A42485" w:rsidRPr="00317198" w:rsidRDefault="00BF0067" w:rsidP="00BC254A">
            <w:pPr>
              <w:pStyle w:val="NoSpacing"/>
              <w:jc w:val="center"/>
              <w:rPr>
                <w:sz w:val="20"/>
                <w:szCs w:val="20"/>
              </w:rPr>
            </w:pPr>
            <w:r w:rsidRPr="00317198">
              <w:rPr>
                <w:sz w:val="20"/>
                <w:szCs w:val="20"/>
              </w:rPr>
              <w:t>Reduced</w:t>
            </w:r>
            <w:r w:rsidR="0059001F" w:rsidRPr="00317198">
              <w:rPr>
                <w:sz w:val="20"/>
                <w:szCs w:val="20"/>
              </w:rPr>
              <w:t xml:space="preserve"> ↓</w:t>
            </w:r>
          </w:p>
        </w:tc>
      </w:tr>
      <w:tr w:rsidR="00A42485" w:rsidRPr="00317198" w14:paraId="5513CB2B" w14:textId="77777777" w:rsidTr="00BC254A">
        <w:trPr>
          <w:trHeight w:val="284"/>
        </w:trPr>
        <w:tc>
          <w:tcPr>
            <w:tcW w:w="1838" w:type="dxa"/>
            <w:shd w:val="clear" w:color="auto" w:fill="auto"/>
            <w:vAlign w:val="center"/>
          </w:tcPr>
          <w:p w14:paraId="192706DB" w14:textId="77777777" w:rsidR="00A42485" w:rsidRPr="00317198" w:rsidRDefault="00A42485" w:rsidP="00BC254A">
            <w:pPr>
              <w:pStyle w:val="NoSpacing"/>
              <w:rPr>
                <w:sz w:val="20"/>
                <w:szCs w:val="20"/>
              </w:rPr>
            </w:pPr>
            <w:r w:rsidRPr="00317198">
              <w:rPr>
                <w:sz w:val="20"/>
                <w:szCs w:val="20"/>
              </w:rPr>
              <w:t>Greece</w:t>
            </w:r>
          </w:p>
        </w:tc>
        <w:tc>
          <w:tcPr>
            <w:tcW w:w="1794" w:type="dxa"/>
            <w:shd w:val="clear" w:color="auto" w:fill="auto"/>
            <w:vAlign w:val="center"/>
          </w:tcPr>
          <w:p w14:paraId="093EB67C" w14:textId="51D0308F"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45EB6BFE" w14:textId="3AE3B012"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auto"/>
            <w:vAlign w:val="center"/>
          </w:tcPr>
          <w:p w14:paraId="739ACAE8" w14:textId="4BE67F60"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14672C1B" w14:textId="64B161BC" w:rsidR="00A42485" w:rsidRPr="00317198" w:rsidRDefault="004A1A4F" w:rsidP="00BC254A">
            <w:pPr>
              <w:pStyle w:val="NoSpacing"/>
              <w:jc w:val="center"/>
              <w:rPr>
                <w:sz w:val="20"/>
                <w:szCs w:val="20"/>
              </w:rPr>
            </w:pPr>
            <w:r w:rsidRPr="00317198">
              <w:rPr>
                <w:sz w:val="20"/>
                <w:szCs w:val="20"/>
              </w:rPr>
              <w:t>↔</w:t>
            </w:r>
          </w:p>
        </w:tc>
      </w:tr>
      <w:tr w:rsidR="00A42485" w:rsidRPr="00317198" w14:paraId="6C541352" w14:textId="77777777" w:rsidTr="00BC254A">
        <w:trPr>
          <w:trHeight w:val="284"/>
        </w:trPr>
        <w:tc>
          <w:tcPr>
            <w:tcW w:w="1838" w:type="dxa"/>
            <w:shd w:val="clear" w:color="auto" w:fill="F2F2F2" w:themeFill="background1" w:themeFillShade="F2"/>
            <w:vAlign w:val="center"/>
          </w:tcPr>
          <w:p w14:paraId="736615C5" w14:textId="77777777" w:rsidR="00A42485" w:rsidRPr="00317198" w:rsidRDefault="00A42485" w:rsidP="00BC254A">
            <w:pPr>
              <w:pStyle w:val="NoSpacing"/>
              <w:rPr>
                <w:sz w:val="20"/>
                <w:szCs w:val="20"/>
              </w:rPr>
            </w:pPr>
            <w:r w:rsidRPr="00317198">
              <w:rPr>
                <w:sz w:val="20"/>
                <w:szCs w:val="20"/>
              </w:rPr>
              <w:t>Hungary</w:t>
            </w:r>
          </w:p>
        </w:tc>
        <w:tc>
          <w:tcPr>
            <w:tcW w:w="1794" w:type="dxa"/>
            <w:shd w:val="clear" w:color="auto" w:fill="F2F2F2" w:themeFill="background1" w:themeFillShade="F2"/>
            <w:vAlign w:val="center"/>
          </w:tcPr>
          <w:p w14:paraId="2E5E2F03" w14:textId="377B9A1A" w:rsidR="00A42485" w:rsidRPr="00317198" w:rsidRDefault="0091798B" w:rsidP="00BC254A">
            <w:pPr>
              <w:pStyle w:val="NoSpacing"/>
              <w:jc w:val="center"/>
              <w:rPr>
                <w:sz w:val="20"/>
                <w:szCs w:val="20"/>
              </w:rPr>
            </w:pPr>
            <w:r w:rsidRPr="00317198">
              <w:rPr>
                <w:sz w:val="20"/>
                <w:szCs w:val="20"/>
              </w:rPr>
              <w:t>Increased</w:t>
            </w:r>
            <w:r w:rsidR="0059001F" w:rsidRPr="00317198">
              <w:rPr>
                <w:sz w:val="20"/>
                <w:szCs w:val="20"/>
              </w:rPr>
              <w:t xml:space="preserve"> ↑</w:t>
            </w:r>
          </w:p>
        </w:tc>
        <w:tc>
          <w:tcPr>
            <w:tcW w:w="1795" w:type="dxa"/>
            <w:shd w:val="clear" w:color="auto" w:fill="F2F2F2" w:themeFill="background1" w:themeFillShade="F2"/>
            <w:vAlign w:val="center"/>
          </w:tcPr>
          <w:p w14:paraId="6E3E5716" w14:textId="76B8F99A"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F2F2F2" w:themeFill="background1" w:themeFillShade="F2"/>
            <w:vAlign w:val="center"/>
          </w:tcPr>
          <w:p w14:paraId="689FCE64" w14:textId="2478A15B" w:rsidR="00A42485" w:rsidRPr="00317198" w:rsidRDefault="0091798B" w:rsidP="00BC254A">
            <w:pPr>
              <w:pStyle w:val="NoSpacing"/>
              <w:jc w:val="center"/>
              <w:rPr>
                <w:sz w:val="20"/>
                <w:szCs w:val="20"/>
              </w:rPr>
            </w:pPr>
            <w:r w:rsidRPr="00317198">
              <w:rPr>
                <w:sz w:val="20"/>
                <w:szCs w:val="20"/>
              </w:rPr>
              <w:t>Increased</w:t>
            </w:r>
            <w:r w:rsidR="0059001F" w:rsidRPr="00317198">
              <w:rPr>
                <w:sz w:val="20"/>
                <w:szCs w:val="20"/>
              </w:rPr>
              <w:t xml:space="preserve"> ↑</w:t>
            </w:r>
          </w:p>
        </w:tc>
        <w:tc>
          <w:tcPr>
            <w:tcW w:w="1795" w:type="dxa"/>
            <w:shd w:val="clear" w:color="auto" w:fill="F2F2F2" w:themeFill="background1" w:themeFillShade="F2"/>
            <w:vAlign w:val="center"/>
          </w:tcPr>
          <w:p w14:paraId="55BDC5A4" w14:textId="03FF5DAA" w:rsidR="00A42485" w:rsidRPr="00317198" w:rsidRDefault="004A1A4F" w:rsidP="00BC254A">
            <w:pPr>
              <w:pStyle w:val="NoSpacing"/>
              <w:jc w:val="center"/>
              <w:rPr>
                <w:sz w:val="20"/>
                <w:szCs w:val="20"/>
              </w:rPr>
            </w:pPr>
            <w:r w:rsidRPr="00317198">
              <w:rPr>
                <w:sz w:val="20"/>
                <w:szCs w:val="20"/>
              </w:rPr>
              <w:t>↔</w:t>
            </w:r>
          </w:p>
        </w:tc>
      </w:tr>
      <w:tr w:rsidR="00A42485" w:rsidRPr="00317198" w14:paraId="0C25CD41" w14:textId="77777777" w:rsidTr="00BC254A">
        <w:trPr>
          <w:trHeight w:val="284"/>
        </w:trPr>
        <w:tc>
          <w:tcPr>
            <w:tcW w:w="1838" w:type="dxa"/>
            <w:shd w:val="clear" w:color="auto" w:fill="auto"/>
            <w:vAlign w:val="center"/>
          </w:tcPr>
          <w:p w14:paraId="70761C75" w14:textId="77777777" w:rsidR="00A42485" w:rsidRPr="00317198" w:rsidRDefault="00A42485" w:rsidP="00BC254A">
            <w:pPr>
              <w:pStyle w:val="NoSpacing"/>
              <w:rPr>
                <w:sz w:val="20"/>
                <w:szCs w:val="20"/>
              </w:rPr>
            </w:pPr>
            <w:r w:rsidRPr="00317198">
              <w:rPr>
                <w:sz w:val="20"/>
                <w:szCs w:val="20"/>
              </w:rPr>
              <w:t>Italy</w:t>
            </w:r>
          </w:p>
        </w:tc>
        <w:tc>
          <w:tcPr>
            <w:tcW w:w="1794" w:type="dxa"/>
            <w:shd w:val="clear" w:color="auto" w:fill="auto"/>
            <w:vAlign w:val="center"/>
          </w:tcPr>
          <w:p w14:paraId="7E2EB574" w14:textId="314C87A6"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60F41435" w14:textId="38EA8D07"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auto"/>
            <w:vAlign w:val="center"/>
          </w:tcPr>
          <w:p w14:paraId="0EB812D8" w14:textId="193105D6"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46B796ED" w14:textId="532564F2" w:rsidR="00A42485" w:rsidRPr="00317198" w:rsidRDefault="004A1A4F" w:rsidP="00BC254A">
            <w:pPr>
              <w:pStyle w:val="NoSpacing"/>
              <w:jc w:val="center"/>
              <w:rPr>
                <w:sz w:val="20"/>
                <w:szCs w:val="20"/>
              </w:rPr>
            </w:pPr>
            <w:r w:rsidRPr="00317198">
              <w:rPr>
                <w:sz w:val="20"/>
                <w:szCs w:val="20"/>
              </w:rPr>
              <w:t>↔</w:t>
            </w:r>
          </w:p>
        </w:tc>
      </w:tr>
      <w:tr w:rsidR="00A42485" w:rsidRPr="00317198" w14:paraId="66056468" w14:textId="77777777" w:rsidTr="00BC254A">
        <w:trPr>
          <w:trHeight w:val="284"/>
        </w:trPr>
        <w:tc>
          <w:tcPr>
            <w:tcW w:w="1838" w:type="dxa"/>
            <w:shd w:val="clear" w:color="auto" w:fill="F2F2F2" w:themeFill="background1" w:themeFillShade="F2"/>
            <w:vAlign w:val="center"/>
          </w:tcPr>
          <w:p w14:paraId="213FF136" w14:textId="77777777" w:rsidR="00A42485" w:rsidRPr="00317198" w:rsidRDefault="00A42485" w:rsidP="00BC254A">
            <w:pPr>
              <w:pStyle w:val="NoSpacing"/>
              <w:rPr>
                <w:sz w:val="20"/>
                <w:szCs w:val="20"/>
              </w:rPr>
            </w:pPr>
            <w:r w:rsidRPr="00317198">
              <w:rPr>
                <w:sz w:val="20"/>
                <w:szCs w:val="20"/>
              </w:rPr>
              <w:t>Netherlands</w:t>
            </w:r>
          </w:p>
        </w:tc>
        <w:tc>
          <w:tcPr>
            <w:tcW w:w="1794" w:type="dxa"/>
            <w:shd w:val="clear" w:color="auto" w:fill="F2F2F2" w:themeFill="background1" w:themeFillShade="F2"/>
            <w:vAlign w:val="center"/>
          </w:tcPr>
          <w:p w14:paraId="2D1559BE" w14:textId="5FFCCB23"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27209F8C" w14:textId="280A945D"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F2F2F2" w:themeFill="background1" w:themeFillShade="F2"/>
            <w:vAlign w:val="center"/>
          </w:tcPr>
          <w:p w14:paraId="29958950" w14:textId="08B99061"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68C19887" w14:textId="18A37DFF" w:rsidR="00A42485" w:rsidRPr="00317198" w:rsidRDefault="004A1A4F" w:rsidP="00BC254A">
            <w:pPr>
              <w:pStyle w:val="NoSpacing"/>
              <w:jc w:val="center"/>
              <w:rPr>
                <w:sz w:val="20"/>
                <w:szCs w:val="20"/>
              </w:rPr>
            </w:pPr>
            <w:r w:rsidRPr="00317198">
              <w:rPr>
                <w:sz w:val="20"/>
                <w:szCs w:val="20"/>
              </w:rPr>
              <w:t>↔</w:t>
            </w:r>
          </w:p>
        </w:tc>
      </w:tr>
      <w:tr w:rsidR="00A42485" w:rsidRPr="00317198" w14:paraId="74FEEAD5" w14:textId="77777777" w:rsidTr="00BC254A">
        <w:trPr>
          <w:trHeight w:val="284"/>
        </w:trPr>
        <w:tc>
          <w:tcPr>
            <w:tcW w:w="1838" w:type="dxa"/>
            <w:shd w:val="clear" w:color="auto" w:fill="auto"/>
            <w:vAlign w:val="center"/>
          </w:tcPr>
          <w:p w14:paraId="77E9E329" w14:textId="77777777" w:rsidR="00A42485" w:rsidRPr="00317198" w:rsidRDefault="00A42485" w:rsidP="00BC254A">
            <w:pPr>
              <w:pStyle w:val="NoSpacing"/>
              <w:rPr>
                <w:sz w:val="20"/>
                <w:szCs w:val="20"/>
              </w:rPr>
            </w:pPr>
            <w:r w:rsidRPr="00317198">
              <w:rPr>
                <w:sz w:val="20"/>
                <w:szCs w:val="20"/>
              </w:rPr>
              <w:t>Norway</w:t>
            </w:r>
          </w:p>
        </w:tc>
        <w:tc>
          <w:tcPr>
            <w:tcW w:w="1794" w:type="dxa"/>
            <w:shd w:val="clear" w:color="auto" w:fill="auto"/>
            <w:vAlign w:val="center"/>
          </w:tcPr>
          <w:p w14:paraId="62BCA5FC" w14:textId="0009E3C5"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7A38ABC1" w14:textId="73D75CA8"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auto"/>
            <w:vAlign w:val="center"/>
          </w:tcPr>
          <w:p w14:paraId="6B220AF0" w14:textId="51E47E1A"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140A94E6" w14:textId="52015840" w:rsidR="00A42485" w:rsidRPr="00317198" w:rsidRDefault="004A1A4F" w:rsidP="00BC254A">
            <w:pPr>
              <w:pStyle w:val="NoSpacing"/>
              <w:jc w:val="center"/>
              <w:rPr>
                <w:sz w:val="20"/>
                <w:szCs w:val="20"/>
              </w:rPr>
            </w:pPr>
            <w:r w:rsidRPr="00317198">
              <w:rPr>
                <w:sz w:val="20"/>
                <w:szCs w:val="20"/>
              </w:rPr>
              <w:t>↔</w:t>
            </w:r>
          </w:p>
        </w:tc>
      </w:tr>
      <w:tr w:rsidR="00A42485" w:rsidRPr="00317198" w14:paraId="6E20960F" w14:textId="77777777" w:rsidTr="00BC254A">
        <w:trPr>
          <w:trHeight w:val="284"/>
        </w:trPr>
        <w:tc>
          <w:tcPr>
            <w:tcW w:w="1838" w:type="dxa"/>
            <w:shd w:val="clear" w:color="auto" w:fill="F2F2F2" w:themeFill="background1" w:themeFillShade="F2"/>
            <w:vAlign w:val="center"/>
          </w:tcPr>
          <w:p w14:paraId="7283DED1" w14:textId="77777777" w:rsidR="00A42485" w:rsidRPr="00317198" w:rsidRDefault="00A42485" w:rsidP="00BC254A">
            <w:pPr>
              <w:pStyle w:val="NoSpacing"/>
              <w:rPr>
                <w:sz w:val="20"/>
                <w:szCs w:val="20"/>
              </w:rPr>
            </w:pPr>
            <w:r w:rsidRPr="00317198">
              <w:rPr>
                <w:sz w:val="20"/>
                <w:szCs w:val="20"/>
              </w:rPr>
              <w:t>Poland</w:t>
            </w:r>
          </w:p>
        </w:tc>
        <w:tc>
          <w:tcPr>
            <w:tcW w:w="1794" w:type="dxa"/>
            <w:shd w:val="clear" w:color="auto" w:fill="F2F2F2" w:themeFill="background1" w:themeFillShade="F2"/>
            <w:vAlign w:val="center"/>
          </w:tcPr>
          <w:p w14:paraId="4807F86D" w14:textId="1673BF2E"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74D25B37" w14:textId="7A22D1C7" w:rsidR="00A42485" w:rsidRPr="00317198" w:rsidRDefault="00AF432C" w:rsidP="00BC254A">
            <w:pPr>
              <w:pStyle w:val="NoSpacing"/>
              <w:jc w:val="center"/>
              <w:rPr>
                <w:sz w:val="20"/>
                <w:szCs w:val="20"/>
              </w:rPr>
            </w:pPr>
            <w:r w:rsidRPr="00317198">
              <w:rPr>
                <w:sz w:val="20"/>
                <w:szCs w:val="20"/>
              </w:rPr>
              <w:t>Reduced</w:t>
            </w:r>
            <w:r w:rsidR="0059001F" w:rsidRPr="00317198">
              <w:rPr>
                <w:sz w:val="20"/>
                <w:szCs w:val="20"/>
              </w:rPr>
              <w:t xml:space="preserve"> ↓</w:t>
            </w:r>
          </w:p>
        </w:tc>
        <w:tc>
          <w:tcPr>
            <w:tcW w:w="1794" w:type="dxa"/>
            <w:shd w:val="clear" w:color="auto" w:fill="F2F2F2" w:themeFill="background1" w:themeFillShade="F2"/>
            <w:vAlign w:val="center"/>
          </w:tcPr>
          <w:p w14:paraId="45024338" w14:textId="6C307D8B" w:rsidR="00A42485" w:rsidRPr="00317198" w:rsidRDefault="00934B1B" w:rsidP="00BC254A">
            <w:pPr>
              <w:pStyle w:val="NoSpacing"/>
              <w:jc w:val="center"/>
              <w:rPr>
                <w:sz w:val="20"/>
                <w:szCs w:val="20"/>
              </w:rPr>
            </w:pPr>
            <w:r w:rsidRPr="00317198">
              <w:rPr>
                <w:sz w:val="20"/>
                <w:szCs w:val="20"/>
              </w:rPr>
              <w:t>Reduced</w:t>
            </w:r>
            <w:r w:rsidR="0059001F" w:rsidRPr="00317198">
              <w:rPr>
                <w:sz w:val="20"/>
                <w:szCs w:val="20"/>
              </w:rPr>
              <w:t xml:space="preserve"> ↓</w:t>
            </w:r>
          </w:p>
        </w:tc>
        <w:tc>
          <w:tcPr>
            <w:tcW w:w="1795" w:type="dxa"/>
            <w:shd w:val="clear" w:color="auto" w:fill="F2F2F2" w:themeFill="background1" w:themeFillShade="F2"/>
            <w:vAlign w:val="center"/>
          </w:tcPr>
          <w:p w14:paraId="02D9871A" w14:textId="77FF22C2" w:rsidR="00A42485" w:rsidRPr="00317198" w:rsidRDefault="00B85AEC" w:rsidP="00BC254A">
            <w:pPr>
              <w:pStyle w:val="NoSpacing"/>
              <w:jc w:val="center"/>
              <w:rPr>
                <w:sz w:val="20"/>
                <w:szCs w:val="20"/>
              </w:rPr>
            </w:pPr>
            <w:r w:rsidRPr="00317198">
              <w:rPr>
                <w:sz w:val="20"/>
                <w:szCs w:val="20"/>
              </w:rPr>
              <w:t>Reduced</w:t>
            </w:r>
            <w:r w:rsidR="0059001F" w:rsidRPr="00317198">
              <w:rPr>
                <w:sz w:val="20"/>
                <w:szCs w:val="20"/>
              </w:rPr>
              <w:t xml:space="preserve"> ↓</w:t>
            </w:r>
          </w:p>
        </w:tc>
      </w:tr>
      <w:tr w:rsidR="00A42485" w:rsidRPr="00317198" w14:paraId="2FFE8434" w14:textId="77777777" w:rsidTr="00BC254A">
        <w:trPr>
          <w:trHeight w:val="284"/>
        </w:trPr>
        <w:tc>
          <w:tcPr>
            <w:tcW w:w="1838" w:type="dxa"/>
            <w:shd w:val="clear" w:color="auto" w:fill="auto"/>
            <w:vAlign w:val="center"/>
          </w:tcPr>
          <w:p w14:paraId="73299E55" w14:textId="77777777" w:rsidR="00A42485" w:rsidRPr="00317198" w:rsidRDefault="00A42485" w:rsidP="00BC254A">
            <w:pPr>
              <w:pStyle w:val="NoSpacing"/>
              <w:rPr>
                <w:sz w:val="20"/>
                <w:szCs w:val="20"/>
              </w:rPr>
            </w:pPr>
            <w:r w:rsidRPr="00317198">
              <w:rPr>
                <w:sz w:val="20"/>
                <w:szCs w:val="20"/>
              </w:rPr>
              <w:t>Portugal</w:t>
            </w:r>
          </w:p>
        </w:tc>
        <w:tc>
          <w:tcPr>
            <w:tcW w:w="1794" w:type="dxa"/>
            <w:shd w:val="clear" w:color="auto" w:fill="auto"/>
            <w:vAlign w:val="center"/>
          </w:tcPr>
          <w:p w14:paraId="1EAC0E67" w14:textId="717A0D8B"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49B15212" w14:textId="6885E60D"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auto"/>
            <w:vAlign w:val="center"/>
          </w:tcPr>
          <w:p w14:paraId="32A64F69" w14:textId="45C6935F"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314144F0" w14:textId="11E56650" w:rsidR="00A42485" w:rsidRPr="00317198" w:rsidRDefault="0017573F" w:rsidP="00BC254A">
            <w:pPr>
              <w:pStyle w:val="NoSpacing"/>
              <w:jc w:val="center"/>
              <w:rPr>
                <w:sz w:val="20"/>
                <w:szCs w:val="20"/>
              </w:rPr>
            </w:pPr>
            <w:r w:rsidRPr="00317198">
              <w:rPr>
                <w:sz w:val="20"/>
                <w:szCs w:val="20"/>
              </w:rPr>
              <w:t>Reduced</w:t>
            </w:r>
            <w:r w:rsidR="0059001F" w:rsidRPr="00317198">
              <w:rPr>
                <w:sz w:val="20"/>
                <w:szCs w:val="20"/>
              </w:rPr>
              <w:t xml:space="preserve"> ↓</w:t>
            </w:r>
          </w:p>
        </w:tc>
      </w:tr>
      <w:tr w:rsidR="00A42485" w:rsidRPr="00317198" w14:paraId="0E82743C" w14:textId="77777777" w:rsidTr="00BC254A">
        <w:trPr>
          <w:trHeight w:val="284"/>
        </w:trPr>
        <w:tc>
          <w:tcPr>
            <w:tcW w:w="1838" w:type="dxa"/>
            <w:shd w:val="clear" w:color="auto" w:fill="F2F2F2" w:themeFill="background1" w:themeFillShade="F2"/>
            <w:vAlign w:val="center"/>
          </w:tcPr>
          <w:p w14:paraId="522290A3" w14:textId="77777777" w:rsidR="00A42485" w:rsidRPr="00317198" w:rsidRDefault="00A42485" w:rsidP="00BC254A">
            <w:pPr>
              <w:pStyle w:val="NoSpacing"/>
              <w:rPr>
                <w:sz w:val="20"/>
                <w:szCs w:val="20"/>
              </w:rPr>
            </w:pPr>
            <w:r w:rsidRPr="00317198">
              <w:rPr>
                <w:sz w:val="20"/>
                <w:szCs w:val="20"/>
              </w:rPr>
              <w:t>Romania</w:t>
            </w:r>
          </w:p>
        </w:tc>
        <w:tc>
          <w:tcPr>
            <w:tcW w:w="1794" w:type="dxa"/>
            <w:shd w:val="clear" w:color="auto" w:fill="F2F2F2" w:themeFill="background1" w:themeFillShade="F2"/>
            <w:vAlign w:val="center"/>
          </w:tcPr>
          <w:p w14:paraId="13139D93" w14:textId="72668014"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7290DA81" w14:textId="2FE13FB9" w:rsidR="00A42485" w:rsidRPr="00317198" w:rsidRDefault="00AF432C" w:rsidP="00BC254A">
            <w:pPr>
              <w:pStyle w:val="NoSpacing"/>
              <w:jc w:val="center"/>
              <w:rPr>
                <w:sz w:val="20"/>
                <w:szCs w:val="20"/>
              </w:rPr>
            </w:pPr>
            <w:r w:rsidRPr="00317198">
              <w:rPr>
                <w:sz w:val="20"/>
                <w:szCs w:val="20"/>
              </w:rPr>
              <w:t>Increased</w:t>
            </w:r>
            <w:r w:rsidR="0059001F" w:rsidRPr="00317198">
              <w:rPr>
                <w:sz w:val="20"/>
                <w:szCs w:val="20"/>
              </w:rPr>
              <w:t xml:space="preserve"> ↑</w:t>
            </w:r>
          </w:p>
        </w:tc>
        <w:tc>
          <w:tcPr>
            <w:tcW w:w="1794" w:type="dxa"/>
            <w:shd w:val="clear" w:color="auto" w:fill="F2F2F2" w:themeFill="background1" w:themeFillShade="F2"/>
            <w:vAlign w:val="center"/>
          </w:tcPr>
          <w:p w14:paraId="3A1B795B" w14:textId="22A9EE87" w:rsidR="00A42485" w:rsidRPr="00317198" w:rsidRDefault="00A31207" w:rsidP="00BC254A">
            <w:pPr>
              <w:pStyle w:val="NoSpacing"/>
              <w:jc w:val="center"/>
              <w:rPr>
                <w:sz w:val="20"/>
                <w:szCs w:val="20"/>
              </w:rPr>
            </w:pPr>
            <w:r w:rsidRPr="00317198">
              <w:rPr>
                <w:sz w:val="20"/>
                <w:szCs w:val="20"/>
              </w:rPr>
              <w:t>Reduced</w:t>
            </w:r>
            <w:r w:rsidR="0059001F" w:rsidRPr="00317198">
              <w:rPr>
                <w:sz w:val="20"/>
                <w:szCs w:val="20"/>
              </w:rPr>
              <w:t xml:space="preserve"> ↓</w:t>
            </w:r>
          </w:p>
        </w:tc>
        <w:tc>
          <w:tcPr>
            <w:tcW w:w="1795" w:type="dxa"/>
            <w:shd w:val="clear" w:color="auto" w:fill="F2F2F2" w:themeFill="background1" w:themeFillShade="F2"/>
            <w:vAlign w:val="center"/>
          </w:tcPr>
          <w:p w14:paraId="4B0B6084" w14:textId="61E4A893" w:rsidR="00A42485" w:rsidRPr="00317198" w:rsidRDefault="00E4364A" w:rsidP="00BC254A">
            <w:pPr>
              <w:pStyle w:val="NoSpacing"/>
              <w:jc w:val="center"/>
              <w:rPr>
                <w:sz w:val="20"/>
                <w:szCs w:val="20"/>
              </w:rPr>
            </w:pPr>
            <w:r w:rsidRPr="00317198">
              <w:rPr>
                <w:sz w:val="20"/>
                <w:szCs w:val="20"/>
              </w:rPr>
              <w:t>Increased</w:t>
            </w:r>
            <w:r w:rsidR="0059001F" w:rsidRPr="00317198">
              <w:rPr>
                <w:sz w:val="20"/>
                <w:szCs w:val="20"/>
              </w:rPr>
              <w:t xml:space="preserve"> ↑</w:t>
            </w:r>
          </w:p>
        </w:tc>
      </w:tr>
      <w:tr w:rsidR="00A42485" w:rsidRPr="00317198" w14:paraId="4CD1C930" w14:textId="77777777" w:rsidTr="00BC254A">
        <w:trPr>
          <w:trHeight w:val="284"/>
        </w:trPr>
        <w:tc>
          <w:tcPr>
            <w:tcW w:w="1838" w:type="dxa"/>
            <w:shd w:val="clear" w:color="auto" w:fill="auto"/>
            <w:vAlign w:val="center"/>
          </w:tcPr>
          <w:p w14:paraId="3DB1D1D4" w14:textId="77777777" w:rsidR="00A42485" w:rsidRPr="00317198" w:rsidRDefault="00A42485" w:rsidP="00BC254A">
            <w:pPr>
              <w:pStyle w:val="NoSpacing"/>
              <w:rPr>
                <w:sz w:val="20"/>
                <w:szCs w:val="20"/>
              </w:rPr>
            </w:pPr>
            <w:r w:rsidRPr="00317198">
              <w:rPr>
                <w:sz w:val="20"/>
                <w:szCs w:val="20"/>
              </w:rPr>
              <w:t>Spain</w:t>
            </w:r>
          </w:p>
        </w:tc>
        <w:tc>
          <w:tcPr>
            <w:tcW w:w="1794" w:type="dxa"/>
            <w:shd w:val="clear" w:color="auto" w:fill="auto"/>
            <w:vAlign w:val="center"/>
          </w:tcPr>
          <w:p w14:paraId="69CB760C" w14:textId="614C6D55"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3D7CA7DD" w14:textId="6CF75BB3"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auto"/>
            <w:vAlign w:val="center"/>
          </w:tcPr>
          <w:p w14:paraId="7240ACA3" w14:textId="6E107AE0"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362BE3E0" w14:textId="2892CC07" w:rsidR="00A42485" w:rsidRPr="00317198" w:rsidRDefault="00634416" w:rsidP="00BC254A">
            <w:pPr>
              <w:pStyle w:val="NoSpacing"/>
              <w:jc w:val="center"/>
              <w:rPr>
                <w:sz w:val="20"/>
                <w:szCs w:val="20"/>
              </w:rPr>
            </w:pPr>
            <w:r w:rsidRPr="00317198">
              <w:rPr>
                <w:sz w:val="20"/>
                <w:szCs w:val="20"/>
              </w:rPr>
              <w:t>Reduced</w:t>
            </w:r>
            <w:r w:rsidR="0059001F" w:rsidRPr="00317198">
              <w:rPr>
                <w:sz w:val="20"/>
                <w:szCs w:val="20"/>
              </w:rPr>
              <w:t xml:space="preserve"> ↓</w:t>
            </w:r>
          </w:p>
        </w:tc>
      </w:tr>
      <w:tr w:rsidR="00A42485" w:rsidRPr="00317198" w14:paraId="799F1C06" w14:textId="77777777" w:rsidTr="00BC254A">
        <w:trPr>
          <w:trHeight w:val="284"/>
        </w:trPr>
        <w:tc>
          <w:tcPr>
            <w:tcW w:w="1838" w:type="dxa"/>
            <w:shd w:val="clear" w:color="auto" w:fill="F2F2F2" w:themeFill="background1" w:themeFillShade="F2"/>
            <w:vAlign w:val="center"/>
          </w:tcPr>
          <w:p w14:paraId="272014D9" w14:textId="77777777" w:rsidR="00A42485" w:rsidRPr="00317198" w:rsidRDefault="00A42485" w:rsidP="00BC254A">
            <w:pPr>
              <w:pStyle w:val="NoSpacing"/>
              <w:rPr>
                <w:sz w:val="20"/>
                <w:szCs w:val="20"/>
              </w:rPr>
            </w:pPr>
            <w:r w:rsidRPr="00317198">
              <w:rPr>
                <w:sz w:val="20"/>
                <w:szCs w:val="20"/>
              </w:rPr>
              <w:t>Sweden</w:t>
            </w:r>
          </w:p>
        </w:tc>
        <w:tc>
          <w:tcPr>
            <w:tcW w:w="1794" w:type="dxa"/>
            <w:shd w:val="clear" w:color="auto" w:fill="F2F2F2" w:themeFill="background1" w:themeFillShade="F2"/>
            <w:vAlign w:val="center"/>
          </w:tcPr>
          <w:p w14:paraId="14CC9D94" w14:textId="4C0B4FA3"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08C5FAF4" w14:textId="1BFDA6DE"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F2F2F2" w:themeFill="background1" w:themeFillShade="F2"/>
            <w:vAlign w:val="center"/>
          </w:tcPr>
          <w:p w14:paraId="2E39215B" w14:textId="0946DBA3"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60C17B2B" w14:textId="19F7C9B1" w:rsidR="00A42485" w:rsidRPr="00317198" w:rsidRDefault="004A1A4F" w:rsidP="00BC254A">
            <w:pPr>
              <w:pStyle w:val="NoSpacing"/>
              <w:jc w:val="center"/>
              <w:rPr>
                <w:sz w:val="20"/>
                <w:szCs w:val="20"/>
              </w:rPr>
            </w:pPr>
            <w:r w:rsidRPr="00317198">
              <w:rPr>
                <w:sz w:val="20"/>
                <w:szCs w:val="20"/>
              </w:rPr>
              <w:t>↔</w:t>
            </w:r>
          </w:p>
        </w:tc>
      </w:tr>
      <w:tr w:rsidR="00A42485" w:rsidRPr="00317198" w14:paraId="50B951B4" w14:textId="77777777" w:rsidTr="00BC254A">
        <w:trPr>
          <w:trHeight w:val="284"/>
        </w:trPr>
        <w:tc>
          <w:tcPr>
            <w:tcW w:w="1838" w:type="dxa"/>
            <w:shd w:val="clear" w:color="auto" w:fill="auto"/>
            <w:vAlign w:val="center"/>
          </w:tcPr>
          <w:p w14:paraId="68031899" w14:textId="77777777" w:rsidR="00A42485" w:rsidRPr="00317198" w:rsidRDefault="00A42485" w:rsidP="00BC254A">
            <w:pPr>
              <w:pStyle w:val="NoSpacing"/>
              <w:rPr>
                <w:sz w:val="20"/>
                <w:szCs w:val="20"/>
              </w:rPr>
            </w:pPr>
            <w:r w:rsidRPr="00317198">
              <w:rPr>
                <w:sz w:val="20"/>
                <w:szCs w:val="20"/>
              </w:rPr>
              <w:t>Switzerland</w:t>
            </w:r>
          </w:p>
        </w:tc>
        <w:tc>
          <w:tcPr>
            <w:tcW w:w="1794" w:type="dxa"/>
            <w:shd w:val="clear" w:color="auto" w:fill="auto"/>
            <w:vAlign w:val="center"/>
          </w:tcPr>
          <w:p w14:paraId="59D3A0B0" w14:textId="68FB006C"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26C86A7D" w14:textId="504FAF1C"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auto"/>
            <w:vAlign w:val="center"/>
          </w:tcPr>
          <w:p w14:paraId="71A9FC1F" w14:textId="7E64C438"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auto"/>
            <w:vAlign w:val="center"/>
          </w:tcPr>
          <w:p w14:paraId="213A32BD" w14:textId="7A0481E3" w:rsidR="00A42485" w:rsidRPr="00317198" w:rsidRDefault="004A1A4F" w:rsidP="00BC254A">
            <w:pPr>
              <w:pStyle w:val="NoSpacing"/>
              <w:jc w:val="center"/>
              <w:rPr>
                <w:sz w:val="20"/>
                <w:szCs w:val="20"/>
              </w:rPr>
            </w:pPr>
            <w:r w:rsidRPr="00317198">
              <w:rPr>
                <w:sz w:val="20"/>
                <w:szCs w:val="20"/>
              </w:rPr>
              <w:t>↔</w:t>
            </w:r>
          </w:p>
        </w:tc>
      </w:tr>
      <w:tr w:rsidR="00A42485" w:rsidRPr="00317198" w14:paraId="52D0C110" w14:textId="77777777" w:rsidTr="00BC254A">
        <w:trPr>
          <w:trHeight w:val="284"/>
        </w:trPr>
        <w:tc>
          <w:tcPr>
            <w:tcW w:w="1838" w:type="dxa"/>
            <w:shd w:val="clear" w:color="auto" w:fill="F2F2F2" w:themeFill="background1" w:themeFillShade="F2"/>
            <w:vAlign w:val="center"/>
          </w:tcPr>
          <w:p w14:paraId="70804672" w14:textId="77777777" w:rsidR="00A42485" w:rsidRPr="00317198" w:rsidRDefault="00A42485" w:rsidP="00BC254A">
            <w:pPr>
              <w:pStyle w:val="NoSpacing"/>
              <w:rPr>
                <w:sz w:val="20"/>
                <w:szCs w:val="20"/>
              </w:rPr>
            </w:pPr>
            <w:r w:rsidRPr="00317198">
              <w:rPr>
                <w:sz w:val="20"/>
                <w:szCs w:val="20"/>
              </w:rPr>
              <w:t>United Kingdom</w:t>
            </w:r>
          </w:p>
        </w:tc>
        <w:tc>
          <w:tcPr>
            <w:tcW w:w="1794" w:type="dxa"/>
            <w:shd w:val="clear" w:color="auto" w:fill="F2F2F2" w:themeFill="background1" w:themeFillShade="F2"/>
            <w:vAlign w:val="center"/>
          </w:tcPr>
          <w:p w14:paraId="041B7E60" w14:textId="004C11C5" w:rsidR="00A42485" w:rsidRPr="00317198" w:rsidRDefault="004A1A4F" w:rsidP="00BC254A">
            <w:pPr>
              <w:pStyle w:val="NoSpacing"/>
              <w:jc w:val="center"/>
              <w:rPr>
                <w:sz w:val="20"/>
                <w:szCs w:val="20"/>
              </w:rPr>
            </w:pPr>
            <w:r w:rsidRPr="00317198">
              <w:rPr>
                <w:sz w:val="20"/>
                <w:szCs w:val="20"/>
              </w:rPr>
              <w:t>↔</w:t>
            </w:r>
          </w:p>
        </w:tc>
        <w:tc>
          <w:tcPr>
            <w:tcW w:w="1795" w:type="dxa"/>
            <w:shd w:val="clear" w:color="auto" w:fill="F2F2F2" w:themeFill="background1" w:themeFillShade="F2"/>
            <w:vAlign w:val="center"/>
          </w:tcPr>
          <w:p w14:paraId="2DCBDF33" w14:textId="01526094" w:rsidR="00A42485" w:rsidRPr="00317198" w:rsidRDefault="004A1A4F" w:rsidP="00BC254A">
            <w:pPr>
              <w:pStyle w:val="NoSpacing"/>
              <w:jc w:val="center"/>
              <w:rPr>
                <w:sz w:val="20"/>
                <w:szCs w:val="20"/>
              </w:rPr>
            </w:pPr>
            <w:r w:rsidRPr="00317198">
              <w:rPr>
                <w:sz w:val="20"/>
                <w:szCs w:val="20"/>
              </w:rPr>
              <w:t>↔</w:t>
            </w:r>
          </w:p>
        </w:tc>
        <w:tc>
          <w:tcPr>
            <w:tcW w:w="1794" w:type="dxa"/>
            <w:shd w:val="clear" w:color="auto" w:fill="F2F2F2" w:themeFill="background1" w:themeFillShade="F2"/>
            <w:vAlign w:val="center"/>
          </w:tcPr>
          <w:p w14:paraId="013E7575" w14:textId="2B13660A" w:rsidR="00A42485" w:rsidRPr="00317198" w:rsidRDefault="0091798B" w:rsidP="00BC254A">
            <w:pPr>
              <w:pStyle w:val="NoSpacing"/>
              <w:jc w:val="center"/>
              <w:rPr>
                <w:sz w:val="20"/>
                <w:szCs w:val="20"/>
              </w:rPr>
            </w:pPr>
            <w:r w:rsidRPr="00317198">
              <w:rPr>
                <w:sz w:val="20"/>
                <w:szCs w:val="20"/>
              </w:rPr>
              <w:t>Increased</w:t>
            </w:r>
            <w:r w:rsidR="0059001F" w:rsidRPr="00317198">
              <w:rPr>
                <w:sz w:val="20"/>
                <w:szCs w:val="20"/>
              </w:rPr>
              <w:t xml:space="preserve"> ↑</w:t>
            </w:r>
          </w:p>
        </w:tc>
        <w:tc>
          <w:tcPr>
            <w:tcW w:w="1795" w:type="dxa"/>
            <w:shd w:val="clear" w:color="auto" w:fill="F2F2F2" w:themeFill="background1" w:themeFillShade="F2"/>
            <w:vAlign w:val="center"/>
          </w:tcPr>
          <w:p w14:paraId="542CB962" w14:textId="7AC88789" w:rsidR="00A42485" w:rsidRPr="00317198" w:rsidRDefault="004A1A4F" w:rsidP="00BC254A">
            <w:pPr>
              <w:pStyle w:val="NoSpacing"/>
              <w:jc w:val="center"/>
              <w:rPr>
                <w:sz w:val="20"/>
                <w:szCs w:val="20"/>
              </w:rPr>
            </w:pPr>
            <w:r w:rsidRPr="00317198">
              <w:rPr>
                <w:sz w:val="20"/>
                <w:szCs w:val="20"/>
              </w:rPr>
              <w:t>↔</w:t>
            </w:r>
          </w:p>
        </w:tc>
      </w:tr>
      <w:tr w:rsidR="002C1079" w:rsidRPr="00317198" w14:paraId="43BA5584" w14:textId="77777777" w:rsidTr="00A64B99">
        <w:trPr>
          <w:trHeight w:val="1099"/>
        </w:trPr>
        <w:tc>
          <w:tcPr>
            <w:tcW w:w="9016" w:type="dxa"/>
            <w:gridSpan w:val="5"/>
            <w:vAlign w:val="center"/>
          </w:tcPr>
          <w:p w14:paraId="17CA3666" w14:textId="35FCD095" w:rsidR="00467D7B" w:rsidRPr="00317198" w:rsidRDefault="00467D7B" w:rsidP="00A64B99">
            <w:pPr>
              <w:pStyle w:val="NoSpacing"/>
              <w:spacing w:after="60"/>
              <w:rPr>
                <w:sz w:val="20"/>
                <w:szCs w:val="20"/>
              </w:rPr>
            </w:pPr>
            <w:r w:rsidRPr="00317198">
              <w:rPr>
                <w:sz w:val="20"/>
                <w:szCs w:val="20"/>
              </w:rPr>
              <w:t>↔</w:t>
            </w:r>
            <w:r w:rsidR="00035338" w:rsidRPr="00317198">
              <w:rPr>
                <w:sz w:val="20"/>
                <w:szCs w:val="20"/>
              </w:rPr>
              <w:t xml:space="preserve"> =</w:t>
            </w:r>
            <w:r w:rsidRPr="00317198">
              <w:rPr>
                <w:sz w:val="20"/>
                <w:szCs w:val="20"/>
              </w:rPr>
              <w:t xml:space="preserve"> </w:t>
            </w:r>
            <w:r w:rsidR="00035338" w:rsidRPr="00317198">
              <w:rPr>
                <w:sz w:val="20"/>
                <w:szCs w:val="20"/>
              </w:rPr>
              <w:t>no statistically significant change in inequalit</w:t>
            </w:r>
            <w:r w:rsidR="001C5D0C" w:rsidRPr="00317198">
              <w:rPr>
                <w:sz w:val="20"/>
                <w:szCs w:val="20"/>
              </w:rPr>
              <w:t>y</w:t>
            </w:r>
            <w:r w:rsidR="00035338" w:rsidRPr="00317198">
              <w:rPr>
                <w:sz w:val="20"/>
                <w:szCs w:val="20"/>
              </w:rPr>
              <w:t xml:space="preserve">; Increased ↑ = statistically significant </w:t>
            </w:r>
            <w:r w:rsidR="0042512E" w:rsidRPr="00317198">
              <w:rPr>
                <w:sz w:val="20"/>
                <w:szCs w:val="20"/>
              </w:rPr>
              <w:t>increase in inequality; Reduced ↓ = statistically significant reduction in inequality.</w:t>
            </w:r>
          </w:p>
          <w:p w14:paraId="22232A95" w14:textId="1445A3BC" w:rsidR="0006680E" w:rsidRPr="00317198" w:rsidRDefault="002C1079" w:rsidP="00A64B99">
            <w:pPr>
              <w:pStyle w:val="NoSpacing"/>
              <w:spacing w:after="60"/>
              <w:rPr>
                <w:sz w:val="20"/>
                <w:szCs w:val="20"/>
              </w:rPr>
            </w:pPr>
            <w:r w:rsidRPr="00317198">
              <w:rPr>
                <w:sz w:val="20"/>
                <w:szCs w:val="20"/>
              </w:rPr>
              <w:t xml:space="preserve">*Based on average percentage change in relative inequalities using Gini coefficient </w:t>
            </w:r>
            <w:r w:rsidR="002652BB" w:rsidRPr="00317198">
              <w:rPr>
                <w:sz w:val="20"/>
                <w:szCs w:val="20"/>
              </w:rPr>
              <w:t>of subnational regions (NUTS 2) YLLs from 2009-2019, per sex and country and across all EEA regions.</w:t>
            </w:r>
          </w:p>
          <w:p w14:paraId="78FF74BB" w14:textId="28B146D8" w:rsidR="0042512E" w:rsidRPr="00317198" w:rsidRDefault="002652BB" w:rsidP="00A64B99">
            <w:pPr>
              <w:pStyle w:val="NoSpacing"/>
              <w:spacing w:after="60"/>
              <w:rPr>
                <w:sz w:val="20"/>
                <w:szCs w:val="20"/>
              </w:rPr>
            </w:pPr>
            <w:r w:rsidRPr="00317198">
              <w:rPr>
                <w:sz w:val="20"/>
                <w:szCs w:val="20"/>
              </w:rPr>
              <w:t xml:space="preserve">**Based on </w:t>
            </w:r>
            <w:r w:rsidR="00792C6E" w:rsidRPr="00317198">
              <w:rPr>
                <w:sz w:val="20"/>
                <w:szCs w:val="20"/>
              </w:rPr>
              <w:t>average annual change in absolute inequalities using slope index of inequality</w:t>
            </w:r>
            <w:r w:rsidR="00BC271E" w:rsidRPr="00317198">
              <w:rPr>
                <w:sz w:val="20"/>
                <w:szCs w:val="20"/>
              </w:rPr>
              <w:t xml:space="preserve"> (SII)</w:t>
            </w:r>
            <w:r w:rsidR="00792C6E" w:rsidRPr="00317198">
              <w:rPr>
                <w:sz w:val="20"/>
                <w:szCs w:val="20"/>
              </w:rPr>
              <w:t xml:space="preserve"> of subnational regions (NUTS 2) YLLs from 2009-2019, per sex and country and across all EEA regions.</w:t>
            </w:r>
          </w:p>
          <w:p w14:paraId="195096EA" w14:textId="53081AF8" w:rsidR="002652BB" w:rsidRPr="00317198" w:rsidRDefault="00074E1F" w:rsidP="00A64B99">
            <w:pPr>
              <w:pStyle w:val="NoSpacing"/>
              <w:spacing w:after="60"/>
              <w:rPr>
                <w:sz w:val="20"/>
                <w:szCs w:val="20"/>
              </w:rPr>
            </w:pPr>
            <w:r w:rsidRPr="00317198">
              <w:rPr>
                <w:sz w:val="20"/>
                <w:szCs w:val="20"/>
              </w:rPr>
              <w:t>NUTS = Nomenclature of Territorial Units for Statistics.</w:t>
            </w:r>
          </w:p>
        </w:tc>
      </w:tr>
    </w:tbl>
    <w:p w14:paraId="0DFA220F" w14:textId="496B19B2" w:rsidR="00E064C9" w:rsidRDefault="00074E1F" w:rsidP="009D698A">
      <w:pPr>
        <w:spacing w:before="240"/>
      </w:pPr>
      <w:r>
        <w:lastRenderedPageBreak/>
        <w:t xml:space="preserve">Across the studies done in individual countries, many </w:t>
      </w:r>
      <w:r w:rsidR="00F06CEA" w:rsidRPr="00074E1F">
        <w:t>found</w:t>
      </w:r>
      <w:r>
        <w:t xml:space="preserve"> similar patterns to the Chen-Xu et al. (2024) stud</w:t>
      </w:r>
      <w:r w:rsidR="001412F3">
        <w:t>y</w:t>
      </w:r>
      <w:r>
        <w:t xml:space="preserve">. </w:t>
      </w:r>
      <w:r w:rsidR="005E426F">
        <w:t>There were</w:t>
      </w:r>
      <w:r w:rsidR="00F01E7A" w:rsidRPr="00074E1F">
        <w:t xml:space="preserve"> </w:t>
      </w:r>
      <w:r w:rsidR="005E426F">
        <w:t xml:space="preserve">overall </w:t>
      </w:r>
      <w:r w:rsidR="00F01E7A" w:rsidRPr="00074E1F">
        <w:t xml:space="preserve">decreases in </w:t>
      </w:r>
      <w:r w:rsidR="00383C6C" w:rsidRPr="00074E1F">
        <w:t>mortality,</w:t>
      </w:r>
      <w:r w:rsidR="00F01E7A" w:rsidRPr="00074E1F">
        <w:t xml:space="preserve"> but</w:t>
      </w:r>
      <w:r w:rsidR="003947E4" w:rsidRPr="00074E1F">
        <w:t xml:space="preserve"> a</w:t>
      </w:r>
      <w:r w:rsidR="005E426F">
        <w:t xml:space="preserve"> persistent</w:t>
      </w:r>
      <w:r w:rsidR="00D15F15">
        <w:t xml:space="preserve"> and in some countries, an increasing</w:t>
      </w:r>
      <w:r w:rsidR="005E426F">
        <w:t xml:space="preserve"> gap based on socioeconomic deprivation. This was observed across both area-level and individual-level measure</w:t>
      </w:r>
      <w:r w:rsidR="008969B2">
        <w:t>s</w:t>
      </w:r>
      <w:r w:rsidR="005E426F">
        <w:t xml:space="preserve"> of inequalit</w:t>
      </w:r>
      <w:r w:rsidR="008969B2">
        <w:t>y</w:t>
      </w:r>
      <w:r w:rsidR="005E426F">
        <w:t xml:space="preserve">. </w:t>
      </w:r>
      <w:r w:rsidR="00E01CFA">
        <w:t xml:space="preserve">Many studies found that the gap between the least and most deprived had </w:t>
      </w:r>
      <w:r w:rsidR="003947E4" w:rsidRPr="00074E1F">
        <w:t>widen</w:t>
      </w:r>
      <w:r w:rsidR="00E01CFA">
        <w:t>ed</w:t>
      </w:r>
      <w:r w:rsidR="008969B2">
        <w:t xml:space="preserve"> over the periods studied</w:t>
      </w:r>
      <w:r w:rsidR="00E01CFA">
        <w:t xml:space="preserve">, including in Denmark (Jensen et al., 2023), </w:t>
      </w:r>
      <w:r w:rsidR="00797B76">
        <w:t>England (</w:t>
      </w:r>
      <w:proofErr w:type="spellStart"/>
      <w:r w:rsidR="00797B76">
        <w:t>Lewer</w:t>
      </w:r>
      <w:proofErr w:type="spellEnd"/>
      <w:r w:rsidR="00797B76">
        <w:t xml:space="preserve"> et al., 2019)</w:t>
      </w:r>
      <w:r w:rsidR="002127A0">
        <w:t>, Wales (</w:t>
      </w:r>
      <w:r w:rsidR="00DC7C25">
        <w:t xml:space="preserve">Currie et al., 2021; </w:t>
      </w:r>
      <w:r w:rsidR="002127A0">
        <w:t>Currie et al., 202</w:t>
      </w:r>
      <w:r w:rsidR="0040024B">
        <w:t>3</w:t>
      </w:r>
      <w:r w:rsidR="002127A0">
        <w:t>) and</w:t>
      </w:r>
      <w:r w:rsidR="008969B2">
        <w:t xml:space="preserve"> </w:t>
      </w:r>
      <w:r w:rsidR="00061A15">
        <w:t xml:space="preserve">the </w:t>
      </w:r>
      <w:r w:rsidR="008969B2">
        <w:t xml:space="preserve">other </w:t>
      </w:r>
      <w:r w:rsidR="00061A15">
        <w:t>countries</w:t>
      </w:r>
      <w:r w:rsidR="008969B2">
        <w:t xml:space="preserve"> of the United Kingdom (Walsh et al., 2020)</w:t>
      </w:r>
      <w:r w:rsidR="00797B76">
        <w:t>, Belgium (</w:t>
      </w:r>
      <w:proofErr w:type="spellStart"/>
      <w:r w:rsidR="00797B76">
        <w:t>Otavova</w:t>
      </w:r>
      <w:proofErr w:type="spellEnd"/>
      <w:r w:rsidR="00797B76">
        <w:t xml:space="preserve"> et al., 2024) </w:t>
      </w:r>
      <w:r w:rsidR="00383C6C">
        <w:t>and Germany (</w:t>
      </w:r>
      <w:proofErr w:type="spellStart"/>
      <w:r w:rsidR="00383C6C">
        <w:t>Tetzlaff</w:t>
      </w:r>
      <w:proofErr w:type="spellEnd"/>
      <w:r w:rsidR="00383C6C">
        <w:t xml:space="preserve"> et al., 2024)</w:t>
      </w:r>
      <w:r w:rsidR="003947E4" w:rsidRPr="00074E1F">
        <w:t xml:space="preserve">. </w:t>
      </w:r>
      <w:r w:rsidR="008969B2">
        <w:t xml:space="preserve">Studies done </w:t>
      </w:r>
      <w:r w:rsidR="00C34F6F">
        <w:t xml:space="preserve">in Germany and the United Kingdom </w:t>
      </w:r>
      <w:r w:rsidR="00061A15">
        <w:t>observed</w:t>
      </w:r>
      <w:r w:rsidR="00C34F6F">
        <w:t xml:space="preserve"> that improvements in mortality had slowed down in the periods after 2009 in Germany (</w:t>
      </w:r>
      <w:proofErr w:type="spellStart"/>
      <w:r w:rsidR="00C34F6F">
        <w:t>Tetzlaff</w:t>
      </w:r>
      <w:proofErr w:type="spellEnd"/>
      <w:r w:rsidR="00C34F6F">
        <w:t xml:space="preserve"> et al., 2024) and after 2011/2013 in England and Scotland (Walsh et al., 2020).</w:t>
      </w:r>
      <w:r w:rsidR="00E92B4A">
        <w:t xml:space="preserve"> Further, Walsh et al. (2020) report</w:t>
      </w:r>
      <w:r w:rsidR="00061A15">
        <w:t>ed</w:t>
      </w:r>
      <w:r w:rsidR="00E92B4A">
        <w:t xml:space="preserve"> that the data suggest a slight increase in mortality among males in Scotland in </w:t>
      </w:r>
      <w:r w:rsidR="005B3C50">
        <w:t>the period between 2015 and 2017.</w:t>
      </w:r>
      <w:r w:rsidR="0043524A">
        <w:t xml:space="preserve"> One exception was Norway, with </w:t>
      </w:r>
      <w:proofErr w:type="spellStart"/>
      <w:r w:rsidR="0043524A">
        <w:t>Clarsen</w:t>
      </w:r>
      <w:proofErr w:type="spellEnd"/>
      <w:r w:rsidR="0043524A">
        <w:t xml:space="preserve"> et al. (2022) finding that small </w:t>
      </w:r>
      <w:r w:rsidR="0043524A" w:rsidRPr="0043524A">
        <w:t xml:space="preserve">regional differences in life expectancy </w:t>
      </w:r>
      <w:r w:rsidR="0043524A">
        <w:t xml:space="preserve">observed </w:t>
      </w:r>
      <w:r w:rsidR="0043524A" w:rsidRPr="0043524A">
        <w:t xml:space="preserve">in 1990 </w:t>
      </w:r>
      <w:r w:rsidR="0043524A">
        <w:t>had</w:t>
      </w:r>
      <w:r w:rsidR="0043524A" w:rsidRPr="0043524A">
        <w:t xml:space="preserve"> decreased by 2019</w:t>
      </w:r>
      <w:r w:rsidR="0043524A">
        <w:t xml:space="preserve">. </w:t>
      </w:r>
      <w:r w:rsidR="00D461E0">
        <w:t>Overall, l</w:t>
      </w:r>
      <w:r w:rsidR="0043524A">
        <w:t xml:space="preserve">evels of </w:t>
      </w:r>
      <w:r w:rsidR="00BD584E">
        <w:t xml:space="preserve">inequality between counties in Norway </w:t>
      </w:r>
      <w:r w:rsidR="00F21F21">
        <w:t>were</w:t>
      </w:r>
      <w:r w:rsidR="00BD584E">
        <w:t xml:space="preserve"> observed to be low (</w:t>
      </w:r>
      <w:proofErr w:type="spellStart"/>
      <w:r w:rsidR="00BD584E">
        <w:t>Clarsen</w:t>
      </w:r>
      <w:proofErr w:type="spellEnd"/>
      <w:r w:rsidR="00BD584E">
        <w:t xml:space="preserve"> et al., 2022).</w:t>
      </w:r>
      <w:r w:rsidR="00912CF0">
        <w:t xml:space="preserve"> </w:t>
      </w:r>
      <w:proofErr w:type="spellStart"/>
      <w:r w:rsidR="00125234">
        <w:t>Suulamo</w:t>
      </w:r>
      <w:proofErr w:type="spellEnd"/>
      <w:r w:rsidR="00125234">
        <w:t xml:space="preserve"> et al. (2021) also found relatively stable </w:t>
      </w:r>
      <w:r w:rsidR="007737A5" w:rsidRPr="00125234">
        <w:t>municipal-level</w:t>
      </w:r>
      <w:r w:rsidR="007737A5">
        <w:t xml:space="preserve"> </w:t>
      </w:r>
      <w:r w:rsidR="00125234">
        <w:t xml:space="preserve">variations in </w:t>
      </w:r>
      <w:r w:rsidR="007737A5">
        <w:t xml:space="preserve">age-adjusted </w:t>
      </w:r>
      <w:r w:rsidR="00125234">
        <w:t>all-cause mortality</w:t>
      </w:r>
      <w:r w:rsidR="0035445B">
        <w:t xml:space="preserve"> in Finland</w:t>
      </w:r>
      <w:r w:rsidR="0097011C">
        <w:t>.</w:t>
      </w:r>
      <w:r w:rsidR="00E273DF">
        <w:t xml:space="preserve"> </w:t>
      </w:r>
      <w:r w:rsidR="0097011C">
        <w:t xml:space="preserve">However, </w:t>
      </w:r>
      <w:r w:rsidR="00661ACB">
        <w:t>an</w:t>
      </w:r>
      <w:r w:rsidR="0097011C">
        <w:t xml:space="preserve"> analysis </w:t>
      </w:r>
      <w:r w:rsidR="00661ACB">
        <w:t xml:space="preserve">of life expectancy and lifespan variation across </w:t>
      </w:r>
      <w:r w:rsidR="007C6A44">
        <w:t>the Nordic countries (</w:t>
      </w:r>
      <w:r w:rsidR="00661ACB">
        <w:t>Norway, Finland, Sweden and Denmark</w:t>
      </w:r>
      <w:r w:rsidR="007C6A44">
        <w:t>)</w:t>
      </w:r>
      <w:r w:rsidR="00661ACB">
        <w:t xml:space="preserve"> by </w:t>
      </w:r>
      <w:proofErr w:type="spellStart"/>
      <w:r w:rsidR="0097011C" w:rsidRPr="0097011C">
        <w:t>Brønnum</w:t>
      </w:r>
      <w:proofErr w:type="spellEnd"/>
      <w:r w:rsidR="0097011C" w:rsidRPr="0097011C">
        <w:t>-Hansen et al.</w:t>
      </w:r>
      <w:r w:rsidR="0097011C">
        <w:t xml:space="preserve"> (</w:t>
      </w:r>
      <w:r w:rsidR="0097011C" w:rsidRPr="0097011C">
        <w:t>2021</w:t>
      </w:r>
      <w:r w:rsidR="0097011C">
        <w:t>)</w:t>
      </w:r>
      <w:r w:rsidR="007C6A44">
        <w:t xml:space="preserve"> identified a social gradient </w:t>
      </w:r>
      <w:r w:rsidR="00AC02FB">
        <w:t>by income in all four countries.</w:t>
      </w:r>
    </w:p>
    <w:p w14:paraId="2E348BAD" w14:textId="566CD772" w:rsidR="00645D3F" w:rsidRDefault="0010155E" w:rsidP="001618E7">
      <w:r w:rsidRPr="0010155E">
        <w:t xml:space="preserve">Two studies (Seaman et al., 2019; </w:t>
      </w:r>
      <w:proofErr w:type="spellStart"/>
      <w:r w:rsidRPr="0010155E">
        <w:t>Brønnum</w:t>
      </w:r>
      <w:proofErr w:type="spellEnd"/>
      <w:r w:rsidRPr="0010155E">
        <w:t>-Hansen et al., 2021) examined differences in l</w:t>
      </w:r>
      <w:r w:rsidR="00912CF0" w:rsidRPr="0010155E">
        <w:t>ifespan variation.</w:t>
      </w:r>
      <w:r>
        <w:t xml:space="preserve"> </w:t>
      </w:r>
      <w:r w:rsidR="009F3778">
        <w:t xml:space="preserve">Life span variation </w:t>
      </w:r>
      <w:r w:rsidR="00236D60">
        <w:t xml:space="preserve">is a complementary measure </w:t>
      </w:r>
      <w:r w:rsidR="0078179A">
        <w:t xml:space="preserve">to life expectancy </w:t>
      </w:r>
      <w:r w:rsidR="00506FF8" w:rsidRPr="00506FF8">
        <w:t xml:space="preserve">which </w:t>
      </w:r>
      <w:r w:rsidR="00506FF8">
        <w:t xml:space="preserve">can be used to </w:t>
      </w:r>
      <w:r w:rsidR="00A43D58">
        <w:t>provide an indication of the amount of</w:t>
      </w:r>
      <w:r w:rsidR="00506FF8" w:rsidRPr="00506FF8">
        <w:t xml:space="preserve"> heterogeneity in age at death across </w:t>
      </w:r>
      <w:r w:rsidR="00EA26C7">
        <w:t>the</w:t>
      </w:r>
      <w:r w:rsidR="00506FF8" w:rsidRPr="00506FF8">
        <w:t xml:space="preserve"> population</w:t>
      </w:r>
      <w:r w:rsidR="00EA26C7">
        <w:t xml:space="preserve"> (van </w:t>
      </w:r>
      <w:proofErr w:type="spellStart"/>
      <w:r w:rsidR="00EA26C7">
        <w:t>Raalte</w:t>
      </w:r>
      <w:proofErr w:type="spellEnd"/>
      <w:r w:rsidR="00EA26C7">
        <w:t xml:space="preserve"> et al., 2018). </w:t>
      </w:r>
      <w:r w:rsidR="00901D27">
        <w:t xml:space="preserve">Seaman et al. (2019) found that </w:t>
      </w:r>
      <w:r w:rsidR="00901D27" w:rsidRPr="00901D27">
        <w:t>more d</w:t>
      </w:r>
      <w:r w:rsidR="00901D27">
        <w:t>e</w:t>
      </w:r>
      <w:r w:rsidR="00901D27" w:rsidRPr="00901D27">
        <w:t>prived areas</w:t>
      </w:r>
      <w:r w:rsidR="00901D27">
        <w:t xml:space="preserve"> of Scotland</w:t>
      </w:r>
      <w:r w:rsidR="00901D27" w:rsidRPr="00901D27">
        <w:t xml:space="preserve"> experienced higher lifespan variation than more advantaged areas</w:t>
      </w:r>
      <w:r w:rsidR="00A51AE3">
        <w:t>, with area-level differences observed to widen between 1981 and 2011</w:t>
      </w:r>
      <w:r w:rsidR="00901D27" w:rsidRPr="00901D27">
        <w:t>.</w:t>
      </w:r>
      <w:r w:rsidR="00A51AE3">
        <w:t xml:space="preserve"> </w:t>
      </w:r>
      <w:r w:rsidR="004A4DC9">
        <w:t>L</w:t>
      </w:r>
      <w:r w:rsidR="00972D4F" w:rsidRPr="00972D4F">
        <w:t xml:space="preserve">ifespan variation for males in the most deprived </w:t>
      </w:r>
      <w:r w:rsidR="00EE4C86">
        <w:t xml:space="preserve">areas </w:t>
      </w:r>
      <w:r w:rsidR="009325C9">
        <w:t xml:space="preserve">in 2011 </w:t>
      </w:r>
      <w:r w:rsidR="00972D4F" w:rsidRPr="00972D4F">
        <w:t>was 12.8 years compared with 9.9 years for the least deprived.</w:t>
      </w:r>
      <w:r w:rsidR="0038643C">
        <w:t xml:space="preserve"> </w:t>
      </w:r>
      <w:r w:rsidR="002076D9">
        <w:t xml:space="preserve">The analysis by </w:t>
      </w:r>
      <w:proofErr w:type="spellStart"/>
      <w:r w:rsidR="004B1ECE" w:rsidRPr="0010155E">
        <w:t>Brønnum</w:t>
      </w:r>
      <w:proofErr w:type="spellEnd"/>
      <w:r w:rsidR="004B1ECE" w:rsidRPr="0010155E">
        <w:t xml:space="preserve">-Hansen </w:t>
      </w:r>
      <w:r w:rsidR="004B1ECE">
        <w:t>et a</w:t>
      </w:r>
      <w:r w:rsidR="002076D9">
        <w:t>l</w:t>
      </w:r>
      <w:r w:rsidR="004B1ECE">
        <w:t xml:space="preserve">. (2021) found </w:t>
      </w:r>
      <w:r w:rsidR="00842442">
        <w:t>differences in lifespan variation b</w:t>
      </w:r>
      <w:r w:rsidR="00EA5963">
        <w:t xml:space="preserve">y income quartiles across the Nordic countries. </w:t>
      </w:r>
      <w:r w:rsidR="008A4E56">
        <w:t>Lifespan variation increased in the lowest income quartiles among men and women in</w:t>
      </w:r>
      <w:r w:rsidR="00EA5963">
        <w:t xml:space="preserve"> Denmark</w:t>
      </w:r>
      <w:r w:rsidR="008A4E56">
        <w:t xml:space="preserve"> and Finland, and among women in Sweden.</w:t>
      </w:r>
      <w:r w:rsidR="00FE3757">
        <w:t xml:space="preserve"> </w:t>
      </w:r>
      <w:r w:rsidR="00FE3757" w:rsidRPr="00FE3757">
        <w:t>No change in lifespan variation was seen in the lowest income quartile</w:t>
      </w:r>
      <w:r w:rsidR="00FE3757">
        <w:t xml:space="preserve"> </w:t>
      </w:r>
      <w:r w:rsidR="00FE3757" w:rsidRPr="00FE3757">
        <w:t>for Swedish men and Norwegian women</w:t>
      </w:r>
      <w:r w:rsidR="00FE3757">
        <w:t xml:space="preserve">. Norwegian men in the lowest income quartile </w:t>
      </w:r>
      <w:r w:rsidR="005F7F1E" w:rsidRPr="005F7F1E">
        <w:t xml:space="preserve">experienced a </w:t>
      </w:r>
      <w:r w:rsidR="003A43C5">
        <w:t>decrease</w:t>
      </w:r>
      <w:r w:rsidR="005F7F1E" w:rsidRPr="005F7F1E">
        <w:t xml:space="preserve"> in lifespan variation</w:t>
      </w:r>
      <w:r w:rsidR="005F7F1E">
        <w:t>.</w:t>
      </w:r>
    </w:p>
    <w:p w14:paraId="1701CF43" w14:textId="6581AA64" w:rsidR="00980790" w:rsidRDefault="00011F1D" w:rsidP="00980790">
      <w:r w:rsidRPr="00011F1D">
        <w:t xml:space="preserve">Differences in health-related </w:t>
      </w:r>
      <w:r w:rsidRPr="00AA32CC">
        <w:t>behaviours</w:t>
      </w:r>
      <w:r w:rsidRPr="00011F1D">
        <w:t xml:space="preserve"> such as smoking, alcohol consumption, dietary patterns and physical activity, contribute to socioeconomic health inequalities. </w:t>
      </w:r>
      <w:r w:rsidR="005A2A32">
        <w:t>Currie et al. (2023) carried out a d</w:t>
      </w:r>
      <w:r w:rsidR="00980790">
        <w:t xml:space="preserve">ecomposition analysis </w:t>
      </w:r>
      <w:r w:rsidR="005A2A32">
        <w:t>to</w:t>
      </w:r>
      <w:r w:rsidR="00980790">
        <w:t xml:space="preserve"> explore the contribution of avoidable causes to inequalities in life expectancy</w:t>
      </w:r>
      <w:r w:rsidR="002B2580">
        <w:t xml:space="preserve"> in Wales</w:t>
      </w:r>
      <w:r w:rsidR="00980790">
        <w:t xml:space="preserve">. For females, the leading avoidable contributions were circulatory disease, cancers, respiratory disease and alcohol- and drug-related deaths. For males, they were circulatory disease, alcohol- and drug-related deaths, cancers, respiratory disease and </w:t>
      </w:r>
      <w:r w:rsidR="00980790" w:rsidRPr="00CF4C92">
        <w:t xml:space="preserve">injuries. The top four conditions </w:t>
      </w:r>
      <w:r w:rsidR="005A2A32" w:rsidRPr="00CF4C92">
        <w:t xml:space="preserve">which contributed to </w:t>
      </w:r>
      <w:r w:rsidR="00CF4C92" w:rsidRPr="00CF4C92">
        <w:t xml:space="preserve">inequalities </w:t>
      </w:r>
      <w:r w:rsidR="00980790" w:rsidRPr="00CF4C92">
        <w:t>were the same among men and women</w:t>
      </w:r>
      <w:r w:rsidR="00CF4C92" w:rsidRPr="00CF4C92">
        <w:t>, although the ordering within the top four was slightly differen</w:t>
      </w:r>
      <w:r w:rsidR="00CF4C92">
        <w:t>t</w:t>
      </w:r>
      <w:r w:rsidR="00CF4C92" w:rsidRPr="00CF4C92">
        <w:t>.</w:t>
      </w:r>
      <w:r w:rsidR="00980790" w:rsidRPr="00CF4C92">
        <w:t xml:space="preserve"> </w:t>
      </w:r>
      <w:r w:rsidR="00CF4C92" w:rsidRPr="00CF4C92">
        <w:t xml:space="preserve">The </w:t>
      </w:r>
      <w:r w:rsidR="00CF4C92" w:rsidRPr="00CF4C92">
        <w:lastRenderedPageBreak/>
        <w:t>avoidable causes</w:t>
      </w:r>
      <w:r w:rsidR="00980790" w:rsidRPr="00CF4C92">
        <w:t xml:space="preserve"> were chronic obstructive pulmonary disorder (</w:t>
      </w:r>
      <w:r w:rsidR="00AA32CC">
        <w:t>first largest contributor among</w:t>
      </w:r>
      <w:r w:rsidR="00980790" w:rsidRPr="00CF4C92">
        <w:t xml:space="preserve"> women</w:t>
      </w:r>
      <w:r w:rsidR="00AA32CC">
        <w:t xml:space="preserve"> and third largest contributor among</w:t>
      </w:r>
      <w:r w:rsidR="00980790" w:rsidRPr="00CF4C92">
        <w:t xml:space="preserve"> men), ischaemic heart disease (</w:t>
      </w:r>
      <w:r w:rsidR="00AA32CC">
        <w:t>second</w:t>
      </w:r>
      <w:r w:rsidR="00980790" w:rsidRPr="00CF4C92">
        <w:t xml:space="preserve"> </w:t>
      </w:r>
      <w:r w:rsidR="00AA32CC">
        <w:t>largest contributor among</w:t>
      </w:r>
      <w:r w:rsidR="00AA32CC" w:rsidRPr="00CF4C92">
        <w:t xml:space="preserve"> women</w:t>
      </w:r>
      <w:r w:rsidR="00AA32CC">
        <w:t xml:space="preserve"> and first largest contributor among</w:t>
      </w:r>
      <w:r w:rsidR="00AA32CC" w:rsidRPr="00CF4C92">
        <w:t xml:space="preserve"> men</w:t>
      </w:r>
      <w:r w:rsidR="00980790" w:rsidRPr="00CF4C92">
        <w:t>), lung cancer (</w:t>
      </w:r>
      <w:r w:rsidR="00AA32CC">
        <w:t>third</w:t>
      </w:r>
      <w:r w:rsidR="00980790" w:rsidRPr="00CF4C92">
        <w:t xml:space="preserve"> </w:t>
      </w:r>
      <w:r w:rsidR="00AA32CC">
        <w:t>largest contributor among</w:t>
      </w:r>
      <w:r w:rsidR="00AA32CC" w:rsidRPr="00CF4C92">
        <w:t xml:space="preserve"> women</w:t>
      </w:r>
      <w:r w:rsidR="00AA32CC">
        <w:t xml:space="preserve"> and</w:t>
      </w:r>
      <w:r w:rsidR="00980790" w:rsidRPr="00CF4C92">
        <w:t xml:space="preserve"> </w:t>
      </w:r>
      <w:r w:rsidR="00AA32CC">
        <w:t>fourth</w:t>
      </w:r>
      <w:r w:rsidR="00980790" w:rsidRPr="00CF4C92">
        <w:t xml:space="preserve"> </w:t>
      </w:r>
      <w:r w:rsidR="00AA32CC">
        <w:t>largest contributor among</w:t>
      </w:r>
      <w:r w:rsidR="00AA32CC" w:rsidRPr="00CF4C92">
        <w:t xml:space="preserve"> men</w:t>
      </w:r>
      <w:r w:rsidR="00980790" w:rsidRPr="00CF4C92">
        <w:t>) and drug disorders/poisonings (</w:t>
      </w:r>
      <w:r w:rsidR="00AA32CC">
        <w:t>fourth</w:t>
      </w:r>
      <w:r w:rsidR="00980790" w:rsidRPr="00CF4C92">
        <w:t xml:space="preserve"> </w:t>
      </w:r>
      <w:r w:rsidR="00AA32CC">
        <w:t>largest contributor among</w:t>
      </w:r>
      <w:r w:rsidR="00AA32CC" w:rsidRPr="00CF4C92">
        <w:t xml:space="preserve"> women</w:t>
      </w:r>
      <w:r w:rsidR="00AA32CC">
        <w:t xml:space="preserve"> and second</w:t>
      </w:r>
      <w:r w:rsidR="00980790" w:rsidRPr="00CF4C92">
        <w:t xml:space="preserve"> </w:t>
      </w:r>
      <w:r w:rsidR="00AA32CC">
        <w:t>largest contributor among</w:t>
      </w:r>
      <w:r w:rsidR="00AA32CC" w:rsidRPr="00CF4C92">
        <w:t xml:space="preserve"> men</w:t>
      </w:r>
      <w:r w:rsidR="00980790" w:rsidRPr="00CF4C92">
        <w:t>).</w:t>
      </w:r>
    </w:p>
    <w:p w14:paraId="3A0EFD50" w14:textId="67CBEF74" w:rsidR="0062209D" w:rsidRDefault="000C48D0" w:rsidP="00E26C1A">
      <w:pPr>
        <w:pStyle w:val="Heading2"/>
      </w:pPr>
      <w:bookmarkStart w:id="10" w:name="_Toc185516834"/>
      <w:r>
        <w:t xml:space="preserve">Inequalities in </w:t>
      </w:r>
      <w:r w:rsidR="00A34113">
        <w:t>infant mortality</w:t>
      </w:r>
      <w:bookmarkEnd w:id="10"/>
    </w:p>
    <w:p w14:paraId="4CCD4164" w14:textId="394D06CD" w:rsidR="008205DE" w:rsidRDefault="00A52271" w:rsidP="0062209D">
      <w:r>
        <w:t xml:space="preserve">Seven studies </w:t>
      </w:r>
      <w:r w:rsidR="00625D45">
        <w:t xml:space="preserve">from high-income countries published since 2018 </w:t>
      </w:r>
      <w:r>
        <w:t>were</w:t>
      </w:r>
      <w:r w:rsidR="00625D45">
        <w:t xml:space="preserve"> identified. A summary of these studies is provided in Table </w:t>
      </w:r>
      <w:r w:rsidR="00573EEE">
        <w:t>5 in Appendix 1</w:t>
      </w:r>
      <w:r w:rsidR="00625D45">
        <w:t>.</w:t>
      </w:r>
      <w:r w:rsidR="00A322B9">
        <w:t xml:space="preserve"> </w:t>
      </w:r>
      <w:r w:rsidR="00973E89">
        <w:t xml:space="preserve">All seven studies were </w:t>
      </w:r>
      <w:r w:rsidR="00850314">
        <w:t xml:space="preserve">done </w:t>
      </w:r>
      <w:r w:rsidR="00973E89">
        <w:t xml:space="preserve">in single countries, including the </w:t>
      </w:r>
      <w:r w:rsidR="00647C78">
        <w:t>United Kingdom (Best et al., 2019</w:t>
      </w:r>
      <w:r w:rsidR="001425E7">
        <w:t>),</w:t>
      </w:r>
      <w:r w:rsidR="00647C78">
        <w:t xml:space="preserve"> </w:t>
      </w:r>
      <w:r w:rsidR="00046BE7">
        <w:t>Scotland (</w:t>
      </w:r>
      <w:proofErr w:type="spellStart"/>
      <w:r w:rsidR="00647C78">
        <w:t>Harpur</w:t>
      </w:r>
      <w:proofErr w:type="spellEnd"/>
      <w:r w:rsidR="00647C78">
        <w:t xml:space="preserve"> et al., 2021</w:t>
      </w:r>
      <w:r w:rsidR="00046BE7">
        <w:t>),</w:t>
      </w:r>
      <w:r w:rsidR="00647C78">
        <w:t xml:space="preserve"> </w:t>
      </w:r>
      <w:r w:rsidR="00046BE7">
        <w:t>England (</w:t>
      </w:r>
      <w:r w:rsidR="00647C78">
        <w:t>Robinson et al., 2019), USA (</w:t>
      </w:r>
      <w:proofErr w:type="spellStart"/>
      <w:r w:rsidR="00647C78">
        <w:t>Pabayo</w:t>
      </w:r>
      <w:proofErr w:type="spellEnd"/>
      <w:r w:rsidR="00647C78">
        <w:t xml:space="preserve"> et al., 2019; Singh &amp; Yu, 2017) and Italy (</w:t>
      </w:r>
      <w:proofErr w:type="spellStart"/>
      <w:r w:rsidR="00647C78">
        <w:t>Simeoni</w:t>
      </w:r>
      <w:proofErr w:type="spellEnd"/>
      <w:r w:rsidR="00647C78">
        <w:t xml:space="preserve"> et al., 2019; </w:t>
      </w:r>
      <w:proofErr w:type="spellStart"/>
      <w:r w:rsidR="00647C78">
        <w:t>Simeoni</w:t>
      </w:r>
      <w:proofErr w:type="spellEnd"/>
      <w:r w:rsidR="00647C78">
        <w:t xml:space="preserve"> et al., 2024).</w:t>
      </w:r>
      <w:r w:rsidR="003D2531">
        <w:t xml:space="preserve"> Most studies</w:t>
      </w:r>
      <w:r w:rsidR="00340054">
        <w:t xml:space="preserve"> examined area-level measures of inequality, with only one study (Singh &amp; Yu, 2019) examining </w:t>
      </w:r>
      <w:r w:rsidR="00655D7C">
        <w:t>a</w:t>
      </w:r>
      <w:r w:rsidR="001425E7">
        <w:t>n</w:t>
      </w:r>
      <w:r w:rsidR="00655D7C">
        <w:t xml:space="preserve"> individual-level of inequality based on maternal </w:t>
      </w:r>
      <w:r w:rsidR="001425E7">
        <w:t xml:space="preserve">level of </w:t>
      </w:r>
      <w:r w:rsidR="00655D7C">
        <w:t>education.</w:t>
      </w:r>
      <w:r w:rsidR="00B80581">
        <w:t xml:space="preserve"> </w:t>
      </w:r>
      <w:r w:rsidR="00036DFB">
        <w:t xml:space="preserve">The </w:t>
      </w:r>
      <w:r w:rsidR="00A613F2">
        <w:t xml:space="preserve">primary </w:t>
      </w:r>
      <w:r w:rsidR="00036DFB">
        <w:t>child health outcome of interest was infant mortality</w:t>
      </w:r>
      <w:r w:rsidR="00E11FBF">
        <w:t>, defined as death within the first year of life</w:t>
      </w:r>
      <w:r w:rsidR="00486309">
        <w:t xml:space="preserve">. </w:t>
      </w:r>
      <w:r w:rsidR="001E032E">
        <w:t>Four</w:t>
      </w:r>
      <w:r w:rsidR="000D4FEF">
        <w:t xml:space="preserve"> studies done in the</w:t>
      </w:r>
      <w:r w:rsidR="001E032E">
        <w:t xml:space="preserve"> UK (</w:t>
      </w:r>
      <w:r w:rsidR="00E11FBF">
        <w:t>Best et al., 2019),</w:t>
      </w:r>
      <w:r w:rsidR="000D4FEF">
        <w:t xml:space="preserve"> USA (</w:t>
      </w:r>
      <w:proofErr w:type="spellStart"/>
      <w:r w:rsidR="00486309">
        <w:t>Pa</w:t>
      </w:r>
      <w:r w:rsidR="000D4FEF">
        <w:t>bayo</w:t>
      </w:r>
      <w:proofErr w:type="spellEnd"/>
      <w:r w:rsidR="000D4FEF">
        <w:t xml:space="preserve"> et al., 2019) and Italy (</w:t>
      </w:r>
      <w:proofErr w:type="spellStart"/>
      <w:r w:rsidR="000D4FEF">
        <w:t>Simeoni</w:t>
      </w:r>
      <w:proofErr w:type="spellEnd"/>
      <w:r w:rsidR="000D4FEF">
        <w:t xml:space="preserve"> et al., 2019; </w:t>
      </w:r>
      <w:proofErr w:type="spellStart"/>
      <w:r w:rsidR="000D4FEF">
        <w:t>Simeoni</w:t>
      </w:r>
      <w:proofErr w:type="spellEnd"/>
      <w:r w:rsidR="000D4FEF">
        <w:t xml:space="preserve"> et al., 2024), respectively, also reported </w:t>
      </w:r>
      <w:r w:rsidR="00F2111E">
        <w:t>neonatal and post-neonatal mortality</w:t>
      </w:r>
      <w:r w:rsidR="000D4FEF">
        <w:t xml:space="preserve"> rates</w:t>
      </w:r>
      <w:r w:rsidR="00F2111E">
        <w:t>. Two UK studies (Best et al., 2019</w:t>
      </w:r>
      <w:r w:rsidR="00A613F2">
        <w:t xml:space="preserve">; </w:t>
      </w:r>
      <w:proofErr w:type="spellStart"/>
      <w:r w:rsidR="00A613F2">
        <w:t>Harpur</w:t>
      </w:r>
      <w:proofErr w:type="spellEnd"/>
      <w:r w:rsidR="00A613F2">
        <w:t xml:space="preserve"> et al., 2021) examined stillbirths.</w:t>
      </w:r>
    </w:p>
    <w:p w14:paraId="60448026" w14:textId="7F86B694" w:rsidR="00C824D8" w:rsidRDefault="00BD7C95" w:rsidP="002B0629">
      <w:r>
        <w:t>Studies done in Scotland (</w:t>
      </w:r>
      <w:proofErr w:type="spellStart"/>
      <w:r w:rsidR="002E3CBD">
        <w:t>Harpur</w:t>
      </w:r>
      <w:proofErr w:type="spellEnd"/>
      <w:r>
        <w:t xml:space="preserve"> et al., 2021) and </w:t>
      </w:r>
      <w:r w:rsidR="00A77F78">
        <w:t xml:space="preserve">the USA (Singh &amp; Yu, 2019) </w:t>
      </w:r>
      <w:r w:rsidR="00251DBD">
        <w:t xml:space="preserve">reported </w:t>
      </w:r>
      <w:r w:rsidR="0004765C">
        <w:t xml:space="preserve">that there had been </w:t>
      </w:r>
      <w:r w:rsidR="00C5490F">
        <w:t xml:space="preserve">overall </w:t>
      </w:r>
      <w:r w:rsidR="00251DBD">
        <w:t>declines in infant mortality rates between 2000 and 2018 and 1986 and 2016, respectively.</w:t>
      </w:r>
      <w:r w:rsidR="00CE3F43">
        <w:t xml:space="preserve"> </w:t>
      </w:r>
      <w:r w:rsidR="00C5490F">
        <w:t>However, like</w:t>
      </w:r>
      <w:r w:rsidR="001943E6">
        <w:t xml:space="preserve"> the findings for adult health outcomes, across all three countries (the UK, USA and Italy</w:t>
      </w:r>
      <w:r w:rsidR="00C57650">
        <w:t>) there were persistent inequalities in infant mortality.</w:t>
      </w:r>
      <w:r w:rsidR="00492916">
        <w:t xml:space="preserve"> </w:t>
      </w:r>
      <w:r w:rsidR="008E2BE9">
        <w:t xml:space="preserve">Two studies </w:t>
      </w:r>
      <w:r w:rsidR="00864EC9">
        <w:t xml:space="preserve">done in the UK </w:t>
      </w:r>
      <w:r w:rsidR="008E2BE9">
        <w:t>(</w:t>
      </w:r>
      <w:r w:rsidR="00492916">
        <w:t xml:space="preserve">Best et al., 2019; </w:t>
      </w:r>
      <w:proofErr w:type="spellStart"/>
      <w:r w:rsidR="00492916">
        <w:t>Harpur</w:t>
      </w:r>
      <w:proofErr w:type="spellEnd"/>
      <w:r w:rsidR="00492916">
        <w:t xml:space="preserve"> et al., 2021</w:t>
      </w:r>
      <w:r w:rsidR="008E2BE9">
        <w:t>)</w:t>
      </w:r>
      <w:r w:rsidR="00C428F9">
        <w:t xml:space="preserve"> </w:t>
      </w:r>
      <w:r w:rsidR="008E2BE9">
        <w:t xml:space="preserve">showed </w:t>
      </w:r>
      <w:r w:rsidR="00864EC9">
        <w:t>that more deprived areas experienced higher rates of infant mortality</w:t>
      </w:r>
      <w:r w:rsidR="00C428F9">
        <w:t xml:space="preserve">. </w:t>
      </w:r>
      <w:proofErr w:type="spellStart"/>
      <w:r w:rsidR="0066046D">
        <w:t>Harpur</w:t>
      </w:r>
      <w:proofErr w:type="spellEnd"/>
      <w:r w:rsidR="0066046D">
        <w:t xml:space="preserve"> et al. (2021) also reported that trends in infant mortality had changed among the most deprived quintiles since 2016, after which they showed a rising trend. </w:t>
      </w:r>
      <w:r w:rsidR="00C428F9">
        <w:t>T</w:t>
      </w:r>
      <w:r w:rsidR="00864EC9">
        <w:t xml:space="preserve">his pattern was </w:t>
      </w:r>
      <w:r w:rsidR="00C428F9">
        <w:t>also shown in a US study (</w:t>
      </w:r>
      <w:r w:rsidR="008E2BE9">
        <w:t>Singh &amp; Yu, 2019</w:t>
      </w:r>
      <w:r w:rsidR="00C428F9">
        <w:t>)</w:t>
      </w:r>
      <w:r w:rsidR="005033FE">
        <w:t xml:space="preserve">, as mothers with </w:t>
      </w:r>
      <w:r w:rsidR="0067575B">
        <w:t xml:space="preserve">less than </w:t>
      </w:r>
      <w:r w:rsidR="009B6314">
        <w:t xml:space="preserve">a </w:t>
      </w:r>
      <w:r w:rsidR="0067575B">
        <w:t>high school</w:t>
      </w:r>
      <w:r w:rsidR="009B6314">
        <w:t xml:space="preserve"> education</w:t>
      </w:r>
      <w:r w:rsidR="0067575B">
        <w:t xml:space="preserve"> </w:t>
      </w:r>
      <w:r w:rsidR="009B6314">
        <w:t>experienced</w:t>
      </w:r>
      <w:r w:rsidR="0067575B">
        <w:t xml:space="preserve"> a</w:t>
      </w:r>
      <w:r w:rsidR="00D82F6E">
        <w:t xml:space="preserve"> significantly</w:t>
      </w:r>
      <w:r w:rsidR="0067575B">
        <w:t xml:space="preserve"> higher risk of infant mortality</w:t>
      </w:r>
      <w:r w:rsidR="009B6314">
        <w:t xml:space="preserve"> than women with </w:t>
      </w:r>
      <w:r w:rsidR="00D82F6E">
        <w:t>a college degree</w:t>
      </w:r>
      <w:r w:rsidR="005033FE">
        <w:t>.</w:t>
      </w:r>
      <w:r w:rsidR="00D82F6E">
        <w:t xml:space="preserve"> Another US study (</w:t>
      </w:r>
      <w:proofErr w:type="spellStart"/>
      <w:r w:rsidR="00D82F6E">
        <w:t>Pabayo</w:t>
      </w:r>
      <w:proofErr w:type="spellEnd"/>
      <w:r w:rsidR="00D82F6E">
        <w:t xml:space="preserve"> et al., 2019) found that </w:t>
      </w:r>
      <w:r w:rsidR="00710254">
        <w:t>although state-level income inequality (based on the Gini coefficient)</w:t>
      </w:r>
      <w:r w:rsidR="00710254" w:rsidRPr="00710254">
        <w:t xml:space="preserve"> was not significantly associated with an increased </w:t>
      </w:r>
      <w:r w:rsidR="00710254">
        <w:t>risk</w:t>
      </w:r>
      <w:r w:rsidR="00710254" w:rsidRPr="00710254">
        <w:t xml:space="preserve"> of infant</w:t>
      </w:r>
      <w:r w:rsidR="00710254">
        <w:t xml:space="preserve"> </w:t>
      </w:r>
      <w:r w:rsidR="00710254" w:rsidRPr="00710254">
        <w:t>mortality</w:t>
      </w:r>
      <w:r w:rsidR="00710254">
        <w:t xml:space="preserve">, </w:t>
      </w:r>
      <w:r w:rsidR="000F7F56">
        <w:t xml:space="preserve">infants born in states that had </w:t>
      </w:r>
      <w:r w:rsidR="000F7F56" w:rsidRPr="000F7F56">
        <w:t xml:space="preserve">experienced a greater increase in income inequality since 1990 </w:t>
      </w:r>
      <w:r w:rsidR="0086079F">
        <w:t xml:space="preserve">had a higher risk of death </w:t>
      </w:r>
      <w:r w:rsidR="000F7F56" w:rsidRPr="000F7F56">
        <w:t>than those that were born in states with a smaller increase.</w:t>
      </w:r>
      <w:r w:rsidR="006012CD">
        <w:t xml:space="preserve"> Two studies done in Italy (</w:t>
      </w:r>
      <w:proofErr w:type="spellStart"/>
      <w:r w:rsidR="006012CD" w:rsidRPr="006012CD">
        <w:t>Simeoni</w:t>
      </w:r>
      <w:proofErr w:type="spellEnd"/>
      <w:r w:rsidR="006012CD" w:rsidRPr="006012CD">
        <w:t xml:space="preserve"> et al., 2019; </w:t>
      </w:r>
      <w:proofErr w:type="spellStart"/>
      <w:r w:rsidR="006012CD" w:rsidRPr="006012CD">
        <w:t>Simeoni</w:t>
      </w:r>
      <w:proofErr w:type="spellEnd"/>
      <w:r w:rsidR="006012CD" w:rsidRPr="006012CD">
        <w:t xml:space="preserve"> et.al, 2024</w:t>
      </w:r>
      <w:r w:rsidR="006012CD">
        <w:t xml:space="preserve">) </w:t>
      </w:r>
      <w:r w:rsidR="004B5147">
        <w:t>found</w:t>
      </w:r>
      <w:r w:rsidR="006306D5">
        <w:t xml:space="preserve"> </w:t>
      </w:r>
      <w:r w:rsidR="00426C9D">
        <w:t>that</w:t>
      </w:r>
      <w:r w:rsidR="004B5147">
        <w:t xml:space="preserve"> inequalities </w:t>
      </w:r>
      <w:r w:rsidR="00426C9D">
        <w:t xml:space="preserve">persisted </w:t>
      </w:r>
      <w:r w:rsidR="004B5147">
        <w:t>between regions in the north and south of the country</w:t>
      </w:r>
      <w:r w:rsidR="00426C9D">
        <w:t xml:space="preserve"> over two periods of analysis</w:t>
      </w:r>
      <w:r w:rsidR="004B5147">
        <w:t>.</w:t>
      </w:r>
    </w:p>
    <w:p w14:paraId="043E3067" w14:textId="49916B16" w:rsidR="00A56F47" w:rsidRDefault="0066046D" w:rsidP="0062209D">
      <w:r>
        <w:t>Two UK studies (</w:t>
      </w:r>
      <w:proofErr w:type="spellStart"/>
      <w:r>
        <w:t>Harpur</w:t>
      </w:r>
      <w:proofErr w:type="spellEnd"/>
      <w:r>
        <w:t xml:space="preserve"> et al., 2021; Robinson et al., 2019) examined </w:t>
      </w:r>
      <w:r w:rsidR="00F343B4">
        <w:t xml:space="preserve">changes in </w:t>
      </w:r>
      <w:r w:rsidR="00367C4C">
        <w:t xml:space="preserve">inequality over time. Robinson et al. (2019) </w:t>
      </w:r>
      <w:r w:rsidR="00367C4C" w:rsidRPr="00751FA8">
        <w:t xml:space="preserve">examined </w:t>
      </w:r>
      <w:r w:rsidR="00232A9A" w:rsidRPr="00751FA8">
        <w:t>inequalities in</w:t>
      </w:r>
      <w:r w:rsidR="00232A9A">
        <w:t xml:space="preserve"> infant mortality </w:t>
      </w:r>
      <w:r w:rsidR="00591BE5">
        <w:t>across three periods</w:t>
      </w:r>
      <w:r w:rsidR="008F5DE6">
        <w:t>, before, during and after the implementation of the English health inequalities strategy</w:t>
      </w:r>
      <w:r w:rsidR="007060DF">
        <w:t xml:space="preserve"> by the UK government in 1999</w:t>
      </w:r>
      <w:r w:rsidR="008F5DE6">
        <w:t xml:space="preserve">. </w:t>
      </w:r>
      <w:proofErr w:type="spellStart"/>
      <w:r w:rsidR="008F5DE6">
        <w:t>Harpur</w:t>
      </w:r>
      <w:proofErr w:type="spellEnd"/>
      <w:r w:rsidR="008F5DE6">
        <w:t xml:space="preserve"> et al. (2021) examined change across two 8-year periods</w:t>
      </w:r>
      <w:r w:rsidR="00A5539C">
        <w:t xml:space="preserve"> before </w:t>
      </w:r>
      <w:r w:rsidR="007724FF">
        <w:t xml:space="preserve">and </w:t>
      </w:r>
      <w:r w:rsidR="00A5539C">
        <w:t>after</w:t>
      </w:r>
      <w:r w:rsidR="007724FF">
        <w:t xml:space="preserve"> the introduction </w:t>
      </w:r>
      <w:r w:rsidR="00631633">
        <w:t xml:space="preserve">of the </w:t>
      </w:r>
      <w:r w:rsidR="00E74488">
        <w:t>UK government’s</w:t>
      </w:r>
      <w:r w:rsidR="007724FF">
        <w:t xml:space="preserve"> austerity </w:t>
      </w:r>
      <w:r w:rsidR="00E74488">
        <w:t>programme</w:t>
      </w:r>
      <w:r w:rsidR="007724FF">
        <w:t xml:space="preserve"> in 2010.</w:t>
      </w:r>
      <w:r w:rsidR="00A5539C">
        <w:t xml:space="preserve"> </w:t>
      </w:r>
      <w:r w:rsidR="00185892">
        <w:t xml:space="preserve">Robinson et al. (2019) </w:t>
      </w:r>
      <w:r w:rsidR="00CB1545">
        <w:t xml:space="preserve">found that the </w:t>
      </w:r>
      <w:r w:rsidR="00CB1545">
        <w:lastRenderedPageBreak/>
        <w:t>English health inequalities strategy was associated with a de</w:t>
      </w:r>
      <w:r w:rsidR="00372C9F">
        <w:t xml:space="preserve">cline in inequalities between </w:t>
      </w:r>
      <w:r w:rsidR="00372C9F" w:rsidRPr="00372C9F">
        <w:t>the most deprived local authorities and the rest of England</w:t>
      </w:r>
      <w:r w:rsidR="00F275C8">
        <w:t xml:space="preserve">. </w:t>
      </w:r>
      <w:r w:rsidR="00631633">
        <w:t xml:space="preserve">However, </w:t>
      </w:r>
      <w:proofErr w:type="spellStart"/>
      <w:r w:rsidR="00F275C8">
        <w:t>Harpur</w:t>
      </w:r>
      <w:proofErr w:type="spellEnd"/>
      <w:r w:rsidR="00F275C8">
        <w:t xml:space="preserve"> et al. (2021) did not find strong evidence of a change in inequalities </w:t>
      </w:r>
      <w:r w:rsidR="00A43843">
        <w:t xml:space="preserve">following </w:t>
      </w:r>
      <w:r w:rsidR="00384816">
        <w:t>the introduction of austerity policies.</w:t>
      </w:r>
    </w:p>
    <w:p w14:paraId="4F63E933" w14:textId="77777777" w:rsidR="004F2319" w:rsidRDefault="004F2319" w:rsidP="0062209D"/>
    <w:p w14:paraId="6A6A2DD2" w14:textId="77777777" w:rsidR="004F2319" w:rsidRDefault="004F2319" w:rsidP="0062209D"/>
    <w:p w14:paraId="60D383D5" w14:textId="77777777" w:rsidR="00A56F47" w:rsidRDefault="00A56F47" w:rsidP="0062209D">
      <w:pPr>
        <w:sectPr w:rsidR="00A56F47">
          <w:pgSz w:w="11906" w:h="16838"/>
          <w:pgMar w:top="1440" w:right="1440" w:bottom="1440" w:left="1440" w:header="708" w:footer="708" w:gutter="0"/>
          <w:cols w:space="708"/>
          <w:docGrid w:linePitch="360"/>
        </w:sectPr>
      </w:pPr>
    </w:p>
    <w:p w14:paraId="53410B6C" w14:textId="142FA996" w:rsidR="00645D3F" w:rsidRDefault="004F2A7E" w:rsidP="0062209D">
      <w:pPr>
        <w:pStyle w:val="Heading1"/>
      </w:pPr>
      <w:bookmarkStart w:id="11" w:name="_Toc185516835"/>
      <w:bookmarkStart w:id="12" w:name="_Toc189563140"/>
      <w:r>
        <w:lastRenderedPageBreak/>
        <w:t>The</w:t>
      </w:r>
      <w:r w:rsidR="00897F74">
        <w:t xml:space="preserve"> </w:t>
      </w:r>
      <w:r w:rsidR="00D64A13">
        <w:t>p</w:t>
      </w:r>
      <w:r w:rsidR="00E26C1A">
        <w:t>olic</w:t>
      </w:r>
      <w:r w:rsidR="00D64A13">
        <w:t xml:space="preserve">y </w:t>
      </w:r>
      <w:r>
        <w:t>context for</w:t>
      </w:r>
      <w:r w:rsidR="00D64A13">
        <w:t xml:space="preserve"> </w:t>
      </w:r>
      <w:r>
        <w:t>action on</w:t>
      </w:r>
      <w:r w:rsidR="00D64A13">
        <w:t xml:space="preserve"> </w:t>
      </w:r>
      <w:r w:rsidR="00BB7AC1">
        <w:t>health</w:t>
      </w:r>
      <w:r w:rsidR="0062209D">
        <w:t xml:space="preserve"> </w:t>
      </w:r>
      <w:r w:rsidR="00BB7AC1">
        <w:t>inequalities</w:t>
      </w:r>
      <w:bookmarkEnd w:id="11"/>
      <w:bookmarkEnd w:id="12"/>
    </w:p>
    <w:p w14:paraId="462B4B84" w14:textId="76BC6F5F" w:rsidR="00CB46DA" w:rsidRPr="00E42DCD" w:rsidRDefault="00CB46DA" w:rsidP="00CB46DA">
      <w:pPr>
        <w:pStyle w:val="Heading2"/>
      </w:pPr>
      <w:bookmarkStart w:id="13" w:name="_Toc185516836"/>
      <w:r>
        <w:t>The policy context in Wales</w:t>
      </w:r>
      <w:bookmarkEnd w:id="13"/>
    </w:p>
    <w:p w14:paraId="05FCEB83" w14:textId="462149ED" w:rsidR="00CB46DA" w:rsidRDefault="00CB46DA" w:rsidP="00CB46DA">
      <w:r>
        <w:t>Like other countries within the UK and across Europe, Wales has experienced persistent inequalities in life expectancy into the 21</w:t>
      </w:r>
      <w:r w:rsidRPr="0027395C">
        <w:rPr>
          <w:vertAlign w:val="superscript"/>
        </w:rPr>
        <w:t>st</w:t>
      </w:r>
      <w:r>
        <w:t xml:space="preserve"> century. However, as shown in the data reviewed in Section </w:t>
      </w:r>
      <w:r w:rsidR="00AA32CC">
        <w:t>2</w:t>
      </w:r>
      <w:r>
        <w:t>, improvements in life expectancy have also slowed across the UK since 2010 (Steel et al., 2018), and both absolute and relative gaps in life expectancy have increased in Wales in recent years (</w:t>
      </w:r>
      <w:r w:rsidRPr="008D0739">
        <w:t xml:space="preserve">Currie et al., 2023). </w:t>
      </w:r>
      <w:r>
        <w:t>T</w:t>
      </w:r>
      <w:r w:rsidRPr="008D0739">
        <w:t xml:space="preserve">he population in Wales is older </w:t>
      </w:r>
      <w:r w:rsidR="006F357E">
        <w:t xml:space="preserve">on </w:t>
      </w:r>
      <w:r w:rsidR="006F357E" w:rsidRPr="008D0739">
        <w:t>average</w:t>
      </w:r>
      <w:r w:rsidRPr="008D0739">
        <w:t xml:space="preserve"> than the UK population </w:t>
      </w:r>
      <w:r w:rsidR="000579E0">
        <w:t>(Office for National Statistics, 2024)</w:t>
      </w:r>
      <w:r w:rsidRPr="008D0739">
        <w:t xml:space="preserve"> and </w:t>
      </w:r>
      <w:r w:rsidR="000579E0">
        <w:t>has</w:t>
      </w:r>
      <w:r w:rsidRPr="008D0739">
        <w:t xml:space="preserve"> more complex health needs.</w:t>
      </w:r>
      <w:r>
        <w:t xml:space="preserve"> </w:t>
      </w:r>
      <w:r w:rsidRPr="008D0739">
        <w:t>The scale of the challenge in addressing socioeconomic health inequalities therefore remain</w:t>
      </w:r>
      <w:r>
        <w:t>s</w:t>
      </w:r>
      <w:r w:rsidRPr="008D0739">
        <w:t xml:space="preserve"> great and progress in </w:t>
      </w:r>
      <w:proofErr w:type="gramStart"/>
      <w:r w:rsidR="000C37A4">
        <w:t>taking action</w:t>
      </w:r>
      <w:proofErr w:type="gramEnd"/>
      <w:r w:rsidRPr="008D0739">
        <w:t xml:space="preserve"> on health inequalities has been </w:t>
      </w:r>
      <w:r w:rsidR="000C37A4">
        <w:t>affected</w:t>
      </w:r>
      <w:r w:rsidRPr="008D0739">
        <w:t xml:space="preserve"> by the </w:t>
      </w:r>
      <w:r>
        <w:t xml:space="preserve">twin </w:t>
      </w:r>
      <w:r w:rsidRPr="008D0739">
        <w:t xml:space="preserve">impacts of austerity and the pandemic. </w:t>
      </w:r>
    </w:p>
    <w:p w14:paraId="032111A1" w14:textId="77777777" w:rsidR="00CB46DA" w:rsidRDefault="00CB46DA" w:rsidP="00F84933">
      <w:pPr>
        <w:pStyle w:val="Heading2"/>
      </w:pPr>
      <w:bookmarkStart w:id="14" w:name="_Toc185516837"/>
      <w:r>
        <w:t>Key strategies, policies and approaches for tackling health inequalities in Wales</w:t>
      </w:r>
      <w:bookmarkEnd w:id="14"/>
    </w:p>
    <w:p w14:paraId="26AE0490" w14:textId="046D2FF8" w:rsidR="00CB46DA" w:rsidRDefault="00CB46DA" w:rsidP="00CB46DA">
      <w:r>
        <w:t>The role that the Welsh Government can play in tackling health inequalities is significant, but the powers that it is able to exercise under devolution both now and in the futures pose opportunities and challenges (</w:t>
      </w:r>
      <w:proofErr w:type="spellStart"/>
      <w:r>
        <w:t>Malcheva</w:t>
      </w:r>
      <w:proofErr w:type="spellEnd"/>
      <w:r>
        <w:t xml:space="preserve"> et al., 2024).</w:t>
      </w:r>
      <w:r w:rsidR="00454BAF">
        <w:t xml:space="preserve"> The Welsh Equity Solutions Platform </w:t>
      </w:r>
      <w:r w:rsidR="001C15FE">
        <w:t xml:space="preserve">was used to review </w:t>
      </w:r>
      <w:r w:rsidR="003743F4">
        <w:t>policies and strategies that have been imp</w:t>
      </w:r>
      <w:r w:rsidR="00C00F8E">
        <w:t xml:space="preserve">lemented in Wales (see Appendix </w:t>
      </w:r>
      <w:r w:rsidR="0085140E">
        <w:t>2)</w:t>
      </w:r>
    </w:p>
    <w:p w14:paraId="63A69B8F" w14:textId="77777777" w:rsidR="00CB46DA" w:rsidRPr="00F94959" w:rsidRDefault="00CB46DA" w:rsidP="00CB46DA">
      <w:pPr>
        <w:pStyle w:val="Heading3"/>
      </w:pPr>
      <w:bookmarkStart w:id="15" w:name="_Toc185516838"/>
      <w:r w:rsidRPr="00F94959">
        <w:t xml:space="preserve">Overview of key </w:t>
      </w:r>
      <w:r>
        <w:t xml:space="preserve">strategies and </w:t>
      </w:r>
      <w:r w:rsidRPr="00F94959">
        <w:t>policies</w:t>
      </w:r>
      <w:bookmarkEnd w:id="15"/>
    </w:p>
    <w:p w14:paraId="09AABA75" w14:textId="129EAADE" w:rsidR="00CB46DA" w:rsidRPr="00015A0C" w:rsidRDefault="00CB46DA" w:rsidP="00CB46DA">
      <w:r w:rsidRPr="00F94959">
        <w:t>A long-term strategy for public health in Wales was published by Public Health Wales in 2023 (Public Health Wales</w:t>
      </w:r>
      <w:r>
        <w:t xml:space="preserve">, 2023) </w:t>
      </w:r>
      <w:r w:rsidRPr="00F94959">
        <w:t xml:space="preserve">and it highlighted that the strategic and policy context for public health has been strengthened by several key pieces of enabling public health </w:t>
      </w:r>
      <w:r w:rsidRPr="00970C07">
        <w:t>legalisation that challenge public sector bodies to consider the long-term impact of decisions</w:t>
      </w:r>
      <w:r w:rsidR="00843B09" w:rsidRPr="00970C07">
        <w:t>,</w:t>
      </w:r>
      <w:r w:rsidRPr="00970C07">
        <w:t xml:space="preserve"> and which support a greater focus on prevention and addressing inequalities.</w:t>
      </w:r>
    </w:p>
    <w:p w14:paraId="75BFD77E" w14:textId="77777777" w:rsidR="00CB46DA" w:rsidRDefault="00CB46DA" w:rsidP="00CB46DA">
      <w:pPr>
        <w:pStyle w:val="Heading4"/>
      </w:pPr>
      <w:r>
        <w:t>The Well-being of Future Generations (Wales) Act 2015</w:t>
      </w:r>
    </w:p>
    <w:p w14:paraId="5BBAF76E" w14:textId="7DA87DCF" w:rsidR="00CB46DA" w:rsidRPr="005A2693" w:rsidRDefault="00CB46DA" w:rsidP="00CB46DA">
      <w:r>
        <w:t xml:space="preserve">The Well-being of Future Generations (Wales) Act was introduced into legislation in 2015. The </w:t>
      </w:r>
      <w:r w:rsidRPr="004D1916">
        <w:t xml:space="preserve">Act contains </w:t>
      </w:r>
      <w:r>
        <w:t xml:space="preserve">seven </w:t>
      </w:r>
      <w:r w:rsidRPr="004D1916">
        <w:t xml:space="preserve">goals for ‘A healthier Wales’, ‘A more equal Wales’, ‘A Wales of cohesive communities’, ‘A globally responsible Wales’, ‘A Wales of vibrant culture and thriving Welsh Language’, ‘A prosperous </w:t>
      </w:r>
      <w:proofErr w:type="spellStart"/>
      <w:r w:rsidRPr="004D1916">
        <w:t>Wales’</w:t>
      </w:r>
      <w:proofErr w:type="spellEnd"/>
      <w:r w:rsidRPr="004D1916">
        <w:t xml:space="preserve"> and ‘A resilient Wales’</w:t>
      </w:r>
      <w:r>
        <w:t xml:space="preserve">. The </w:t>
      </w:r>
      <w:r w:rsidR="00662834">
        <w:t>A</w:t>
      </w:r>
      <w:r>
        <w:t xml:space="preserve">ct requires public bodies in Wales to work with others towards these goals. A Future Generations Commissioner has been instituted to ensure that the Act is implemented and to measure progress towards the achievement of well-being goals against 46 national indicators (Welsh Government, 2016). The Act has </w:t>
      </w:r>
      <w:r w:rsidR="00546D63">
        <w:t xml:space="preserve">widely </w:t>
      </w:r>
      <w:r>
        <w:t xml:space="preserve">been </w:t>
      </w:r>
      <w:r>
        <w:lastRenderedPageBreak/>
        <w:t>seen as a piece of innovative and ground-breaking legislation (</w:t>
      </w:r>
      <w:proofErr w:type="spellStart"/>
      <w:r>
        <w:t>Messham</w:t>
      </w:r>
      <w:proofErr w:type="spellEnd"/>
      <w:r>
        <w:t xml:space="preserve"> and Sheard, 2020).</w:t>
      </w:r>
    </w:p>
    <w:p w14:paraId="2EB31E23" w14:textId="782A1B27" w:rsidR="00CB46DA" w:rsidRDefault="00CB46DA" w:rsidP="00CB46DA">
      <w:pPr>
        <w:pStyle w:val="Heading4"/>
      </w:pPr>
      <w:r>
        <w:t xml:space="preserve">A More Equal </w:t>
      </w:r>
      <w:r w:rsidRPr="00C67AAD">
        <w:t>Wales</w:t>
      </w:r>
      <w:r>
        <w:t xml:space="preserve">: </w:t>
      </w:r>
      <w:r w:rsidR="00136D06">
        <w:t>The</w:t>
      </w:r>
      <w:r>
        <w:t xml:space="preserve"> Socio-economic Duty 2021</w:t>
      </w:r>
    </w:p>
    <w:p w14:paraId="28980320" w14:textId="757A97F6" w:rsidR="00CB46DA" w:rsidRDefault="00CB46DA" w:rsidP="00CB46DA">
      <w:r>
        <w:t>The Socio-economic Duty came into force in Wales in 2021 and placed a statutory duty on public bodies in Wales to consider how their strategic decisions can improve inequality of outcome for people who experience socio-economic disadvantage (Welsh Government, 2021</w:t>
      </w:r>
      <w:r w:rsidR="004B0293">
        <w:t>a</w:t>
      </w:r>
      <w:r>
        <w:t xml:space="preserve">). It also adds an understanding of socio-economic inequality into the More Equal Wales goal in the Well-Being of Future Generations Act. </w:t>
      </w:r>
    </w:p>
    <w:p w14:paraId="6ABCB75E" w14:textId="77777777" w:rsidR="00CB46DA" w:rsidRDefault="00CB46DA" w:rsidP="00CB46DA">
      <w:pPr>
        <w:pStyle w:val="Heading4"/>
      </w:pPr>
      <w:r>
        <w:t>The Health and Social Care (Quality and Engagement) (Wales) Act 2020</w:t>
      </w:r>
    </w:p>
    <w:p w14:paraId="64D37BB2" w14:textId="2BFF3662" w:rsidR="00CB46DA" w:rsidRPr="00F018B5" w:rsidRDefault="00CB46DA" w:rsidP="00CB46DA">
      <w:r>
        <w:t>The Health and Social Care (Quality and Engagement) (Wales) Act came into force in 2023 (Welsh Government, 2023</w:t>
      </w:r>
      <w:r w:rsidR="00A011A6">
        <w:t>a</w:t>
      </w:r>
      <w:r>
        <w:t>). The Act has four parts, ‘Duty of Quality’, ‘Duty of Candour’, ‘Citizen Voice Body (</w:t>
      </w:r>
      <w:proofErr w:type="spellStart"/>
      <w:r>
        <w:t>Llais</w:t>
      </w:r>
      <w:proofErr w:type="spellEnd"/>
      <w:r>
        <w:t>)’ and ‘Vice Chairs of NHS Trusts’. Introducing a duty of quality means that NHS bodies, including Public Health Wales, must ensure a system-wide approach to improving quality of care and population outcomes.</w:t>
      </w:r>
    </w:p>
    <w:p w14:paraId="61159C35" w14:textId="77777777" w:rsidR="00895F4B" w:rsidRDefault="00895F4B" w:rsidP="00895F4B">
      <w:pPr>
        <w:pStyle w:val="Heading4"/>
      </w:pPr>
      <w:r>
        <w:t>Health Impact Assessment (Wales) Regulations</w:t>
      </w:r>
    </w:p>
    <w:p w14:paraId="151677C5" w14:textId="0DA5DF54" w:rsidR="00895F4B" w:rsidRDefault="00895F4B" w:rsidP="00895F4B">
      <w:r>
        <w:t xml:space="preserve">The Public Health (Wales) Act 2017 mandated the Welsh Government to ensure that Health Impact Assessments (HIAs) were made compulsory under certain circumstances. HIAs can help identify actions that enhance positive </w:t>
      </w:r>
      <w:r w:rsidR="000E2476">
        <w:t xml:space="preserve">health </w:t>
      </w:r>
      <w:r>
        <w:t xml:space="preserve">impacts, reduce negative ones, and demonstrate how changes can reduce inequalities, promote health, and foster supportive environments. Recognized by </w:t>
      </w:r>
      <w:r w:rsidR="00881D1B">
        <w:t>WHO</w:t>
      </w:r>
      <w:r>
        <w:t xml:space="preserve"> as a milestone in Wales's path to becoming a well-being economy, this approach is part of the government's "Health in All Policies" strategy. </w:t>
      </w:r>
      <w:r w:rsidRPr="00923F62">
        <w:t xml:space="preserve">The </w:t>
      </w:r>
      <w:r>
        <w:t>Health Impact Assessment (Wales) Regulations</w:t>
      </w:r>
      <w:r w:rsidRPr="00923F62">
        <w:t xml:space="preserve"> are currently </w:t>
      </w:r>
      <w:r w:rsidR="00F70A7E">
        <w:t>under</w:t>
      </w:r>
      <w:r>
        <w:t xml:space="preserve"> consult</w:t>
      </w:r>
      <w:r w:rsidR="00F70A7E">
        <w:t>ation (Welsh Government</w:t>
      </w:r>
      <w:r w:rsidR="005C5CC5">
        <w:t>,</w:t>
      </w:r>
      <w:r w:rsidR="00F70A7E">
        <w:t xml:space="preserve"> 2023</w:t>
      </w:r>
      <w:r w:rsidR="005C5CC5">
        <w:t>b</w:t>
      </w:r>
      <w:r w:rsidR="00F70A7E">
        <w:t>)</w:t>
      </w:r>
      <w:r w:rsidRPr="00923F62">
        <w:t>.</w:t>
      </w:r>
    </w:p>
    <w:p w14:paraId="203D40BF" w14:textId="77777777" w:rsidR="00CB46DA" w:rsidRDefault="00CB46DA" w:rsidP="00CB46DA">
      <w:pPr>
        <w:pStyle w:val="Heading4"/>
      </w:pPr>
      <w:r>
        <w:t>A Smoke-free Wales strategy</w:t>
      </w:r>
    </w:p>
    <w:p w14:paraId="68E99422" w14:textId="5460DAD6" w:rsidR="00CB46DA" w:rsidRPr="00C859D0" w:rsidRDefault="00CB46DA" w:rsidP="00CB46DA">
      <w:r>
        <w:t xml:space="preserve">The ‘A Smoke-free </w:t>
      </w:r>
      <w:proofErr w:type="spellStart"/>
      <w:r>
        <w:t>Wales’</w:t>
      </w:r>
      <w:proofErr w:type="spellEnd"/>
      <w:r>
        <w:t xml:space="preserve"> strategy sets out plans for Wales to be smoke-free by 2030. The strategy focuses on three key themes ‘Reducing Inequalities’, ‘Future Generations’ and ‘A Whole-System Approach for a Smoke-Free Wales’. Like other smoke-free policies </w:t>
      </w:r>
      <w:r w:rsidR="00F12EC6">
        <w:t xml:space="preserve">(also </w:t>
      </w:r>
      <w:r>
        <w:t>termed ‘tobacco endgame policies’</w:t>
      </w:r>
      <w:r w:rsidR="00F12EC6">
        <w:t>)</w:t>
      </w:r>
      <w:r>
        <w:t xml:space="preserve"> the Welsh strategy aims to reduce smoking prevalence to minimal levels.</w:t>
      </w:r>
    </w:p>
    <w:p w14:paraId="63E4D7C2" w14:textId="77777777" w:rsidR="00CB46DA" w:rsidRDefault="00CB46DA" w:rsidP="00CB46DA">
      <w:pPr>
        <w:pStyle w:val="Heading3"/>
      </w:pPr>
      <w:bookmarkStart w:id="16" w:name="_Toc185516839"/>
      <w:r>
        <w:t>Other supporting activities and approaches</w:t>
      </w:r>
      <w:bookmarkEnd w:id="16"/>
    </w:p>
    <w:p w14:paraId="5D360D88" w14:textId="77777777" w:rsidR="00CB46DA" w:rsidRDefault="00CB46DA" w:rsidP="00CB46DA">
      <w:pPr>
        <w:pStyle w:val="Heading4"/>
      </w:pPr>
      <w:r w:rsidRPr="00220725">
        <w:t>A Healthier Wales: Long-term Plan for Health and Social Care</w:t>
      </w:r>
    </w:p>
    <w:p w14:paraId="7DB2155C" w14:textId="77777777" w:rsidR="00CB46DA" w:rsidRPr="0024385B" w:rsidRDefault="00CB46DA" w:rsidP="00CB46DA">
      <w:r>
        <w:t xml:space="preserve">The 10-year strategy for health and social care in Wales, “A Healthier Wales: Health and Social Care Action Plan” was first published in 2018 and set out a ‘whole system approach to health and social care’. </w:t>
      </w:r>
    </w:p>
    <w:p w14:paraId="33EA6D66" w14:textId="77777777" w:rsidR="00CB46DA" w:rsidRDefault="00CB46DA" w:rsidP="00CB46DA">
      <w:pPr>
        <w:pStyle w:val="Heading4"/>
      </w:pPr>
      <w:r>
        <w:t>Value-Based Public Health programme</w:t>
      </w:r>
    </w:p>
    <w:p w14:paraId="4373A903" w14:textId="37AAF03A" w:rsidR="00CB46DA" w:rsidRDefault="00CB46DA" w:rsidP="00CB46DA">
      <w:r>
        <w:t xml:space="preserve">Value-based public health (VBPH) is an emerging concept within the field of public health (Raymond et al., 2023). The Public Health Wales programme of work on VBPH was launched in 2022 to promote and pioneer the application of social value methods and tools. The approach draws on current VBPH approaches including </w:t>
      </w:r>
      <w:r>
        <w:lastRenderedPageBreak/>
        <w:t>social return on investment (SROI) methods with the aim of capturing the holistic (social, economic</w:t>
      </w:r>
      <w:r w:rsidR="009310C4">
        <w:t>,</w:t>
      </w:r>
      <w:r>
        <w:t xml:space="preserve"> and environmental) outcomes and impacts of public health.</w:t>
      </w:r>
    </w:p>
    <w:p w14:paraId="6CDADBF9" w14:textId="77777777" w:rsidR="00CB46DA" w:rsidRDefault="00CB46DA" w:rsidP="00CB46DA">
      <w:pPr>
        <w:pStyle w:val="Heading4"/>
      </w:pPr>
      <w:r>
        <w:t>Healthy Working Wales programme</w:t>
      </w:r>
    </w:p>
    <w:p w14:paraId="2335D6AC" w14:textId="77777777" w:rsidR="00CB46DA" w:rsidRPr="005A2693" w:rsidRDefault="00CB46DA" w:rsidP="00CB46DA">
      <w:r>
        <w:t>Healthy Working Wales is a national programme that aims to improve health and prevent ill-health among the working age population. The programme provides a digital offer to employers and workplaces in Wales, which is based on a self-directed approach to employee and workplace health.</w:t>
      </w:r>
    </w:p>
    <w:p w14:paraId="61647741" w14:textId="4336E968" w:rsidR="00DD0FB8" w:rsidRPr="005A2693" w:rsidRDefault="00DD0FB8" w:rsidP="00DD0FB8">
      <w:pPr>
        <w:pStyle w:val="Heading2"/>
      </w:pPr>
      <w:bookmarkStart w:id="17" w:name="_Toc185516840"/>
      <w:r>
        <w:t>Policy actions</w:t>
      </w:r>
      <w:r w:rsidR="00D874A0">
        <w:t xml:space="preserve"> on the wider determinants</w:t>
      </w:r>
      <w:bookmarkEnd w:id="17"/>
    </w:p>
    <w:p w14:paraId="12EC7B79" w14:textId="11E47605" w:rsidR="00833854" w:rsidRDefault="003B461B" w:rsidP="00833854">
      <w:r>
        <w:t>W</w:t>
      </w:r>
      <w:r w:rsidR="00833854">
        <w:t xml:space="preserve">e identified relevant policy actions in </w:t>
      </w:r>
      <w:r w:rsidR="00E56B85">
        <w:t>seven</w:t>
      </w:r>
      <w:r w:rsidR="00833854" w:rsidRPr="009E258C">
        <w:t xml:space="preserve"> high</w:t>
      </w:r>
      <w:r w:rsidR="00833854">
        <w:t>-</w:t>
      </w:r>
      <w:r w:rsidR="00833854" w:rsidRPr="009E258C">
        <w:t xml:space="preserve">income </w:t>
      </w:r>
      <w:r w:rsidR="00833854">
        <w:t xml:space="preserve">countries: </w:t>
      </w:r>
    </w:p>
    <w:p w14:paraId="154991A0" w14:textId="77777777" w:rsidR="00833854" w:rsidRDefault="00833854" w:rsidP="0049380C">
      <w:pPr>
        <w:pStyle w:val="ListParagraph"/>
        <w:numPr>
          <w:ilvl w:val="0"/>
          <w:numId w:val="1"/>
        </w:numPr>
      </w:pPr>
      <w:r>
        <w:t>Finland</w:t>
      </w:r>
    </w:p>
    <w:p w14:paraId="4264513C" w14:textId="77777777" w:rsidR="00833854" w:rsidRDefault="00833854" w:rsidP="0049380C">
      <w:pPr>
        <w:pStyle w:val="ListParagraph"/>
        <w:numPr>
          <w:ilvl w:val="0"/>
          <w:numId w:val="1"/>
        </w:numPr>
      </w:pPr>
      <w:r>
        <w:t>New Zealand</w:t>
      </w:r>
    </w:p>
    <w:p w14:paraId="1D8D47C9" w14:textId="77777777" w:rsidR="00833854" w:rsidRDefault="00833854" w:rsidP="0049380C">
      <w:pPr>
        <w:pStyle w:val="ListParagraph"/>
        <w:numPr>
          <w:ilvl w:val="0"/>
          <w:numId w:val="1"/>
        </w:numPr>
      </w:pPr>
      <w:r>
        <w:t>Iceland</w:t>
      </w:r>
    </w:p>
    <w:p w14:paraId="5007AD74" w14:textId="77777777" w:rsidR="00833854" w:rsidRDefault="00833854" w:rsidP="0049380C">
      <w:pPr>
        <w:pStyle w:val="ListParagraph"/>
        <w:numPr>
          <w:ilvl w:val="0"/>
          <w:numId w:val="1"/>
        </w:numPr>
      </w:pPr>
      <w:r>
        <w:t>Slovenia</w:t>
      </w:r>
    </w:p>
    <w:p w14:paraId="51962743" w14:textId="77777777" w:rsidR="00833854" w:rsidRDefault="00833854" w:rsidP="0049380C">
      <w:pPr>
        <w:pStyle w:val="ListParagraph"/>
        <w:numPr>
          <w:ilvl w:val="0"/>
          <w:numId w:val="1"/>
        </w:numPr>
      </w:pPr>
      <w:r>
        <w:t>Scotland</w:t>
      </w:r>
    </w:p>
    <w:p w14:paraId="086D134E" w14:textId="77777777" w:rsidR="00833854" w:rsidRDefault="00833854" w:rsidP="0049380C">
      <w:pPr>
        <w:pStyle w:val="ListParagraph"/>
        <w:numPr>
          <w:ilvl w:val="0"/>
          <w:numId w:val="1"/>
        </w:numPr>
      </w:pPr>
      <w:r>
        <w:t>Ireland</w:t>
      </w:r>
    </w:p>
    <w:p w14:paraId="5B8A4245" w14:textId="77777777" w:rsidR="00833854" w:rsidRDefault="00833854" w:rsidP="0049380C">
      <w:pPr>
        <w:pStyle w:val="ListParagraph"/>
        <w:numPr>
          <w:ilvl w:val="0"/>
          <w:numId w:val="1"/>
        </w:numPr>
      </w:pPr>
      <w:r>
        <w:t xml:space="preserve">Belgium </w:t>
      </w:r>
    </w:p>
    <w:p w14:paraId="621D2DFA" w14:textId="74F26E67" w:rsidR="00833854" w:rsidRDefault="00833854" w:rsidP="00833854">
      <w:pPr>
        <w:spacing w:after="0" w:line="240" w:lineRule="auto"/>
      </w:pPr>
      <w:r>
        <w:t>Searches were carried out on Google</w:t>
      </w:r>
      <w:r w:rsidR="003B461B">
        <w:t xml:space="preserve">, </w:t>
      </w:r>
      <w:r>
        <w:t xml:space="preserve">the WHO website </w:t>
      </w:r>
      <w:r w:rsidR="003B461B">
        <w:t xml:space="preserve">and on individual country government websites </w:t>
      </w:r>
      <w:r>
        <w:t xml:space="preserve">to identify reports and policy documents (see Appendix </w:t>
      </w:r>
      <w:r w:rsidR="007F0C8F">
        <w:t>3</w:t>
      </w:r>
      <w:r>
        <w:t xml:space="preserve"> for a</w:t>
      </w:r>
      <w:r w:rsidR="00D60351">
        <w:t xml:space="preserve"> full</w:t>
      </w:r>
      <w:r>
        <w:t xml:space="preserve"> list). Reports and documents were consulted, and details of relevant policy actions extracted and categorised using the WHO five essential conditions multi-sectoral policy framework (Box 1). </w:t>
      </w:r>
      <w:r w:rsidR="00CE622D">
        <w:t xml:space="preserve">Table </w:t>
      </w:r>
      <w:r w:rsidR="007F0C8F">
        <w:t>2</w:t>
      </w:r>
      <w:r w:rsidR="00CE622D">
        <w:t xml:space="preserve"> summarises the </w:t>
      </w:r>
      <w:r w:rsidR="00BB08C8">
        <w:t xml:space="preserve">key </w:t>
      </w:r>
      <w:r w:rsidR="00CE622D">
        <w:t>examples of policy action</w:t>
      </w:r>
      <w:r w:rsidR="00913395">
        <w:t xml:space="preserve"> on health inequalities that were selected.</w:t>
      </w:r>
      <w:r w:rsidR="00D60351">
        <w:t xml:space="preserve"> Appendix </w:t>
      </w:r>
      <w:r w:rsidR="005A5A99">
        <w:t>3</w:t>
      </w:r>
      <w:r w:rsidR="003F47AB">
        <w:t xml:space="preserve"> provides country-level comparison data on relevant ind</w:t>
      </w:r>
      <w:r w:rsidR="009F2658">
        <w:t>icators.</w:t>
      </w:r>
    </w:p>
    <w:p w14:paraId="1479B2A7" w14:textId="56C6D40A" w:rsidR="00833854" w:rsidRDefault="00833854" w:rsidP="00833854">
      <w:pPr>
        <w:spacing w:after="0" w:line="240" w:lineRule="auto"/>
      </w:pPr>
    </w:p>
    <w:tbl>
      <w:tblPr>
        <w:tblStyle w:val="TableGrid"/>
        <w:tblW w:w="0" w:type="auto"/>
        <w:tblLook w:val="04A0" w:firstRow="1" w:lastRow="0" w:firstColumn="1" w:lastColumn="0" w:noHBand="0" w:noVBand="1"/>
      </w:tblPr>
      <w:tblGrid>
        <w:gridCol w:w="9016"/>
      </w:tblGrid>
      <w:tr w:rsidR="00833854" w14:paraId="281F4E0B" w14:textId="77777777" w:rsidTr="001810B5">
        <w:tc>
          <w:tcPr>
            <w:tcW w:w="9016" w:type="dxa"/>
            <w:tcBorders>
              <w:top w:val="nil"/>
              <w:left w:val="nil"/>
              <w:bottom w:val="nil"/>
              <w:right w:val="nil"/>
            </w:tcBorders>
          </w:tcPr>
          <w:p w14:paraId="1BC77A8D" w14:textId="24C15C20" w:rsidR="00833854" w:rsidRPr="001810B5" w:rsidRDefault="001810B5">
            <w:pPr>
              <w:rPr>
                <w:b/>
                <w:bCs/>
                <w:color w:val="FFFFFF" w:themeColor="background1"/>
              </w:rPr>
            </w:pPr>
            <w:r w:rsidRPr="001810B5">
              <w:rPr>
                <w:rFonts w:ascii="Roboto" w:hAnsi="Roboto"/>
                <w:noProof/>
                <w:color w:val="FFFFFF" w:themeColor="background1"/>
                <w:sz w:val="72"/>
                <w:szCs w:val="72"/>
              </w:rPr>
              <mc:AlternateContent>
                <mc:Choice Requires="wps">
                  <w:drawing>
                    <wp:anchor distT="0" distB="0" distL="114300" distR="114300" simplePos="0" relativeHeight="251658249" behindDoc="1" locked="0" layoutInCell="1" allowOverlap="1" wp14:anchorId="70A84580" wp14:editId="18493D56">
                      <wp:simplePos x="0" y="0"/>
                      <wp:positionH relativeFrom="margin">
                        <wp:posOffset>-986155</wp:posOffset>
                      </wp:positionH>
                      <wp:positionV relativeFrom="paragraph">
                        <wp:posOffset>-7487</wp:posOffset>
                      </wp:positionV>
                      <wp:extent cx="6767830" cy="3742660"/>
                      <wp:effectExtent l="0" t="0" r="0" b="0"/>
                      <wp:wrapNone/>
                      <wp:docPr id="1440341138" name="Rectangle 1"/>
                      <wp:cNvGraphicFramePr/>
                      <a:graphic xmlns:a="http://schemas.openxmlformats.org/drawingml/2006/main">
                        <a:graphicData uri="http://schemas.microsoft.com/office/word/2010/wordprocessingShape">
                          <wps:wsp>
                            <wps:cNvSpPr/>
                            <wps:spPr>
                              <a:xfrm>
                                <a:off x="0" y="0"/>
                                <a:ext cx="6767830" cy="3742660"/>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5ECBB2" id="Rectangle 1" o:spid="_x0000_s1026" style="position:absolute;margin-left:-77.65pt;margin-top:-.6pt;width:532.9pt;height:294.7pt;z-index:-25165823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" fillcolor="#156082 [3204]" stroked="f" strokeweight="1pt">
                      <w10:wrap anchorx="margin"/>
                    </v:rect>
                  </w:pict>
                </mc:Fallback>
              </mc:AlternateContent>
            </w:r>
            <w:r w:rsidR="00833854" w:rsidRPr="001810B5">
              <w:rPr>
                <w:b/>
                <w:bCs/>
                <w:color w:val="FFFFFF" w:themeColor="background1"/>
              </w:rPr>
              <w:t>Box 1. WHO’s Five Essential Conditions for health equity</w:t>
            </w:r>
          </w:p>
          <w:p w14:paraId="4EB52A72" w14:textId="20D70B20" w:rsidR="00833854" w:rsidRPr="001810B5" w:rsidRDefault="00833854" w:rsidP="001810B5">
            <w:pPr>
              <w:spacing w:after="40"/>
              <w:rPr>
                <w:color w:val="FFFFFF" w:themeColor="background1"/>
              </w:rPr>
            </w:pPr>
            <w:r w:rsidRPr="001810B5">
              <w:rPr>
                <w:b/>
                <w:color w:val="C1E4F5" w:themeColor="accent1" w:themeTint="33"/>
              </w:rPr>
              <w:t>Health and health services</w:t>
            </w:r>
            <w:r w:rsidR="00874F1A" w:rsidRPr="001810B5">
              <w:rPr>
                <w:b/>
                <w:color w:val="C1E4F5" w:themeColor="accent1" w:themeTint="33"/>
              </w:rPr>
              <w:t xml:space="preserve"> </w:t>
            </w:r>
            <w:r w:rsidRPr="001810B5">
              <w:rPr>
                <w:color w:val="FFFFFF" w:themeColor="background1"/>
              </w:rPr>
              <w:t>category includes policies that ensure the availability, accessibility, affordability and quality of prevention, treatment and health-care services and programmes.</w:t>
            </w:r>
          </w:p>
          <w:p w14:paraId="172A2C3C" w14:textId="29B902E0" w:rsidR="00833854" w:rsidRPr="001810B5" w:rsidRDefault="00833854" w:rsidP="001810B5">
            <w:pPr>
              <w:spacing w:after="40"/>
              <w:rPr>
                <w:color w:val="FFFFFF" w:themeColor="background1"/>
              </w:rPr>
            </w:pPr>
            <w:r w:rsidRPr="001810B5">
              <w:rPr>
                <w:b/>
                <w:color w:val="C1E4F5" w:themeColor="accent1" w:themeTint="33"/>
              </w:rPr>
              <w:t>Health and income security and social protection</w:t>
            </w:r>
            <w:r w:rsidR="00874F1A" w:rsidRPr="001810B5">
              <w:rPr>
                <w:b/>
                <w:color w:val="C1E4F5" w:themeColor="accent1" w:themeTint="33"/>
              </w:rPr>
              <w:t xml:space="preserve"> </w:t>
            </w:r>
            <w:r w:rsidRPr="001810B5">
              <w:rPr>
                <w:color w:val="FFFFFF" w:themeColor="background1"/>
              </w:rPr>
              <w:t>category includes policies that ensure basic income security and reduce the adverse health and social consequences of poverty over the life-course.</w:t>
            </w:r>
          </w:p>
          <w:p w14:paraId="47EFC4F3" w14:textId="17F12A76" w:rsidR="00833854" w:rsidRPr="001810B5" w:rsidRDefault="00833854" w:rsidP="001810B5">
            <w:pPr>
              <w:spacing w:after="40"/>
              <w:rPr>
                <w:color w:val="FFFFFF" w:themeColor="background1"/>
              </w:rPr>
            </w:pPr>
            <w:r w:rsidRPr="001810B5">
              <w:rPr>
                <w:b/>
                <w:color w:val="C1E4F5" w:themeColor="accent1" w:themeTint="33"/>
              </w:rPr>
              <w:t>Health and living conditions</w:t>
            </w:r>
            <w:r w:rsidR="00ED6A30" w:rsidRPr="001810B5">
              <w:rPr>
                <w:b/>
                <w:color w:val="C1E4F5" w:themeColor="accent1" w:themeTint="33"/>
              </w:rPr>
              <w:t xml:space="preserve"> </w:t>
            </w:r>
            <w:r w:rsidRPr="001810B5">
              <w:rPr>
                <w:color w:val="FFFFFF" w:themeColor="background1"/>
              </w:rPr>
              <w:t>category included policies that equalize differential opportunities, access</w:t>
            </w:r>
            <w:r w:rsidR="0075309C" w:rsidRPr="001810B5">
              <w:rPr>
                <w:color w:val="FFFFFF" w:themeColor="background1"/>
              </w:rPr>
              <w:t>,</w:t>
            </w:r>
            <w:r w:rsidRPr="001810B5">
              <w:rPr>
                <w:color w:val="FFFFFF" w:themeColor="background1"/>
              </w:rPr>
              <w:t xml:space="preserve"> and exposure to environmental and living conditions that impact our health and well-being.</w:t>
            </w:r>
          </w:p>
          <w:p w14:paraId="54637F3C" w14:textId="53BF16D2" w:rsidR="00833854" w:rsidRPr="001810B5" w:rsidRDefault="00833854" w:rsidP="001810B5">
            <w:pPr>
              <w:spacing w:after="40"/>
              <w:rPr>
                <w:color w:val="FFFFFF" w:themeColor="background1"/>
              </w:rPr>
            </w:pPr>
            <w:r w:rsidRPr="001810B5">
              <w:rPr>
                <w:b/>
                <w:color w:val="C1E4F5" w:themeColor="accent1" w:themeTint="33"/>
              </w:rPr>
              <w:t>Health and human and social capital</w:t>
            </w:r>
            <w:r w:rsidR="00ED6A30" w:rsidRPr="001810B5">
              <w:rPr>
                <w:b/>
                <w:color w:val="C1E4F5" w:themeColor="accent1" w:themeTint="33"/>
              </w:rPr>
              <w:t xml:space="preserve"> </w:t>
            </w:r>
            <w:r w:rsidRPr="001810B5">
              <w:rPr>
                <w:color w:val="FFFFFF" w:themeColor="background1"/>
              </w:rPr>
              <w:t>category includes policies that improve human capital for health through education, learning and literacy; and policies that improve the social capital of individuals and communities in a way that protects and promotes health and well-being.</w:t>
            </w:r>
          </w:p>
          <w:p w14:paraId="0814FC4A" w14:textId="7D083B00" w:rsidR="00833854" w:rsidRDefault="00833854" w:rsidP="001810B5">
            <w:pPr>
              <w:spacing w:after="40"/>
            </w:pPr>
            <w:r w:rsidRPr="001810B5">
              <w:rPr>
                <w:b/>
                <w:color w:val="C1E4F5" w:themeColor="accent1" w:themeTint="33"/>
              </w:rPr>
              <w:t>Health and employment and working conditions</w:t>
            </w:r>
            <w:r w:rsidR="00ED6A30" w:rsidRPr="001810B5">
              <w:rPr>
                <w:b/>
                <w:color w:val="C1E4F5" w:themeColor="accent1" w:themeTint="33"/>
              </w:rPr>
              <w:t xml:space="preserve"> </w:t>
            </w:r>
            <w:r w:rsidRPr="001810B5">
              <w:rPr>
                <w:color w:val="FFFFFF" w:themeColor="background1"/>
              </w:rPr>
              <w:t>category includes policies that improve the health impact of employment and working conditions, including availability, accessibility, security, wages, physical and mental demands, and exposure to unsafe work.</w:t>
            </w:r>
          </w:p>
        </w:tc>
      </w:tr>
    </w:tbl>
    <w:p w14:paraId="6CFF0EBC" w14:textId="77777777" w:rsidR="00410289" w:rsidRDefault="00410289" w:rsidP="00833854">
      <w:pPr>
        <w:sectPr w:rsidR="00410289">
          <w:pgSz w:w="11906" w:h="16838"/>
          <w:pgMar w:top="1440" w:right="1440" w:bottom="1440" w:left="1440" w:header="708" w:footer="708" w:gutter="0"/>
          <w:cols w:space="708"/>
          <w:docGrid w:linePitch="360"/>
        </w:sectPr>
      </w:pPr>
    </w:p>
    <w:p w14:paraId="2938F9E1" w14:textId="62104143" w:rsidR="00410289" w:rsidRDefault="00410289" w:rsidP="00410289">
      <w:pPr>
        <w:pStyle w:val="Caption"/>
      </w:pPr>
      <w:bookmarkStart w:id="18" w:name="_Toc189563116"/>
      <w:r>
        <w:lastRenderedPageBreak/>
        <w:t xml:space="preserve">Table </w:t>
      </w:r>
      <w:r w:rsidR="002C3A6C">
        <w:fldChar w:fldCharType="begin"/>
      </w:r>
      <w:r w:rsidR="002C3A6C">
        <w:instrText xml:space="preserve"> SEQ Table \* ARABIC </w:instrText>
      </w:r>
      <w:r w:rsidR="002C3A6C">
        <w:fldChar w:fldCharType="separate"/>
      </w:r>
      <w:r w:rsidR="004F2319">
        <w:rPr>
          <w:noProof/>
        </w:rPr>
        <w:t>2</w:t>
      </w:r>
      <w:r w:rsidR="002C3A6C">
        <w:rPr>
          <w:noProof/>
        </w:rPr>
        <w:fldChar w:fldCharType="end"/>
      </w:r>
      <w:r>
        <w:t>. Country examples of policy action on health inequalities</w:t>
      </w:r>
      <w:r w:rsidR="00DF6B29">
        <w:t xml:space="preserve"> across the five essential conditions</w:t>
      </w:r>
      <w:bookmarkEnd w:id="18"/>
    </w:p>
    <w:tbl>
      <w:tblPr>
        <w:tblW w:w="5000" w:type="pct"/>
        <w:tblLook w:val="04A0" w:firstRow="1" w:lastRow="0" w:firstColumn="1" w:lastColumn="0" w:noHBand="0" w:noVBand="1"/>
      </w:tblPr>
      <w:tblGrid>
        <w:gridCol w:w="1390"/>
        <w:gridCol w:w="2214"/>
        <w:gridCol w:w="2216"/>
        <w:gridCol w:w="2213"/>
        <w:gridCol w:w="2216"/>
        <w:gridCol w:w="2216"/>
        <w:gridCol w:w="2213"/>
      </w:tblGrid>
      <w:tr w:rsidR="00D11E7A" w:rsidRPr="00D747BD" w14:paraId="1976AD79" w14:textId="326FE67E" w:rsidTr="00D11E7A">
        <w:trPr>
          <w:cantSplit/>
          <w:trHeight w:val="678"/>
          <w:tblHeader/>
        </w:trPr>
        <w:tc>
          <w:tcPr>
            <w:tcW w:w="473" w:type="pct"/>
            <w:shd w:val="clear" w:color="auto" w:fill="156082" w:themeFill="accent1"/>
            <w:vAlign w:val="center"/>
            <w:hideMark/>
          </w:tcPr>
          <w:p w14:paraId="09D706F5" w14:textId="77777777" w:rsidR="00D11E7A" w:rsidRPr="00835732" w:rsidRDefault="00D11E7A" w:rsidP="00835732">
            <w:pPr>
              <w:pStyle w:val="NoSpacing"/>
              <w:rPr>
                <w:b/>
                <w:bCs/>
                <w:color w:val="FFFFFF" w:themeColor="background1"/>
                <w:sz w:val="20"/>
                <w:szCs w:val="20"/>
                <w:lang w:eastAsia="en-GB"/>
              </w:rPr>
            </w:pPr>
            <w:r w:rsidRPr="00835732">
              <w:rPr>
                <w:b/>
                <w:bCs/>
                <w:color w:val="FFFFFF" w:themeColor="background1"/>
                <w:sz w:val="20"/>
                <w:szCs w:val="20"/>
                <w:lang w:eastAsia="en-GB"/>
              </w:rPr>
              <w:t>Country</w:t>
            </w:r>
          </w:p>
        </w:tc>
        <w:tc>
          <w:tcPr>
            <w:tcW w:w="754" w:type="pct"/>
            <w:shd w:val="clear" w:color="auto" w:fill="156082" w:themeFill="accent1"/>
            <w:vAlign w:val="center"/>
            <w:hideMark/>
          </w:tcPr>
          <w:p w14:paraId="19328CCB" w14:textId="77777777" w:rsidR="00D11E7A" w:rsidRPr="00D747BD" w:rsidRDefault="00D11E7A" w:rsidP="00835732">
            <w:pPr>
              <w:pStyle w:val="NoSpacing"/>
              <w:jc w:val="center"/>
              <w:rPr>
                <w:b/>
                <w:bCs/>
                <w:color w:val="FFFFFF" w:themeColor="background1"/>
                <w:sz w:val="20"/>
                <w:szCs w:val="20"/>
                <w:lang w:eastAsia="en-GB"/>
              </w:rPr>
            </w:pPr>
            <w:r w:rsidRPr="00D747BD">
              <w:rPr>
                <w:b/>
                <w:bCs/>
                <w:color w:val="FFFFFF" w:themeColor="background1"/>
                <w:sz w:val="20"/>
                <w:szCs w:val="20"/>
                <w:lang w:eastAsia="en-GB"/>
              </w:rPr>
              <w:t>Health services</w:t>
            </w:r>
          </w:p>
        </w:tc>
        <w:tc>
          <w:tcPr>
            <w:tcW w:w="755" w:type="pct"/>
            <w:shd w:val="clear" w:color="auto" w:fill="156082" w:themeFill="accent1"/>
            <w:vAlign w:val="center"/>
            <w:hideMark/>
          </w:tcPr>
          <w:p w14:paraId="43500C88" w14:textId="77777777" w:rsidR="00D11E7A" w:rsidRPr="00D747BD" w:rsidRDefault="00D11E7A" w:rsidP="00835732">
            <w:pPr>
              <w:pStyle w:val="NoSpacing"/>
              <w:jc w:val="center"/>
              <w:rPr>
                <w:b/>
                <w:bCs/>
                <w:color w:val="FFFFFF" w:themeColor="background1"/>
                <w:sz w:val="20"/>
                <w:szCs w:val="20"/>
                <w:lang w:eastAsia="en-GB"/>
              </w:rPr>
            </w:pPr>
            <w:r w:rsidRPr="00D747BD">
              <w:rPr>
                <w:b/>
                <w:bCs/>
                <w:color w:val="FFFFFF" w:themeColor="background1"/>
                <w:sz w:val="20"/>
                <w:szCs w:val="20"/>
                <w:lang w:eastAsia="en-GB"/>
              </w:rPr>
              <w:t>Income security &amp; social protection</w:t>
            </w:r>
          </w:p>
        </w:tc>
        <w:tc>
          <w:tcPr>
            <w:tcW w:w="754" w:type="pct"/>
            <w:shd w:val="clear" w:color="auto" w:fill="156082" w:themeFill="accent1"/>
            <w:vAlign w:val="center"/>
            <w:hideMark/>
          </w:tcPr>
          <w:p w14:paraId="70FD8D80" w14:textId="77777777" w:rsidR="00D11E7A" w:rsidRPr="00D747BD" w:rsidRDefault="00D11E7A" w:rsidP="00835732">
            <w:pPr>
              <w:pStyle w:val="NoSpacing"/>
              <w:jc w:val="center"/>
              <w:rPr>
                <w:b/>
                <w:bCs/>
                <w:color w:val="FFFFFF" w:themeColor="background1"/>
                <w:sz w:val="20"/>
                <w:szCs w:val="20"/>
                <w:lang w:eastAsia="en-GB"/>
              </w:rPr>
            </w:pPr>
            <w:r w:rsidRPr="00D747BD">
              <w:rPr>
                <w:b/>
                <w:bCs/>
                <w:color w:val="FFFFFF" w:themeColor="background1"/>
                <w:sz w:val="20"/>
                <w:szCs w:val="20"/>
                <w:lang w:eastAsia="en-GB"/>
              </w:rPr>
              <w:t>Living conditions</w:t>
            </w:r>
          </w:p>
        </w:tc>
        <w:tc>
          <w:tcPr>
            <w:tcW w:w="755" w:type="pct"/>
            <w:shd w:val="clear" w:color="auto" w:fill="156082" w:themeFill="accent1"/>
            <w:vAlign w:val="center"/>
            <w:hideMark/>
          </w:tcPr>
          <w:p w14:paraId="4A2A6E5F" w14:textId="77777777" w:rsidR="00D11E7A" w:rsidRPr="00D747BD" w:rsidRDefault="00D11E7A" w:rsidP="00835732">
            <w:pPr>
              <w:pStyle w:val="NoSpacing"/>
              <w:jc w:val="center"/>
              <w:rPr>
                <w:b/>
                <w:bCs/>
                <w:color w:val="FFFFFF" w:themeColor="background1"/>
                <w:sz w:val="20"/>
                <w:szCs w:val="20"/>
                <w:lang w:eastAsia="en-GB"/>
              </w:rPr>
            </w:pPr>
            <w:r w:rsidRPr="00D747BD">
              <w:rPr>
                <w:b/>
                <w:bCs/>
                <w:color w:val="FFFFFF" w:themeColor="background1"/>
                <w:sz w:val="20"/>
                <w:szCs w:val="20"/>
                <w:lang w:eastAsia="en-GB"/>
              </w:rPr>
              <w:t>Social and human capital</w:t>
            </w:r>
          </w:p>
        </w:tc>
        <w:tc>
          <w:tcPr>
            <w:tcW w:w="755" w:type="pct"/>
            <w:shd w:val="clear" w:color="auto" w:fill="156082" w:themeFill="accent1"/>
            <w:vAlign w:val="center"/>
            <w:hideMark/>
          </w:tcPr>
          <w:p w14:paraId="58D90A8D" w14:textId="77777777" w:rsidR="00D11E7A" w:rsidRPr="00D747BD" w:rsidRDefault="00D11E7A" w:rsidP="00835732">
            <w:pPr>
              <w:pStyle w:val="NoSpacing"/>
              <w:jc w:val="center"/>
              <w:rPr>
                <w:b/>
                <w:bCs/>
                <w:color w:val="FFFFFF" w:themeColor="background1"/>
                <w:sz w:val="20"/>
                <w:szCs w:val="20"/>
                <w:lang w:eastAsia="en-GB"/>
              </w:rPr>
            </w:pPr>
            <w:r w:rsidRPr="00D747BD">
              <w:rPr>
                <w:b/>
                <w:bCs/>
                <w:color w:val="FFFFFF" w:themeColor="background1"/>
                <w:sz w:val="20"/>
                <w:szCs w:val="20"/>
                <w:lang w:eastAsia="en-GB"/>
              </w:rPr>
              <w:t>Employment and working conditions</w:t>
            </w:r>
          </w:p>
        </w:tc>
        <w:tc>
          <w:tcPr>
            <w:tcW w:w="754" w:type="pct"/>
            <w:shd w:val="clear" w:color="auto" w:fill="156082" w:themeFill="accent1"/>
          </w:tcPr>
          <w:p w14:paraId="09EA3396" w14:textId="0BE89F3E" w:rsidR="00D11E7A" w:rsidRPr="00D747BD" w:rsidRDefault="009418F4" w:rsidP="00835732">
            <w:pPr>
              <w:pStyle w:val="NoSpacing"/>
              <w:jc w:val="center"/>
              <w:rPr>
                <w:b/>
                <w:bCs/>
                <w:color w:val="FFFFFF" w:themeColor="background1"/>
                <w:sz w:val="20"/>
                <w:szCs w:val="20"/>
                <w:lang w:eastAsia="en-GB"/>
              </w:rPr>
            </w:pPr>
            <w:r>
              <w:rPr>
                <w:b/>
                <w:bCs/>
                <w:color w:val="FFFFFF" w:themeColor="background1"/>
                <w:sz w:val="20"/>
                <w:szCs w:val="20"/>
                <w:lang w:eastAsia="en-GB"/>
              </w:rPr>
              <w:t>E</w:t>
            </w:r>
            <w:r w:rsidRPr="009418F4">
              <w:rPr>
                <w:b/>
                <w:bCs/>
                <w:color w:val="FFFFFF" w:themeColor="background1"/>
                <w:sz w:val="20"/>
                <w:szCs w:val="20"/>
                <w:lang w:eastAsia="en-GB"/>
              </w:rPr>
              <w:t>arly years, childhood and adolescence</w:t>
            </w:r>
          </w:p>
        </w:tc>
      </w:tr>
      <w:tr w:rsidR="00D11E7A" w:rsidRPr="00E56B85" w14:paraId="34DB34A3" w14:textId="50063821" w:rsidTr="00D11E7A">
        <w:trPr>
          <w:cantSplit/>
          <w:trHeight w:val="550"/>
        </w:trPr>
        <w:tc>
          <w:tcPr>
            <w:tcW w:w="473" w:type="pct"/>
            <w:shd w:val="clear" w:color="auto" w:fill="auto"/>
          </w:tcPr>
          <w:p w14:paraId="78E9C429" w14:textId="77777777" w:rsidR="00D11E7A" w:rsidRPr="00835732" w:rsidRDefault="00D11E7A" w:rsidP="002D5820">
            <w:pPr>
              <w:pStyle w:val="NoSpacing"/>
              <w:spacing w:after="40"/>
              <w:rPr>
                <w:b/>
                <w:bCs/>
                <w:sz w:val="20"/>
                <w:szCs w:val="20"/>
                <w:lang w:eastAsia="en-GB"/>
              </w:rPr>
            </w:pPr>
            <w:r w:rsidRPr="00835732">
              <w:rPr>
                <w:b/>
                <w:bCs/>
                <w:sz w:val="20"/>
                <w:szCs w:val="20"/>
                <w:lang w:eastAsia="en-GB"/>
              </w:rPr>
              <w:t>Wales</w:t>
            </w:r>
          </w:p>
        </w:tc>
        <w:tc>
          <w:tcPr>
            <w:tcW w:w="754" w:type="pct"/>
            <w:shd w:val="clear" w:color="auto" w:fill="auto"/>
          </w:tcPr>
          <w:p w14:paraId="3B17447E" w14:textId="77777777" w:rsidR="00D11E7A" w:rsidRPr="00E56B85" w:rsidRDefault="00D11E7A" w:rsidP="002D5820">
            <w:pPr>
              <w:pStyle w:val="NoSpacing"/>
              <w:spacing w:after="40"/>
              <w:rPr>
                <w:sz w:val="20"/>
                <w:szCs w:val="20"/>
              </w:rPr>
            </w:pPr>
            <w:r w:rsidRPr="00E56B85">
              <w:rPr>
                <w:sz w:val="20"/>
                <w:szCs w:val="20"/>
              </w:rPr>
              <w:t>3 Ps Policy developed as a recovery plan for patients waiting for treatment</w:t>
            </w:r>
            <w:r>
              <w:rPr>
                <w:sz w:val="20"/>
                <w:szCs w:val="20"/>
              </w:rPr>
              <w:t>.</w:t>
            </w:r>
          </w:p>
          <w:p w14:paraId="78F43691" w14:textId="77777777" w:rsidR="00D11E7A" w:rsidRPr="00E56B85" w:rsidRDefault="00D11E7A" w:rsidP="002D5820">
            <w:pPr>
              <w:pStyle w:val="NoSpacing"/>
              <w:spacing w:after="40"/>
              <w:rPr>
                <w:sz w:val="20"/>
                <w:szCs w:val="20"/>
              </w:rPr>
            </w:pPr>
            <w:r w:rsidRPr="00E56B85">
              <w:rPr>
                <w:sz w:val="20"/>
                <w:szCs w:val="20"/>
              </w:rPr>
              <w:t>Shaping Places for Well-being programme is embedding systems approaches to health and well-being through local Public Service Boards</w:t>
            </w:r>
            <w:r>
              <w:rPr>
                <w:sz w:val="20"/>
                <w:szCs w:val="20"/>
              </w:rPr>
              <w:t>.</w:t>
            </w:r>
          </w:p>
        </w:tc>
        <w:tc>
          <w:tcPr>
            <w:tcW w:w="755" w:type="pct"/>
            <w:shd w:val="clear" w:color="auto" w:fill="auto"/>
          </w:tcPr>
          <w:p w14:paraId="4BDE5954" w14:textId="77777777" w:rsidR="00D11E7A" w:rsidRPr="00E56B85" w:rsidRDefault="00D11E7A" w:rsidP="002D5820">
            <w:pPr>
              <w:pStyle w:val="NoSpacing"/>
              <w:spacing w:after="40"/>
              <w:rPr>
                <w:sz w:val="20"/>
                <w:szCs w:val="20"/>
              </w:rPr>
            </w:pPr>
            <w:r w:rsidRPr="00E56B85">
              <w:rPr>
                <w:sz w:val="20"/>
                <w:szCs w:val="20"/>
              </w:rPr>
              <w:t>Basic income pilot for care leavers.</w:t>
            </w:r>
          </w:p>
          <w:p w14:paraId="598ECDBF" w14:textId="77777777" w:rsidR="00D11E7A" w:rsidRPr="00E56B85" w:rsidRDefault="00D11E7A" w:rsidP="002D5820">
            <w:pPr>
              <w:pStyle w:val="NoSpacing"/>
              <w:spacing w:after="40"/>
              <w:rPr>
                <w:sz w:val="20"/>
                <w:szCs w:val="20"/>
              </w:rPr>
            </w:pPr>
            <w:r w:rsidRPr="00E56B85">
              <w:rPr>
                <w:sz w:val="20"/>
                <w:szCs w:val="20"/>
              </w:rPr>
              <w:t>Child Poverty Strategy objective to maximise the income of families.</w:t>
            </w:r>
          </w:p>
        </w:tc>
        <w:tc>
          <w:tcPr>
            <w:tcW w:w="754" w:type="pct"/>
            <w:shd w:val="clear" w:color="auto" w:fill="auto"/>
          </w:tcPr>
          <w:p w14:paraId="56780B1A" w14:textId="77777777" w:rsidR="00D11E7A" w:rsidRPr="00E56B85" w:rsidRDefault="00D11E7A" w:rsidP="002D5820">
            <w:pPr>
              <w:pStyle w:val="NoSpacing"/>
              <w:spacing w:after="40"/>
              <w:rPr>
                <w:sz w:val="20"/>
                <w:szCs w:val="20"/>
              </w:rPr>
            </w:pPr>
            <w:r w:rsidRPr="00E56B85">
              <w:rPr>
                <w:sz w:val="20"/>
                <w:szCs w:val="20"/>
              </w:rPr>
              <w:t>New Warm Homes Programme to provide an advice service and physical improvements to households on low incomes.</w:t>
            </w:r>
          </w:p>
          <w:p w14:paraId="60884A0D" w14:textId="09FBA45D" w:rsidR="00D11E7A" w:rsidRPr="00E56B85" w:rsidRDefault="00D11E7A" w:rsidP="002D5820">
            <w:pPr>
              <w:pStyle w:val="NoSpacing"/>
              <w:spacing w:after="40"/>
              <w:rPr>
                <w:sz w:val="20"/>
                <w:szCs w:val="20"/>
              </w:rPr>
            </w:pPr>
            <w:r w:rsidRPr="00E56B85">
              <w:rPr>
                <w:sz w:val="20"/>
                <w:szCs w:val="20"/>
              </w:rPr>
              <w:t>A high-level national action plan aims to make homelessness rare, brief, and unrepeated.</w:t>
            </w:r>
          </w:p>
        </w:tc>
        <w:tc>
          <w:tcPr>
            <w:tcW w:w="755" w:type="pct"/>
            <w:shd w:val="clear" w:color="auto" w:fill="auto"/>
          </w:tcPr>
          <w:p w14:paraId="678DB48E" w14:textId="77777777" w:rsidR="00D11E7A" w:rsidRPr="00E56B85" w:rsidRDefault="00D11E7A" w:rsidP="002D5820">
            <w:pPr>
              <w:pStyle w:val="NoSpacing"/>
              <w:spacing w:after="40"/>
              <w:rPr>
                <w:sz w:val="20"/>
                <w:szCs w:val="20"/>
              </w:rPr>
            </w:pPr>
            <w:r w:rsidRPr="00E56B85">
              <w:rPr>
                <w:sz w:val="20"/>
                <w:szCs w:val="20"/>
              </w:rPr>
              <w:t>Progress towards becoming a well-being economy.</w:t>
            </w:r>
          </w:p>
          <w:p w14:paraId="425491A3" w14:textId="77777777" w:rsidR="00D11E7A" w:rsidRPr="00E56B85" w:rsidRDefault="00D11E7A" w:rsidP="002D5820">
            <w:pPr>
              <w:pStyle w:val="NoSpacing"/>
              <w:spacing w:after="40"/>
              <w:rPr>
                <w:sz w:val="20"/>
                <w:szCs w:val="20"/>
              </w:rPr>
            </w:pPr>
            <w:r w:rsidRPr="00E56B85">
              <w:rPr>
                <w:sz w:val="20"/>
                <w:szCs w:val="20"/>
              </w:rPr>
              <w:t xml:space="preserve">A commitment to the well-being of future generations has been enshrined through the Well-being of Future Generations (Wales) Act. </w:t>
            </w:r>
          </w:p>
        </w:tc>
        <w:tc>
          <w:tcPr>
            <w:tcW w:w="755" w:type="pct"/>
            <w:shd w:val="clear" w:color="auto" w:fill="auto"/>
          </w:tcPr>
          <w:p w14:paraId="38DFF1B3" w14:textId="77777777" w:rsidR="00D11E7A" w:rsidRDefault="00D11E7A" w:rsidP="002D5820">
            <w:pPr>
              <w:pStyle w:val="NoSpacing"/>
              <w:spacing w:after="40"/>
              <w:rPr>
                <w:sz w:val="20"/>
                <w:szCs w:val="20"/>
              </w:rPr>
            </w:pPr>
            <w:r w:rsidRPr="00E56B85">
              <w:rPr>
                <w:sz w:val="20"/>
                <w:szCs w:val="20"/>
              </w:rPr>
              <w:t>Healthy Working Wales and the Employee Health Management Programme provide resources for employers in Wales.</w:t>
            </w:r>
          </w:p>
          <w:p w14:paraId="41640331" w14:textId="58E41927" w:rsidR="00D11E7A" w:rsidRPr="00E56B85" w:rsidRDefault="00D11E7A" w:rsidP="002D5820">
            <w:pPr>
              <w:pStyle w:val="NoSpacing"/>
              <w:spacing w:after="40"/>
              <w:rPr>
                <w:sz w:val="20"/>
                <w:szCs w:val="20"/>
              </w:rPr>
            </w:pPr>
            <w:r>
              <w:rPr>
                <w:sz w:val="20"/>
                <w:szCs w:val="20"/>
              </w:rPr>
              <w:t xml:space="preserve">Adoption of key priorities from the Fair Work Commission report. </w:t>
            </w:r>
          </w:p>
        </w:tc>
        <w:tc>
          <w:tcPr>
            <w:tcW w:w="754" w:type="pct"/>
          </w:tcPr>
          <w:p w14:paraId="611F442C" w14:textId="77777777" w:rsidR="00D11E7A" w:rsidRDefault="009418F4" w:rsidP="002D5820">
            <w:pPr>
              <w:pStyle w:val="NoSpacing"/>
              <w:spacing w:after="40"/>
              <w:rPr>
                <w:sz w:val="20"/>
                <w:szCs w:val="20"/>
              </w:rPr>
            </w:pPr>
            <w:r w:rsidRPr="00E56B85">
              <w:rPr>
                <w:sz w:val="20"/>
                <w:szCs w:val="20"/>
              </w:rPr>
              <w:t>Child Poverty Strategy</w:t>
            </w:r>
            <w:r w:rsidR="00E861DF">
              <w:rPr>
                <w:sz w:val="20"/>
                <w:szCs w:val="20"/>
              </w:rPr>
              <w:t xml:space="preserve"> to support the best start in life.</w:t>
            </w:r>
          </w:p>
          <w:p w14:paraId="19A41C56" w14:textId="24E79649" w:rsidR="008F54C7" w:rsidRPr="00E56B85" w:rsidRDefault="00D707EB" w:rsidP="002D5820">
            <w:pPr>
              <w:pStyle w:val="NoSpacing"/>
              <w:spacing w:after="40"/>
              <w:rPr>
                <w:sz w:val="20"/>
                <w:szCs w:val="20"/>
              </w:rPr>
            </w:pPr>
            <w:r>
              <w:rPr>
                <w:sz w:val="20"/>
                <w:szCs w:val="20"/>
              </w:rPr>
              <w:t>Funding for early years programmes</w:t>
            </w:r>
            <w:r w:rsidR="00AC5FBE">
              <w:rPr>
                <w:sz w:val="20"/>
                <w:szCs w:val="20"/>
              </w:rPr>
              <w:t>.</w:t>
            </w:r>
          </w:p>
        </w:tc>
      </w:tr>
      <w:tr w:rsidR="00D11E7A" w:rsidRPr="00E56B85" w14:paraId="27FE6464" w14:textId="404C3A77" w:rsidTr="00D11E7A">
        <w:trPr>
          <w:cantSplit/>
          <w:trHeight w:val="306"/>
        </w:trPr>
        <w:tc>
          <w:tcPr>
            <w:tcW w:w="473" w:type="pct"/>
            <w:shd w:val="clear" w:color="auto" w:fill="F2F2F2" w:themeFill="background1" w:themeFillShade="F2"/>
          </w:tcPr>
          <w:p w14:paraId="587F0FC7" w14:textId="77777777" w:rsidR="00D11E7A" w:rsidRPr="00835732" w:rsidRDefault="00D11E7A" w:rsidP="002D5820">
            <w:pPr>
              <w:pStyle w:val="NoSpacing"/>
              <w:spacing w:after="40"/>
              <w:rPr>
                <w:b/>
                <w:bCs/>
                <w:sz w:val="20"/>
                <w:szCs w:val="20"/>
                <w:lang w:eastAsia="en-GB"/>
              </w:rPr>
            </w:pPr>
            <w:r w:rsidRPr="00835732">
              <w:rPr>
                <w:b/>
                <w:bCs/>
                <w:sz w:val="20"/>
                <w:szCs w:val="20"/>
                <w:lang w:eastAsia="en-GB"/>
              </w:rPr>
              <w:t>Belgium</w:t>
            </w:r>
          </w:p>
        </w:tc>
        <w:tc>
          <w:tcPr>
            <w:tcW w:w="754" w:type="pct"/>
            <w:shd w:val="clear" w:color="auto" w:fill="F2F2F2" w:themeFill="background1" w:themeFillShade="F2"/>
          </w:tcPr>
          <w:p w14:paraId="1D8D38D6" w14:textId="77777777" w:rsidR="00D11E7A" w:rsidRPr="00E56B85" w:rsidRDefault="00D11E7A" w:rsidP="002D5820">
            <w:pPr>
              <w:pStyle w:val="NoSpacing"/>
              <w:spacing w:after="40"/>
              <w:rPr>
                <w:sz w:val="20"/>
                <w:szCs w:val="20"/>
                <w:lang w:eastAsia="en-GB"/>
              </w:rPr>
            </w:pPr>
            <w:r w:rsidRPr="00E56B85">
              <w:rPr>
                <w:sz w:val="20"/>
                <w:szCs w:val="20"/>
              </w:rPr>
              <w:t>Measures to alleviate financial barriers to healthcare access for the most economically disadvantaged.</w:t>
            </w:r>
          </w:p>
        </w:tc>
        <w:tc>
          <w:tcPr>
            <w:tcW w:w="755" w:type="pct"/>
            <w:shd w:val="clear" w:color="auto" w:fill="F2F2F2" w:themeFill="background1" w:themeFillShade="F2"/>
          </w:tcPr>
          <w:p w14:paraId="4DCA20AA" w14:textId="77777777" w:rsidR="00D11E7A" w:rsidRPr="00E56B85" w:rsidRDefault="00D11E7A" w:rsidP="002D5820">
            <w:pPr>
              <w:pStyle w:val="NoSpacing"/>
              <w:spacing w:after="40"/>
              <w:rPr>
                <w:sz w:val="20"/>
                <w:szCs w:val="20"/>
                <w:lang w:eastAsia="en-GB"/>
              </w:rPr>
            </w:pPr>
          </w:p>
        </w:tc>
        <w:tc>
          <w:tcPr>
            <w:tcW w:w="754" w:type="pct"/>
            <w:shd w:val="clear" w:color="auto" w:fill="F2F2F2" w:themeFill="background1" w:themeFillShade="F2"/>
          </w:tcPr>
          <w:p w14:paraId="5E53F911" w14:textId="77777777" w:rsidR="00D11E7A" w:rsidRPr="00E56B85" w:rsidRDefault="00D11E7A" w:rsidP="002D5820">
            <w:pPr>
              <w:pStyle w:val="NoSpacing"/>
              <w:spacing w:after="40"/>
              <w:rPr>
                <w:sz w:val="20"/>
                <w:szCs w:val="20"/>
                <w:lang w:eastAsia="en-GB"/>
              </w:rPr>
            </w:pPr>
            <w:r w:rsidRPr="00E56B85">
              <w:rPr>
                <w:sz w:val="20"/>
                <w:szCs w:val="20"/>
                <w:lang w:eastAsia="en-GB"/>
              </w:rPr>
              <w:t>Belgian Constitution includes the right to decent housing.</w:t>
            </w:r>
          </w:p>
        </w:tc>
        <w:tc>
          <w:tcPr>
            <w:tcW w:w="755" w:type="pct"/>
            <w:shd w:val="clear" w:color="auto" w:fill="F2F2F2" w:themeFill="background1" w:themeFillShade="F2"/>
          </w:tcPr>
          <w:p w14:paraId="5686DCD0" w14:textId="77777777" w:rsidR="00D11E7A" w:rsidRPr="00E56B85" w:rsidRDefault="00D11E7A" w:rsidP="002D5820">
            <w:pPr>
              <w:pStyle w:val="NoSpacing"/>
              <w:spacing w:after="40"/>
              <w:rPr>
                <w:sz w:val="20"/>
                <w:szCs w:val="20"/>
                <w:lang w:eastAsia="en-GB"/>
              </w:rPr>
            </w:pPr>
          </w:p>
        </w:tc>
        <w:tc>
          <w:tcPr>
            <w:tcW w:w="755" w:type="pct"/>
            <w:shd w:val="clear" w:color="auto" w:fill="F2F2F2" w:themeFill="background1" w:themeFillShade="F2"/>
          </w:tcPr>
          <w:p w14:paraId="19DC7715" w14:textId="5583C281" w:rsidR="00D11E7A" w:rsidRDefault="00D11E7A" w:rsidP="002D5820">
            <w:pPr>
              <w:pStyle w:val="NoSpacing"/>
              <w:spacing w:after="40"/>
              <w:rPr>
                <w:sz w:val="20"/>
                <w:szCs w:val="20"/>
                <w:lang w:eastAsia="en-GB"/>
              </w:rPr>
            </w:pPr>
            <w:r>
              <w:rPr>
                <w:sz w:val="20"/>
                <w:szCs w:val="20"/>
                <w:lang w:eastAsia="en-GB"/>
              </w:rPr>
              <w:t>Highly structured approach to collective bargaining.</w:t>
            </w:r>
          </w:p>
          <w:p w14:paraId="0ED1F706" w14:textId="3AC9B870" w:rsidR="00D11E7A" w:rsidRPr="00E56B85" w:rsidRDefault="00D11E7A" w:rsidP="002D5820">
            <w:pPr>
              <w:pStyle w:val="NoSpacing"/>
              <w:spacing w:after="40"/>
              <w:rPr>
                <w:sz w:val="20"/>
                <w:szCs w:val="20"/>
                <w:lang w:eastAsia="en-GB"/>
              </w:rPr>
            </w:pPr>
            <w:r w:rsidRPr="00E56B85">
              <w:rPr>
                <w:sz w:val="20"/>
                <w:szCs w:val="20"/>
                <w:lang w:eastAsia="en-GB"/>
              </w:rPr>
              <w:t>Job creation through the piloting Territories of Zero Long-Term Unemployment initiative</w:t>
            </w:r>
            <w:r>
              <w:rPr>
                <w:sz w:val="20"/>
                <w:szCs w:val="20"/>
                <w:lang w:eastAsia="en-GB"/>
              </w:rPr>
              <w:t>.</w:t>
            </w:r>
          </w:p>
        </w:tc>
        <w:tc>
          <w:tcPr>
            <w:tcW w:w="754" w:type="pct"/>
            <w:shd w:val="clear" w:color="auto" w:fill="F2F2F2" w:themeFill="background1" w:themeFillShade="F2"/>
          </w:tcPr>
          <w:p w14:paraId="476BB9E0" w14:textId="77777777" w:rsidR="00D11E7A" w:rsidRDefault="00D11E7A" w:rsidP="002D5820">
            <w:pPr>
              <w:pStyle w:val="NoSpacing"/>
              <w:spacing w:after="40"/>
              <w:rPr>
                <w:sz w:val="20"/>
                <w:szCs w:val="20"/>
                <w:lang w:eastAsia="en-GB"/>
              </w:rPr>
            </w:pPr>
          </w:p>
        </w:tc>
      </w:tr>
      <w:tr w:rsidR="00D11E7A" w:rsidRPr="00E56B85" w14:paraId="6CC8D109" w14:textId="2755FD7D" w:rsidTr="00D11E7A">
        <w:trPr>
          <w:cantSplit/>
          <w:trHeight w:val="1191"/>
        </w:trPr>
        <w:tc>
          <w:tcPr>
            <w:tcW w:w="473" w:type="pct"/>
            <w:shd w:val="clear" w:color="auto" w:fill="auto"/>
          </w:tcPr>
          <w:p w14:paraId="655E278B" w14:textId="77777777" w:rsidR="00D11E7A" w:rsidRPr="00835732" w:rsidRDefault="00D11E7A" w:rsidP="002D5820">
            <w:pPr>
              <w:pStyle w:val="NoSpacing"/>
              <w:spacing w:after="40"/>
              <w:rPr>
                <w:b/>
                <w:bCs/>
                <w:sz w:val="20"/>
                <w:szCs w:val="20"/>
                <w:lang w:eastAsia="en-GB"/>
              </w:rPr>
            </w:pPr>
            <w:r w:rsidRPr="00835732">
              <w:rPr>
                <w:b/>
                <w:bCs/>
                <w:sz w:val="20"/>
                <w:szCs w:val="20"/>
                <w:lang w:eastAsia="en-GB"/>
              </w:rPr>
              <w:t>Finland</w:t>
            </w:r>
          </w:p>
        </w:tc>
        <w:tc>
          <w:tcPr>
            <w:tcW w:w="754" w:type="pct"/>
            <w:shd w:val="clear" w:color="auto" w:fill="auto"/>
          </w:tcPr>
          <w:p w14:paraId="681FE9D1" w14:textId="77777777" w:rsidR="00D11E7A" w:rsidRPr="00E56B85" w:rsidRDefault="00D11E7A" w:rsidP="002D5820">
            <w:pPr>
              <w:pStyle w:val="NoSpacing"/>
              <w:spacing w:after="40"/>
              <w:rPr>
                <w:sz w:val="20"/>
                <w:szCs w:val="20"/>
                <w:lang w:eastAsia="en-GB"/>
              </w:rPr>
            </w:pPr>
            <w:r w:rsidRPr="00E56B85">
              <w:rPr>
                <w:sz w:val="20"/>
                <w:szCs w:val="20"/>
                <w:lang w:eastAsia="en-GB"/>
              </w:rPr>
              <w:t>Legislation to reduce the waiting times for primary healthcare.</w:t>
            </w:r>
          </w:p>
        </w:tc>
        <w:tc>
          <w:tcPr>
            <w:tcW w:w="755" w:type="pct"/>
            <w:shd w:val="clear" w:color="auto" w:fill="auto"/>
          </w:tcPr>
          <w:p w14:paraId="2B59ED77" w14:textId="77777777" w:rsidR="00D11E7A" w:rsidRPr="00E56B85" w:rsidRDefault="00D11E7A" w:rsidP="002D5820">
            <w:pPr>
              <w:pStyle w:val="NoSpacing"/>
              <w:spacing w:after="40"/>
              <w:rPr>
                <w:sz w:val="20"/>
                <w:szCs w:val="20"/>
                <w:lang w:eastAsia="en-GB"/>
              </w:rPr>
            </w:pPr>
            <w:r w:rsidRPr="00E56B85">
              <w:rPr>
                <w:sz w:val="20"/>
                <w:szCs w:val="20"/>
                <w:lang w:eastAsia="en-GB"/>
              </w:rPr>
              <w:t>Finnish Government implemented a basic income trial in 2017-2018. Unemployed individuals aged 25-58 years received a monthly unconditional payment of EUR 560.</w:t>
            </w:r>
          </w:p>
        </w:tc>
        <w:tc>
          <w:tcPr>
            <w:tcW w:w="754" w:type="pct"/>
            <w:shd w:val="clear" w:color="auto" w:fill="auto"/>
          </w:tcPr>
          <w:p w14:paraId="33F7AF58" w14:textId="77777777" w:rsidR="00D11E7A" w:rsidRPr="00E56B85" w:rsidRDefault="00D11E7A" w:rsidP="002D5820">
            <w:pPr>
              <w:pStyle w:val="NoSpacing"/>
              <w:spacing w:after="40"/>
              <w:rPr>
                <w:sz w:val="20"/>
                <w:szCs w:val="20"/>
                <w:lang w:eastAsia="en-GB"/>
              </w:rPr>
            </w:pPr>
            <w:r w:rsidRPr="00E56B85">
              <w:rPr>
                <w:sz w:val="20"/>
                <w:szCs w:val="20"/>
                <w:lang w:eastAsia="en-GB"/>
              </w:rPr>
              <w:t>Finnish Government has set a goal to eradicate homelessness by 2027. National action plans have standardised the housing first principle and shelters replaced with rental housing units.</w:t>
            </w:r>
          </w:p>
        </w:tc>
        <w:tc>
          <w:tcPr>
            <w:tcW w:w="755" w:type="pct"/>
            <w:shd w:val="clear" w:color="auto" w:fill="auto"/>
          </w:tcPr>
          <w:p w14:paraId="400E96E4" w14:textId="77777777" w:rsidR="00D11E7A" w:rsidRPr="00E56B85" w:rsidRDefault="00D11E7A" w:rsidP="002D5820">
            <w:pPr>
              <w:pStyle w:val="NoSpacing"/>
              <w:spacing w:after="40"/>
              <w:rPr>
                <w:sz w:val="20"/>
                <w:szCs w:val="20"/>
                <w:lang w:eastAsia="en-GB"/>
              </w:rPr>
            </w:pPr>
            <w:r w:rsidRPr="00E56B85">
              <w:rPr>
                <w:sz w:val="20"/>
                <w:szCs w:val="20"/>
                <w:lang w:eastAsia="en-GB"/>
              </w:rPr>
              <w:t>Progress towards becoming a well-being economy.</w:t>
            </w:r>
          </w:p>
        </w:tc>
        <w:tc>
          <w:tcPr>
            <w:tcW w:w="755" w:type="pct"/>
            <w:shd w:val="clear" w:color="auto" w:fill="auto"/>
          </w:tcPr>
          <w:p w14:paraId="0ABF6D17" w14:textId="67B577E7" w:rsidR="00D11E7A" w:rsidRPr="00E56B85" w:rsidRDefault="00D11E7A" w:rsidP="002D5820">
            <w:pPr>
              <w:pStyle w:val="NoSpacing"/>
              <w:spacing w:after="40"/>
              <w:rPr>
                <w:sz w:val="20"/>
                <w:szCs w:val="20"/>
                <w:lang w:eastAsia="en-GB"/>
              </w:rPr>
            </w:pPr>
            <w:r w:rsidRPr="00E56B85">
              <w:rPr>
                <w:sz w:val="20"/>
                <w:szCs w:val="20"/>
                <w:lang w:eastAsia="en-GB"/>
              </w:rPr>
              <w:t>Services that meet people’s employment and social and health needs together</w:t>
            </w:r>
            <w:r>
              <w:rPr>
                <w:sz w:val="20"/>
                <w:szCs w:val="20"/>
                <w:lang w:eastAsia="en-GB"/>
              </w:rPr>
              <w:t>.</w:t>
            </w:r>
          </w:p>
        </w:tc>
        <w:tc>
          <w:tcPr>
            <w:tcW w:w="754" w:type="pct"/>
          </w:tcPr>
          <w:p w14:paraId="28EA68F9" w14:textId="3BDB44DC" w:rsidR="00D11E7A" w:rsidRPr="00E56B85" w:rsidRDefault="00877FA4" w:rsidP="002D5820">
            <w:pPr>
              <w:pStyle w:val="NoSpacing"/>
              <w:spacing w:after="40"/>
              <w:rPr>
                <w:sz w:val="20"/>
                <w:szCs w:val="20"/>
                <w:lang w:eastAsia="en-GB"/>
              </w:rPr>
            </w:pPr>
            <w:r>
              <w:rPr>
                <w:sz w:val="20"/>
                <w:szCs w:val="20"/>
                <w:lang w:eastAsia="en-GB"/>
              </w:rPr>
              <w:t>Legal entitlement and integrated approach to early childhood education and care.</w:t>
            </w:r>
          </w:p>
        </w:tc>
      </w:tr>
      <w:tr w:rsidR="00D11E7A" w:rsidRPr="00E56B85" w14:paraId="4FB3CE9E" w14:textId="79EBB5B2" w:rsidTr="00D11E7A">
        <w:trPr>
          <w:cantSplit/>
          <w:trHeight w:val="1552"/>
        </w:trPr>
        <w:tc>
          <w:tcPr>
            <w:tcW w:w="473" w:type="pct"/>
            <w:shd w:val="clear" w:color="auto" w:fill="F2F2F2" w:themeFill="background1" w:themeFillShade="F2"/>
          </w:tcPr>
          <w:p w14:paraId="6F08439F" w14:textId="77777777" w:rsidR="00D11E7A" w:rsidRPr="00835732" w:rsidRDefault="00D11E7A" w:rsidP="002D5820">
            <w:pPr>
              <w:pStyle w:val="NoSpacing"/>
              <w:spacing w:after="40"/>
              <w:rPr>
                <w:b/>
                <w:bCs/>
                <w:sz w:val="20"/>
                <w:szCs w:val="20"/>
                <w:lang w:eastAsia="en-GB"/>
              </w:rPr>
            </w:pPr>
            <w:r w:rsidRPr="00835732">
              <w:rPr>
                <w:b/>
                <w:bCs/>
                <w:sz w:val="20"/>
                <w:szCs w:val="20"/>
                <w:lang w:eastAsia="en-GB"/>
              </w:rPr>
              <w:lastRenderedPageBreak/>
              <w:t>Iceland</w:t>
            </w:r>
          </w:p>
        </w:tc>
        <w:tc>
          <w:tcPr>
            <w:tcW w:w="754" w:type="pct"/>
            <w:shd w:val="clear" w:color="auto" w:fill="F2F2F2" w:themeFill="background1" w:themeFillShade="F2"/>
          </w:tcPr>
          <w:p w14:paraId="2B17269F" w14:textId="55822ED8" w:rsidR="00D11E7A" w:rsidRPr="00E56B85" w:rsidRDefault="00D11E7A" w:rsidP="002D5820">
            <w:pPr>
              <w:pStyle w:val="NoSpacing"/>
              <w:spacing w:after="40"/>
              <w:rPr>
                <w:sz w:val="20"/>
                <w:szCs w:val="20"/>
                <w:lang w:eastAsia="en-GB"/>
              </w:rPr>
            </w:pPr>
            <w:r w:rsidRPr="00E56B85">
              <w:rPr>
                <w:sz w:val="20"/>
                <w:szCs w:val="20"/>
                <w:lang w:eastAsia="en-GB"/>
              </w:rPr>
              <w:t>Health</w:t>
            </w:r>
            <w:r>
              <w:rPr>
                <w:sz w:val="20"/>
                <w:szCs w:val="20"/>
                <w:lang w:eastAsia="en-GB"/>
              </w:rPr>
              <w:t>y</w:t>
            </w:r>
            <w:r w:rsidRPr="00E56B85">
              <w:rPr>
                <w:sz w:val="20"/>
                <w:szCs w:val="20"/>
                <w:lang w:eastAsia="en-GB"/>
              </w:rPr>
              <w:t xml:space="preserve"> Promoting Communities programme provides infrastructure for governance and addressing community needs.</w:t>
            </w:r>
          </w:p>
        </w:tc>
        <w:tc>
          <w:tcPr>
            <w:tcW w:w="755" w:type="pct"/>
            <w:shd w:val="clear" w:color="auto" w:fill="F2F2F2" w:themeFill="background1" w:themeFillShade="F2"/>
          </w:tcPr>
          <w:p w14:paraId="32315EFB" w14:textId="77777777" w:rsidR="00D11E7A" w:rsidRPr="00E56B85" w:rsidRDefault="00D11E7A" w:rsidP="002D5820">
            <w:pPr>
              <w:pStyle w:val="NoSpacing"/>
              <w:spacing w:after="40"/>
              <w:rPr>
                <w:sz w:val="20"/>
                <w:szCs w:val="20"/>
                <w:lang w:eastAsia="en-GB"/>
              </w:rPr>
            </w:pPr>
          </w:p>
        </w:tc>
        <w:tc>
          <w:tcPr>
            <w:tcW w:w="754" w:type="pct"/>
            <w:shd w:val="clear" w:color="auto" w:fill="F2F2F2" w:themeFill="background1" w:themeFillShade="F2"/>
          </w:tcPr>
          <w:p w14:paraId="2B158605" w14:textId="77777777" w:rsidR="00D11E7A" w:rsidRPr="00E56B85" w:rsidRDefault="00D11E7A" w:rsidP="002D5820">
            <w:pPr>
              <w:pStyle w:val="NoSpacing"/>
              <w:spacing w:after="40"/>
              <w:rPr>
                <w:sz w:val="20"/>
                <w:szCs w:val="20"/>
                <w:lang w:eastAsia="en-GB"/>
              </w:rPr>
            </w:pPr>
          </w:p>
        </w:tc>
        <w:tc>
          <w:tcPr>
            <w:tcW w:w="755" w:type="pct"/>
            <w:shd w:val="clear" w:color="auto" w:fill="F2F2F2" w:themeFill="background1" w:themeFillShade="F2"/>
          </w:tcPr>
          <w:p w14:paraId="73C3488D" w14:textId="77777777" w:rsidR="00D11E7A" w:rsidRPr="00E56B85" w:rsidRDefault="00D11E7A" w:rsidP="002D5820">
            <w:pPr>
              <w:pStyle w:val="NoSpacing"/>
              <w:spacing w:after="40"/>
              <w:rPr>
                <w:sz w:val="20"/>
                <w:szCs w:val="20"/>
                <w:lang w:eastAsia="en-GB"/>
              </w:rPr>
            </w:pPr>
            <w:r w:rsidRPr="00E56B85">
              <w:rPr>
                <w:sz w:val="20"/>
                <w:szCs w:val="20"/>
                <w:lang w:eastAsia="en-GB"/>
              </w:rPr>
              <w:t>Progress towards becoming a well-being economy.</w:t>
            </w:r>
          </w:p>
        </w:tc>
        <w:tc>
          <w:tcPr>
            <w:tcW w:w="755" w:type="pct"/>
            <w:shd w:val="clear" w:color="auto" w:fill="F2F2F2" w:themeFill="background1" w:themeFillShade="F2"/>
          </w:tcPr>
          <w:p w14:paraId="25C34827" w14:textId="77777777" w:rsidR="00D11E7A" w:rsidRPr="00E56B85" w:rsidRDefault="00D11E7A" w:rsidP="002D5820">
            <w:pPr>
              <w:pStyle w:val="NoSpacing"/>
              <w:spacing w:after="40"/>
              <w:rPr>
                <w:sz w:val="20"/>
                <w:szCs w:val="20"/>
                <w:lang w:eastAsia="en-GB"/>
              </w:rPr>
            </w:pPr>
          </w:p>
        </w:tc>
        <w:tc>
          <w:tcPr>
            <w:tcW w:w="754" w:type="pct"/>
            <w:shd w:val="clear" w:color="auto" w:fill="F2F2F2" w:themeFill="background1" w:themeFillShade="F2"/>
          </w:tcPr>
          <w:p w14:paraId="62A66267" w14:textId="77777777" w:rsidR="00D11E7A" w:rsidRPr="00E56B85" w:rsidRDefault="00D11E7A" w:rsidP="002D5820">
            <w:pPr>
              <w:pStyle w:val="NoSpacing"/>
              <w:spacing w:after="40"/>
              <w:rPr>
                <w:sz w:val="20"/>
                <w:szCs w:val="20"/>
                <w:lang w:eastAsia="en-GB"/>
              </w:rPr>
            </w:pPr>
          </w:p>
        </w:tc>
      </w:tr>
      <w:tr w:rsidR="00877FA4" w:rsidRPr="00E56B85" w14:paraId="57BBF948" w14:textId="232DB5B2" w:rsidTr="00D11E7A">
        <w:trPr>
          <w:cantSplit/>
          <w:trHeight w:val="1867"/>
        </w:trPr>
        <w:tc>
          <w:tcPr>
            <w:tcW w:w="473" w:type="pct"/>
            <w:shd w:val="clear" w:color="auto" w:fill="auto"/>
          </w:tcPr>
          <w:p w14:paraId="400A640E" w14:textId="77777777" w:rsidR="00877FA4" w:rsidRPr="00835732" w:rsidRDefault="00877FA4" w:rsidP="00877FA4">
            <w:pPr>
              <w:pStyle w:val="NoSpacing"/>
              <w:spacing w:after="40"/>
              <w:rPr>
                <w:b/>
                <w:bCs/>
                <w:sz w:val="20"/>
                <w:szCs w:val="20"/>
                <w:lang w:eastAsia="en-GB"/>
              </w:rPr>
            </w:pPr>
            <w:r w:rsidRPr="00835732">
              <w:rPr>
                <w:b/>
                <w:bCs/>
                <w:sz w:val="20"/>
                <w:szCs w:val="20"/>
                <w:lang w:eastAsia="en-GB"/>
              </w:rPr>
              <w:t>Ireland</w:t>
            </w:r>
          </w:p>
        </w:tc>
        <w:tc>
          <w:tcPr>
            <w:tcW w:w="754" w:type="pct"/>
            <w:shd w:val="clear" w:color="auto" w:fill="auto"/>
          </w:tcPr>
          <w:p w14:paraId="69AD5310" w14:textId="77777777" w:rsidR="00877FA4" w:rsidRPr="00E56B85" w:rsidRDefault="00877FA4" w:rsidP="00877FA4">
            <w:pPr>
              <w:pStyle w:val="NoSpacing"/>
              <w:spacing w:after="40"/>
              <w:rPr>
                <w:sz w:val="20"/>
                <w:szCs w:val="20"/>
                <w:lang w:eastAsia="en-GB"/>
              </w:rPr>
            </w:pPr>
            <w:r w:rsidRPr="00E56B85">
              <w:rPr>
                <w:sz w:val="20"/>
                <w:szCs w:val="20"/>
                <w:lang w:eastAsia="en-GB"/>
              </w:rPr>
              <w:t>Implementation of annual Waiting List Action Plans since 2022.</w:t>
            </w:r>
          </w:p>
          <w:p w14:paraId="10A0383F" w14:textId="77777777" w:rsidR="00877FA4" w:rsidRPr="00E56B85" w:rsidRDefault="00877FA4" w:rsidP="00877FA4">
            <w:pPr>
              <w:pStyle w:val="NoSpacing"/>
              <w:spacing w:after="40"/>
              <w:rPr>
                <w:sz w:val="20"/>
                <w:szCs w:val="20"/>
                <w:lang w:eastAsia="en-GB"/>
              </w:rPr>
            </w:pPr>
            <w:proofErr w:type="spellStart"/>
            <w:r w:rsidRPr="00E56B85">
              <w:rPr>
                <w:sz w:val="20"/>
                <w:szCs w:val="20"/>
                <w:lang w:eastAsia="en-GB"/>
              </w:rPr>
              <w:t>Sláintecare</w:t>
            </w:r>
            <w:proofErr w:type="spellEnd"/>
            <w:r w:rsidRPr="00E56B85">
              <w:rPr>
                <w:sz w:val="20"/>
                <w:szCs w:val="20"/>
                <w:lang w:eastAsia="en-GB"/>
              </w:rPr>
              <w:t xml:space="preserve"> Healthy Communities Programme launched in 2021 to provide increased health and wellbeing services in 19 communities.</w:t>
            </w:r>
          </w:p>
        </w:tc>
        <w:tc>
          <w:tcPr>
            <w:tcW w:w="755" w:type="pct"/>
            <w:shd w:val="clear" w:color="auto" w:fill="auto"/>
          </w:tcPr>
          <w:p w14:paraId="6D9A8713" w14:textId="77777777" w:rsidR="00877FA4" w:rsidRPr="00E56B85" w:rsidRDefault="00877FA4" w:rsidP="00877FA4">
            <w:pPr>
              <w:pStyle w:val="NoSpacing"/>
              <w:spacing w:after="40"/>
              <w:rPr>
                <w:sz w:val="20"/>
                <w:szCs w:val="20"/>
                <w:lang w:eastAsia="en-GB"/>
              </w:rPr>
            </w:pPr>
          </w:p>
        </w:tc>
        <w:tc>
          <w:tcPr>
            <w:tcW w:w="754" w:type="pct"/>
            <w:shd w:val="clear" w:color="auto" w:fill="auto"/>
          </w:tcPr>
          <w:p w14:paraId="5C3CDAF6" w14:textId="77777777" w:rsidR="00877FA4" w:rsidRPr="00E56B85" w:rsidRDefault="00877FA4" w:rsidP="00877FA4">
            <w:pPr>
              <w:pStyle w:val="NoSpacing"/>
              <w:spacing w:after="40"/>
              <w:rPr>
                <w:sz w:val="20"/>
                <w:szCs w:val="20"/>
                <w:lang w:eastAsia="en-GB"/>
              </w:rPr>
            </w:pPr>
          </w:p>
        </w:tc>
        <w:tc>
          <w:tcPr>
            <w:tcW w:w="755" w:type="pct"/>
            <w:shd w:val="clear" w:color="auto" w:fill="auto"/>
          </w:tcPr>
          <w:p w14:paraId="25A90156" w14:textId="77777777" w:rsidR="00877FA4" w:rsidRPr="00E56B85" w:rsidRDefault="00877FA4" w:rsidP="00877FA4">
            <w:pPr>
              <w:pStyle w:val="NoSpacing"/>
              <w:spacing w:after="40"/>
              <w:rPr>
                <w:sz w:val="20"/>
                <w:szCs w:val="20"/>
                <w:lang w:eastAsia="en-GB"/>
              </w:rPr>
            </w:pPr>
          </w:p>
        </w:tc>
        <w:tc>
          <w:tcPr>
            <w:tcW w:w="755" w:type="pct"/>
            <w:shd w:val="clear" w:color="auto" w:fill="auto"/>
          </w:tcPr>
          <w:p w14:paraId="5FA4FE48" w14:textId="77777777" w:rsidR="00877FA4" w:rsidRPr="00E56B85" w:rsidRDefault="00877FA4" w:rsidP="00877FA4">
            <w:pPr>
              <w:pStyle w:val="NoSpacing"/>
              <w:spacing w:after="40"/>
              <w:rPr>
                <w:sz w:val="20"/>
                <w:szCs w:val="20"/>
                <w:lang w:eastAsia="en-GB"/>
              </w:rPr>
            </w:pPr>
          </w:p>
        </w:tc>
        <w:tc>
          <w:tcPr>
            <w:tcW w:w="754" w:type="pct"/>
          </w:tcPr>
          <w:p w14:paraId="2BA03BE4" w14:textId="1ECF2E18" w:rsidR="00877FA4" w:rsidRPr="00E56B85" w:rsidRDefault="00877FA4" w:rsidP="00877FA4">
            <w:pPr>
              <w:pStyle w:val="NoSpacing"/>
              <w:spacing w:after="40"/>
              <w:rPr>
                <w:sz w:val="20"/>
                <w:szCs w:val="20"/>
                <w:lang w:eastAsia="en-GB"/>
              </w:rPr>
            </w:pPr>
            <w:r>
              <w:rPr>
                <w:sz w:val="20"/>
                <w:szCs w:val="20"/>
                <w:lang w:eastAsia="en-GB"/>
              </w:rPr>
              <w:t>Whole-of-government policy framework for children and young people.</w:t>
            </w:r>
          </w:p>
        </w:tc>
      </w:tr>
      <w:tr w:rsidR="00877FA4" w:rsidRPr="00E56B85" w14:paraId="7F2AEF2B" w14:textId="6449D9B0" w:rsidTr="00D11E7A">
        <w:trPr>
          <w:cantSplit/>
          <w:trHeight w:val="2456"/>
        </w:trPr>
        <w:tc>
          <w:tcPr>
            <w:tcW w:w="473" w:type="pct"/>
            <w:shd w:val="clear" w:color="auto" w:fill="F2F2F2" w:themeFill="background1" w:themeFillShade="F2"/>
          </w:tcPr>
          <w:p w14:paraId="615712ED" w14:textId="77777777" w:rsidR="00877FA4" w:rsidRPr="00835732" w:rsidRDefault="00877FA4" w:rsidP="00877FA4">
            <w:pPr>
              <w:pStyle w:val="NoSpacing"/>
              <w:spacing w:after="40"/>
              <w:rPr>
                <w:b/>
                <w:bCs/>
                <w:sz w:val="20"/>
                <w:szCs w:val="20"/>
                <w:lang w:eastAsia="en-GB"/>
              </w:rPr>
            </w:pPr>
            <w:r w:rsidRPr="00835732">
              <w:rPr>
                <w:b/>
                <w:bCs/>
                <w:sz w:val="20"/>
                <w:szCs w:val="20"/>
                <w:lang w:eastAsia="en-GB"/>
              </w:rPr>
              <w:t>New Zealand</w:t>
            </w:r>
          </w:p>
        </w:tc>
        <w:tc>
          <w:tcPr>
            <w:tcW w:w="754" w:type="pct"/>
            <w:shd w:val="clear" w:color="auto" w:fill="F2F2F2" w:themeFill="background1" w:themeFillShade="F2"/>
          </w:tcPr>
          <w:p w14:paraId="647DEAC8" w14:textId="77777777" w:rsidR="00877FA4" w:rsidRPr="00E56B85" w:rsidRDefault="00877FA4" w:rsidP="00877FA4">
            <w:pPr>
              <w:pStyle w:val="NoSpacing"/>
              <w:spacing w:after="40"/>
              <w:rPr>
                <w:sz w:val="20"/>
                <w:szCs w:val="20"/>
                <w:lang w:eastAsia="en-GB"/>
              </w:rPr>
            </w:pPr>
            <w:proofErr w:type="spellStart"/>
            <w:r w:rsidRPr="00E56B85">
              <w:rPr>
                <w:sz w:val="20"/>
                <w:szCs w:val="20"/>
                <w:lang w:eastAsia="en-GB"/>
              </w:rPr>
              <w:t>Pae</w:t>
            </w:r>
            <w:proofErr w:type="spellEnd"/>
            <w:r w:rsidRPr="00E56B85">
              <w:rPr>
                <w:sz w:val="20"/>
                <w:szCs w:val="20"/>
                <w:lang w:eastAsia="en-GB"/>
              </w:rPr>
              <w:t xml:space="preserve"> Ora (Healthy Futures) Act 2022 established a new structure and accountability arrangements for the health system. Six priority areas for change.</w:t>
            </w:r>
          </w:p>
        </w:tc>
        <w:tc>
          <w:tcPr>
            <w:tcW w:w="755" w:type="pct"/>
            <w:shd w:val="clear" w:color="auto" w:fill="F2F2F2" w:themeFill="background1" w:themeFillShade="F2"/>
          </w:tcPr>
          <w:p w14:paraId="4DA4EEF2" w14:textId="77777777" w:rsidR="00877FA4" w:rsidRPr="00E56B85" w:rsidRDefault="00877FA4" w:rsidP="00877FA4">
            <w:pPr>
              <w:pStyle w:val="NoSpacing"/>
              <w:spacing w:after="40"/>
              <w:rPr>
                <w:sz w:val="20"/>
                <w:szCs w:val="20"/>
                <w:lang w:eastAsia="en-GB"/>
              </w:rPr>
            </w:pPr>
          </w:p>
        </w:tc>
        <w:tc>
          <w:tcPr>
            <w:tcW w:w="754" w:type="pct"/>
            <w:shd w:val="clear" w:color="auto" w:fill="F2F2F2" w:themeFill="background1" w:themeFillShade="F2"/>
          </w:tcPr>
          <w:p w14:paraId="4B6F9028" w14:textId="77777777" w:rsidR="00877FA4" w:rsidRPr="00E56B85" w:rsidRDefault="00877FA4" w:rsidP="00877FA4">
            <w:pPr>
              <w:pStyle w:val="NoSpacing"/>
              <w:spacing w:after="40"/>
              <w:rPr>
                <w:sz w:val="20"/>
                <w:szCs w:val="20"/>
                <w:lang w:eastAsia="en-GB"/>
              </w:rPr>
            </w:pPr>
            <w:r w:rsidRPr="00E56B85">
              <w:rPr>
                <w:sz w:val="20"/>
                <w:szCs w:val="20"/>
                <w:lang w:eastAsia="en-GB"/>
              </w:rPr>
              <w:t>New Zealand Healthy Homes Initiative aims to increase the number of children living in warm, dry, and healthy homes.</w:t>
            </w:r>
          </w:p>
          <w:p w14:paraId="455031A8" w14:textId="77777777" w:rsidR="00877FA4" w:rsidRPr="00E56B85" w:rsidRDefault="00877FA4" w:rsidP="00877FA4">
            <w:pPr>
              <w:pStyle w:val="NoSpacing"/>
              <w:spacing w:after="40"/>
              <w:rPr>
                <w:sz w:val="20"/>
                <w:szCs w:val="20"/>
                <w:lang w:eastAsia="en-GB"/>
              </w:rPr>
            </w:pPr>
            <w:r w:rsidRPr="00E56B85">
              <w:rPr>
                <w:sz w:val="20"/>
                <w:szCs w:val="20"/>
                <w:lang w:eastAsia="en-GB"/>
              </w:rPr>
              <w:t>Healthy Homes Standard introduced into law in 2019 to close the gap between rented and owner-occupied homes.</w:t>
            </w:r>
          </w:p>
        </w:tc>
        <w:tc>
          <w:tcPr>
            <w:tcW w:w="755" w:type="pct"/>
            <w:shd w:val="clear" w:color="auto" w:fill="F2F2F2" w:themeFill="background1" w:themeFillShade="F2"/>
          </w:tcPr>
          <w:p w14:paraId="308DDCA3" w14:textId="77777777" w:rsidR="00877FA4" w:rsidRPr="00E56B85" w:rsidRDefault="00877FA4" w:rsidP="00877FA4">
            <w:pPr>
              <w:pStyle w:val="NoSpacing"/>
              <w:spacing w:after="40"/>
              <w:rPr>
                <w:sz w:val="20"/>
                <w:szCs w:val="20"/>
                <w:lang w:eastAsia="en-GB"/>
              </w:rPr>
            </w:pPr>
            <w:r w:rsidRPr="00E56B85">
              <w:rPr>
                <w:sz w:val="20"/>
                <w:szCs w:val="20"/>
                <w:lang w:eastAsia="en-GB"/>
              </w:rPr>
              <w:t>Progress towards becoming a well-being economy. Launch of the wellbeing budget.</w:t>
            </w:r>
          </w:p>
        </w:tc>
        <w:tc>
          <w:tcPr>
            <w:tcW w:w="755" w:type="pct"/>
            <w:shd w:val="clear" w:color="auto" w:fill="F2F2F2" w:themeFill="background1" w:themeFillShade="F2"/>
          </w:tcPr>
          <w:p w14:paraId="4D56348D" w14:textId="77777777" w:rsidR="00877FA4" w:rsidRPr="00E56B85" w:rsidRDefault="00877FA4" w:rsidP="00877FA4">
            <w:pPr>
              <w:pStyle w:val="NoSpacing"/>
              <w:spacing w:after="40"/>
              <w:rPr>
                <w:sz w:val="20"/>
                <w:szCs w:val="20"/>
                <w:lang w:eastAsia="en-GB"/>
              </w:rPr>
            </w:pPr>
          </w:p>
        </w:tc>
        <w:tc>
          <w:tcPr>
            <w:tcW w:w="754" w:type="pct"/>
            <w:shd w:val="clear" w:color="auto" w:fill="F2F2F2" w:themeFill="background1" w:themeFillShade="F2"/>
          </w:tcPr>
          <w:p w14:paraId="00312FD3" w14:textId="77777777" w:rsidR="00877FA4" w:rsidRPr="00E56B85" w:rsidRDefault="00877FA4" w:rsidP="00877FA4">
            <w:pPr>
              <w:pStyle w:val="NoSpacing"/>
              <w:spacing w:after="40"/>
              <w:rPr>
                <w:sz w:val="20"/>
                <w:szCs w:val="20"/>
                <w:lang w:eastAsia="en-GB"/>
              </w:rPr>
            </w:pPr>
          </w:p>
        </w:tc>
      </w:tr>
      <w:tr w:rsidR="00877FA4" w:rsidRPr="00E56B85" w14:paraId="14D726B4" w14:textId="5B29354B" w:rsidTr="00D11E7A">
        <w:trPr>
          <w:cantSplit/>
          <w:trHeight w:val="2122"/>
        </w:trPr>
        <w:tc>
          <w:tcPr>
            <w:tcW w:w="473" w:type="pct"/>
            <w:tcBorders>
              <w:bottom w:val="single" w:sz="4" w:space="0" w:color="D9D9D9" w:themeColor="background1" w:themeShade="D9"/>
            </w:tcBorders>
            <w:shd w:val="clear" w:color="auto" w:fill="auto"/>
          </w:tcPr>
          <w:p w14:paraId="2D263EAE" w14:textId="77777777" w:rsidR="00877FA4" w:rsidRPr="00835732" w:rsidRDefault="00877FA4" w:rsidP="00877FA4">
            <w:pPr>
              <w:pStyle w:val="NoSpacing"/>
              <w:spacing w:after="40"/>
              <w:rPr>
                <w:b/>
                <w:bCs/>
                <w:sz w:val="20"/>
                <w:szCs w:val="20"/>
                <w:lang w:eastAsia="en-GB"/>
              </w:rPr>
            </w:pPr>
            <w:r w:rsidRPr="00835732">
              <w:rPr>
                <w:b/>
                <w:bCs/>
                <w:sz w:val="20"/>
                <w:szCs w:val="20"/>
                <w:lang w:eastAsia="en-GB"/>
              </w:rPr>
              <w:lastRenderedPageBreak/>
              <w:t>Scotland</w:t>
            </w:r>
          </w:p>
        </w:tc>
        <w:tc>
          <w:tcPr>
            <w:tcW w:w="754" w:type="pct"/>
            <w:tcBorders>
              <w:bottom w:val="single" w:sz="4" w:space="0" w:color="D9D9D9" w:themeColor="background1" w:themeShade="D9"/>
            </w:tcBorders>
            <w:shd w:val="clear" w:color="auto" w:fill="auto"/>
          </w:tcPr>
          <w:p w14:paraId="2F3F6F01" w14:textId="77777777" w:rsidR="00877FA4" w:rsidRPr="00E56B85" w:rsidRDefault="00877FA4" w:rsidP="00877FA4">
            <w:pPr>
              <w:pStyle w:val="NoSpacing"/>
              <w:spacing w:after="40"/>
              <w:rPr>
                <w:sz w:val="20"/>
                <w:szCs w:val="20"/>
                <w:lang w:eastAsia="en-GB"/>
              </w:rPr>
            </w:pPr>
          </w:p>
        </w:tc>
        <w:tc>
          <w:tcPr>
            <w:tcW w:w="755" w:type="pct"/>
            <w:tcBorders>
              <w:bottom w:val="single" w:sz="4" w:space="0" w:color="D9D9D9" w:themeColor="background1" w:themeShade="D9"/>
            </w:tcBorders>
            <w:shd w:val="clear" w:color="auto" w:fill="auto"/>
          </w:tcPr>
          <w:p w14:paraId="2F925261" w14:textId="77777777" w:rsidR="00877FA4" w:rsidRPr="00E56B85" w:rsidRDefault="00877FA4" w:rsidP="00877FA4">
            <w:pPr>
              <w:pStyle w:val="NoSpacing"/>
              <w:spacing w:after="40"/>
              <w:rPr>
                <w:sz w:val="20"/>
                <w:szCs w:val="20"/>
                <w:lang w:eastAsia="en-GB"/>
              </w:rPr>
            </w:pPr>
            <w:r w:rsidRPr="00E56B85">
              <w:rPr>
                <w:sz w:val="20"/>
                <w:szCs w:val="20"/>
                <w:lang w:eastAsia="en-GB"/>
              </w:rPr>
              <w:t>Scottish Child Payment introduced in 2021 for low-income families on top of UK child benefit and other benefits. £25 weekly payment for each child under 16 years old.</w:t>
            </w:r>
          </w:p>
        </w:tc>
        <w:tc>
          <w:tcPr>
            <w:tcW w:w="754" w:type="pct"/>
            <w:tcBorders>
              <w:bottom w:val="single" w:sz="4" w:space="0" w:color="D9D9D9" w:themeColor="background1" w:themeShade="D9"/>
            </w:tcBorders>
            <w:shd w:val="clear" w:color="auto" w:fill="auto"/>
          </w:tcPr>
          <w:p w14:paraId="1B6F24FD" w14:textId="77777777" w:rsidR="00877FA4" w:rsidRPr="00E56B85" w:rsidRDefault="00877FA4" w:rsidP="00877FA4">
            <w:pPr>
              <w:pStyle w:val="NoSpacing"/>
              <w:spacing w:after="40"/>
              <w:rPr>
                <w:sz w:val="20"/>
                <w:szCs w:val="20"/>
                <w:lang w:eastAsia="en-GB"/>
              </w:rPr>
            </w:pPr>
          </w:p>
        </w:tc>
        <w:tc>
          <w:tcPr>
            <w:tcW w:w="755" w:type="pct"/>
            <w:tcBorders>
              <w:bottom w:val="single" w:sz="4" w:space="0" w:color="D9D9D9" w:themeColor="background1" w:themeShade="D9"/>
            </w:tcBorders>
            <w:shd w:val="clear" w:color="auto" w:fill="auto"/>
          </w:tcPr>
          <w:p w14:paraId="11EAB7E8" w14:textId="77777777" w:rsidR="00877FA4" w:rsidRPr="00E56B85" w:rsidRDefault="00877FA4" w:rsidP="00877FA4">
            <w:pPr>
              <w:pStyle w:val="NoSpacing"/>
              <w:spacing w:after="40"/>
              <w:rPr>
                <w:sz w:val="20"/>
                <w:szCs w:val="20"/>
                <w:lang w:eastAsia="en-GB"/>
              </w:rPr>
            </w:pPr>
            <w:r w:rsidRPr="00E56B85">
              <w:rPr>
                <w:sz w:val="20"/>
                <w:szCs w:val="20"/>
                <w:lang w:eastAsia="en-GB"/>
              </w:rPr>
              <w:t>Public Health Scotland involved in collaboration to embed health and tackling health inequalities into regional economic policy.</w:t>
            </w:r>
          </w:p>
          <w:p w14:paraId="6DDAE717" w14:textId="77777777" w:rsidR="00877FA4" w:rsidRPr="00E56B85" w:rsidRDefault="00877FA4" w:rsidP="00877FA4">
            <w:pPr>
              <w:pStyle w:val="NoSpacing"/>
              <w:spacing w:after="40"/>
              <w:rPr>
                <w:sz w:val="20"/>
                <w:szCs w:val="20"/>
                <w:lang w:eastAsia="en-GB"/>
              </w:rPr>
            </w:pPr>
            <w:r w:rsidRPr="00E56B85">
              <w:rPr>
                <w:sz w:val="20"/>
                <w:szCs w:val="20"/>
                <w:lang w:eastAsia="en-GB"/>
              </w:rPr>
              <w:t>Progress towards becoming a well-being economy.</w:t>
            </w:r>
          </w:p>
        </w:tc>
        <w:tc>
          <w:tcPr>
            <w:tcW w:w="755" w:type="pct"/>
            <w:tcBorders>
              <w:bottom w:val="single" w:sz="4" w:space="0" w:color="D9D9D9" w:themeColor="background1" w:themeShade="D9"/>
            </w:tcBorders>
            <w:shd w:val="clear" w:color="auto" w:fill="auto"/>
          </w:tcPr>
          <w:p w14:paraId="01E04C2E" w14:textId="77777777" w:rsidR="00877FA4" w:rsidRPr="00E56B85" w:rsidRDefault="00877FA4" w:rsidP="00877FA4">
            <w:pPr>
              <w:pStyle w:val="NoSpacing"/>
              <w:spacing w:after="40"/>
              <w:rPr>
                <w:sz w:val="20"/>
                <w:szCs w:val="20"/>
                <w:lang w:eastAsia="en-GB"/>
              </w:rPr>
            </w:pPr>
          </w:p>
        </w:tc>
        <w:tc>
          <w:tcPr>
            <w:tcW w:w="754" w:type="pct"/>
            <w:tcBorders>
              <w:bottom w:val="single" w:sz="4" w:space="0" w:color="D9D9D9" w:themeColor="background1" w:themeShade="D9"/>
            </w:tcBorders>
          </w:tcPr>
          <w:p w14:paraId="56EE590F" w14:textId="4267AF69" w:rsidR="00877FA4" w:rsidRPr="00E56B85" w:rsidRDefault="00877FA4" w:rsidP="00877FA4">
            <w:pPr>
              <w:pStyle w:val="NoSpacing"/>
              <w:spacing w:after="40"/>
              <w:rPr>
                <w:sz w:val="20"/>
                <w:szCs w:val="20"/>
                <w:lang w:eastAsia="en-GB"/>
              </w:rPr>
            </w:pPr>
            <w:r>
              <w:rPr>
                <w:sz w:val="20"/>
                <w:szCs w:val="20"/>
                <w:lang w:eastAsia="en-GB"/>
              </w:rPr>
              <w:t>Whole-of-government policy framework for children and young people.</w:t>
            </w:r>
          </w:p>
        </w:tc>
      </w:tr>
      <w:tr w:rsidR="00877FA4" w:rsidRPr="00E56B85" w14:paraId="4C51CB55" w14:textId="0AA836AB" w:rsidTr="00D11E7A">
        <w:trPr>
          <w:cantSplit/>
          <w:trHeight w:val="581"/>
        </w:trPr>
        <w:tc>
          <w:tcPr>
            <w:tcW w:w="473" w:type="pct"/>
            <w:tcBorders>
              <w:top w:val="single" w:sz="4" w:space="0" w:color="D9D9D9" w:themeColor="background1" w:themeShade="D9"/>
            </w:tcBorders>
            <w:shd w:val="clear" w:color="auto" w:fill="F2F2F2" w:themeFill="background1" w:themeFillShade="F2"/>
          </w:tcPr>
          <w:p w14:paraId="1CF47E65" w14:textId="77777777" w:rsidR="00877FA4" w:rsidRPr="00835732" w:rsidRDefault="00877FA4" w:rsidP="00877FA4">
            <w:pPr>
              <w:pStyle w:val="NoSpacing"/>
              <w:spacing w:after="40"/>
              <w:rPr>
                <w:b/>
                <w:bCs/>
                <w:sz w:val="20"/>
                <w:szCs w:val="20"/>
                <w:lang w:eastAsia="en-GB"/>
              </w:rPr>
            </w:pPr>
            <w:r w:rsidRPr="00835732">
              <w:rPr>
                <w:b/>
                <w:bCs/>
                <w:sz w:val="20"/>
                <w:szCs w:val="20"/>
                <w:lang w:eastAsia="en-GB"/>
              </w:rPr>
              <w:t>Slovenia</w:t>
            </w:r>
          </w:p>
        </w:tc>
        <w:tc>
          <w:tcPr>
            <w:tcW w:w="754" w:type="pct"/>
            <w:tcBorders>
              <w:top w:val="single" w:sz="4" w:space="0" w:color="D9D9D9" w:themeColor="background1" w:themeShade="D9"/>
            </w:tcBorders>
            <w:shd w:val="clear" w:color="auto" w:fill="F2F2F2" w:themeFill="background1" w:themeFillShade="F2"/>
          </w:tcPr>
          <w:p w14:paraId="6AA1993E" w14:textId="77777777" w:rsidR="00877FA4" w:rsidRPr="00E56B85" w:rsidRDefault="00877FA4" w:rsidP="00877FA4">
            <w:pPr>
              <w:pStyle w:val="NoSpacing"/>
              <w:spacing w:after="40"/>
              <w:rPr>
                <w:sz w:val="20"/>
                <w:szCs w:val="20"/>
                <w:lang w:eastAsia="en-GB"/>
              </w:rPr>
            </w:pPr>
            <w:r w:rsidRPr="00E56B85">
              <w:rPr>
                <w:sz w:val="20"/>
                <w:szCs w:val="20"/>
                <w:lang w:eastAsia="en-GB"/>
              </w:rPr>
              <w:t>New community-focused model for health promotion centres in primary health care centres across Slovenia</w:t>
            </w:r>
          </w:p>
        </w:tc>
        <w:tc>
          <w:tcPr>
            <w:tcW w:w="755" w:type="pct"/>
            <w:tcBorders>
              <w:top w:val="single" w:sz="4" w:space="0" w:color="D9D9D9" w:themeColor="background1" w:themeShade="D9"/>
            </w:tcBorders>
            <w:shd w:val="clear" w:color="auto" w:fill="F2F2F2" w:themeFill="background1" w:themeFillShade="F2"/>
          </w:tcPr>
          <w:p w14:paraId="5480D456" w14:textId="77777777" w:rsidR="00877FA4" w:rsidRPr="00E56B85" w:rsidRDefault="00877FA4" w:rsidP="00877FA4">
            <w:pPr>
              <w:pStyle w:val="NoSpacing"/>
              <w:spacing w:after="40"/>
              <w:rPr>
                <w:sz w:val="20"/>
                <w:szCs w:val="20"/>
                <w:lang w:eastAsia="en-GB"/>
              </w:rPr>
            </w:pPr>
          </w:p>
        </w:tc>
        <w:tc>
          <w:tcPr>
            <w:tcW w:w="754" w:type="pct"/>
            <w:tcBorders>
              <w:top w:val="single" w:sz="4" w:space="0" w:color="D9D9D9" w:themeColor="background1" w:themeShade="D9"/>
            </w:tcBorders>
            <w:shd w:val="clear" w:color="auto" w:fill="F2F2F2" w:themeFill="background1" w:themeFillShade="F2"/>
          </w:tcPr>
          <w:p w14:paraId="6D5EC7E6" w14:textId="77777777" w:rsidR="00877FA4" w:rsidRPr="00E56B85" w:rsidRDefault="00877FA4" w:rsidP="00877FA4">
            <w:pPr>
              <w:pStyle w:val="NoSpacing"/>
              <w:spacing w:after="40"/>
              <w:rPr>
                <w:sz w:val="20"/>
                <w:szCs w:val="20"/>
                <w:lang w:eastAsia="en-GB"/>
              </w:rPr>
            </w:pPr>
          </w:p>
        </w:tc>
        <w:tc>
          <w:tcPr>
            <w:tcW w:w="755" w:type="pct"/>
            <w:tcBorders>
              <w:top w:val="single" w:sz="4" w:space="0" w:color="D9D9D9" w:themeColor="background1" w:themeShade="D9"/>
            </w:tcBorders>
            <w:shd w:val="clear" w:color="auto" w:fill="F2F2F2" w:themeFill="background1" w:themeFillShade="F2"/>
          </w:tcPr>
          <w:p w14:paraId="6827A888" w14:textId="77777777" w:rsidR="00877FA4" w:rsidRPr="00E56B85" w:rsidRDefault="00877FA4" w:rsidP="00877FA4">
            <w:pPr>
              <w:pStyle w:val="NoSpacing"/>
              <w:spacing w:after="40"/>
              <w:rPr>
                <w:sz w:val="20"/>
                <w:szCs w:val="20"/>
                <w:lang w:eastAsia="en-GB"/>
              </w:rPr>
            </w:pPr>
          </w:p>
        </w:tc>
        <w:tc>
          <w:tcPr>
            <w:tcW w:w="755" w:type="pct"/>
            <w:tcBorders>
              <w:top w:val="single" w:sz="4" w:space="0" w:color="D9D9D9" w:themeColor="background1" w:themeShade="D9"/>
            </w:tcBorders>
            <w:shd w:val="clear" w:color="auto" w:fill="F2F2F2" w:themeFill="background1" w:themeFillShade="F2"/>
          </w:tcPr>
          <w:p w14:paraId="54794B7D" w14:textId="77777777" w:rsidR="00877FA4" w:rsidRPr="00E56B85" w:rsidRDefault="00877FA4" w:rsidP="00877FA4">
            <w:pPr>
              <w:pStyle w:val="NoSpacing"/>
              <w:spacing w:after="40"/>
              <w:rPr>
                <w:sz w:val="20"/>
                <w:szCs w:val="20"/>
                <w:lang w:eastAsia="en-GB"/>
              </w:rPr>
            </w:pPr>
          </w:p>
        </w:tc>
        <w:tc>
          <w:tcPr>
            <w:tcW w:w="754" w:type="pct"/>
            <w:tcBorders>
              <w:top w:val="single" w:sz="4" w:space="0" w:color="D9D9D9" w:themeColor="background1" w:themeShade="D9"/>
            </w:tcBorders>
            <w:shd w:val="clear" w:color="auto" w:fill="F2F2F2" w:themeFill="background1" w:themeFillShade="F2"/>
          </w:tcPr>
          <w:p w14:paraId="72460274" w14:textId="1BA8D55F" w:rsidR="00877FA4" w:rsidRPr="00E56B85" w:rsidRDefault="00877FA4" w:rsidP="00877FA4">
            <w:pPr>
              <w:pStyle w:val="NoSpacing"/>
              <w:spacing w:after="40"/>
              <w:rPr>
                <w:sz w:val="20"/>
                <w:szCs w:val="20"/>
                <w:lang w:eastAsia="en-GB"/>
              </w:rPr>
            </w:pPr>
            <w:r>
              <w:rPr>
                <w:sz w:val="20"/>
                <w:szCs w:val="20"/>
                <w:lang w:eastAsia="en-GB"/>
              </w:rPr>
              <w:t>Legal entitlement and integrated approach to early childhood education and care.</w:t>
            </w:r>
          </w:p>
        </w:tc>
      </w:tr>
    </w:tbl>
    <w:p w14:paraId="0FE52AC1" w14:textId="77777777" w:rsidR="00410289" w:rsidRDefault="00410289" w:rsidP="00833854">
      <w:pPr>
        <w:sectPr w:rsidR="00410289" w:rsidSect="00D11E7A">
          <w:pgSz w:w="16838" w:h="11906" w:orient="landscape"/>
          <w:pgMar w:top="1440" w:right="1080" w:bottom="1440" w:left="1080" w:header="708" w:footer="708" w:gutter="0"/>
          <w:cols w:space="708"/>
          <w:docGrid w:linePitch="360"/>
        </w:sectPr>
      </w:pPr>
    </w:p>
    <w:p w14:paraId="682D64C3" w14:textId="0325292A" w:rsidR="00DD0FB8" w:rsidRDefault="00DD0FB8" w:rsidP="00DD0FB8">
      <w:pPr>
        <w:pStyle w:val="Heading3"/>
      </w:pPr>
      <w:bookmarkStart w:id="19" w:name="_Toc185516841"/>
      <w:r w:rsidRPr="008F302B">
        <w:lastRenderedPageBreak/>
        <w:t xml:space="preserve">Health </w:t>
      </w:r>
      <w:r w:rsidR="00696099">
        <w:t xml:space="preserve">and health </w:t>
      </w:r>
      <w:r w:rsidRPr="008F302B">
        <w:t>services</w:t>
      </w:r>
      <w:bookmarkEnd w:id="19"/>
    </w:p>
    <w:p w14:paraId="307F85B3" w14:textId="77777777" w:rsidR="00DD0FB8" w:rsidRDefault="00DD0FB8" w:rsidP="00DD0FB8">
      <w:pPr>
        <w:pStyle w:val="Heading4"/>
      </w:pPr>
      <w:r>
        <w:t>Reducing waiting times in healthcare</w:t>
      </w:r>
    </w:p>
    <w:p w14:paraId="2738FD58" w14:textId="0043A2B4" w:rsidR="00DD0FB8" w:rsidRDefault="00DD0FB8" w:rsidP="00DD0FB8">
      <w:r>
        <w:t>E</w:t>
      </w:r>
      <w:r w:rsidRPr="008064D4">
        <w:t>mpirical evidence from several countries</w:t>
      </w:r>
      <w:r>
        <w:t xml:space="preserve"> </w:t>
      </w:r>
      <w:r w:rsidRPr="008064D4">
        <w:t>suggest</w:t>
      </w:r>
      <w:r>
        <w:t>s</w:t>
      </w:r>
      <w:r w:rsidRPr="008064D4">
        <w:t xml:space="preserve"> that individuals with higher socioeconomic status </w:t>
      </w:r>
      <w:r>
        <w:t>may</w:t>
      </w:r>
      <w:r w:rsidRPr="008064D4">
        <w:t xml:space="preserve"> wait less for publicly funded </w:t>
      </w:r>
      <w:r>
        <w:t xml:space="preserve">health </w:t>
      </w:r>
      <w:r w:rsidRPr="008064D4">
        <w:t>services than those with lower socioeconomic status</w:t>
      </w:r>
      <w:r>
        <w:t xml:space="preserve"> (Martin et al., 2020)</w:t>
      </w:r>
      <w:r w:rsidRPr="008064D4">
        <w:t>.</w:t>
      </w:r>
      <w:r>
        <w:t xml:space="preserve"> Waiting times are therefore an important challenge for universal health care systems that may exacerbate existing health inequalities. The Covid-19 pandemic had a major impact on health systems around the world and </w:t>
      </w:r>
      <w:r w:rsidR="009E5245">
        <w:t xml:space="preserve">in the aftermath </w:t>
      </w:r>
      <w:r>
        <w:t xml:space="preserve">many countries have faced challenges with </w:t>
      </w:r>
      <w:r w:rsidR="006C4013">
        <w:t xml:space="preserve">reducing </w:t>
      </w:r>
      <w:r>
        <w:t xml:space="preserve">waiting </w:t>
      </w:r>
      <w:r w:rsidR="006C4013">
        <w:t>lists</w:t>
      </w:r>
      <w:r>
        <w:t xml:space="preserve">. Specific policy actions to reduce waiting </w:t>
      </w:r>
      <w:r w:rsidR="004A0DAC">
        <w:t>lists/</w:t>
      </w:r>
      <w:r>
        <w:t>times were identified for Finland and Ireland.</w:t>
      </w:r>
      <w:r w:rsidRPr="008064D4">
        <w:t xml:space="preserve"> </w:t>
      </w:r>
    </w:p>
    <w:p w14:paraId="505BE03A" w14:textId="77777777" w:rsidR="00DD0FB8" w:rsidRDefault="00DD0FB8" w:rsidP="00DD0FB8">
      <w:r>
        <w:t xml:space="preserve">In 2023, the Finnish Parliament amended the Health Care Act (116/2023) to introduce </w:t>
      </w:r>
      <w:r w:rsidRPr="00D04C5B">
        <w:rPr>
          <w:b/>
          <w:bCs/>
        </w:rPr>
        <w:t>legislation to guarantee maximum waiting times for non-urgent physical and mental health problems</w:t>
      </w:r>
      <w:r>
        <w:t>.</w:t>
      </w:r>
      <w:r w:rsidRPr="00C33437">
        <w:t xml:space="preserve"> </w:t>
      </w:r>
      <w:r>
        <w:t xml:space="preserve">Within </w:t>
      </w:r>
      <w:r w:rsidRPr="00420C47">
        <w:t>primary healthcare</w:t>
      </w:r>
      <w:r>
        <w:t>, the threshold was initially set at</w:t>
      </w:r>
      <w:r w:rsidRPr="00810C01">
        <w:t xml:space="preserve"> </w:t>
      </w:r>
      <w:r w:rsidRPr="00420C47">
        <w:t>14</w:t>
      </w:r>
      <w:r>
        <w:t xml:space="preserve"> </w:t>
      </w:r>
      <w:r w:rsidRPr="00420C47">
        <w:t>day</w:t>
      </w:r>
      <w:r>
        <w:t>s as of September 2023, with this being gradually shortened to 7 days by November 2024.</w:t>
      </w:r>
      <w:r w:rsidRPr="00420C47">
        <w:t xml:space="preserve"> </w:t>
      </w:r>
      <w:r>
        <w:t xml:space="preserve">The Government has made a one-off investment of EUR 400 million to reduce waiting times. </w:t>
      </w:r>
    </w:p>
    <w:p w14:paraId="6FB5E0F1" w14:textId="77777777" w:rsidR="00DD0FB8" w:rsidRDefault="00DD0FB8" w:rsidP="00DD0FB8">
      <w:r>
        <w:t xml:space="preserve">In Ireland, </w:t>
      </w:r>
      <w:r w:rsidRPr="00D04C5B">
        <w:rPr>
          <w:b/>
          <w:bCs/>
        </w:rPr>
        <w:t>annual Waiting List Action Plans</w:t>
      </w:r>
      <w:r>
        <w:t xml:space="preserve"> have been funded and implemented since 2022. The Waiting List Action Plan for 2024 (WLAP 2024) aims to deliver reductions in waiting list numbers and waiting times through a EUR 360 million investment. The WLAP 2024 includes 19 targeted actions under three pillars, delivering capacity, reforming scheduled care and enabling scheduled care reform.</w:t>
      </w:r>
    </w:p>
    <w:p w14:paraId="33C68998" w14:textId="64B98790" w:rsidR="000C12E7" w:rsidRDefault="00CD4D65" w:rsidP="00665250">
      <w:r>
        <w:t xml:space="preserve">The Welsh Government published </w:t>
      </w:r>
      <w:r w:rsidR="00612EC3">
        <w:t>its</w:t>
      </w:r>
      <w:r>
        <w:t xml:space="preserve"> pla</w:t>
      </w:r>
      <w:r w:rsidR="00612EC3">
        <w:t>n to reduce waiting lists in 2022 (Welsh Government, 2022</w:t>
      </w:r>
      <w:r w:rsidR="003B3C8F">
        <w:t>a</w:t>
      </w:r>
      <w:r w:rsidR="00612EC3">
        <w:t>)</w:t>
      </w:r>
      <w:r w:rsidR="007D03E5">
        <w:t>, which outlined five key ambitions</w:t>
      </w:r>
      <w:r w:rsidR="0018478D">
        <w:t xml:space="preserve"> to reduce waiting times</w:t>
      </w:r>
      <w:r w:rsidR="00612EC3">
        <w:t>.</w:t>
      </w:r>
      <w:r w:rsidR="0018478D">
        <w:t xml:space="preserve"> T</w:t>
      </w:r>
      <w:r w:rsidR="000C12E7" w:rsidRPr="00A96E69">
        <w:t xml:space="preserve">he </w:t>
      </w:r>
      <w:r w:rsidR="000C12E7" w:rsidRPr="00F2387A">
        <w:rPr>
          <w:b/>
        </w:rPr>
        <w:t>3Ps policy</w:t>
      </w:r>
      <w:r w:rsidR="000C12E7" w:rsidRPr="00A96E69">
        <w:t xml:space="preserve"> (Promote, Prevent, and Prepare for planned care)</w:t>
      </w:r>
      <w:r w:rsidR="00EE0F0E">
        <w:t xml:space="preserve"> has </w:t>
      </w:r>
      <w:r w:rsidR="0018478D">
        <w:t xml:space="preserve">also </w:t>
      </w:r>
      <w:r w:rsidR="00EE0F0E">
        <w:t xml:space="preserve">been developed </w:t>
      </w:r>
      <w:r w:rsidR="005645AD">
        <w:t xml:space="preserve">as </w:t>
      </w:r>
      <w:r w:rsidR="00EE0F0E">
        <w:t xml:space="preserve">a recovery plan </w:t>
      </w:r>
      <w:r w:rsidR="005645AD">
        <w:t xml:space="preserve">under which people </w:t>
      </w:r>
      <w:r w:rsidR="00082C80">
        <w:t xml:space="preserve">who are waiting for </w:t>
      </w:r>
      <w:r w:rsidR="00C44415">
        <w:t>treatment</w:t>
      </w:r>
      <w:r w:rsidR="00E431C9">
        <w:t xml:space="preserve"> </w:t>
      </w:r>
      <w:r w:rsidR="005645AD">
        <w:t xml:space="preserve">will be </w:t>
      </w:r>
      <w:r w:rsidR="00C6138F">
        <w:t xml:space="preserve">supported to self-manage </w:t>
      </w:r>
      <w:r w:rsidR="00940712">
        <w:t>their condition</w:t>
      </w:r>
      <w:r w:rsidR="00A011A6">
        <w:t xml:space="preserve"> (Welsh Government, 2023</w:t>
      </w:r>
      <w:r w:rsidR="005C5CC5">
        <w:t>c</w:t>
      </w:r>
      <w:r w:rsidR="00A011A6">
        <w:t>)</w:t>
      </w:r>
      <w:r w:rsidR="00BB128E">
        <w:t>.</w:t>
      </w:r>
    </w:p>
    <w:p w14:paraId="2F836F85" w14:textId="77777777" w:rsidR="00DD0FB8" w:rsidRDefault="00DD0FB8" w:rsidP="00DD0FB8">
      <w:pPr>
        <w:pStyle w:val="Heading4"/>
      </w:pPr>
      <w:r>
        <w:t>Collaborative approaches within the health system</w:t>
      </w:r>
    </w:p>
    <w:p w14:paraId="6059FF6E" w14:textId="77777777" w:rsidR="00DD0FB8" w:rsidRDefault="00DD0FB8" w:rsidP="00DD0FB8">
      <w:r>
        <w:t xml:space="preserve">To address the social determinants of health, the community orientation of primary health care providers needs strengthening, as well as their engagement with community-based partners within their catchment areas (Frieden, 2010). </w:t>
      </w:r>
    </w:p>
    <w:p w14:paraId="77A90F0D" w14:textId="77777777" w:rsidR="00DD0FB8" w:rsidRDefault="00DD0FB8" w:rsidP="00DD0FB8">
      <w:r>
        <w:t xml:space="preserve">An example of policy action in this area is the creation of </w:t>
      </w:r>
      <w:r w:rsidRPr="00D04C5B">
        <w:rPr>
          <w:b/>
          <w:bCs/>
        </w:rPr>
        <w:t>Health Promotion Centres</w:t>
      </w:r>
      <w:r>
        <w:t xml:space="preserve"> </w:t>
      </w:r>
      <w:r w:rsidRPr="00D04C5B">
        <w:rPr>
          <w:b/>
          <w:bCs/>
        </w:rPr>
        <w:t>(HPCs)</w:t>
      </w:r>
      <w:r>
        <w:t xml:space="preserve"> in Slovenia. HPCs were created in all primary health care centres in 2002 to provide </w:t>
      </w:r>
      <w:r w:rsidRPr="00102FA4">
        <w:t>lifestyle interventions against key risk factors for noncommunicable diseases</w:t>
      </w:r>
      <w:r>
        <w:t>. Between 2013 and 2016, HPCs were given a new role to create partnerships, including with social services and non-governmental organisations, to prepare local strategies and action plans to identify and reduce health inequalities. A pilot project with three HPCs concluded in 2016 with plans to introduce the new model into 25 additional HPCs by 2020 and the National Health Care Plan 2016-2025 set out plans to systematically scale up to the model to all primary health care centres.</w:t>
      </w:r>
      <w:r w:rsidRPr="002A51A2">
        <w:t xml:space="preserve"> </w:t>
      </w:r>
      <w:r>
        <w:t xml:space="preserve">A similar intersectoral approach have been implemented in Iceland, through the </w:t>
      </w:r>
      <w:r w:rsidRPr="004321B1">
        <w:rPr>
          <w:b/>
          <w:bCs/>
        </w:rPr>
        <w:t>Health Promoting Communities programme</w:t>
      </w:r>
      <w:r>
        <w:t>, which</w:t>
      </w:r>
      <w:r w:rsidRPr="00457501">
        <w:t xml:space="preserve"> provides infrastructure for governance and addressing community </w:t>
      </w:r>
      <w:r>
        <w:t xml:space="preserve">health </w:t>
      </w:r>
      <w:r w:rsidRPr="00457501">
        <w:t>needs.</w:t>
      </w:r>
    </w:p>
    <w:p w14:paraId="43C27376" w14:textId="4AB42F4A" w:rsidR="00CB46DA" w:rsidRDefault="00DD0FB8" w:rsidP="00D874A0">
      <w:r>
        <w:lastRenderedPageBreak/>
        <w:t xml:space="preserve">Developed by </w:t>
      </w:r>
      <w:r w:rsidRPr="00EA5DE8">
        <w:t>a special all-party parliamentary committee</w:t>
      </w:r>
      <w:r>
        <w:t xml:space="preserve">, </w:t>
      </w:r>
      <w:proofErr w:type="spellStart"/>
      <w:r w:rsidRPr="009B1751">
        <w:t>Sláintecare</w:t>
      </w:r>
      <w:proofErr w:type="spellEnd"/>
      <w:r>
        <w:t xml:space="preserve"> is a 10-year programme of health reform being implemented in Ireland. T</w:t>
      </w:r>
      <w:r w:rsidRPr="009C1513">
        <w:t xml:space="preserve">he </w:t>
      </w:r>
      <w:proofErr w:type="spellStart"/>
      <w:r w:rsidRPr="00D04C5B">
        <w:rPr>
          <w:b/>
          <w:bCs/>
        </w:rPr>
        <w:t>Sláintecare</w:t>
      </w:r>
      <w:proofErr w:type="spellEnd"/>
      <w:r w:rsidRPr="00D04C5B">
        <w:rPr>
          <w:b/>
          <w:bCs/>
        </w:rPr>
        <w:t xml:space="preserve"> Healthy Communities Programme </w:t>
      </w:r>
      <w:r>
        <w:t>was introduced in 2021 as part of t</w:t>
      </w:r>
      <w:r w:rsidRPr="009C1513">
        <w:t>he Healthy Ireland Strategic Action Plan 2021–2025</w:t>
      </w:r>
      <w:r>
        <w:t>.</w:t>
      </w:r>
      <w:r w:rsidRPr="009C1513">
        <w:t xml:space="preserve"> </w:t>
      </w:r>
      <w:r>
        <w:t xml:space="preserve">The </w:t>
      </w:r>
      <w:r w:rsidRPr="009C1513">
        <w:t xml:space="preserve">Healthy Communities Programme </w:t>
      </w:r>
      <w:r>
        <w:t>has established</w:t>
      </w:r>
      <w:r w:rsidRPr="009C1513">
        <w:t xml:space="preserve"> a legal structure for local authorities to work in an intersectoral way with community agencies and health services for health and wellbeing improvement. </w:t>
      </w:r>
      <w:r>
        <w:t xml:space="preserve">The public health system in New Zealand has also undergone reform in recent years and the </w:t>
      </w:r>
      <w:proofErr w:type="spellStart"/>
      <w:r w:rsidRPr="004321B1">
        <w:rPr>
          <w:b/>
          <w:bCs/>
        </w:rPr>
        <w:t>Pae</w:t>
      </w:r>
      <w:proofErr w:type="spellEnd"/>
      <w:r w:rsidRPr="004321B1">
        <w:rPr>
          <w:b/>
          <w:bCs/>
        </w:rPr>
        <w:t xml:space="preserve"> Ora (Healthy Futures) Act 2022 </w:t>
      </w:r>
      <w:r>
        <w:t xml:space="preserve">has </w:t>
      </w:r>
      <w:r w:rsidRPr="00457501">
        <w:t xml:space="preserve">established a new structure and accountability arrangements for the </w:t>
      </w:r>
      <w:r>
        <w:t xml:space="preserve">public </w:t>
      </w:r>
      <w:r w:rsidRPr="00457501">
        <w:t xml:space="preserve">health system. </w:t>
      </w:r>
      <w:r>
        <w:t>There are s</w:t>
      </w:r>
      <w:r w:rsidRPr="00457501">
        <w:t>ix priority areas for change</w:t>
      </w:r>
      <w:r>
        <w:t>, including the creation of new health strategies which specifically target women, Pacific people and rural communities</w:t>
      </w:r>
      <w:r w:rsidRPr="00457501">
        <w:t>.</w:t>
      </w:r>
    </w:p>
    <w:p w14:paraId="0E9C5EA8" w14:textId="2BDC6FB2" w:rsidR="00CB46DA" w:rsidRDefault="00BA4623" w:rsidP="00BA4623">
      <w:r>
        <w:t xml:space="preserve">The policy context in Wales </w:t>
      </w:r>
      <w:r w:rsidR="00803C45">
        <w:t>promotes intersectoral and systems working to support health and well-being</w:t>
      </w:r>
      <w:r w:rsidR="001610D5">
        <w:t xml:space="preserve">. </w:t>
      </w:r>
      <w:r w:rsidR="00454BF3">
        <w:t xml:space="preserve">The </w:t>
      </w:r>
      <w:r w:rsidR="00454BF3" w:rsidRPr="008E7275">
        <w:rPr>
          <w:b/>
        </w:rPr>
        <w:t xml:space="preserve">Shaping Places for </w:t>
      </w:r>
      <w:r w:rsidR="008E7275" w:rsidRPr="008E7275">
        <w:rPr>
          <w:b/>
          <w:bCs/>
        </w:rPr>
        <w:t>W</w:t>
      </w:r>
      <w:r w:rsidR="00454BF3" w:rsidRPr="008E7275">
        <w:rPr>
          <w:b/>
          <w:bCs/>
        </w:rPr>
        <w:t>ell</w:t>
      </w:r>
      <w:r w:rsidR="00454BF3" w:rsidRPr="008E7275">
        <w:rPr>
          <w:b/>
        </w:rPr>
        <w:t>-being programme</w:t>
      </w:r>
      <w:r w:rsidR="00454BF3">
        <w:t xml:space="preserve"> (</w:t>
      </w:r>
      <w:r w:rsidR="00E53CA0">
        <w:t>supported</w:t>
      </w:r>
      <w:r w:rsidR="00454BF3">
        <w:t xml:space="preserve"> by </w:t>
      </w:r>
      <w:r w:rsidR="00E53CA0">
        <w:t>funding from</w:t>
      </w:r>
      <w:r w:rsidR="00454BF3">
        <w:t xml:space="preserve"> the Health Foundation)</w:t>
      </w:r>
      <w:r w:rsidR="00FE6318">
        <w:t>, for example,</w:t>
      </w:r>
      <w:r w:rsidR="00454BF3">
        <w:t xml:space="preserve"> </w:t>
      </w:r>
      <w:r w:rsidR="00E53CA0">
        <w:t>promotes</w:t>
      </w:r>
      <w:r w:rsidR="00454BF3">
        <w:t xml:space="preserve"> local governments and local partners </w:t>
      </w:r>
      <w:r w:rsidR="00E53CA0">
        <w:t xml:space="preserve">to </w:t>
      </w:r>
      <w:proofErr w:type="gramStart"/>
      <w:r w:rsidR="00454BF3">
        <w:t>tak</w:t>
      </w:r>
      <w:r w:rsidR="00E53CA0">
        <w:t>e</w:t>
      </w:r>
      <w:r w:rsidR="00454BF3">
        <w:t xml:space="preserve"> action</w:t>
      </w:r>
      <w:proofErr w:type="gramEnd"/>
      <w:r w:rsidR="00454BF3">
        <w:t xml:space="preserve"> on the wider determinants of health</w:t>
      </w:r>
      <w:r w:rsidR="00454BF3" w:rsidRPr="0061242C">
        <w:t xml:space="preserve"> </w:t>
      </w:r>
      <w:r w:rsidR="00454BF3">
        <w:t xml:space="preserve">by embedding systems-based approaches </w:t>
      </w:r>
      <w:r w:rsidR="00FE6318">
        <w:t xml:space="preserve">through Public Service Boards (PSBs) </w:t>
      </w:r>
      <w:r w:rsidR="00454BF3">
        <w:t>(Public Health Wales, 2024).</w:t>
      </w:r>
    </w:p>
    <w:p w14:paraId="4CA3B558" w14:textId="23CD2AAB" w:rsidR="00CB46DA" w:rsidRDefault="001C576A" w:rsidP="00D874A0">
      <w:pPr>
        <w:pStyle w:val="Heading3"/>
      </w:pPr>
      <w:bookmarkStart w:id="20" w:name="_Toc185516842"/>
      <w:r>
        <w:t>Health and i</w:t>
      </w:r>
      <w:r w:rsidR="00CB46DA" w:rsidRPr="008F302B">
        <w:t>ncome security and social protection</w:t>
      </w:r>
      <w:bookmarkEnd w:id="20"/>
    </w:p>
    <w:p w14:paraId="3F70C08B" w14:textId="77777777" w:rsidR="00CB46DA" w:rsidRPr="0084724B" w:rsidRDefault="00CB46DA" w:rsidP="00D874A0">
      <w:pPr>
        <w:pStyle w:val="Heading4"/>
      </w:pPr>
      <w:r>
        <w:t>Basic and minimum income programmes</w:t>
      </w:r>
    </w:p>
    <w:p w14:paraId="63976A96" w14:textId="7D568D70" w:rsidR="00D874A0" w:rsidRDefault="00D874A0" w:rsidP="00D874A0">
      <w:r w:rsidRPr="00B33049">
        <w:t xml:space="preserve">Interest in providing a universal basic income (UBI), a system of universal cash transfers to adult citizens, has grown exponentially in recent years. It has been suggested that UBI is a more effective way of managing social protection systems and </w:t>
      </w:r>
      <w:r>
        <w:t>by</w:t>
      </w:r>
      <w:r w:rsidRPr="004213ED">
        <w:t xml:space="preserve"> affecting material, biopsychosocial and behavioural determinants </w:t>
      </w:r>
      <w:r>
        <w:t xml:space="preserve">of </w:t>
      </w:r>
      <w:r w:rsidRPr="004213ED">
        <w:t>health</w:t>
      </w:r>
      <w:r>
        <w:t>, capable of improving health and wellbeing</w:t>
      </w:r>
      <w:r w:rsidRPr="004213ED">
        <w:t xml:space="preserve"> </w:t>
      </w:r>
      <w:r>
        <w:t xml:space="preserve">(Johnson et al., 2020; Johnson et al., 2022). Recent trials of UBI-like policies have been done or are planned in several high-income countries including Wales (Jones, 2021), and the </w:t>
      </w:r>
      <w:r w:rsidRPr="0018098C">
        <w:t>Welsh Government recently introduc</w:t>
      </w:r>
      <w:r>
        <w:t>ed</w:t>
      </w:r>
      <w:r w:rsidRPr="0018098C">
        <w:t xml:space="preserve"> a small trial of a </w:t>
      </w:r>
      <w:r w:rsidR="006B4F2A" w:rsidRPr="006B4F2A">
        <w:rPr>
          <w:b/>
          <w:bCs/>
        </w:rPr>
        <w:t xml:space="preserve">Welsh </w:t>
      </w:r>
      <w:r w:rsidRPr="006B4F2A">
        <w:rPr>
          <w:b/>
        </w:rPr>
        <w:t xml:space="preserve">basic </w:t>
      </w:r>
      <w:r w:rsidRPr="005A65E6">
        <w:rPr>
          <w:b/>
        </w:rPr>
        <w:t xml:space="preserve">income for </w:t>
      </w:r>
      <w:r w:rsidR="005A65E6">
        <w:rPr>
          <w:b/>
        </w:rPr>
        <w:t>young people</w:t>
      </w:r>
      <w:r w:rsidRPr="005A65E6">
        <w:rPr>
          <w:b/>
        </w:rPr>
        <w:t xml:space="preserve"> leaving the care system</w:t>
      </w:r>
      <w:r>
        <w:t xml:space="preserve"> (Welsh Government, 2022</w:t>
      </w:r>
      <w:r w:rsidR="003B3C8F">
        <w:t>b</w:t>
      </w:r>
      <w:r>
        <w:t>).</w:t>
      </w:r>
    </w:p>
    <w:p w14:paraId="42E0F161" w14:textId="579C4572" w:rsidR="00D874A0" w:rsidRDefault="00D874A0" w:rsidP="00D874A0">
      <w:r w:rsidRPr="00014AD5">
        <w:t xml:space="preserve">The Finnish Government carried out </w:t>
      </w:r>
      <w:r>
        <w:t>one of the largest trials of a UBI-like policy</w:t>
      </w:r>
      <w:r w:rsidRPr="00014AD5">
        <w:t xml:space="preserve"> over two years </w:t>
      </w:r>
      <w:r>
        <w:t xml:space="preserve">between </w:t>
      </w:r>
      <w:r w:rsidRPr="00014AD5">
        <w:t xml:space="preserve">January 2017 </w:t>
      </w:r>
      <w:r>
        <w:t>and</w:t>
      </w:r>
      <w:r w:rsidRPr="00014AD5">
        <w:t xml:space="preserve"> December 2018.</w:t>
      </w:r>
      <w:r w:rsidRPr="00FA3C8A">
        <w:t xml:space="preserve"> </w:t>
      </w:r>
      <w:r w:rsidRPr="004D5D59">
        <w:t xml:space="preserve">The approach </w:t>
      </w:r>
      <w:r>
        <w:t xml:space="preserve">involved a </w:t>
      </w:r>
      <w:r w:rsidRPr="00EB5644">
        <w:rPr>
          <w:b/>
          <w:bCs/>
        </w:rPr>
        <w:t>partial basic income</w:t>
      </w:r>
      <w:r>
        <w:t xml:space="preserve"> which</w:t>
      </w:r>
      <w:r w:rsidRPr="004D5D59">
        <w:t xml:space="preserve"> </w:t>
      </w:r>
      <w:r>
        <w:t>pr</w:t>
      </w:r>
      <w:r w:rsidRPr="00B74253">
        <w:t xml:space="preserve">ovided </w:t>
      </w:r>
      <w:r w:rsidRPr="00B74253">
        <w:rPr>
          <w:lang w:eastAsia="en-GB"/>
        </w:rPr>
        <w:t xml:space="preserve">a monthly unconditional payment of </w:t>
      </w:r>
      <w:r w:rsidRPr="00B74253">
        <w:t xml:space="preserve">EUR </w:t>
      </w:r>
      <w:r w:rsidRPr="00B74253">
        <w:rPr>
          <w:lang w:eastAsia="en-GB"/>
        </w:rPr>
        <w:t>560</w:t>
      </w:r>
      <w:r w:rsidRPr="00B74253">
        <w:t xml:space="preserve"> to u</w:t>
      </w:r>
      <w:r w:rsidRPr="00B74253">
        <w:rPr>
          <w:lang w:eastAsia="en-GB"/>
        </w:rPr>
        <w:t>nemployed individuals aged 25</w:t>
      </w:r>
      <w:r w:rsidRPr="00B74253">
        <w:t>-</w:t>
      </w:r>
      <w:r w:rsidRPr="00B74253">
        <w:rPr>
          <w:lang w:eastAsia="en-GB"/>
        </w:rPr>
        <w:t>58 years</w:t>
      </w:r>
      <w:r>
        <w:t xml:space="preserve"> </w:t>
      </w:r>
      <w:r w:rsidRPr="004D5D59">
        <w:t>(</w:t>
      </w:r>
      <w:r>
        <w:t>Kangas et al., 2019</w:t>
      </w:r>
      <w:r w:rsidRPr="004D5D59">
        <w:t>).</w:t>
      </w:r>
    </w:p>
    <w:p w14:paraId="4A98FDDD" w14:textId="77777777" w:rsidR="00D874A0" w:rsidRDefault="00D874A0" w:rsidP="00D874A0">
      <w:pPr>
        <w:pStyle w:val="Heading4"/>
      </w:pPr>
      <w:r>
        <w:t>Reforms to social security</w:t>
      </w:r>
    </w:p>
    <w:p w14:paraId="17A91552" w14:textId="11A77BF2" w:rsidR="00D874A0" w:rsidRPr="00D874A0" w:rsidRDefault="00D874A0" w:rsidP="00CB46DA">
      <w:r>
        <w:t>Using their devolved powers, the Scottish Government established a new social security system for Scotland</w:t>
      </w:r>
      <w:r w:rsidRPr="006A0D74">
        <w:t xml:space="preserve"> </w:t>
      </w:r>
      <w:r>
        <w:t xml:space="preserve">through the </w:t>
      </w:r>
      <w:r w:rsidRPr="004E66AA">
        <w:t>Social Security (Scotland) Act 2018</w:t>
      </w:r>
      <w:r>
        <w:t>.</w:t>
      </w:r>
      <w:r w:rsidRPr="004E66AA">
        <w:t xml:space="preserve"> </w:t>
      </w:r>
      <w:r w:rsidR="00360E8E" w:rsidRPr="00360E8E">
        <w:t xml:space="preserve">Social Security Scotland </w:t>
      </w:r>
      <w:r w:rsidR="00905D46">
        <w:t xml:space="preserve">currently </w:t>
      </w:r>
      <w:r w:rsidR="00360E8E">
        <w:t>delivers seven benefits which are only available in Scotland</w:t>
      </w:r>
      <w:r w:rsidR="00F428CC">
        <w:t xml:space="preserve"> including child and adult disability payments</w:t>
      </w:r>
      <w:r w:rsidR="004064F7">
        <w:t xml:space="preserve"> and</w:t>
      </w:r>
      <w:r w:rsidR="00360E8E">
        <w:t xml:space="preserve"> </w:t>
      </w:r>
      <w:r w:rsidR="006F2B98">
        <w:t>the</w:t>
      </w:r>
      <w:r>
        <w:t xml:space="preserve"> </w:t>
      </w:r>
      <w:r w:rsidRPr="00D04C5B">
        <w:rPr>
          <w:b/>
          <w:bCs/>
        </w:rPr>
        <w:t>Scottish Child Payment</w:t>
      </w:r>
      <w:r>
        <w:t xml:space="preserve"> (SCP)</w:t>
      </w:r>
      <w:r w:rsidR="004064F7">
        <w:t>, which</w:t>
      </w:r>
      <w:r>
        <w:t xml:space="preserve"> began in 2021</w:t>
      </w:r>
      <w:r w:rsidR="004064F7">
        <w:t>. T</w:t>
      </w:r>
      <w:r>
        <w:t xml:space="preserve">he </w:t>
      </w:r>
      <w:r w:rsidR="004064F7">
        <w:t>SCP</w:t>
      </w:r>
      <w:r>
        <w:t xml:space="preserve"> </w:t>
      </w:r>
      <w:r w:rsidR="00D5623E">
        <w:t>was</w:t>
      </w:r>
      <w:r>
        <w:t xml:space="preserve"> extended to children under 16 years olds </w:t>
      </w:r>
      <w:r w:rsidR="00D5623E">
        <w:t>in</w:t>
      </w:r>
      <w:r>
        <w:t xml:space="preserve"> 2022</w:t>
      </w:r>
      <w:r w:rsidR="004064F7">
        <w:t xml:space="preserve"> and</w:t>
      </w:r>
      <w:r>
        <w:t xml:space="preserve"> provides families who are eligible to claim other benefits with a £25 weekly payment for each eligible child, with no limit on the number of children in a family who can get the payment.</w:t>
      </w:r>
    </w:p>
    <w:p w14:paraId="6462F0DB" w14:textId="5B63EBAF" w:rsidR="00CB46DA" w:rsidRPr="00194E09" w:rsidRDefault="008F0D98" w:rsidP="00702BA7">
      <w:r w:rsidRPr="00456248">
        <w:lastRenderedPageBreak/>
        <w:t xml:space="preserve">In </w:t>
      </w:r>
      <w:r w:rsidR="00CB46DA" w:rsidRPr="00456248">
        <w:t>Wales</w:t>
      </w:r>
      <w:r w:rsidR="008B4E3F" w:rsidRPr="00456248">
        <w:t xml:space="preserve">, </w:t>
      </w:r>
      <w:r w:rsidR="004E4D63" w:rsidRPr="00456248">
        <w:t>most</w:t>
      </w:r>
      <w:r w:rsidR="00CB46DA" w:rsidRPr="00456248">
        <w:t xml:space="preserve"> social security </w:t>
      </w:r>
      <w:r w:rsidR="008B4E3F" w:rsidRPr="00456248">
        <w:t>benefits are administered by the</w:t>
      </w:r>
      <w:r w:rsidR="00CB46DA" w:rsidRPr="00456248">
        <w:t xml:space="preserve"> UK government</w:t>
      </w:r>
      <w:r w:rsidR="008B4E3F" w:rsidRPr="00456248">
        <w:t>.</w:t>
      </w:r>
      <w:r w:rsidR="00CB46DA" w:rsidRPr="00456248">
        <w:t xml:space="preserve"> </w:t>
      </w:r>
      <w:r w:rsidR="00194E09">
        <w:t xml:space="preserve">The </w:t>
      </w:r>
      <w:r w:rsidR="00F645D4">
        <w:t>devolution of powers</w:t>
      </w:r>
      <w:r w:rsidR="00CB46DA">
        <w:t xml:space="preserve"> to Scotland </w:t>
      </w:r>
      <w:r w:rsidR="001A5175">
        <w:t xml:space="preserve">has </w:t>
      </w:r>
      <w:r w:rsidR="006556C3">
        <w:t xml:space="preserve">however </w:t>
      </w:r>
      <w:r w:rsidR="0069180B">
        <w:t>led to renewed calls to review the system in</w:t>
      </w:r>
      <w:r w:rsidR="00CB46DA">
        <w:t xml:space="preserve"> Wales </w:t>
      </w:r>
      <w:r w:rsidR="00DA6ED2">
        <w:t>as</w:t>
      </w:r>
      <w:r w:rsidR="00194E09">
        <w:t xml:space="preserve"> </w:t>
      </w:r>
      <w:r w:rsidR="006556C3">
        <w:t>it</w:t>
      </w:r>
      <w:r w:rsidR="0047188B">
        <w:t xml:space="preserve"> is</w:t>
      </w:r>
      <w:r w:rsidR="006556C3">
        <w:t xml:space="preserve"> thought </w:t>
      </w:r>
      <w:r w:rsidR="00194E09">
        <w:t>this would improve outcomes</w:t>
      </w:r>
      <w:r w:rsidR="00CB46DA">
        <w:t xml:space="preserve"> for </w:t>
      </w:r>
      <w:r w:rsidR="00194E09">
        <w:t xml:space="preserve">people </w:t>
      </w:r>
      <w:r w:rsidR="00871923">
        <w:t>in</w:t>
      </w:r>
      <w:r w:rsidR="00194E09">
        <w:t xml:space="preserve"> Wales</w:t>
      </w:r>
      <w:r w:rsidR="008A2718" w:rsidRPr="008A2718">
        <w:t xml:space="preserve"> </w:t>
      </w:r>
      <w:r w:rsidR="00DA6ED2">
        <w:t xml:space="preserve">(e.g. </w:t>
      </w:r>
      <w:r w:rsidR="008A2718">
        <w:t>Bevan Foundation</w:t>
      </w:r>
      <w:r w:rsidR="00DA6ED2">
        <w:t xml:space="preserve">, </w:t>
      </w:r>
      <w:r w:rsidR="008A2718">
        <w:t>2016)</w:t>
      </w:r>
      <w:r w:rsidR="00194E09">
        <w:t xml:space="preserve">. </w:t>
      </w:r>
      <w:r w:rsidR="00476728">
        <w:t>An objective</w:t>
      </w:r>
      <w:r w:rsidR="00091A1B">
        <w:t xml:space="preserve"> </w:t>
      </w:r>
      <w:r w:rsidR="00476728">
        <w:t>of the</w:t>
      </w:r>
      <w:r w:rsidR="00091A1B">
        <w:t xml:space="preserve"> </w:t>
      </w:r>
      <w:r w:rsidR="00CB46DA" w:rsidRPr="00456248">
        <w:t xml:space="preserve">Child </w:t>
      </w:r>
      <w:r w:rsidR="004A152F">
        <w:t xml:space="preserve">Poverty Strategy </w:t>
      </w:r>
      <w:r w:rsidR="00804867">
        <w:t>for Wales</w:t>
      </w:r>
      <w:r w:rsidR="004A152F">
        <w:t xml:space="preserve"> (Welsh Government 2024a)</w:t>
      </w:r>
      <w:r w:rsidR="00804867">
        <w:t xml:space="preserve"> </w:t>
      </w:r>
      <w:r w:rsidR="00476728">
        <w:t>is</w:t>
      </w:r>
      <w:r w:rsidR="00791B8C">
        <w:t xml:space="preserve"> to maximise the incomes of families</w:t>
      </w:r>
      <w:r w:rsidR="000C0703">
        <w:t xml:space="preserve"> and </w:t>
      </w:r>
      <w:r w:rsidR="00476728">
        <w:t>highlight</w:t>
      </w:r>
      <w:r w:rsidR="00880996">
        <w:t>s</w:t>
      </w:r>
      <w:r w:rsidR="00476728">
        <w:t xml:space="preserve"> </w:t>
      </w:r>
      <w:r w:rsidR="00880996">
        <w:t>ambitions</w:t>
      </w:r>
      <w:r w:rsidR="000C0703">
        <w:t xml:space="preserve"> for </w:t>
      </w:r>
      <w:r w:rsidR="00880996">
        <w:t>the creation of</w:t>
      </w:r>
      <w:r w:rsidR="000C0703">
        <w:t xml:space="preserve"> a coherent </w:t>
      </w:r>
      <w:r w:rsidR="00F45DE6">
        <w:t xml:space="preserve">and compassionate </w:t>
      </w:r>
      <w:r w:rsidR="000C0703">
        <w:t xml:space="preserve">Welsh </w:t>
      </w:r>
      <w:r w:rsidR="001E2B6C">
        <w:t>b</w:t>
      </w:r>
      <w:r w:rsidR="000C0703">
        <w:t>enefit</w:t>
      </w:r>
      <w:r w:rsidR="00F45DE6">
        <w:t>s</w:t>
      </w:r>
      <w:r w:rsidR="000C0703">
        <w:t xml:space="preserve"> </w:t>
      </w:r>
      <w:r w:rsidR="001E2B6C">
        <w:t>s</w:t>
      </w:r>
      <w:r w:rsidR="000C0703">
        <w:t>ystem.</w:t>
      </w:r>
    </w:p>
    <w:p w14:paraId="3FD8BCC8" w14:textId="5380659A" w:rsidR="00CB46DA" w:rsidRDefault="001C576A" w:rsidP="00D874A0">
      <w:pPr>
        <w:pStyle w:val="Heading3"/>
      </w:pPr>
      <w:bookmarkStart w:id="21" w:name="_Toc185516843"/>
      <w:r>
        <w:t>Health and l</w:t>
      </w:r>
      <w:r w:rsidR="00CB46DA" w:rsidRPr="003E4BFC">
        <w:t>iving conditions</w:t>
      </w:r>
      <w:bookmarkEnd w:id="21"/>
    </w:p>
    <w:p w14:paraId="5B7812CD" w14:textId="77777777" w:rsidR="001B4E40" w:rsidRDefault="001B4E40" w:rsidP="001B4E40">
      <w:pPr>
        <w:pStyle w:val="Heading4"/>
      </w:pPr>
      <w:r>
        <w:t>Regional economic frameworks</w:t>
      </w:r>
    </w:p>
    <w:p w14:paraId="28761D23" w14:textId="77777777" w:rsidR="001B4E40" w:rsidRDefault="001B4E40" w:rsidP="001B4E40">
      <w:r>
        <w:t xml:space="preserve">Regional inequalities are a concern in many high-income countries (OECD, 2023; </w:t>
      </w:r>
      <w:proofErr w:type="spellStart"/>
      <w:r>
        <w:t>Bachlter</w:t>
      </w:r>
      <w:proofErr w:type="spellEnd"/>
      <w:r>
        <w:t xml:space="preserve"> and Downes, 2023) and they are entrenched across the countries of the UK. Although economic development and public health strategies tend to be designed separately, there is growing recognition that economic development and regional policy can play an important role in improving health and reducing health inequalities (Naik et al., 2020).</w:t>
      </w:r>
    </w:p>
    <w:p w14:paraId="56489950" w14:textId="77777777" w:rsidR="001B4E40" w:rsidRPr="007F4E10" w:rsidRDefault="001B4E40" w:rsidP="001B4E40">
      <w:r w:rsidRPr="007F4E10">
        <w:t xml:space="preserve">In Scotland, </w:t>
      </w:r>
      <w:r>
        <w:t xml:space="preserve">the </w:t>
      </w:r>
      <w:r w:rsidRPr="00E221DA">
        <w:rPr>
          <w:b/>
          <w:bCs/>
        </w:rPr>
        <w:t>Public Health Scotland Regional Economies and Health programme</w:t>
      </w:r>
      <w:r>
        <w:t xml:space="preserve"> has involved a collaboration between Public Health Scotland and Glasgow City Region to embed health and tackling health inequalities into the role of </w:t>
      </w:r>
      <w:r w:rsidRPr="00FA607F">
        <w:t>Regional Economic Partnerships</w:t>
      </w:r>
      <w:r>
        <w:t xml:space="preserve"> and to maximise the influence that Public Health Scotland can have on economic decision making (Winterbottom, 2023)</w:t>
      </w:r>
      <w:r w:rsidRPr="00A53891">
        <w:t>.</w:t>
      </w:r>
      <w:r>
        <w:t xml:space="preserve"> </w:t>
      </w:r>
    </w:p>
    <w:p w14:paraId="3A2E647C" w14:textId="77777777" w:rsidR="001B4E40" w:rsidRDefault="001B4E40" w:rsidP="001B4E40">
      <w:r w:rsidRPr="00501C72">
        <w:t>In Wales, the Welsh Government has moved to a place-based approach to economic development and has worked with local authorities and regional bodies across the four regions of Wales to co-design Regional Economic Frameworks.</w:t>
      </w:r>
    </w:p>
    <w:p w14:paraId="09C19F8B" w14:textId="4BB103EC" w:rsidR="00E02773" w:rsidRDefault="00E02773" w:rsidP="00E02773">
      <w:pPr>
        <w:pStyle w:val="Heading4"/>
      </w:pPr>
      <w:r w:rsidRPr="003F38FD">
        <w:t>Healthy ho</w:t>
      </w:r>
      <w:r w:rsidR="00427B27" w:rsidRPr="003F38FD">
        <w:t>mes</w:t>
      </w:r>
      <w:r w:rsidRPr="006B3039">
        <w:t xml:space="preserve"> </w:t>
      </w:r>
    </w:p>
    <w:p w14:paraId="7EC0BABB" w14:textId="541801DC" w:rsidR="00F33177" w:rsidRPr="00396551" w:rsidRDefault="00427B27" w:rsidP="00922574">
      <w:r>
        <w:t xml:space="preserve">Housing </w:t>
      </w:r>
      <w:r w:rsidR="00E94B56">
        <w:t xml:space="preserve">and </w:t>
      </w:r>
      <w:r w:rsidRPr="003F38FD">
        <w:t>h</w:t>
      </w:r>
      <w:r w:rsidR="00E02773" w:rsidRPr="003F38FD">
        <w:t xml:space="preserve">ousing </w:t>
      </w:r>
      <w:r w:rsidR="00F12E81" w:rsidRPr="003F38FD">
        <w:t>quality</w:t>
      </w:r>
      <w:r w:rsidR="00F12E81">
        <w:t xml:space="preserve"> is </w:t>
      </w:r>
      <w:r>
        <w:t xml:space="preserve">fundamental </w:t>
      </w:r>
      <w:r w:rsidR="0066392C">
        <w:t>to</w:t>
      </w:r>
      <w:r w:rsidR="00F12E81">
        <w:t xml:space="preserve"> good population health and well-being</w:t>
      </w:r>
      <w:r w:rsidR="00055153">
        <w:t xml:space="preserve"> </w:t>
      </w:r>
      <w:r w:rsidR="00CA65E4">
        <w:t>(</w:t>
      </w:r>
      <w:r w:rsidR="00250D13">
        <w:t>Howden-Chapman et al., 2023)</w:t>
      </w:r>
      <w:r w:rsidR="00073D8D" w:rsidRPr="00073D8D">
        <w:t xml:space="preserve">. </w:t>
      </w:r>
      <w:r w:rsidR="003F38FD">
        <w:t xml:space="preserve">In </w:t>
      </w:r>
      <w:r w:rsidR="00073D8D" w:rsidRPr="00073D8D">
        <w:t>New Zealand</w:t>
      </w:r>
      <w:r w:rsidR="003F38FD">
        <w:t>, there</w:t>
      </w:r>
      <w:r w:rsidR="00F333BF">
        <w:t xml:space="preserve"> has</w:t>
      </w:r>
      <w:r w:rsidR="00073D8D" w:rsidRPr="00073D8D">
        <w:t xml:space="preserve"> </w:t>
      </w:r>
      <w:r w:rsidR="003F38FD">
        <w:t>been</w:t>
      </w:r>
      <w:r w:rsidR="00C05ADF">
        <w:t xml:space="preserve"> </w:t>
      </w:r>
      <w:r w:rsidR="00073D8D" w:rsidRPr="00073D8D">
        <w:t>a</w:t>
      </w:r>
      <w:r w:rsidR="00F333BF">
        <w:t xml:space="preserve"> decade long</w:t>
      </w:r>
      <w:r w:rsidR="00073D8D" w:rsidRPr="00073D8D">
        <w:t xml:space="preserve"> </w:t>
      </w:r>
      <w:r w:rsidR="000846F5">
        <w:t xml:space="preserve">government-led </w:t>
      </w:r>
      <w:r w:rsidR="00073D8D" w:rsidRPr="00073D8D">
        <w:t>collaborative partnership </w:t>
      </w:r>
      <w:r w:rsidR="003F38FD">
        <w:t xml:space="preserve">in place, </w:t>
      </w:r>
      <w:r w:rsidR="00272AA3">
        <w:t xml:space="preserve">the </w:t>
      </w:r>
      <w:r w:rsidR="00733EE7" w:rsidRPr="00733EE7">
        <w:rPr>
          <w:b/>
          <w:bCs/>
        </w:rPr>
        <w:t xml:space="preserve">New Zealand </w:t>
      </w:r>
      <w:r w:rsidR="00272AA3" w:rsidRPr="00733EE7">
        <w:rPr>
          <w:b/>
          <w:bCs/>
        </w:rPr>
        <w:t>Healthy Homes Initiative</w:t>
      </w:r>
      <w:r w:rsidR="00733EE7">
        <w:t>, which aims to increase the number of children living in warm, dry</w:t>
      </w:r>
      <w:r w:rsidR="000D452B">
        <w:t>,</w:t>
      </w:r>
      <w:r w:rsidR="00733EE7">
        <w:t xml:space="preserve"> and healthy homes.</w:t>
      </w:r>
      <w:r w:rsidR="009E430D">
        <w:t xml:space="preserve"> </w:t>
      </w:r>
      <w:r w:rsidR="00F7630F">
        <w:t xml:space="preserve">Warm Up </w:t>
      </w:r>
      <w:r w:rsidR="003B7FF9" w:rsidRPr="00396551">
        <w:t>New Zealan</w:t>
      </w:r>
      <w:r w:rsidR="00493061" w:rsidRPr="00396551">
        <w:t>d:</w:t>
      </w:r>
      <w:r w:rsidR="00FA75D1" w:rsidRPr="00396551">
        <w:t xml:space="preserve"> </w:t>
      </w:r>
      <w:r w:rsidR="00493061" w:rsidRPr="00396551">
        <w:t xml:space="preserve">Heat Smart </w:t>
      </w:r>
      <w:r w:rsidR="00F7630F" w:rsidRPr="00396551">
        <w:t xml:space="preserve">was one of the largest </w:t>
      </w:r>
      <w:r w:rsidR="00C41B2A" w:rsidRPr="00396551">
        <w:t xml:space="preserve">schemes to </w:t>
      </w:r>
      <w:r w:rsidR="00CC2B15" w:rsidRPr="00396551">
        <w:t>r</w:t>
      </w:r>
      <w:r w:rsidR="00C41B2A" w:rsidRPr="00396551">
        <w:t>etrofit</w:t>
      </w:r>
      <w:r w:rsidR="00F7630F" w:rsidRPr="00396551">
        <w:t xml:space="preserve"> insulation implemented in the world</w:t>
      </w:r>
      <w:r w:rsidR="00421A7C" w:rsidRPr="00396551">
        <w:t xml:space="preserve"> </w:t>
      </w:r>
      <w:r w:rsidR="004F2319" w:rsidRPr="004F2319">
        <w:rPr>
          <w:highlight w:val="lightGray"/>
        </w:rPr>
        <w:t>[</w:t>
      </w:r>
      <w:r w:rsidR="00421A7C" w:rsidRPr="004F2319">
        <w:rPr>
          <w:highlight w:val="lightGray"/>
        </w:rPr>
        <w:t>ref</w:t>
      </w:r>
      <w:r w:rsidR="004F2319" w:rsidRPr="004F2319">
        <w:rPr>
          <w:highlight w:val="lightGray"/>
        </w:rPr>
        <w:t xml:space="preserve"> to be added]</w:t>
      </w:r>
      <w:r w:rsidR="00AC1C3B">
        <w:t xml:space="preserve"> and</w:t>
      </w:r>
      <w:r w:rsidR="00421A7C" w:rsidRPr="00396551">
        <w:t xml:space="preserve"> </w:t>
      </w:r>
      <w:r w:rsidR="00AC1C3B">
        <w:t>a Healthy Homes Standard was</w:t>
      </w:r>
      <w:r w:rsidR="0007043F">
        <w:t xml:space="preserve"> introduced </w:t>
      </w:r>
      <w:r w:rsidR="00893A6E">
        <w:t>into law in 2019 through the</w:t>
      </w:r>
      <w:r w:rsidR="003777AB" w:rsidRPr="00396551">
        <w:t xml:space="preserve"> Residential Tenancies (Healthy Homes Standards) Regulations 2019</w:t>
      </w:r>
      <w:r w:rsidR="00893A6E">
        <w:t>. The Act</w:t>
      </w:r>
      <w:r w:rsidR="002F0606" w:rsidRPr="00396551">
        <w:t xml:space="preserve"> aims to close the gap </w:t>
      </w:r>
      <w:r w:rsidR="00893A6E">
        <w:t xml:space="preserve">in housing quality </w:t>
      </w:r>
      <w:r w:rsidR="002F0606" w:rsidRPr="00396551">
        <w:t>between rental properties and owner</w:t>
      </w:r>
      <w:r w:rsidR="00341215" w:rsidRPr="00396551">
        <w:t>-</w:t>
      </w:r>
      <w:r w:rsidR="002F0606" w:rsidRPr="00396551">
        <w:t>occupied homes.</w:t>
      </w:r>
    </w:p>
    <w:p w14:paraId="12FA6558" w14:textId="26CC5EEC" w:rsidR="003D3DE9" w:rsidRPr="00D84D04" w:rsidRDefault="00922574" w:rsidP="00396551">
      <w:r w:rsidRPr="00396551">
        <w:t xml:space="preserve">In Wales, </w:t>
      </w:r>
      <w:r w:rsidR="00122694" w:rsidRPr="00396551">
        <w:t>t</w:t>
      </w:r>
      <w:r w:rsidR="00893D2E" w:rsidRPr="00396551">
        <w:t>he Future Generations, Welsh Language and Children’s Commissioner</w:t>
      </w:r>
      <w:r w:rsidR="001E2B6C">
        <w:t>s</w:t>
      </w:r>
      <w:r w:rsidR="00893D2E" w:rsidRPr="00396551">
        <w:t xml:space="preserve"> have </w:t>
      </w:r>
      <w:r w:rsidR="00341215">
        <w:t>recently</w:t>
      </w:r>
      <w:r w:rsidR="00893D2E" w:rsidRPr="00396551">
        <w:t xml:space="preserve"> called on the Welsh Government to co-create a vision for housing in Wales</w:t>
      </w:r>
      <w:r w:rsidR="004F615F">
        <w:t xml:space="preserve"> </w:t>
      </w:r>
      <w:r w:rsidR="001D6DEF">
        <w:t>(Future Generations Commissioner for Wales, 2024)</w:t>
      </w:r>
      <w:r w:rsidR="00893D2E" w:rsidRPr="008E67F5">
        <w:t>.</w:t>
      </w:r>
      <w:r w:rsidR="00AE65A5" w:rsidRPr="00396551">
        <w:t xml:space="preserve"> </w:t>
      </w:r>
      <w:r w:rsidR="00AE65A5" w:rsidRPr="008E67F5">
        <w:t xml:space="preserve">The </w:t>
      </w:r>
      <w:r w:rsidR="00AE65A5" w:rsidRPr="00735590">
        <w:rPr>
          <w:b/>
          <w:bCs/>
        </w:rPr>
        <w:t>Welsh</w:t>
      </w:r>
      <w:r w:rsidRPr="00735590">
        <w:rPr>
          <w:b/>
          <w:bCs/>
        </w:rPr>
        <w:t xml:space="preserve"> </w:t>
      </w:r>
      <w:r w:rsidR="00AE65A5" w:rsidRPr="00735590">
        <w:rPr>
          <w:b/>
          <w:bCs/>
        </w:rPr>
        <w:t>G</w:t>
      </w:r>
      <w:r w:rsidRPr="00735590">
        <w:rPr>
          <w:b/>
          <w:bCs/>
        </w:rPr>
        <w:t>overnment</w:t>
      </w:r>
      <w:r w:rsidR="00F76490" w:rsidRPr="00735590">
        <w:rPr>
          <w:b/>
          <w:bCs/>
        </w:rPr>
        <w:t xml:space="preserve">’s </w:t>
      </w:r>
      <w:r w:rsidR="00981E10" w:rsidRPr="00735590">
        <w:rPr>
          <w:b/>
          <w:bCs/>
        </w:rPr>
        <w:t>Warm</w:t>
      </w:r>
      <w:r w:rsidR="00981E10" w:rsidRPr="00F76490">
        <w:rPr>
          <w:b/>
          <w:bCs/>
        </w:rPr>
        <w:t xml:space="preserve"> Homes Programme</w:t>
      </w:r>
      <w:r w:rsidR="00396551" w:rsidRPr="008E67F5">
        <w:t xml:space="preserve"> </w:t>
      </w:r>
      <w:r w:rsidR="005E66BE">
        <w:t>will focus on the pro</w:t>
      </w:r>
      <w:r w:rsidR="00CF0BC7">
        <w:t xml:space="preserve">vision of an advice service </w:t>
      </w:r>
      <w:r w:rsidR="00A378D8">
        <w:t xml:space="preserve">and </w:t>
      </w:r>
      <w:r w:rsidR="008707A8">
        <w:t xml:space="preserve">physical improvements to </w:t>
      </w:r>
      <w:r w:rsidR="008707A8" w:rsidRPr="008E67F5">
        <w:t>households on low incomes</w:t>
      </w:r>
      <w:r w:rsidR="008707A8">
        <w:t>. The government continues to</w:t>
      </w:r>
      <w:r w:rsidR="00E5154F" w:rsidRPr="008E67F5">
        <w:t xml:space="preserve"> </w:t>
      </w:r>
      <w:r w:rsidR="00112C40" w:rsidRPr="008E67F5">
        <w:t>fund</w:t>
      </w:r>
      <w:r w:rsidRPr="008E67F5">
        <w:t xml:space="preserve"> </w:t>
      </w:r>
      <w:r w:rsidR="00E5154F" w:rsidRPr="008E67F5">
        <w:t>a</w:t>
      </w:r>
      <w:r w:rsidRPr="008E67F5">
        <w:t xml:space="preserve"> retrofit programme focused on </w:t>
      </w:r>
      <w:r w:rsidR="00F32147" w:rsidRPr="008E67F5">
        <w:t xml:space="preserve">existing </w:t>
      </w:r>
      <w:r w:rsidRPr="008E67F5">
        <w:t>social housing</w:t>
      </w:r>
      <w:r w:rsidR="00F847AA" w:rsidRPr="008E67F5">
        <w:t xml:space="preserve"> stock</w:t>
      </w:r>
      <w:r w:rsidR="00A43420" w:rsidRPr="008E67F5">
        <w:t xml:space="preserve"> and </w:t>
      </w:r>
      <w:r w:rsidR="000065CA" w:rsidRPr="008E67F5">
        <w:t xml:space="preserve">the Nest programme </w:t>
      </w:r>
      <w:r w:rsidR="005B1E72" w:rsidRPr="008E67F5">
        <w:t xml:space="preserve">provides </w:t>
      </w:r>
      <w:r w:rsidR="00AB2E96" w:rsidRPr="008E67F5">
        <w:t>support for retrofit insulation in the private sector</w:t>
      </w:r>
      <w:r w:rsidR="006960B1">
        <w:t xml:space="preserve"> (Welsh Parliament, 2023)</w:t>
      </w:r>
      <w:r w:rsidR="00F847AA" w:rsidRPr="008E67F5">
        <w:t>.</w:t>
      </w:r>
    </w:p>
    <w:p w14:paraId="78CF28E8" w14:textId="77777777" w:rsidR="00CB46DA" w:rsidRDefault="00CB46DA" w:rsidP="00D874A0">
      <w:pPr>
        <w:pStyle w:val="Heading4"/>
      </w:pPr>
      <w:r w:rsidRPr="00A96E69">
        <w:lastRenderedPageBreak/>
        <w:t>Ending homelessness</w:t>
      </w:r>
    </w:p>
    <w:p w14:paraId="3E614DD5" w14:textId="68BC7BCF" w:rsidR="00D874A0" w:rsidRDefault="00427B27" w:rsidP="00D874A0">
      <w:pPr>
        <w:rPr>
          <w:lang w:eastAsia="en-GB"/>
        </w:rPr>
      </w:pPr>
      <w:r>
        <w:t>H</w:t>
      </w:r>
      <w:r w:rsidR="00D874A0">
        <w:t>ousing insecurity and homelessness are common in many high-income countries</w:t>
      </w:r>
      <w:r>
        <w:t xml:space="preserve"> and </w:t>
      </w:r>
      <w:r w:rsidR="00D874A0" w:rsidRPr="3030E45D">
        <w:rPr>
          <w:lang w:eastAsia="en-GB"/>
        </w:rPr>
        <w:t xml:space="preserve">Finland is the only </w:t>
      </w:r>
      <w:r w:rsidRPr="3030E45D">
        <w:rPr>
          <w:lang w:eastAsia="en-GB"/>
        </w:rPr>
        <w:t xml:space="preserve">European </w:t>
      </w:r>
      <w:r w:rsidR="00D874A0" w:rsidRPr="3030E45D">
        <w:rPr>
          <w:lang w:eastAsia="en-GB"/>
        </w:rPr>
        <w:t>country to have seen a decline in the number of people who are homeless. Underpinned by a ‘</w:t>
      </w:r>
      <w:r w:rsidR="00D874A0">
        <w:t>Housing First’ policy approach, the</w:t>
      </w:r>
      <w:r w:rsidR="0C2BA84C">
        <w:t xml:space="preserve"> </w:t>
      </w:r>
      <w:r w:rsidR="00D874A0" w:rsidRPr="3030E45D">
        <w:rPr>
          <w:lang w:eastAsia="en-GB"/>
        </w:rPr>
        <w:t xml:space="preserve">Finnish Government launched its first national homelessness policy in 2008 (PAAVO 2008-2015) and they have since set a goal to eradicate homelessness by 2027. The </w:t>
      </w:r>
      <w:r w:rsidR="00D874A0" w:rsidRPr="3030E45D">
        <w:rPr>
          <w:b/>
          <w:bCs/>
          <w:lang w:eastAsia="en-GB"/>
        </w:rPr>
        <w:t>Finnish model of Housing First</w:t>
      </w:r>
      <w:r w:rsidR="00D874A0" w:rsidRPr="3030E45D">
        <w:rPr>
          <w:lang w:eastAsia="en-GB"/>
        </w:rPr>
        <w:t xml:space="preserve"> involved collaboration between the national government, municipal governments and a non-governmental organisation and combined financial assistance with integrated and targeted support services. A key component of the programme was providing new dwelling and supported housing places, including by replacing shared shelters with rental housing units with permanent tenancies.</w:t>
      </w:r>
    </w:p>
    <w:p w14:paraId="05E2AEF9" w14:textId="501D400F" w:rsidR="00CB46DA" w:rsidRDefault="003B09FD" w:rsidP="000B1FAD">
      <w:r>
        <w:t xml:space="preserve">The </w:t>
      </w:r>
      <w:r w:rsidR="003C20F8" w:rsidRPr="00F70120">
        <w:rPr>
          <w:b/>
        </w:rPr>
        <w:t>Ending Homelessness in Wales</w:t>
      </w:r>
      <w:r w:rsidRPr="00F70120">
        <w:rPr>
          <w:b/>
        </w:rPr>
        <w:t xml:space="preserve"> </w:t>
      </w:r>
      <w:r w:rsidR="003C20F8" w:rsidRPr="00F70120">
        <w:rPr>
          <w:b/>
        </w:rPr>
        <w:t>High-Level Action Plan</w:t>
      </w:r>
      <w:r w:rsidR="003C20F8" w:rsidRPr="00B41FF7">
        <w:t xml:space="preserve"> </w:t>
      </w:r>
      <w:r w:rsidR="002F1632">
        <w:t xml:space="preserve">builds on the 2019 Strategy to End Homelessness </w:t>
      </w:r>
      <w:r>
        <w:t>(Welsh Government, 2021b)</w:t>
      </w:r>
      <w:r w:rsidR="002F1632">
        <w:t xml:space="preserve">. </w:t>
      </w:r>
      <w:r w:rsidR="00B562DD">
        <w:t xml:space="preserve">The action plan sets out a </w:t>
      </w:r>
      <w:r w:rsidR="00CA3A46">
        <w:t>series</w:t>
      </w:r>
      <w:r w:rsidR="00B562DD">
        <w:t xml:space="preserve"> of components which aim to “make homelessness rare, brief and unrepeated”</w:t>
      </w:r>
      <w:r w:rsidR="00F62DDD">
        <w:t xml:space="preserve"> including transformation of the homelessness system, </w:t>
      </w:r>
      <w:r w:rsidR="00FF52A3">
        <w:t xml:space="preserve">prevention, </w:t>
      </w:r>
      <w:r w:rsidR="003B30F7">
        <w:t>and a set of overarching supporting actions</w:t>
      </w:r>
      <w:r w:rsidR="00B562DD">
        <w:t>.</w:t>
      </w:r>
      <w:r w:rsidR="00F01598">
        <w:t xml:space="preserve"> The transformation of the system includes a £1.9 million </w:t>
      </w:r>
      <w:r w:rsidR="00CD6F5F">
        <w:t>Housing First programme.</w:t>
      </w:r>
      <w:r w:rsidR="00B562DD">
        <w:t xml:space="preserve"> </w:t>
      </w:r>
      <w:proofErr w:type="spellStart"/>
      <w:r w:rsidR="00162725">
        <w:t>Cymorth</w:t>
      </w:r>
      <w:proofErr w:type="spellEnd"/>
      <w:r w:rsidR="00162725">
        <w:t xml:space="preserve"> Cymru and t</w:t>
      </w:r>
      <w:r w:rsidR="00BD13D5">
        <w:t>he Housing First Network Wales</w:t>
      </w:r>
      <w:r w:rsidR="00BF29DE">
        <w:t xml:space="preserve"> ha</w:t>
      </w:r>
      <w:r w:rsidR="00162725">
        <w:t>ve</w:t>
      </w:r>
      <w:r w:rsidR="00BF29DE">
        <w:t xml:space="preserve"> recently </w:t>
      </w:r>
      <w:r w:rsidR="00162725">
        <w:t>published a set of revised national principles for Housing First services in Wales (</w:t>
      </w:r>
      <w:r w:rsidR="006C5E66">
        <w:t xml:space="preserve">Housing First Network Wales and </w:t>
      </w:r>
      <w:proofErr w:type="spellStart"/>
      <w:r w:rsidR="006C5E66">
        <w:t>Cymorth</w:t>
      </w:r>
      <w:proofErr w:type="spellEnd"/>
      <w:r w:rsidR="006C5E66">
        <w:t xml:space="preserve"> Cymru, 2024</w:t>
      </w:r>
      <w:r w:rsidR="00724A88">
        <w:t>).</w:t>
      </w:r>
    </w:p>
    <w:p w14:paraId="110B359B" w14:textId="0B6EBA3B" w:rsidR="00CB46DA" w:rsidRDefault="001C576A" w:rsidP="00D874A0">
      <w:pPr>
        <w:pStyle w:val="Heading3"/>
      </w:pPr>
      <w:bookmarkStart w:id="22" w:name="_Toc185516844"/>
      <w:r>
        <w:t>Health and s</w:t>
      </w:r>
      <w:r w:rsidR="00CB46DA">
        <w:t>ocial and human capital</w:t>
      </w:r>
      <w:bookmarkEnd w:id="22"/>
    </w:p>
    <w:p w14:paraId="69E6C2E1" w14:textId="0F4CA4F1" w:rsidR="33BF3078" w:rsidRDefault="33BF3078" w:rsidP="3030E45D">
      <w:r>
        <w:t>The WHO five essential conditions for health equity</w:t>
      </w:r>
      <w:r w:rsidR="36051B29">
        <w:t xml:space="preserve"> emphasises the importance of </w:t>
      </w:r>
      <w:r>
        <w:t>social and human capital</w:t>
      </w:r>
      <w:r w:rsidR="140D34A0">
        <w:t>. Social capital refers to the networks</w:t>
      </w:r>
      <w:r w:rsidR="6231BE33">
        <w:t xml:space="preserve"> and </w:t>
      </w:r>
      <w:r w:rsidR="140D34A0">
        <w:t xml:space="preserve">relationships </w:t>
      </w:r>
      <w:r w:rsidR="74C4470E">
        <w:t>within a society and h</w:t>
      </w:r>
      <w:r w:rsidR="67F76B33">
        <w:t xml:space="preserve">uman capital </w:t>
      </w:r>
      <w:r w:rsidR="00505005">
        <w:t xml:space="preserve">to </w:t>
      </w:r>
      <w:r w:rsidR="00E764C4">
        <w:t xml:space="preserve">the personal characteristics, </w:t>
      </w:r>
      <w:r w:rsidR="67F76B33">
        <w:t>knowledge</w:t>
      </w:r>
      <w:r w:rsidR="00E764C4">
        <w:t xml:space="preserve"> and</w:t>
      </w:r>
      <w:r w:rsidR="67F76B33">
        <w:t xml:space="preserve"> skills </w:t>
      </w:r>
      <w:r w:rsidR="00E764C4">
        <w:t>which are</w:t>
      </w:r>
      <w:r w:rsidR="67F76B33">
        <w:t xml:space="preserve"> embodied in individuals</w:t>
      </w:r>
      <w:r w:rsidR="3FEF4AEB">
        <w:t xml:space="preserve">. </w:t>
      </w:r>
      <w:r w:rsidR="2B5D1E94">
        <w:t xml:space="preserve">Both concepts are thought to be </w:t>
      </w:r>
      <w:r w:rsidR="6250AF00">
        <w:t>significant driver</w:t>
      </w:r>
      <w:r w:rsidR="7FC4ABEC">
        <w:t>s</w:t>
      </w:r>
      <w:r w:rsidR="6250AF00">
        <w:t xml:space="preserve"> of </w:t>
      </w:r>
      <w:r w:rsidR="55608E62">
        <w:t>economic growth and productivity</w:t>
      </w:r>
      <w:r w:rsidR="6DBCD3BC">
        <w:t xml:space="preserve"> and a</w:t>
      </w:r>
      <w:r w:rsidR="6BCC8881">
        <w:t xml:space="preserve">long with planetary and economic, </w:t>
      </w:r>
      <w:r w:rsidR="5418B55F">
        <w:t>form</w:t>
      </w:r>
      <w:r w:rsidR="6BCC8881">
        <w:t xml:space="preserve"> part of the </w:t>
      </w:r>
      <w:r w:rsidR="4344408E">
        <w:t>WHO</w:t>
      </w:r>
      <w:r w:rsidR="51EC5474">
        <w:t>’s</w:t>
      </w:r>
      <w:r w:rsidR="4344408E">
        <w:t xml:space="preserve"> four well-being capitals</w:t>
      </w:r>
      <w:r w:rsidR="0AC87BC6">
        <w:t xml:space="preserve"> </w:t>
      </w:r>
      <w:r w:rsidR="003739BD">
        <w:t>(</w:t>
      </w:r>
      <w:r w:rsidR="003739BD" w:rsidRPr="003739BD">
        <w:t>WHO Regional Office for Europe; 2023</w:t>
      </w:r>
      <w:r w:rsidR="003739BD">
        <w:t>)</w:t>
      </w:r>
      <w:r w:rsidR="6A61347E">
        <w:t>.</w:t>
      </w:r>
    </w:p>
    <w:p w14:paraId="24F18753" w14:textId="3B8B91C4" w:rsidR="00453FBC" w:rsidRDefault="00453FBC" w:rsidP="00453FBC">
      <w:pPr>
        <w:pStyle w:val="Heading4"/>
        <w:rPr>
          <w:lang w:eastAsia="en-GB"/>
        </w:rPr>
      </w:pPr>
      <w:r>
        <w:rPr>
          <w:lang w:eastAsia="en-GB"/>
        </w:rPr>
        <w:t xml:space="preserve">Well-being </w:t>
      </w:r>
      <w:r w:rsidR="001B4E40">
        <w:rPr>
          <w:lang w:eastAsia="en-GB"/>
        </w:rPr>
        <w:t>e</w:t>
      </w:r>
      <w:r>
        <w:rPr>
          <w:lang w:eastAsia="en-GB"/>
        </w:rPr>
        <w:t>conomy approaches</w:t>
      </w:r>
    </w:p>
    <w:p w14:paraId="60E131D9" w14:textId="2F6F1080" w:rsidR="00453FBC" w:rsidRDefault="00453FBC" w:rsidP="00453FBC">
      <w:pPr>
        <w:rPr>
          <w:lang w:eastAsia="en-GB"/>
        </w:rPr>
      </w:pPr>
      <w:r>
        <w:rPr>
          <w:lang w:eastAsia="en-GB"/>
        </w:rPr>
        <w:t xml:space="preserve">The </w:t>
      </w:r>
      <w:r>
        <w:rPr>
          <w:b/>
          <w:bCs/>
          <w:lang w:eastAsia="en-GB"/>
        </w:rPr>
        <w:t>W</w:t>
      </w:r>
      <w:r w:rsidRPr="00ED5B7C">
        <w:rPr>
          <w:b/>
          <w:bCs/>
          <w:lang w:eastAsia="en-GB"/>
        </w:rPr>
        <w:t>ell</w:t>
      </w:r>
      <w:r>
        <w:rPr>
          <w:b/>
          <w:bCs/>
          <w:lang w:eastAsia="en-GB"/>
        </w:rPr>
        <w:t>-</w:t>
      </w:r>
      <w:r w:rsidRPr="00ED5B7C">
        <w:rPr>
          <w:b/>
          <w:bCs/>
          <w:lang w:eastAsia="en-GB"/>
        </w:rPr>
        <w:t xml:space="preserve">being </w:t>
      </w:r>
      <w:r>
        <w:rPr>
          <w:b/>
          <w:bCs/>
          <w:lang w:eastAsia="en-GB"/>
        </w:rPr>
        <w:t>E</w:t>
      </w:r>
      <w:r w:rsidRPr="00ED5B7C">
        <w:rPr>
          <w:b/>
          <w:bCs/>
          <w:lang w:eastAsia="en-GB"/>
        </w:rPr>
        <w:t>conomy approach</w:t>
      </w:r>
      <w:r>
        <w:rPr>
          <w:lang w:eastAsia="en-GB"/>
        </w:rPr>
        <w:t xml:space="preserve"> moves countries beyond gross domestic product (GDP) and economic growth as markers of progress. Within Europe, Finland, Iceland, Scotland, and Wales have all committed to and are making progress towards becoming well-being economies (World Health Organization, 2023). Table </w:t>
      </w:r>
      <w:r w:rsidR="00410289">
        <w:rPr>
          <w:lang w:eastAsia="en-GB"/>
        </w:rPr>
        <w:t>5</w:t>
      </w:r>
      <w:r>
        <w:rPr>
          <w:lang w:eastAsia="en-GB"/>
        </w:rPr>
        <w:t xml:space="preserve"> provides a summary of how each country has approached the concept of a well-being economy.</w:t>
      </w:r>
    </w:p>
    <w:p w14:paraId="539D343A" w14:textId="48FB2F31" w:rsidR="00453FBC" w:rsidRDefault="00453FBC" w:rsidP="00453FBC">
      <w:pPr>
        <w:rPr>
          <w:lang w:eastAsia="en-GB"/>
        </w:rPr>
      </w:pPr>
      <w:r>
        <w:rPr>
          <w:lang w:eastAsia="en-GB"/>
        </w:rPr>
        <w:t xml:space="preserve">The government of New Zealand has also sought to incorporate wellbeing into economic policy and a </w:t>
      </w:r>
      <w:r w:rsidRPr="00FE0888">
        <w:rPr>
          <w:lang w:eastAsia="en-GB"/>
        </w:rPr>
        <w:t>“</w:t>
      </w:r>
      <w:r>
        <w:rPr>
          <w:lang w:eastAsia="en-GB"/>
        </w:rPr>
        <w:t>w</w:t>
      </w:r>
      <w:r w:rsidRPr="00FE0888">
        <w:rPr>
          <w:lang w:eastAsia="en-GB"/>
        </w:rPr>
        <w:t>ellbeing budget”</w:t>
      </w:r>
      <w:r>
        <w:rPr>
          <w:lang w:eastAsia="en-GB"/>
        </w:rPr>
        <w:t xml:space="preserve"> was launched in 2019 to guide investment and funding decisions across Government. The approach was seen as novel as it involved a significant change in usual budgeting practices through its focus</w:t>
      </w:r>
      <w:r w:rsidRPr="00AA55F6">
        <w:rPr>
          <w:lang w:eastAsia="en-GB"/>
        </w:rPr>
        <w:t xml:space="preserve"> on five priority areas</w:t>
      </w:r>
      <w:r>
        <w:rPr>
          <w:lang w:eastAsia="en-GB"/>
        </w:rPr>
        <w:t xml:space="preserve">: (i) improving mental health; (ii) reducing child poverty; (iii) addressing the inequalities faced by indigenous Māori and </w:t>
      </w:r>
      <w:r w:rsidR="00CF243F">
        <w:rPr>
          <w:lang w:eastAsia="en-GB"/>
        </w:rPr>
        <w:t>Pacific Island</w:t>
      </w:r>
      <w:r>
        <w:rPr>
          <w:lang w:eastAsia="en-GB"/>
        </w:rPr>
        <w:t xml:space="preserve"> people; (iv) thriving in a digital age; and</w:t>
      </w:r>
      <w:r>
        <w:t xml:space="preserve"> (v) </w:t>
      </w:r>
      <w:r>
        <w:rPr>
          <w:lang w:eastAsia="en-GB"/>
        </w:rPr>
        <w:t>transitioning to a low</w:t>
      </w:r>
      <w:r w:rsidRPr="00B91D75">
        <w:rPr>
          <w:rFonts w:ascii="Cambria Math" w:hAnsi="Cambria Math" w:cs="Cambria Math"/>
          <w:lang w:eastAsia="en-GB"/>
        </w:rPr>
        <w:t>‐</w:t>
      </w:r>
      <w:r>
        <w:rPr>
          <w:lang w:eastAsia="en-GB"/>
        </w:rPr>
        <w:t>emission, sustainable economy.</w:t>
      </w:r>
    </w:p>
    <w:p w14:paraId="5CEEE525" w14:textId="77777777" w:rsidR="00453FBC" w:rsidRDefault="00453FBC" w:rsidP="00D874A0">
      <w:pPr>
        <w:rPr>
          <w:lang w:eastAsia="en-GB"/>
        </w:rPr>
        <w:sectPr w:rsidR="00453FBC" w:rsidSect="00410289">
          <w:pgSz w:w="11906" w:h="16838"/>
          <w:pgMar w:top="1440" w:right="1440" w:bottom="1440" w:left="1440" w:header="708" w:footer="708" w:gutter="0"/>
          <w:cols w:space="708"/>
          <w:docGrid w:linePitch="360"/>
        </w:sectPr>
      </w:pPr>
    </w:p>
    <w:p w14:paraId="481C2D2B" w14:textId="6AC169E1" w:rsidR="00181F13" w:rsidRDefault="00740DA7" w:rsidP="00740DA7">
      <w:pPr>
        <w:pStyle w:val="Caption"/>
        <w:rPr>
          <w:lang w:eastAsia="en-GB"/>
        </w:rPr>
      </w:pPr>
      <w:bookmarkStart w:id="23" w:name="_Toc189563117"/>
      <w:r>
        <w:lastRenderedPageBreak/>
        <w:t xml:space="preserve">Table </w:t>
      </w:r>
      <w:r w:rsidR="002C3A6C">
        <w:fldChar w:fldCharType="begin"/>
      </w:r>
      <w:r w:rsidR="002C3A6C">
        <w:instrText xml:space="preserve"> SEQ Table \* ARABIC </w:instrText>
      </w:r>
      <w:r w:rsidR="002C3A6C">
        <w:fldChar w:fldCharType="separate"/>
      </w:r>
      <w:r w:rsidR="004F2319">
        <w:rPr>
          <w:noProof/>
        </w:rPr>
        <w:t>3</w:t>
      </w:r>
      <w:r w:rsidR="002C3A6C">
        <w:rPr>
          <w:noProof/>
        </w:rPr>
        <w:fldChar w:fldCharType="end"/>
      </w:r>
      <w:r>
        <w:t xml:space="preserve">. </w:t>
      </w:r>
      <w:r w:rsidR="00013694">
        <w:t xml:space="preserve">Approaches to </w:t>
      </w:r>
      <w:r w:rsidR="0098354A">
        <w:t>w</w:t>
      </w:r>
      <w:r>
        <w:t xml:space="preserve">ell-being economy </w:t>
      </w:r>
      <w:r w:rsidR="00013694">
        <w:t xml:space="preserve">in Finland, Iceland, </w:t>
      </w:r>
      <w:r w:rsidR="00703AE9">
        <w:t>Scotland</w:t>
      </w:r>
      <w:r w:rsidR="00F75C04">
        <w:t>,</w:t>
      </w:r>
      <w:r w:rsidR="00703AE9">
        <w:t xml:space="preserve"> and Wales</w:t>
      </w:r>
      <w:bookmarkEnd w:id="23"/>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3"/>
        <w:gridCol w:w="2965"/>
        <w:gridCol w:w="3241"/>
        <w:gridCol w:w="3241"/>
        <w:gridCol w:w="3238"/>
      </w:tblGrid>
      <w:tr w:rsidR="0067101B" w:rsidRPr="0067101B" w14:paraId="35085FCE" w14:textId="77777777" w:rsidTr="001B6A84">
        <w:trPr>
          <w:cantSplit/>
          <w:trHeight w:val="550"/>
          <w:tblHeader/>
        </w:trPr>
        <w:tc>
          <w:tcPr>
            <w:tcW w:w="456" w:type="pct"/>
            <w:shd w:val="clear" w:color="auto" w:fill="156082" w:themeFill="accent1"/>
            <w:vAlign w:val="center"/>
          </w:tcPr>
          <w:p w14:paraId="7BFDA761" w14:textId="77777777" w:rsidR="00DE7884" w:rsidRPr="0067101B" w:rsidRDefault="00DE7884" w:rsidP="0067101B">
            <w:pPr>
              <w:pStyle w:val="NoSpacing"/>
              <w:rPr>
                <w:b/>
                <w:color w:val="FFFFFF" w:themeColor="background1"/>
                <w:sz w:val="20"/>
                <w:szCs w:val="20"/>
              </w:rPr>
            </w:pPr>
            <w:r w:rsidRPr="0067101B">
              <w:rPr>
                <w:b/>
                <w:color w:val="FFFFFF" w:themeColor="background1"/>
                <w:sz w:val="20"/>
                <w:szCs w:val="20"/>
              </w:rPr>
              <w:t>Country</w:t>
            </w:r>
          </w:p>
        </w:tc>
        <w:tc>
          <w:tcPr>
            <w:tcW w:w="1062" w:type="pct"/>
            <w:shd w:val="clear" w:color="auto" w:fill="156082" w:themeFill="accent1"/>
            <w:vAlign w:val="center"/>
          </w:tcPr>
          <w:p w14:paraId="3E4E2D0D" w14:textId="3D42E5BC" w:rsidR="00703AE9" w:rsidRPr="0067101B" w:rsidRDefault="00703AE9" w:rsidP="0067101B">
            <w:pPr>
              <w:pStyle w:val="NoSpacing"/>
              <w:rPr>
                <w:b/>
                <w:bCs/>
                <w:color w:val="FFFFFF" w:themeColor="background1"/>
                <w:sz w:val="20"/>
                <w:szCs w:val="20"/>
              </w:rPr>
            </w:pPr>
            <w:r w:rsidRPr="0067101B">
              <w:rPr>
                <w:b/>
                <w:bCs/>
                <w:color w:val="FFFFFF" w:themeColor="background1"/>
                <w:sz w:val="20"/>
                <w:szCs w:val="20"/>
              </w:rPr>
              <w:t>Defining well-being</w:t>
            </w:r>
          </w:p>
        </w:tc>
        <w:tc>
          <w:tcPr>
            <w:tcW w:w="1161" w:type="pct"/>
            <w:shd w:val="clear" w:color="auto" w:fill="156082" w:themeFill="accent1"/>
            <w:vAlign w:val="center"/>
          </w:tcPr>
          <w:p w14:paraId="4129ED55" w14:textId="54D30406" w:rsidR="00DE7884" w:rsidRPr="0067101B" w:rsidRDefault="00DE7884" w:rsidP="0067101B">
            <w:pPr>
              <w:pStyle w:val="NoSpacing"/>
              <w:rPr>
                <w:b/>
                <w:color w:val="FFFFFF" w:themeColor="background1"/>
                <w:sz w:val="20"/>
                <w:szCs w:val="20"/>
              </w:rPr>
            </w:pPr>
            <w:r w:rsidRPr="0067101B">
              <w:rPr>
                <w:b/>
                <w:color w:val="FFFFFF" w:themeColor="background1"/>
                <w:sz w:val="20"/>
                <w:szCs w:val="20"/>
              </w:rPr>
              <w:t>Policy focus</w:t>
            </w:r>
          </w:p>
        </w:tc>
        <w:tc>
          <w:tcPr>
            <w:tcW w:w="1161" w:type="pct"/>
            <w:shd w:val="clear" w:color="auto" w:fill="156082" w:themeFill="accent1"/>
            <w:vAlign w:val="center"/>
          </w:tcPr>
          <w:p w14:paraId="0082B9B0" w14:textId="7B4809CA" w:rsidR="00DE7884" w:rsidRPr="0067101B" w:rsidRDefault="00DE7884" w:rsidP="0067101B">
            <w:pPr>
              <w:pStyle w:val="NoSpacing"/>
              <w:rPr>
                <w:b/>
                <w:color w:val="FFFFFF" w:themeColor="background1"/>
                <w:sz w:val="20"/>
                <w:szCs w:val="20"/>
              </w:rPr>
            </w:pPr>
            <w:r w:rsidRPr="0067101B">
              <w:rPr>
                <w:b/>
                <w:color w:val="FFFFFF" w:themeColor="background1"/>
                <w:sz w:val="20"/>
                <w:szCs w:val="20"/>
              </w:rPr>
              <w:t>Role of public health</w:t>
            </w:r>
          </w:p>
        </w:tc>
        <w:tc>
          <w:tcPr>
            <w:tcW w:w="1160" w:type="pct"/>
            <w:shd w:val="clear" w:color="auto" w:fill="156082" w:themeFill="accent1"/>
            <w:vAlign w:val="center"/>
          </w:tcPr>
          <w:p w14:paraId="321A4651" w14:textId="65468351" w:rsidR="00DE7884" w:rsidRPr="0067101B" w:rsidRDefault="00DE7884" w:rsidP="0067101B">
            <w:pPr>
              <w:pStyle w:val="NoSpacing"/>
              <w:rPr>
                <w:b/>
                <w:color w:val="FFFFFF" w:themeColor="background1"/>
                <w:sz w:val="20"/>
                <w:szCs w:val="20"/>
              </w:rPr>
            </w:pPr>
            <w:r w:rsidRPr="0067101B">
              <w:rPr>
                <w:b/>
                <w:color w:val="FFFFFF" w:themeColor="background1"/>
                <w:sz w:val="20"/>
                <w:szCs w:val="20"/>
              </w:rPr>
              <w:t>Measuring and monitoring progress</w:t>
            </w:r>
          </w:p>
        </w:tc>
      </w:tr>
      <w:tr w:rsidR="00DE7884" w:rsidRPr="00EF2555" w14:paraId="430964DA" w14:textId="77777777" w:rsidTr="008B3846">
        <w:trPr>
          <w:cantSplit/>
          <w:trHeight w:val="3119"/>
        </w:trPr>
        <w:tc>
          <w:tcPr>
            <w:tcW w:w="456" w:type="pct"/>
          </w:tcPr>
          <w:p w14:paraId="1D5020AA" w14:textId="77777777" w:rsidR="00DE7884" w:rsidRPr="0067101B" w:rsidRDefault="00DE7884" w:rsidP="008B3846">
            <w:pPr>
              <w:pStyle w:val="NoSpacing"/>
              <w:rPr>
                <w:b/>
                <w:sz w:val="20"/>
                <w:szCs w:val="20"/>
              </w:rPr>
            </w:pPr>
            <w:r w:rsidRPr="0067101B">
              <w:rPr>
                <w:b/>
                <w:sz w:val="20"/>
                <w:szCs w:val="20"/>
              </w:rPr>
              <w:t>Finland</w:t>
            </w:r>
          </w:p>
        </w:tc>
        <w:tc>
          <w:tcPr>
            <w:tcW w:w="1062" w:type="pct"/>
          </w:tcPr>
          <w:p w14:paraId="26D28F6C" w14:textId="77777777" w:rsidR="00703AE9" w:rsidRDefault="00A52A45" w:rsidP="008B3846">
            <w:pPr>
              <w:pStyle w:val="NoSpacing"/>
              <w:rPr>
                <w:sz w:val="20"/>
                <w:szCs w:val="20"/>
              </w:rPr>
            </w:pPr>
            <w:r w:rsidRPr="00A52A45">
              <w:rPr>
                <w:sz w:val="20"/>
                <w:szCs w:val="20"/>
              </w:rPr>
              <w:t>Well-being is synonymous with</w:t>
            </w:r>
            <w:r>
              <w:rPr>
                <w:sz w:val="20"/>
                <w:szCs w:val="20"/>
              </w:rPr>
              <w:t xml:space="preserve"> w</w:t>
            </w:r>
            <w:r w:rsidRPr="00A52A45">
              <w:rPr>
                <w:sz w:val="20"/>
                <w:szCs w:val="20"/>
              </w:rPr>
              <w:t>elfare</w:t>
            </w:r>
            <w:r>
              <w:rPr>
                <w:sz w:val="20"/>
                <w:szCs w:val="20"/>
              </w:rPr>
              <w:t>.</w:t>
            </w:r>
          </w:p>
          <w:p w14:paraId="606D5DE3" w14:textId="77777777" w:rsidR="00A52A45" w:rsidRDefault="00A52A45" w:rsidP="008B3846">
            <w:pPr>
              <w:pStyle w:val="NoSpacing"/>
              <w:rPr>
                <w:sz w:val="20"/>
                <w:szCs w:val="20"/>
              </w:rPr>
            </w:pPr>
          </w:p>
          <w:p w14:paraId="07CC8C78" w14:textId="044801DB" w:rsidR="00A52A45" w:rsidRPr="00A52A45" w:rsidRDefault="007D3D6C" w:rsidP="008B3846">
            <w:pPr>
              <w:pStyle w:val="NoSpacing"/>
              <w:rPr>
                <w:sz w:val="20"/>
                <w:szCs w:val="20"/>
              </w:rPr>
            </w:pPr>
            <w:r>
              <w:rPr>
                <w:sz w:val="20"/>
                <w:szCs w:val="20"/>
              </w:rPr>
              <w:t>L</w:t>
            </w:r>
            <w:r w:rsidR="00D65628" w:rsidRPr="00D65628">
              <w:rPr>
                <w:sz w:val="20"/>
                <w:szCs w:val="20"/>
              </w:rPr>
              <w:t>inked to social sustainability</w:t>
            </w:r>
            <w:r w:rsidR="00D65628">
              <w:rPr>
                <w:sz w:val="20"/>
                <w:szCs w:val="20"/>
              </w:rPr>
              <w:t xml:space="preserve"> </w:t>
            </w:r>
            <w:r w:rsidR="00021F42">
              <w:rPr>
                <w:sz w:val="20"/>
                <w:szCs w:val="20"/>
              </w:rPr>
              <w:t>and</w:t>
            </w:r>
            <w:r w:rsidR="00D65628" w:rsidRPr="00D65628">
              <w:rPr>
                <w:sz w:val="20"/>
                <w:szCs w:val="20"/>
              </w:rPr>
              <w:t xml:space="preserve"> recogni</w:t>
            </w:r>
            <w:r w:rsidR="00021F42">
              <w:rPr>
                <w:sz w:val="20"/>
                <w:szCs w:val="20"/>
              </w:rPr>
              <w:t>ses</w:t>
            </w:r>
            <w:r w:rsidR="00D65628" w:rsidRPr="00D65628">
              <w:rPr>
                <w:sz w:val="20"/>
                <w:szCs w:val="20"/>
              </w:rPr>
              <w:t xml:space="preserve"> the interdependency with</w:t>
            </w:r>
            <w:r w:rsidR="00D65628">
              <w:rPr>
                <w:sz w:val="20"/>
                <w:szCs w:val="20"/>
              </w:rPr>
              <w:t xml:space="preserve"> </w:t>
            </w:r>
            <w:r w:rsidR="00D65628" w:rsidRPr="00D65628">
              <w:rPr>
                <w:sz w:val="20"/>
                <w:szCs w:val="20"/>
              </w:rPr>
              <w:t>economic and environmental sustainability</w:t>
            </w:r>
            <w:r w:rsidR="00021F42">
              <w:rPr>
                <w:sz w:val="20"/>
                <w:szCs w:val="20"/>
              </w:rPr>
              <w:t>.</w:t>
            </w:r>
          </w:p>
        </w:tc>
        <w:tc>
          <w:tcPr>
            <w:tcW w:w="1161" w:type="pct"/>
          </w:tcPr>
          <w:p w14:paraId="0578596B" w14:textId="0FBE04D8" w:rsidR="00DE7884" w:rsidRPr="00EF2555" w:rsidRDefault="00DE7884" w:rsidP="008B3846">
            <w:pPr>
              <w:pStyle w:val="NoSpacing"/>
              <w:rPr>
                <w:sz w:val="20"/>
                <w:szCs w:val="20"/>
              </w:rPr>
            </w:pPr>
            <w:r w:rsidRPr="00EF2555">
              <w:rPr>
                <w:sz w:val="20"/>
                <w:szCs w:val="20"/>
              </w:rPr>
              <w:t xml:space="preserve">To reframe the welfare state with new policies that: </w:t>
            </w:r>
          </w:p>
          <w:p w14:paraId="750B0881" w14:textId="77777777" w:rsidR="00DE7884" w:rsidRPr="00EF2555" w:rsidRDefault="00DE7884" w:rsidP="0049380C">
            <w:pPr>
              <w:pStyle w:val="NoSpacing"/>
              <w:numPr>
                <w:ilvl w:val="0"/>
                <w:numId w:val="12"/>
              </w:numPr>
              <w:rPr>
                <w:sz w:val="20"/>
                <w:szCs w:val="20"/>
              </w:rPr>
            </w:pPr>
            <w:r w:rsidRPr="00EF2555">
              <w:rPr>
                <w:sz w:val="20"/>
                <w:szCs w:val="20"/>
              </w:rPr>
              <w:t>Protect people and the planet.</w:t>
            </w:r>
          </w:p>
          <w:p w14:paraId="43522444" w14:textId="77777777" w:rsidR="00DE7884" w:rsidRPr="00EF2555" w:rsidRDefault="00DE7884" w:rsidP="0049380C">
            <w:pPr>
              <w:pStyle w:val="NoSpacing"/>
              <w:numPr>
                <w:ilvl w:val="0"/>
                <w:numId w:val="12"/>
              </w:numPr>
              <w:rPr>
                <w:sz w:val="20"/>
                <w:szCs w:val="20"/>
              </w:rPr>
            </w:pPr>
            <w:r w:rsidRPr="00EF2555">
              <w:rPr>
                <w:sz w:val="20"/>
                <w:szCs w:val="20"/>
              </w:rPr>
              <w:t>Promote peace and security.</w:t>
            </w:r>
          </w:p>
          <w:p w14:paraId="414611A8" w14:textId="77777777" w:rsidR="00DE7884" w:rsidRPr="00EF2555" w:rsidRDefault="00DE7884" w:rsidP="0049380C">
            <w:pPr>
              <w:pStyle w:val="NoSpacing"/>
              <w:numPr>
                <w:ilvl w:val="0"/>
                <w:numId w:val="12"/>
              </w:numPr>
              <w:rPr>
                <w:sz w:val="20"/>
                <w:szCs w:val="20"/>
              </w:rPr>
            </w:pPr>
            <w:r w:rsidRPr="00EF2555">
              <w:rPr>
                <w:sz w:val="20"/>
                <w:szCs w:val="20"/>
              </w:rPr>
              <w:t>Ensure financial sustainability with an ageing population.</w:t>
            </w:r>
          </w:p>
          <w:p w14:paraId="3820226A" w14:textId="77777777" w:rsidR="00DE7884" w:rsidRPr="00EF2555" w:rsidRDefault="00DE7884" w:rsidP="0049380C">
            <w:pPr>
              <w:pStyle w:val="NoSpacing"/>
              <w:numPr>
                <w:ilvl w:val="0"/>
                <w:numId w:val="12"/>
              </w:numPr>
              <w:rPr>
                <w:sz w:val="20"/>
                <w:szCs w:val="20"/>
              </w:rPr>
            </w:pPr>
            <w:r w:rsidRPr="00EF2555">
              <w:rPr>
                <w:sz w:val="20"/>
                <w:szCs w:val="20"/>
              </w:rPr>
              <w:t>Focus on labour market inclusivity and income security.</w:t>
            </w:r>
          </w:p>
        </w:tc>
        <w:tc>
          <w:tcPr>
            <w:tcW w:w="1161" w:type="pct"/>
          </w:tcPr>
          <w:p w14:paraId="78054B0B" w14:textId="77777777" w:rsidR="00DE7884" w:rsidRPr="00EF2555" w:rsidRDefault="00DE7884" w:rsidP="008B3846">
            <w:pPr>
              <w:pStyle w:val="NoSpacing"/>
              <w:rPr>
                <w:sz w:val="20"/>
                <w:szCs w:val="20"/>
              </w:rPr>
            </w:pPr>
            <w:r w:rsidRPr="00EF2555">
              <w:rPr>
                <w:sz w:val="20"/>
                <w:szCs w:val="20"/>
              </w:rPr>
              <w:t>Serves as a convener, facilitating cross-governmental dialogue.</w:t>
            </w:r>
          </w:p>
          <w:p w14:paraId="5F9D6BF9" w14:textId="77777777" w:rsidR="00EF2555" w:rsidRDefault="00EF2555" w:rsidP="008B3846">
            <w:pPr>
              <w:pStyle w:val="NoSpacing"/>
              <w:rPr>
                <w:sz w:val="20"/>
                <w:szCs w:val="20"/>
              </w:rPr>
            </w:pPr>
          </w:p>
          <w:p w14:paraId="5BEB8C05" w14:textId="30DB1410" w:rsidR="00DE7884" w:rsidRPr="00EF2555" w:rsidRDefault="00DE7884" w:rsidP="008B3846">
            <w:pPr>
              <w:pStyle w:val="NoSpacing"/>
              <w:rPr>
                <w:sz w:val="20"/>
                <w:szCs w:val="20"/>
              </w:rPr>
            </w:pPr>
            <w:r w:rsidRPr="00EF2555">
              <w:rPr>
                <w:sz w:val="20"/>
                <w:szCs w:val="20"/>
              </w:rPr>
              <w:t>Contributes to designing policies that maximise their influence on well-being.</w:t>
            </w:r>
          </w:p>
          <w:p w14:paraId="1061808C" w14:textId="77777777" w:rsidR="00EF2555" w:rsidRDefault="00EF2555" w:rsidP="008B3846">
            <w:pPr>
              <w:pStyle w:val="NoSpacing"/>
              <w:rPr>
                <w:sz w:val="20"/>
                <w:szCs w:val="20"/>
              </w:rPr>
            </w:pPr>
          </w:p>
          <w:p w14:paraId="4BAC77B6" w14:textId="35441835" w:rsidR="00DE7884" w:rsidRPr="00EF2555" w:rsidRDefault="00DE7884" w:rsidP="008B3846">
            <w:pPr>
              <w:pStyle w:val="NoSpacing"/>
              <w:rPr>
                <w:sz w:val="20"/>
                <w:szCs w:val="20"/>
              </w:rPr>
            </w:pPr>
            <w:r w:rsidRPr="00EF2555">
              <w:rPr>
                <w:sz w:val="20"/>
                <w:szCs w:val="20"/>
              </w:rPr>
              <w:t>Enhances the current welfare state system by expanding upon and beyond the idea of "Health in All Policies", which has served as a basis for transitioning towards economies focused on well-being.</w:t>
            </w:r>
          </w:p>
        </w:tc>
        <w:tc>
          <w:tcPr>
            <w:tcW w:w="1160" w:type="pct"/>
          </w:tcPr>
          <w:p w14:paraId="72156508" w14:textId="0906D4EF" w:rsidR="00DE7884" w:rsidRPr="00EF2555" w:rsidRDefault="00DE7884" w:rsidP="008B3846">
            <w:pPr>
              <w:pStyle w:val="NoSpacing"/>
              <w:rPr>
                <w:sz w:val="20"/>
                <w:szCs w:val="20"/>
              </w:rPr>
            </w:pPr>
            <w:r w:rsidRPr="00EF2555">
              <w:rPr>
                <w:sz w:val="20"/>
                <w:szCs w:val="20"/>
              </w:rPr>
              <w:t>Developing a well-being economy indicator system focusing on</w:t>
            </w:r>
            <w:r w:rsidR="00EF2555" w:rsidRPr="00EF2555">
              <w:rPr>
                <w:sz w:val="20"/>
                <w:szCs w:val="20"/>
              </w:rPr>
              <w:t xml:space="preserve"> s</w:t>
            </w:r>
            <w:r w:rsidRPr="00EF2555">
              <w:rPr>
                <w:sz w:val="20"/>
                <w:szCs w:val="20"/>
              </w:rPr>
              <w:t>ocioeconomic variables</w:t>
            </w:r>
            <w:r w:rsidR="00EF2555" w:rsidRPr="00EF2555">
              <w:rPr>
                <w:sz w:val="20"/>
                <w:szCs w:val="20"/>
              </w:rPr>
              <w:t xml:space="preserve"> and l</w:t>
            </w:r>
            <w:r w:rsidRPr="00EF2555">
              <w:rPr>
                <w:sz w:val="20"/>
                <w:szCs w:val="20"/>
              </w:rPr>
              <w:t>iving conditions</w:t>
            </w:r>
          </w:p>
          <w:p w14:paraId="39D1DC9E" w14:textId="77777777" w:rsidR="00DE7884" w:rsidRPr="00EF2555" w:rsidRDefault="00DE7884" w:rsidP="008B3846">
            <w:pPr>
              <w:pStyle w:val="NoSpacing"/>
              <w:rPr>
                <w:sz w:val="20"/>
                <w:szCs w:val="20"/>
              </w:rPr>
            </w:pPr>
          </w:p>
        </w:tc>
      </w:tr>
      <w:tr w:rsidR="00DE7884" w:rsidRPr="00EF2555" w14:paraId="60616962" w14:textId="77777777" w:rsidTr="008B3846">
        <w:trPr>
          <w:cantSplit/>
        </w:trPr>
        <w:tc>
          <w:tcPr>
            <w:tcW w:w="456" w:type="pct"/>
            <w:shd w:val="clear" w:color="auto" w:fill="F2F2F2" w:themeFill="background1" w:themeFillShade="F2"/>
          </w:tcPr>
          <w:p w14:paraId="5A6ED5A9" w14:textId="77777777" w:rsidR="00DE7884" w:rsidRPr="0067101B" w:rsidRDefault="00DE7884" w:rsidP="008B3846">
            <w:pPr>
              <w:pStyle w:val="NoSpacing"/>
              <w:rPr>
                <w:b/>
                <w:sz w:val="20"/>
                <w:szCs w:val="20"/>
              </w:rPr>
            </w:pPr>
            <w:r w:rsidRPr="0067101B">
              <w:rPr>
                <w:b/>
                <w:sz w:val="20"/>
                <w:szCs w:val="20"/>
              </w:rPr>
              <w:t>Iceland</w:t>
            </w:r>
          </w:p>
        </w:tc>
        <w:tc>
          <w:tcPr>
            <w:tcW w:w="1062" w:type="pct"/>
            <w:shd w:val="clear" w:color="auto" w:fill="F2F2F2" w:themeFill="background1" w:themeFillShade="F2"/>
          </w:tcPr>
          <w:p w14:paraId="4CC65A37" w14:textId="77777777" w:rsidR="00941D98" w:rsidRDefault="00941D98" w:rsidP="008B3846">
            <w:pPr>
              <w:pStyle w:val="NoSpacing"/>
              <w:rPr>
                <w:sz w:val="20"/>
                <w:szCs w:val="20"/>
              </w:rPr>
            </w:pPr>
            <w:r w:rsidRPr="00941D98">
              <w:rPr>
                <w:sz w:val="20"/>
                <w:szCs w:val="20"/>
              </w:rPr>
              <w:t>Well-being is approached as a holistic</w:t>
            </w:r>
            <w:r>
              <w:rPr>
                <w:sz w:val="20"/>
                <w:szCs w:val="20"/>
              </w:rPr>
              <w:t xml:space="preserve"> </w:t>
            </w:r>
            <w:r w:rsidRPr="00941D98">
              <w:rPr>
                <w:sz w:val="20"/>
                <w:szCs w:val="20"/>
              </w:rPr>
              <w:t>concept</w:t>
            </w:r>
            <w:r>
              <w:rPr>
                <w:sz w:val="20"/>
                <w:szCs w:val="20"/>
              </w:rPr>
              <w:t>.</w:t>
            </w:r>
            <w:r w:rsidRPr="00941D98">
              <w:rPr>
                <w:sz w:val="20"/>
                <w:szCs w:val="20"/>
              </w:rPr>
              <w:t xml:space="preserve"> </w:t>
            </w:r>
          </w:p>
          <w:p w14:paraId="3DEC05A5" w14:textId="77777777" w:rsidR="00941D98" w:rsidRDefault="00941D98" w:rsidP="008B3846">
            <w:pPr>
              <w:pStyle w:val="NoSpacing"/>
              <w:rPr>
                <w:sz w:val="20"/>
                <w:szCs w:val="20"/>
              </w:rPr>
            </w:pPr>
          </w:p>
          <w:p w14:paraId="1FE39045" w14:textId="291CF9EC" w:rsidR="00703AE9" w:rsidRDefault="00941D98" w:rsidP="008B3846">
            <w:pPr>
              <w:pStyle w:val="NoSpacing"/>
              <w:rPr>
                <w:sz w:val="20"/>
                <w:szCs w:val="20"/>
              </w:rPr>
            </w:pPr>
            <w:r>
              <w:rPr>
                <w:sz w:val="20"/>
                <w:szCs w:val="20"/>
              </w:rPr>
              <w:t>E</w:t>
            </w:r>
            <w:r w:rsidRPr="00941D98">
              <w:rPr>
                <w:sz w:val="20"/>
                <w:szCs w:val="20"/>
              </w:rPr>
              <w:t>ncompass</w:t>
            </w:r>
            <w:r>
              <w:rPr>
                <w:sz w:val="20"/>
                <w:szCs w:val="20"/>
              </w:rPr>
              <w:t>es</w:t>
            </w:r>
            <w:r w:rsidRPr="00941D98">
              <w:rPr>
                <w:sz w:val="20"/>
                <w:szCs w:val="20"/>
              </w:rPr>
              <w:t xml:space="preserve"> both subjective</w:t>
            </w:r>
            <w:r>
              <w:rPr>
                <w:sz w:val="20"/>
                <w:szCs w:val="20"/>
              </w:rPr>
              <w:t xml:space="preserve"> </w:t>
            </w:r>
            <w:r w:rsidRPr="00941D98">
              <w:rPr>
                <w:sz w:val="20"/>
                <w:szCs w:val="20"/>
              </w:rPr>
              <w:t>and objective dimensions</w:t>
            </w:r>
            <w:r w:rsidR="00C0395A">
              <w:rPr>
                <w:sz w:val="20"/>
                <w:szCs w:val="20"/>
              </w:rPr>
              <w:t>.</w:t>
            </w:r>
          </w:p>
          <w:p w14:paraId="5A45C92A" w14:textId="77777777" w:rsidR="00621277" w:rsidRDefault="00621277" w:rsidP="008B3846">
            <w:pPr>
              <w:pStyle w:val="NoSpacing"/>
              <w:rPr>
                <w:sz w:val="20"/>
                <w:szCs w:val="20"/>
              </w:rPr>
            </w:pPr>
          </w:p>
          <w:p w14:paraId="701B385E" w14:textId="014A9D0F" w:rsidR="00941D98" w:rsidRPr="00941D98" w:rsidRDefault="002642D0" w:rsidP="008B3846">
            <w:pPr>
              <w:pStyle w:val="NoSpacing"/>
              <w:rPr>
                <w:sz w:val="20"/>
                <w:szCs w:val="20"/>
              </w:rPr>
            </w:pPr>
            <w:r w:rsidRPr="002642D0">
              <w:rPr>
                <w:sz w:val="20"/>
                <w:szCs w:val="20"/>
              </w:rPr>
              <w:t>Wellbeing is directly linked to factors in society,</w:t>
            </w:r>
            <w:r>
              <w:rPr>
                <w:sz w:val="20"/>
                <w:szCs w:val="20"/>
              </w:rPr>
              <w:t xml:space="preserve"> </w:t>
            </w:r>
            <w:r w:rsidRPr="002642D0">
              <w:rPr>
                <w:sz w:val="20"/>
                <w:szCs w:val="20"/>
              </w:rPr>
              <w:t>the economy</w:t>
            </w:r>
            <w:r w:rsidR="00021F42">
              <w:rPr>
                <w:sz w:val="20"/>
                <w:szCs w:val="20"/>
              </w:rPr>
              <w:t xml:space="preserve"> </w:t>
            </w:r>
            <w:r w:rsidRPr="002642D0">
              <w:rPr>
                <w:sz w:val="20"/>
                <w:szCs w:val="20"/>
              </w:rPr>
              <w:t>and the environment</w:t>
            </w:r>
            <w:r>
              <w:rPr>
                <w:sz w:val="20"/>
                <w:szCs w:val="20"/>
              </w:rPr>
              <w:t>.</w:t>
            </w:r>
          </w:p>
        </w:tc>
        <w:tc>
          <w:tcPr>
            <w:tcW w:w="1161" w:type="pct"/>
            <w:shd w:val="clear" w:color="auto" w:fill="F2F2F2" w:themeFill="background1" w:themeFillShade="F2"/>
          </w:tcPr>
          <w:p w14:paraId="1081BBB3" w14:textId="23362AF8" w:rsidR="00DE7884" w:rsidRPr="00EF2555" w:rsidRDefault="00703AE9" w:rsidP="008B3846">
            <w:pPr>
              <w:pStyle w:val="NoSpacing"/>
              <w:rPr>
                <w:sz w:val="20"/>
                <w:szCs w:val="20"/>
              </w:rPr>
            </w:pPr>
            <w:r w:rsidRPr="00EF2555">
              <w:rPr>
                <w:sz w:val="20"/>
                <w:szCs w:val="20"/>
              </w:rPr>
              <w:t>Return</w:t>
            </w:r>
            <w:r w:rsidR="00DE7884" w:rsidRPr="00EF2555">
              <w:rPr>
                <w:sz w:val="20"/>
                <w:szCs w:val="20"/>
              </w:rPr>
              <w:t xml:space="preserve"> to</w:t>
            </w:r>
            <w:r w:rsidRPr="00EF2555">
              <w:rPr>
                <w:sz w:val="20"/>
                <w:szCs w:val="20"/>
              </w:rPr>
              <w:t xml:space="preserve"> </w:t>
            </w:r>
            <w:r>
              <w:rPr>
                <w:sz w:val="20"/>
                <w:szCs w:val="20"/>
              </w:rPr>
              <w:t>a</w:t>
            </w:r>
            <w:r w:rsidR="00DE7884" w:rsidRPr="00EF2555">
              <w:rPr>
                <w:sz w:val="20"/>
                <w:szCs w:val="20"/>
              </w:rPr>
              <w:t xml:space="preserve"> traditional “Nordic state approach”</w:t>
            </w:r>
            <w:r>
              <w:rPr>
                <w:sz w:val="20"/>
                <w:szCs w:val="20"/>
              </w:rPr>
              <w:t xml:space="preserve"> with the aim of p</w:t>
            </w:r>
            <w:r w:rsidRPr="00EF2555">
              <w:rPr>
                <w:sz w:val="20"/>
                <w:szCs w:val="20"/>
              </w:rPr>
              <w:t>rotect</w:t>
            </w:r>
            <w:r w:rsidR="00DE7884" w:rsidRPr="00EF2555">
              <w:rPr>
                <w:sz w:val="20"/>
                <w:szCs w:val="20"/>
              </w:rPr>
              <w:t xml:space="preserve"> people’s well-being through a strong welfare system.</w:t>
            </w:r>
          </w:p>
          <w:p w14:paraId="4AF99AD3" w14:textId="77777777" w:rsidR="00703AE9" w:rsidRDefault="00703AE9" w:rsidP="008B3846">
            <w:pPr>
              <w:pStyle w:val="NoSpacing"/>
              <w:rPr>
                <w:sz w:val="20"/>
                <w:szCs w:val="20"/>
              </w:rPr>
            </w:pPr>
          </w:p>
          <w:p w14:paraId="01DD636B" w14:textId="2BD4F50D" w:rsidR="00DE7884" w:rsidRPr="00EF2555" w:rsidRDefault="00703AE9" w:rsidP="008B3846">
            <w:pPr>
              <w:pStyle w:val="NoSpacing"/>
              <w:rPr>
                <w:sz w:val="20"/>
                <w:szCs w:val="20"/>
              </w:rPr>
            </w:pPr>
            <w:r>
              <w:rPr>
                <w:sz w:val="20"/>
                <w:szCs w:val="20"/>
              </w:rPr>
              <w:t>Y</w:t>
            </w:r>
            <w:r w:rsidRPr="00EF2555">
              <w:rPr>
                <w:sz w:val="20"/>
                <w:szCs w:val="20"/>
              </w:rPr>
              <w:t>oung</w:t>
            </w:r>
            <w:r w:rsidR="00DE7884" w:rsidRPr="00EF2555">
              <w:rPr>
                <w:sz w:val="20"/>
                <w:szCs w:val="20"/>
              </w:rPr>
              <w:t xml:space="preserve"> people being active in the labour market</w:t>
            </w:r>
            <w:r>
              <w:rPr>
                <w:sz w:val="20"/>
                <w:szCs w:val="20"/>
              </w:rPr>
              <w:t>, c</w:t>
            </w:r>
            <w:r w:rsidRPr="00EF2555">
              <w:rPr>
                <w:sz w:val="20"/>
                <w:szCs w:val="20"/>
              </w:rPr>
              <w:t>reat</w:t>
            </w:r>
            <w:r>
              <w:rPr>
                <w:sz w:val="20"/>
                <w:szCs w:val="20"/>
              </w:rPr>
              <w:t>ing</w:t>
            </w:r>
            <w:r w:rsidR="00DE7884" w:rsidRPr="00EF2555">
              <w:rPr>
                <w:sz w:val="20"/>
                <w:szCs w:val="20"/>
              </w:rPr>
              <w:t xml:space="preserve"> a more sustainable work-life balance</w:t>
            </w:r>
            <w:r w:rsidRPr="00EF2555">
              <w:rPr>
                <w:sz w:val="20"/>
                <w:szCs w:val="20"/>
              </w:rPr>
              <w:t>.</w:t>
            </w:r>
            <w:r>
              <w:rPr>
                <w:sz w:val="20"/>
                <w:szCs w:val="20"/>
              </w:rPr>
              <w:t>, and i</w:t>
            </w:r>
            <w:r w:rsidRPr="00EF2555">
              <w:rPr>
                <w:sz w:val="20"/>
                <w:szCs w:val="20"/>
              </w:rPr>
              <w:t>mprov</w:t>
            </w:r>
            <w:r>
              <w:rPr>
                <w:sz w:val="20"/>
                <w:szCs w:val="20"/>
              </w:rPr>
              <w:t>ing</w:t>
            </w:r>
            <w:r w:rsidR="00DE7884" w:rsidRPr="00EF2555">
              <w:rPr>
                <w:sz w:val="20"/>
                <w:szCs w:val="20"/>
              </w:rPr>
              <w:t xml:space="preserve"> gender equality and opportunities for women and girls.</w:t>
            </w:r>
          </w:p>
          <w:p w14:paraId="5F9D96D9" w14:textId="77777777" w:rsidR="00703AE9" w:rsidRDefault="00703AE9" w:rsidP="008B3846">
            <w:pPr>
              <w:pStyle w:val="NoSpacing"/>
              <w:rPr>
                <w:sz w:val="20"/>
                <w:szCs w:val="20"/>
              </w:rPr>
            </w:pPr>
          </w:p>
          <w:p w14:paraId="253BBB11" w14:textId="7F498B5A" w:rsidR="00DE7884" w:rsidRPr="00EF2555" w:rsidRDefault="00703AE9" w:rsidP="008B3846">
            <w:pPr>
              <w:pStyle w:val="NoSpacing"/>
              <w:rPr>
                <w:sz w:val="20"/>
                <w:szCs w:val="20"/>
              </w:rPr>
            </w:pPr>
            <w:r w:rsidRPr="00EF2555">
              <w:rPr>
                <w:sz w:val="20"/>
                <w:szCs w:val="20"/>
              </w:rPr>
              <w:t>Align</w:t>
            </w:r>
            <w:r>
              <w:rPr>
                <w:sz w:val="20"/>
                <w:szCs w:val="20"/>
              </w:rPr>
              <w:t>ed</w:t>
            </w:r>
            <w:r w:rsidR="00DE7884" w:rsidRPr="00EF2555">
              <w:rPr>
                <w:sz w:val="20"/>
                <w:szCs w:val="20"/>
              </w:rPr>
              <w:t xml:space="preserve"> with the implementation of the </w:t>
            </w:r>
            <w:r w:rsidRPr="00EF2555">
              <w:rPr>
                <w:sz w:val="20"/>
                <w:szCs w:val="20"/>
              </w:rPr>
              <w:t>S</w:t>
            </w:r>
            <w:r>
              <w:rPr>
                <w:sz w:val="20"/>
                <w:szCs w:val="20"/>
              </w:rPr>
              <w:t xml:space="preserve">ustainable </w:t>
            </w:r>
            <w:r w:rsidRPr="00EF2555">
              <w:rPr>
                <w:sz w:val="20"/>
                <w:szCs w:val="20"/>
              </w:rPr>
              <w:t>D</w:t>
            </w:r>
            <w:r>
              <w:rPr>
                <w:sz w:val="20"/>
                <w:szCs w:val="20"/>
              </w:rPr>
              <w:t xml:space="preserve">evelopment </w:t>
            </w:r>
            <w:r w:rsidRPr="00EF2555">
              <w:rPr>
                <w:sz w:val="20"/>
                <w:szCs w:val="20"/>
              </w:rPr>
              <w:t>G</w:t>
            </w:r>
            <w:r>
              <w:rPr>
                <w:sz w:val="20"/>
                <w:szCs w:val="20"/>
              </w:rPr>
              <w:t>oal</w:t>
            </w:r>
            <w:r w:rsidRPr="00EF2555">
              <w:rPr>
                <w:sz w:val="20"/>
                <w:szCs w:val="20"/>
              </w:rPr>
              <w:t>s</w:t>
            </w:r>
            <w:r w:rsidR="00DE7884" w:rsidRPr="00EF2555">
              <w:rPr>
                <w:sz w:val="20"/>
                <w:szCs w:val="20"/>
              </w:rPr>
              <w:t>.</w:t>
            </w:r>
          </w:p>
        </w:tc>
        <w:tc>
          <w:tcPr>
            <w:tcW w:w="1161" w:type="pct"/>
            <w:shd w:val="clear" w:color="auto" w:fill="F2F2F2" w:themeFill="background1" w:themeFillShade="F2"/>
          </w:tcPr>
          <w:p w14:paraId="0FD8C47F" w14:textId="33792073" w:rsidR="00DE7884" w:rsidRPr="00EF2555" w:rsidRDefault="00DE7884" w:rsidP="008B3846">
            <w:pPr>
              <w:pStyle w:val="NoSpacing"/>
              <w:rPr>
                <w:sz w:val="20"/>
                <w:szCs w:val="20"/>
              </w:rPr>
            </w:pPr>
            <w:r w:rsidRPr="00EF2555">
              <w:rPr>
                <w:sz w:val="20"/>
                <w:szCs w:val="20"/>
              </w:rPr>
              <w:t>Plays a crucial function as both an advocate and an initiator for change</w:t>
            </w:r>
            <w:r w:rsidR="00703AE9">
              <w:rPr>
                <w:sz w:val="20"/>
                <w:szCs w:val="20"/>
              </w:rPr>
              <w:t xml:space="preserve"> and c</w:t>
            </w:r>
            <w:r w:rsidR="00703AE9" w:rsidRPr="00EF2555">
              <w:rPr>
                <w:sz w:val="20"/>
                <w:szCs w:val="20"/>
              </w:rPr>
              <w:t>ontributes</w:t>
            </w:r>
            <w:r w:rsidRPr="00EF2555">
              <w:rPr>
                <w:sz w:val="20"/>
                <w:szCs w:val="20"/>
              </w:rPr>
              <w:t xml:space="preserve"> to designing policies that maximise their influence on well-being.</w:t>
            </w:r>
          </w:p>
          <w:p w14:paraId="2DAB9AF7" w14:textId="77777777" w:rsidR="00703AE9" w:rsidRDefault="00703AE9" w:rsidP="008B3846">
            <w:pPr>
              <w:pStyle w:val="NoSpacing"/>
              <w:rPr>
                <w:sz w:val="20"/>
                <w:szCs w:val="20"/>
              </w:rPr>
            </w:pPr>
          </w:p>
          <w:p w14:paraId="09F70199" w14:textId="5190737E" w:rsidR="00DE7884" w:rsidRPr="00EF2555" w:rsidRDefault="00DE7884" w:rsidP="008B3846">
            <w:pPr>
              <w:pStyle w:val="NoSpacing"/>
              <w:rPr>
                <w:sz w:val="20"/>
                <w:szCs w:val="20"/>
              </w:rPr>
            </w:pPr>
            <w:r w:rsidRPr="00EF2555">
              <w:rPr>
                <w:sz w:val="20"/>
                <w:szCs w:val="20"/>
              </w:rPr>
              <w:t>Enhances the current welfare state system by expanding upon and beyond the idea of "Health in All Policies", which has served as a basis for transitioning towards economies focused on well-being.</w:t>
            </w:r>
          </w:p>
        </w:tc>
        <w:tc>
          <w:tcPr>
            <w:tcW w:w="1160" w:type="pct"/>
            <w:shd w:val="clear" w:color="auto" w:fill="F2F2F2" w:themeFill="background1" w:themeFillShade="F2"/>
          </w:tcPr>
          <w:p w14:paraId="30C3DDE7" w14:textId="4E3CE03E" w:rsidR="00DE7884" w:rsidRPr="00EF2555" w:rsidRDefault="00DE7884" w:rsidP="008B3846">
            <w:pPr>
              <w:pStyle w:val="NoSpacing"/>
              <w:rPr>
                <w:sz w:val="20"/>
                <w:szCs w:val="20"/>
              </w:rPr>
            </w:pPr>
            <w:r w:rsidRPr="00EF2555">
              <w:rPr>
                <w:sz w:val="20"/>
                <w:szCs w:val="20"/>
              </w:rPr>
              <w:t>The well-being economy indicators system is supported by regular public health and well-being surveys.</w:t>
            </w:r>
          </w:p>
          <w:p w14:paraId="63E3D257" w14:textId="77777777" w:rsidR="00703AE9" w:rsidRDefault="00703AE9" w:rsidP="008B3846">
            <w:pPr>
              <w:pStyle w:val="NoSpacing"/>
              <w:rPr>
                <w:sz w:val="20"/>
                <w:szCs w:val="20"/>
              </w:rPr>
            </w:pPr>
          </w:p>
          <w:p w14:paraId="4E40016F" w14:textId="62ECE4AA" w:rsidR="00DE7884" w:rsidRPr="00EF2555" w:rsidRDefault="00703AE9" w:rsidP="008B3846">
            <w:pPr>
              <w:pStyle w:val="NoSpacing"/>
              <w:rPr>
                <w:sz w:val="20"/>
                <w:szCs w:val="20"/>
              </w:rPr>
            </w:pPr>
            <w:r>
              <w:rPr>
                <w:sz w:val="20"/>
                <w:szCs w:val="20"/>
              </w:rPr>
              <w:t>S</w:t>
            </w:r>
            <w:r w:rsidRPr="00EF2555">
              <w:rPr>
                <w:sz w:val="20"/>
                <w:szCs w:val="20"/>
              </w:rPr>
              <w:t>ix</w:t>
            </w:r>
            <w:r w:rsidR="00DE7884" w:rsidRPr="00EF2555">
              <w:rPr>
                <w:sz w:val="20"/>
                <w:szCs w:val="20"/>
              </w:rPr>
              <w:t xml:space="preserve"> wellbeing priorities: </w:t>
            </w:r>
          </w:p>
          <w:p w14:paraId="0883CEE7" w14:textId="77777777" w:rsidR="00DE7884" w:rsidRPr="00EF2555" w:rsidRDefault="00DE7884" w:rsidP="0049380C">
            <w:pPr>
              <w:pStyle w:val="NoSpacing"/>
              <w:numPr>
                <w:ilvl w:val="0"/>
                <w:numId w:val="13"/>
              </w:numPr>
              <w:rPr>
                <w:sz w:val="20"/>
                <w:szCs w:val="20"/>
              </w:rPr>
            </w:pPr>
            <w:r w:rsidRPr="00EF2555">
              <w:rPr>
                <w:sz w:val="20"/>
                <w:szCs w:val="20"/>
              </w:rPr>
              <w:t>Mental health</w:t>
            </w:r>
          </w:p>
          <w:p w14:paraId="43A523A6" w14:textId="77777777" w:rsidR="00DE7884" w:rsidRPr="00EF2555" w:rsidRDefault="00DE7884" w:rsidP="0049380C">
            <w:pPr>
              <w:pStyle w:val="NoSpacing"/>
              <w:numPr>
                <w:ilvl w:val="0"/>
                <w:numId w:val="13"/>
              </w:numPr>
              <w:rPr>
                <w:sz w:val="20"/>
                <w:szCs w:val="20"/>
              </w:rPr>
            </w:pPr>
            <w:r w:rsidRPr="00EF2555">
              <w:rPr>
                <w:sz w:val="20"/>
                <w:szCs w:val="20"/>
              </w:rPr>
              <w:t>Secure housing</w:t>
            </w:r>
          </w:p>
          <w:p w14:paraId="315565D5" w14:textId="77777777" w:rsidR="00DE7884" w:rsidRPr="00EF2555" w:rsidRDefault="00DE7884" w:rsidP="0049380C">
            <w:pPr>
              <w:pStyle w:val="NoSpacing"/>
              <w:numPr>
                <w:ilvl w:val="0"/>
                <w:numId w:val="13"/>
              </w:numPr>
              <w:rPr>
                <w:sz w:val="20"/>
                <w:szCs w:val="20"/>
              </w:rPr>
            </w:pPr>
            <w:r w:rsidRPr="00EF2555">
              <w:rPr>
                <w:sz w:val="20"/>
                <w:szCs w:val="20"/>
              </w:rPr>
              <w:t>Improved work-life balance</w:t>
            </w:r>
          </w:p>
          <w:p w14:paraId="34305DA4" w14:textId="77777777" w:rsidR="00DE7884" w:rsidRPr="00EF2555" w:rsidRDefault="00DE7884" w:rsidP="0049380C">
            <w:pPr>
              <w:pStyle w:val="NoSpacing"/>
              <w:numPr>
                <w:ilvl w:val="0"/>
                <w:numId w:val="13"/>
              </w:numPr>
              <w:rPr>
                <w:sz w:val="20"/>
                <w:szCs w:val="20"/>
              </w:rPr>
            </w:pPr>
            <w:r w:rsidRPr="00EF2555">
              <w:rPr>
                <w:sz w:val="20"/>
                <w:szCs w:val="20"/>
              </w:rPr>
              <w:t>Zero carbon emissions</w:t>
            </w:r>
          </w:p>
          <w:p w14:paraId="3E853E6F" w14:textId="77777777" w:rsidR="00DE7884" w:rsidRPr="00EF2555" w:rsidRDefault="00DE7884" w:rsidP="0049380C">
            <w:pPr>
              <w:pStyle w:val="NoSpacing"/>
              <w:numPr>
                <w:ilvl w:val="0"/>
                <w:numId w:val="13"/>
              </w:numPr>
              <w:rPr>
                <w:sz w:val="20"/>
                <w:szCs w:val="20"/>
              </w:rPr>
            </w:pPr>
            <w:r w:rsidRPr="00EF2555">
              <w:rPr>
                <w:sz w:val="20"/>
                <w:szCs w:val="20"/>
              </w:rPr>
              <w:t>Innovation growth</w:t>
            </w:r>
          </w:p>
          <w:p w14:paraId="18B90AB5" w14:textId="145B9EFD" w:rsidR="00DE7884" w:rsidRPr="00EF2555" w:rsidRDefault="00DE7884" w:rsidP="0049380C">
            <w:pPr>
              <w:pStyle w:val="NoSpacing"/>
              <w:numPr>
                <w:ilvl w:val="0"/>
                <w:numId w:val="13"/>
              </w:numPr>
              <w:rPr>
                <w:sz w:val="20"/>
                <w:szCs w:val="20"/>
              </w:rPr>
            </w:pPr>
            <w:r w:rsidRPr="00EF2555">
              <w:rPr>
                <w:sz w:val="20"/>
                <w:szCs w:val="20"/>
              </w:rPr>
              <w:t>Enhanced public communication</w:t>
            </w:r>
          </w:p>
          <w:p w14:paraId="0DDC8831" w14:textId="350D3C47" w:rsidR="00DE7884" w:rsidRPr="00EF2555" w:rsidRDefault="00DE7884" w:rsidP="008B3846">
            <w:pPr>
              <w:pStyle w:val="NoSpacing"/>
              <w:rPr>
                <w:sz w:val="20"/>
                <w:szCs w:val="20"/>
              </w:rPr>
            </w:pPr>
          </w:p>
        </w:tc>
      </w:tr>
      <w:tr w:rsidR="00DE7884" w:rsidRPr="00EF2555" w14:paraId="1C1E23E4" w14:textId="77777777" w:rsidTr="008B3846">
        <w:trPr>
          <w:cantSplit/>
          <w:trHeight w:val="2857"/>
        </w:trPr>
        <w:tc>
          <w:tcPr>
            <w:tcW w:w="456" w:type="pct"/>
          </w:tcPr>
          <w:p w14:paraId="1414CD8A" w14:textId="77777777" w:rsidR="00DE7884" w:rsidRPr="0067101B" w:rsidRDefault="00DE7884" w:rsidP="008B3846">
            <w:pPr>
              <w:pStyle w:val="NoSpacing"/>
              <w:rPr>
                <w:b/>
                <w:sz w:val="20"/>
                <w:szCs w:val="20"/>
              </w:rPr>
            </w:pPr>
            <w:r w:rsidRPr="0067101B">
              <w:rPr>
                <w:b/>
                <w:sz w:val="20"/>
                <w:szCs w:val="20"/>
              </w:rPr>
              <w:lastRenderedPageBreak/>
              <w:t>Scotland</w:t>
            </w:r>
          </w:p>
        </w:tc>
        <w:tc>
          <w:tcPr>
            <w:tcW w:w="1062" w:type="pct"/>
          </w:tcPr>
          <w:p w14:paraId="7DE7607F" w14:textId="7B33B00B" w:rsidR="004D47FF" w:rsidRPr="004D47FF" w:rsidRDefault="004D47FF" w:rsidP="008B3846">
            <w:pPr>
              <w:pStyle w:val="NoSpacing"/>
              <w:rPr>
                <w:sz w:val="20"/>
                <w:szCs w:val="20"/>
              </w:rPr>
            </w:pPr>
            <w:r w:rsidRPr="004D47FF">
              <w:rPr>
                <w:sz w:val="20"/>
                <w:szCs w:val="20"/>
              </w:rPr>
              <w:t>Well-being defined as</w:t>
            </w:r>
          </w:p>
          <w:p w14:paraId="7BA9B3EB" w14:textId="2C831A63" w:rsidR="004D47FF" w:rsidRPr="004D47FF" w:rsidRDefault="004D47FF" w:rsidP="008B3846">
            <w:pPr>
              <w:pStyle w:val="NoSpacing"/>
              <w:rPr>
                <w:sz w:val="20"/>
                <w:szCs w:val="20"/>
              </w:rPr>
            </w:pPr>
            <w:r w:rsidRPr="004D47FF">
              <w:rPr>
                <w:sz w:val="20"/>
                <w:szCs w:val="20"/>
              </w:rPr>
              <w:t>“living well” and about “how we’re doing as</w:t>
            </w:r>
            <w:r>
              <w:rPr>
                <w:sz w:val="20"/>
                <w:szCs w:val="20"/>
              </w:rPr>
              <w:t xml:space="preserve"> </w:t>
            </w:r>
            <w:r w:rsidRPr="004D47FF">
              <w:rPr>
                <w:sz w:val="20"/>
                <w:szCs w:val="20"/>
              </w:rPr>
              <w:t>individuals, communities and as a nation</w:t>
            </w:r>
            <w:r w:rsidR="005855AE">
              <w:rPr>
                <w:sz w:val="20"/>
                <w:szCs w:val="20"/>
              </w:rPr>
              <w:t>”.</w:t>
            </w:r>
          </w:p>
        </w:tc>
        <w:tc>
          <w:tcPr>
            <w:tcW w:w="1161" w:type="pct"/>
          </w:tcPr>
          <w:p w14:paraId="4EB5EFF4" w14:textId="58637C70" w:rsidR="00DE7884" w:rsidRPr="00EF2555" w:rsidRDefault="00DE7884" w:rsidP="008B3846">
            <w:pPr>
              <w:pStyle w:val="NoSpacing"/>
              <w:rPr>
                <w:sz w:val="20"/>
                <w:szCs w:val="20"/>
              </w:rPr>
            </w:pPr>
            <w:r w:rsidRPr="00EF2555">
              <w:rPr>
                <w:sz w:val="20"/>
                <w:szCs w:val="20"/>
              </w:rPr>
              <w:t>Shifted its goal from achieving inclusive and sustainable economic growth to creating a well-being economy for all that focuses on:</w:t>
            </w:r>
          </w:p>
          <w:p w14:paraId="34C35229" w14:textId="3E1C969F" w:rsidR="00DE7884" w:rsidRPr="00EF2555" w:rsidRDefault="00703AE9" w:rsidP="0049380C">
            <w:pPr>
              <w:pStyle w:val="NoSpacing"/>
              <w:numPr>
                <w:ilvl w:val="0"/>
                <w:numId w:val="14"/>
              </w:numPr>
              <w:rPr>
                <w:sz w:val="20"/>
                <w:szCs w:val="20"/>
              </w:rPr>
            </w:pPr>
            <w:r>
              <w:rPr>
                <w:sz w:val="20"/>
                <w:szCs w:val="20"/>
              </w:rPr>
              <w:t>S</w:t>
            </w:r>
            <w:r w:rsidRPr="00EF2555">
              <w:rPr>
                <w:sz w:val="20"/>
                <w:szCs w:val="20"/>
              </w:rPr>
              <w:t>ocial justice.</w:t>
            </w:r>
          </w:p>
          <w:p w14:paraId="4433C5A9" w14:textId="33A8AD50" w:rsidR="00DE7884" w:rsidRPr="00EF2555" w:rsidRDefault="00703AE9" w:rsidP="0049380C">
            <w:pPr>
              <w:pStyle w:val="NoSpacing"/>
              <w:numPr>
                <w:ilvl w:val="0"/>
                <w:numId w:val="14"/>
              </w:numPr>
              <w:rPr>
                <w:sz w:val="20"/>
                <w:szCs w:val="20"/>
              </w:rPr>
            </w:pPr>
            <w:r w:rsidRPr="00EF2555">
              <w:rPr>
                <w:sz w:val="20"/>
                <w:szCs w:val="20"/>
              </w:rPr>
              <w:t>Address</w:t>
            </w:r>
            <w:r>
              <w:rPr>
                <w:sz w:val="20"/>
                <w:szCs w:val="20"/>
              </w:rPr>
              <w:t>ing</w:t>
            </w:r>
            <w:r w:rsidR="00DE7884" w:rsidRPr="00EF2555">
              <w:rPr>
                <w:sz w:val="20"/>
                <w:szCs w:val="20"/>
              </w:rPr>
              <w:t xml:space="preserve"> high levels of child poverty and inequalities.</w:t>
            </w:r>
          </w:p>
          <w:p w14:paraId="64ACFEF7" w14:textId="5265D926" w:rsidR="00DE7884" w:rsidRPr="00EF2555" w:rsidRDefault="00703AE9" w:rsidP="0049380C">
            <w:pPr>
              <w:pStyle w:val="NoSpacing"/>
              <w:numPr>
                <w:ilvl w:val="0"/>
                <w:numId w:val="14"/>
              </w:numPr>
              <w:rPr>
                <w:sz w:val="20"/>
                <w:szCs w:val="20"/>
              </w:rPr>
            </w:pPr>
            <w:r w:rsidRPr="00EF2555">
              <w:rPr>
                <w:sz w:val="20"/>
                <w:szCs w:val="20"/>
              </w:rPr>
              <w:t>Protect</w:t>
            </w:r>
            <w:r>
              <w:rPr>
                <w:sz w:val="20"/>
                <w:szCs w:val="20"/>
              </w:rPr>
              <w:t>ion of</w:t>
            </w:r>
            <w:r w:rsidR="00DE7884" w:rsidRPr="00EF2555">
              <w:rPr>
                <w:sz w:val="20"/>
                <w:szCs w:val="20"/>
              </w:rPr>
              <w:t xml:space="preserve"> natural resources as future assets</w:t>
            </w:r>
          </w:p>
        </w:tc>
        <w:tc>
          <w:tcPr>
            <w:tcW w:w="1161" w:type="pct"/>
          </w:tcPr>
          <w:p w14:paraId="5BBE2EF5" w14:textId="77777777" w:rsidR="00DE7884" w:rsidRPr="00EF2555" w:rsidRDefault="00DE7884" w:rsidP="008B3846">
            <w:pPr>
              <w:pStyle w:val="NoSpacing"/>
              <w:rPr>
                <w:sz w:val="20"/>
                <w:szCs w:val="20"/>
              </w:rPr>
            </w:pPr>
            <w:r w:rsidRPr="00EF2555">
              <w:rPr>
                <w:sz w:val="20"/>
                <w:szCs w:val="20"/>
              </w:rPr>
              <w:t>Contributes to designing policies that maximise their influence on well-being.</w:t>
            </w:r>
          </w:p>
        </w:tc>
        <w:tc>
          <w:tcPr>
            <w:tcW w:w="1160" w:type="pct"/>
          </w:tcPr>
          <w:p w14:paraId="2A1C560E" w14:textId="77777777" w:rsidR="00DE7884" w:rsidRPr="00EF2555" w:rsidRDefault="00DE7884" w:rsidP="008B3846">
            <w:pPr>
              <w:pStyle w:val="NoSpacing"/>
              <w:rPr>
                <w:sz w:val="20"/>
                <w:szCs w:val="20"/>
              </w:rPr>
            </w:pPr>
            <w:r w:rsidRPr="00EF2555">
              <w:rPr>
                <w:sz w:val="20"/>
                <w:szCs w:val="20"/>
              </w:rPr>
              <w:t>The National Performance Framework assesses progress against the "National Outcomes" by monitoring indicators that measure national well-being across economic, social, and environmental areas.</w:t>
            </w:r>
          </w:p>
        </w:tc>
      </w:tr>
      <w:tr w:rsidR="00DE7884" w:rsidRPr="00EF2555" w14:paraId="3CCFA1C4" w14:textId="77777777" w:rsidTr="008B3846">
        <w:trPr>
          <w:cantSplit/>
          <w:trHeight w:val="3875"/>
        </w:trPr>
        <w:tc>
          <w:tcPr>
            <w:tcW w:w="456" w:type="pct"/>
            <w:shd w:val="clear" w:color="auto" w:fill="F2F2F2" w:themeFill="background1" w:themeFillShade="F2"/>
          </w:tcPr>
          <w:p w14:paraId="4B539C46" w14:textId="77777777" w:rsidR="00DE7884" w:rsidRPr="0067101B" w:rsidRDefault="00DE7884" w:rsidP="008B3846">
            <w:pPr>
              <w:pStyle w:val="NoSpacing"/>
              <w:rPr>
                <w:b/>
                <w:sz w:val="20"/>
                <w:szCs w:val="20"/>
              </w:rPr>
            </w:pPr>
            <w:r w:rsidRPr="0067101B">
              <w:rPr>
                <w:b/>
                <w:sz w:val="20"/>
                <w:szCs w:val="20"/>
              </w:rPr>
              <w:t>Wales</w:t>
            </w:r>
          </w:p>
        </w:tc>
        <w:tc>
          <w:tcPr>
            <w:tcW w:w="1062" w:type="pct"/>
            <w:shd w:val="clear" w:color="auto" w:fill="F2F2F2" w:themeFill="background1" w:themeFillShade="F2"/>
          </w:tcPr>
          <w:p w14:paraId="513D8243" w14:textId="0D85C381" w:rsidR="00703AE9" w:rsidRDefault="00E13BA4" w:rsidP="008B3846">
            <w:pPr>
              <w:pStyle w:val="NoSpacing"/>
              <w:rPr>
                <w:sz w:val="20"/>
                <w:szCs w:val="20"/>
              </w:rPr>
            </w:pPr>
            <w:r>
              <w:rPr>
                <w:sz w:val="20"/>
                <w:szCs w:val="20"/>
              </w:rPr>
              <w:t>C</w:t>
            </w:r>
            <w:r w:rsidRPr="00E13BA4">
              <w:rPr>
                <w:sz w:val="20"/>
                <w:szCs w:val="20"/>
              </w:rPr>
              <w:t>onceptualized in the Well-being of Future</w:t>
            </w:r>
            <w:r>
              <w:rPr>
                <w:sz w:val="20"/>
                <w:szCs w:val="20"/>
              </w:rPr>
              <w:t xml:space="preserve"> </w:t>
            </w:r>
            <w:r w:rsidRPr="00E13BA4">
              <w:rPr>
                <w:sz w:val="20"/>
                <w:szCs w:val="20"/>
              </w:rPr>
              <w:t>Generations (Wales) Act through its seven</w:t>
            </w:r>
            <w:r w:rsidR="007053BE">
              <w:rPr>
                <w:sz w:val="20"/>
                <w:szCs w:val="20"/>
              </w:rPr>
              <w:t xml:space="preserve"> </w:t>
            </w:r>
            <w:r w:rsidRPr="00E13BA4">
              <w:rPr>
                <w:sz w:val="20"/>
                <w:szCs w:val="20"/>
              </w:rPr>
              <w:t>“Well-being Goals”</w:t>
            </w:r>
            <w:r w:rsidR="007053BE">
              <w:rPr>
                <w:sz w:val="20"/>
                <w:szCs w:val="20"/>
              </w:rPr>
              <w:t>.</w:t>
            </w:r>
          </w:p>
        </w:tc>
        <w:tc>
          <w:tcPr>
            <w:tcW w:w="1161" w:type="pct"/>
            <w:shd w:val="clear" w:color="auto" w:fill="F2F2F2" w:themeFill="background1" w:themeFillShade="F2"/>
          </w:tcPr>
          <w:p w14:paraId="49D1D2B2" w14:textId="6B986A93" w:rsidR="00DE7884" w:rsidRPr="00EF2555" w:rsidRDefault="00703AE9" w:rsidP="008B3846">
            <w:pPr>
              <w:pStyle w:val="NoSpacing"/>
              <w:rPr>
                <w:sz w:val="20"/>
                <w:szCs w:val="20"/>
              </w:rPr>
            </w:pPr>
            <w:r>
              <w:rPr>
                <w:sz w:val="20"/>
                <w:szCs w:val="20"/>
              </w:rPr>
              <w:t>Based on a l</w:t>
            </w:r>
            <w:r w:rsidRPr="00EF2555">
              <w:rPr>
                <w:sz w:val="20"/>
                <w:szCs w:val="20"/>
              </w:rPr>
              <w:t>ongstanding</w:t>
            </w:r>
            <w:r w:rsidR="00DE7884" w:rsidRPr="00EF2555">
              <w:rPr>
                <w:sz w:val="20"/>
                <w:szCs w:val="20"/>
              </w:rPr>
              <w:t xml:space="preserve"> commitment to </w:t>
            </w:r>
            <w:r w:rsidRPr="00EF2555">
              <w:rPr>
                <w:sz w:val="20"/>
                <w:szCs w:val="20"/>
              </w:rPr>
              <w:t>s</w:t>
            </w:r>
            <w:r>
              <w:rPr>
                <w:sz w:val="20"/>
                <w:szCs w:val="20"/>
              </w:rPr>
              <w:t xml:space="preserve">ustainable </w:t>
            </w:r>
            <w:r w:rsidRPr="00EF2555">
              <w:rPr>
                <w:sz w:val="20"/>
                <w:szCs w:val="20"/>
              </w:rPr>
              <w:t>d</w:t>
            </w:r>
            <w:r>
              <w:rPr>
                <w:sz w:val="20"/>
                <w:szCs w:val="20"/>
              </w:rPr>
              <w:t xml:space="preserve">evelopment, </w:t>
            </w:r>
            <w:r w:rsidR="00DE7884" w:rsidRPr="00EF2555">
              <w:rPr>
                <w:sz w:val="20"/>
                <w:szCs w:val="20"/>
              </w:rPr>
              <w:t>future generations and early years.</w:t>
            </w:r>
          </w:p>
          <w:p w14:paraId="1AB5C64B" w14:textId="77777777" w:rsidR="00703AE9" w:rsidRPr="00EF2555" w:rsidRDefault="00703AE9" w:rsidP="008B3846">
            <w:pPr>
              <w:pStyle w:val="NoSpacing"/>
              <w:rPr>
                <w:sz w:val="20"/>
                <w:szCs w:val="20"/>
              </w:rPr>
            </w:pPr>
          </w:p>
          <w:p w14:paraId="0772F5AE" w14:textId="56942CE9" w:rsidR="00DE7884" w:rsidRPr="00EF2555" w:rsidRDefault="00703AE9" w:rsidP="008B3846">
            <w:pPr>
              <w:pStyle w:val="NoSpacing"/>
              <w:rPr>
                <w:sz w:val="20"/>
                <w:szCs w:val="20"/>
              </w:rPr>
            </w:pPr>
            <w:r>
              <w:rPr>
                <w:sz w:val="20"/>
                <w:szCs w:val="20"/>
              </w:rPr>
              <w:t>T</w:t>
            </w:r>
            <w:r w:rsidRPr="00EF2555">
              <w:rPr>
                <w:sz w:val="20"/>
                <w:szCs w:val="20"/>
              </w:rPr>
              <w:t xml:space="preserve">he </w:t>
            </w:r>
            <w:r w:rsidR="00DE7884" w:rsidRPr="00EF2555">
              <w:rPr>
                <w:sz w:val="20"/>
                <w:szCs w:val="20"/>
              </w:rPr>
              <w:t xml:space="preserve">“Foundational Economy” </w:t>
            </w:r>
            <w:r>
              <w:rPr>
                <w:sz w:val="20"/>
                <w:szCs w:val="20"/>
              </w:rPr>
              <w:t>s</w:t>
            </w:r>
            <w:r w:rsidRPr="00EF2555">
              <w:rPr>
                <w:sz w:val="20"/>
                <w:szCs w:val="20"/>
              </w:rPr>
              <w:t>upport</w:t>
            </w:r>
            <w:r>
              <w:rPr>
                <w:sz w:val="20"/>
                <w:szCs w:val="20"/>
              </w:rPr>
              <w:t>s</w:t>
            </w:r>
            <w:r w:rsidR="00DE7884" w:rsidRPr="00EF2555">
              <w:rPr>
                <w:sz w:val="20"/>
                <w:szCs w:val="20"/>
              </w:rPr>
              <w:t xml:space="preserve"> local communities</w:t>
            </w:r>
            <w:r>
              <w:rPr>
                <w:sz w:val="20"/>
                <w:szCs w:val="20"/>
              </w:rPr>
              <w:t xml:space="preserve"> and is a response to the complex, multifaceted</w:t>
            </w:r>
            <w:r w:rsidR="00DE7884" w:rsidRPr="00EF2555">
              <w:rPr>
                <w:sz w:val="20"/>
                <w:szCs w:val="20"/>
              </w:rPr>
              <w:t xml:space="preserve"> challenges</w:t>
            </w:r>
            <w:r>
              <w:rPr>
                <w:sz w:val="20"/>
                <w:szCs w:val="20"/>
              </w:rPr>
              <w:t xml:space="preserve"> of c</w:t>
            </w:r>
            <w:r w:rsidRPr="00EF2555">
              <w:rPr>
                <w:sz w:val="20"/>
                <w:szCs w:val="20"/>
              </w:rPr>
              <w:t>reat</w:t>
            </w:r>
            <w:r>
              <w:rPr>
                <w:sz w:val="20"/>
                <w:szCs w:val="20"/>
              </w:rPr>
              <w:t>ing an</w:t>
            </w:r>
            <w:r w:rsidR="00DE7884" w:rsidRPr="00EF2555">
              <w:rPr>
                <w:sz w:val="20"/>
                <w:szCs w:val="20"/>
              </w:rPr>
              <w:t xml:space="preserve"> "equal, prosperous, and resilient" Wales.</w:t>
            </w:r>
          </w:p>
        </w:tc>
        <w:tc>
          <w:tcPr>
            <w:tcW w:w="1161" w:type="pct"/>
            <w:shd w:val="clear" w:color="auto" w:fill="F2F2F2" w:themeFill="background1" w:themeFillShade="F2"/>
          </w:tcPr>
          <w:p w14:paraId="6047D3F9" w14:textId="77777777" w:rsidR="00DE7884" w:rsidRPr="00EF2555" w:rsidRDefault="00DE7884" w:rsidP="008B3846">
            <w:pPr>
              <w:pStyle w:val="NoSpacing"/>
              <w:rPr>
                <w:sz w:val="20"/>
                <w:szCs w:val="20"/>
              </w:rPr>
            </w:pPr>
            <w:r w:rsidRPr="00EF2555">
              <w:rPr>
                <w:sz w:val="20"/>
                <w:szCs w:val="20"/>
              </w:rPr>
              <w:t>Plays a crucial function as both an advocate and an initiator for change.</w:t>
            </w:r>
          </w:p>
          <w:p w14:paraId="3E9BE766" w14:textId="77777777" w:rsidR="00DE7884" w:rsidRPr="00EF2555" w:rsidRDefault="00DE7884" w:rsidP="008B3846">
            <w:pPr>
              <w:pStyle w:val="NoSpacing"/>
              <w:rPr>
                <w:sz w:val="20"/>
                <w:szCs w:val="20"/>
              </w:rPr>
            </w:pPr>
            <w:r w:rsidRPr="00EF2555">
              <w:rPr>
                <w:sz w:val="20"/>
                <w:szCs w:val="20"/>
              </w:rPr>
              <w:t>Serves as a convener, facilitating cross-governmental dialogue.</w:t>
            </w:r>
          </w:p>
          <w:p w14:paraId="46611B57" w14:textId="77777777" w:rsidR="00703AE9" w:rsidRDefault="00703AE9" w:rsidP="008B3846">
            <w:pPr>
              <w:pStyle w:val="NoSpacing"/>
              <w:rPr>
                <w:sz w:val="20"/>
                <w:szCs w:val="20"/>
              </w:rPr>
            </w:pPr>
          </w:p>
          <w:p w14:paraId="7E091C20" w14:textId="0D8BC715" w:rsidR="00DE7884" w:rsidRPr="00EF2555" w:rsidRDefault="00DE7884" w:rsidP="008B3846">
            <w:pPr>
              <w:pStyle w:val="NoSpacing"/>
              <w:rPr>
                <w:sz w:val="20"/>
                <w:szCs w:val="20"/>
              </w:rPr>
            </w:pPr>
            <w:r w:rsidRPr="00EF2555">
              <w:rPr>
                <w:sz w:val="20"/>
                <w:szCs w:val="20"/>
              </w:rPr>
              <w:t>Contributes to designing policies that maximise their influence on well-being.</w:t>
            </w:r>
          </w:p>
        </w:tc>
        <w:tc>
          <w:tcPr>
            <w:tcW w:w="1160" w:type="pct"/>
            <w:shd w:val="clear" w:color="auto" w:fill="F2F2F2" w:themeFill="background1" w:themeFillShade="F2"/>
          </w:tcPr>
          <w:p w14:paraId="3E89034B" w14:textId="3FF74FF3" w:rsidR="00DE7884" w:rsidRPr="00EF2555" w:rsidRDefault="00DE7884" w:rsidP="008B3846">
            <w:pPr>
              <w:pStyle w:val="NoSpacing"/>
              <w:rPr>
                <w:sz w:val="20"/>
                <w:szCs w:val="20"/>
              </w:rPr>
            </w:pPr>
            <w:r w:rsidRPr="00EF2555">
              <w:rPr>
                <w:sz w:val="20"/>
                <w:szCs w:val="20"/>
              </w:rPr>
              <w:t>Several monitoring and accountability measures support the Well-being of Future Generations (Wales) Act.</w:t>
            </w:r>
          </w:p>
          <w:p w14:paraId="60B86FDD" w14:textId="77777777" w:rsidR="00703AE9" w:rsidRDefault="00703AE9" w:rsidP="008B3846">
            <w:pPr>
              <w:pStyle w:val="NoSpacing"/>
              <w:rPr>
                <w:sz w:val="20"/>
                <w:szCs w:val="20"/>
              </w:rPr>
            </w:pPr>
          </w:p>
          <w:p w14:paraId="29501DE7" w14:textId="1662A09D" w:rsidR="00DE7884" w:rsidRPr="00EF2555" w:rsidRDefault="00DE7884" w:rsidP="008B3846">
            <w:pPr>
              <w:pStyle w:val="NoSpacing"/>
              <w:rPr>
                <w:sz w:val="20"/>
                <w:szCs w:val="20"/>
              </w:rPr>
            </w:pPr>
            <w:r w:rsidRPr="00EF2555">
              <w:rPr>
                <w:sz w:val="20"/>
                <w:szCs w:val="20"/>
              </w:rPr>
              <w:t>"National Well-being indicators framework" and corresponding "national milestones" shape and progress the vision for a well-being-based future.</w:t>
            </w:r>
          </w:p>
          <w:p w14:paraId="3C873792" w14:textId="77777777" w:rsidR="00703AE9" w:rsidRDefault="00703AE9" w:rsidP="008B3846">
            <w:pPr>
              <w:pStyle w:val="NoSpacing"/>
              <w:rPr>
                <w:sz w:val="20"/>
                <w:szCs w:val="20"/>
              </w:rPr>
            </w:pPr>
          </w:p>
          <w:p w14:paraId="0197EF9A" w14:textId="1EA86068" w:rsidR="00DE7884" w:rsidRPr="00EF2555" w:rsidRDefault="00DE7884" w:rsidP="008B3846">
            <w:pPr>
              <w:pStyle w:val="NoSpacing"/>
              <w:rPr>
                <w:sz w:val="20"/>
                <w:szCs w:val="20"/>
              </w:rPr>
            </w:pPr>
            <w:r w:rsidRPr="00EF2555">
              <w:rPr>
                <w:sz w:val="20"/>
                <w:szCs w:val="20"/>
              </w:rPr>
              <w:t>The Future Generations Commissioner can hold public bodies accountable by reviewing budgets and challenging decisions.</w:t>
            </w:r>
          </w:p>
        </w:tc>
      </w:tr>
    </w:tbl>
    <w:p w14:paraId="77AE9E7F" w14:textId="77777777" w:rsidR="000725AE" w:rsidRDefault="000725AE" w:rsidP="00B9336C">
      <w:pPr>
        <w:rPr>
          <w:rFonts w:cs="Arial"/>
          <w:color w:val="333333"/>
          <w:sz w:val="18"/>
          <w:szCs w:val="18"/>
          <w:shd w:val="clear" w:color="auto" w:fill="FFFFFF"/>
        </w:rPr>
      </w:pPr>
    </w:p>
    <w:p w14:paraId="615C74BC" w14:textId="6067582D" w:rsidR="00DE7884" w:rsidRPr="00784D6A" w:rsidRDefault="00B9336C" w:rsidP="00B9336C">
      <w:pPr>
        <w:rPr>
          <w:rFonts w:cs="Arial"/>
          <w:color w:val="333333"/>
          <w:sz w:val="18"/>
          <w:szCs w:val="18"/>
          <w:shd w:val="clear" w:color="auto" w:fill="FFFFFF"/>
        </w:rPr>
      </w:pPr>
      <w:r w:rsidRPr="00784D6A">
        <w:rPr>
          <w:rFonts w:cs="Arial"/>
          <w:color w:val="333333"/>
          <w:sz w:val="18"/>
          <w:szCs w:val="18"/>
          <w:shd w:val="clear" w:color="auto" w:fill="FFFFFF"/>
        </w:rPr>
        <w:t>Source: World Health Organization. Regional Office for Europe. (</w:t>
      </w:r>
      <w:r w:rsidRPr="00784D6A">
        <w:rPr>
          <w:rFonts w:cs="Arial"/>
          <w:color w:val="333333"/>
          <w:sz w:val="18"/>
          <w:szCs w:val="18"/>
          <w:shd w:val="clear" w:color="auto" w:fill="FFFFFF"/>
          <w:cs/>
        </w:rPr>
        <w:t>‎</w:t>
      </w:r>
      <w:r w:rsidRPr="00784D6A">
        <w:rPr>
          <w:rFonts w:cs="Arial"/>
          <w:color w:val="333333"/>
          <w:sz w:val="18"/>
          <w:szCs w:val="18"/>
          <w:shd w:val="clear" w:color="auto" w:fill="FFFFFF"/>
        </w:rPr>
        <w:t>2023)</w:t>
      </w:r>
      <w:r w:rsidRPr="00784D6A">
        <w:rPr>
          <w:rFonts w:cs="Arial"/>
          <w:color w:val="333333"/>
          <w:sz w:val="18"/>
          <w:szCs w:val="18"/>
          <w:shd w:val="clear" w:color="auto" w:fill="FFFFFF"/>
          <w:cs/>
        </w:rPr>
        <w:t>‎</w:t>
      </w:r>
      <w:r w:rsidRPr="00784D6A">
        <w:rPr>
          <w:rFonts w:cs="Arial"/>
          <w:color w:val="333333"/>
          <w:sz w:val="18"/>
          <w:szCs w:val="18"/>
          <w:shd w:val="clear" w:color="auto" w:fill="FFFFFF"/>
        </w:rPr>
        <w:t xml:space="preserve">. Deep dives on the well-being economy showcasing the experiences of Finland, Iceland, Scotland and Wales: summary of key findings. World Health Organization. Regional Office for Europe. Available from: </w:t>
      </w:r>
      <w:hyperlink r:id="rId13" w:history="1">
        <w:r w:rsidRPr="00784D6A">
          <w:rPr>
            <w:rStyle w:val="Hyperlink"/>
            <w:rFonts w:cs="Arial"/>
            <w:color w:val="008DC9"/>
            <w:sz w:val="18"/>
            <w:szCs w:val="18"/>
          </w:rPr>
          <w:t>https://iris.who.int/handle/10665/366279</w:t>
        </w:r>
      </w:hyperlink>
      <w:r w:rsidRPr="00784D6A">
        <w:rPr>
          <w:rFonts w:cs="Arial"/>
          <w:color w:val="333333"/>
          <w:sz w:val="18"/>
          <w:szCs w:val="18"/>
          <w:shd w:val="clear" w:color="auto" w:fill="FFFFFF"/>
        </w:rPr>
        <w:t>.</w:t>
      </w:r>
    </w:p>
    <w:p w14:paraId="53D9A4AA" w14:textId="77777777" w:rsidR="00181F13" w:rsidRPr="00784D6A" w:rsidRDefault="00181F13" w:rsidP="00D874A0">
      <w:pPr>
        <w:rPr>
          <w:rFonts w:cs="Arial"/>
          <w:sz w:val="18"/>
          <w:szCs w:val="18"/>
          <w:lang w:eastAsia="en-GB"/>
        </w:rPr>
        <w:sectPr w:rsidR="00181F13" w:rsidRPr="00784D6A" w:rsidSect="00181F13">
          <w:pgSz w:w="16838" w:h="11906" w:orient="landscape"/>
          <w:pgMar w:top="1440" w:right="1440" w:bottom="1440" w:left="1440" w:header="708" w:footer="708" w:gutter="0"/>
          <w:cols w:space="708"/>
          <w:docGrid w:linePitch="360"/>
        </w:sectPr>
      </w:pPr>
    </w:p>
    <w:p w14:paraId="1D9634BB" w14:textId="5F4497CD" w:rsidR="00CB46DA" w:rsidRDefault="001C576A" w:rsidP="00D874A0">
      <w:pPr>
        <w:pStyle w:val="Heading3"/>
      </w:pPr>
      <w:bookmarkStart w:id="24" w:name="_Toc185516845"/>
      <w:r>
        <w:lastRenderedPageBreak/>
        <w:t>Health and e</w:t>
      </w:r>
      <w:r w:rsidR="00CB46DA">
        <w:t>mployment and working conditions</w:t>
      </w:r>
      <w:bookmarkEnd w:id="24"/>
    </w:p>
    <w:p w14:paraId="407FFF12" w14:textId="524C46F7" w:rsidR="00C50D54" w:rsidRPr="00C92E9E" w:rsidRDefault="00C92E9E" w:rsidP="00FA45A3">
      <w:r>
        <w:t>The</w:t>
      </w:r>
      <w:r w:rsidR="00843534">
        <w:t>re is bi-directional</w:t>
      </w:r>
      <w:r>
        <w:t xml:space="preserve"> </w:t>
      </w:r>
      <w:r w:rsidR="00B41B1B">
        <w:t>relationship between health and employment</w:t>
      </w:r>
      <w:r w:rsidR="00D03FE6">
        <w:t xml:space="preserve"> in that </w:t>
      </w:r>
      <w:r w:rsidR="00B41B1B">
        <w:t>good quality</w:t>
      </w:r>
      <w:r>
        <w:t xml:space="preserve"> employment </w:t>
      </w:r>
      <w:r w:rsidR="00453FBC">
        <w:t>can have</w:t>
      </w:r>
      <w:r w:rsidR="005D7674">
        <w:t xml:space="preserve"> a positive impact on</w:t>
      </w:r>
      <w:r>
        <w:t xml:space="preserve"> heal</w:t>
      </w:r>
      <w:r w:rsidR="001A6FEE">
        <w:t xml:space="preserve">th </w:t>
      </w:r>
      <w:r w:rsidR="009D0D76">
        <w:t xml:space="preserve">and </w:t>
      </w:r>
      <w:r w:rsidR="00453FBC">
        <w:t xml:space="preserve">that </w:t>
      </w:r>
      <w:r w:rsidR="009D0D76">
        <w:t>good health enables people to participate in the workforce</w:t>
      </w:r>
      <w:r w:rsidR="001A6FEE">
        <w:t xml:space="preserve">. </w:t>
      </w:r>
      <w:r w:rsidR="003E4E31">
        <w:t>The labour and employment practices of companies, corporations and other commercial entities are also a key factor in the commercial determinants of health and escalating health harms (Gilmore et al., 2023).</w:t>
      </w:r>
      <w:r w:rsidR="00470069">
        <w:t xml:space="preserve"> </w:t>
      </w:r>
      <w:r w:rsidR="005A5876">
        <w:t>The Welsh Government plan for employability and skills</w:t>
      </w:r>
      <w:r w:rsidR="004E6425">
        <w:t xml:space="preserve">, </w:t>
      </w:r>
      <w:r w:rsidR="004E6425" w:rsidRPr="3030E45D">
        <w:rPr>
          <w:b/>
          <w:bCs/>
          <w:color w:val="156082" w:themeColor="accent1"/>
        </w:rPr>
        <w:t>Stronger, Fairer, Greener Wales</w:t>
      </w:r>
      <w:r w:rsidR="005A5876" w:rsidRPr="3030E45D">
        <w:rPr>
          <w:b/>
          <w:bCs/>
        </w:rPr>
        <w:t xml:space="preserve"> </w:t>
      </w:r>
      <w:r w:rsidR="005A5876">
        <w:t>(We</w:t>
      </w:r>
      <w:r w:rsidR="004E6425">
        <w:t>lsh Government, 2022</w:t>
      </w:r>
      <w:r w:rsidR="00BD59A7">
        <w:t>c</w:t>
      </w:r>
      <w:r w:rsidR="004E6425">
        <w:t>) was</w:t>
      </w:r>
      <w:r w:rsidR="005A5876">
        <w:t xml:space="preserve"> launched in 2022 and include</w:t>
      </w:r>
      <w:r w:rsidR="004E6425">
        <w:t xml:space="preserve">d </w:t>
      </w:r>
      <w:r w:rsidR="005A5876">
        <w:t xml:space="preserve">actions to tackle economic inequality, create high quality employment, and support people with a long-term health condition to work. </w:t>
      </w:r>
    </w:p>
    <w:p w14:paraId="08D0F176" w14:textId="4C716938" w:rsidR="00094688" w:rsidRDefault="00094688" w:rsidP="004B3A6A">
      <w:pPr>
        <w:pStyle w:val="Heading4"/>
      </w:pPr>
      <w:r>
        <w:t>Improving labour and employment practices</w:t>
      </w:r>
    </w:p>
    <w:p w14:paraId="3ABE2143" w14:textId="43D4CC03" w:rsidR="00E62A1F" w:rsidRDefault="00E52676" w:rsidP="00E62A1F">
      <w:r>
        <w:t xml:space="preserve">There is evidence that </w:t>
      </w:r>
      <w:r w:rsidR="000D1E7F">
        <w:t xml:space="preserve">collective bargaining </w:t>
      </w:r>
      <w:r w:rsidR="007275DB">
        <w:t xml:space="preserve">over wages and other working conditions </w:t>
      </w:r>
      <w:r w:rsidR="000D1E7F">
        <w:t>contributes to better population health (</w:t>
      </w:r>
      <w:proofErr w:type="spellStart"/>
      <w:r w:rsidR="000D1E7F">
        <w:t>Sochas</w:t>
      </w:r>
      <w:proofErr w:type="spellEnd"/>
      <w:r w:rsidR="000D1E7F">
        <w:t xml:space="preserve"> &amp; Reeves, 202</w:t>
      </w:r>
      <w:r w:rsidR="0029291F">
        <w:t>3</w:t>
      </w:r>
      <w:r w:rsidR="000937C7">
        <w:t>; Humphreys et al., 2022</w:t>
      </w:r>
      <w:r w:rsidR="000D1E7F">
        <w:t>)</w:t>
      </w:r>
      <w:r w:rsidR="007275DB">
        <w:t xml:space="preserve">. The Welsh Government </w:t>
      </w:r>
      <w:r w:rsidR="00775529">
        <w:t xml:space="preserve">has accepted six priority recommendations from the </w:t>
      </w:r>
      <w:r w:rsidR="00580C17" w:rsidRPr="3030E45D">
        <w:rPr>
          <w:b/>
          <w:bCs/>
          <w:color w:val="156082" w:themeColor="accent1"/>
        </w:rPr>
        <w:t>Fair Work Wales</w:t>
      </w:r>
      <w:r w:rsidR="00580C17">
        <w:t xml:space="preserve"> </w:t>
      </w:r>
      <w:r w:rsidR="00443DC4">
        <w:t xml:space="preserve">report </w:t>
      </w:r>
      <w:r w:rsidR="00580C17">
        <w:t>(</w:t>
      </w:r>
      <w:r w:rsidR="00443DC4">
        <w:t xml:space="preserve">Fair Work Commission, </w:t>
      </w:r>
      <w:r w:rsidR="00580C17">
        <w:t>2019)</w:t>
      </w:r>
      <w:r w:rsidR="00775529">
        <w:t xml:space="preserve"> and this was also </w:t>
      </w:r>
      <w:r w:rsidR="00E62A1F">
        <w:t>used to inform the Social Partnership and Public Procurement (Wales) Act 2023</w:t>
      </w:r>
      <w:r w:rsidR="00792403">
        <w:t>, which came into force in May 2023.</w:t>
      </w:r>
    </w:p>
    <w:p w14:paraId="47468545" w14:textId="626E6D8B" w:rsidR="005E2372" w:rsidRDefault="00F37042" w:rsidP="00975E92">
      <w:r>
        <w:t>Government policies can support c</w:t>
      </w:r>
      <w:r w:rsidR="00F7184D">
        <w:t>ollective bargaining</w:t>
      </w:r>
      <w:r w:rsidR="00792403">
        <w:t xml:space="preserve">, </w:t>
      </w:r>
      <w:r w:rsidR="00CE1100">
        <w:t xml:space="preserve">and </w:t>
      </w:r>
      <w:r w:rsidR="003651EB">
        <w:t>Belgium, Iceland</w:t>
      </w:r>
      <w:r w:rsidR="000828CE">
        <w:t xml:space="preserve">, </w:t>
      </w:r>
      <w:r w:rsidR="00C8775F">
        <w:t>Finland,</w:t>
      </w:r>
      <w:r w:rsidR="000828CE">
        <w:t xml:space="preserve"> and Slovenia all</w:t>
      </w:r>
      <w:r w:rsidR="00647BD6">
        <w:t xml:space="preserve"> have </w:t>
      </w:r>
      <w:r w:rsidR="006A1A49">
        <w:t xml:space="preserve">a </w:t>
      </w:r>
      <w:r w:rsidR="00647BD6">
        <w:t>high union</w:t>
      </w:r>
      <w:r w:rsidR="00347DBB">
        <w:t xml:space="preserve"> (collective bargaining)</w:t>
      </w:r>
      <w:r w:rsidR="00647BD6">
        <w:t xml:space="preserve"> </w:t>
      </w:r>
      <w:r w:rsidR="006A1A49">
        <w:t>coverage rate</w:t>
      </w:r>
      <w:r w:rsidR="00E56B1A">
        <w:t xml:space="preserve"> ranging from </w:t>
      </w:r>
      <w:r w:rsidR="007A5F2F">
        <w:t xml:space="preserve">77% in Slovenia to </w:t>
      </w:r>
      <w:r w:rsidR="00E56B1A">
        <w:t>96% in Belgium</w:t>
      </w:r>
      <w:r w:rsidR="00442144">
        <w:t>.</w:t>
      </w:r>
      <w:r w:rsidR="00C8775F">
        <w:t xml:space="preserve"> </w:t>
      </w:r>
      <w:r w:rsidR="00E80CA2">
        <w:t>Collective bargaining is highly structured in</w:t>
      </w:r>
      <w:r w:rsidR="00EA7F65">
        <w:t xml:space="preserve"> Belgium, </w:t>
      </w:r>
      <w:r w:rsidR="00FE333D">
        <w:t xml:space="preserve">with </w:t>
      </w:r>
      <w:r w:rsidR="00EA7F65">
        <w:t xml:space="preserve">national unions and employer organisations </w:t>
      </w:r>
      <w:r w:rsidR="00FE333D">
        <w:t xml:space="preserve">engaging in </w:t>
      </w:r>
      <w:r w:rsidR="00975E92">
        <w:t>cross-sectoral bargaining at a central level</w:t>
      </w:r>
      <w:r w:rsidR="00A44A07">
        <w:t xml:space="preserve">, </w:t>
      </w:r>
      <w:r w:rsidR="00020D0F">
        <w:t>as well as</w:t>
      </w:r>
      <w:r w:rsidR="00A44A07">
        <w:t xml:space="preserve"> </w:t>
      </w:r>
      <w:r w:rsidR="00B2408D">
        <w:t xml:space="preserve">at </w:t>
      </w:r>
      <w:r w:rsidR="00020D0F">
        <w:t>the</w:t>
      </w:r>
      <w:r w:rsidR="00A44A07">
        <w:t xml:space="preserve"> sectoral and company level </w:t>
      </w:r>
      <w:r w:rsidR="00020D0F">
        <w:t>(OECD, 2019)</w:t>
      </w:r>
      <w:r w:rsidR="00A44A07">
        <w:t>.</w:t>
      </w:r>
    </w:p>
    <w:p w14:paraId="0A31251B" w14:textId="71464ED1" w:rsidR="00565314" w:rsidRDefault="00B62138" w:rsidP="00094688">
      <w:r>
        <w:t>New Zealand</w:t>
      </w:r>
      <w:r w:rsidR="00B850C6">
        <w:t xml:space="preserve"> has seen </w:t>
      </w:r>
      <w:r w:rsidR="00347DBB">
        <w:t>steep decreases in collective bargaining coverage</w:t>
      </w:r>
      <w:r w:rsidR="001A7C99">
        <w:t xml:space="preserve"> (OECD, 2019)</w:t>
      </w:r>
      <w:r w:rsidR="00753863">
        <w:t xml:space="preserve">, but </w:t>
      </w:r>
      <w:r w:rsidR="009231C1" w:rsidRPr="00E31425">
        <w:t xml:space="preserve">in 2022 </w:t>
      </w:r>
      <w:r w:rsidR="00753863">
        <w:t>the Government</w:t>
      </w:r>
      <w:r w:rsidR="00251F23">
        <w:t xml:space="preserve"> adopted a new</w:t>
      </w:r>
      <w:r w:rsidR="00251F23" w:rsidRPr="00251F23">
        <w:t xml:space="preserve"> </w:t>
      </w:r>
      <w:r w:rsidR="00251F23">
        <w:t xml:space="preserve">sectoral bargaining policy through the </w:t>
      </w:r>
      <w:r w:rsidR="00251F23" w:rsidRPr="00E31425">
        <w:t>introduction of the</w:t>
      </w:r>
      <w:r w:rsidR="00C0266A" w:rsidRPr="00E31425">
        <w:t xml:space="preserve"> </w:t>
      </w:r>
      <w:r w:rsidR="00BA4D0F" w:rsidRPr="00E31425">
        <w:t>Fair Pay Agreements</w:t>
      </w:r>
      <w:r w:rsidR="00C0266A" w:rsidRPr="00E31425">
        <w:t xml:space="preserve"> Act </w:t>
      </w:r>
      <w:r w:rsidR="00753863" w:rsidRPr="00E31425">
        <w:t>(</w:t>
      </w:r>
      <w:r w:rsidR="00431E10" w:rsidRPr="00E31425">
        <w:t>New Zealand Government, 20</w:t>
      </w:r>
      <w:r w:rsidR="00E31425" w:rsidRPr="00E31425">
        <w:t>22</w:t>
      </w:r>
      <w:r w:rsidR="00753863" w:rsidRPr="00E31425">
        <w:t>)</w:t>
      </w:r>
      <w:r w:rsidR="00251F23" w:rsidRPr="00E31425">
        <w:t>. Although</w:t>
      </w:r>
      <w:r w:rsidR="00251F23">
        <w:t xml:space="preserve"> the act has </w:t>
      </w:r>
      <w:r>
        <w:t xml:space="preserve">since </w:t>
      </w:r>
      <w:r w:rsidR="00251F23">
        <w:t xml:space="preserve">been </w:t>
      </w:r>
      <w:r>
        <w:t>repealed</w:t>
      </w:r>
      <w:r w:rsidR="009231C1">
        <w:t xml:space="preserve"> </w:t>
      </w:r>
      <w:r w:rsidR="001B4E40">
        <w:t>following a change in government</w:t>
      </w:r>
      <w:r w:rsidR="00222C50">
        <w:t>,</w:t>
      </w:r>
      <w:r w:rsidR="00251F23">
        <w:t xml:space="preserve"> </w:t>
      </w:r>
      <w:r w:rsidR="001C607D">
        <w:t xml:space="preserve">it </w:t>
      </w:r>
      <w:r w:rsidR="009F1318">
        <w:t>provides an example of government action</w:t>
      </w:r>
      <w:r w:rsidR="001C607D">
        <w:t xml:space="preserve"> to bring together unions and employer associations to</w:t>
      </w:r>
      <w:r w:rsidR="001C607D" w:rsidRPr="007D415E">
        <w:t xml:space="preserve"> </w:t>
      </w:r>
      <w:r w:rsidR="00E31425" w:rsidRPr="007D415E">
        <w:t>achieve</w:t>
      </w:r>
      <w:r w:rsidR="007D415E" w:rsidRPr="007D415E">
        <w:t xml:space="preserve"> better pay and conditions through sector-wide collective bargaining</w:t>
      </w:r>
      <w:r w:rsidR="007A2DAB">
        <w:t xml:space="preserve">. </w:t>
      </w:r>
    </w:p>
    <w:p w14:paraId="0605ED58" w14:textId="0514C4DC" w:rsidR="004B3A6A" w:rsidRDefault="004B3A6A" w:rsidP="004B3A6A">
      <w:pPr>
        <w:pStyle w:val="Heading4"/>
      </w:pPr>
      <w:r>
        <w:t>Meeting people’s health and employment needs together</w:t>
      </w:r>
    </w:p>
    <w:p w14:paraId="0B9BE655" w14:textId="76E012E2" w:rsidR="00470069" w:rsidRDefault="003E4E31" w:rsidP="004B3A6A">
      <w:r>
        <w:t>The rate of economic inactivity due to ill health has been rising across the UK since 2019 and it has been a bigger factor behind economic inactivity than in other high-income countries (Office for Budget Responsibility, 2023). The Health Foundation (</w:t>
      </w:r>
      <w:proofErr w:type="spellStart"/>
      <w:r>
        <w:t>Tinson</w:t>
      </w:r>
      <w:proofErr w:type="spellEnd"/>
      <w:r>
        <w:t xml:space="preserve"> et al., 2022; Atwell et al., 2024) suggest that policy interventions should focus on: 1) protecting people at risk of leaving employment on health grounds; and 2) helping people experiencing poor health and who want to return to work to overcome barriers. </w:t>
      </w:r>
      <w:r w:rsidR="00470069" w:rsidRPr="00931D5A">
        <w:rPr>
          <w:b/>
          <w:bCs/>
        </w:rPr>
        <w:t>Healthy Working Wales</w:t>
      </w:r>
      <w:r w:rsidR="00470069" w:rsidRPr="00931D5A">
        <w:t xml:space="preserve"> and the </w:t>
      </w:r>
      <w:r w:rsidR="00470069" w:rsidRPr="00931D5A">
        <w:rPr>
          <w:b/>
          <w:bCs/>
        </w:rPr>
        <w:t>Employee Health Management Programme</w:t>
      </w:r>
      <w:r w:rsidR="00470069" w:rsidRPr="00931D5A">
        <w:t xml:space="preserve"> </w:t>
      </w:r>
      <w:r w:rsidR="00470069">
        <w:t>provide resources for</w:t>
      </w:r>
      <w:r w:rsidR="00470069" w:rsidRPr="00931D5A">
        <w:t xml:space="preserve"> employers </w:t>
      </w:r>
      <w:r w:rsidR="00470069">
        <w:t xml:space="preserve">in Wales </w:t>
      </w:r>
      <w:r w:rsidR="00470069" w:rsidRPr="00931D5A">
        <w:t>on how to support disabled people and those with long-term health conditions and to support system-wide action on preventing people from falling out of work due to ill health</w:t>
      </w:r>
      <w:r w:rsidR="00470069">
        <w:t xml:space="preserve"> (Lewis and McKibben, 2022)</w:t>
      </w:r>
      <w:r w:rsidR="00470069" w:rsidRPr="00931D5A">
        <w:t>.</w:t>
      </w:r>
    </w:p>
    <w:p w14:paraId="1DC5C79E" w14:textId="534B522A" w:rsidR="006E44D9" w:rsidRDefault="003047A3" w:rsidP="004B3A6A">
      <w:r>
        <w:lastRenderedPageBreak/>
        <w:t xml:space="preserve">Providing services for </w:t>
      </w:r>
      <w:r w:rsidR="009B0E90">
        <w:t>people</w:t>
      </w:r>
      <w:r>
        <w:t xml:space="preserve"> with poor health and employment needs together are </w:t>
      </w:r>
      <w:r w:rsidR="00F900C0" w:rsidRPr="00DF08AD">
        <w:t xml:space="preserve">thought to be </w:t>
      </w:r>
      <w:r w:rsidR="00E44164">
        <w:t xml:space="preserve">key </w:t>
      </w:r>
      <w:r w:rsidRPr="00DF08AD">
        <w:t>elements of an effective work and health system.</w:t>
      </w:r>
      <w:r w:rsidR="00F900C0" w:rsidRPr="00DF08AD">
        <w:t xml:space="preserve"> Finland h</w:t>
      </w:r>
      <w:r w:rsidR="00755939" w:rsidRPr="00DF08AD">
        <w:t xml:space="preserve">as over a decade of experience of providing </w:t>
      </w:r>
      <w:r w:rsidR="002348E4" w:rsidRPr="00DF08AD">
        <w:t>‘o</w:t>
      </w:r>
      <w:r w:rsidR="00755939" w:rsidRPr="00DF08AD">
        <w:t>ne-stop</w:t>
      </w:r>
      <w:r w:rsidR="002348E4" w:rsidRPr="00DF08AD">
        <w:t>-shop’</w:t>
      </w:r>
      <w:r w:rsidR="00755939" w:rsidRPr="00DF08AD">
        <w:t xml:space="preserve"> services</w:t>
      </w:r>
      <w:r w:rsidR="00A76349" w:rsidRPr="00DF08AD">
        <w:t xml:space="preserve">. </w:t>
      </w:r>
      <w:r w:rsidR="00CF1FA5" w:rsidRPr="00DF08AD">
        <w:t xml:space="preserve">For example, </w:t>
      </w:r>
      <w:r w:rsidR="00FE71C6" w:rsidRPr="00DF08AD">
        <w:rPr>
          <w:b/>
          <w:bCs/>
        </w:rPr>
        <w:t>Labour Force Service Centres</w:t>
      </w:r>
      <w:r w:rsidR="00CF1FA5" w:rsidRPr="00DF08AD">
        <w:t xml:space="preserve"> </w:t>
      </w:r>
      <w:r w:rsidR="0041438B" w:rsidRPr="00DF08AD">
        <w:t xml:space="preserve">for the long-term unemployed </w:t>
      </w:r>
      <w:r w:rsidR="00CF1FA5" w:rsidRPr="00DF08AD">
        <w:t xml:space="preserve">are </w:t>
      </w:r>
      <w:r w:rsidR="0041438B" w:rsidRPr="00DF08AD">
        <w:t>joint funded through</w:t>
      </w:r>
      <w:r w:rsidR="00B16A85" w:rsidRPr="00DF08AD">
        <w:t xml:space="preserve"> </w:t>
      </w:r>
      <w:r w:rsidR="0041438B" w:rsidRPr="00DF08AD">
        <w:t xml:space="preserve">the </w:t>
      </w:r>
      <w:r w:rsidR="00B16A85" w:rsidRPr="00DF08AD">
        <w:t>employment services and local health and social services</w:t>
      </w:r>
      <w:r w:rsidR="0015394E" w:rsidRPr="00DF08AD">
        <w:t xml:space="preserve"> (</w:t>
      </w:r>
      <w:proofErr w:type="spellStart"/>
      <w:r w:rsidR="00423553" w:rsidRPr="00DF08AD">
        <w:t>Duell</w:t>
      </w:r>
      <w:proofErr w:type="spellEnd"/>
      <w:r w:rsidR="00423553" w:rsidRPr="00DF08AD">
        <w:t>, 2023)</w:t>
      </w:r>
      <w:r w:rsidR="0041438B" w:rsidRPr="00DF08AD">
        <w:t xml:space="preserve">. </w:t>
      </w:r>
      <w:r w:rsidR="00E44164">
        <w:t>Currently, l</w:t>
      </w:r>
      <w:r w:rsidR="002E09D4">
        <w:t>ocal government pilots</w:t>
      </w:r>
      <w:r w:rsidR="00C34489">
        <w:t xml:space="preserve"> </w:t>
      </w:r>
      <w:r w:rsidR="004460E4">
        <w:t>(2021-2024)</w:t>
      </w:r>
      <w:r w:rsidR="002E09D4">
        <w:t xml:space="preserve"> </w:t>
      </w:r>
      <w:r w:rsidR="00C34489">
        <w:t>are testing reforms</w:t>
      </w:r>
      <w:r w:rsidR="006F0B15">
        <w:t xml:space="preserve"> </w:t>
      </w:r>
      <w:r w:rsidR="004460E4">
        <w:t xml:space="preserve">that </w:t>
      </w:r>
      <w:r w:rsidR="006F0B15">
        <w:t xml:space="preserve">aim to integrate </w:t>
      </w:r>
      <w:r w:rsidR="00C34489" w:rsidRPr="005428CE">
        <w:t>employment, education</w:t>
      </w:r>
      <w:r w:rsidR="004460E4">
        <w:t>,</w:t>
      </w:r>
      <w:r w:rsidR="00C34489" w:rsidRPr="005428CE">
        <w:t xml:space="preserve"> and social and health services more closely together</w:t>
      </w:r>
      <w:r w:rsidR="00FA3DD3">
        <w:t xml:space="preserve"> (</w:t>
      </w:r>
      <w:r w:rsidR="00FA3DD3" w:rsidRPr="00FA3DD3">
        <w:t>https://tem.fi/en/local-government-pilots-on-employment</w:t>
      </w:r>
      <w:r w:rsidR="00FA3DD3">
        <w:t>)</w:t>
      </w:r>
      <w:r w:rsidR="004460E4">
        <w:t>.</w:t>
      </w:r>
    </w:p>
    <w:p w14:paraId="2671B4B7" w14:textId="118BFCF8" w:rsidR="00D874A0" w:rsidRDefault="00D874A0" w:rsidP="00D874A0">
      <w:pPr>
        <w:pStyle w:val="Heading4"/>
      </w:pPr>
      <w:r>
        <w:t xml:space="preserve">Job creation </w:t>
      </w:r>
      <w:r w:rsidR="00BA1ECD">
        <w:t>measures</w:t>
      </w:r>
    </w:p>
    <w:p w14:paraId="1B323F44" w14:textId="30E2B433" w:rsidR="00CB46DA" w:rsidRDefault="00D874A0" w:rsidP="00D874A0">
      <w:r>
        <w:t xml:space="preserve">The correlation between unemployment and poor health is well established. </w:t>
      </w:r>
      <w:r w:rsidRPr="008B4D26">
        <w:rPr>
          <w:b/>
          <w:bCs/>
        </w:rPr>
        <w:t xml:space="preserve">Zero long-term </w:t>
      </w:r>
      <w:r>
        <w:rPr>
          <w:b/>
          <w:bCs/>
        </w:rPr>
        <w:t>un</w:t>
      </w:r>
      <w:r w:rsidRPr="008B4D26">
        <w:rPr>
          <w:b/>
          <w:bCs/>
        </w:rPr>
        <w:t>employment initiatives</w:t>
      </w:r>
      <w:r>
        <w:t xml:space="preserve"> and similar models have been proposed as an innovative solution to long-term unemployment, with models being introduced in recent years in France, Austria and the Netherlands. In Belgium, the “Zero Long-Term Unemployment Territories” </w:t>
      </w:r>
      <w:r w:rsidRPr="00165C91">
        <w:t>initiative</w:t>
      </w:r>
      <w:r>
        <w:t xml:space="preserve"> is in the early stages of implementation in areas of high unemployment in the Walloon and Brussels-Capital regions of the country. Based on a French model (</w:t>
      </w:r>
      <w:proofErr w:type="spellStart"/>
      <w:r w:rsidRPr="00DD55AB">
        <w:rPr>
          <w:i/>
          <w:iCs/>
        </w:rPr>
        <w:t>Territoire</w:t>
      </w:r>
      <w:proofErr w:type="spellEnd"/>
      <w:r w:rsidRPr="00DD55AB">
        <w:rPr>
          <w:i/>
          <w:iCs/>
        </w:rPr>
        <w:t xml:space="preserve"> </w:t>
      </w:r>
      <w:proofErr w:type="spellStart"/>
      <w:r w:rsidRPr="00DD55AB">
        <w:rPr>
          <w:i/>
          <w:iCs/>
        </w:rPr>
        <w:t>Zéro</w:t>
      </w:r>
      <w:proofErr w:type="spellEnd"/>
      <w:r w:rsidRPr="00DD55AB">
        <w:rPr>
          <w:i/>
          <w:iCs/>
        </w:rPr>
        <w:t xml:space="preserve"> </w:t>
      </w:r>
      <w:proofErr w:type="spellStart"/>
      <w:r w:rsidRPr="00DD55AB">
        <w:rPr>
          <w:i/>
          <w:iCs/>
        </w:rPr>
        <w:t>Chômeur</w:t>
      </w:r>
      <w:proofErr w:type="spellEnd"/>
      <w:r w:rsidRPr="00DD55AB">
        <w:rPr>
          <w:i/>
          <w:iCs/>
        </w:rPr>
        <w:t xml:space="preserve"> de Longue Durée</w:t>
      </w:r>
      <w:r w:rsidRPr="00FD2B8F">
        <w:t>)</w:t>
      </w:r>
      <w:r>
        <w:t>, the initiative is a local level job creation programme that aims to provide sustainable jobs in response to unmet local needs.</w:t>
      </w:r>
    </w:p>
    <w:p w14:paraId="1A70AD93" w14:textId="1C4094D8" w:rsidR="00B149E6" w:rsidRDefault="00B149E6" w:rsidP="00B149E6">
      <w:pPr>
        <w:pStyle w:val="Heading3"/>
      </w:pPr>
      <w:bookmarkStart w:id="25" w:name="_Toc185516846"/>
      <w:r>
        <w:t xml:space="preserve">Reducing inequities in health </w:t>
      </w:r>
      <w:r w:rsidR="00E572C6">
        <w:t>in the early years, childhood and adolescence</w:t>
      </w:r>
      <w:bookmarkEnd w:id="25"/>
    </w:p>
    <w:p w14:paraId="0F92E1EB" w14:textId="403641FF" w:rsidR="007251B3" w:rsidRDefault="000B4F07" w:rsidP="00B81F59">
      <w:r>
        <w:t>Policies that aim to s</w:t>
      </w:r>
      <w:r w:rsidR="00273C87">
        <w:t>upport and improv</w:t>
      </w:r>
      <w:r>
        <w:t xml:space="preserve">e </w:t>
      </w:r>
      <w:r w:rsidR="00273C87">
        <w:t xml:space="preserve">experiences in the early years </w:t>
      </w:r>
      <w:r w:rsidR="003069FB">
        <w:t xml:space="preserve">and an emphasis on giving all children the best start in life </w:t>
      </w:r>
      <w:r>
        <w:t xml:space="preserve">are </w:t>
      </w:r>
      <w:r w:rsidR="0042443B">
        <w:t>important</w:t>
      </w:r>
      <w:r>
        <w:t xml:space="preserve"> for </w:t>
      </w:r>
      <w:r w:rsidR="003A2BA3">
        <w:t xml:space="preserve">lifelong </w:t>
      </w:r>
      <w:r>
        <w:t xml:space="preserve">health and wellbeing </w:t>
      </w:r>
      <w:r w:rsidR="0042443B">
        <w:t>(</w:t>
      </w:r>
      <w:r w:rsidR="00C95BAA">
        <w:t>Pearce et al., 2020)</w:t>
      </w:r>
      <w:r>
        <w:t>.</w:t>
      </w:r>
      <w:r w:rsidR="00B50B3C">
        <w:t xml:space="preserve"> Supporting children </w:t>
      </w:r>
      <w:r w:rsidR="004A4EC1">
        <w:t xml:space="preserve">through the early years and </w:t>
      </w:r>
      <w:r w:rsidR="004A4EC1" w:rsidRPr="002E68BB">
        <w:t xml:space="preserve">into adolescence </w:t>
      </w:r>
      <w:r w:rsidR="00B50B3C" w:rsidRPr="002E68BB">
        <w:t>requires that support is also provided for families</w:t>
      </w:r>
      <w:r w:rsidR="00602676">
        <w:t>.</w:t>
      </w:r>
      <w:r w:rsidR="00C35854" w:rsidRPr="002E68BB">
        <w:t xml:space="preserve"> </w:t>
      </w:r>
      <w:r w:rsidR="00602676">
        <w:t>P</w:t>
      </w:r>
      <w:r w:rsidR="00B50B3C" w:rsidRPr="002E68BB">
        <w:t xml:space="preserve">olicy actions </w:t>
      </w:r>
      <w:r w:rsidR="0036674C" w:rsidRPr="002E68BB">
        <w:t xml:space="preserve">across the five essential conditions for health </w:t>
      </w:r>
      <w:r w:rsidR="00A37182" w:rsidRPr="002E68BB">
        <w:t>equity</w:t>
      </w:r>
      <w:r w:rsidR="00B50B3C" w:rsidRPr="002E68BB">
        <w:t xml:space="preserve"> will </w:t>
      </w:r>
      <w:r w:rsidR="00C57464">
        <w:t xml:space="preserve">also </w:t>
      </w:r>
      <w:r w:rsidR="00C35854" w:rsidRPr="002E68BB">
        <w:t xml:space="preserve">directly and </w:t>
      </w:r>
      <w:r w:rsidR="00001D42" w:rsidRPr="002E68BB">
        <w:t xml:space="preserve">indirectly </w:t>
      </w:r>
      <w:r w:rsidR="00C35854" w:rsidRPr="002E68BB">
        <w:t xml:space="preserve">improve the conditions </w:t>
      </w:r>
      <w:r w:rsidR="00015CDC" w:rsidRPr="002E68BB">
        <w:t>in which children grow, learn and pla</w:t>
      </w:r>
      <w:r w:rsidR="00A34F04">
        <w:t>y</w:t>
      </w:r>
      <w:r w:rsidR="00A37182" w:rsidRPr="002E68BB">
        <w:t>.</w:t>
      </w:r>
      <w:r w:rsidR="00015CDC" w:rsidRPr="002E68BB">
        <w:t xml:space="preserve"> </w:t>
      </w:r>
      <w:r w:rsidR="00C57464" w:rsidRPr="00772812">
        <w:t xml:space="preserve">The </w:t>
      </w:r>
      <w:r w:rsidR="0000630F" w:rsidRPr="004F506F">
        <w:rPr>
          <w:b/>
          <w:bCs/>
        </w:rPr>
        <w:t>Child Poverty Strategy for Wales</w:t>
      </w:r>
      <w:r w:rsidR="00C57464" w:rsidRPr="004F506F">
        <w:rPr>
          <w:b/>
          <w:bCs/>
        </w:rPr>
        <w:t xml:space="preserve"> 2024</w:t>
      </w:r>
      <w:r w:rsidR="00C57464" w:rsidRPr="00772812">
        <w:t xml:space="preserve"> </w:t>
      </w:r>
      <w:r w:rsidR="004A152F" w:rsidRPr="00772812">
        <w:t>(Welsh Government 2024a)</w:t>
      </w:r>
      <w:r w:rsidR="00772812">
        <w:t xml:space="preserve"> recognises that </w:t>
      </w:r>
      <w:r w:rsidR="00251CE9">
        <w:t>poverty</w:t>
      </w:r>
      <w:r w:rsidR="00772812">
        <w:t xml:space="preserve"> can have an adverse impact on child development</w:t>
      </w:r>
      <w:r w:rsidR="00251CE9">
        <w:t xml:space="preserve"> </w:t>
      </w:r>
      <w:r w:rsidR="00072E9E">
        <w:t xml:space="preserve">and the need for early </w:t>
      </w:r>
      <w:r w:rsidR="00EC3570">
        <w:t>years policies to support the best start in life</w:t>
      </w:r>
      <w:r w:rsidR="0000630F" w:rsidRPr="00772812">
        <w:t>.</w:t>
      </w:r>
    </w:p>
    <w:p w14:paraId="579CEC8B" w14:textId="0BAEE06D" w:rsidR="00C06EFA" w:rsidRDefault="00567C20" w:rsidP="0021593E">
      <w:r>
        <w:t>Like the Welsh</w:t>
      </w:r>
      <w:r w:rsidR="003125FB">
        <w:t xml:space="preserve"> Government’s Children and </w:t>
      </w:r>
      <w:r w:rsidR="00A34F04">
        <w:t>Y</w:t>
      </w:r>
      <w:r w:rsidR="003125FB">
        <w:t xml:space="preserve">oung </w:t>
      </w:r>
      <w:r w:rsidR="00A34F04">
        <w:t>P</w:t>
      </w:r>
      <w:r w:rsidR="003125FB">
        <w:t>eople’s plan, i</w:t>
      </w:r>
      <w:r w:rsidR="003B5F98">
        <w:t xml:space="preserve">n Scotland and </w:t>
      </w:r>
      <w:r w:rsidR="00A91F60">
        <w:t>Ireland, policy for children and young people has been underpinned by</w:t>
      </w:r>
      <w:r w:rsidR="00A47BD3">
        <w:t xml:space="preserve"> whole-of-government frameworks.</w:t>
      </w:r>
      <w:r w:rsidR="009526E8">
        <w:t xml:space="preserve"> For example, </w:t>
      </w:r>
      <w:r w:rsidR="004D2EA3">
        <w:t xml:space="preserve">Scotland’s </w:t>
      </w:r>
      <w:r w:rsidR="005E6535">
        <w:t xml:space="preserve">model for supporting child wellbeing, </w:t>
      </w:r>
      <w:r w:rsidR="005E6535" w:rsidRPr="009526E8">
        <w:rPr>
          <w:b/>
          <w:bCs/>
        </w:rPr>
        <w:t>Getting It Right for Every Child</w:t>
      </w:r>
      <w:r w:rsidR="000A5958">
        <w:t>, provide</w:t>
      </w:r>
      <w:r w:rsidR="00D55AD0">
        <w:t>s</w:t>
      </w:r>
      <w:r w:rsidR="000A5958">
        <w:t xml:space="preserve"> an integrated policy framework</w:t>
      </w:r>
      <w:r w:rsidR="003E5578">
        <w:t xml:space="preserve"> </w:t>
      </w:r>
      <w:r w:rsidR="00400CE9">
        <w:t xml:space="preserve">with a focus on changing culture, systems and practice. In Ireland, </w:t>
      </w:r>
      <w:r w:rsidR="00F23ED2" w:rsidRPr="00D71131">
        <w:rPr>
          <w:b/>
          <w:bCs/>
        </w:rPr>
        <w:t>Young Ireland</w:t>
      </w:r>
      <w:r w:rsidR="00F23ED2">
        <w:t xml:space="preserve"> and </w:t>
      </w:r>
      <w:r w:rsidR="00F23ED2" w:rsidRPr="00D71131">
        <w:rPr>
          <w:b/>
          <w:bCs/>
        </w:rPr>
        <w:t>First 5</w:t>
      </w:r>
      <w:r w:rsidR="00F23ED2">
        <w:t xml:space="preserve"> provide </w:t>
      </w:r>
      <w:r w:rsidR="00C06EFA">
        <w:t>a whole</w:t>
      </w:r>
      <w:r w:rsidR="00EC78A2">
        <w:t>-of-government national policy framework</w:t>
      </w:r>
      <w:r w:rsidR="00F01A89">
        <w:t xml:space="preserve"> </w:t>
      </w:r>
      <w:r w:rsidR="00D71131">
        <w:t xml:space="preserve">to support </w:t>
      </w:r>
      <w:r w:rsidR="00CB7FD8">
        <w:t xml:space="preserve">the early years, </w:t>
      </w:r>
      <w:r w:rsidR="00D71131">
        <w:t>children</w:t>
      </w:r>
      <w:r w:rsidR="00D55AD0">
        <w:t>,</w:t>
      </w:r>
      <w:r w:rsidR="00D71131">
        <w:t xml:space="preserve"> and their families.</w:t>
      </w:r>
      <w:r w:rsidR="00F01A89">
        <w:t xml:space="preserve"> </w:t>
      </w:r>
      <w:r w:rsidR="00F3145A">
        <w:t xml:space="preserve"> </w:t>
      </w:r>
    </w:p>
    <w:p w14:paraId="23EEA86B" w14:textId="1252CFF4" w:rsidR="007251B3" w:rsidRDefault="007251B3" w:rsidP="007251B3">
      <w:pPr>
        <w:pStyle w:val="Heading4"/>
      </w:pPr>
      <w:r>
        <w:t>Early childhood education and care</w:t>
      </w:r>
    </w:p>
    <w:p w14:paraId="7842C39F" w14:textId="1949A274" w:rsidR="000124D9" w:rsidRDefault="00E54753" w:rsidP="00B81F59">
      <w:pPr>
        <w:rPr>
          <w:lang w:eastAsia="en-GB"/>
        </w:rPr>
      </w:pPr>
      <w:r>
        <w:t>Early childhood education and care</w:t>
      </w:r>
      <w:r w:rsidR="005A0A76">
        <w:t xml:space="preserve"> (EC</w:t>
      </w:r>
      <w:r w:rsidR="00916A59">
        <w:t>EC)</w:t>
      </w:r>
      <w:r>
        <w:t xml:space="preserve"> </w:t>
      </w:r>
      <w:r w:rsidR="00564F65">
        <w:t>polic</w:t>
      </w:r>
      <w:r w:rsidR="00B305FE">
        <w:t>i</w:t>
      </w:r>
      <w:r w:rsidR="00564F65">
        <w:t xml:space="preserve">es, which focus on the </w:t>
      </w:r>
      <w:r w:rsidR="00C1155F">
        <w:t>provi</w:t>
      </w:r>
      <w:r w:rsidR="00564F65">
        <w:t>sion of</w:t>
      </w:r>
      <w:r w:rsidR="00C1155F">
        <w:t xml:space="preserve"> care and education for children under compulsory schooling age</w:t>
      </w:r>
      <w:r w:rsidR="00564F65">
        <w:t xml:space="preserve">, are </w:t>
      </w:r>
      <w:r w:rsidR="00815EC2">
        <w:t xml:space="preserve">seen as </w:t>
      </w:r>
      <w:r w:rsidR="009214BD">
        <w:t>crucial</w:t>
      </w:r>
      <w:r w:rsidR="007D4635">
        <w:t xml:space="preserve"> for </w:t>
      </w:r>
      <w:r w:rsidR="00E438B4">
        <w:t>advancing equity in child</w:t>
      </w:r>
      <w:r w:rsidR="00CD17E6">
        <w:t xml:space="preserve"> health and development outcomes</w:t>
      </w:r>
      <w:r w:rsidR="00C1155F">
        <w:t xml:space="preserve">. </w:t>
      </w:r>
      <w:r w:rsidR="00BE03CF">
        <w:t>In Wales</w:t>
      </w:r>
      <w:r w:rsidR="00935A35">
        <w:t xml:space="preserve"> th</w:t>
      </w:r>
      <w:r w:rsidR="00387F00">
        <w:t>e approach to ECEC is known as Early Childhood Play, Learning and Care and</w:t>
      </w:r>
      <w:r w:rsidR="00BE03CF">
        <w:t xml:space="preserve"> the government funds three</w:t>
      </w:r>
      <w:r w:rsidR="008573AF">
        <w:t xml:space="preserve"> early years programmes</w:t>
      </w:r>
      <w:r w:rsidR="0091516E">
        <w:t xml:space="preserve">: (1) Flying Start for 0-3 year olds; (2) </w:t>
      </w:r>
      <w:r w:rsidR="00CD17E6">
        <w:t>the</w:t>
      </w:r>
      <w:r w:rsidR="00CE2BD3">
        <w:t xml:space="preserve"> C</w:t>
      </w:r>
      <w:r w:rsidR="0091516E">
        <w:t xml:space="preserve">hildcare </w:t>
      </w:r>
      <w:r w:rsidR="00CE2BD3">
        <w:t>O</w:t>
      </w:r>
      <w:r w:rsidR="0091516E">
        <w:t>ffer for 3-4 year olds; and early education</w:t>
      </w:r>
      <w:r w:rsidR="005C6B49">
        <w:t xml:space="preserve"> (Foundation Phase)</w:t>
      </w:r>
      <w:r w:rsidR="0091516E">
        <w:t xml:space="preserve"> for 3-4 year olds.</w:t>
      </w:r>
      <w:r w:rsidR="000124D9">
        <w:t xml:space="preserve"> </w:t>
      </w:r>
      <w:r w:rsidR="00C25477" w:rsidRPr="3030E45D">
        <w:rPr>
          <w:lang w:eastAsia="en-GB"/>
        </w:rPr>
        <w:t xml:space="preserve">There has been a </w:t>
      </w:r>
      <w:r w:rsidR="00781642" w:rsidRPr="3030E45D">
        <w:rPr>
          <w:lang w:eastAsia="en-GB"/>
        </w:rPr>
        <w:t>trend</w:t>
      </w:r>
      <w:r w:rsidR="005A0A76" w:rsidRPr="3030E45D">
        <w:rPr>
          <w:lang w:eastAsia="en-GB"/>
        </w:rPr>
        <w:t xml:space="preserve"> across countries</w:t>
      </w:r>
      <w:r w:rsidR="00781642" w:rsidRPr="3030E45D">
        <w:rPr>
          <w:lang w:eastAsia="en-GB"/>
        </w:rPr>
        <w:t xml:space="preserve"> towa</w:t>
      </w:r>
      <w:r w:rsidR="008C1341" w:rsidRPr="3030E45D">
        <w:rPr>
          <w:lang w:eastAsia="en-GB"/>
        </w:rPr>
        <w:t>rds</w:t>
      </w:r>
      <w:r w:rsidR="005A0A76" w:rsidRPr="3030E45D">
        <w:rPr>
          <w:lang w:eastAsia="en-GB"/>
        </w:rPr>
        <w:t xml:space="preserve"> the integration of the</w:t>
      </w:r>
      <w:r w:rsidR="131F8E09" w:rsidRPr="3030E45D">
        <w:rPr>
          <w:lang w:eastAsia="en-GB"/>
        </w:rPr>
        <w:t xml:space="preserve"> </w:t>
      </w:r>
      <w:r w:rsidR="005A0A76" w:rsidRPr="3030E45D">
        <w:rPr>
          <w:lang w:eastAsia="en-GB"/>
        </w:rPr>
        <w:lastRenderedPageBreak/>
        <w:t>ECEC</w:t>
      </w:r>
      <w:r w:rsidR="008C1341" w:rsidRPr="3030E45D">
        <w:rPr>
          <w:lang w:eastAsia="en-GB"/>
        </w:rPr>
        <w:t xml:space="preserve"> </w:t>
      </w:r>
      <w:r w:rsidR="00916A59" w:rsidRPr="3030E45D">
        <w:rPr>
          <w:lang w:eastAsia="en-GB"/>
        </w:rPr>
        <w:t>system</w:t>
      </w:r>
      <w:r w:rsidR="00B54D09" w:rsidRPr="3030E45D">
        <w:rPr>
          <w:lang w:eastAsia="en-GB"/>
        </w:rPr>
        <w:t>s</w:t>
      </w:r>
      <w:r w:rsidR="008C1341" w:rsidRPr="3030E45D">
        <w:rPr>
          <w:lang w:eastAsia="en-GB"/>
        </w:rPr>
        <w:t xml:space="preserve"> </w:t>
      </w:r>
      <w:r w:rsidR="00916A59" w:rsidRPr="3030E45D">
        <w:rPr>
          <w:lang w:eastAsia="en-GB"/>
        </w:rPr>
        <w:t>and a 20</w:t>
      </w:r>
      <w:r w:rsidR="00B54D09" w:rsidRPr="3030E45D">
        <w:rPr>
          <w:lang w:eastAsia="en-GB"/>
        </w:rPr>
        <w:t>22</w:t>
      </w:r>
      <w:r w:rsidR="00916A59" w:rsidRPr="3030E45D">
        <w:rPr>
          <w:lang w:eastAsia="en-GB"/>
        </w:rPr>
        <w:t xml:space="preserve"> cabinet paper set out the vision for a </w:t>
      </w:r>
      <w:r w:rsidR="000124D9" w:rsidRPr="3030E45D">
        <w:rPr>
          <w:lang w:eastAsia="en-GB"/>
        </w:rPr>
        <w:t>Welsh system based on progressive universalism (</w:t>
      </w:r>
      <w:r w:rsidR="00CE2BD3" w:rsidRPr="3030E45D">
        <w:rPr>
          <w:lang w:eastAsia="en-GB"/>
        </w:rPr>
        <w:t>Welsh Government, 2022</w:t>
      </w:r>
      <w:r w:rsidR="002C102C" w:rsidRPr="3030E45D">
        <w:rPr>
          <w:lang w:eastAsia="en-GB"/>
        </w:rPr>
        <w:t>d</w:t>
      </w:r>
      <w:r w:rsidR="000124D9" w:rsidRPr="3030E45D">
        <w:rPr>
          <w:lang w:eastAsia="en-GB"/>
        </w:rPr>
        <w:t xml:space="preserve">). </w:t>
      </w:r>
    </w:p>
    <w:p w14:paraId="557F5ADA" w14:textId="58A237A8" w:rsidR="00481A3C" w:rsidRDefault="004F1510" w:rsidP="00B06AAD">
      <w:pPr>
        <w:rPr>
          <w:lang w:eastAsia="en-GB"/>
        </w:rPr>
      </w:pPr>
      <w:r>
        <w:rPr>
          <w:lang w:eastAsia="en-GB"/>
        </w:rPr>
        <w:t>Countries differ in their approaches to ECEC</w:t>
      </w:r>
      <w:r w:rsidR="00A9692E">
        <w:rPr>
          <w:lang w:eastAsia="en-GB"/>
        </w:rPr>
        <w:t xml:space="preserve"> and outcomes may depend </w:t>
      </w:r>
      <w:r w:rsidR="009F195D">
        <w:rPr>
          <w:lang w:eastAsia="en-GB"/>
        </w:rPr>
        <w:t xml:space="preserve">on </w:t>
      </w:r>
      <w:r w:rsidR="00030D5A">
        <w:rPr>
          <w:lang w:eastAsia="en-GB"/>
        </w:rPr>
        <w:t xml:space="preserve">the </w:t>
      </w:r>
      <w:r w:rsidR="009F195D">
        <w:rPr>
          <w:lang w:eastAsia="en-GB"/>
        </w:rPr>
        <w:t xml:space="preserve">policy decisions </w:t>
      </w:r>
      <w:r w:rsidR="00351D56">
        <w:rPr>
          <w:lang w:eastAsia="en-GB"/>
        </w:rPr>
        <w:t>made and how ECEC</w:t>
      </w:r>
      <w:r w:rsidR="00B305FE">
        <w:rPr>
          <w:lang w:eastAsia="en-GB"/>
        </w:rPr>
        <w:t xml:space="preserve"> policies</w:t>
      </w:r>
      <w:r w:rsidR="00351D56">
        <w:rPr>
          <w:lang w:eastAsia="en-GB"/>
        </w:rPr>
        <w:t xml:space="preserve"> are </w:t>
      </w:r>
      <w:r w:rsidR="003A6937">
        <w:rPr>
          <w:lang w:eastAsia="en-GB"/>
        </w:rPr>
        <w:t>implemented (van Belle, 2016</w:t>
      </w:r>
      <w:r w:rsidR="00030D5A">
        <w:rPr>
          <w:lang w:eastAsia="en-GB"/>
        </w:rPr>
        <w:t>; Dallimore, 2019</w:t>
      </w:r>
      <w:r w:rsidR="003A6937">
        <w:rPr>
          <w:lang w:eastAsia="en-GB"/>
        </w:rPr>
        <w:t>)</w:t>
      </w:r>
      <w:r>
        <w:rPr>
          <w:lang w:eastAsia="en-GB"/>
        </w:rPr>
        <w:t xml:space="preserve">. </w:t>
      </w:r>
      <w:r w:rsidR="00460F97">
        <w:rPr>
          <w:lang w:eastAsia="en-GB"/>
        </w:rPr>
        <w:t xml:space="preserve">Some countries provide a </w:t>
      </w:r>
      <w:r w:rsidR="00460F97" w:rsidRPr="00D1345D">
        <w:rPr>
          <w:lang w:eastAsia="en-GB"/>
        </w:rPr>
        <w:t>legal entitlement to ECEC</w:t>
      </w:r>
      <w:r w:rsidR="00DF67B7">
        <w:rPr>
          <w:lang w:eastAsia="en-GB"/>
        </w:rPr>
        <w:t>,</w:t>
      </w:r>
      <w:r w:rsidR="00460F97" w:rsidRPr="00460F97">
        <w:rPr>
          <w:b/>
          <w:bCs/>
          <w:lang w:eastAsia="en-GB"/>
        </w:rPr>
        <w:t xml:space="preserve"> </w:t>
      </w:r>
      <w:r w:rsidR="00460F97">
        <w:rPr>
          <w:lang w:eastAsia="en-GB"/>
        </w:rPr>
        <w:t xml:space="preserve">and </w:t>
      </w:r>
      <w:r w:rsidR="00D1345D">
        <w:rPr>
          <w:lang w:eastAsia="en-GB"/>
        </w:rPr>
        <w:t>Slovenia and Finland</w:t>
      </w:r>
      <w:r w:rsidR="00DF67B7">
        <w:rPr>
          <w:lang w:eastAsia="en-GB"/>
        </w:rPr>
        <w:t>, for example,</w:t>
      </w:r>
      <w:r w:rsidR="00D1345D">
        <w:rPr>
          <w:lang w:eastAsia="en-GB"/>
        </w:rPr>
        <w:t xml:space="preserve"> </w:t>
      </w:r>
      <w:r w:rsidR="00460F97" w:rsidRPr="00FA5642">
        <w:rPr>
          <w:lang w:eastAsia="en-GB"/>
        </w:rPr>
        <w:t>ha</w:t>
      </w:r>
      <w:r w:rsidR="00460F97">
        <w:rPr>
          <w:lang w:eastAsia="en-GB"/>
        </w:rPr>
        <w:t>ve</w:t>
      </w:r>
      <w:r w:rsidR="00460F97" w:rsidRPr="00FA5642">
        <w:rPr>
          <w:lang w:eastAsia="en-GB"/>
        </w:rPr>
        <w:t xml:space="preserve"> recently implemented </w:t>
      </w:r>
      <w:r w:rsidR="00460F97" w:rsidRPr="00D1345D">
        <w:rPr>
          <w:b/>
          <w:bCs/>
          <w:lang w:eastAsia="en-GB"/>
        </w:rPr>
        <w:t xml:space="preserve">a legal entitlement to </w:t>
      </w:r>
      <w:r w:rsidR="00B67A8D" w:rsidRPr="00D1345D">
        <w:rPr>
          <w:b/>
          <w:bCs/>
          <w:lang w:eastAsia="en-GB"/>
        </w:rPr>
        <w:t>ECEC</w:t>
      </w:r>
      <w:r w:rsidR="00460F97" w:rsidRPr="00D1345D">
        <w:rPr>
          <w:b/>
          <w:bCs/>
          <w:lang w:eastAsia="en-GB"/>
        </w:rPr>
        <w:t xml:space="preserve"> following the end of paid parental leave</w:t>
      </w:r>
      <w:r w:rsidR="00460F97" w:rsidRPr="00FA5642">
        <w:rPr>
          <w:lang w:eastAsia="en-GB"/>
        </w:rPr>
        <w:t xml:space="preserve"> (from 11 months old</w:t>
      </w:r>
      <w:r w:rsidR="00460F97">
        <w:rPr>
          <w:lang w:eastAsia="en-GB"/>
        </w:rPr>
        <w:t xml:space="preserve"> in Slovenia and </w:t>
      </w:r>
      <w:r w:rsidR="00B67A8D">
        <w:rPr>
          <w:lang w:eastAsia="en-GB"/>
        </w:rPr>
        <w:t xml:space="preserve">from </w:t>
      </w:r>
      <w:r w:rsidR="00460F97">
        <w:rPr>
          <w:lang w:eastAsia="en-GB"/>
        </w:rPr>
        <w:t>one year old in Finland</w:t>
      </w:r>
      <w:r w:rsidR="00460F97" w:rsidRPr="00FA5642">
        <w:rPr>
          <w:lang w:eastAsia="en-GB"/>
        </w:rPr>
        <w:t>).</w:t>
      </w:r>
      <w:r w:rsidR="00EA2F20">
        <w:rPr>
          <w:lang w:eastAsia="en-GB"/>
        </w:rPr>
        <w:t xml:space="preserve"> Both countries</w:t>
      </w:r>
      <w:r w:rsidR="002A72A8">
        <w:rPr>
          <w:lang w:eastAsia="en-GB"/>
        </w:rPr>
        <w:t xml:space="preserve"> </w:t>
      </w:r>
      <w:r w:rsidR="00740689">
        <w:rPr>
          <w:lang w:eastAsia="en-GB"/>
        </w:rPr>
        <w:t xml:space="preserve">also </w:t>
      </w:r>
      <w:r w:rsidR="002A72A8">
        <w:rPr>
          <w:lang w:eastAsia="en-GB"/>
        </w:rPr>
        <w:t xml:space="preserve">have </w:t>
      </w:r>
      <w:r w:rsidR="009E49F9" w:rsidRPr="00FA5642">
        <w:rPr>
          <w:lang w:eastAsia="en-GB"/>
        </w:rPr>
        <w:t>a</w:t>
      </w:r>
      <w:r w:rsidR="00A1620D" w:rsidRPr="00FA5642">
        <w:rPr>
          <w:lang w:eastAsia="en-GB"/>
        </w:rPr>
        <w:t xml:space="preserve">n </w:t>
      </w:r>
      <w:r w:rsidR="00A1620D" w:rsidRPr="00D1345D">
        <w:rPr>
          <w:b/>
          <w:bCs/>
          <w:lang w:eastAsia="en-GB"/>
        </w:rPr>
        <w:t xml:space="preserve">integrated </w:t>
      </w:r>
      <w:r w:rsidR="00864468" w:rsidRPr="00D1345D">
        <w:rPr>
          <w:b/>
          <w:bCs/>
          <w:lang w:eastAsia="en-GB"/>
        </w:rPr>
        <w:t>approach to</w:t>
      </w:r>
      <w:r w:rsidR="00A1620D" w:rsidRPr="00D1345D">
        <w:rPr>
          <w:b/>
          <w:bCs/>
          <w:lang w:eastAsia="en-GB"/>
        </w:rPr>
        <w:t xml:space="preserve"> ECEC</w:t>
      </w:r>
      <w:r w:rsidR="00740689">
        <w:rPr>
          <w:lang w:eastAsia="en-GB"/>
        </w:rPr>
        <w:t>,</w:t>
      </w:r>
      <w:r w:rsidR="00A1620D" w:rsidRPr="00FA5642">
        <w:rPr>
          <w:lang w:eastAsia="en-GB"/>
        </w:rPr>
        <w:t xml:space="preserve"> </w:t>
      </w:r>
      <w:r w:rsidR="006E6388">
        <w:rPr>
          <w:lang w:eastAsia="en-GB"/>
        </w:rPr>
        <w:t xml:space="preserve">based on a </w:t>
      </w:r>
      <w:r w:rsidR="00B06AAD" w:rsidRPr="00B06AAD">
        <w:rPr>
          <w:lang w:eastAsia="en-GB"/>
        </w:rPr>
        <w:t>unitary system</w:t>
      </w:r>
      <w:r w:rsidR="00A869EA">
        <w:rPr>
          <w:lang w:eastAsia="en-GB"/>
        </w:rPr>
        <w:t xml:space="preserve"> whereby provision for all children under compulsory schooling</w:t>
      </w:r>
      <w:r w:rsidR="00CD3131">
        <w:rPr>
          <w:lang w:eastAsia="en-GB"/>
        </w:rPr>
        <w:t xml:space="preserve"> age is organised and delivered in one setting</w:t>
      </w:r>
      <w:r w:rsidR="006E6388">
        <w:rPr>
          <w:lang w:eastAsia="en-GB"/>
        </w:rPr>
        <w:t>.</w:t>
      </w:r>
    </w:p>
    <w:p w14:paraId="752A77A6" w14:textId="77777777" w:rsidR="00AB3F68" w:rsidRDefault="00AB3F68" w:rsidP="00BB7AC1"/>
    <w:p w14:paraId="3C7BE703" w14:textId="77777777" w:rsidR="006C49C5" w:rsidRDefault="006C49C5" w:rsidP="00BB7AC1">
      <w:pPr>
        <w:sectPr w:rsidR="006C49C5">
          <w:pgSz w:w="11906" w:h="16838"/>
          <w:pgMar w:top="1440" w:right="1440" w:bottom="1440" w:left="1440" w:header="708" w:footer="708" w:gutter="0"/>
          <w:cols w:space="708"/>
          <w:docGrid w:linePitch="360"/>
        </w:sectPr>
      </w:pPr>
    </w:p>
    <w:p w14:paraId="0497CAD7" w14:textId="0389AB8C" w:rsidR="00CA43B3" w:rsidRDefault="00FD636B" w:rsidP="00903BE0">
      <w:pPr>
        <w:pStyle w:val="Heading1"/>
      </w:pPr>
      <w:bookmarkStart w:id="26" w:name="_Toc185516847"/>
      <w:bookmarkStart w:id="27" w:name="_Toc189563141"/>
      <w:r>
        <w:lastRenderedPageBreak/>
        <w:t xml:space="preserve">Discussion </w:t>
      </w:r>
      <w:r w:rsidR="00E50DD2">
        <w:t>&amp;</w:t>
      </w:r>
      <w:r>
        <w:t xml:space="preserve"> Recommendations</w:t>
      </w:r>
      <w:bookmarkEnd w:id="26"/>
      <w:bookmarkEnd w:id="27"/>
    </w:p>
    <w:p w14:paraId="4A0EE76B" w14:textId="77777777" w:rsidR="00911DC4" w:rsidRDefault="00911DC4" w:rsidP="00911DC4">
      <w:pPr>
        <w:pStyle w:val="Heading2"/>
      </w:pPr>
      <w:bookmarkStart w:id="28" w:name="_Toc185516848"/>
      <w:r>
        <w:t>Summary</w:t>
      </w:r>
      <w:bookmarkEnd w:id="28"/>
    </w:p>
    <w:p w14:paraId="456EBAFC" w14:textId="3FA92344" w:rsidR="00B12472" w:rsidRDefault="00B12472" w:rsidP="00B12472">
      <w:pPr>
        <w:pStyle w:val="Heading3"/>
      </w:pPr>
      <w:bookmarkStart w:id="29" w:name="_Toc185516849"/>
      <w:r>
        <w:t>Global trends in health inequalities within count</w:t>
      </w:r>
      <w:r w:rsidR="00193AF6">
        <w:t>ries</w:t>
      </w:r>
      <w:bookmarkEnd w:id="29"/>
    </w:p>
    <w:p w14:paraId="33AC9075" w14:textId="18A6F9DD" w:rsidR="00911DC4" w:rsidRDefault="00193AF6" w:rsidP="3030E45D">
      <w:r>
        <w:t>S</w:t>
      </w:r>
      <w:r w:rsidR="00911DC4">
        <w:t xml:space="preserve">tudies of gaps in </w:t>
      </w:r>
      <w:r>
        <w:t>adult and infant mortality</w:t>
      </w:r>
      <w:r w:rsidR="00911DC4">
        <w:t xml:space="preserve"> </w:t>
      </w:r>
      <w:r w:rsidR="00B622A5">
        <w:t xml:space="preserve">within a range of high-incomes countries </w:t>
      </w:r>
      <w:r w:rsidR="00911DC4">
        <w:t xml:space="preserve">typically show that </w:t>
      </w:r>
      <w:r w:rsidR="00725E56">
        <w:t>the</w:t>
      </w:r>
      <w:r w:rsidR="00911DC4">
        <w:t xml:space="preserve"> most deprived areas and groups have had a slower rate of improvement in life expectancy compared to the least deprived areas and groups. In both the United Kingdom and Germany, data suggests that improvements in life expectancy have </w:t>
      </w:r>
      <w:r w:rsidR="00725E56">
        <w:t>slowed</w:t>
      </w:r>
      <w:r w:rsidR="00911DC4">
        <w:t xml:space="preserve"> in recent years. Although there are historical examples of health inequalities being reduced at scale, recent trend analyses of within country differences in health show that many high-income countries have experienced a widening in health inequalities. Drawing on available evidence from the United States, United Kingdom, Sweden, and Western Europe, Bambra (2024) has described the existence of a u-shaped curve in health inequalities across the 20th and 21st centuries. That is, following a decrease in health inequalities through to the early 1980s, they then started to increase and widened further from 2010 onwards.</w:t>
      </w:r>
    </w:p>
    <w:p w14:paraId="54A70CFD" w14:textId="78F9F628" w:rsidR="00795251" w:rsidRDefault="001A4393" w:rsidP="00795251">
      <w:pPr>
        <w:pStyle w:val="Heading3"/>
      </w:pPr>
      <w:bookmarkStart w:id="30" w:name="_Toc185516850"/>
      <w:r>
        <w:t>Policy actions to tackle health in</w:t>
      </w:r>
      <w:r w:rsidR="007042D6">
        <w:t>equalities</w:t>
      </w:r>
      <w:bookmarkEnd w:id="30"/>
    </w:p>
    <w:p w14:paraId="5C0A5EDA" w14:textId="035EEAB0" w:rsidR="00911DC4" w:rsidRPr="002F0CEA" w:rsidRDefault="004E7842" w:rsidP="00911DC4">
      <w:r>
        <w:t xml:space="preserve">Although many governments are taking steps to address health inequalities, particularly </w:t>
      </w:r>
      <w:proofErr w:type="gramStart"/>
      <w:r w:rsidR="00A27946">
        <w:t>in light of</w:t>
      </w:r>
      <w:proofErr w:type="gramEnd"/>
      <w:r>
        <w:t xml:space="preserve"> the unequal impacts of the Covid-19 pandemic, we did not identify </w:t>
      </w:r>
      <w:r w:rsidR="00BB3564">
        <w:t xml:space="preserve">any </w:t>
      </w:r>
      <w:r>
        <w:t xml:space="preserve">recent examples of national cross-governmental programmes to reduce health inequalities. </w:t>
      </w:r>
      <w:r w:rsidR="00870A67">
        <w:t xml:space="preserve">The </w:t>
      </w:r>
      <w:r w:rsidR="00911DC4">
        <w:t xml:space="preserve">English </w:t>
      </w:r>
      <w:r w:rsidR="0057622E">
        <w:t xml:space="preserve">cross-government </w:t>
      </w:r>
      <w:r w:rsidR="00870A67">
        <w:t xml:space="preserve">strategy </w:t>
      </w:r>
      <w:r w:rsidR="00911DC4">
        <w:t>implemented b</w:t>
      </w:r>
      <w:r w:rsidR="00163B17">
        <w:t>etween</w:t>
      </w:r>
      <w:r w:rsidR="00911DC4">
        <w:t xml:space="preserve"> 199</w:t>
      </w:r>
      <w:r w:rsidR="00CF2393">
        <w:t>7</w:t>
      </w:r>
      <w:r w:rsidR="00163B17">
        <w:t xml:space="preserve"> and 2010 remains</w:t>
      </w:r>
      <w:r w:rsidR="00CF2393">
        <w:t xml:space="preserve"> </w:t>
      </w:r>
      <w:r w:rsidR="000256FF">
        <w:t>the most ambitious attempt to deliver national policy</w:t>
      </w:r>
      <w:r w:rsidR="000256FF" w:rsidRPr="000256FF">
        <w:t xml:space="preserve"> </w:t>
      </w:r>
      <w:r w:rsidR="000256FF">
        <w:t>to reduce health inequalities (</w:t>
      </w:r>
      <w:proofErr w:type="spellStart"/>
      <w:r w:rsidR="000256FF">
        <w:t>Mackenbach</w:t>
      </w:r>
      <w:proofErr w:type="spellEnd"/>
      <w:r w:rsidR="000256FF">
        <w:t>, 2019).</w:t>
      </w:r>
      <w:r w:rsidR="00BA1A4B">
        <w:t xml:space="preserve"> </w:t>
      </w:r>
      <w:r w:rsidR="00272255">
        <w:t>The English strategy</w:t>
      </w:r>
      <w:r w:rsidR="00650B4D">
        <w:t xml:space="preserve"> was associated with </w:t>
      </w:r>
      <w:r w:rsidR="00B1153A">
        <w:t xml:space="preserve">modest </w:t>
      </w:r>
      <w:r w:rsidR="003D26C6">
        <w:t xml:space="preserve">reductions </w:t>
      </w:r>
      <w:r w:rsidR="00650B4D">
        <w:t>in inequalities</w:t>
      </w:r>
      <w:r w:rsidR="002B5E01">
        <w:t>,</w:t>
      </w:r>
      <w:r w:rsidR="00C54BE6">
        <w:t xml:space="preserve"> including</w:t>
      </w:r>
      <w:r w:rsidR="00650B4D">
        <w:t xml:space="preserve"> in life expectancy</w:t>
      </w:r>
      <w:r w:rsidR="00C7252C">
        <w:t xml:space="preserve"> and infant mortality</w:t>
      </w:r>
      <w:r w:rsidR="00650B4D">
        <w:t xml:space="preserve"> (Barr et al., 2017</w:t>
      </w:r>
      <w:r w:rsidR="00EC32E9">
        <w:t xml:space="preserve">; </w:t>
      </w:r>
      <w:r w:rsidR="0081780B">
        <w:t>Robinson et al., 2019</w:t>
      </w:r>
      <w:r w:rsidR="00B06827">
        <w:t>)</w:t>
      </w:r>
      <w:r w:rsidR="00272255">
        <w:t xml:space="preserve">, but it has been noted that </w:t>
      </w:r>
      <w:r w:rsidR="00B06827">
        <w:t xml:space="preserve">more research is needed to </w:t>
      </w:r>
      <w:r w:rsidR="00A07060">
        <w:t>‘</w:t>
      </w:r>
      <w:r w:rsidR="00B06827">
        <w:t xml:space="preserve">unpick </w:t>
      </w:r>
      <w:r w:rsidR="00143836">
        <w:t>its</w:t>
      </w:r>
      <w:r w:rsidR="00B06827">
        <w:t xml:space="preserve"> active</w:t>
      </w:r>
      <w:r w:rsidR="00272255">
        <w:t xml:space="preserve"> in</w:t>
      </w:r>
      <w:r w:rsidR="00143836">
        <w:t>gredients</w:t>
      </w:r>
      <w:r w:rsidR="00A07060">
        <w:t>’</w:t>
      </w:r>
      <w:r w:rsidR="00B06827">
        <w:t xml:space="preserve"> (</w:t>
      </w:r>
      <w:proofErr w:type="spellStart"/>
      <w:r w:rsidR="00EC32E9">
        <w:t>Hold</w:t>
      </w:r>
      <w:r w:rsidR="00A44AD1">
        <w:t>royd</w:t>
      </w:r>
      <w:proofErr w:type="spellEnd"/>
      <w:r w:rsidR="00A44AD1">
        <w:t xml:space="preserve"> et al., 2022</w:t>
      </w:r>
      <w:r w:rsidR="00650B4D">
        <w:t>)</w:t>
      </w:r>
      <w:r w:rsidR="00911DC4" w:rsidRPr="00EF4AFF">
        <w:t>.</w:t>
      </w:r>
      <w:r w:rsidR="002A07E9">
        <w:t xml:space="preserve"> </w:t>
      </w:r>
    </w:p>
    <w:p w14:paraId="14E5BF6B" w14:textId="5F68DD2F" w:rsidR="00911DC4" w:rsidRDefault="00E360DE" w:rsidP="00911DC4">
      <w:r>
        <w:t xml:space="preserve">While there is consensus among researchers in the field pointing to the importance of welfare state expansion and increased access to healthcare </w:t>
      </w:r>
      <w:r w:rsidR="00942670">
        <w:t xml:space="preserve">for achieving reductions in health inequalities </w:t>
      </w:r>
      <w:r>
        <w:t>(</w:t>
      </w:r>
      <w:proofErr w:type="spellStart"/>
      <w:r>
        <w:t>Mackenbach</w:t>
      </w:r>
      <w:proofErr w:type="spellEnd"/>
      <w:r>
        <w:t>, 2019; Bambra, 2022)</w:t>
      </w:r>
      <w:r w:rsidR="00744A18">
        <w:t>, i</w:t>
      </w:r>
      <w:r w:rsidR="00CF1F6C">
        <w:t xml:space="preserve">t </w:t>
      </w:r>
      <w:r w:rsidR="00744A18">
        <w:t>was</w:t>
      </w:r>
      <w:r w:rsidR="00CF1F6C">
        <w:t xml:space="preserve"> not possible within the context of this work</w:t>
      </w:r>
      <w:r w:rsidR="00904516">
        <w:t>, however,</w:t>
      </w:r>
      <w:r w:rsidR="00CF1F6C">
        <w:t xml:space="preserve"> to recommend specific courses of policy action to reduce health ineq</w:t>
      </w:r>
      <w:r w:rsidR="0040494A">
        <w:t xml:space="preserve">ualities. </w:t>
      </w:r>
      <w:r w:rsidR="005335ED">
        <w:t>Instead,</w:t>
      </w:r>
      <w:r w:rsidR="0040494A">
        <w:t xml:space="preserve"> </w:t>
      </w:r>
      <w:r w:rsidR="00744A18">
        <w:t>we have highlighted policy actions on the determinants of health</w:t>
      </w:r>
      <w:r w:rsidR="00926473">
        <w:t xml:space="preserve"> across seven high-income countries of a similar population size and with similarities in their political systems and policy choices to Wales.</w:t>
      </w:r>
      <w:r w:rsidR="00515608">
        <w:t xml:space="preserve"> </w:t>
      </w:r>
    </w:p>
    <w:p w14:paraId="13A59A79" w14:textId="77777777" w:rsidR="49D5A436" w:rsidRDefault="18110551" w:rsidP="3030E45D">
      <w:pPr>
        <w:pStyle w:val="Heading2"/>
      </w:pPr>
      <w:bookmarkStart w:id="31" w:name="_Toc185516851"/>
      <w:r>
        <w:t>Learning for Wales</w:t>
      </w:r>
      <w:bookmarkEnd w:id="31"/>
    </w:p>
    <w:p w14:paraId="558E19EE" w14:textId="11A3E219" w:rsidR="18110551" w:rsidRDefault="001229D1">
      <w:r>
        <w:t xml:space="preserve">A commitment to acting on health inequalities requires high-level political will and a strong culture of intersectoral collaboration inside and outside of government (Cairney et al., 2021; Green et al., 2021). </w:t>
      </w:r>
      <w:r w:rsidR="18110551">
        <w:t xml:space="preserve">The strategic and policy context for acting on health inequalities has been strengthened in Wales by several key pieces of </w:t>
      </w:r>
      <w:r w:rsidR="18110551">
        <w:lastRenderedPageBreak/>
        <w:t xml:space="preserve">enabling legislation that support a greater focus on prevention and addressing inequalities. However, there are also major challenges and constraints to what policy actions are possible within the powers that the Welsh Government can exercise under devolution. </w:t>
      </w:r>
    </w:p>
    <w:p w14:paraId="7120E009" w14:textId="57B67912" w:rsidR="18110551" w:rsidRDefault="18110551" w:rsidP="3030E45D">
      <w:pPr>
        <w:pStyle w:val="Heading3"/>
      </w:pPr>
      <w:bookmarkStart w:id="32" w:name="_Toc185516852"/>
      <w:r>
        <w:t>General considerations</w:t>
      </w:r>
      <w:bookmarkEnd w:id="32"/>
    </w:p>
    <w:p w14:paraId="0F2C1BB5" w14:textId="718ACC22" w:rsidR="18110551" w:rsidRDefault="00D95C98">
      <w:r>
        <w:t xml:space="preserve">The NHS in Wales is currently facing enormous pressures and there has been little progress on reducing the post-pandemic backlog of waiting times. There have been calls to transform the approach to delivery of health and care in Wales both before (e.g. </w:t>
      </w:r>
      <w:r w:rsidRPr="00234C7B">
        <w:t>Welsh Government</w:t>
      </w:r>
      <w:r>
        <w:t>, 2018) and since (e.g. The Bevan Commission 2024)</w:t>
      </w:r>
      <w:r w:rsidR="00284BD2" w:rsidRPr="00284BD2">
        <w:t xml:space="preserve"> </w:t>
      </w:r>
      <w:r w:rsidR="00284BD2">
        <w:t>the pandemic</w:t>
      </w:r>
      <w:r>
        <w:t xml:space="preserve">. </w:t>
      </w:r>
      <w:r w:rsidR="001D4C99">
        <w:t>Given that</w:t>
      </w:r>
      <w:r w:rsidR="18110551">
        <w:t xml:space="preserve"> increased healthcare access is an important mechanism for reducing health inequalities (</w:t>
      </w:r>
      <w:proofErr w:type="spellStart"/>
      <w:r w:rsidR="18110551">
        <w:t>Mackenbach</w:t>
      </w:r>
      <w:proofErr w:type="spellEnd"/>
      <w:r w:rsidR="18110551">
        <w:t xml:space="preserve">, 2019), the importance of preserving equal access to health </w:t>
      </w:r>
      <w:r w:rsidR="00B27215">
        <w:t xml:space="preserve">and </w:t>
      </w:r>
      <w:r w:rsidR="18110551">
        <w:t xml:space="preserve">care in Wales should not be underestimated. The expansion of the welfare state has also been identified as an important mechanism for reducing health inequalities. Any changes to the social security system in Wales should take account of the evidence on the </w:t>
      </w:r>
      <w:r w:rsidR="18110551" w:rsidRPr="3030E45D">
        <w:rPr>
          <w:color w:val="000000" w:themeColor="text1"/>
        </w:rPr>
        <w:t>relationship between social security provision and health inequalities (Simpson et al., 2021) and the opportunity for</w:t>
      </w:r>
      <w:r w:rsidR="18110551">
        <w:t xml:space="preserve"> synergies between welfare reform and polices to reduce health inequalities (</w:t>
      </w:r>
      <w:proofErr w:type="spellStart"/>
      <w:r w:rsidR="18110551">
        <w:t>Mackenbach</w:t>
      </w:r>
      <w:proofErr w:type="spellEnd"/>
      <w:r w:rsidR="18110551">
        <w:t>, 2019).</w:t>
      </w:r>
      <w:r w:rsidR="00017869" w:rsidRPr="00017869">
        <w:t xml:space="preserve"> </w:t>
      </w:r>
      <w:r w:rsidR="00D31C91">
        <w:t>H</w:t>
      </w:r>
      <w:r w:rsidR="00017869" w:rsidRPr="00017869">
        <w:t>ealth impact assessment</w:t>
      </w:r>
      <w:r w:rsidR="00D31C91">
        <w:t xml:space="preserve"> (HIA)</w:t>
      </w:r>
      <w:r w:rsidR="000E7314">
        <w:t xml:space="preserve"> is a method that can be used</w:t>
      </w:r>
      <w:r w:rsidR="00017869" w:rsidRPr="00017869">
        <w:t xml:space="preserve"> </w:t>
      </w:r>
      <w:r w:rsidR="00786F1A">
        <w:t>to guide</w:t>
      </w:r>
      <w:r w:rsidR="0051201A">
        <w:t xml:space="preserve"> the explicit consider</w:t>
      </w:r>
      <w:r w:rsidR="00786F1A">
        <w:t xml:space="preserve">ation of health and wellbeing </w:t>
      </w:r>
      <w:r w:rsidR="007056FA">
        <w:t xml:space="preserve">in </w:t>
      </w:r>
      <w:r w:rsidR="00B97058">
        <w:t>policies</w:t>
      </w:r>
      <w:r w:rsidR="00CC7FA2">
        <w:t xml:space="preserve"> and</w:t>
      </w:r>
      <w:r w:rsidR="00CC7FA2" w:rsidRPr="00CC7FA2">
        <w:t xml:space="preserve"> </w:t>
      </w:r>
      <w:r w:rsidR="00B97058">
        <w:t xml:space="preserve">used </w:t>
      </w:r>
      <w:r w:rsidR="00017869" w:rsidRPr="00017869">
        <w:t xml:space="preserve">to ensure </w:t>
      </w:r>
      <w:r w:rsidR="00B97058">
        <w:t xml:space="preserve">that </w:t>
      </w:r>
      <w:r w:rsidR="00017869" w:rsidRPr="00017869">
        <w:t xml:space="preserve">policy decisions do not exacerbate </w:t>
      </w:r>
      <w:r w:rsidR="00B97058">
        <w:t xml:space="preserve">health and wellbeing </w:t>
      </w:r>
      <w:r w:rsidR="00017869" w:rsidRPr="00017869">
        <w:t>inequalities</w:t>
      </w:r>
      <w:r w:rsidR="00D57BA8">
        <w:t xml:space="preserve"> (Green et al., 2021)</w:t>
      </w:r>
      <w:r w:rsidR="00017869">
        <w:t>.</w:t>
      </w:r>
      <w:r w:rsidR="00B97058">
        <w:t xml:space="preserve"> </w:t>
      </w:r>
      <w:r w:rsidR="00C96B6B">
        <w:t xml:space="preserve">Wales </w:t>
      </w:r>
      <w:r w:rsidR="00747FED">
        <w:t>is in the unique position of having</w:t>
      </w:r>
      <w:r w:rsidR="00C96B6B">
        <w:t xml:space="preserve"> a dedicated Health Impact Assessment Unit</w:t>
      </w:r>
      <w:r w:rsidR="00747FED">
        <w:t xml:space="preserve"> (WHIASU) and a public health law which requires HIAs to be carried out in defined circumstances.</w:t>
      </w:r>
    </w:p>
    <w:p w14:paraId="3A240FBD" w14:textId="6ED30BAF" w:rsidR="18110551" w:rsidRDefault="18110551">
      <w:r>
        <w:t>Based on the argument that behavioural risk factors should also be specifically targeted by health inequalities policy (</w:t>
      </w:r>
      <w:proofErr w:type="spellStart"/>
      <w:r>
        <w:t>Mackenbach</w:t>
      </w:r>
      <w:proofErr w:type="spellEnd"/>
      <w:r>
        <w:t>, 2019), alongside action on the wider determinants, opportunities for greater cross-government working and intersectoral action on health-related behaviours</w:t>
      </w:r>
      <w:r w:rsidR="00F22409">
        <w:t xml:space="preserve"> should be </w:t>
      </w:r>
      <w:r w:rsidR="002E755F">
        <w:t xml:space="preserve">taken and </w:t>
      </w:r>
      <w:r w:rsidR="007C7831">
        <w:t>maximised</w:t>
      </w:r>
      <w:r>
        <w:t xml:space="preserve">. Wales is working towards a tobacco-free future through the Smoke free Wales strategy </w:t>
      </w:r>
      <w:r w:rsidR="008B58A5">
        <w:t xml:space="preserve">and </w:t>
      </w:r>
      <w:r w:rsidR="007A74B9">
        <w:t xml:space="preserve">has a </w:t>
      </w:r>
      <w:r w:rsidR="00B27215">
        <w:t>long-term</w:t>
      </w:r>
      <w:r w:rsidR="007A74B9">
        <w:t xml:space="preserve"> strategy to prevent and reduce obesity through Healthy Weight</w:t>
      </w:r>
      <w:r w:rsidR="00FC4E8D">
        <w:t xml:space="preserve"> Healthy Wales, </w:t>
      </w:r>
      <w:r>
        <w:t xml:space="preserve">but there is a need </w:t>
      </w:r>
      <w:r w:rsidR="0060293D">
        <w:t xml:space="preserve">to ensure continued </w:t>
      </w:r>
      <w:r>
        <w:t xml:space="preserve">cross-government action and co-ordinated intersectoral strategies and policies </w:t>
      </w:r>
      <w:r w:rsidR="0081610F">
        <w:t xml:space="preserve">are used to </w:t>
      </w:r>
      <w:r>
        <w:t>effectively target and support action on health-related behaviours.</w:t>
      </w:r>
    </w:p>
    <w:p w14:paraId="79E3C2C7" w14:textId="4348F1B9" w:rsidR="18110551" w:rsidRDefault="18110551" w:rsidP="3030E45D">
      <w:pPr>
        <w:pStyle w:val="Heading3"/>
      </w:pPr>
      <w:bookmarkStart w:id="33" w:name="_Toc185516853"/>
      <w:r>
        <w:t>Summary of key policy actions</w:t>
      </w:r>
      <w:bookmarkEnd w:id="33"/>
    </w:p>
    <w:p w14:paraId="56B37375" w14:textId="35D87D75" w:rsidR="001810B5" w:rsidRDefault="615AD1E0" w:rsidP="3030E45D">
      <w:pPr>
        <w:rPr>
          <w:lang w:eastAsia="en-GB"/>
        </w:rPr>
      </w:pPr>
      <w:r>
        <w:t>Under the category of</w:t>
      </w:r>
      <w:r w:rsidR="00633A4F" w:rsidRPr="3030E45D">
        <w:rPr>
          <w:b/>
          <w:bCs/>
        </w:rPr>
        <w:t xml:space="preserve"> Health Services</w:t>
      </w:r>
      <w:r w:rsidR="39CFF39C">
        <w:t>,</w:t>
      </w:r>
      <w:r w:rsidR="00CE4EDC">
        <w:t xml:space="preserve"> </w:t>
      </w:r>
      <w:r w:rsidR="6FA69D1A">
        <w:t>k</w:t>
      </w:r>
      <w:r w:rsidR="00067E02">
        <w:t>ey examples of policy actions were focused on r</w:t>
      </w:r>
      <w:r w:rsidR="00633A4F" w:rsidRPr="3030E45D">
        <w:rPr>
          <w:lang w:eastAsia="en-GB"/>
        </w:rPr>
        <w:t xml:space="preserve">educing </w:t>
      </w:r>
      <w:r w:rsidR="00067E02" w:rsidRPr="3030E45D">
        <w:rPr>
          <w:lang w:eastAsia="en-GB"/>
        </w:rPr>
        <w:t>w</w:t>
      </w:r>
      <w:r w:rsidR="00633A4F" w:rsidRPr="3030E45D">
        <w:rPr>
          <w:lang w:eastAsia="en-GB"/>
        </w:rPr>
        <w:t xml:space="preserve">aiting </w:t>
      </w:r>
      <w:r w:rsidR="00067E02" w:rsidRPr="3030E45D">
        <w:rPr>
          <w:lang w:eastAsia="en-GB"/>
        </w:rPr>
        <w:t>t</w:t>
      </w:r>
      <w:r w:rsidR="00633A4F" w:rsidRPr="3030E45D">
        <w:rPr>
          <w:lang w:eastAsia="en-GB"/>
        </w:rPr>
        <w:t>imes</w:t>
      </w:r>
      <w:r w:rsidR="00067E02" w:rsidRPr="3030E45D">
        <w:rPr>
          <w:lang w:eastAsia="en-GB"/>
        </w:rPr>
        <w:t xml:space="preserve"> and</w:t>
      </w:r>
      <w:r w:rsidR="00067E02" w:rsidRPr="3030E45D">
        <w:rPr>
          <w:b/>
          <w:bCs/>
          <w:lang w:eastAsia="en-GB"/>
        </w:rPr>
        <w:t xml:space="preserve"> </w:t>
      </w:r>
      <w:r w:rsidR="00067E02" w:rsidRPr="3030E45D">
        <w:rPr>
          <w:lang w:eastAsia="en-GB"/>
        </w:rPr>
        <w:t>collaborative approaches</w:t>
      </w:r>
      <w:r w:rsidR="008044E3" w:rsidRPr="3030E45D">
        <w:rPr>
          <w:lang w:eastAsia="en-GB"/>
        </w:rPr>
        <w:t xml:space="preserve"> within the health system.</w:t>
      </w:r>
      <w:r w:rsidR="00633A4F" w:rsidRPr="3030E45D">
        <w:rPr>
          <w:lang w:eastAsia="en-GB"/>
        </w:rPr>
        <w:t xml:space="preserve"> </w:t>
      </w:r>
      <w:r w:rsidR="473ABE2D" w:rsidRPr="3030E45D">
        <w:rPr>
          <w:lang w:eastAsia="en-GB"/>
        </w:rPr>
        <w:t xml:space="preserve">The governments in </w:t>
      </w:r>
      <w:r w:rsidR="00633A4F" w:rsidRPr="3030E45D">
        <w:rPr>
          <w:lang w:eastAsia="en-GB"/>
        </w:rPr>
        <w:t>Finland and Ireland have implemented specific policies to reduce waiting times, including legislative changes and significant financial investments.</w:t>
      </w:r>
      <w:r w:rsidR="008044E3" w:rsidRPr="3030E45D">
        <w:rPr>
          <w:lang w:eastAsia="en-GB"/>
        </w:rPr>
        <w:t xml:space="preserve"> </w:t>
      </w:r>
      <w:r w:rsidR="1D9BCD28" w:rsidRPr="3030E45D">
        <w:rPr>
          <w:lang w:eastAsia="en-GB"/>
        </w:rPr>
        <w:t xml:space="preserve">From </w:t>
      </w:r>
      <w:r w:rsidR="00633A4F" w:rsidRPr="3030E45D">
        <w:rPr>
          <w:lang w:eastAsia="en-GB"/>
        </w:rPr>
        <w:t>Slovenia and Iceland</w:t>
      </w:r>
      <w:r w:rsidR="63EC4FC1" w:rsidRPr="3030E45D">
        <w:rPr>
          <w:lang w:eastAsia="en-GB"/>
        </w:rPr>
        <w:t>, we identified examples of programmes that</w:t>
      </w:r>
      <w:r w:rsidR="00633A4F" w:rsidRPr="3030E45D">
        <w:rPr>
          <w:lang w:eastAsia="en-GB"/>
        </w:rPr>
        <w:t xml:space="preserve"> </w:t>
      </w:r>
      <w:r w:rsidR="008044E3" w:rsidRPr="3030E45D">
        <w:rPr>
          <w:lang w:eastAsia="en-GB"/>
        </w:rPr>
        <w:t xml:space="preserve">have </w:t>
      </w:r>
      <w:r w:rsidR="00633A4F" w:rsidRPr="3030E45D">
        <w:rPr>
          <w:lang w:eastAsia="en-GB"/>
        </w:rPr>
        <w:t>focus</w:t>
      </w:r>
      <w:r w:rsidR="008044E3" w:rsidRPr="3030E45D">
        <w:rPr>
          <w:lang w:eastAsia="en-GB"/>
        </w:rPr>
        <w:t>ed</w:t>
      </w:r>
      <w:r w:rsidR="00633A4F" w:rsidRPr="3030E45D">
        <w:rPr>
          <w:lang w:eastAsia="en-GB"/>
        </w:rPr>
        <w:t xml:space="preserve"> on strengthening the role of primary health care providers by engaging with community partners and addressing community health needs through intersectoral collaboration and community partnerships.</w:t>
      </w:r>
    </w:p>
    <w:p w14:paraId="4D51C4AC" w14:textId="77777777" w:rsidR="001810B5" w:rsidRDefault="001810B5">
      <w:pPr>
        <w:spacing w:after="0" w:line="240" w:lineRule="auto"/>
        <w:rPr>
          <w:lang w:eastAsia="en-GB"/>
        </w:rPr>
      </w:pPr>
      <w:r>
        <w:rPr>
          <w:lang w:eastAsia="en-GB"/>
        </w:rPr>
        <w:br w:type="page"/>
      </w:r>
    </w:p>
    <w:tbl>
      <w:tblPr>
        <w:tblStyle w:val="TableGrid"/>
        <w:tblW w:w="0" w:type="auto"/>
        <w:tblLook w:val="04A0" w:firstRow="1" w:lastRow="0" w:firstColumn="1" w:lastColumn="0" w:noHBand="0" w:noVBand="1"/>
      </w:tblPr>
      <w:tblGrid>
        <w:gridCol w:w="9016"/>
      </w:tblGrid>
      <w:tr w:rsidR="0015220B" w14:paraId="68346DF9" w14:textId="77777777" w:rsidTr="001810B5">
        <w:tc>
          <w:tcPr>
            <w:tcW w:w="9016" w:type="dxa"/>
            <w:tcBorders>
              <w:top w:val="nil"/>
              <w:left w:val="nil"/>
              <w:bottom w:val="nil"/>
              <w:right w:val="nil"/>
            </w:tcBorders>
          </w:tcPr>
          <w:p w14:paraId="3831DF13" w14:textId="400953D6" w:rsidR="00E46A94" w:rsidRPr="001810B5" w:rsidRDefault="0015220B" w:rsidP="0015220B">
            <w:pPr>
              <w:rPr>
                <w:color w:val="FFFFFF" w:themeColor="background1"/>
              </w:rPr>
            </w:pPr>
            <w:r w:rsidRPr="001810B5">
              <w:rPr>
                <w:b/>
                <w:bCs/>
                <w:i/>
                <w:iCs/>
                <w:color w:val="FFFFFF" w:themeColor="background1"/>
              </w:rPr>
              <w:lastRenderedPageBreak/>
              <w:t>Learning opportunity:</w:t>
            </w:r>
            <w:r w:rsidRPr="001810B5">
              <w:rPr>
                <w:color w:val="FFFFFF" w:themeColor="background1"/>
              </w:rPr>
              <w:t xml:space="preserve"> </w:t>
            </w:r>
          </w:p>
          <w:p w14:paraId="63950D84" w14:textId="422FA975" w:rsidR="0015220B" w:rsidRDefault="00E46A94" w:rsidP="0015220B">
            <w:r w:rsidRPr="001810B5">
              <w:rPr>
                <w:color w:val="FFFFFF" w:themeColor="background1"/>
              </w:rPr>
              <w:t xml:space="preserve">With the development of the </w:t>
            </w:r>
            <w:r w:rsidR="0015220B" w:rsidRPr="001810B5">
              <w:rPr>
                <w:color w:val="FFFFFF" w:themeColor="background1"/>
              </w:rPr>
              <w:t xml:space="preserve">Public Health Wales framework for a system leadership role in healthcare public health (Public Health Wales, 2023). There is the potential to learn from the policy actions in Slovenia, Iceland, and Ireland about the development of health promotion and prevention services at a local level and the structures needed to support intersectoral working. </w:t>
            </w:r>
          </w:p>
        </w:tc>
      </w:tr>
    </w:tbl>
    <w:p w14:paraId="54D4D71F" w14:textId="319BF3AA" w:rsidR="00633A4F" w:rsidRPr="00633A4F" w:rsidRDefault="001810B5" w:rsidP="001810B5">
      <w:pPr>
        <w:spacing w:before="240"/>
        <w:rPr>
          <w:lang w:eastAsia="en-GB"/>
        </w:rPr>
      </w:pPr>
      <w:r w:rsidRPr="001810B5">
        <w:rPr>
          <w:rFonts w:ascii="Roboto" w:hAnsi="Roboto"/>
          <w:noProof/>
          <w:color w:val="FFFFFF" w:themeColor="background1"/>
          <w:sz w:val="72"/>
          <w:szCs w:val="72"/>
        </w:rPr>
        <mc:AlternateContent>
          <mc:Choice Requires="wps">
            <w:drawing>
              <wp:anchor distT="0" distB="0" distL="114300" distR="114300" simplePos="0" relativeHeight="251658250" behindDoc="1" locked="0" layoutInCell="1" allowOverlap="1" wp14:anchorId="12E87FA0" wp14:editId="14C151B5">
                <wp:simplePos x="0" y="0"/>
                <wp:positionH relativeFrom="margin">
                  <wp:posOffset>-914400</wp:posOffset>
                </wp:positionH>
                <wp:positionV relativeFrom="paragraph">
                  <wp:posOffset>-1363345</wp:posOffset>
                </wp:positionV>
                <wp:extent cx="6767830" cy="1345720"/>
                <wp:effectExtent l="0" t="0" r="0" b="6985"/>
                <wp:wrapNone/>
                <wp:docPr id="1311548763" name="Rectangle 1"/>
                <wp:cNvGraphicFramePr/>
                <a:graphic xmlns:a="http://schemas.openxmlformats.org/drawingml/2006/main">
                  <a:graphicData uri="http://schemas.microsoft.com/office/word/2010/wordprocessingShape">
                    <wps:wsp>
                      <wps:cNvSpPr/>
                      <wps:spPr>
                        <a:xfrm>
                          <a:off x="0" y="0"/>
                          <a:ext cx="6767830" cy="1345720"/>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051EFF" id="Rectangle 1" o:spid="_x0000_s1026" style="position:absolute;margin-left:-1in;margin-top:-107.35pt;width:532.9pt;height:105.95pt;z-index:-25165823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" fillcolor="#156082 [3204]" stroked="f" strokeweight="1pt">
                <w10:wrap anchorx="margin"/>
              </v:rect>
            </w:pict>
          </mc:Fallback>
        </mc:AlternateContent>
      </w:r>
      <w:r w:rsidR="3503F7DD">
        <w:t>With re</w:t>
      </w:r>
      <w:r w:rsidR="6AFBF81F">
        <w:t xml:space="preserve">gards </w:t>
      </w:r>
      <w:r w:rsidR="3503F7DD">
        <w:t xml:space="preserve">to </w:t>
      </w:r>
      <w:r w:rsidR="00633A4F" w:rsidRPr="3030E45D">
        <w:rPr>
          <w:b/>
          <w:bCs/>
        </w:rPr>
        <w:t>Income Security and Social Protection</w:t>
      </w:r>
      <w:r w:rsidR="3391A30D">
        <w:t xml:space="preserve">, </w:t>
      </w:r>
      <w:r w:rsidR="48A3E213">
        <w:t>interest has grown i</w:t>
      </w:r>
      <w:r w:rsidR="48A3E213" w:rsidRPr="3030E45D">
        <w:rPr>
          <w:rFonts w:eastAsia="Arial" w:cs="Arial"/>
        </w:rPr>
        <w:t xml:space="preserve">n providing security through a </w:t>
      </w:r>
      <w:r w:rsidR="6CFFE5C7" w:rsidRPr="3030E45D">
        <w:rPr>
          <w:rFonts w:eastAsia="Arial" w:cs="Arial"/>
        </w:rPr>
        <w:t>UBI</w:t>
      </w:r>
      <w:r w:rsidR="129551D2" w:rsidRPr="3030E45D">
        <w:rPr>
          <w:rFonts w:eastAsia="Arial" w:cs="Arial"/>
        </w:rPr>
        <w:t xml:space="preserve"> and</w:t>
      </w:r>
      <w:r w:rsidR="48A3E213" w:rsidRPr="3030E45D">
        <w:rPr>
          <w:rFonts w:eastAsia="Arial" w:cs="Arial"/>
        </w:rPr>
        <w:t xml:space="preserve"> </w:t>
      </w:r>
      <w:r w:rsidR="15BAE6FC" w:rsidRPr="3030E45D">
        <w:rPr>
          <w:rFonts w:eastAsia="Arial" w:cs="Arial"/>
        </w:rPr>
        <w:t>t</w:t>
      </w:r>
      <w:r w:rsidR="48A3E213" w:rsidRPr="3030E45D">
        <w:rPr>
          <w:rFonts w:eastAsia="Arial" w:cs="Arial"/>
        </w:rPr>
        <w:t>rials of UBI</w:t>
      </w:r>
      <w:r w:rsidR="52A5E6DD" w:rsidRPr="3030E45D">
        <w:rPr>
          <w:rFonts w:eastAsia="Arial" w:cs="Arial"/>
        </w:rPr>
        <w:t xml:space="preserve">-like policies in Finland and Wales are informing policy development in this area. </w:t>
      </w:r>
      <w:r w:rsidR="2BBE438E" w:rsidRPr="3030E45D">
        <w:rPr>
          <w:rFonts w:eastAsia="Arial" w:cs="Arial"/>
        </w:rPr>
        <w:t xml:space="preserve">There have also been renewed calls to review the social security system in Wales. </w:t>
      </w:r>
      <w:r w:rsidR="00633A4F" w:rsidRPr="3030E45D">
        <w:rPr>
          <w:lang w:eastAsia="en-GB"/>
        </w:rPr>
        <w:t xml:space="preserve">Scotland has used </w:t>
      </w:r>
      <w:r w:rsidR="71F56904" w:rsidRPr="3030E45D">
        <w:rPr>
          <w:lang w:eastAsia="en-GB"/>
        </w:rPr>
        <w:t xml:space="preserve">its </w:t>
      </w:r>
      <w:r w:rsidR="00633A4F" w:rsidRPr="3030E45D">
        <w:rPr>
          <w:lang w:eastAsia="en-GB"/>
        </w:rPr>
        <w:t>devolved powers to establish a new social security system, delivering benefits such as child and adult disability payments and the Scottish Child Payment.</w:t>
      </w:r>
    </w:p>
    <w:p w14:paraId="6C6B383E" w14:textId="0CB733F8" w:rsidR="00633A4F" w:rsidRDefault="001810B5" w:rsidP="3030E45D">
      <w:pPr>
        <w:rPr>
          <w:lang w:eastAsia="en-GB"/>
        </w:rPr>
      </w:pPr>
      <w:r w:rsidRPr="001810B5">
        <w:rPr>
          <w:rFonts w:ascii="Roboto" w:hAnsi="Roboto"/>
          <w:noProof/>
          <w:color w:val="FFFFFF" w:themeColor="background1"/>
          <w:sz w:val="72"/>
          <w:szCs w:val="72"/>
        </w:rPr>
        <mc:AlternateContent>
          <mc:Choice Requires="wps">
            <w:drawing>
              <wp:anchor distT="0" distB="0" distL="114300" distR="114300" simplePos="0" relativeHeight="251658251" behindDoc="1" locked="0" layoutInCell="1" allowOverlap="1" wp14:anchorId="7526DB67" wp14:editId="284742E7">
                <wp:simplePos x="0" y="0"/>
                <wp:positionH relativeFrom="margin">
                  <wp:posOffset>-914400</wp:posOffset>
                </wp:positionH>
                <wp:positionV relativeFrom="paragraph">
                  <wp:posOffset>2023661</wp:posOffset>
                </wp:positionV>
                <wp:extent cx="6767830" cy="1863306"/>
                <wp:effectExtent l="0" t="0" r="0" b="3810"/>
                <wp:wrapNone/>
                <wp:docPr id="821581187" name="Rectangle 1"/>
                <wp:cNvGraphicFramePr/>
                <a:graphic xmlns:a="http://schemas.openxmlformats.org/drawingml/2006/main">
                  <a:graphicData uri="http://schemas.microsoft.com/office/word/2010/wordprocessingShape">
                    <wps:wsp>
                      <wps:cNvSpPr/>
                      <wps:spPr>
                        <a:xfrm>
                          <a:off x="0" y="0"/>
                          <a:ext cx="6767830" cy="1863306"/>
                        </a:xfrm>
                        <a:prstGeom prst="rect">
                          <a:avLst/>
                        </a:prstGeom>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E90C7" id="Rectangle 1" o:spid="_x0000_s1026" style="position:absolute;margin-left:-1in;margin-top:159.35pt;width:532.9pt;height:146.7pt;z-index:-25165822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" fillcolor="#156082 [3204]" stroked="f" strokeweight="1pt">
                <w10:wrap anchorx="margin"/>
              </v:rect>
            </w:pict>
          </mc:Fallback>
        </mc:AlternateContent>
      </w:r>
      <w:r w:rsidR="6E712768">
        <w:t xml:space="preserve">Regional economic frameworks are commonly used </w:t>
      </w:r>
      <w:r w:rsidR="323CBF41">
        <w:t xml:space="preserve">as a </w:t>
      </w:r>
      <w:r w:rsidR="6E712768">
        <w:t>p</w:t>
      </w:r>
      <w:r w:rsidR="62400DA5">
        <w:t>olic</w:t>
      </w:r>
      <w:r w:rsidR="4D1CA47A">
        <w:t xml:space="preserve">y approach </w:t>
      </w:r>
      <w:r w:rsidR="62400DA5" w:rsidRPr="3030E45D">
        <w:rPr>
          <w:rFonts w:eastAsia="Arial" w:cs="Arial"/>
        </w:rPr>
        <w:t xml:space="preserve">to </w:t>
      </w:r>
      <w:r w:rsidR="6E6A44D0" w:rsidRPr="3030E45D">
        <w:rPr>
          <w:rFonts w:eastAsia="Arial" w:cs="Arial"/>
        </w:rPr>
        <w:t xml:space="preserve">tackle regional inequalities in </w:t>
      </w:r>
      <w:r w:rsidR="00633A4F" w:rsidRPr="3030E45D">
        <w:rPr>
          <w:b/>
          <w:bCs/>
        </w:rPr>
        <w:t>Living Conditions</w:t>
      </w:r>
      <w:r w:rsidR="6712AE64">
        <w:t>. E</w:t>
      </w:r>
      <w:r w:rsidR="6712AE64" w:rsidRPr="3030E45D">
        <w:rPr>
          <w:rFonts w:eastAsia="Arial" w:cs="Arial"/>
        </w:rPr>
        <w:t>conomic development and public health strategies tend to be designed separately, but i</w:t>
      </w:r>
      <w:r w:rsidR="00633A4F" w:rsidRPr="3030E45D">
        <w:rPr>
          <w:lang w:eastAsia="en-GB"/>
        </w:rPr>
        <w:t xml:space="preserve">n Scotland, Public Health Scotland </w:t>
      </w:r>
      <w:r w:rsidR="13A87413" w:rsidRPr="3030E45D">
        <w:rPr>
          <w:lang w:eastAsia="en-GB"/>
        </w:rPr>
        <w:t>has collaborated with</w:t>
      </w:r>
      <w:r w:rsidR="00633A4F" w:rsidRPr="3030E45D">
        <w:rPr>
          <w:lang w:eastAsia="en-GB"/>
        </w:rPr>
        <w:t xml:space="preserve"> </w:t>
      </w:r>
      <w:r w:rsidR="3436B956" w:rsidRPr="3030E45D">
        <w:rPr>
          <w:lang w:eastAsia="en-GB"/>
        </w:rPr>
        <w:t xml:space="preserve">the </w:t>
      </w:r>
      <w:r w:rsidR="00633A4F" w:rsidRPr="3030E45D">
        <w:rPr>
          <w:lang w:eastAsia="en-GB"/>
        </w:rPr>
        <w:t>Glasgow City Region to integrate health into regional economic decisions.</w:t>
      </w:r>
      <w:r w:rsidR="6C552416" w:rsidRPr="3030E45D">
        <w:rPr>
          <w:lang w:eastAsia="en-GB"/>
        </w:rPr>
        <w:t xml:space="preserve"> Ensuring healthy homes and ending homelessness are key poli</w:t>
      </w:r>
      <w:r w:rsidR="43941E47" w:rsidRPr="3030E45D">
        <w:rPr>
          <w:lang w:eastAsia="en-GB"/>
        </w:rPr>
        <w:t>cy priorities in many countries</w:t>
      </w:r>
      <w:r w:rsidR="334CD854" w:rsidRPr="3030E45D">
        <w:rPr>
          <w:lang w:eastAsia="en-GB"/>
        </w:rPr>
        <w:t xml:space="preserve"> aiming to equalize living conditions</w:t>
      </w:r>
      <w:r w:rsidR="43941E47" w:rsidRPr="3030E45D">
        <w:rPr>
          <w:lang w:eastAsia="en-GB"/>
        </w:rPr>
        <w:t>.</w:t>
      </w:r>
      <w:r w:rsidR="00633A4F" w:rsidRPr="3030E45D">
        <w:rPr>
          <w:lang w:eastAsia="en-GB"/>
        </w:rPr>
        <w:t xml:space="preserve"> New Zealand's Healthy Homes Initiative </w:t>
      </w:r>
      <w:r w:rsidR="740E241A" w:rsidRPr="3030E45D">
        <w:rPr>
          <w:lang w:eastAsia="en-GB"/>
        </w:rPr>
        <w:t>provides an example of a sustained government-led partnership on housing</w:t>
      </w:r>
      <w:r w:rsidR="00633A4F" w:rsidRPr="3030E45D">
        <w:rPr>
          <w:lang w:eastAsia="en-GB"/>
        </w:rPr>
        <w:t>.</w:t>
      </w:r>
      <w:r w:rsidR="2440A44C" w:rsidRPr="3030E45D">
        <w:rPr>
          <w:lang w:eastAsia="en-GB"/>
        </w:rPr>
        <w:t xml:space="preserve"> </w:t>
      </w:r>
      <w:r w:rsidR="4290DC8F" w:rsidRPr="3030E45D">
        <w:rPr>
          <w:lang w:eastAsia="en-GB"/>
        </w:rPr>
        <w:t xml:space="preserve">Finland is the only European country to have seen a decline in the number of people who are homeless and is </w:t>
      </w:r>
      <w:r w:rsidR="7B18CBAB" w:rsidRPr="3030E45D">
        <w:rPr>
          <w:lang w:eastAsia="en-GB"/>
        </w:rPr>
        <w:t xml:space="preserve">considered a world leader in </w:t>
      </w:r>
      <w:r w:rsidR="4E5FF3AB" w:rsidRPr="3030E45D">
        <w:rPr>
          <w:lang w:eastAsia="en-GB"/>
        </w:rPr>
        <w:t>implementation</w:t>
      </w:r>
      <w:r w:rsidR="6E29265F" w:rsidRPr="3030E45D">
        <w:rPr>
          <w:lang w:eastAsia="en-GB"/>
        </w:rPr>
        <w:t xml:space="preserve"> of the</w:t>
      </w:r>
      <w:r w:rsidR="7B18CBAB" w:rsidRPr="3030E45D">
        <w:rPr>
          <w:lang w:eastAsia="en-GB"/>
        </w:rPr>
        <w:t xml:space="preserve"> </w:t>
      </w:r>
      <w:r w:rsidR="00633A4F" w:rsidRPr="3030E45D">
        <w:rPr>
          <w:lang w:eastAsia="en-GB"/>
        </w:rPr>
        <w:t>Housing First</w:t>
      </w:r>
      <w:r w:rsidR="48F6A2E0" w:rsidRPr="3030E45D">
        <w:rPr>
          <w:lang w:eastAsia="en-GB"/>
        </w:rPr>
        <w:t xml:space="preserve"> approach</w:t>
      </w:r>
      <w:r w:rsidR="00633A4F" w:rsidRPr="3030E45D">
        <w:rPr>
          <w:lang w:eastAsia="en-GB"/>
        </w:rPr>
        <w:t>.</w:t>
      </w:r>
    </w:p>
    <w:tbl>
      <w:tblPr>
        <w:tblStyle w:val="TableGrid"/>
        <w:tblW w:w="0" w:type="auto"/>
        <w:tblLook w:val="04A0" w:firstRow="1" w:lastRow="0" w:firstColumn="1" w:lastColumn="0" w:noHBand="0" w:noVBand="1"/>
      </w:tblPr>
      <w:tblGrid>
        <w:gridCol w:w="9016"/>
      </w:tblGrid>
      <w:tr w:rsidR="0015220B" w14:paraId="4634D4CF" w14:textId="77777777" w:rsidTr="001810B5">
        <w:tc>
          <w:tcPr>
            <w:tcW w:w="9016" w:type="dxa"/>
            <w:tcBorders>
              <w:top w:val="nil"/>
              <w:left w:val="nil"/>
              <w:bottom w:val="nil"/>
              <w:right w:val="nil"/>
            </w:tcBorders>
          </w:tcPr>
          <w:p w14:paraId="6695BD05" w14:textId="6DADC476" w:rsidR="00FC2A79" w:rsidRPr="001810B5" w:rsidRDefault="0015220B" w:rsidP="3030E45D">
            <w:pPr>
              <w:rPr>
                <w:color w:val="FFFFFF" w:themeColor="background1"/>
              </w:rPr>
            </w:pPr>
            <w:r w:rsidRPr="001810B5">
              <w:rPr>
                <w:b/>
                <w:bCs/>
                <w:i/>
                <w:iCs/>
                <w:color w:val="FFFFFF" w:themeColor="background1"/>
              </w:rPr>
              <w:t xml:space="preserve">Learning </w:t>
            </w:r>
            <w:r w:rsidR="005B4954" w:rsidRPr="001810B5">
              <w:rPr>
                <w:b/>
                <w:bCs/>
                <w:i/>
                <w:iCs/>
                <w:color w:val="FFFFFF" w:themeColor="background1"/>
              </w:rPr>
              <w:t>opportunities</w:t>
            </w:r>
            <w:r w:rsidR="00E46A94" w:rsidRPr="001810B5">
              <w:rPr>
                <w:b/>
                <w:bCs/>
                <w:i/>
                <w:iCs/>
                <w:color w:val="FFFFFF" w:themeColor="background1"/>
              </w:rPr>
              <w:t>:</w:t>
            </w:r>
          </w:p>
          <w:p w14:paraId="0F097728" w14:textId="53716533" w:rsidR="00FC2A79" w:rsidRPr="001810B5" w:rsidRDefault="00E46A94" w:rsidP="3030E45D">
            <w:pPr>
              <w:rPr>
                <w:color w:val="FFFFFF" w:themeColor="background1"/>
              </w:rPr>
            </w:pPr>
            <w:r w:rsidRPr="001810B5">
              <w:rPr>
                <w:color w:val="FFFFFF" w:themeColor="background1"/>
              </w:rPr>
              <w:t xml:space="preserve">There may be </w:t>
            </w:r>
            <w:r w:rsidR="005B4954" w:rsidRPr="001810B5">
              <w:rPr>
                <w:color w:val="FFFFFF" w:themeColor="background1"/>
              </w:rPr>
              <w:t>opportunities to l</w:t>
            </w:r>
            <w:r w:rsidR="00FC2A79" w:rsidRPr="001810B5">
              <w:rPr>
                <w:color w:val="FFFFFF" w:themeColor="background1"/>
              </w:rPr>
              <w:t>earn from the collaboration between Public Health Scotland and Glasgow City Region (Winterbottom, 2023) to guide the greater involvement of public health in regional economic policy development and delivery in Wales.</w:t>
            </w:r>
          </w:p>
          <w:p w14:paraId="400CCD82" w14:textId="1981438F" w:rsidR="0015220B" w:rsidRDefault="0015220B" w:rsidP="3030E45D">
            <w:r w:rsidRPr="001810B5">
              <w:rPr>
                <w:color w:val="FFFFFF" w:themeColor="background1"/>
              </w:rPr>
              <w:t>With the call to co-create a vision for housing in Wales (Future Generations Commissioner for Wales, 2024), there are opportunities to put health at the centre of housing policy.</w:t>
            </w:r>
          </w:p>
        </w:tc>
      </w:tr>
    </w:tbl>
    <w:p w14:paraId="65E646B9" w14:textId="77777777" w:rsidR="0015220B" w:rsidRPr="00633A4F" w:rsidRDefault="0015220B" w:rsidP="3030E45D">
      <w:pPr>
        <w:rPr>
          <w:lang w:eastAsia="en-GB"/>
        </w:rPr>
      </w:pPr>
    </w:p>
    <w:p w14:paraId="5203C879" w14:textId="5AD73367" w:rsidR="00633A4F" w:rsidRPr="00633A4F" w:rsidRDefault="612CBBEF" w:rsidP="3030E45D">
      <w:pPr>
        <w:rPr>
          <w:lang w:eastAsia="en-GB"/>
        </w:rPr>
      </w:pPr>
      <w:r>
        <w:t xml:space="preserve">The WHO five essential conditions for health equity draw attention to the importance of </w:t>
      </w:r>
      <w:r w:rsidR="2E114C5A" w:rsidRPr="3030E45D">
        <w:rPr>
          <w:b/>
          <w:bCs/>
        </w:rPr>
        <w:t>S</w:t>
      </w:r>
      <w:r w:rsidRPr="3030E45D">
        <w:rPr>
          <w:b/>
          <w:bCs/>
        </w:rPr>
        <w:t xml:space="preserve">ocial and </w:t>
      </w:r>
      <w:r w:rsidR="6DB41DED" w:rsidRPr="3030E45D">
        <w:rPr>
          <w:b/>
          <w:bCs/>
        </w:rPr>
        <w:t>H</w:t>
      </w:r>
      <w:r w:rsidRPr="3030E45D">
        <w:rPr>
          <w:b/>
          <w:bCs/>
        </w:rPr>
        <w:t>uman capital</w:t>
      </w:r>
      <w:r>
        <w:t xml:space="preserve"> in promoting health and reducing health inequalities. </w:t>
      </w:r>
      <w:r w:rsidR="008896FC">
        <w:t xml:space="preserve">Along with planetary well-being and economic well-being, they also form part of the WHO four well-being capitals that are considered vital for achieving </w:t>
      </w:r>
      <w:r w:rsidR="5E9E6E15">
        <w:t>inclusive and sustainable development.</w:t>
      </w:r>
      <w:r w:rsidR="00633A4F" w:rsidRPr="3030E45D">
        <w:rPr>
          <w:lang w:eastAsia="en-GB"/>
        </w:rPr>
        <w:t xml:space="preserve"> Wales, </w:t>
      </w:r>
      <w:r w:rsidR="0A1C13DD" w:rsidRPr="3030E45D">
        <w:rPr>
          <w:lang w:eastAsia="en-GB"/>
        </w:rPr>
        <w:t xml:space="preserve">along with Finland, Iceland and Scotland have all committed to making progress towards a Well-being </w:t>
      </w:r>
      <w:r w:rsidR="081AF781" w:rsidRPr="3030E45D">
        <w:rPr>
          <w:lang w:eastAsia="en-GB"/>
        </w:rPr>
        <w:t>Economy</w:t>
      </w:r>
      <w:r w:rsidR="0A1C13DD" w:rsidRPr="3030E45D">
        <w:rPr>
          <w:lang w:eastAsia="en-GB"/>
        </w:rPr>
        <w:t xml:space="preserve"> and</w:t>
      </w:r>
      <w:r w:rsidR="00633A4F" w:rsidRPr="3030E45D">
        <w:rPr>
          <w:lang w:eastAsia="en-GB"/>
        </w:rPr>
        <w:t xml:space="preserve"> moving beyond GDP and economic growth as markers of progress.</w:t>
      </w:r>
    </w:p>
    <w:p w14:paraId="5FB1AA74" w14:textId="524806AF" w:rsidR="00633A4F" w:rsidRPr="00633A4F" w:rsidRDefault="10E57F66" w:rsidP="3030E45D">
      <w:r>
        <w:t xml:space="preserve">Under the category of </w:t>
      </w:r>
      <w:r w:rsidR="00633A4F" w:rsidRPr="3030E45D">
        <w:rPr>
          <w:b/>
          <w:bCs/>
        </w:rPr>
        <w:t>Employment and Working Conditions</w:t>
      </w:r>
      <w:r w:rsidR="000C9E89" w:rsidRPr="3030E45D">
        <w:rPr>
          <w:b/>
          <w:bCs/>
        </w:rPr>
        <w:t>,</w:t>
      </w:r>
      <w:r w:rsidR="000C9E89">
        <w:t xml:space="preserve"> </w:t>
      </w:r>
      <w:r w:rsidR="6EDACE75">
        <w:t>the</w:t>
      </w:r>
      <w:r w:rsidR="000C9E89">
        <w:t xml:space="preserve"> </w:t>
      </w:r>
      <w:r w:rsidR="000C9E89" w:rsidRPr="3030E45D">
        <w:t xml:space="preserve">labour and employment practices of companies, corporations and other commercial entities are </w:t>
      </w:r>
      <w:r w:rsidR="65066FEE" w:rsidRPr="3030E45D">
        <w:lastRenderedPageBreak/>
        <w:t xml:space="preserve">recognised as </w:t>
      </w:r>
      <w:r w:rsidR="000C9E89" w:rsidRPr="3030E45D">
        <w:t xml:space="preserve">a key factor in the commercial determinants of health and escalating health harms. </w:t>
      </w:r>
      <w:r w:rsidR="5E62D7D7" w:rsidRPr="3030E45D">
        <w:t>Government policies can support c</w:t>
      </w:r>
      <w:r w:rsidR="00633A4F">
        <w:t xml:space="preserve">ollective </w:t>
      </w:r>
      <w:r w:rsidR="78875D09">
        <w:t>b</w:t>
      </w:r>
      <w:r w:rsidR="00633A4F">
        <w:t>argaining</w:t>
      </w:r>
      <w:r w:rsidR="29F76BAB">
        <w:t xml:space="preserve"> to improve labour and employment practices,</w:t>
      </w:r>
      <w:r w:rsidR="08B33AA1">
        <w:t xml:space="preserve"> </w:t>
      </w:r>
      <w:r w:rsidR="2D03C965">
        <w:t xml:space="preserve">and </w:t>
      </w:r>
      <w:r w:rsidR="71E05EAB">
        <w:t xml:space="preserve">Belgium, Iceland, Finland, and Slovenia </w:t>
      </w:r>
      <w:r w:rsidR="583EA102">
        <w:t xml:space="preserve">have maintained </w:t>
      </w:r>
      <w:r w:rsidR="2D03C965">
        <w:t xml:space="preserve">high </w:t>
      </w:r>
      <w:r w:rsidR="22B69AC6">
        <w:t xml:space="preserve">rates of union </w:t>
      </w:r>
      <w:r w:rsidR="00633A4F">
        <w:t>coverage</w:t>
      </w:r>
      <w:r w:rsidR="3556D2CB">
        <w:t xml:space="preserve"> against declines elsewhere</w:t>
      </w:r>
      <w:r w:rsidR="00633A4F">
        <w:t xml:space="preserve">. </w:t>
      </w:r>
      <w:r w:rsidR="282D317F">
        <w:t xml:space="preserve">The attempt in </w:t>
      </w:r>
      <w:r w:rsidR="00633A4F">
        <w:t xml:space="preserve">New Zealand </w:t>
      </w:r>
      <w:r w:rsidR="5B9B51C8">
        <w:t xml:space="preserve">to introduce </w:t>
      </w:r>
      <w:r w:rsidR="00633A4F">
        <w:t>secto</w:t>
      </w:r>
      <w:r w:rsidR="39A6D846">
        <w:t>r-wide collective</w:t>
      </w:r>
      <w:r w:rsidR="00633A4F">
        <w:t xml:space="preserve"> bargaining through the Fair Pay Agreements Act, though later repealed</w:t>
      </w:r>
      <w:r w:rsidR="47385312">
        <w:t>, provides a</w:t>
      </w:r>
      <w:r w:rsidR="74A62ED2">
        <w:t xml:space="preserve"> further</w:t>
      </w:r>
      <w:r w:rsidR="47385312">
        <w:t xml:space="preserve"> example of government </w:t>
      </w:r>
      <w:r w:rsidR="6B169F06">
        <w:t xml:space="preserve">action </w:t>
      </w:r>
      <w:r w:rsidR="47385312">
        <w:t>in this area</w:t>
      </w:r>
      <w:r w:rsidR="00633A4F">
        <w:t>.</w:t>
      </w:r>
      <w:r w:rsidR="54DB6803">
        <w:t xml:space="preserve"> </w:t>
      </w:r>
      <w:r w:rsidR="0AF4B0CA">
        <w:t>Ill health is a large driver of eco</w:t>
      </w:r>
      <w:r w:rsidR="50CED97A">
        <w:t>nomic inactivity across the UK</w:t>
      </w:r>
      <w:r w:rsidR="5A7575CB">
        <w:t xml:space="preserve"> and there is a need for policy interventions that </w:t>
      </w:r>
      <w:r w:rsidR="5A7575CB" w:rsidRPr="3030E45D">
        <w:t>focus on protecting those at risk of leaving employment for health reasons and helping those who want to return to work</w:t>
      </w:r>
      <w:r w:rsidR="50CED97A">
        <w:t xml:space="preserve">. </w:t>
      </w:r>
      <w:r w:rsidR="00633A4F">
        <w:t xml:space="preserve">Finland's integrated employment and health services </w:t>
      </w:r>
      <w:r w:rsidR="3E397066">
        <w:t xml:space="preserve">‘one-stop-shop' </w:t>
      </w:r>
      <w:r w:rsidR="00633A4F">
        <w:t xml:space="preserve">model </w:t>
      </w:r>
      <w:r w:rsidR="3715A2A8">
        <w:t xml:space="preserve">provides an example of policy in this </w:t>
      </w:r>
      <w:r w:rsidR="4DA4DB81">
        <w:t>area which</w:t>
      </w:r>
      <w:r w:rsidR="4A1D5779">
        <w:t xml:space="preserve"> is</w:t>
      </w:r>
      <w:r w:rsidR="319C2E29">
        <w:t xml:space="preserve"> joint</w:t>
      </w:r>
      <w:r w:rsidR="5E6F09D5">
        <w:t>ly</w:t>
      </w:r>
      <w:r w:rsidR="319C2E29">
        <w:t xml:space="preserve"> funded by the </w:t>
      </w:r>
      <w:r w:rsidR="319C2E29" w:rsidRPr="3030E45D">
        <w:t>employment services and local health and social services.</w:t>
      </w:r>
    </w:p>
    <w:p w14:paraId="71A334C5" w14:textId="5832EF50" w:rsidR="3030E45D" w:rsidRPr="005B4954" w:rsidRDefault="109F7ACD" w:rsidP="3030E45D">
      <w:pPr>
        <w:rPr>
          <w:lang w:eastAsia="en-GB"/>
        </w:rPr>
      </w:pPr>
      <w:r w:rsidRPr="3030E45D">
        <w:rPr>
          <w:rFonts w:eastAsia="Arial" w:cs="Arial"/>
        </w:rPr>
        <w:t>Although policy actions across the five essential conditions for health equity will directly and indirectly improve the conditions in which children grow, learn and play, there is also a need for policies that specifically aim to support and improve experiences throug</w:t>
      </w:r>
      <w:r w:rsidR="079D693B" w:rsidRPr="3030E45D">
        <w:rPr>
          <w:rFonts w:eastAsia="Arial" w:cs="Arial"/>
        </w:rPr>
        <w:t xml:space="preserve">h </w:t>
      </w:r>
      <w:r w:rsidRPr="3030E45D">
        <w:rPr>
          <w:rFonts w:eastAsia="Arial" w:cs="Arial"/>
        </w:rPr>
        <w:t xml:space="preserve">the </w:t>
      </w:r>
      <w:r w:rsidR="5BFCE960" w:rsidRPr="3030E45D">
        <w:rPr>
          <w:rFonts w:eastAsia="Arial" w:cs="Arial"/>
          <w:b/>
          <w:bCs/>
        </w:rPr>
        <w:t>E</w:t>
      </w:r>
      <w:r w:rsidR="00633A4F" w:rsidRPr="3030E45D">
        <w:rPr>
          <w:b/>
          <w:bCs/>
        </w:rPr>
        <w:t xml:space="preserve">arly years, </w:t>
      </w:r>
      <w:r w:rsidR="49FC227E" w:rsidRPr="3030E45D">
        <w:rPr>
          <w:b/>
          <w:bCs/>
        </w:rPr>
        <w:t>C</w:t>
      </w:r>
      <w:r w:rsidR="00633A4F" w:rsidRPr="3030E45D">
        <w:rPr>
          <w:b/>
          <w:bCs/>
        </w:rPr>
        <w:t xml:space="preserve">hildhood, and </w:t>
      </w:r>
      <w:r w:rsidR="24976298" w:rsidRPr="3030E45D">
        <w:rPr>
          <w:b/>
          <w:bCs/>
        </w:rPr>
        <w:t>A</w:t>
      </w:r>
      <w:r w:rsidR="00633A4F" w:rsidRPr="3030E45D">
        <w:rPr>
          <w:b/>
          <w:bCs/>
        </w:rPr>
        <w:t>dolescence</w:t>
      </w:r>
      <w:r w:rsidR="397997C8">
        <w:t xml:space="preserve">. </w:t>
      </w:r>
      <w:r w:rsidR="273B1630" w:rsidRPr="3030E45D">
        <w:rPr>
          <w:lang w:eastAsia="en-GB"/>
        </w:rPr>
        <w:t>In c</w:t>
      </w:r>
      <w:r w:rsidR="00633A4F" w:rsidRPr="3030E45D">
        <w:rPr>
          <w:lang w:eastAsia="en-GB"/>
        </w:rPr>
        <w:t xml:space="preserve">ountries </w:t>
      </w:r>
      <w:r w:rsidR="55609ABD" w:rsidRPr="3030E45D">
        <w:rPr>
          <w:lang w:eastAsia="en-GB"/>
        </w:rPr>
        <w:t xml:space="preserve">including </w:t>
      </w:r>
      <w:r w:rsidR="00633A4F" w:rsidRPr="3030E45D">
        <w:rPr>
          <w:lang w:eastAsia="en-GB"/>
        </w:rPr>
        <w:t>Wales, Scotland, and Ireland</w:t>
      </w:r>
      <w:r w:rsidR="166524CC" w:rsidRPr="3030E45D">
        <w:rPr>
          <w:lang w:eastAsia="en-GB"/>
        </w:rPr>
        <w:t>,</w:t>
      </w:r>
      <w:r w:rsidR="00633A4F" w:rsidRPr="3030E45D">
        <w:rPr>
          <w:lang w:eastAsia="en-GB"/>
        </w:rPr>
        <w:t xml:space="preserve"> </w:t>
      </w:r>
      <w:r w:rsidR="15BDA599" w:rsidRPr="3030E45D">
        <w:rPr>
          <w:lang w:eastAsia="en-GB"/>
        </w:rPr>
        <w:t>i</w:t>
      </w:r>
      <w:r w:rsidR="2CDBDF9A" w:rsidRPr="3030E45D">
        <w:rPr>
          <w:lang w:eastAsia="en-GB"/>
        </w:rPr>
        <w:t>ntegrated policy frameworks</w:t>
      </w:r>
      <w:r w:rsidR="79ED7CAF" w:rsidRPr="3030E45D">
        <w:rPr>
          <w:lang w:eastAsia="en-GB"/>
        </w:rPr>
        <w:t xml:space="preserve"> and</w:t>
      </w:r>
      <w:r w:rsidR="00633A4F" w:rsidRPr="3030E45D">
        <w:rPr>
          <w:lang w:eastAsia="en-GB"/>
        </w:rPr>
        <w:t xml:space="preserve"> whole-of-government </w:t>
      </w:r>
      <w:r w:rsidR="185B923F" w:rsidRPr="3030E45D">
        <w:rPr>
          <w:lang w:eastAsia="en-GB"/>
        </w:rPr>
        <w:t xml:space="preserve">approaches are a key feature of plans </w:t>
      </w:r>
      <w:r w:rsidR="00633A4F" w:rsidRPr="3030E45D">
        <w:rPr>
          <w:lang w:eastAsia="en-GB"/>
        </w:rPr>
        <w:t>to support child wellbeing</w:t>
      </w:r>
      <w:r w:rsidR="35940DBC" w:rsidRPr="3030E45D">
        <w:rPr>
          <w:lang w:eastAsia="en-GB"/>
        </w:rPr>
        <w:t xml:space="preserve">. </w:t>
      </w:r>
      <w:r w:rsidR="00633A4F" w:rsidRPr="3030E45D">
        <w:rPr>
          <w:lang w:eastAsia="en-GB"/>
        </w:rPr>
        <w:t>ECEC</w:t>
      </w:r>
      <w:r w:rsidR="3CA00CED" w:rsidRPr="3030E45D">
        <w:rPr>
          <w:lang w:eastAsia="en-GB"/>
        </w:rPr>
        <w:t xml:space="preserve"> policies are seen as crucial for advancing </w:t>
      </w:r>
      <w:r w:rsidR="3CA00CED" w:rsidRPr="3030E45D">
        <w:rPr>
          <w:rFonts w:eastAsia="Arial" w:cs="Arial"/>
        </w:rPr>
        <w:t xml:space="preserve">equity in child health and development outcomes. </w:t>
      </w:r>
      <w:r w:rsidR="00633A4F" w:rsidRPr="3030E45D">
        <w:rPr>
          <w:lang w:eastAsia="en-GB"/>
        </w:rPr>
        <w:t>Slovenia and Finland have recently implemented a legal entitlement to ECEC following the end of paid parental leave and have an integrated approach based on a unitary system.</w:t>
      </w:r>
    </w:p>
    <w:p w14:paraId="33AB0B44" w14:textId="187732F0" w:rsidR="000E2BCB" w:rsidRPr="00B25EA9" w:rsidRDefault="7B3413EC" w:rsidP="3030E45D">
      <w:pPr>
        <w:pStyle w:val="Heading2"/>
      </w:pPr>
      <w:bookmarkStart w:id="34" w:name="_Toc185516854"/>
      <w:r>
        <w:t>Conclusion</w:t>
      </w:r>
      <w:bookmarkEnd w:id="34"/>
    </w:p>
    <w:p w14:paraId="4CD8A7E6" w14:textId="7D959E24" w:rsidR="000E2BCB" w:rsidRDefault="7B3413EC" w:rsidP="3030E45D">
      <w:r w:rsidRPr="007F4ECA">
        <w:t>Th</w:t>
      </w:r>
      <w:r w:rsidR="003526AC" w:rsidRPr="007F4ECA">
        <w:t xml:space="preserve">e international data </w:t>
      </w:r>
      <w:r w:rsidR="00587C9F">
        <w:t>highlights</w:t>
      </w:r>
      <w:r w:rsidRPr="007F4ECA">
        <w:t xml:space="preserve"> </w:t>
      </w:r>
      <w:r w:rsidR="0082216A">
        <w:t>the</w:t>
      </w:r>
      <w:r w:rsidRPr="007F4ECA">
        <w:t xml:space="preserve"> persistent and complex nature</w:t>
      </w:r>
      <w:r w:rsidR="0082216A">
        <w:t xml:space="preserve"> of </w:t>
      </w:r>
      <w:r w:rsidR="0082216A" w:rsidRPr="007F4ECA">
        <w:t>health inequalities</w:t>
      </w:r>
      <w:r w:rsidRPr="007F4ECA">
        <w:t xml:space="preserve">, particularly those driven by socioeconomic factors. Despite various strategies and policies, significant </w:t>
      </w:r>
      <w:r w:rsidR="00C75035">
        <w:t>differences</w:t>
      </w:r>
      <w:r w:rsidRPr="007F4ECA">
        <w:t xml:space="preserve"> in health outcomes remain</w:t>
      </w:r>
      <w:r w:rsidR="001B68B8">
        <w:t xml:space="preserve"> across high-income countries</w:t>
      </w:r>
      <w:r w:rsidRPr="007F4ECA">
        <w:t>, exacerbated by recent challenges such as the</w:t>
      </w:r>
      <w:r w:rsidR="00C75035">
        <w:t xml:space="preserve"> responses to the global financial crisis and</w:t>
      </w:r>
      <w:r w:rsidRPr="007F4ECA">
        <w:t xml:space="preserve"> COVID-19 pandemic.</w:t>
      </w:r>
      <w:r w:rsidR="00761C68">
        <w:t xml:space="preserve"> </w:t>
      </w:r>
      <w:r w:rsidR="007F4ECA" w:rsidRPr="00FE75A5">
        <w:t>The k</w:t>
      </w:r>
      <w:r w:rsidRPr="00FE75A5">
        <w:t>ey findings</w:t>
      </w:r>
      <w:r w:rsidR="007F4ECA" w:rsidRPr="00FE75A5">
        <w:t xml:space="preserve"> from this report</w:t>
      </w:r>
      <w:r w:rsidRPr="00FE75A5">
        <w:t xml:space="preserve"> highlight the </w:t>
      </w:r>
      <w:r w:rsidR="00FE75A5">
        <w:t>need for</w:t>
      </w:r>
      <w:r w:rsidRPr="00FE75A5">
        <w:t xml:space="preserve"> comprehensive</w:t>
      </w:r>
      <w:r w:rsidR="00FE75A5">
        <w:t xml:space="preserve"> and</w:t>
      </w:r>
      <w:r w:rsidRPr="00FE75A5">
        <w:t xml:space="preserve"> multi-faceted </w:t>
      </w:r>
      <w:r w:rsidR="007F4ECA" w:rsidRPr="00FE75A5">
        <w:t xml:space="preserve">policy </w:t>
      </w:r>
      <w:r w:rsidRPr="00FE75A5">
        <w:t>approaches to address health inequalities</w:t>
      </w:r>
      <w:r w:rsidR="00FE75A5" w:rsidRPr="00FE75A5">
        <w:t xml:space="preserve">. </w:t>
      </w:r>
      <w:r w:rsidRPr="00FE75A5">
        <w:t xml:space="preserve">The </w:t>
      </w:r>
      <w:r w:rsidR="00FE75A5">
        <w:t>evidence highlights the</w:t>
      </w:r>
      <w:r w:rsidRPr="00FE75A5">
        <w:t xml:space="preserve"> </w:t>
      </w:r>
      <w:r w:rsidR="00FE75A5">
        <w:t xml:space="preserve">importance of </w:t>
      </w:r>
      <w:r w:rsidRPr="00FE75A5">
        <w:t>preserving equitable healthcare access, expand</w:t>
      </w:r>
      <w:r w:rsidR="00517B8B">
        <w:t>ing</w:t>
      </w:r>
      <w:r w:rsidRPr="00FE75A5">
        <w:t xml:space="preserve"> the welfare state, and targeting health-related behaviours through coordinated </w:t>
      </w:r>
      <w:r w:rsidR="00277FBD">
        <w:t xml:space="preserve">intersectoral </w:t>
      </w:r>
      <w:r w:rsidRPr="00FE75A5">
        <w:t xml:space="preserve">strategies. By learning from international examples and adapting successful policies, Wales can </w:t>
      </w:r>
      <w:r w:rsidR="00040EFC">
        <w:t>work towards effect</w:t>
      </w:r>
      <w:r w:rsidR="00517B8B">
        <w:t>ive</w:t>
      </w:r>
      <w:r w:rsidR="00040EFC">
        <w:t xml:space="preserve"> actions to</w:t>
      </w:r>
      <w:r w:rsidRPr="00FE75A5">
        <w:t xml:space="preserve"> reducing health inequalities and improving overall population health</w:t>
      </w:r>
      <w:r w:rsidR="00F22EF5">
        <w:t xml:space="preserve"> and wellbeing</w:t>
      </w:r>
      <w:r w:rsidRPr="00FE75A5">
        <w:t>.</w:t>
      </w:r>
      <w:r w:rsidR="00761C68">
        <w:t xml:space="preserve"> A</w:t>
      </w:r>
      <w:r w:rsidRPr="00FE75A5">
        <w:t>ddressing health inequalities requires high-level political will, strong intersectoral collaboration, and a commitment to long-term, sustainable policy actions. These efforts will not only improve health outcomes but also contribute to a more equitable and just society.</w:t>
      </w:r>
    </w:p>
    <w:p w14:paraId="3276A773" w14:textId="77777777" w:rsidR="0068490A" w:rsidRPr="00FE75A5" w:rsidRDefault="0068490A" w:rsidP="3030E45D"/>
    <w:p w14:paraId="7A86BE99" w14:textId="7D222001" w:rsidR="000E2BCB" w:rsidRPr="00B25EA9" w:rsidRDefault="000E2BCB" w:rsidP="00B25EA9">
      <w:pPr>
        <w:sectPr w:rsidR="000E2BCB" w:rsidRPr="00B25EA9" w:rsidSect="000B3D4B">
          <w:pgSz w:w="11906" w:h="16838"/>
          <w:pgMar w:top="1440" w:right="1440" w:bottom="1440" w:left="1440" w:header="708" w:footer="708" w:gutter="0"/>
          <w:cols w:space="708"/>
          <w:docGrid w:linePitch="360"/>
        </w:sectPr>
      </w:pPr>
    </w:p>
    <w:p w14:paraId="20CD2A45" w14:textId="5386DB59" w:rsidR="00645D3F" w:rsidRDefault="00903BE0" w:rsidP="00903BE0">
      <w:pPr>
        <w:pStyle w:val="Heading1"/>
      </w:pPr>
      <w:bookmarkStart w:id="35" w:name="_Toc185516855"/>
      <w:bookmarkStart w:id="36" w:name="_Toc189563142"/>
      <w:r>
        <w:lastRenderedPageBreak/>
        <w:t>References</w:t>
      </w:r>
      <w:bookmarkEnd w:id="35"/>
      <w:bookmarkEnd w:id="36"/>
    </w:p>
    <w:p w14:paraId="21577648" w14:textId="77777777" w:rsidR="00E50DD2" w:rsidRDefault="00E50DD2" w:rsidP="00CA4DB1"/>
    <w:p w14:paraId="43C058DD" w14:textId="0197384C" w:rsidR="00DB70A4" w:rsidRDefault="00DB70A4" w:rsidP="00CA4DB1">
      <w:r>
        <w:t xml:space="preserve">Atwell, </w:t>
      </w:r>
      <w:r w:rsidR="003217BA">
        <w:t xml:space="preserve">S., </w:t>
      </w:r>
      <w:proofErr w:type="spellStart"/>
      <w:r w:rsidR="003217BA">
        <w:t>Vriend</w:t>
      </w:r>
      <w:proofErr w:type="spellEnd"/>
      <w:r w:rsidR="003217BA">
        <w:t>, M., Finch, D., Mooney, A., et al. (2024). How can the next government improve the health of the workforce and boost growth? Health Foundation, London.</w:t>
      </w:r>
    </w:p>
    <w:p w14:paraId="418D78A5" w14:textId="0DB9C33E" w:rsidR="001C1BFD" w:rsidRDefault="001C1BFD" w:rsidP="00CA4DB1">
      <w:proofErr w:type="spellStart"/>
      <w:r>
        <w:t>Bachtler</w:t>
      </w:r>
      <w:proofErr w:type="spellEnd"/>
      <w:r>
        <w:t>, J.</w:t>
      </w:r>
      <w:r w:rsidR="0084118E">
        <w:t>, &amp;</w:t>
      </w:r>
      <w:r>
        <w:t xml:space="preserve"> Downes, R. (2023)</w:t>
      </w:r>
      <w:r w:rsidR="0061336B">
        <w:t>.</w:t>
      </w:r>
      <w:r>
        <w:t xml:space="preserve"> Rethinking Regional Transformation: The State of Regional Policy in Europe, </w:t>
      </w:r>
      <w:proofErr w:type="spellStart"/>
      <w:r>
        <w:t>EoRPA</w:t>
      </w:r>
      <w:proofErr w:type="spellEnd"/>
      <w:r>
        <w:t xml:space="preserve"> Report 23/1, </w:t>
      </w:r>
      <w:proofErr w:type="spellStart"/>
      <w:r>
        <w:t>EoRPA</w:t>
      </w:r>
      <w:proofErr w:type="spellEnd"/>
      <w:r>
        <w:t xml:space="preserve"> Regional Policy Research Consortium, European Policies Research Centre, University of Strathclyde, Glasgow and EPRC Delft</w:t>
      </w:r>
      <w:r w:rsidR="00073C74">
        <w:t>.</w:t>
      </w:r>
    </w:p>
    <w:p w14:paraId="4F6A2CBF" w14:textId="747B8440" w:rsidR="00CE14AA" w:rsidRDefault="00CE14AA" w:rsidP="00CA4DB1">
      <w:r w:rsidRPr="00CE14AA">
        <w:t>Bambra, C.</w:t>
      </w:r>
      <w:r>
        <w:t xml:space="preserve"> (</w:t>
      </w:r>
      <w:r w:rsidRPr="00CE14AA">
        <w:t>2022</w:t>
      </w:r>
      <w:r>
        <w:t>)</w:t>
      </w:r>
      <w:r w:rsidRPr="00CE14AA">
        <w:t xml:space="preserve">. Levelling up: Global examples of reducing health inequalities. Scandinavian </w:t>
      </w:r>
      <w:r>
        <w:t>J</w:t>
      </w:r>
      <w:r w:rsidRPr="00CE14AA">
        <w:t>ournal of Public Health, 50(7), 908-913.</w:t>
      </w:r>
    </w:p>
    <w:p w14:paraId="48DC4F58" w14:textId="61D019B3" w:rsidR="00F5640F" w:rsidRDefault="00F5640F" w:rsidP="00CA4DB1">
      <w:r>
        <w:t xml:space="preserve">Bambra, C. (2024). </w:t>
      </w:r>
      <w:r w:rsidR="007B722A" w:rsidRPr="007B722A">
        <w:t xml:space="preserve">The </w:t>
      </w:r>
      <w:r w:rsidR="007B722A">
        <w:t>u</w:t>
      </w:r>
      <w:r w:rsidR="007B722A" w:rsidRPr="007B722A">
        <w:t>-shaped curve of health inequalities over the 20th and 21st centuries</w:t>
      </w:r>
      <w:r w:rsidR="007B722A">
        <w:t xml:space="preserve">. </w:t>
      </w:r>
      <w:r w:rsidR="007B722A" w:rsidRPr="007B722A">
        <w:t xml:space="preserve">International Journal of Social Determinants of Health </w:t>
      </w:r>
      <w:r w:rsidR="00D1360C">
        <w:t>&amp;</w:t>
      </w:r>
      <w:r w:rsidR="007B722A" w:rsidRPr="007B722A">
        <w:t xml:space="preserve"> Health Services</w:t>
      </w:r>
      <w:r w:rsidR="00CB5425" w:rsidRPr="00CB5425">
        <w:t>. doi:10.1177/27551938241244695</w:t>
      </w:r>
      <w:r w:rsidR="00D1360C">
        <w:t>.</w:t>
      </w:r>
    </w:p>
    <w:p w14:paraId="26BC5530" w14:textId="6E0AF20B" w:rsidR="001E479E" w:rsidRDefault="001E479E" w:rsidP="00CA4DB1">
      <w:r>
        <w:t xml:space="preserve">Barr, B., </w:t>
      </w:r>
      <w:proofErr w:type="spellStart"/>
      <w:r>
        <w:t>Higgerson</w:t>
      </w:r>
      <w:proofErr w:type="spellEnd"/>
      <w:r>
        <w:t>, J.,</w:t>
      </w:r>
      <w:r w:rsidR="0084118E">
        <w:t xml:space="preserve"> &amp;</w:t>
      </w:r>
      <w:r>
        <w:t xml:space="preserve"> Whitehead, M. (2017). Investigating the impact of the English health inequalities strategy: time trend analysis. BMJ, 358</w:t>
      </w:r>
      <w:r w:rsidR="00EF4AFF">
        <w:t>.</w:t>
      </w:r>
    </w:p>
    <w:p w14:paraId="2ED49C2B" w14:textId="28F6FFB4" w:rsidR="00DA6ED2" w:rsidRDefault="0092348B" w:rsidP="00CA4DB1">
      <w:r>
        <w:t xml:space="preserve">Bevan Foundation. (2016). Making welfare work for Wales: Should benefits for people of working age be devolved? </w:t>
      </w:r>
      <w:r w:rsidR="00471425">
        <w:t>[accessed 2024 Sep 11].</w:t>
      </w:r>
      <w:r>
        <w:t xml:space="preserve"> Available from: </w:t>
      </w:r>
      <w:hyperlink r:id="rId14" w:history="1">
        <w:r w:rsidRPr="00570B4C">
          <w:rPr>
            <w:rStyle w:val="Hyperlink"/>
          </w:rPr>
          <w:t>https://www.bevanfoundation.org/publications/making-welfare-wales-benefits-people working-age-devolved/</w:t>
        </w:r>
      </w:hyperlink>
      <w:r>
        <w:t xml:space="preserve"> </w:t>
      </w:r>
    </w:p>
    <w:p w14:paraId="0C3DCBAD" w14:textId="11D04898" w:rsidR="007E094B" w:rsidRDefault="007E094B" w:rsidP="00CA4DB1">
      <w:r>
        <w:t xml:space="preserve">Bevan Foundation. (2024). </w:t>
      </w:r>
      <w:r w:rsidRPr="007E094B">
        <w:t>The Foundations for the Future Model of Health and Care in Wales</w:t>
      </w:r>
      <w:r>
        <w:t xml:space="preserve">. [accessed 2024 Sep 13]. Available from: </w:t>
      </w:r>
      <w:hyperlink r:id="rId15" w:history="1">
        <w:r w:rsidR="00134FA5" w:rsidRPr="00AE5132">
          <w:rPr>
            <w:rStyle w:val="Hyperlink"/>
          </w:rPr>
          <w:t>https://bevancommission.org/the-future-foundations-for-the-future-model-of-health-and-care-in-wales/</w:t>
        </w:r>
      </w:hyperlink>
      <w:r w:rsidR="00134FA5">
        <w:t xml:space="preserve"> </w:t>
      </w:r>
    </w:p>
    <w:p w14:paraId="11E18BE0" w14:textId="255451D8" w:rsidR="008305D0" w:rsidRPr="00CA4DB1" w:rsidRDefault="008305D0" w:rsidP="00CA4DB1">
      <w:proofErr w:type="spellStart"/>
      <w:r w:rsidRPr="00CA4DB1">
        <w:t>Brønnum</w:t>
      </w:r>
      <w:proofErr w:type="spellEnd"/>
      <w:r w:rsidRPr="00CA4DB1">
        <w:t xml:space="preserve">-Hansen, H., </w:t>
      </w:r>
      <w:proofErr w:type="spellStart"/>
      <w:r w:rsidRPr="00CA4DB1">
        <w:t>Östergren</w:t>
      </w:r>
      <w:proofErr w:type="spellEnd"/>
      <w:r w:rsidRPr="00CA4DB1">
        <w:t xml:space="preserve">, O., </w:t>
      </w:r>
      <w:proofErr w:type="spellStart"/>
      <w:r w:rsidRPr="00CA4DB1">
        <w:t>Tarkiainen</w:t>
      </w:r>
      <w:proofErr w:type="spellEnd"/>
      <w:r w:rsidRPr="00CA4DB1">
        <w:t xml:space="preserve">, L., Hermansen, Å., </w:t>
      </w:r>
      <w:r w:rsidR="006C426E">
        <w:t>et al</w:t>
      </w:r>
      <w:r w:rsidRPr="00CA4DB1">
        <w:t>. (2021). Changes in life expectancy and lifespan variability by income quartiles in four Nordic countries: a study based on nationwide register data. BMJ Open, 11(6), p.e048192.</w:t>
      </w:r>
    </w:p>
    <w:p w14:paraId="14BFC1E8" w14:textId="0281A289" w:rsidR="008305D0" w:rsidRPr="00CA4DB1" w:rsidRDefault="008305D0" w:rsidP="00CA4DB1">
      <w:proofErr w:type="spellStart"/>
      <w:r w:rsidRPr="00CA4DB1">
        <w:t>Buajitti</w:t>
      </w:r>
      <w:proofErr w:type="spellEnd"/>
      <w:r w:rsidRPr="00CA4DB1">
        <w:t xml:space="preserve">, E., Frank, J., Watson, T., </w:t>
      </w:r>
      <w:proofErr w:type="spellStart"/>
      <w:r w:rsidRPr="00CA4DB1">
        <w:t>Kornas</w:t>
      </w:r>
      <w:proofErr w:type="spellEnd"/>
      <w:r w:rsidRPr="00CA4DB1">
        <w:t>, K.,</w:t>
      </w:r>
      <w:r w:rsidR="0084118E">
        <w:t xml:space="preserve"> &amp;</w:t>
      </w:r>
      <w:r w:rsidRPr="00CA4DB1">
        <w:t xml:space="preserve"> Rosella, L.C. (2020). Changing relative and absolute socioeconomic health inequalities in Ontario, Canada: a population-based cohort study of adult premature mortality, 1992 to 2017. </w:t>
      </w:r>
      <w:proofErr w:type="spellStart"/>
      <w:r w:rsidRPr="00CA4DB1">
        <w:t>PLoS</w:t>
      </w:r>
      <w:proofErr w:type="spellEnd"/>
      <w:r w:rsidRPr="00CA4DB1">
        <w:t xml:space="preserve"> One, 15(4), p.e0230684. </w:t>
      </w:r>
    </w:p>
    <w:p w14:paraId="67D11777" w14:textId="7A104288" w:rsidR="00E10926" w:rsidRDefault="00E10926" w:rsidP="00CA4DB1">
      <w:r w:rsidRPr="00E10926">
        <w:t>Cairney</w:t>
      </w:r>
      <w:r>
        <w:t>,</w:t>
      </w:r>
      <w:r w:rsidRPr="00E10926">
        <w:t xml:space="preserve"> P</w:t>
      </w:r>
      <w:r>
        <w:t>.</w:t>
      </w:r>
      <w:r w:rsidRPr="00E10926">
        <w:t>, St Denny</w:t>
      </w:r>
      <w:r>
        <w:t>,</w:t>
      </w:r>
      <w:r w:rsidRPr="00E10926">
        <w:t xml:space="preserve"> E</w:t>
      </w:r>
      <w:r>
        <w:t>.,</w:t>
      </w:r>
      <w:r w:rsidR="00D76187">
        <w:t xml:space="preserve"> &amp;</w:t>
      </w:r>
      <w:r w:rsidRPr="00E10926">
        <w:t xml:space="preserve"> Mitchell</w:t>
      </w:r>
      <w:r>
        <w:t>,</w:t>
      </w:r>
      <w:r w:rsidRPr="00E10926">
        <w:t xml:space="preserve"> H.</w:t>
      </w:r>
      <w:r>
        <w:t xml:space="preserve"> (2021).</w:t>
      </w:r>
      <w:r w:rsidRPr="00E10926">
        <w:t xml:space="preserve"> The future of public health policymaking after COVID-19: a qualitative systematic review of lessons from Health in All Policies. Open Res</w:t>
      </w:r>
      <w:r>
        <w:t>earch</w:t>
      </w:r>
      <w:r w:rsidRPr="00E10926">
        <w:t xml:space="preserve"> Europe, 1</w:t>
      </w:r>
      <w:r>
        <w:t xml:space="preserve">, </w:t>
      </w:r>
      <w:r w:rsidRPr="00E10926">
        <w:t>23</w:t>
      </w:r>
      <w:r>
        <w:t>.</w:t>
      </w:r>
    </w:p>
    <w:p w14:paraId="1B7E973B" w14:textId="18D2BE09" w:rsidR="008305D0" w:rsidRPr="00CA4DB1" w:rsidRDefault="008305D0" w:rsidP="00CA4DB1">
      <w:r w:rsidRPr="00CA4DB1">
        <w:t xml:space="preserve">Chen-Xu, J., Varga, O., </w:t>
      </w:r>
      <w:proofErr w:type="spellStart"/>
      <w:r w:rsidRPr="00CA4DB1">
        <w:t>Mahrouseh</w:t>
      </w:r>
      <w:proofErr w:type="spellEnd"/>
      <w:r w:rsidRPr="00CA4DB1">
        <w:t xml:space="preserve">, N., </w:t>
      </w:r>
      <w:proofErr w:type="spellStart"/>
      <w:r w:rsidRPr="00CA4DB1">
        <w:t>Eikemo</w:t>
      </w:r>
      <w:proofErr w:type="spellEnd"/>
      <w:r w:rsidRPr="00CA4DB1">
        <w:t xml:space="preserve">, T.A., </w:t>
      </w:r>
      <w:r w:rsidR="006C426E">
        <w:t>et al</w:t>
      </w:r>
      <w:r w:rsidRPr="00CA4DB1">
        <w:t>. (2024). Subnational inequalities in years of life lost and associations with socioeconomic factors in pre-pandemic Europe, 2009–19: an ecological study. Lancet Public Health, 9(3), e166-e177.</w:t>
      </w:r>
    </w:p>
    <w:p w14:paraId="627C83E1" w14:textId="0D762198" w:rsidR="008305D0" w:rsidRPr="00CA4DB1" w:rsidRDefault="008305D0" w:rsidP="00CA4DB1">
      <w:proofErr w:type="spellStart"/>
      <w:r w:rsidRPr="00CA4DB1">
        <w:lastRenderedPageBreak/>
        <w:t>Clarsen</w:t>
      </w:r>
      <w:proofErr w:type="spellEnd"/>
      <w:r w:rsidRPr="00CA4DB1">
        <w:t xml:space="preserve">, B., </w:t>
      </w:r>
      <w:proofErr w:type="spellStart"/>
      <w:r w:rsidRPr="00CA4DB1">
        <w:t>Nylenna</w:t>
      </w:r>
      <w:proofErr w:type="spellEnd"/>
      <w:r w:rsidRPr="00CA4DB1">
        <w:t xml:space="preserve">, M., </w:t>
      </w:r>
      <w:proofErr w:type="spellStart"/>
      <w:r w:rsidRPr="00CA4DB1">
        <w:t>Klitkou</w:t>
      </w:r>
      <w:proofErr w:type="spellEnd"/>
      <w:r w:rsidRPr="00CA4DB1">
        <w:t xml:space="preserve">, S.T., </w:t>
      </w:r>
      <w:proofErr w:type="spellStart"/>
      <w:r w:rsidRPr="00CA4DB1">
        <w:t>Vollset</w:t>
      </w:r>
      <w:proofErr w:type="spellEnd"/>
      <w:r w:rsidRPr="00CA4DB1">
        <w:t xml:space="preserve">, S.E., </w:t>
      </w:r>
      <w:r w:rsidR="006C426E">
        <w:t>et al</w:t>
      </w:r>
      <w:r w:rsidRPr="00CA4DB1">
        <w:t>. (2022). Changes in life expectancy and disease burden in Norway, 1990–2019: an analysis of the Global Burden of Disease Study 2019. Lancet Public Health, 7(7), e593-e605.</w:t>
      </w:r>
    </w:p>
    <w:p w14:paraId="63A6E83F" w14:textId="06266DAB" w:rsidR="001E5ABE" w:rsidRDefault="001E5ABE" w:rsidP="00192BD9">
      <w:r>
        <w:t>Currie</w:t>
      </w:r>
      <w:r w:rsidR="00BA2E98">
        <w:t xml:space="preserve">, J., Boyce, T., Evans, L., </w:t>
      </w:r>
      <w:proofErr w:type="spellStart"/>
      <w:r w:rsidR="00BA2E98">
        <w:t>Luker</w:t>
      </w:r>
      <w:proofErr w:type="spellEnd"/>
      <w:r w:rsidR="00BA2E98">
        <w:t xml:space="preserve">, M., et al. (2021). </w:t>
      </w:r>
      <w:r w:rsidR="00192BD9">
        <w:t>Life expectancy inequalities in Wales before COVID-19: an exploration of current contributions by age and cause of death and changes between 2002 and 2018. Public Health, 193, 48-56.</w:t>
      </w:r>
    </w:p>
    <w:p w14:paraId="3918BC24" w14:textId="5A4F7CD3" w:rsidR="001E5ABE" w:rsidRDefault="001E5ABE" w:rsidP="0040024B">
      <w:r>
        <w:t>Currie</w:t>
      </w:r>
      <w:r w:rsidR="000419C0">
        <w:t xml:space="preserve">, J., Schilling, H.T., Evans, L., Boyce, T. et al. (2023). </w:t>
      </w:r>
      <w:r w:rsidR="0040024B">
        <w:t>Contribution of avoidable mortality to life expectancy inequalities in Wales: a decomposition by age and by cause between 2002 and 2020. Journal of Public Health, 45(3), 762-770.</w:t>
      </w:r>
    </w:p>
    <w:p w14:paraId="5D35DC9D" w14:textId="61DA39E0" w:rsidR="00030D5A" w:rsidRDefault="00030D5A" w:rsidP="0004131E">
      <w:r>
        <w:t xml:space="preserve">Dallimore, D. (2019). Early childhood education and care in Wales: an introduction. Research Briefing. </w:t>
      </w:r>
      <w:r w:rsidR="008A17CD">
        <w:t>Research Services, National Assembly for Wales: Cardiff.</w:t>
      </w:r>
    </w:p>
    <w:p w14:paraId="7FB90DF4" w14:textId="39D93793" w:rsidR="0004131E" w:rsidRDefault="00B51D16" w:rsidP="0004131E">
      <w:proofErr w:type="spellStart"/>
      <w:r>
        <w:t>Duell</w:t>
      </w:r>
      <w:proofErr w:type="spellEnd"/>
      <w:r>
        <w:t xml:space="preserve">, </w:t>
      </w:r>
      <w:r w:rsidR="0004131E">
        <w:t>N. (2023). New forms of active labour market policy programmes. European Network of Public Employment Services</w:t>
      </w:r>
      <w:r w:rsidR="00EE54A7">
        <w:t>. European Commission, Brussels.</w:t>
      </w:r>
    </w:p>
    <w:p w14:paraId="2E1BC9E7" w14:textId="5ACA1AF6" w:rsidR="00861640" w:rsidRDefault="00861640" w:rsidP="00CA4DB1">
      <w:r w:rsidRPr="00861640">
        <w:t>Fair Work Commission.</w:t>
      </w:r>
      <w:r w:rsidR="00422EA2">
        <w:t xml:space="preserve"> (2019).</w:t>
      </w:r>
      <w:r w:rsidRPr="00861640">
        <w:t xml:space="preserve"> Fair Work Wales.</w:t>
      </w:r>
      <w:r w:rsidR="00422EA2">
        <w:t xml:space="preserve"> Report of the Fair Work Commission</w:t>
      </w:r>
      <w:r w:rsidR="00443DC4">
        <w:t>.</w:t>
      </w:r>
      <w:r w:rsidRPr="00861640">
        <w:t xml:space="preserve"> </w:t>
      </w:r>
      <w:r w:rsidR="00443DC4">
        <w:t>[accessed 2024 Oct 9</w:t>
      </w:r>
      <w:r w:rsidRPr="00861640">
        <w:t>]</w:t>
      </w:r>
      <w:r w:rsidR="00443DC4">
        <w:t>. Available from:</w:t>
      </w:r>
      <w:r w:rsidRPr="00861640">
        <w:t xml:space="preserve"> </w:t>
      </w:r>
      <w:hyperlink r:id="rId16" w:history="1">
        <w:r w:rsidR="00443DC4" w:rsidRPr="000B3B3B">
          <w:rPr>
            <w:rStyle w:val="Hyperlink"/>
          </w:rPr>
          <w:t>https://gov.wales/fair-work-wales</w:t>
        </w:r>
      </w:hyperlink>
      <w:r w:rsidR="00443DC4">
        <w:t xml:space="preserve"> </w:t>
      </w:r>
    </w:p>
    <w:p w14:paraId="649A0A14" w14:textId="46BF25D9" w:rsidR="008305D0" w:rsidRPr="00CA4DB1" w:rsidRDefault="008305D0" w:rsidP="00CA4DB1">
      <w:r w:rsidRPr="00CA4DB1">
        <w:t>Frieden, T.R. (2010). A framework for public health action: the health impact pyramid. American Journal of Public Health,100, 590–5.</w:t>
      </w:r>
    </w:p>
    <w:p w14:paraId="2F79E105" w14:textId="25756DF5" w:rsidR="001D6DEF" w:rsidRPr="00CA4DB1" w:rsidRDefault="001D6DEF" w:rsidP="00CA4DB1">
      <w:r>
        <w:t xml:space="preserve">Future Generations Commissioner for Wales. (2024). </w:t>
      </w:r>
      <w:r w:rsidR="00230FA3" w:rsidRPr="00230FA3">
        <w:t>Housing is fundamental to well-being in Wales</w:t>
      </w:r>
      <w:r w:rsidR="00230FA3">
        <w:t xml:space="preserve">. [accessed 2024 Sep 11]. Available from: </w:t>
      </w:r>
      <w:hyperlink r:id="rId17" w:history="1">
        <w:r w:rsidR="00175E3A" w:rsidRPr="00E40E97">
          <w:rPr>
            <w:rStyle w:val="Hyperlink"/>
          </w:rPr>
          <w:t>https://www.futuregenerations.wales/news/housing-is-fundamental-to-well-being-in-wales</w:t>
        </w:r>
      </w:hyperlink>
      <w:r w:rsidR="00230FA3" w:rsidRPr="00230FA3">
        <w:t>.</w:t>
      </w:r>
      <w:r w:rsidR="00230FA3">
        <w:t xml:space="preserve"> </w:t>
      </w:r>
    </w:p>
    <w:p w14:paraId="3B354F5A" w14:textId="67017495" w:rsidR="009711C5" w:rsidRDefault="00A10F57" w:rsidP="0038386E">
      <w:r>
        <w:t xml:space="preserve">Gilmore, A.B., </w:t>
      </w:r>
      <w:proofErr w:type="spellStart"/>
      <w:r>
        <w:t>Fabbri</w:t>
      </w:r>
      <w:proofErr w:type="spellEnd"/>
      <w:r>
        <w:t xml:space="preserve">, A., Baum, F., </w:t>
      </w:r>
      <w:proofErr w:type="spellStart"/>
      <w:r>
        <w:t>Bert</w:t>
      </w:r>
      <w:r w:rsidR="00A62181">
        <w:t>scher</w:t>
      </w:r>
      <w:proofErr w:type="spellEnd"/>
      <w:r w:rsidR="00A62181">
        <w:t xml:space="preserve">, A., et al. (2023). Defining and conceptualising the commercial determinants of health. </w:t>
      </w:r>
      <w:r w:rsidR="00FC5221">
        <w:t>The Lancet, 401, 1194-1213.</w:t>
      </w:r>
    </w:p>
    <w:p w14:paraId="357714C3" w14:textId="664C20E9" w:rsidR="00D76187" w:rsidRDefault="00D76187" w:rsidP="0038386E">
      <w:r w:rsidRPr="00D76187">
        <w:t>Green, L., Ashton, K., Bellis, M. A., Clemens, T., &amp; Douglas, M. (2021). ‘Health in All Policies’—A Key Driver for Health and Well-Being in a Post-COVID-19 Pandemic World. International Journal of Environmental Research and Public Health, 18(18), 9468.</w:t>
      </w:r>
    </w:p>
    <w:p w14:paraId="0B85956D" w14:textId="2C939991" w:rsidR="00A44AD1" w:rsidRDefault="00A44AD1" w:rsidP="0038386E">
      <w:proofErr w:type="spellStart"/>
      <w:r>
        <w:t>Holdroyd</w:t>
      </w:r>
      <w:proofErr w:type="spellEnd"/>
      <w:r w:rsidR="00FB254D">
        <w:t xml:space="preserve">, I., </w:t>
      </w:r>
      <w:proofErr w:type="spellStart"/>
      <w:r w:rsidR="00FB254D">
        <w:t>Vodden</w:t>
      </w:r>
      <w:proofErr w:type="spellEnd"/>
      <w:r w:rsidR="00FB254D">
        <w:t xml:space="preserve">, A., Srinivasan, A., Kuhn, I., et al. (2022). </w:t>
      </w:r>
      <w:r w:rsidR="00C97EFD" w:rsidRPr="00C97EFD">
        <w:t>Systematic review of the effectiveness of the health inequalities strategy in England between 1999 and 2010</w:t>
      </w:r>
      <w:r w:rsidR="00C97EFD">
        <w:t xml:space="preserve">. BMJ Open, </w:t>
      </w:r>
      <w:r w:rsidR="00626060">
        <w:t xml:space="preserve">12, </w:t>
      </w:r>
      <w:r w:rsidR="00626060" w:rsidRPr="00626060">
        <w:t>e063137</w:t>
      </w:r>
      <w:r w:rsidR="00626060">
        <w:t>.</w:t>
      </w:r>
    </w:p>
    <w:p w14:paraId="617DEFA6" w14:textId="1D5E8062" w:rsidR="006C5E66" w:rsidRDefault="006C5E66" w:rsidP="0038386E">
      <w:r>
        <w:t xml:space="preserve">Housing First Network Wales </w:t>
      </w:r>
      <w:r w:rsidR="0084118E">
        <w:t>&amp;</w:t>
      </w:r>
      <w:r>
        <w:t xml:space="preserve"> </w:t>
      </w:r>
      <w:proofErr w:type="spellStart"/>
      <w:r>
        <w:t>Cymorth</w:t>
      </w:r>
      <w:proofErr w:type="spellEnd"/>
      <w:r>
        <w:t xml:space="preserve"> Cymru. (2024). Housing First Principles Wales.</w:t>
      </w:r>
      <w:r w:rsidR="006142E1">
        <w:t xml:space="preserve"> [accessed 2024 Sep 11]. Available from: </w:t>
      </w:r>
      <w:hyperlink r:id="rId18" w:history="1">
        <w:r w:rsidR="006142E1" w:rsidRPr="00AE5132">
          <w:rPr>
            <w:rStyle w:val="Hyperlink"/>
          </w:rPr>
          <w:t>https://www.cymorthcymru.org.uk/wp-content/uploads/2024/08/HF-Principles-2024-Eng.pdf</w:t>
        </w:r>
      </w:hyperlink>
      <w:r w:rsidR="006142E1">
        <w:t xml:space="preserve"> </w:t>
      </w:r>
    </w:p>
    <w:p w14:paraId="77986C7B" w14:textId="1461EB1E" w:rsidR="00B712E6" w:rsidRDefault="00B712E6" w:rsidP="0038386E">
      <w:r>
        <w:t xml:space="preserve">Howden-Chapman, P., Bennett, J., Edwards, R., </w:t>
      </w:r>
      <w:r w:rsidR="00172577">
        <w:t xml:space="preserve">Jacobs, D., et al. (2023). Review of the impact of housing quality on inequalities in health and well-being. Annual Review of Public Health, </w:t>
      </w:r>
      <w:r w:rsidR="003F38FD">
        <w:t>44, 233-254.</w:t>
      </w:r>
    </w:p>
    <w:p w14:paraId="5E4F5FCF" w14:textId="5A8F2F1B" w:rsidR="000937C7" w:rsidRDefault="000937C7" w:rsidP="0038386E">
      <w:r>
        <w:t xml:space="preserve">Humphreys, C., Heathcote-Elliott, C., </w:t>
      </w:r>
      <w:r w:rsidR="0084118E">
        <w:t xml:space="preserve">&amp; </w:t>
      </w:r>
      <w:r>
        <w:t xml:space="preserve">Winding, C. (2022). Delivering fair work for health, well-being and equity - what it is, why it matters and what you can do. A guide </w:t>
      </w:r>
      <w:r>
        <w:lastRenderedPageBreak/>
        <w:t>for local and regional organisations in Wales. Public Health Wales NHS Trust. [accessed 2024 Oct 9]</w:t>
      </w:r>
      <w:r w:rsidR="00775529">
        <w:t>.</w:t>
      </w:r>
      <w:r>
        <w:t xml:space="preserve"> Available from: </w:t>
      </w:r>
      <w:hyperlink r:id="rId19" w:history="1">
        <w:r w:rsidR="00AD7CBF" w:rsidRPr="000B3B3B">
          <w:rPr>
            <w:rStyle w:val="Hyperlink"/>
          </w:rPr>
          <w:t>http://phw.nhs.wales/FairWork</w:t>
        </w:r>
      </w:hyperlink>
      <w:r w:rsidR="00AD7CBF">
        <w:t xml:space="preserve">   </w:t>
      </w:r>
    </w:p>
    <w:p w14:paraId="04819243" w14:textId="45D02CB1" w:rsidR="008305D0" w:rsidRPr="00296289" w:rsidRDefault="008305D0" w:rsidP="0038386E">
      <w:r w:rsidRPr="00CA4DB1">
        <w:t xml:space="preserve">Jensen, H.A.R., </w:t>
      </w:r>
      <w:proofErr w:type="spellStart"/>
      <w:r w:rsidRPr="00CA4DB1">
        <w:t>Møller</w:t>
      </w:r>
      <w:proofErr w:type="spellEnd"/>
      <w:r w:rsidRPr="00CA4DB1">
        <w:t xml:space="preserve">, S.R., Christensen, A.I., </w:t>
      </w:r>
      <w:proofErr w:type="spellStart"/>
      <w:r w:rsidRPr="00CA4DB1">
        <w:t>Davidsen</w:t>
      </w:r>
      <w:proofErr w:type="spellEnd"/>
      <w:r w:rsidRPr="00CA4DB1">
        <w:t xml:space="preserve">, M., </w:t>
      </w:r>
      <w:r w:rsidR="006C426E">
        <w:t>et al.</w:t>
      </w:r>
      <w:r w:rsidRPr="00CA4DB1">
        <w:t xml:space="preserve"> (2024). Trends in social inequality in mortality in Denmark 1995–2019: the contribution of smoking-and alcohol-related deaths. J</w:t>
      </w:r>
      <w:r w:rsidR="006C426E">
        <w:t>ournal of</w:t>
      </w:r>
      <w:r w:rsidRPr="00CA4DB1">
        <w:t xml:space="preserve"> Epidemiol</w:t>
      </w:r>
      <w:r w:rsidR="006C426E">
        <w:t>ogy &amp;</w:t>
      </w:r>
      <w:r w:rsidRPr="00CA4DB1">
        <w:t xml:space="preserve"> Community Health, 78(1), 18-24.</w:t>
      </w:r>
    </w:p>
    <w:p w14:paraId="79D4C484" w14:textId="557C71EC" w:rsidR="008305D0" w:rsidRPr="00CA4DB1" w:rsidRDefault="008305D0" w:rsidP="00CA4DB1">
      <w:r w:rsidRPr="00CA4DB1">
        <w:t xml:space="preserve">Johnson, E.A., Johnson, M.T., </w:t>
      </w:r>
      <w:r w:rsidR="0084118E">
        <w:t xml:space="preserve">&amp; </w:t>
      </w:r>
      <w:r w:rsidRPr="00CA4DB1">
        <w:t>Webber, L. (2020) Measuring the health impact of Universal Basic Income as an upstream intervention: holistic trial design that captures stress reduction is essential. Evidence and Policy 18(3), 583-594.</w:t>
      </w:r>
    </w:p>
    <w:p w14:paraId="7283F449" w14:textId="70FE0C8E" w:rsidR="008305D0" w:rsidRPr="00CA4DB1" w:rsidRDefault="008305D0" w:rsidP="00CA4DB1">
      <w:r w:rsidRPr="00CA4DB1">
        <w:t xml:space="preserve">Johnson, M.T., Johnson, E.A., Nettle, D., </w:t>
      </w:r>
      <w:r w:rsidR="0084118E">
        <w:t xml:space="preserve">&amp; </w:t>
      </w:r>
      <w:r w:rsidRPr="00CA4DB1">
        <w:t>Pickett, K.E. (2022). Designing trials of Universal Basic Income for health impact: identifying interdisciplinary questions to address, Journal of Public Health, 44(2), 408–416.</w:t>
      </w:r>
    </w:p>
    <w:p w14:paraId="5665AD40" w14:textId="1F3B2BBD" w:rsidR="009A762A" w:rsidRDefault="007029D6" w:rsidP="007029D6">
      <w:r>
        <w:t>Jones, A. (2021). A basic income to improve population health and well-being in Wales? Cardiff: Public Health Wales NHS Trust</w:t>
      </w:r>
    </w:p>
    <w:p w14:paraId="2E6D9133" w14:textId="44F2AB5B" w:rsidR="005D0C1F" w:rsidRDefault="007A7555" w:rsidP="00CA4DB1">
      <w:r>
        <w:t xml:space="preserve">Jones, L., </w:t>
      </w:r>
      <w:r w:rsidR="0084118E">
        <w:t xml:space="preserve">&amp; </w:t>
      </w:r>
      <w:r>
        <w:t xml:space="preserve">Bellis, M.A. (2023). </w:t>
      </w:r>
      <w:r w:rsidR="00035EF9" w:rsidRPr="00035EF9">
        <w:t>Identifying evidence to support action to reduce socioeconomic inequalities in health</w:t>
      </w:r>
      <w:r w:rsidR="00035EF9">
        <w:t>: a systematic scoping and mapping review. Public Health Institute, Liverpool John Moores University, UK.</w:t>
      </w:r>
    </w:p>
    <w:p w14:paraId="4B3F89EF" w14:textId="448FDA9C" w:rsidR="008305D0" w:rsidRPr="00CA4DB1" w:rsidRDefault="008305D0" w:rsidP="00CA4DB1">
      <w:r w:rsidRPr="00CA4DB1">
        <w:t xml:space="preserve">Kangas, O., </w:t>
      </w:r>
      <w:proofErr w:type="spellStart"/>
      <w:r w:rsidRPr="00CA4DB1">
        <w:t>Jauhiainen</w:t>
      </w:r>
      <w:proofErr w:type="spellEnd"/>
      <w:r w:rsidRPr="00CA4DB1">
        <w:t xml:space="preserve">, S., </w:t>
      </w:r>
      <w:proofErr w:type="spellStart"/>
      <w:r w:rsidRPr="00CA4DB1">
        <w:t>Simanainen</w:t>
      </w:r>
      <w:proofErr w:type="spellEnd"/>
      <w:r w:rsidRPr="00CA4DB1">
        <w:t xml:space="preserve">, M., </w:t>
      </w:r>
      <w:r w:rsidR="0084118E">
        <w:t xml:space="preserve">&amp; </w:t>
      </w:r>
      <w:proofErr w:type="spellStart"/>
      <w:r w:rsidRPr="00CA4DB1">
        <w:t>Ylikännö</w:t>
      </w:r>
      <w:proofErr w:type="spellEnd"/>
      <w:r w:rsidRPr="00CA4DB1">
        <w:t xml:space="preserve">, M. (2019). The Basic Income Experiment 2017–2018 in Finland: Preliminary Results. Helsinki: Ministry of Social Affairs. </w:t>
      </w:r>
      <w:r w:rsidR="006C426E" w:rsidRPr="00CA4DB1">
        <w:t>Available</w:t>
      </w:r>
      <w:r w:rsidRPr="00CA4DB1">
        <w:t xml:space="preserve"> from: </w:t>
      </w:r>
      <w:hyperlink r:id="rId20" w:history="1">
        <w:r w:rsidRPr="00CA4DB1">
          <w:rPr>
            <w:rStyle w:val="Hyperlink"/>
          </w:rPr>
          <w:t>http://julkaisut.valtioneuvosto.fi/handle/10024/161361</w:t>
        </w:r>
      </w:hyperlink>
      <w:r w:rsidRPr="00CA4DB1">
        <w:t>.</w:t>
      </w:r>
    </w:p>
    <w:p w14:paraId="0CBB18B1" w14:textId="38A41E57" w:rsidR="006A18A0" w:rsidRDefault="00C954FD" w:rsidP="00296289">
      <w:r w:rsidRPr="00C954FD">
        <w:t>Keppel</w:t>
      </w:r>
      <w:r>
        <w:t>,</w:t>
      </w:r>
      <w:r w:rsidRPr="00C954FD">
        <w:t xml:space="preserve"> K</w:t>
      </w:r>
      <w:r>
        <w:t>.</w:t>
      </w:r>
      <w:r w:rsidRPr="00C954FD">
        <w:t>, Pamuk</w:t>
      </w:r>
      <w:r>
        <w:t>,</w:t>
      </w:r>
      <w:r w:rsidRPr="00C954FD">
        <w:t xml:space="preserve"> E</w:t>
      </w:r>
      <w:r>
        <w:t>.</w:t>
      </w:r>
      <w:r w:rsidRPr="00C954FD">
        <w:t>, Lynch</w:t>
      </w:r>
      <w:r>
        <w:t>,</w:t>
      </w:r>
      <w:r w:rsidRPr="00C954FD">
        <w:t xml:space="preserve"> J</w:t>
      </w:r>
      <w:r>
        <w:t>.</w:t>
      </w:r>
      <w:r w:rsidRPr="00C954FD">
        <w:t>, Carter-</w:t>
      </w:r>
      <w:proofErr w:type="spellStart"/>
      <w:r w:rsidRPr="00C954FD">
        <w:t>Pokras</w:t>
      </w:r>
      <w:proofErr w:type="spellEnd"/>
      <w:r>
        <w:t>,</w:t>
      </w:r>
      <w:r w:rsidRPr="00C954FD">
        <w:t xml:space="preserve"> O, </w:t>
      </w:r>
      <w:r>
        <w:t>et al. (2013)</w:t>
      </w:r>
      <w:r w:rsidRPr="00C954FD">
        <w:t xml:space="preserve">. Methodological issues in measuring health disparities. Vital </w:t>
      </w:r>
      <w:r w:rsidR="00941C19">
        <w:t xml:space="preserve">and </w:t>
      </w:r>
      <w:r w:rsidRPr="00C954FD">
        <w:t>Health Stat</w:t>
      </w:r>
      <w:r w:rsidR="00941C19">
        <w:t>istics. Series</w:t>
      </w:r>
      <w:r w:rsidRPr="00C954FD">
        <w:t xml:space="preserve"> 2</w:t>
      </w:r>
      <w:r w:rsidR="00C25ABE">
        <w:t xml:space="preserve">, </w:t>
      </w:r>
      <w:r w:rsidRPr="00C954FD">
        <w:t>141</w:t>
      </w:r>
      <w:r>
        <w:t xml:space="preserve">, </w:t>
      </w:r>
      <w:r w:rsidRPr="00C954FD">
        <w:t>1-16.</w:t>
      </w:r>
    </w:p>
    <w:p w14:paraId="5F9B6193" w14:textId="32449955" w:rsidR="008305D0" w:rsidRDefault="008305D0" w:rsidP="00296289">
      <w:proofErr w:type="spellStart"/>
      <w:r w:rsidRPr="00296289">
        <w:t>Lewer</w:t>
      </w:r>
      <w:proofErr w:type="spellEnd"/>
      <w:r w:rsidRPr="00296289">
        <w:t xml:space="preserve">, D., </w:t>
      </w:r>
      <w:proofErr w:type="spellStart"/>
      <w:r w:rsidRPr="00296289">
        <w:t>Jayatunga</w:t>
      </w:r>
      <w:proofErr w:type="spellEnd"/>
      <w:r w:rsidRPr="00296289">
        <w:t xml:space="preserve">, W., Aldridge, R.W., Edge, C., </w:t>
      </w:r>
      <w:r w:rsidR="006C426E">
        <w:t>et al.</w:t>
      </w:r>
      <w:r w:rsidRPr="00296289">
        <w:t xml:space="preserve"> </w:t>
      </w:r>
      <w:r w:rsidR="006C426E">
        <w:t>(</w:t>
      </w:r>
      <w:r w:rsidRPr="00296289">
        <w:t>2020</w:t>
      </w:r>
      <w:r w:rsidR="006C426E">
        <w:t>)</w:t>
      </w:r>
      <w:r w:rsidRPr="00296289">
        <w:t>. Premature mortality attributable to socioeconomic inequality in England between 2003 and 2018: an observational study. Lancet Public Health, 5(1), e33-e41.</w:t>
      </w:r>
    </w:p>
    <w:p w14:paraId="370B5303" w14:textId="0905B588" w:rsidR="00735290" w:rsidRPr="00296289" w:rsidRDefault="00735290" w:rsidP="00296289">
      <w:r>
        <w:t xml:space="preserve">Lewis, R., </w:t>
      </w:r>
      <w:r w:rsidR="0084118E">
        <w:t xml:space="preserve">&amp; </w:t>
      </w:r>
      <w:r>
        <w:t xml:space="preserve">McKibben, M.A. (2022). Briefing: the rise of economic inactivity due to ill health. Public Health Wales and Health Working Wales. </w:t>
      </w:r>
      <w:r w:rsidR="00BA006A">
        <w:t xml:space="preserve">[accessed 2024 Sep 11]. Available from: </w:t>
      </w:r>
      <w:hyperlink r:id="rId21" w:history="1">
        <w:r w:rsidR="00BA006A" w:rsidRPr="00993565">
          <w:rPr>
            <w:rStyle w:val="Hyperlink"/>
          </w:rPr>
          <w:t>https://phw.nhs.wales/services-and-teams/healthy-working-wales/reports/the-rise-in-economic-inactivity-due-to-ill-health/</w:t>
        </w:r>
      </w:hyperlink>
      <w:r w:rsidR="00BA006A">
        <w:t xml:space="preserve"> </w:t>
      </w:r>
    </w:p>
    <w:p w14:paraId="48673AC8" w14:textId="340B0A83" w:rsidR="003B6249" w:rsidRDefault="003B6249" w:rsidP="00CA4DB1">
      <w:r>
        <w:t>MacBride-Stewart</w:t>
      </w:r>
      <w:r w:rsidR="008D61A5">
        <w:t>, S.,</w:t>
      </w:r>
      <w:r>
        <w:t xml:space="preserve"> </w:t>
      </w:r>
      <w:r w:rsidR="0084118E">
        <w:t xml:space="preserve">&amp; </w:t>
      </w:r>
      <w:proofErr w:type="spellStart"/>
      <w:r>
        <w:t>Parken</w:t>
      </w:r>
      <w:proofErr w:type="spellEnd"/>
      <w:r w:rsidR="008D61A5">
        <w:t xml:space="preserve">, A. (2021). Inequality in a </w:t>
      </w:r>
      <w:r w:rsidR="00262DA9">
        <w:t xml:space="preserve">future Wales: areas for action in work, climate, and demographic change. </w:t>
      </w:r>
      <w:r w:rsidR="00A17DF7">
        <w:t>Office for the Future Generations Commissioner of Wales, UK.</w:t>
      </w:r>
    </w:p>
    <w:p w14:paraId="068DAB56" w14:textId="70A6C1D7" w:rsidR="008F0AC0" w:rsidRDefault="00B6682D" w:rsidP="00CA4DB1">
      <w:proofErr w:type="spellStart"/>
      <w:r>
        <w:t>Mackenbach</w:t>
      </w:r>
      <w:proofErr w:type="spellEnd"/>
      <w:r>
        <w:t xml:space="preserve">, J.P. </w:t>
      </w:r>
      <w:r w:rsidR="00B21F91">
        <w:t xml:space="preserve">(2015). Should we aim to reduce relative or absolute inequalities in mortality? European Journal of Public Health, 25(2), </w:t>
      </w:r>
      <w:r w:rsidR="008520C1">
        <w:t>185.</w:t>
      </w:r>
    </w:p>
    <w:p w14:paraId="519B8B0A" w14:textId="0858B7D9" w:rsidR="001D5806" w:rsidRDefault="001D5806" w:rsidP="00CA4DB1">
      <w:proofErr w:type="spellStart"/>
      <w:r w:rsidRPr="001D5806">
        <w:t>Mackenbach</w:t>
      </w:r>
      <w:proofErr w:type="spellEnd"/>
      <w:r w:rsidRPr="001D5806">
        <w:t>, J.P.</w:t>
      </w:r>
      <w:r>
        <w:t xml:space="preserve"> (</w:t>
      </w:r>
      <w:r w:rsidRPr="001D5806">
        <w:t>2019</w:t>
      </w:r>
      <w:r>
        <w:t>)</w:t>
      </w:r>
      <w:r w:rsidRPr="001D5806">
        <w:t>. </w:t>
      </w:r>
      <w:r w:rsidRPr="001D5806">
        <w:rPr>
          <w:i/>
          <w:iCs/>
        </w:rPr>
        <w:t>Health inequalities: Persistence and change in modern welfare states</w:t>
      </w:r>
      <w:r w:rsidRPr="001D5806">
        <w:t>. Oxford University Press, USA.</w:t>
      </w:r>
    </w:p>
    <w:p w14:paraId="4DB8AB92" w14:textId="06ED40CC" w:rsidR="004221BA" w:rsidRDefault="004221BA" w:rsidP="00CA4DB1">
      <w:proofErr w:type="spellStart"/>
      <w:r>
        <w:t>Mackenbach</w:t>
      </w:r>
      <w:proofErr w:type="spellEnd"/>
      <w:r>
        <w:t>, J.P, Bakker</w:t>
      </w:r>
      <w:r w:rsidR="00C90391">
        <w:t xml:space="preserve">, M.J. (2003). Tackling socioeconomic inequalities in health: analysis of European experiences. Lancet, </w:t>
      </w:r>
      <w:r w:rsidR="00EA3720">
        <w:t>362(9393), 1409-1414.</w:t>
      </w:r>
    </w:p>
    <w:p w14:paraId="2B09ADE3" w14:textId="3D92A0AA" w:rsidR="009F3B4A" w:rsidRDefault="009F3B4A" w:rsidP="00C7408A">
      <w:proofErr w:type="spellStart"/>
      <w:r>
        <w:lastRenderedPageBreak/>
        <w:t>Malcheva</w:t>
      </w:r>
      <w:proofErr w:type="spellEnd"/>
      <w:r>
        <w:t xml:space="preserve">, P., Petchey, L., </w:t>
      </w:r>
      <w:r w:rsidR="0084118E">
        <w:t xml:space="preserve">&amp; </w:t>
      </w:r>
      <w:r>
        <w:t xml:space="preserve">Elias, S. </w:t>
      </w:r>
      <w:r w:rsidR="00C7408A">
        <w:t xml:space="preserve">(2024). </w:t>
      </w:r>
      <w:r w:rsidR="00C7408A" w:rsidRPr="00C7408A">
        <w:t>Beyond the present:</w:t>
      </w:r>
      <w:r w:rsidR="00C7408A">
        <w:t xml:space="preserve"> </w:t>
      </w:r>
      <w:r w:rsidR="00C7408A" w:rsidRPr="00C7408A">
        <w:t>How to apply long-term</w:t>
      </w:r>
      <w:r w:rsidR="00C7408A">
        <w:t xml:space="preserve"> </w:t>
      </w:r>
      <w:r w:rsidR="00C7408A" w:rsidRPr="00C7408A">
        <w:t>thinking to reduce</w:t>
      </w:r>
      <w:r w:rsidR="00C7408A">
        <w:t xml:space="preserve"> </w:t>
      </w:r>
      <w:r w:rsidR="00C7408A" w:rsidRPr="00C7408A">
        <w:t>health inequalities</w:t>
      </w:r>
      <w:r w:rsidR="00C7408A">
        <w:t>. Public Health Wales, UK.</w:t>
      </w:r>
    </w:p>
    <w:p w14:paraId="79397BDB" w14:textId="200EECDA" w:rsidR="00610712" w:rsidRDefault="00610712" w:rsidP="00706ABB">
      <w:r>
        <w:t xml:space="preserve">Marmot, M., </w:t>
      </w:r>
      <w:r w:rsidR="00706ABB">
        <w:t xml:space="preserve">Allen, J., Boyce, T., Goldblatt, P., </w:t>
      </w:r>
      <w:r w:rsidR="0084118E">
        <w:t xml:space="preserve">&amp; </w:t>
      </w:r>
      <w:r w:rsidR="00706ABB">
        <w:t>Morrison, J. (2020). Health equity in England: The Marmot Review 10 years on. Institute of Health Equity</w:t>
      </w:r>
      <w:r w:rsidR="001235C9">
        <w:t>, UK.</w:t>
      </w:r>
    </w:p>
    <w:p w14:paraId="66FB36BE" w14:textId="7D380B3E" w:rsidR="008305D0" w:rsidRDefault="008305D0" w:rsidP="00CA4DB1">
      <w:r w:rsidRPr="00CA4DB1">
        <w:t xml:space="preserve">Martin, S., </w:t>
      </w:r>
      <w:proofErr w:type="spellStart"/>
      <w:r w:rsidRPr="00CA4DB1">
        <w:t>Siciliani</w:t>
      </w:r>
      <w:proofErr w:type="spellEnd"/>
      <w:r w:rsidRPr="00CA4DB1">
        <w:t xml:space="preserve">, L., </w:t>
      </w:r>
      <w:r w:rsidR="0084118E">
        <w:t xml:space="preserve">&amp; </w:t>
      </w:r>
      <w:r w:rsidRPr="00CA4DB1">
        <w:t xml:space="preserve">Smith, P. (2020). Socioeconomic inequalities in waiting times for primary care across ten OECD countries. Social Science </w:t>
      </w:r>
      <w:r w:rsidR="006C426E">
        <w:t>&amp;</w:t>
      </w:r>
      <w:r w:rsidRPr="00CA4DB1">
        <w:t xml:space="preserve"> Medicine, 263, 113230.</w:t>
      </w:r>
    </w:p>
    <w:p w14:paraId="483377BA" w14:textId="292EE15E" w:rsidR="00366B55" w:rsidRDefault="00366B55" w:rsidP="00CA4DB1">
      <w:proofErr w:type="spellStart"/>
      <w:r>
        <w:t>Messham</w:t>
      </w:r>
      <w:proofErr w:type="spellEnd"/>
      <w:r>
        <w:t xml:space="preserve">, E., </w:t>
      </w:r>
      <w:r w:rsidR="0084118E">
        <w:t xml:space="preserve">&amp; </w:t>
      </w:r>
      <w:r>
        <w:t>Sheard, S. (2020). Taking the long view: the development of the Well-being of Future Generations (Wales) Act. Health Research Policy and Systems</w:t>
      </w:r>
      <w:r w:rsidR="002A45CD">
        <w:t>, 18(33)</w:t>
      </w:r>
      <w:r w:rsidR="00EA1715">
        <w:t>.</w:t>
      </w:r>
    </w:p>
    <w:p w14:paraId="41EB2387" w14:textId="52DAB1FB" w:rsidR="00472FC1" w:rsidRDefault="00472FC1" w:rsidP="00CA4DB1">
      <w:r>
        <w:t>Naik, Y., Abbs, I., Elwell-Sutton, T., Bibby</w:t>
      </w:r>
      <w:r w:rsidR="008478C1">
        <w:t>, J. et al. (2020). Using economic development to improve health and reduce health inequalities. Health Foundation, London.</w:t>
      </w:r>
    </w:p>
    <w:p w14:paraId="3DE56CA5" w14:textId="6C26C642" w:rsidR="00E31425" w:rsidRDefault="00E31425" w:rsidP="00CA4DB1">
      <w:r>
        <w:t>New Zealand Government. (2022). Fair Pay Agreements Act 2022.</w:t>
      </w:r>
      <w:r w:rsidR="00E1516E">
        <w:t xml:space="preserve"> [accessed 2024 Oct 9]</w:t>
      </w:r>
      <w:r w:rsidR="00044B4E">
        <w:t xml:space="preserve"> Available from</w:t>
      </w:r>
      <w:r w:rsidR="00E1516E">
        <w:t xml:space="preserve">: </w:t>
      </w:r>
      <w:hyperlink r:id="rId22" w:history="1">
        <w:r w:rsidR="00E1516E" w:rsidRPr="000B3B3B">
          <w:rPr>
            <w:rStyle w:val="Hyperlink"/>
          </w:rPr>
          <w:t>https://www.legislation.govt.nz/act/public/2022/0058/latest/LMS655984.html</w:t>
        </w:r>
      </w:hyperlink>
      <w:r w:rsidR="00E1516E">
        <w:t xml:space="preserve"> </w:t>
      </w:r>
    </w:p>
    <w:p w14:paraId="5BCD6122" w14:textId="45648F97" w:rsidR="00020D0F" w:rsidRDefault="00020D0F" w:rsidP="00CA4DB1">
      <w:r>
        <w:t>OECD. (2019). Negotiating our way up</w:t>
      </w:r>
      <w:r w:rsidR="00224AFF">
        <w:t>:</w:t>
      </w:r>
      <w:r>
        <w:t xml:space="preserve"> </w:t>
      </w:r>
      <w:r w:rsidR="00224AFF">
        <w:t>c</w:t>
      </w:r>
      <w:r>
        <w:t>ollective bargaining in a changing world of work.</w:t>
      </w:r>
      <w:r w:rsidR="00A11164">
        <w:t xml:space="preserve"> </w:t>
      </w:r>
      <w:r w:rsidR="00A11164" w:rsidRPr="004A62F9">
        <w:t>OECD Publishing, Paris</w:t>
      </w:r>
      <w:r w:rsidR="00A11164">
        <w:t>.</w:t>
      </w:r>
    </w:p>
    <w:p w14:paraId="50B1B77E" w14:textId="790BFBF2" w:rsidR="00860130" w:rsidRDefault="00860130" w:rsidP="00CA4DB1">
      <w:r>
        <w:t xml:space="preserve">OECD. (2023). </w:t>
      </w:r>
      <w:r w:rsidR="004A62F9" w:rsidRPr="004A62F9">
        <w:t>OECD Regional Outlook 2023: The Longstanding Geography of Inequalities</w:t>
      </w:r>
      <w:r w:rsidR="004A62F9">
        <w:t xml:space="preserve">. </w:t>
      </w:r>
      <w:r w:rsidR="004A62F9" w:rsidRPr="004A62F9">
        <w:t>OECD Publishing, Paris</w:t>
      </w:r>
      <w:r w:rsidR="004A62F9">
        <w:t>.</w:t>
      </w:r>
    </w:p>
    <w:p w14:paraId="6A39234B" w14:textId="4B464437" w:rsidR="00CF41DF" w:rsidRDefault="00CF41DF" w:rsidP="00CA4DB1">
      <w:r>
        <w:t xml:space="preserve">Office for Budget Responsibility. (2023). Fiscal risk and sustainability. </w:t>
      </w:r>
      <w:r w:rsidR="00BE4F4A">
        <w:t>Office for Budget Responsibility, London.</w:t>
      </w:r>
    </w:p>
    <w:p w14:paraId="1C096645" w14:textId="43842052" w:rsidR="002A6AA5" w:rsidRPr="00CA4DB1" w:rsidRDefault="002A6AA5" w:rsidP="00CA4DB1">
      <w:r>
        <w:t>Office for Health Improvement &amp; Disparities. (2023). Measuring health inequalities – absolute and relative inequality.</w:t>
      </w:r>
      <w:r w:rsidR="002F5B45">
        <w:t xml:space="preserve"> [accessed 2024 Mar 13].</w:t>
      </w:r>
      <w:r>
        <w:t xml:space="preserve"> </w:t>
      </w:r>
      <w:r w:rsidR="003D7C5A">
        <w:t xml:space="preserve">Available from: </w:t>
      </w:r>
      <w:hyperlink r:id="rId23" w:history="1">
        <w:r w:rsidR="003D7C5A" w:rsidRPr="00BF7E88">
          <w:rPr>
            <w:rStyle w:val="Hyperlink"/>
          </w:rPr>
          <w:t>https://fingertips.phe.org.uk/documents/Absolute%20and%20relative%20inequality%20explainer_OHID.pdf</w:t>
        </w:r>
      </w:hyperlink>
      <w:r w:rsidR="003D7C5A">
        <w:t xml:space="preserve"> </w:t>
      </w:r>
    </w:p>
    <w:p w14:paraId="6C84AC8B" w14:textId="3C782750" w:rsidR="000579E0" w:rsidRDefault="000579E0" w:rsidP="00296289">
      <w:r>
        <w:t xml:space="preserve">Office for National Statistics. </w:t>
      </w:r>
      <w:r w:rsidR="00501D10">
        <w:t xml:space="preserve">(2024). </w:t>
      </w:r>
      <w:r w:rsidR="00501D10" w:rsidRPr="00501D10">
        <w:t>Population estimates for England and Wales: mid-2023</w:t>
      </w:r>
      <w:r w:rsidR="00501D10">
        <w:t xml:space="preserve">. [accessed 2024 Sep 11]. </w:t>
      </w:r>
      <w:r w:rsidR="00DE6480">
        <w:t xml:space="preserve">Available from: </w:t>
      </w:r>
      <w:hyperlink r:id="rId24" w:history="1">
        <w:r w:rsidR="00884DA8" w:rsidRPr="00570B4C">
          <w:rPr>
            <w:rStyle w:val="Hyperlink"/>
          </w:rPr>
          <w:t>https://www.ons.gov.uk/peoplepopulationandcommunity/populationandmigration/populationestimates/bulletins/populationestimatesforenglandandwales/mid2023</w:t>
        </w:r>
      </w:hyperlink>
    </w:p>
    <w:p w14:paraId="5D308483" w14:textId="6CDFB71B" w:rsidR="00C95BAA" w:rsidRDefault="008305D0" w:rsidP="00296289">
      <w:proofErr w:type="spellStart"/>
      <w:r w:rsidRPr="00296289">
        <w:t>Otavova</w:t>
      </w:r>
      <w:proofErr w:type="spellEnd"/>
      <w:r w:rsidRPr="00296289">
        <w:t xml:space="preserve">, M., Masquelier, B., </w:t>
      </w:r>
      <w:proofErr w:type="spellStart"/>
      <w:r w:rsidRPr="00296289">
        <w:t>Faes</w:t>
      </w:r>
      <w:proofErr w:type="spellEnd"/>
      <w:r w:rsidRPr="00296289">
        <w:t xml:space="preserve">, C., van den </w:t>
      </w:r>
      <w:proofErr w:type="spellStart"/>
      <w:r w:rsidRPr="00296289">
        <w:t>Borre</w:t>
      </w:r>
      <w:proofErr w:type="spellEnd"/>
      <w:r w:rsidRPr="00296289">
        <w:t xml:space="preserve">, L., </w:t>
      </w:r>
      <w:r w:rsidR="006C426E">
        <w:t>et al</w:t>
      </w:r>
      <w:r w:rsidRPr="00296289">
        <w:t>.</w:t>
      </w:r>
      <w:r w:rsidR="006C426E">
        <w:t xml:space="preserve"> (</w:t>
      </w:r>
      <w:r w:rsidRPr="00296289">
        <w:t>2024</w:t>
      </w:r>
      <w:r w:rsidR="006C426E">
        <w:t>)</w:t>
      </w:r>
      <w:r w:rsidRPr="00296289">
        <w:t>. Trends in socioeconomic inequalities in cause-specific premature mortality in Belgium, 1998–2019. BMC Public Health, 24(1),</w:t>
      </w:r>
      <w:r w:rsidR="006C426E">
        <w:t xml:space="preserve"> </w:t>
      </w:r>
      <w:r w:rsidRPr="00296289">
        <w:t>470.</w:t>
      </w:r>
    </w:p>
    <w:p w14:paraId="26F36DF9" w14:textId="5CF62050" w:rsidR="00C95BAA" w:rsidRDefault="00BB34B8" w:rsidP="00296289">
      <w:r>
        <w:t>Pearce, A., Mason, K., Fleming, K., Taylor-Robinson, D</w:t>
      </w:r>
      <w:r w:rsidR="005F723E">
        <w:t xml:space="preserve">., </w:t>
      </w:r>
      <w:r w:rsidR="006016D2">
        <w:t xml:space="preserve">&amp; </w:t>
      </w:r>
      <w:r w:rsidR="005F723E">
        <w:t xml:space="preserve">Whitehead, M. </w:t>
      </w:r>
      <w:r>
        <w:t xml:space="preserve">(2020). </w:t>
      </w:r>
      <w:r w:rsidR="00C95BAA">
        <w:t>Reducing inequities in health across the life-course: early years, childhood and adolescence. WHO Regional Office for Europe</w:t>
      </w:r>
      <w:r>
        <w:t>: Copenhagen.</w:t>
      </w:r>
    </w:p>
    <w:p w14:paraId="388653CD" w14:textId="6C2EDF11" w:rsidR="008305D0" w:rsidRPr="00296289" w:rsidRDefault="008305D0" w:rsidP="00296289">
      <w:proofErr w:type="spellStart"/>
      <w:r w:rsidRPr="00296289">
        <w:t>Petrelli</w:t>
      </w:r>
      <w:proofErr w:type="spellEnd"/>
      <w:r w:rsidRPr="00296289">
        <w:t xml:space="preserve">, A., Ventura, M., Di Napoli, A., Pappagallo, M., </w:t>
      </w:r>
      <w:r w:rsidR="006C426E">
        <w:t>et al</w:t>
      </w:r>
      <w:r w:rsidRPr="00296289">
        <w:t xml:space="preserve">. </w:t>
      </w:r>
      <w:r w:rsidR="006C426E">
        <w:t>(</w:t>
      </w:r>
      <w:r w:rsidRPr="00296289">
        <w:t>2024</w:t>
      </w:r>
      <w:r w:rsidR="006C426E">
        <w:t>)</w:t>
      </w:r>
      <w:r w:rsidRPr="00296289">
        <w:t xml:space="preserve">. Socioeconomic inequalities in avoidable mortality in Italy: results from a nationwide longitudinal cohort. BMC </w:t>
      </w:r>
      <w:r w:rsidR="006C426E">
        <w:t>P</w:t>
      </w:r>
      <w:r w:rsidRPr="00296289">
        <w:t xml:space="preserve">ublic </w:t>
      </w:r>
      <w:r w:rsidR="006C426E">
        <w:t>H</w:t>
      </w:r>
      <w:r w:rsidRPr="00296289">
        <w:t>ealth, 24(1), 1-12.</w:t>
      </w:r>
    </w:p>
    <w:p w14:paraId="4D5BFBE1" w14:textId="2FE8A8DD" w:rsidR="00F94959" w:rsidRDefault="00F94959" w:rsidP="008305D0">
      <w:r>
        <w:lastRenderedPageBreak/>
        <w:t xml:space="preserve">Public Health Wales. (2023). Our Strategic Plan 2023-2026. </w:t>
      </w:r>
      <w:r w:rsidR="003836C9">
        <w:t xml:space="preserve">[accessed 2024 Sep 11]. Available from: </w:t>
      </w:r>
      <w:hyperlink r:id="rId25" w:history="1">
        <w:r w:rsidR="003836C9" w:rsidRPr="00993565">
          <w:rPr>
            <w:rStyle w:val="Hyperlink"/>
          </w:rPr>
          <w:t>https://phw.nhs.wales/about-us/working-together-for-a-healthier-wales/our-strategic-plan-2023-2026/</w:t>
        </w:r>
      </w:hyperlink>
      <w:r w:rsidR="003836C9">
        <w:t xml:space="preserve"> </w:t>
      </w:r>
    </w:p>
    <w:p w14:paraId="12D3CDFC" w14:textId="77BE0F7D" w:rsidR="000D5875" w:rsidRDefault="000D5875" w:rsidP="008305D0">
      <w:r>
        <w:t>Public Health Wales. (2024). Shaping place for well-being in Wales programme. Stakeholder briefing.</w:t>
      </w:r>
      <w:r w:rsidR="003836C9">
        <w:t xml:space="preserve"> </w:t>
      </w:r>
      <w:r>
        <w:t xml:space="preserve">[accessed 2024 Sep 11]. Available from: </w:t>
      </w:r>
      <w:hyperlink r:id="rId26" w:history="1">
        <w:r w:rsidRPr="00993565">
          <w:rPr>
            <w:rStyle w:val="Hyperlink"/>
          </w:rPr>
          <w:t>https://emedia1.nhs.wales/PublicHealthWales/assets/Shaping%20Places%20for%20Wellbeing%20Images/SPWW-Programme-briefing-–-March-V1.0.pdf</w:t>
        </w:r>
      </w:hyperlink>
      <w:r>
        <w:t xml:space="preserve"> </w:t>
      </w:r>
    </w:p>
    <w:p w14:paraId="5BC3929D" w14:textId="397E838F" w:rsidR="00B2067F" w:rsidRDefault="00B2067F" w:rsidP="008305D0">
      <w:r>
        <w:t xml:space="preserve">Raymond, K., Haddock, R., Nathan, S., Harrison, R., </w:t>
      </w:r>
      <w:r w:rsidR="006016D2">
        <w:t xml:space="preserve">&amp; </w:t>
      </w:r>
      <w:r>
        <w:t xml:space="preserve">Meyer, L. (2023). Value-based public health: moving beyond value-based health care to support a wellbeing economy. </w:t>
      </w:r>
      <w:r w:rsidR="00E97877">
        <w:t>Health Promotion Journal of Australia</w:t>
      </w:r>
      <w:r w:rsidR="003E7F88">
        <w:t>, 34(3), 675-680.</w:t>
      </w:r>
    </w:p>
    <w:p w14:paraId="43263765" w14:textId="590F10E2" w:rsidR="00253F04" w:rsidRDefault="00253F04" w:rsidP="008305D0">
      <w:r w:rsidRPr="00253F04">
        <w:t>Robinson</w:t>
      </w:r>
      <w:r w:rsidR="009D4B54">
        <w:t>,</w:t>
      </w:r>
      <w:r w:rsidRPr="00253F04">
        <w:t xml:space="preserve"> T</w:t>
      </w:r>
      <w:r w:rsidR="009D4B54">
        <w:t>.</w:t>
      </w:r>
      <w:r w:rsidRPr="00253F04">
        <w:t>, Brown</w:t>
      </w:r>
      <w:r w:rsidR="009D4B54">
        <w:t>,</w:t>
      </w:r>
      <w:r w:rsidRPr="00253F04">
        <w:t xml:space="preserve"> H</w:t>
      </w:r>
      <w:r w:rsidR="009D4B54">
        <w:t>.</w:t>
      </w:r>
      <w:r w:rsidRPr="00253F04">
        <w:t>, Norman</w:t>
      </w:r>
      <w:r w:rsidR="009D4B54">
        <w:t>,</w:t>
      </w:r>
      <w:r w:rsidRPr="00253F04">
        <w:t xml:space="preserve"> P</w:t>
      </w:r>
      <w:r w:rsidR="009D4B54">
        <w:t>.</w:t>
      </w:r>
      <w:r w:rsidRPr="00253F04">
        <w:t>D</w:t>
      </w:r>
      <w:r w:rsidR="009D4B54">
        <w:t>.</w:t>
      </w:r>
      <w:r w:rsidRPr="00253F04">
        <w:t>,</w:t>
      </w:r>
      <w:r w:rsidR="009D4B54">
        <w:t xml:space="preserve"> Fraser</w:t>
      </w:r>
      <w:r w:rsidR="0081780B">
        <w:t>, L.K.,</w:t>
      </w:r>
      <w:r w:rsidRPr="00253F04">
        <w:t xml:space="preserve"> et al.</w:t>
      </w:r>
      <w:r w:rsidR="009D4B54">
        <w:t xml:space="preserve"> (2019).</w:t>
      </w:r>
      <w:r w:rsidRPr="00253F04">
        <w:t xml:space="preserve"> The impact of new labour's English health inequalities strategy on geographical inequalities in infant mortality: a time-trend analysis. J</w:t>
      </w:r>
      <w:r w:rsidR="009D4B54">
        <w:t>ournal of</w:t>
      </w:r>
      <w:r w:rsidRPr="00253F04">
        <w:t xml:space="preserve"> Epidemiol</w:t>
      </w:r>
      <w:r w:rsidR="009D4B54">
        <w:t>ogy and</w:t>
      </w:r>
      <w:r w:rsidRPr="00253F04">
        <w:t xml:space="preserve"> Community Health</w:t>
      </w:r>
      <w:r w:rsidR="009D4B54">
        <w:t xml:space="preserve">, </w:t>
      </w:r>
      <w:r w:rsidRPr="00253F04">
        <w:t>73</w:t>
      </w:r>
      <w:r w:rsidR="009D4B54">
        <w:t xml:space="preserve">, </w:t>
      </w:r>
      <w:r w:rsidRPr="00253F04">
        <w:t>564–8</w:t>
      </w:r>
      <w:r w:rsidR="009D4B54">
        <w:t>.</w:t>
      </w:r>
    </w:p>
    <w:p w14:paraId="1449B51E" w14:textId="55A4D803" w:rsidR="008305D0" w:rsidRPr="008305D0" w:rsidRDefault="008305D0" w:rsidP="008305D0">
      <w:r w:rsidRPr="00296289">
        <w:t xml:space="preserve">Seaman, R., </w:t>
      </w:r>
      <w:proofErr w:type="spellStart"/>
      <w:r w:rsidRPr="00296289">
        <w:t>Riffe</w:t>
      </w:r>
      <w:proofErr w:type="spellEnd"/>
      <w:r w:rsidRPr="00296289">
        <w:t>, T., Leyland, A.H., Popham, F.</w:t>
      </w:r>
      <w:r w:rsidR="006C426E">
        <w:t xml:space="preserve">, </w:t>
      </w:r>
      <w:r w:rsidR="006016D2">
        <w:t xml:space="preserve">&amp; </w:t>
      </w:r>
      <w:r w:rsidRPr="00296289">
        <w:t xml:space="preserve">van </w:t>
      </w:r>
      <w:proofErr w:type="spellStart"/>
      <w:r w:rsidRPr="00296289">
        <w:t>Raalte</w:t>
      </w:r>
      <w:proofErr w:type="spellEnd"/>
      <w:r w:rsidRPr="00296289">
        <w:t>, A.</w:t>
      </w:r>
      <w:r w:rsidR="006C426E">
        <w:t xml:space="preserve"> (</w:t>
      </w:r>
      <w:r w:rsidRPr="00296289">
        <w:t>2019</w:t>
      </w:r>
      <w:r w:rsidR="006C426E">
        <w:t>)</w:t>
      </w:r>
      <w:r w:rsidRPr="00296289">
        <w:t xml:space="preserve">. The </w:t>
      </w:r>
      <w:r w:rsidRPr="008305D0">
        <w:t>increasing lifespan variation gradient by area-level deprivation: a decomposition analysis of Scotland 1981–2011. Social Science &amp; Medicine, 230, 147-157.</w:t>
      </w:r>
    </w:p>
    <w:p w14:paraId="6AB60AF9" w14:textId="010A9D75" w:rsidR="008305D0" w:rsidRPr="008305D0" w:rsidRDefault="008305D0" w:rsidP="008305D0">
      <w:r w:rsidRPr="008305D0">
        <w:t xml:space="preserve">Shahidi, F.V., </w:t>
      </w:r>
      <w:proofErr w:type="spellStart"/>
      <w:r w:rsidRPr="008305D0">
        <w:t>Parnia</w:t>
      </w:r>
      <w:proofErr w:type="spellEnd"/>
      <w:r w:rsidRPr="008305D0">
        <w:t>, A.</w:t>
      </w:r>
      <w:r w:rsidR="006C426E">
        <w:t xml:space="preserve">, </w:t>
      </w:r>
      <w:r w:rsidR="006016D2">
        <w:t xml:space="preserve">&amp; </w:t>
      </w:r>
      <w:r w:rsidRPr="008305D0">
        <w:t>Siddiqi, A.</w:t>
      </w:r>
      <w:r w:rsidR="006C426E">
        <w:t xml:space="preserve"> (</w:t>
      </w:r>
      <w:r w:rsidRPr="008305D0">
        <w:t>2020</w:t>
      </w:r>
      <w:r w:rsidR="006C426E">
        <w:t>)</w:t>
      </w:r>
      <w:r w:rsidRPr="008305D0">
        <w:t>. Trends in socioeconomic inequalities in premature and avoidable mortality in Canada, 1991–2016. CMAJ, 192(39), E1114-E1128.</w:t>
      </w:r>
    </w:p>
    <w:p w14:paraId="7530FC78" w14:textId="3C7BBF5E" w:rsidR="0029291F" w:rsidRDefault="002019C4" w:rsidP="008305D0">
      <w:r>
        <w:t xml:space="preserve">Simpson, J., </w:t>
      </w:r>
      <w:proofErr w:type="spellStart"/>
      <w:r>
        <w:t>Albani</w:t>
      </w:r>
      <w:proofErr w:type="spellEnd"/>
      <w:r>
        <w:t>, V., Bell, Z., Bambra</w:t>
      </w:r>
      <w:r w:rsidR="00BA7F3E">
        <w:t xml:space="preserve">, C., </w:t>
      </w:r>
      <w:r w:rsidR="006016D2">
        <w:t xml:space="preserve">&amp; </w:t>
      </w:r>
      <w:r w:rsidR="00BA7F3E">
        <w:t xml:space="preserve">Brown, H. (2021). Effects of social security policy reforms on mental health and inequalities: a systematic review of observational studies in high-income countries. Social Science &amp; Medicine, 272, </w:t>
      </w:r>
      <w:r w:rsidR="00C474DA" w:rsidRPr="00C474DA">
        <w:t>113717</w:t>
      </w:r>
      <w:r w:rsidR="00C474DA">
        <w:t>.</w:t>
      </w:r>
    </w:p>
    <w:p w14:paraId="5A622087" w14:textId="4A1C5E17" w:rsidR="006B697D" w:rsidRDefault="006B697D" w:rsidP="008305D0">
      <w:proofErr w:type="spellStart"/>
      <w:r>
        <w:t>Sochas</w:t>
      </w:r>
      <w:proofErr w:type="spellEnd"/>
      <w:r>
        <w:t xml:space="preserve">, L., </w:t>
      </w:r>
      <w:r w:rsidR="006016D2">
        <w:t xml:space="preserve">&amp; </w:t>
      </w:r>
      <w:r>
        <w:t>Reeves, A. (2023). Does collective bargaining reduce health inequalities between labour market insiders and outsiders? Socio-Economic Review, 21, 827-862.</w:t>
      </w:r>
    </w:p>
    <w:p w14:paraId="64CFF2CF" w14:textId="330177EA" w:rsidR="008305D0" w:rsidRPr="008305D0" w:rsidRDefault="008305D0" w:rsidP="008305D0">
      <w:r w:rsidRPr="008305D0">
        <w:t xml:space="preserve">Steel, N., Ford, J.A., Newton, J.N., Davis, A.C., </w:t>
      </w:r>
      <w:r w:rsidR="006C426E">
        <w:t>et al. (</w:t>
      </w:r>
      <w:r w:rsidRPr="008305D0">
        <w:t>2018</w:t>
      </w:r>
      <w:r w:rsidR="006C426E">
        <w:t>)</w:t>
      </w:r>
      <w:r w:rsidRPr="008305D0">
        <w:t>. Changes in health in the countries of the UK and 150 English Local Authority areas 1990–2016: a systematic analysis for the Global Burden of Disease Study 2016. Lancet, 392(10158),</w:t>
      </w:r>
      <w:r w:rsidR="006C426E">
        <w:t xml:space="preserve"> </w:t>
      </w:r>
      <w:r w:rsidRPr="008305D0">
        <w:t>1647-1661.</w:t>
      </w:r>
    </w:p>
    <w:p w14:paraId="18A2CECF" w14:textId="1C86D5C6" w:rsidR="008305D0" w:rsidRPr="008305D0" w:rsidRDefault="008305D0" w:rsidP="008305D0">
      <w:proofErr w:type="spellStart"/>
      <w:r w:rsidRPr="008305D0">
        <w:t>Suulamo</w:t>
      </w:r>
      <w:proofErr w:type="spellEnd"/>
      <w:r w:rsidRPr="008305D0">
        <w:t xml:space="preserve">, U., </w:t>
      </w:r>
      <w:proofErr w:type="spellStart"/>
      <w:r w:rsidRPr="008305D0">
        <w:t>Tarkiainen</w:t>
      </w:r>
      <w:proofErr w:type="spellEnd"/>
      <w:r w:rsidRPr="008305D0">
        <w:t xml:space="preserve">, L., Remes, H., </w:t>
      </w:r>
      <w:r w:rsidR="006016D2">
        <w:t xml:space="preserve">&amp; </w:t>
      </w:r>
      <w:proofErr w:type="spellStart"/>
      <w:r w:rsidRPr="008305D0">
        <w:t>Martikainen</w:t>
      </w:r>
      <w:proofErr w:type="spellEnd"/>
      <w:r w:rsidRPr="008305D0">
        <w:t>, P. (2021). Changes in regional variation in mortality over five decades – The contribution of age and socioeconomic population composition. SSM – Population Health, 15, 100850.</w:t>
      </w:r>
    </w:p>
    <w:p w14:paraId="6196A5C4" w14:textId="20D2DAC8" w:rsidR="004A748B" w:rsidRDefault="004A748B" w:rsidP="00F7656D">
      <w:r>
        <w:t xml:space="preserve">Taylor-Collins, </w:t>
      </w:r>
      <w:r w:rsidR="00A45177">
        <w:t xml:space="preserve">E., </w:t>
      </w:r>
      <w:r w:rsidR="006016D2">
        <w:t xml:space="preserve">&amp; </w:t>
      </w:r>
      <w:r w:rsidR="00A45177">
        <w:t xml:space="preserve">Bristow, </w:t>
      </w:r>
      <w:r w:rsidR="008E5FA2">
        <w:t>D. (</w:t>
      </w:r>
      <w:r w:rsidR="0050702F">
        <w:t xml:space="preserve">2020). </w:t>
      </w:r>
      <w:r w:rsidR="00F7656D">
        <w:t xml:space="preserve">Administering social security in Wales: evidence on potential reforms. </w:t>
      </w:r>
      <w:r w:rsidR="003850EA">
        <w:t>Wales Centre for Public Policy, UK.</w:t>
      </w:r>
    </w:p>
    <w:p w14:paraId="38E4AC59" w14:textId="7AC13838" w:rsidR="008305D0" w:rsidRPr="008305D0" w:rsidRDefault="008305D0" w:rsidP="008305D0">
      <w:proofErr w:type="spellStart"/>
      <w:r w:rsidRPr="008305D0">
        <w:t>Tetzlaff</w:t>
      </w:r>
      <w:proofErr w:type="spellEnd"/>
      <w:r w:rsidRPr="008305D0">
        <w:t xml:space="preserve">, F., </w:t>
      </w:r>
      <w:proofErr w:type="spellStart"/>
      <w:r w:rsidRPr="008305D0">
        <w:t>Sauerberg</w:t>
      </w:r>
      <w:proofErr w:type="spellEnd"/>
      <w:r w:rsidRPr="008305D0">
        <w:t xml:space="preserve">, M., Grigoriev, P., </w:t>
      </w:r>
      <w:proofErr w:type="spellStart"/>
      <w:r w:rsidRPr="008305D0">
        <w:t>Tetzlaff</w:t>
      </w:r>
      <w:proofErr w:type="spellEnd"/>
      <w:r w:rsidRPr="008305D0">
        <w:t xml:space="preserve">, J., </w:t>
      </w:r>
      <w:r w:rsidR="006C426E">
        <w:t>et al</w:t>
      </w:r>
      <w:r w:rsidRPr="008305D0">
        <w:t>.</w:t>
      </w:r>
      <w:r w:rsidR="006C426E">
        <w:t xml:space="preserve"> (</w:t>
      </w:r>
      <w:r w:rsidRPr="008305D0">
        <w:t>2024</w:t>
      </w:r>
      <w:r w:rsidR="006C426E">
        <w:t>)</w:t>
      </w:r>
      <w:r w:rsidRPr="008305D0">
        <w:t>. Age-specific and cause-specific mortality contributions to the socioeconomic gap in life expectancy in Germany, 2003–21: an ecological study.</w:t>
      </w:r>
      <w:r w:rsidR="006C426E">
        <w:t xml:space="preserve"> </w:t>
      </w:r>
      <w:r w:rsidRPr="008305D0">
        <w:t>Lancet Public Health, 9(5), e295-e305.</w:t>
      </w:r>
    </w:p>
    <w:p w14:paraId="4BD8EC15" w14:textId="683FF180" w:rsidR="00C96896" w:rsidRDefault="00B654EA" w:rsidP="00B654EA">
      <w:proofErr w:type="spellStart"/>
      <w:r>
        <w:lastRenderedPageBreak/>
        <w:t>Tinson</w:t>
      </w:r>
      <w:proofErr w:type="spellEnd"/>
      <w:r>
        <w:t xml:space="preserve"> A., Major A.,</w:t>
      </w:r>
      <w:r w:rsidR="006016D2">
        <w:t xml:space="preserve"> &amp;</w:t>
      </w:r>
      <w:r>
        <w:t xml:space="preserve"> Finch, D. (2022). Is poor health driving a rise in economic inactivity? Health Foundation, London.</w:t>
      </w:r>
    </w:p>
    <w:p w14:paraId="36AC2510" w14:textId="172F7CE4" w:rsidR="00DF26B8" w:rsidRDefault="00DF26B8" w:rsidP="008305D0">
      <w:r>
        <w:t>Van Belle</w:t>
      </w:r>
      <w:r w:rsidR="003C2E7D">
        <w:t xml:space="preserve">, J. (2016). Early childhood education and care (ECEC) and its long-term effects on educational and labour market outcomes. RAND Europe: </w:t>
      </w:r>
      <w:r w:rsidR="00E9151A">
        <w:t>Cambridge.</w:t>
      </w:r>
    </w:p>
    <w:p w14:paraId="7ED69666" w14:textId="18B7121F" w:rsidR="004321B1" w:rsidRDefault="004321B1" w:rsidP="008305D0">
      <w:r w:rsidRPr="004321B1">
        <w:t xml:space="preserve">Van </w:t>
      </w:r>
      <w:proofErr w:type="spellStart"/>
      <w:r w:rsidRPr="004321B1">
        <w:t>Raalte</w:t>
      </w:r>
      <w:proofErr w:type="spellEnd"/>
      <w:r w:rsidRPr="004321B1">
        <w:t xml:space="preserve">, A.A., </w:t>
      </w:r>
      <w:proofErr w:type="spellStart"/>
      <w:r w:rsidRPr="004321B1">
        <w:t>Sasson</w:t>
      </w:r>
      <w:proofErr w:type="spellEnd"/>
      <w:r w:rsidRPr="004321B1">
        <w:t>, I.</w:t>
      </w:r>
      <w:r>
        <w:t xml:space="preserve">, </w:t>
      </w:r>
      <w:r w:rsidR="006016D2">
        <w:t xml:space="preserve">&amp; </w:t>
      </w:r>
      <w:proofErr w:type="spellStart"/>
      <w:r w:rsidRPr="004321B1">
        <w:t>Martikainen</w:t>
      </w:r>
      <w:proofErr w:type="spellEnd"/>
      <w:r w:rsidRPr="004321B1">
        <w:t>, P.</w:t>
      </w:r>
      <w:r>
        <w:t xml:space="preserve"> (</w:t>
      </w:r>
      <w:r w:rsidRPr="004321B1">
        <w:t>2018</w:t>
      </w:r>
      <w:r>
        <w:t>)</w:t>
      </w:r>
      <w:r w:rsidRPr="004321B1">
        <w:t>. The case for monitoring life-span inequality. Science, 362(6418), 1002-1004.</w:t>
      </w:r>
    </w:p>
    <w:p w14:paraId="37B4A14F" w14:textId="42241F6E" w:rsidR="008305D0" w:rsidRDefault="008305D0" w:rsidP="008305D0">
      <w:r w:rsidRPr="008305D0">
        <w:t xml:space="preserve">Walsh, D., McCartney, G., Minton, J., Parkinson, J., </w:t>
      </w:r>
      <w:r w:rsidR="006C426E">
        <w:t>et al</w:t>
      </w:r>
      <w:r w:rsidRPr="008305D0">
        <w:t>. (2020). Changing mortality trends in countries and cities of the UK: a population- based trend analysis. BMJ Open, 10, e038135.</w:t>
      </w:r>
    </w:p>
    <w:p w14:paraId="4EB8F51E" w14:textId="305D3A91" w:rsidR="00AE282A" w:rsidRPr="008305D0" w:rsidRDefault="004512DB" w:rsidP="008305D0">
      <w:r w:rsidRPr="004512DB">
        <w:t>Welsh Government.</w:t>
      </w:r>
      <w:r>
        <w:t xml:space="preserve"> (2016)</w:t>
      </w:r>
      <w:r w:rsidR="00F75667">
        <w:t>.</w:t>
      </w:r>
      <w:r w:rsidRPr="004512DB">
        <w:t xml:space="preserve"> How to measure a nation’s progress? National indicators for Wales, National Indicators for Wales as required by section 10(1) of the Well-being of Future Generations (Wales) Act 2015. </w:t>
      </w:r>
      <w:r w:rsidR="00F75667">
        <w:t>[accessed 202</w:t>
      </w:r>
      <w:r w:rsidR="00AC7601">
        <w:t>4 Sep 11]</w:t>
      </w:r>
      <w:r w:rsidRPr="004512DB">
        <w:t>.</w:t>
      </w:r>
      <w:r w:rsidR="00AC7601">
        <w:t xml:space="preserve"> Available from: </w:t>
      </w:r>
      <w:hyperlink r:id="rId27" w:history="1">
        <w:r w:rsidR="00AC7601" w:rsidRPr="00AC7601">
          <w:rPr>
            <w:rStyle w:val="Hyperlink"/>
          </w:rPr>
          <w:t>https://gov.wales/sites/default/files/publications/2019-06/national-indicators-for-wales.pdf</w:t>
        </w:r>
      </w:hyperlink>
    </w:p>
    <w:p w14:paraId="42D2A0A1" w14:textId="701674D6" w:rsidR="009747BE" w:rsidRDefault="009747BE" w:rsidP="00CA4DB1">
      <w:r>
        <w:t>Welsh Government. (2021</w:t>
      </w:r>
      <w:r w:rsidR="004B0293">
        <w:t>a</w:t>
      </w:r>
      <w:r>
        <w:t xml:space="preserve">). A More Equal Wales. The Socio-economic Duty Equality Act 2010. </w:t>
      </w:r>
      <w:r w:rsidR="000B2D8D">
        <w:t xml:space="preserve">[accessed 2024 Sep 11]. Available from: </w:t>
      </w:r>
      <w:hyperlink r:id="rId28" w:history="1">
        <w:r w:rsidR="000B2D8D" w:rsidRPr="00993565">
          <w:rPr>
            <w:rStyle w:val="Hyperlink"/>
          </w:rPr>
          <w:t>https://www.gov.wales/sites/default/files/publications/2021-03/a-more-equal-wales.pdf</w:t>
        </w:r>
      </w:hyperlink>
      <w:r w:rsidR="000B2D8D">
        <w:t xml:space="preserve"> </w:t>
      </w:r>
    </w:p>
    <w:p w14:paraId="3322B9BF" w14:textId="288D3905" w:rsidR="00B156FD" w:rsidRDefault="00B156FD" w:rsidP="00CA4DB1">
      <w:r>
        <w:t>Welsh Government. (2021</w:t>
      </w:r>
      <w:r w:rsidR="004B0293">
        <w:t>b</w:t>
      </w:r>
      <w:r>
        <w:t xml:space="preserve">). </w:t>
      </w:r>
      <w:r w:rsidR="00CF78BF">
        <w:t xml:space="preserve">Ending homelessness in Wales: a high level action plan 2021-2026. </w:t>
      </w:r>
      <w:r w:rsidR="00345F1D">
        <w:t xml:space="preserve">[accessed 2024 Sep 11]. Available from: </w:t>
      </w:r>
      <w:hyperlink r:id="rId29" w:history="1">
        <w:r w:rsidR="00345F1D" w:rsidRPr="00570B4C">
          <w:rPr>
            <w:rStyle w:val="Hyperlink"/>
          </w:rPr>
          <w:t>https://www.gov.wales/sites/default/files/publications/2021-11/ending-homelessness-high-level-action-plan-2021-2026_0.pdf</w:t>
        </w:r>
      </w:hyperlink>
      <w:r w:rsidR="00345F1D">
        <w:t xml:space="preserve"> </w:t>
      </w:r>
    </w:p>
    <w:p w14:paraId="4CA8CF15" w14:textId="660C7685" w:rsidR="00BD59A7" w:rsidRDefault="00BD59A7" w:rsidP="00D562B4">
      <w:r w:rsidRPr="00CA4DB1">
        <w:t>Welsh Government. (2022</w:t>
      </w:r>
      <w:r>
        <w:t>a</w:t>
      </w:r>
      <w:r w:rsidRPr="00CA4DB1">
        <w:t>).</w:t>
      </w:r>
      <w:r>
        <w:t xml:space="preserve"> </w:t>
      </w:r>
      <w:r w:rsidR="00D562B4">
        <w:t xml:space="preserve">Our programme for transforming and modernising planned care and reducing waiting lists in Wales. [accessed 2024 Mar 13]. Available from: </w:t>
      </w:r>
      <w:hyperlink r:id="rId30" w:history="1">
        <w:r w:rsidR="007D03E5" w:rsidRPr="00AE5132">
          <w:rPr>
            <w:rStyle w:val="Hyperlink"/>
          </w:rPr>
          <w:t>https://www.gov.wales/sites/default/files/publications/2022-04/our-programme-for-transforming--and-modernising-planned-care-and-reducing-waiting-lists-in-wales.pdf</w:t>
        </w:r>
      </w:hyperlink>
      <w:r w:rsidR="007D03E5">
        <w:t xml:space="preserve"> </w:t>
      </w:r>
    </w:p>
    <w:p w14:paraId="279D1869" w14:textId="3F918504" w:rsidR="008305D0" w:rsidRPr="00CA4DB1" w:rsidRDefault="008305D0" w:rsidP="00CA4DB1">
      <w:r w:rsidRPr="00CA4DB1">
        <w:t>Welsh Government. (2022</w:t>
      </w:r>
      <w:r w:rsidR="003B3C8F">
        <w:t>b</w:t>
      </w:r>
      <w:r w:rsidRPr="00CA4DB1">
        <w:t>). Basic income for care leavers in Wales, pilot announced. [accessed 202</w:t>
      </w:r>
      <w:r w:rsidR="00AC7601">
        <w:t>4</w:t>
      </w:r>
      <w:r w:rsidRPr="00CA4DB1">
        <w:t xml:space="preserve"> Mar 13]. Available from: </w:t>
      </w:r>
      <w:hyperlink r:id="rId31" w:history="1">
        <w:r w:rsidR="00AC7601" w:rsidRPr="00993565">
          <w:rPr>
            <w:rStyle w:val="Hyperlink"/>
          </w:rPr>
          <w:t>https://gov.wales/basic-income-care-leavers-wales-pilot-announced</w:t>
        </w:r>
      </w:hyperlink>
      <w:r w:rsidR="00AC7601">
        <w:t xml:space="preserve"> </w:t>
      </w:r>
    </w:p>
    <w:p w14:paraId="74DA6A8F" w14:textId="70E85900" w:rsidR="00453FBC" w:rsidRDefault="00453FBC" w:rsidP="00CA4DB1">
      <w:r w:rsidRPr="00453FBC">
        <w:t>Welsh Government</w:t>
      </w:r>
      <w:r w:rsidR="00CE2BD3">
        <w:t>.</w:t>
      </w:r>
      <w:r w:rsidRPr="00453FBC">
        <w:t xml:space="preserve"> (2022</w:t>
      </w:r>
      <w:r w:rsidR="003B3C8F">
        <w:t>c</w:t>
      </w:r>
      <w:r w:rsidRPr="00453FBC">
        <w:t>)</w:t>
      </w:r>
      <w:r w:rsidR="00CE2BD3">
        <w:t>.</w:t>
      </w:r>
      <w:r w:rsidRPr="00453FBC">
        <w:t xml:space="preserve"> Stronger, Fairer, Greener Wales. A plan for employability and skills. [accessed 2024 Sep 11]. Available from: </w:t>
      </w:r>
      <w:hyperlink r:id="rId32" w:history="1">
        <w:r w:rsidRPr="00453FBC">
          <w:rPr>
            <w:rStyle w:val="Hyperlink"/>
          </w:rPr>
          <w:t>https://www.gov.wales/sites/default/files/publications/2022-05/stronger-fairer-greener-wales-plan-employability-and-skills0.pdf</w:t>
        </w:r>
      </w:hyperlink>
      <w:r>
        <w:t xml:space="preserve"> </w:t>
      </w:r>
    </w:p>
    <w:p w14:paraId="4B863B70" w14:textId="2D1B4F82" w:rsidR="00CE2BD3" w:rsidRDefault="00CE2BD3" w:rsidP="00CA4DB1">
      <w:r>
        <w:t xml:space="preserve">Welsh Government. (2022d). Expanding childcare support. Cabinet paper CAB(21-22)84. </w:t>
      </w:r>
      <w:r w:rsidR="002C102C">
        <w:t xml:space="preserve">[accessed 2024 Sep 11]. Available from: </w:t>
      </w:r>
      <w:hyperlink r:id="rId33" w:history="1">
        <w:r w:rsidR="002C102C" w:rsidRPr="004D54E4">
          <w:rPr>
            <w:rStyle w:val="Hyperlink"/>
          </w:rPr>
          <w:t>https://www.gov.wales/sites/default/files/pdf-versions/2022/4/4/1649928662/expanding-childcare-support-cabinet-paper.pdf</w:t>
        </w:r>
      </w:hyperlink>
      <w:r w:rsidR="002C102C">
        <w:t xml:space="preserve"> </w:t>
      </w:r>
    </w:p>
    <w:p w14:paraId="56B06AE0" w14:textId="087A0108" w:rsidR="00537A71" w:rsidRDefault="00537A71" w:rsidP="00CA4DB1">
      <w:r>
        <w:t>Welsh Government. (2023</w:t>
      </w:r>
      <w:r w:rsidR="00A011A6">
        <w:t>a</w:t>
      </w:r>
      <w:r>
        <w:t xml:space="preserve">). The Health and Social Care (Quality and Engagement) (Wales) Act: summary. </w:t>
      </w:r>
      <w:r w:rsidR="00765AEC" w:rsidRPr="00765AEC">
        <w:t xml:space="preserve">A summary of the new law to improve quality and public </w:t>
      </w:r>
      <w:r w:rsidR="00765AEC" w:rsidRPr="00765AEC">
        <w:lastRenderedPageBreak/>
        <w:t xml:space="preserve">engagement in health and social care. </w:t>
      </w:r>
      <w:r w:rsidR="00765AEC">
        <w:t xml:space="preserve">[accessed 2024 Sep 11]. Available from: </w:t>
      </w:r>
      <w:hyperlink r:id="rId34" w:history="1">
        <w:r w:rsidR="00765AEC" w:rsidRPr="00993565">
          <w:rPr>
            <w:rStyle w:val="Hyperlink"/>
          </w:rPr>
          <w:t>https://www.gov.wales/sites/default/files/pdf-versions/2023/8/2/1690888276/health-and-social-care-quality-and-engagement-wales-act-summary.pdf</w:t>
        </w:r>
      </w:hyperlink>
      <w:r w:rsidR="00765AEC">
        <w:t xml:space="preserve"> </w:t>
      </w:r>
    </w:p>
    <w:p w14:paraId="3539A50C" w14:textId="778944CF" w:rsidR="005C5CC5" w:rsidRDefault="005C5CC5" w:rsidP="00CA4DB1">
      <w:r>
        <w:t>Welsh Government. (2023b). Consultation Document. Health Impact Assessment (Wales) Regulations</w:t>
      </w:r>
      <w:r w:rsidR="004800FE">
        <w:t xml:space="preserve">. </w:t>
      </w:r>
      <w:r>
        <w:t xml:space="preserve">Considering draft regulations to mandate the use of Health Impact Assessments. [accessed 2024 Sep 11]. Available from: </w:t>
      </w:r>
      <w:hyperlink r:id="rId35" w:history="1">
        <w:r w:rsidR="004800FE" w:rsidRPr="00AE5132">
          <w:rPr>
            <w:rStyle w:val="Hyperlink"/>
          </w:rPr>
          <w:t>https://www.gov.wales/health-impact-assessment-regulations</w:t>
        </w:r>
      </w:hyperlink>
      <w:r w:rsidR="004800FE">
        <w:t xml:space="preserve"> </w:t>
      </w:r>
    </w:p>
    <w:p w14:paraId="6D0C1637" w14:textId="5536DFEF" w:rsidR="00AD788E" w:rsidRDefault="00AD788E" w:rsidP="00CA4DB1">
      <w:r>
        <w:t>Welsh Government. (2023</w:t>
      </w:r>
      <w:r w:rsidR="005C5CC5">
        <w:t>c</w:t>
      </w:r>
      <w:r>
        <w:t xml:space="preserve">). Promote, prevention and prepare for planned care. Empowering people waiting for treatment to optimise their health and well-being. </w:t>
      </w:r>
      <w:r w:rsidR="003647DA">
        <w:t xml:space="preserve">[accessed 2024 Mar 13]. Available from: </w:t>
      </w:r>
      <w:hyperlink r:id="rId36" w:history="1">
        <w:r w:rsidR="003647DA" w:rsidRPr="00570B4C">
          <w:rPr>
            <w:rStyle w:val="Hyperlink"/>
          </w:rPr>
          <w:t>https://www.gov.wales/sites/default/files/pdf-versions/2023/8/4/1692865297/promote-prevent-and-prepare-planned-care.pdf</w:t>
        </w:r>
      </w:hyperlink>
      <w:r w:rsidR="003647DA">
        <w:t xml:space="preserve"> </w:t>
      </w:r>
    </w:p>
    <w:p w14:paraId="5FC18A72" w14:textId="764C3D72" w:rsidR="006E0CDF" w:rsidRDefault="006E0CDF" w:rsidP="00CA4DB1">
      <w:r>
        <w:t>Welsh Government</w:t>
      </w:r>
      <w:r w:rsidR="007B6ED0">
        <w:t>.</w:t>
      </w:r>
      <w:r>
        <w:t xml:space="preserve"> (2024</w:t>
      </w:r>
      <w:r w:rsidR="004A152F">
        <w:t>a</w:t>
      </w:r>
      <w:r>
        <w:t xml:space="preserve">). Child Poverty Strategy for Wales 2024. </w:t>
      </w:r>
      <w:r w:rsidR="008E228A">
        <w:t xml:space="preserve">[accessed 2024 Sep 11]. Available from: </w:t>
      </w:r>
      <w:r w:rsidR="008E228A" w:rsidRPr="008E228A">
        <w:t>https://www.gov.wales/sites/default/files/publications/2024-01/child-poverty-strategy-for-wales-2024.pdf</w:t>
      </w:r>
    </w:p>
    <w:p w14:paraId="60A60FDC" w14:textId="65DE3686" w:rsidR="00BA3B01" w:rsidRDefault="00BA3B01" w:rsidP="00CA4DB1">
      <w:r>
        <w:t>Welsh Government. (2024</w:t>
      </w:r>
      <w:r w:rsidR="004A152F">
        <w:t>b</w:t>
      </w:r>
      <w:r>
        <w:t xml:space="preserve">). New Warm Homes Programme: integrated impact assessment. An integrated impact assessment (IIA) on the impact of the new Warm Homes Programme. [accessed 2024 Sep 11]. Available from: </w:t>
      </w:r>
      <w:hyperlink r:id="rId37" w:history="1">
        <w:r w:rsidRPr="00E40E97">
          <w:rPr>
            <w:rStyle w:val="Hyperlink"/>
          </w:rPr>
          <w:t>https://www.gov.wales/sites/default/files/pdf-versions/2024/3/5/1709916045/new-warm-homes-programme-integrated-impact-assessment.pdf</w:t>
        </w:r>
      </w:hyperlink>
      <w:r>
        <w:t xml:space="preserve"> </w:t>
      </w:r>
    </w:p>
    <w:p w14:paraId="3F9F9727" w14:textId="031F1581" w:rsidR="007B6ED0" w:rsidRDefault="007B6ED0" w:rsidP="00CA4DB1">
      <w:r>
        <w:t xml:space="preserve">Welsh Parliament. (2023). </w:t>
      </w:r>
      <w:r w:rsidR="00EE3F7C">
        <w:t>Petitions Committee. Insulate all Welsh homes against both the heat and the cold...introduce grants that are open to all! [accessed 2024 Sep 11</w:t>
      </w:r>
      <w:r w:rsidR="00EF2712">
        <w:t xml:space="preserve">]. Available from: </w:t>
      </w:r>
      <w:hyperlink r:id="rId38" w:history="1">
        <w:r w:rsidR="00A501D5" w:rsidRPr="00E40E97">
          <w:rPr>
            <w:rStyle w:val="Hyperlink"/>
          </w:rPr>
          <w:t>https://business.senedd.wales/documents/s132413/Research%20Brief.pdf</w:t>
        </w:r>
      </w:hyperlink>
      <w:r w:rsidR="00A501D5">
        <w:t xml:space="preserve"> </w:t>
      </w:r>
    </w:p>
    <w:p w14:paraId="7CF5D3AE" w14:textId="0A2193DB" w:rsidR="009A5332" w:rsidRDefault="009A5332" w:rsidP="00CA4DB1">
      <w:r>
        <w:t>Winterbottom, J. (2023)</w:t>
      </w:r>
      <w:r w:rsidR="00C76609">
        <w:t>.</w:t>
      </w:r>
      <w:r>
        <w:t xml:space="preserve"> </w:t>
      </w:r>
      <w:r w:rsidR="00C76609" w:rsidRPr="00C76609">
        <w:t>GCR Collaboration with Public Health Scotland: update on progress</w:t>
      </w:r>
      <w:r w:rsidR="00C76609">
        <w:t xml:space="preserve">. [accessed 2024 Sep 11]. Available from: </w:t>
      </w:r>
      <w:hyperlink r:id="rId39" w:history="1">
        <w:r w:rsidR="00E06F30" w:rsidRPr="00E40E97">
          <w:rPr>
            <w:rStyle w:val="Hyperlink"/>
          </w:rPr>
          <w:t>https://onlineservices.glasgow.gov.uk/councillorsandcommittees/viewSelectedDocument.asp?c=P62AFQDNZ3DXNT81UT</w:t>
        </w:r>
      </w:hyperlink>
      <w:r w:rsidR="00E06F30">
        <w:t xml:space="preserve">. </w:t>
      </w:r>
    </w:p>
    <w:p w14:paraId="50BE3D46" w14:textId="56906815" w:rsidR="008305D0" w:rsidRDefault="008305D0" w:rsidP="00CA4DB1">
      <w:r w:rsidRPr="00CA4DB1">
        <w:t>W</w:t>
      </w:r>
      <w:r w:rsidR="009A5332">
        <w:t xml:space="preserve">orld </w:t>
      </w:r>
      <w:r w:rsidRPr="00CA4DB1">
        <w:t>H</w:t>
      </w:r>
      <w:r w:rsidR="009A5332">
        <w:t xml:space="preserve">ealth </w:t>
      </w:r>
      <w:r w:rsidRPr="00CA4DB1">
        <w:t>O</w:t>
      </w:r>
      <w:r w:rsidR="009A5332">
        <w:t>rganization</w:t>
      </w:r>
      <w:r w:rsidRPr="00CA4DB1">
        <w:t>. (2023). Deep dives on the well-being economy showcasing the experiences of Finland, Iceland, Scotland and Wales: summary of key findings. Copenhagen: WHO Regional Office for Europe. Available from:</w:t>
      </w:r>
      <w:r w:rsidR="006C426E">
        <w:t xml:space="preserve"> </w:t>
      </w:r>
      <w:hyperlink r:id="rId40" w:history="1">
        <w:r w:rsidR="006C426E" w:rsidRPr="00BB4979">
          <w:rPr>
            <w:rStyle w:val="Hyperlink"/>
          </w:rPr>
          <w:t>https://iris.who.int/bitstream/handle/10665/366279/WHO-EURO-2023-7033-46799-68216-eng.pdf?sequence=3</w:t>
        </w:r>
      </w:hyperlink>
      <w:r w:rsidRPr="00CA4DB1">
        <w:t xml:space="preserve"> </w:t>
      </w:r>
    </w:p>
    <w:p w14:paraId="74E36CEF" w14:textId="528AA899" w:rsidR="000B3D4B" w:rsidRDefault="0049380C" w:rsidP="00EE2F28">
      <w:r w:rsidRPr="0049380C">
        <w:t>WHO Regional Office for Europe</w:t>
      </w:r>
      <w:r>
        <w:t>. (2023). Health in the well-being economy. Background paper: working together to achieve healthy, fairer, prosperous societies across the WHO European Region. WHO Regional Office for Europe, Copenhagen.</w:t>
      </w:r>
    </w:p>
    <w:p w14:paraId="6FF759C9" w14:textId="77777777" w:rsidR="0049380C" w:rsidRPr="0049380C" w:rsidRDefault="0049380C" w:rsidP="00EE2F28"/>
    <w:p w14:paraId="782AA49B" w14:textId="77777777" w:rsidR="000B3D4B" w:rsidRDefault="000B3D4B" w:rsidP="00EE2F28">
      <w:pPr>
        <w:rPr>
          <w:rFonts w:cs="Calibri"/>
          <w:color w:val="212121"/>
        </w:rPr>
      </w:pPr>
    </w:p>
    <w:p w14:paraId="41FDAA76" w14:textId="7B74A87B" w:rsidR="000B3D4B" w:rsidRDefault="000B3D4B" w:rsidP="00EE2F28">
      <w:pPr>
        <w:sectPr w:rsidR="000B3D4B" w:rsidSect="000B3D4B">
          <w:pgSz w:w="11906" w:h="16838"/>
          <w:pgMar w:top="1440" w:right="1440" w:bottom="1440" w:left="1440" w:header="708" w:footer="708" w:gutter="0"/>
          <w:cols w:space="708"/>
          <w:docGrid w:linePitch="360"/>
        </w:sectPr>
      </w:pPr>
    </w:p>
    <w:p w14:paraId="3E6021A5" w14:textId="2E7EB325" w:rsidR="00A322B9" w:rsidRDefault="00903BE0" w:rsidP="00A322B9">
      <w:pPr>
        <w:pStyle w:val="Heading1"/>
        <w:numPr>
          <w:ilvl w:val="0"/>
          <w:numId w:val="0"/>
        </w:numPr>
      </w:pPr>
      <w:bookmarkStart w:id="37" w:name="_Toc185516856"/>
      <w:bookmarkStart w:id="38" w:name="_Toc189563143"/>
      <w:r>
        <w:lastRenderedPageBreak/>
        <w:t xml:space="preserve">Appendix 1. </w:t>
      </w:r>
      <w:r w:rsidR="00A322B9">
        <w:t xml:space="preserve">Summary of studies with </w:t>
      </w:r>
      <w:r w:rsidR="00A322B9" w:rsidRPr="00D21418">
        <w:t xml:space="preserve">trend data on differences in </w:t>
      </w:r>
      <w:r w:rsidR="00A322B9">
        <w:t>adult and infant health outcomes</w:t>
      </w:r>
      <w:bookmarkEnd w:id="37"/>
      <w:bookmarkEnd w:id="38"/>
    </w:p>
    <w:p w14:paraId="77B44CFB" w14:textId="0FD8D395" w:rsidR="0068490A" w:rsidRPr="0068490A" w:rsidRDefault="0068490A" w:rsidP="0068490A">
      <w:pPr>
        <w:pStyle w:val="Heading2"/>
        <w:numPr>
          <w:ilvl w:val="0"/>
          <w:numId w:val="0"/>
        </w:numPr>
        <w:ind w:left="576" w:hanging="576"/>
      </w:pPr>
      <w:r>
        <w:t>Adult health outcomes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9"/>
        <w:gridCol w:w="2194"/>
        <w:gridCol w:w="4065"/>
        <w:gridCol w:w="6640"/>
      </w:tblGrid>
      <w:tr w:rsidR="00A322B9" w:rsidRPr="00BC254A" w14:paraId="71BCCF1B" w14:textId="77777777" w:rsidTr="00A81ED7">
        <w:trPr>
          <w:cantSplit/>
          <w:trHeight w:val="829"/>
          <w:tblHeader/>
        </w:trPr>
        <w:tc>
          <w:tcPr>
            <w:tcW w:w="811" w:type="pct"/>
            <w:shd w:val="clear" w:color="auto" w:fill="156082" w:themeFill="accent1"/>
            <w:vAlign w:val="center"/>
          </w:tcPr>
          <w:p w14:paraId="39684B16" w14:textId="77777777" w:rsidR="00A322B9" w:rsidRPr="00BC254A" w:rsidRDefault="00A322B9" w:rsidP="00A81ED7">
            <w:pPr>
              <w:pStyle w:val="NoSpacing"/>
              <w:rPr>
                <w:b/>
                <w:bCs/>
                <w:color w:val="FFFFFF" w:themeColor="background1"/>
                <w:sz w:val="20"/>
                <w:szCs w:val="20"/>
              </w:rPr>
            </w:pPr>
            <w:r w:rsidRPr="00BC254A">
              <w:rPr>
                <w:b/>
                <w:bCs/>
                <w:color w:val="FFFFFF" w:themeColor="background1"/>
                <w:sz w:val="20"/>
                <w:szCs w:val="20"/>
              </w:rPr>
              <w:t>Author(s)</w:t>
            </w:r>
          </w:p>
          <w:p w14:paraId="711561AE" w14:textId="77777777" w:rsidR="00A322B9" w:rsidRPr="00BC254A" w:rsidRDefault="00A322B9" w:rsidP="00A81ED7">
            <w:pPr>
              <w:pStyle w:val="NoSpacing"/>
              <w:rPr>
                <w:b/>
                <w:bCs/>
                <w:color w:val="FFFFFF" w:themeColor="background1"/>
                <w:sz w:val="20"/>
                <w:szCs w:val="20"/>
              </w:rPr>
            </w:pPr>
            <w:r w:rsidRPr="00BC254A">
              <w:rPr>
                <w:b/>
                <w:bCs/>
                <w:color w:val="FFFFFF" w:themeColor="background1"/>
                <w:sz w:val="20"/>
                <w:szCs w:val="20"/>
              </w:rPr>
              <w:t>Country</w:t>
            </w:r>
          </w:p>
          <w:p w14:paraId="5C51567B" w14:textId="77777777" w:rsidR="00A322B9" w:rsidRPr="00BC254A" w:rsidRDefault="00A322B9" w:rsidP="00A81ED7">
            <w:pPr>
              <w:pStyle w:val="NoSpacing"/>
              <w:rPr>
                <w:b/>
                <w:bCs/>
                <w:color w:val="FFFFFF" w:themeColor="background1"/>
                <w:sz w:val="20"/>
                <w:szCs w:val="20"/>
              </w:rPr>
            </w:pPr>
            <w:r w:rsidRPr="00BC254A">
              <w:rPr>
                <w:b/>
                <w:bCs/>
                <w:color w:val="FFFFFF" w:themeColor="background1"/>
                <w:sz w:val="20"/>
                <w:szCs w:val="20"/>
              </w:rPr>
              <w:t>Year</w:t>
            </w:r>
          </w:p>
        </w:tc>
        <w:tc>
          <w:tcPr>
            <w:tcW w:w="712" w:type="pct"/>
            <w:shd w:val="clear" w:color="auto" w:fill="156082" w:themeFill="accent1"/>
            <w:vAlign w:val="center"/>
          </w:tcPr>
          <w:p w14:paraId="376F99B5" w14:textId="77777777" w:rsidR="00A322B9" w:rsidRPr="00BC254A" w:rsidRDefault="00A322B9" w:rsidP="00A81ED7">
            <w:pPr>
              <w:pStyle w:val="NoSpacing"/>
              <w:rPr>
                <w:b/>
                <w:bCs/>
                <w:color w:val="FFFFFF" w:themeColor="background1"/>
                <w:sz w:val="20"/>
                <w:szCs w:val="20"/>
              </w:rPr>
            </w:pPr>
            <w:r w:rsidRPr="00BC254A">
              <w:rPr>
                <w:b/>
                <w:bCs/>
                <w:color w:val="FFFFFF" w:themeColor="background1"/>
                <w:sz w:val="20"/>
                <w:szCs w:val="20"/>
              </w:rPr>
              <w:t>Data source(s)</w:t>
            </w:r>
          </w:p>
        </w:tc>
        <w:tc>
          <w:tcPr>
            <w:tcW w:w="1320" w:type="pct"/>
            <w:shd w:val="clear" w:color="auto" w:fill="156082" w:themeFill="accent1"/>
            <w:vAlign w:val="center"/>
          </w:tcPr>
          <w:p w14:paraId="4F68733E" w14:textId="77777777" w:rsidR="00A322B9" w:rsidRPr="00BC254A" w:rsidRDefault="00A322B9" w:rsidP="00A81ED7">
            <w:pPr>
              <w:pStyle w:val="NoSpacing"/>
              <w:rPr>
                <w:b/>
                <w:bCs/>
                <w:color w:val="FFFFFF" w:themeColor="background1"/>
                <w:sz w:val="20"/>
                <w:szCs w:val="20"/>
              </w:rPr>
            </w:pPr>
            <w:r w:rsidRPr="00BC254A">
              <w:rPr>
                <w:b/>
                <w:bCs/>
                <w:color w:val="FFFFFF" w:themeColor="background1"/>
                <w:sz w:val="20"/>
                <w:szCs w:val="20"/>
              </w:rPr>
              <w:t>Individual- or area-level</w:t>
            </w:r>
          </w:p>
          <w:p w14:paraId="7519FE17" w14:textId="77777777" w:rsidR="00A322B9" w:rsidRPr="00BC254A" w:rsidRDefault="00A322B9" w:rsidP="00A81ED7">
            <w:pPr>
              <w:pStyle w:val="NoSpacing"/>
              <w:rPr>
                <w:b/>
                <w:bCs/>
                <w:color w:val="FFFFFF" w:themeColor="background1"/>
                <w:sz w:val="20"/>
                <w:szCs w:val="20"/>
              </w:rPr>
            </w:pPr>
            <w:r w:rsidRPr="00BC254A">
              <w:rPr>
                <w:b/>
                <w:bCs/>
                <w:color w:val="FFFFFF" w:themeColor="background1"/>
                <w:sz w:val="20"/>
                <w:szCs w:val="20"/>
              </w:rPr>
              <w:t>Measure of inequality</w:t>
            </w:r>
          </w:p>
          <w:p w14:paraId="0135C021" w14:textId="77777777" w:rsidR="00A322B9" w:rsidRPr="00BC254A" w:rsidRDefault="00A322B9" w:rsidP="00A81ED7">
            <w:pPr>
              <w:pStyle w:val="NoSpacing"/>
              <w:rPr>
                <w:b/>
                <w:bCs/>
                <w:color w:val="FFFFFF" w:themeColor="background1"/>
                <w:sz w:val="20"/>
                <w:szCs w:val="20"/>
              </w:rPr>
            </w:pPr>
            <w:r w:rsidRPr="00BC254A">
              <w:rPr>
                <w:b/>
                <w:bCs/>
                <w:color w:val="FFFFFF" w:themeColor="background1"/>
                <w:sz w:val="20"/>
                <w:szCs w:val="20"/>
              </w:rPr>
              <w:t>Outcome measure(s)</w:t>
            </w:r>
          </w:p>
        </w:tc>
        <w:tc>
          <w:tcPr>
            <w:tcW w:w="2156" w:type="pct"/>
            <w:shd w:val="clear" w:color="auto" w:fill="156082" w:themeFill="accent1"/>
            <w:vAlign w:val="center"/>
          </w:tcPr>
          <w:p w14:paraId="06186A90" w14:textId="77777777" w:rsidR="00A322B9" w:rsidRPr="00BC254A" w:rsidRDefault="00A322B9" w:rsidP="00A81ED7">
            <w:pPr>
              <w:pStyle w:val="NoSpacing"/>
              <w:rPr>
                <w:b/>
                <w:bCs/>
                <w:color w:val="FFFFFF" w:themeColor="background1"/>
                <w:sz w:val="20"/>
                <w:szCs w:val="20"/>
              </w:rPr>
            </w:pPr>
            <w:r w:rsidRPr="00BC254A">
              <w:rPr>
                <w:b/>
                <w:bCs/>
                <w:color w:val="FFFFFF" w:themeColor="background1"/>
                <w:sz w:val="20"/>
                <w:szCs w:val="20"/>
              </w:rPr>
              <w:t>Findings</w:t>
            </w:r>
          </w:p>
        </w:tc>
      </w:tr>
      <w:tr w:rsidR="00A322B9" w:rsidRPr="005E28AB" w14:paraId="7E07D0C8" w14:textId="77777777" w:rsidTr="00A81ED7">
        <w:trPr>
          <w:cantSplit/>
          <w:trHeight w:val="284"/>
        </w:trPr>
        <w:tc>
          <w:tcPr>
            <w:tcW w:w="811" w:type="pct"/>
            <w:vAlign w:val="center"/>
          </w:tcPr>
          <w:p w14:paraId="73623E5E" w14:textId="77777777" w:rsidR="00A322B9" w:rsidRDefault="00A322B9" w:rsidP="00A81ED7">
            <w:pPr>
              <w:rPr>
                <w:sz w:val="20"/>
                <w:szCs w:val="20"/>
              </w:rPr>
            </w:pPr>
            <w:proofErr w:type="spellStart"/>
            <w:r w:rsidRPr="00C728D0">
              <w:rPr>
                <w:sz w:val="20"/>
                <w:szCs w:val="20"/>
              </w:rPr>
              <w:t>Brønnum</w:t>
            </w:r>
            <w:proofErr w:type="spellEnd"/>
            <w:r w:rsidRPr="00C728D0">
              <w:rPr>
                <w:sz w:val="20"/>
                <w:szCs w:val="20"/>
              </w:rPr>
              <w:t>-Hansen</w:t>
            </w:r>
            <w:r>
              <w:rPr>
                <w:sz w:val="20"/>
                <w:szCs w:val="20"/>
              </w:rPr>
              <w:t xml:space="preserve"> et al., 2021</w:t>
            </w:r>
          </w:p>
          <w:p w14:paraId="1AFF8AF8" w14:textId="77777777" w:rsidR="00A322B9" w:rsidRDefault="00A322B9" w:rsidP="00A81ED7">
            <w:pPr>
              <w:rPr>
                <w:sz w:val="20"/>
                <w:szCs w:val="20"/>
              </w:rPr>
            </w:pPr>
            <w:r>
              <w:rPr>
                <w:sz w:val="20"/>
                <w:szCs w:val="20"/>
              </w:rPr>
              <w:t>Denmark, Finland, Norway &amp; Sweden</w:t>
            </w:r>
          </w:p>
          <w:p w14:paraId="58831872" w14:textId="77777777" w:rsidR="00A322B9" w:rsidRPr="005E28AB" w:rsidRDefault="00A322B9" w:rsidP="00A81ED7">
            <w:pPr>
              <w:rPr>
                <w:sz w:val="20"/>
                <w:szCs w:val="20"/>
              </w:rPr>
            </w:pPr>
            <w:r>
              <w:rPr>
                <w:sz w:val="20"/>
                <w:szCs w:val="20"/>
              </w:rPr>
              <w:t>1997-2017</w:t>
            </w:r>
          </w:p>
        </w:tc>
        <w:tc>
          <w:tcPr>
            <w:tcW w:w="712" w:type="pct"/>
            <w:vAlign w:val="center"/>
          </w:tcPr>
          <w:p w14:paraId="384DAAC7" w14:textId="77777777" w:rsidR="00A322B9" w:rsidRDefault="00A322B9" w:rsidP="00A81ED7">
            <w:pPr>
              <w:rPr>
                <w:sz w:val="20"/>
                <w:szCs w:val="20"/>
              </w:rPr>
            </w:pPr>
            <w:r>
              <w:rPr>
                <w:sz w:val="20"/>
                <w:szCs w:val="20"/>
              </w:rPr>
              <w:t>Register-based data for populations aged 30 years and over</w:t>
            </w:r>
          </w:p>
        </w:tc>
        <w:tc>
          <w:tcPr>
            <w:tcW w:w="1320" w:type="pct"/>
            <w:vAlign w:val="center"/>
          </w:tcPr>
          <w:p w14:paraId="169D5436" w14:textId="77777777" w:rsidR="00A322B9" w:rsidRDefault="00A322B9" w:rsidP="00A81ED7">
            <w:pPr>
              <w:rPr>
                <w:sz w:val="20"/>
                <w:szCs w:val="20"/>
              </w:rPr>
            </w:pPr>
            <w:r>
              <w:rPr>
                <w:sz w:val="20"/>
                <w:szCs w:val="20"/>
              </w:rPr>
              <w:t>Individual-level</w:t>
            </w:r>
          </w:p>
          <w:p w14:paraId="2CB44CC6" w14:textId="77777777" w:rsidR="00A322B9" w:rsidRDefault="00A322B9" w:rsidP="00A81ED7">
            <w:pPr>
              <w:rPr>
                <w:sz w:val="20"/>
                <w:szCs w:val="20"/>
              </w:rPr>
            </w:pPr>
            <w:r>
              <w:rPr>
                <w:sz w:val="20"/>
                <w:szCs w:val="20"/>
              </w:rPr>
              <w:t>I</w:t>
            </w:r>
            <w:r w:rsidRPr="00011B87">
              <w:rPr>
                <w:sz w:val="20"/>
                <w:szCs w:val="20"/>
              </w:rPr>
              <w:t xml:space="preserve">ndividuals </w:t>
            </w:r>
            <w:r>
              <w:rPr>
                <w:sz w:val="20"/>
                <w:szCs w:val="20"/>
              </w:rPr>
              <w:t xml:space="preserve">were divided </w:t>
            </w:r>
            <w:r w:rsidRPr="00011B87">
              <w:rPr>
                <w:sz w:val="20"/>
                <w:szCs w:val="20"/>
              </w:rPr>
              <w:t>into income quartiles</w:t>
            </w:r>
            <w:r>
              <w:rPr>
                <w:sz w:val="20"/>
                <w:szCs w:val="20"/>
              </w:rPr>
              <w:t xml:space="preserve"> (</w:t>
            </w:r>
            <w:r w:rsidRPr="00BC6291">
              <w:rPr>
                <w:sz w:val="20"/>
                <w:szCs w:val="20"/>
              </w:rPr>
              <w:t>based on equivalised disposable household income as defined by Eurostat</w:t>
            </w:r>
            <w:r>
              <w:rPr>
                <w:sz w:val="20"/>
                <w:szCs w:val="20"/>
              </w:rPr>
              <w:t>)</w:t>
            </w:r>
            <w:r w:rsidRPr="00011B87">
              <w:rPr>
                <w:sz w:val="20"/>
                <w:szCs w:val="20"/>
              </w:rPr>
              <w:t xml:space="preserve"> within each combination of gender and age</w:t>
            </w:r>
            <w:r>
              <w:rPr>
                <w:sz w:val="20"/>
                <w:szCs w:val="20"/>
              </w:rPr>
              <w:t>.</w:t>
            </w:r>
          </w:p>
          <w:p w14:paraId="1BF20167" w14:textId="77777777" w:rsidR="00A322B9" w:rsidRPr="005E28AB" w:rsidRDefault="00A322B9" w:rsidP="00A81ED7">
            <w:pPr>
              <w:rPr>
                <w:sz w:val="20"/>
                <w:szCs w:val="20"/>
              </w:rPr>
            </w:pPr>
            <w:r>
              <w:rPr>
                <w:sz w:val="20"/>
                <w:szCs w:val="20"/>
              </w:rPr>
              <w:t>L</w:t>
            </w:r>
            <w:r w:rsidRPr="009E386D">
              <w:rPr>
                <w:sz w:val="20"/>
                <w:szCs w:val="20"/>
              </w:rPr>
              <w:t>ife expectancy</w:t>
            </w:r>
            <w:r>
              <w:rPr>
                <w:sz w:val="20"/>
                <w:szCs w:val="20"/>
              </w:rPr>
              <w:t>, l</w:t>
            </w:r>
            <w:r w:rsidRPr="009E386D">
              <w:rPr>
                <w:sz w:val="20"/>
                <w:szCs w:val="20"/>
              </w:rPr>
              <w:t>ifespan variation</w:t>
            </w:r>
          </w:p>
        </w:tc>
        <w:tc>
          <w:tcPr>
            <w:tcW w:w="2156" w:type="pct"/>
            <w:vAlign w:val="center"/>
          </w:tcPr>
          <w:p w14:paraId="2E2C8C1C" w14:textId="77777777" w:rsidR="00A322B9" w:rsidRDefault="00A322B9" w:rsidP="00A81ED7">
            <w:pPr>
              <w:rPr>
                <w:sz w:val="20"/>
                <w:szCs w:val="20"/>
              </w:rPr>
            </w:pPr>
            <w:r w:rsidRPr="004A668D">
              <w:rPr>
                <w:sz w:val="20"/>
                <w:szCs w:val="20"/>
              </w:rPr>
              <w:t xml:space="preserve">Life expectancy at age 30 increased between 1997 and 2017 in all four countries and across income quartiles. </w:t>
            </w:r>
            <w:r w:rsidRPr="00727BBD">
              <w:rPr>
                <w:sz w:val="20"/>
                <w:szCs w:val="20"/>
              </w:rPr>
              <w:t>The difference in life expectancy between the highest and lowest income quartile increased for men in all four countries</w:t>
            </w:r>
            <w:r>
              <w:rPr>
                <w:sz w:val="20"/>
                <w:szCs w:val="20"/>
              </w:rPr>
              <w:t xml:space="preserve">. For women, it </w:t>
            </w:r>
            <w:r w:rsidRPr="00727BBD">
              <w:rPr>
                <w:sz w:val="20"/>
                <w:szCs w:val="20"/>
              </w:rPr>
              <w:t xml:space="preserve">decreased in Denmark and Finland and increased in Norway and Sweden. </w:t>
            </w:r>
            <w:r>
              <w:rPr>
                <w:sz w:val="20"/>
                <w:szCs w:val="20"/>
              </w:rPr>
              <w:t xml:space="preserve">Across all countries there was a </w:t>
            </w:r>
            <w:r w:rsidRPr="00C8218D">
              <w:rPr>
                <w:sz w:val="20"/>
                <w:szCs w:val="20"/>
              </w:rPr>
              <w:t xml:space="preserve">social gradient </w:t>
            </w:r>
            <w:r>
              <w:rPr>
                <w:sz w:val="20"/>
                <w:szCs w:val="20"/>
              </w:rPr>
              <w:t xml:space="preserve">in </w:t>
            </w:r>
            <w:r w:rsidRPr="00C8218D">
              <w:rPr>
                <w:sz w:val="20"/>
                <w:szCs w:val="20"/>
              </w:rPr>
              <w:t>lifespan variation</w:t>
            </w:r>
            <w:r>
              <w:rPr>
                <w:sz w:val="20"/>
                <w:szCs w:val="20"/>
              </w:rPr>
              <w:t xml:space="preserve">, individuals with </w:t>
            </w:r>
            <w:r w:rsidRPr="00C8218D">
              <w:rPr>
                <w:sz w:val="20"/>
                <w:szCs w:val="20"/>
              </w:rPr>
              <w:t xml:space="preserve">higher income </w:t>
            </w:r>
            <w:r>
              <w:rPr>
                <w:sz w:val="20"/>
                <w:szCs w:val="20"/>
              </w:rPr>
              <w:t>had</w:t>
            </w:r>
            <w:r w:rsidRPr="00C8218D">
              <w:rPr>
                <w:sz w:val="20"/>
                <w:szCs w:val="20"/>
              </w:rPr>
              <w:t xml:space="preserve"> lower lifespan variation and higher life expectancy.</w:t>
            </w:r>
          </w:p>
        </w:tc>
      </w:tr>
      <w:tr w:rsidR="00A322B9" w:rsidRPr="005E28AB" w14:paraId="22F3CAC4" w14:textId="77777777" w:rsidTr="00A81ED7">
        <w:trPr>
          <w:cantSplit/>
          <w:trHeight w:val="284"/>
        </w:trPr>
        <w:tc>
          <w:tcPr>
            <w:tcW w:w="811" w:type="pct"/>
            <w:shd w:val="clear" w:color="auto" w:fill="F2F2F2" w:themeFill="background1" w:themeFillShade="F2"/>
            <w:vAlign w:val="center"/>
          </w:tcPr>
          <w:p w14:paraId="0CE174DB" w14:textId="77777777" w:rsidR="00A322B9" w:rsidRDefault="00A322B9" w:rsidP="00A81ED7">
            <w:pPr>
              <w:rPr>
                <w:sz w:val="20"/>
                <w:szCs w:val="20"/>
              </w:rPr>
            </w:pPr>
            <w:proofErr w:type="spellStart"/>
            <w:r w:rsidRPr="00632A24">
              <w:rPr>
                <w:sz w:val="20"/>
                <w:szCs w:val="20"/>
              </w:rPr>
              <w:t>Buajitti</w:t>
            </w:r>
            <w:proofErr w:type="spellEnd"/>
            <w:r>
              <w:rPr>
                <w:sz w:val="20"/>
                <w:szCs w:val="20"/>
              </w:rPr>
              <w:t xml:space="preserve"> et al., 2020</w:t>
            </w:r>
          </w:p>
          <w:p w14:paraId="404CB420" w14:textId="77777777" w:rsidR="00A322B9" w:rsidRDefault="00A322B9" w:rsidP="00A81ED7">
            <w:pPr>
              <w:rPr>
                <w:sz w:val="20"/>
                <w:szCs w:val="20"/>
              </w:rPr>
            </w:pPr>
            <w:r>
              <w:rPr>
                <w:sz w:val="20"/>
                <w:szCs w:val="20"/>
              </w:rPr>
              <w:t>Ontario, Canada</w:t>
            </w:r>
          </w:p>
          <w:p w14:paraId="59A6FCCD" w14:textId="77777777" w:rsidR="00A322B9" w:rsidRPr="00C728D0" w:rsidRDefault="00A322B9" w:rsidP="00A81ED7">
            <w:pPr>
              <w:rPr>
                <w:sz w:val="20"/>
                <w:szCs w:val="20"/>
              </w:rPr>
            </w:pPr>
            <w:r>
              <w:rPr>
                <w:sz w:val="20"/>
                <w:szCs w:val="20"/>
              </w:rPr>
              <w:t>1992-2017</w:t>
            </w:r>
          </w:p>
        </w:tc>
        <w:tc>
          <w:tcPr>
            <w:tcW w:w="712" w:type="pct"/>
            <w:shd w:val="clear" w:color="auto" w:fill="F2F2F2" w:themeFill="background1" w:themeFillShade="F2"/>
            <w:vAlign w:val="center"/>
          </w:tcPr>
          <w:p w14:paraId="763D21C1" w14:textId="77777777" w:rsidR="00A322B9" w:rsidRDefault="00A322B9" w:rsidP="00A81ED7">
            <w:pPr>
              <w:rPr>
                <w:sz w:val="20"/>
                <w:szCs w:val="20"/>
              </w:rPr>
            </w:pPr>
            <w:r>
              <w:rPr>
                <w:sz w:val="20"/>
                <w:szCs w:val="20"/>
              </w:rPr>
              <w:t>Register-based data</w:t>
            </w:r>
          </w:p>
        </w:tc>
        <w:tc>
          <w:tcPr>
            <w:tcW w:w="1320" w:type="pct"/>
            <w:shd w:val="clear" w:color="auto" w:fill="F2F2F2" w:themeFill="background1" w:themeFillShade="F2"/>
            <w:vAlign w:val="center"/>
          </w:tcPr>
          <w:p w14:paraId="2244EECA" w14:textId="77777777" w:rsidR="00A322B9" w:rsidRDefault="00A322B9" w:rsidP="00A81ED7">
            <w:pPr>
              <w:rPr>
                <w:sz w:val="20"/>
                <w:szCs w:val="20"/>
              </w:rPr>
            </w:pPr>
            <w:r>
              <w:rPr>
                <w:sz w:val="20"/>
                <w:szCs w:val="20"/>
              </w:rPr>
              <w:t>Area-level</w:t>
            </w:r>
          </w:p>
          <w:p w14:paraId="498970A8" w14:textId="77777777" w:rsidR="00A322B9" w:rsidRDefault="00A322B9" w:rsidP="00A81ED7">
            <w:pPr>
              <w:rPr>
                <w:sz w:val="20"/>
                <w:szCs w:val="20"/>
              </w:rPr>
            </w:pPr>
            <w:r>
              <w:rPr>
                <w:sz w:val="20"/>
                <w:szCs w:val="20"/>
              </w:rPr>
              <w:t>Each death record assigned to a provincial quintile based on the Ontario Marginalization Index</w:t>
            </w:r>
          </w:p>
          <w:p w14:paraId="38B3BC7E" w14:textId="77777777" w:rsidR="00A322B9" w:rsidRDefault="00A322B9" w:rsidP="00A81ED7">
            <w:pPr>
              <w:rPr>
                <w:sz w:val="20"/>
                <w:szCs w:val="20"/>
              </w:rPr>
            </w:pPr>
            <w:r>
              <w:rPr>
                <w:sz w:val="20"/>
                <w:szCs w:val="20"/>
              </w:rPr>
              <w:t>Premature mortality</w:t>
            </w:r>
          </w:p>
        </w:tc>
        <w:tc>
          <w:tcPr>
            <w:tcW w:w="2156" w:type="pct"/>
            <w:shd w:val="clear" w:color="auto" w:fill="F2F2F2" w:themeFill="background1" w:themeFillShade="F2"/>
            <w:vAlign w:val="center"/>
          </w:tcPr>
          <w:p w14:paraId="6252F0FB" w14:textId="77777777" w:rsidR="00A322B9" w:rsidRPr="00D20092" w:rsidRDefault="00A322B9" w:rsidP="00A81ED7">
            <w:pPr>
              <w:rPr>
                <w:sz w:val="20"/>
                <w:szCs w:val="20"/>
              </w:rPr>
            </w:pPr>
            <w:r w:rsidRPr="007E6F5B">
              <w:rPr>
                <w:sz w:val="20"/>
                <w:szCs w:val="20"/>
              </w:rPr>
              <w:t xml:space="preserve">Premature mortality rates declined in all socioeconomic groups between 1992 and 2017. Relative inequalities in premature mortality increased over the same period. A downward year-on-year trend in adult premature mortality was consistently seen for males and females between 1992 and 2006. Improvements slowed after 2006 in the most deprived groups and notable increases </w:t>
            </w:r>
            <w:r>
              <w:rPr>
                <w:sz w:val="20"/>
                <w:szCs w:val="20"/>
              </w:rPr>
              <w:t xml:space="preserve">were </w:t>
            </w:r>
            <w:r w:rsidRPr="007E6F5B">
              <w:rPr>
                <w:sz w:val="20"/>
                <w:szCs w:val="20"/>
              </w:rPr>
              <w:t>seen in low socioeconomic status females for some age groups.</w:t>
            </w:r>
          </w:p>
        </w:tc>
      </w:tr>
      <w:tr w:rsidR="00A322B9" w:rsidRPr="005E28AB" w14:paraId="1979C75A" w14:textId="77777777" w:rsidTr="00A81ED7">
        <w:trPr>
          <w:cantSplit/>
          <w:trHeight w:val="284"/>
        </w:trPr>
        <w:tc>
          <w:tcPr>
            <w:tcW w:w="811" w:type="pct"/>
            <w:tcBorders>
              <w:bottom w:val="single" w:sz="4" w:space="0" w:color="D9D9D9" w:themeColor="background1" w:themeShade="D9"/>
            </w:tcBorders>
            <w:vAlign w:val="center"/>
          </w:tcPr>
          <w:p w14:paraId="7DB68529" w14:textId="77777777" w:rsidR="00A322B9" w:rsidRDefault="00A322B9" w:rsidP="00A81ED7">
            <w:pPr>
              <w:rPr>
                <w:sz w:val="20"/>
                <w:szCs w:val="20"/>
              </w:rPr>
            </w:pPr>
            <w:r>
              <w:rPr>
                <w:sz w:val="20"/>
                <w:szCs w:val="20"/>
              </w:rPr>
              <w:t>Chen-Xu et al., 2024</w:t>
            </w:r>
          </w:p>
          <w:p w14:paraId="5E1F6C6E" w14:textId="77777777" w:rsidR="00A322B9" w:rsidRDefault="00A322B9" w:rsidP="00A81ED7">
            <w:pPr>
              <w:rPr>
                <w:sz w:val="20"/>
                <w:szCs w:val="20"/>
              </w:rPr>
            </w:pPr>
            <w:r>
              <w:rPr>
                <w:sz w:val="20"/>
                <w:szCs w:val="20"/>
              </w:rPr>
              <w:t>32 countries in the European Economic Areas</w:t>
            </w:r>
          </w:p>
          <w:p w14:paraId="768F9F95" w14:textId="77777777" w:rsidR="00A322B9" w:rsidRPr="005E28AB" w:rsidRDefault="00A322B9" w:rsidP="00A81ED7">
            <w:pPr>
              <w:rPr>
                <w:sz w:val="20"/>
                <w:szCs w:val="20"/>
              </w:rPr>
            </w:pPr>
            <w:r>
              <w:rPr>
                <w:sz w:val="20"/>
                <w:szCs w:val="20"/>
              </w:rPr>
              <w:t>2009-2019</w:t>
            </w:r>
          </w:p>
        </w:tc>
        <w:tc>
          <w:tcPr>
            <w:tcW w:w="712" w:type="pct"/>
            <w:tcBorders>
              <w:bottom w:val="single" w:sz="4" w:space="0" w:color="D9D9D9" w:themeColor="background1" w:themeShade="D9"/>
            </w:tcBorders>
            <w:vAlign w:val="center"/>
          </w:tcPr>
          <w:p w14:paraId="7EEA1F58" w14:textId="77777777" w:rsidR="00A322B9" w:rsidRDefault="00A322B9" w:rsidP="00A81ED7">
            <w:pPr>
              <w:rPr>
                <w:sz w:val="20"/>
                <w:szCs w:val="20"/>
              </w:rPr>
            </w:pPr>
            <w:r>
              <w:rPr>
                <w:sz w:val="20"/>
                <w:szCs w:val="20"/>
              </w:rPr>
              <w:t>Eurostat</w:t>
            </w:r>
          </w:p>
          <w:p w14:paraId="76C17BDC" w14:textId="77777777" w:rsidR="00A322B9" w:rsidRDefault="00A322B9" w:rsidP="00A81ED7">
            <w:pPr>
              <w:rPr>
                <w:sz w:val="20"/>
                <w:szCs w:val="20"/>
              </w:rPr>
            </w:pPr>
            <w:r>
              <w:rPr>
                <w:sz w:val="20"/>
                <w:szCs w:val="20"/>
              </w:rPr>
              <w:t>Global Burden of Disease 2019</w:t>
            </w:r>
          </w:p>
        </w:tc>
        <w:tc>
          <w:tcPr>
            <w:tcW w:w="1320" w:type="pct"/>
            <w:tcBorders>
              <w:bottom w:val="single" w:sz="4" w:space="0" w:color="D9D9D9" w:themeColor="background1" w:themeShade="D9"/>
            </w:tcBorders>
            <w:vAlign w:val="center"/>
          </w:tcPr>
          <w:p w14:paraId="77B9A1BA" w14:textId="77777777" w:rsidR="00A322B9" w:rsidRDefault="00A322B9" w:rsidP="00A81ED7">
            <w:pPr>
              <w:rPr>
                <w:sz w:val="20"/>
                <w:szCs w:val="20"/>
              </w:rPr>
            </w:pPr>
            <w:r>
              <w:rPr>
                <w:sz w:val="20"/>
                <w:szCs w:val="20"/>
              </w:rPr>
              <w:t>Area-level</w:t>
            </w:r>
          </w:p>
          <w:p w14:paraId="277E51AF" w14:textId="77777777" w:rsidR="00A322B9" w:rsidRDefault="00A322B9" w:rsidP="00A81ED7">
            <w:pPr>
              <w:rPr>
                <w:sz w:val="20"/>
                <w:szCs w:val="20"/>
              </w:rPr>
            </w:pPr>
            <w:r>
              <w:rPr>
                <w:sz w:val="20"/>
                <w:szCs w:val="20"/>
              </w:rPr>
              <w:t>Gini coefficient of the average relative average difference of YLLs between regions (NUTS 3 and NUTS 2)</w:t>
            </w:r>
          </w:p>
          <w:p w14:paraId="34107CD1" w14:textId="77777777" w:rsidR="00A322B9" w:rsidRPr="005E28AB" w:rsidRDefault="00A322B9" w:rsidP="00A81ED7">
            <w:pPr>
              <w:rPr>
                <w:sz w:val="20"/>
                <w:szCs w:val="20"/>
              </w:rPr>
            </w:pPr>
            <w:r>
              <w:rPr>
                <w:sz w:val="20"/>
                <w:szCs w:val="20"/>
              </w:rPr>
              <w:t>A</w:t>
            </w:r>
            <w:r w:rsidRPr="004F1AA1">
              <w:rPr>
                <w:sz w:val="20"/>
                <w:szCs w:val="20"/>
              </w:rPr>
              <w:t xml:space="preserve">ll-cause </w:t>
            </w:r>
            <w:r>
              <w:rPr>
                <w:sz w:val="20"/>
                <w:szCs w:val="20"/>
              </w:rPr>
              <w:t xml:space="preserve">premature </w:t>
            </w:r>
            <w:r w:rsidRPr="004F1AA1">
              <w:rPr>
                <w:sz w:val="20"/>
                <w:szCs w:val="20"/>
              </w:rPr>
              <w:t>mortalit</w:t>
            </w:r>
            <w:r>
              <w:rPr>
                <w:sz w:val="20"/>
                <w:szCs w:val="20"/>
              </w:rPr>
              <w:t>y using age-standardised rates for YLLs</w:t>
            </w:r>
          </w:p>
        </w:tc>
        <w:tc>
          <w:tcPr>
            <w:tcW w:w="2156" w:type="pct"/>
            <w:tcBorders>
              <w:bottom w:val="single" w:sz="4" w:space="0" w:color="D9D9D9" w:themeColor="background1" w:themeShade="D9"/>
            </w:tcBorders>
            <w:vAlign w:val="center"/>
          </w:tcPr>
          <w:p w14:paraId="77913A62" w14:textId="77777777" w:rsidR="00A322B9" w:rsidRDefault="00A322B9" w:rsidP="00A81ED7">
            <w:pPr>
              <w:rPr>
                <w:sz w:val="20"/>
                <w:szCs w:val="20"/>
              </w:rPr>
            </w:pPr>
            <w:r w:rsidRPr="001D64E6">
              <w:rPr>
                <w:sz w:val="20"/>
                <w:szCs w:val="20"/>
              </w:rPr>
              <w:t xml:space="preserve">Reductions in YLLs were observed across all countries and </w:t>
            </w:r>
            <w:r>
              <w:rPr>
                <w:sz w:val="20"/>
                <w:szCs w:val="20"/>
              </w:rPr>
              <w:t>most</w:t>
            </w:r>
            <w:r w:rsidRPr="001D64E6">
              <w:rPr>
                <w:sz w:val="20"/>
                <w:szCs w:val="20"/>
              </w:rPr>
              <w:t xml:space="preserve"> subnational regions. Small relative and absolute inequalities in YLLs persisted. </w:t>
            </w:r>
            <w:r>
              <w:rPr>
                <w:sz w:val="20"/>
                <w:szCs w:val="20"/>
              </w:rPr>
              <w:t>Overall, r</w:t>
            </w:r>
            <w:r w:rsidRPr="001D64E6">
              <w:rPr>
                <w:sz w:val="20"/>
                <w:szCs w:val="20"/>
              </w:rPr>
              <w:t xml:space="preserve">elative inequalities were reduced for females and increased for males. For absolute differences, there was no significant change but for males, absolute inequalities were reduced. </w:t>
            </w:r>
          </w:p>
        </w:tc>
      </w:tr>
      <w:tr w:rsidR="00A322B9" w:rsidRPr="005E28AB" w14:paraId="6BE4473D" w14:textId="77777777" w:rsidTr="00A81ED7">
        <w:trPr>
          <w:cantSplit/>
          <w:trHeight w:val="284"/>
        </w:trPr>
        <w:tc>
          <w:tcPr>
            <w:tcW w:w="811" w:type="pct"/>
            <w:tcBorders>
              <w:top w:val="single" w:sz="4" w:space="0" w:color="D9D9D9" w:themeColor="background1" w:themeShade="D9"/>
            </w:tcBorders>
            <w:shd w:val="clear" w:color="auto" w:fill="F2F2F2" w:themeFill="background1" w:themeFillShade="F2"/>
            <w:vAlign w:val="center"/>
          </w:tcPr>
          <w:p w14:paraId="6FE18403" w14:textId="77777777" w:rsidR="00A322B9" w:rsidRDefault="00A322B9" w:rsidP="00A81ED7">
            <w:pPr>
              <w:rPr>
                <w:sz w:val="20"/>
                <w:szCs w:val="20"/>
              </w:rPr>
            </w:pPr>
            <w:proofErr w:type="spellStart"/>
            <w:r>
              <w:rPr>
                <w:sz w:val="20"/>
                <w:szCs w:val="20"/>
              </w:rPr>
              <w:lastRenderedPageBreak/>
              <w:t>Clarsen</w:t>
            </w:r>
            <w:proofErr w:type="spellEnd"/>
            <w:r>
              <w:rPr>
                <w:sz w:val="20"/>
                <w:szCs w:val="20"/>
              </w:rPr>
              <w:t xml:space="preserve"> et al., 2022</w:t>
            </w:r>
          </w:p>
          <w:p w14:paraId="39924965" w14:textId="77777777" w:rsidR="00A322B9" w:rsidRDefault="00A322B9" w:rsidP="00A81ED7">
            <w:pPr>
              <w:rPr>
                <w:sz w:val="20"/>
                <w:szCs w:val="20"/>
              </w:rPr>
            </w:pPr>
            <w:r>
              <w:rPr>
                <w:sz w:val="20"/>
                <w:szCs w:val="20"/>
              </w:rPr>
              <w:t>Norway</w:t>
            </w:r>
          </w:p>
          <w:p w14:paraId="3C168D85" w14:textId="77777777" w:rsidR="00A322B9" w:rsidRPr="005E28AB" w:rsidRDefault="00A322B9" w:rsidP="00A81ED7">
            <w:pPr>
              <w:rPr>
                <w:sz w:val="20"/>
                <w:szCs w:val="20"/>
              </w:rPr>
            </w:pPr>
            <w:r>
              <w:rPr>
                <w:sz w:val="20"/>
                <w:szCs w:val="20"/>
              </w:rPr>
              <w:t>1990-2019</w:t>
            </w:r>
          </w:p>
        </w:tc>
        <w:tc>
          <w:tcPr>
            <w:tcW w:w="712" w:type="pct"/>
            <w:tcBorders>
              <w:top w:val="single" w:sz="4" w:space="0" w:color="D9D9D9" w:themeColor="background1" w:themeShade="D9"/>
            </w:tcBorders>
            <w:shd w:val="clear" w:color="auto" w:fill="F2F2F2" w:themeFill="background1" w:themeFillShade="F2"/>
            <w:vAlign w:val="center"/>
          </w:tcPr>
          <w:p w14:paraId="483FFB63" w14:textId="77777777" w:rsidR="00A322B9" w:rsidRDefault="00A322B9" w:rsidP="00A81ED7">
            <w:pPr>
              <w:rPr>
                <w:sz w:val="20"/>
                <w:szCs w:val="20"/>
              </w:rPr>
            </w:pPr>
            <w:r>
              <w:rPr>
                <w:sz w:val="20"/>
                <w:szCs w:val="20"/>
              </w:rPr>
              <w:t>Global Burden of Disease 2019</w:t>
            </w:r>
          </w:p>
        </w:tc>
        <w:tc>
          <w:tcPr>
            <w:tcW w:w="1320" w:type="pct"/>
            <w:tcBorders>
              <w:top w:val="single" w:sz="4" w:space="0" w:color="D9D9D9" w:themeColor="background1" w:themeShade="D9"/>
            </w:tcBorders>
            <w:shd w:val="clear" w:color="auto" w:fill="F2F2F2" w:themeFill="background1" w:themeFillShade="F2"/>
            <w:vAlign w:val="center"/>
          </w:tcPr>
          <w:p w14:paraId="599BD729" w14:textId="77777777" w:rsidR="00A322B9" w:rsidRPr="00F557A6" w:rsidRDefault="00A322B9" w:rsidP="00A81ED7">
            <w:pPr>
              <w:rPr>
                <w:rFonts w:cs="Arial"/>
                <w:sz w:val="20"/>
                <w:szCs w:val="20"/>
              </w:rPr>
            </w:pPr>
            <w:r w:rsidRPr="00F557A6">
              <w:rPr>
                <w:rFonts w:cs="Arial"/>
                <w:sz w:val="20"/>
                <w:szCs w:val="20"/>
              </w:rPr>
              <w:t>Area-level</w:t>
            </w:r>
          </w:p>
          <w:p w14:paraId="4A9A23B3" w14:textId="77777777" w:rsidR="00A322B9" w:rsidRPr="00F557A6" w:rsidRDefault="00A322B9" w:rsidP="00A81ED7">
            <w:pPr>
              <w:rPr>
                <w:rFonts w:cs="Arial"/>
                <w:sz w:val="20"/>
                <w:szCs w:val="20"/>
              </w:rPr>
            </w:pPr>
            <w:r w:rsidRPr="00F557A6">
              <w:rPr>
                <w:rFonts w:cs="Arial"/>
                <w:sz w:val="20"/>
                <w:szCs w:val="20"/>
              </w:rPr>
              <w:t>Gini coefficient between counties</w:t>
            </w:r>
          </w:p>
          <w:p w14:paraId="165861C5" w14:textId="77777777" w:rsidR="00A322B9" w:rsidRPr="00D20092" w:rsidRDefault="00A322B9" w:rsidP="00A81ED7">
            <w:pPr>
              <w:rPr>
                <w:rFonts w:ascii="Helvetica" w:hAnsi="Helvetica" w:cs="Helvetica"/>
                <w:color w:val="141413"/>
                <w:kern w:val="0"/>
                <w:sz w:val="18"/>
                <w:szCs w:val="18"/>
              </w:rPr>
            </w:pPr>
            <w:r w:rsidRPr="00F557A6">
              <w:rPr>
                <w:rFonts w:cs="Arial"/>
                <w:color w:val="141413"/>
                <w:kern w:val="0"/>
                <w:sz w:val="20"/>
                <w:szCs w:val="20"/>
              </w:rPr>
              <w:t>All-cause YLLs, YLDs, and DALYs, h</w:t>
            </w:r>
            <w:r w:rsidRPr="00F557A6">
              <w:rPr>
                <w:rFonts w:cs="Arial"/>
                <w:sz w:val="20"/>
                <w:szCs w:val="20"/>
              </w:rPr>
              <w:t>ealth-adjusted life expectancy</w:t>
            </w:r>
          </w:p>
        </w:tc>
        <w:tc>
          <w:tcPr>
            <w:tcW w:w="2156" w:type="pct"/>
            <w:tcBorders>
              <w:top w:val="single" w:sz="4" w:space="0" w:color="D9D9D9" w:themeColor="background1" w:themeShade="D9"/>
            </w:tcBorders>
            <w:shd w:val="clear" w:color="auto" w:fill="F2F2F2" w:themeFill="background1" w:themeFillShade="F2"/>
            <w:vAlign w:val="center"/>
          </w:tcPr>
          <w:p w14:paraId="57AB90F1" w14:textId="77777777" w:rsidR="00A322B9" w:rsidRPr="00AE5A8E" w:rsidRDefault="00A322B9" w:rsidP="00A81ED7">
            <w:pPr>
              <w:rPr>
                <w:rFonts w:cs="Arial"/>
                <w:color w:val="141413"/>
                <w:kern w:val="0"/>
                <w:sz w:val="20"/>
                <w:szCs w:val="20"/>
              </w:rPr>
            </w:pPr>
            <w:r w:rsidRPr="00AE5A8E">
              <w:rPr>
                <w:rFonts w:cs="Arial"/>
                <w:color w:val="141413"/>
                <w:kern w:val="0"/>
                <w:sz w:val="20"/>
                <w:szCs w:val="20"/>
              </w:rPr>
              <w:t xml:space="preserve">Life expectancy at birth improved in all counties, </w:t>
            </w:r>
            <w:r>
              <w:rPr>
                <w:rFonts w:cs="Arial"/>
                <w:color w:val="141413"/>
                <w:kern w:val="0"/>
                <w:sz w:val="20"/>
                <w:szCs w:val="20"/>
              </w:rPr>
              <w:t xml:space="preserve">with an </w:t>
            </w:r>
            <w:r w:rsidRPr="00AE5A8E">
              <w:rPr>
                <w:rFonts w:cs="Arial"/>
                <w:color w:val="141413"/>
                <w:kern w:val="0"/>
                <w:sz w:val="20"/>
                <w:szCs w:val="20"/>
              </w:rPr>
              <w:t xml:space="preserve">upward trend in healthy life expectancy. </w:t>
            </w:r>
            <w:r>
              <w:rPr>
                <w:rFonts w:cs="Arial"/>
                <w:color w:val="141413"/>
                <w:kern w:val="0"/>
                <w:sz w:val="20"/>
                <w:szCs w:val="20"/>
              </w:rPr>
              <w:t>H</w:t>
            </w:r>
            <w:r w:rsidRPr="00AE5A8E">
              <w:rPr>
                <w:rFonts w:cs="Arial"/>
                <w:color w:val="141413"/>
                <w:kern w:val="0"/>
                <w:sz w:val="20"/>
                <w:szCs w:val="20"/>
              </w:rPr>
              <w:t xml:space="preserve">igh degree of equality between counties for both life expectancy and healthy life expectancy. Small regional differences in life expectancy in 1990 were found to have decreased </w:t>
            </w:r>
            <w:r>
              <w:rPr>
                <w:rFonts w:cs="Arial"/>
                <w:color w:val="141413"/>
                <w:kern w:val="0"/>
                <w:sz w:val="20"/>
                <w:szCs w:val="20"/>
              </w:rPr>
              <w:t>by</w:t>
            </w:r>
            <w:r w:rsidRPr="00AE5A8E">
              <w:rPr>
                <w:rFonts w:cs="Arial"/>
                <w:color w:val="141413"/>
                <w:kern w:val="0"/>
                <w:sz w:val="20"/>
                <w:szCs w:val="20"/>
              </w:rPr>
              <w:t xml:space="preserve"> 2019. Levels of inequality were low across the counties with respect to the level-1 DALY causes (non-communicable diseases and injuries) and inequalities in communicable, maternal, neonatal, and nutritional diseases decreased. Inequality in exposure to level-1 risk factors (metabolic risks, behavioural risks, and environmental or occupational risks) was low. </w:t>
            </w:r>
            <w:r>
              <w:rPr>
                <w:rFonts w:cs="Arial"/>
                <w:color w:val="141413"/>
                <w:kern w:val="0"/>
                <w:sz w:val="20"/>
                <w:szCs w:val="20"/>
              </w:rPr>
              <w:t>D</w:t>
            </w:r>
            <w:r w:rsidRPr="00AE5A8E">
              <w:rPr>
                <w:rFonts w:cs="Arial"/>
                <w:color w:val="141413"/>
                <w:kern w:val="0"/>
                <w:sz w:val="20"/>
                <w:szCs w:val="20"/>
              </w:rPr>
              <w:t xml:space="preserve">ecreased death rates for ischaemic heart disease and lung cancer were </w:t>
            </w:r>
            <w:r>
              <w:rPr>
                <w:rFonts w:cs="Arial"/>
                <w:color w:val="141413"/>
                <w:kern w:val="0"/>
                <w:sz w:val="20"/>
                <w:szCs w:val="20"/>
              </w:rPr>
              <w:t xml:space="preserve">identified as </w:t>
            </w:r>
            <w:r w:rsidRPr="00AE5A8E">
              <w:rPr>
                <w:rFonts w:cs="Arial"/>
                <w:color w:val="141413"/>
                <w:kern w:val="0"/>
                <w:sz w:val="20"/>
                <w:szCs w:val="20"/>
              </w:rPr>
              <w:t>the primary reasons for the increasing life expectancy in all counties.</w:t>
            </w:r>
          </w:p>
        </w:tc>
      </w:tr>
      <w:tr w:rsidR="00A322B9" w:rsidRPr="005E28AB" w14:paraId="16F21DC6" w14:textId="77777777" w:rsidTr="00A81ED7">
        <w:trPr>
          <w:cantSplit/>
          <w:trHeight w:val="284"/>
        </w:trPr>
        <w:tc>
          <w:tcPr>
            <w:tcW w:w="811" w:type="pct"/>
            <w:vAlign w:val="center"/>
          </w:tcPr>
          <w:p w14:paraId="2F8DD943" w14:textId="77777777" w:rsidR="00A322B9" w:rsidRDefault="00A322B9" w:rsidP="00A81ED7">
            <w:pPr>
              <w:rPr>
                <w:sz w:val="20"/>
                <w:szCs w:val="20"/>
              </w:rPr>
            </w:pPr>
            <w:r>
              <w:rPr>
                <w:sz w:val="20"/>
                <w:szCs w:val="20"/>
              </w:rPr>
              <w:t>Currie et al., 2021</w:t>
            </w:r>
          </w:p>
          <w:p w14:paraId="6FD49A9B" w14:textId="77777777" w:rsidR="00A322B9" w:rsidRDefault="00A322B9" w:rsidP="00A81ED7">
            <w:pPr>
              <w:rPr>
                <w:sz w:val="20"/>
                <w:szCs w:val="20"/>
              </w:rPr>
            </w:pPr>
            <w:r>
              <w:rPr>
                <w:sz w:val="20"/>
                <w:szCs w:val="20"/>
              </w:rPr>
              <w:t>Wales</w:t>
            </w:r>
          </w:p>
          <w:p w14:paraId="4A3C2026" w14:textId="77777777" w:rsidR="00A322B9" w:rsidRDefault="00A322B9" w:rsidP="00A81ED7">
            <w:pPr>
              <w:rPr>
                <w:sz w:val="20"/>
                <w:szCs w:val="20"/>
              </w:rPr>
            </w:pPr>
            <w:r>
              <w:rPr>
                <w:sz w:val="20"/>
                <w:szCs w:val="20"/>
              </w:rPr>
              <w:t>2002-2018</w:t>
            </w:r>
          </w:p>
        </w:tc>
        <w:tc>
          <w:tcPr>
            <w:tcW w:w="712" w:type="pct"/>
            <w:vAlign w:val="center"/>
          </w:tcPr>
          <w:p w14:paraId="7FAA24BF" w14:textId="77777777" w:rsidR="00A322B9" w:rsidRPr="005728D7" w:rsidRDefault="00A322B9" w:rsidP="00A81ED7">
            <w:pPr>
              <w:rPr>
                <w:sz w:val="20"/>
                <w:szCs w:val="20"/>
              </w:rPr>
            </w:pPr>
            <w:r w:rsidRPr="005728D7">
              <w:rPr>
                <w:sz w:val="20"/>
                <w:szCs w:val="20"/>
              </w:rPr>
              <w:t>Welsh mid-year population and mortality data</w:t>
            </w:r>
            <w:r>
              <w:rPr>
                <w:sz w:val="20"/>
                <w:szCs w:val="20"/>
              </w:rPr>
              <w:t xml:space="preserve"> from Office for National Statistics</w:t>
            </w:r>
          </w:p>
        </w:tc>
        <w:tc>
          <w:tcPr>
            <w:tcW w:w="1320" w:type="pct"/>
            <w:vAlign w:val="center"/>
          </w:tcPr>
          <w:p w14:paraId="3D50B683" w14:textId="77777777" w:rsidR="00A322B9" w:rsidRDefault="00A322B9" w:rsidP="00A81ED7">
            <w:pPr>
              <w:rPr>
                <w:sz w:val="20"/>
                <w:szCs w:val="20"/>
              </w:rPr>
            </w:pPr>
            <w:r>
              <w:rPr>
                <w:sz w:val="20"/>
                <w:szCs w:val="20"/>
              </w:rPr>
              <w:t>Area-level</w:t>
            </w:r>
          </w:p>
          <w:p w14:paraId="5C7694A2" w14:textId="77777777" w:rsidR="00A322B9" w:rsidRDefault="00A322B9" w:rsidP="00A81ED7">
            <w:pPr>
              <w:rPr>
                <w:sz w:val="20"/>
                <w:szCs w:val="20"/>
              </w:rPr>
            </w:pPr>
            <w:r>
              <w:rPr>
                <w:sz w:val="20"/>
                <w:szCs w:val="20"/>
              </w:rPr>
              <w:t xml:space="preserve">Deprivation at a small area level defined by quintiles of the </w:t>
            </w:r>
            <w:r w:rsidRPr="00197853">
              <w:rPr>
                <w:sz w:val="20"/>
                <w:szCs w:val="20"/>
              </w:rPr>
              <w:t>Welsh Index of Multiple Deprivation</w:t>
            </w:r>
          </w:p>
          <w:p w14:paraId="4C30EAE9" w14:textId="77777777" w:rsidR="00A322B9" w:rsidRDefault="00A322B9" w:rsidP="00A81ED7">
            <w:pPr>
              <w:rPr>
                <w:sz w:val="20"/>
                <w:szCs w:val="20"/>
              </w:rPr>
            </w:pPr>
            <w:r>
              <w:rPr>
                <w:sz w:val="20"/>
                <w:szCs w:val="20"/>
              </w:rPr>
              <w:t>Life expectancy and contribution of avoidable causes of death</w:t>
            </w:r>
          </w:p>
        </w:tc>
        <w:tc>
          <w:tcPr>
            <w:tcW w:w="2156" w:type="pct"/>
            <w:vAlign w:val="center"/>
          </w:tcPr>
          <w:p w14:paraId="0BB0C13E" w14:textId="77777777" w:rsidR="00A322B9" w:rsidRDefault="00A322B9" w:rsidP="00A81ED7">
            <w:pPr>
              <w:rPr>
                <w:sz w:val="20"/>
                <w:szCs w:val="20"/>
              </w:rPr>
            </w:pPr>
            <w:r w:rsidRPr="00D20793">
              <w:rPr>
                <w:sz w:val="20"/>
                <w:szCs w:val="20"/>
              </w:rPr>
              <w:t>Life expectancy rose throughout the period across all quintiles</w:t>
            </w:r>
            <w:r>
              <w:rPr>
                <w:sz w:val="20"/>
                <w:szCs w:val="20"/>
              </w:rPr>
              <w:t xml:space="preserve"> up to 2012-14. L</w:t>
            </w:r>
            <w:r w:rsidRPr="00DC7C25">
              <w:rPr>
                <w:sz w:val="20"/>
                <w:szCs w:val="20"/>
              </w:rPr>
              <w:t>ife expectancy fell in the most deprived</w:t>
            </w:r>
            <w:r>
              <w:rPr>
                <w:sz w:val="20"/>
                <w:szCs w:val="20"/>
              </w:rPr>
              <w:t xml:space="preserve"> </w:t>
            </w:r>
            <w:r w:rsidRPr="00DC7C25">
              <w:rPr>
                <w:sz w:val="20"/>
                <w:szCs w:val="20"/>
              </w:rPr>
              <w:t>quintiles after 2012-14</w:t>
            </w:r>
            <w:r>
              <w:rPr>
                <w:sz w:val="20"/>
                <w:szCs w:val="20"/>
              </w:rPr>
              <w:t xml:space="preserve">. For both men and women, the absolute gap in life expectancy between the most and least deprived quintile overall rose between 2002-04 and 2016-18. </w:t>
            </w:r>
            <w:r w:rsidRPr="007A709D">
              <w:rPr>
                <w:sz w:val="20"/>
                <w:szCs w:val="20"/>
              </w:rPr>
              <w:t>Relative inequalities in life expectancy</w:t>
            </w:r>
            <w:r>
              <w:rPr>
                <w:sz w:val="20"/>
                <w:szCs w:val="20"/>
              </w:rPr>
              <w:t xml:space="preserve"> also</w:t>
            </w:r>
            <w:r w:rsidRPr="007A709D">
              <w:rPr>
                <w:sz w:val="20"/>
                <w:szCs w:val="20"/>
              </w:rPr>
              <w:t xml:space="preserve"> rose for</w:t>
            </w:r>
            <w:r>
              <w:rPr>
                <w:sz w:val="20"/>
                <w:szCs w:val="20"/>
              </w:rPr>
              <w:t xml:space="preserve"> </w:t>
            </w:r>
            <w:r w:rsidRPr="007A709D">
              <w:rPr>
                <w:sz w:val="20"/>
                <w:szCs w:val="20"/>
              </w:rPr>
              <w:t xml:space="preserve">both </w:t>
            </w:r>
            <w:r>
              <w:rPr>
                <w:sz w:val="20"/>
                <w:szCs w:val="20"/>
              </w:rPr>
              <w:t>men and women</w:t>
            </w:r>
            <w:r w:rsidRPr="007A709D">
              <w:rPr>
                <w:sz w:val="20"/>
                <w:szCs w:val="20"/>
              </w:rPr>
              <w:t xml:space="preserve"> throughout this period</w:t>
            </w:r>
            <w:r>
              <w:rPr>
                <w:sz w:val="20"/>
                <w:szCs w:val="20"/>
              </w:rPr>
              <w:t>.</w:t>
            </w:r>
          </w:p>
        </w:tc>
      </w:tr>
      <w:tr w:rsidR="00A322B9" w:rsidRPr="005E28AB" w14:paraId="3A24F123" w14:textId="77777777" w:rsidTr="00A81ED7">
        <w:trPr>
          <w:cantSplit/>
          <w:trHeight w:val="284"/>
        </w:trPr>
        <w:tc>
          <w:tcPr>
            <w:tcW w:w="811" w:type="pct"/>
            <w:shd w:val="clear" w:color="auto" w:fill="F2F2F2" w:themeFill="background1" w:themeFillShade="F2"/>
            <w:vAlign w:val="center"/>
          </w:tcPr>
          <w:p w14:paraId="616CFBE3" w14:textId="77777777" w:rsidR="00A322B9" w:rsidRDefault="00A322B9" w:rsidP="00A81ED7">
            <w:pPr>
              <w:rPr>
                <w:sz w:val="20"/>
                <w:szCs w:val="20"/>
              </w:rPr>
            </w:pPr>
            <w:r>
              <w:rPr>
                <w:sz w:val="20"/>
                <w:szCs w:val="20"/>
              </w:rPr>
              <w:t>Currie et al., 2023</w:t>
            </w:r>
          </w:p>
          <w:p w14:paraId="2D080DD4" w14:textId="77777777" w:rsidR="00A322B9" w:rsidRDefault="00A322B9" w:rsidP="00A81ED7">
            <w:pPr>
              <w:rPr>
                <w:sz w:val="20"/>
                <w:szCs w:val="20"/>
              </w:rPr>
            </w:pPr>
            <w:r>
              <w:rPr>
                <w:sz w:val="20"/>
                <w:szCs w:val="20"/>
              </w:rPr>
              <w:t>Wales</w:t>
            </w:r>
          </w:p>
          <w:p w14:paraId="29075A1B" w14:textId="77777777" w:rsidR="00A322B9" w:rsidRDefault="00A322B9" w:rsidP="00A81ED7">
            <w:pPr>
              <w:rPr>
                <w:sz w:val="20"/>
                <w:szCs w:val="20"/>
              </w:rPr>
            </w:pPr>
            <w:r>
              <w:rPr>
                <w:sz w:val="20"/>
                <w:szCs w:val="20"/>
              </w:rPr>
              <w:t>2002-2020</w:t>
            </w:r>
          </w:p>
        </w:tc>
        <w:tc>
          <w:tcPr>
            <w:tcW w:w="712" w:type="pct"/>
            <w:shd w:val="clear" w:color="auto" w:fill="F2F2F2" w:themeFill="background1" w:themeFillShade="F2"/>
            <w:vAlign w:val="center"/>
          </w:tcPr>
          <w:p w14:paraId="1A187A5A" w14:textId="77777777" w:rsidR="00A322B9" w:rsidRDefault="00A322B9" w:rsidP="00A81ED7">
            <w:pPr>
              <w:rPr>
                <w:sz w:val="20"/>
                <w:szCs w:val="20"/>
              </w:rPr>
            </w:pPr>
            <w:r w:rsidRPr="005728D7">
              <w:rPr>
                <w:sz w:val="20"/>
                <w:szCs w:val="20"/>
              </w:rPr>
              <w:t>Welsh mid-year population and mortality data</w:t>
            </w:r>
            <w:r>
              <w:rPr>
                <w:sz w:val="20"/>
                <w:szCs w:val="20"/>
              </w:rPr>
              <w:t xml:space="preserve"> from Office for National Statistics</w:t>
            </w:r>
          </w:p>
        </w:tc>
        <w:tc>
          <w:tcPr>
            <w:tcW w:w="1320" w:type="pct"/>
            <w:shd w:val="clear" w:color="auto" w:fill="F2F2F2" w:themeFill="background1" w:themeFillShade="F2"/>
            <w:vAlign w:val="center"/>
          </w:tcPr>
          <w:p w14:paraId="381A9F8B" w14:textId="77777777" w:rsidR="00A322B9" w:rsidRDefault="00A322B9" w:rsidP="00A81ED7">
            <w:pPr>
              <w:rPr>
                <w:sz w:val="20"/>
                <w:szCs w:val="20"/>
              </w:rPr>
            </w:pPr>
            <w:r>
              <w:rPr>
                <w:sz w:val="20"/>
                <w:szCs w:val="20"/>
              </w:rPr>
              <w:t>Area-level</w:t>
            </w:r>
          </w:p>
          <w:p w14:paraId="706770F5" w14:textId="77777777" w:rsidR="00A322B9" w:rsidRDefault="00A322B9" w:rsidP="00A81ED7">
            <w:pPr>
              <w:rPr>
                <w:sz w:val="20"/>
                <w:szCs w:val="20"/>
              </w:rPr>
            </w:pPr>
            <w:r>
              <w:rPr>
                <w:sz w:val="20"/>
                <w:szCs w:val="20"/>
              </w:rPr>
              <w:t xml:space="preserve">Deprivation at a small area level defined by quintiles of the </w:t>
            </w:r>
            <w:r w:rsidRPr="00197853">
              <w:rPr>
                <w:sz w:val="20"/>
                <w:szCs w:val="20"/>
              </w:rPr>
              <w:t>Welsh Index of Multiple Deprivation</w:t>
            </w:r>
          </w:p>
          <w:p w14:paraId="4B65628F" w14:textId="77777777" w:rsidR="00A322B9" w:rsidRDefault="00A322B9" w:rsidP="00A81ED7">
            <w:pPr>
              <w:rPr>
                <w:sz w:val="20"/>
                <w:szCs w:val="20"/>
              </w:rPr>
            </w:pPr>
            <w:r>
              <w:rPr>
                <w:sz w:val="20"/>
                <w:szCs w:val="20"/>
              </w:rPr>
              <w:t>Life expectancy and contribution of avoidable causes of death</w:t>
            </w:r>
          </w:p>
        </w:tc>
        <w:tc>
          <w:tcPr>
            <w:tcW w:w="2156" w:type="pct"/>
            <w:shd w:val="clear" w:color="auto" w:fill="F2F2F2" w:themeFill="background1" w:themeFillShade="F2"/>
            <w:vAlign w:val="center"/>
          </w:tcPr>
          <w:p w14:paraId="0B82F606" w14:textId="77777777" w:rsidR="00A322B9" w:rsidRPr="00D20092" w:rsidRDefault="00A322B9" w:rsidP="00A81ED7">
            <w:pPr>
              <w:rPr>
                <w:sz w:val="20"/>
                <w:szCs w:val="20"/>
              </w:rPr>
            </w:pPr>
            <w:r>
              <w:rPr>
                <w:sz w:val="20"/>
                <w:szCs w:val="20"/>
              </w:rPr>
              <w:t>Life expectancy rose across all quintiles before plateauing around 2012-14. Life expectancy fell in the most deprived quintile between 2012-14 and 2018-20. Trends in absolute life expectancy inequalities between the most and least deprived 20% of areas rose overall between 2002-04 and 2018-20 among both males and females.</w:t>
            </w:r>
          </w:p>
        </w:tc>
      </w:tr>
      <w:tr w:rsidR="00A322B9" w:rsidRPr="005E28AB" w14:paraId="1FBC8459" w14:textId="77777777" w:rsidTr="00A81ED7">
        <w:trPr>
          <w:cantSplit/>
          <w:trHeight w:val="284"/>
        </w:trPr>
        <w:tc>
          <w:tcPr>
            <w:tcW w:w="811" w:type="pct"/>
            <w:vAlign w:val="center"/>
          </w:tcPr>
          <w:p w14:paraId="3643A4F5" w14:textId="77777777" w:rsidR="00A322B9" w:rsidRDefault="00A322B9" w:rsidP="00A81ED7">
            <w:pPr>
              <w:rPr>
                <w:sz w:val="20"/>
                <w:szCs w:val="20"/>
              </w:rPr>
            </w:pPr>
            <w:r>
              <w:rPr>
                <w:sz w:val="20"/>
                <w:szCs w:val="20"/>
              </w:rPr>
              <w:t>Jensen et al., 2023</w:t>
            </w:r>
          </w:p>
          <w:p w14:paraId="5C1C0B4A" w14:textId="77777777" w:rsidR="00A322B9" w:rsidRDefault="00A322B9" w:rsidP="00A81ED7">
            <w:pPr>
              <w:rPr>
                <w:sz w:val="20"/>
                <w:szCs w:val="20"/>
              </w:rPr>
            </w:pPr>
            <w:r>
              <w:rPr>
                <w:sz w:val="20"/>
                <w:szCs w:val="20"/>
              </w:rPr>
              <w:t>Denmark</w:t>
            </w:r>
          </w:p>
          <w:p w14:paraId="3AEA103E" w14:textId="77777777" w:rsidR="00A322B9" w:rsidRPr="005E28AB" w:rsidRDefault="00A322B9" w:rsidP="00A81ED7">
            <w:pPr>
              <w:rPr>
                <w:sz w:val="20"/>
                <w:szCs w:val="20"/>
              </w:rPr>
            </w:pPr>
            <w:r>
              <w:rPr>
                <w:sz w:val="20"/>
                <w:szCs w:val="20"/>
              </w:rPr>
              <w:t>1995-2019</w:t>
            </w:r>
          </w:p>
        </w:tc>
        <w:tc>
          <w:tcPr>
            <w:tcW w:w="712" w:type="pct"/>
            <w:vAlign w:val="center"/>
          </w:tcPr>
          <w:p w14:paraId="407DE5C0" w14:textId="77777777" w:rsidR="00A322B9" w:rsidRDefault="00A322B9" w:rsidP="00A81ED7">
            <w:pPr>
              <w:rPr>
                <w:sz w:val="20"/>
                <w:szCs w:val="20"/>
              </w:rPr>
            </w:pPr>
            <w:r>
              <w:rPr>
                <w:sz w:val="20"/>
                <w:szCs w:val="20"/>
              </w:rPr>
              <w:t>R</w:t>
            </w:r>
            <w:r w:rsidRPr="00F56F0D">
              <w:rPr>
                <w:sz w:val="20"/>
                <w:szCs w:val="20"/>
              </w:rPr>
              <w:t>egister-based</w:t>
            </w:r>
            <w:r>
              <w:rPr>
                <w:sz w:val="20"/>
                <w:szCs w:val="20"/>
              </w:rPr>
              <w:t xml:space="preserve"> data</w:t>
            </w:r>
          </w:p>
        </w:tc>
        <w:tc>
          <w:tcPr>
            <w:tcW w:w="1320" w:type="pct"/>
            <w:vAlign w:val="center"/>
          </w:tcPr>
          <w:p w14:paraId="38E3DEAD" w14:textId="77777777" w:rsidR="00A322B9" w:rsidRDefault="00A322B9" w:rsidP="00A81ED7">
            <w:pPr>
              <w:rPr>
                <w:sz w:val="20"/>
                <w:szCs w:val="20"/>
              </w:rPr>
            </w:pPr>
            <w:r>
              <w:rPr>
                <w:sz w:val="20"/>
                <w:szCs w:val="20"/>
              </w:rPr>
              <w:t>Individual-level</w:t>
            </w:r>
          </w:p>
          <w:p w14:paraId="18E26A37" w14:textId="77777777" w:rsidR="00A322B9" w:rsidRDefault="00A322B9" w:rsidP="00A81ED7">
            <w:pPr>
              <w:rPr>
                <w:sz w:val="20"/>
                <w:szCs w:val="20"/>
              </w:rPr>
            </w:pPr>
            <w:r w:rsidRPr="00F56F0D">
              <w:rPr>
                <w:sz w:val="20"/>
                <w:szCs w:val="20"/>
              </w:rPr>
              <w:t>Highest attained educational level used as an indicator for social position</w:t>
            </w:r>
          </w:p>
          <w:p w14:paraId="411191E1" w14:textId="77777777" w:rsidR="00A322B9" w:rsidRPr="005E28AB" w:rsidRDefault="00A322B9" w:rsidP="00A81ED7">
            <w:pPr>
              <w:rPr>
                <w:sz w:val="20"/>
                <w:szCs w:val="20"/>
              </w:rPr>
            </w:pPr>
            <w:r>
              <w:rPr>
                <w:sz w:val="20"/>
                <w:szCs w:val="20"/>
              </w:rPr>
              <w:t>All-cause mortality, smoking and alcohol-related mortality</w:t>
            </w:r>
          </w:p>
        </w:tc>
        <w:tc>
          <w:tcPr>
            <w:tcW w:w="2156" w:type="pct"/>
            <w:vAlign w:val="center"/>
          </w:tcPr>
          <w:p w14:paraId="5A162CAB" w14:textId="77777777" w:rsidR="00A322B9" w:rsidRDefault="00A322B9" w:rsidP="00A81ED7">
            <w:pPr>
              <w:rPr>
                <w:sz w:val="20"/>
                <w:szCs w:val="20"/>
              </w:rPr>
            </w:pPr>
            <w:r w:rsidRPr="00D20092">
              <w:rPr>
                <w:sz w:val="20"/>
                <w:szCs w:val="20"/>
              </w:rPr>
              <w:t>A decrease in all-cause, smoking-related and alcohol-related mortality was observed across all educational groups and among both men and women</w:t>
            </w:r>
            <w:r>
              <w:rPr>
                <w:sz w:val="20"/>
                <w:szCs w:val="20"/>
              </w:rPr>
              <w:t xml:space="preserve"> (</w:t>
            </w:r>
            <w:r w:rsidRPr="00D20092">
              <w:rPr>
                <w:sz w:val="20"/>
                <w:szCs w:val="20"/>
              </w:rPr>
              <w:t>with some exceptions</w:t>
            </w:r>
            <w:r>
              <w:rPr>
                <w:sz w:val="20"/>
                <w:szCs w:val="20"/>
              </w:rPr>
              <w:t>)</w:t>
            </w:r>
            <w:r w:rsidRPr="00D20092">
              <w:rPr>
                <w:sz w:val="20"/>
                <w:szCs w:val="20"/>
              </w:rPr>
              <w:t xml:space="preserve">. </w:t>
            </w:r>
            <w:r>
              <w:rPr>
                <w:sz w:val="20"/>
                <w:szCs w:val="20"/>
              </w:rPr>
              <w:t>D</w:t>
            </w:r>
            <w:r w:rsidRPr="00D20092">
              <w:rPr>
                <w:sz w:val="20"/>
                <w:szCs w:val="20"/>
              </w:rPr>
              <w:t>ifference between the lowest and the highest educational quartile, in all-cause, smoking-related and alcohol-related mortality rates, respectively, generally widened among both men and women.</w:t>
            </w:r>
          </w:p>
        </w:tc>
      </w:tr>
      <w:tr w:rsidR="00A322B9" w:rsidRPr="005E28AB" w14:paraId="4EBA3071" w14:textId="77777777" w:rsidTr="00A81ED7">
        <w:trPr>
          <w:cantSplit/>
          <w:trHeight w:val="284"/>
        </w:trPr>
        <w:tc>
          <w:tcPr>
            <w:tcW w:w="811" w:type="pct"/>
            <w:shd w:val="clear" w:color="auto" w:fill="F2F2F2" w:themeFill="background1" w:themeFillShade="F2"/>
            <w:vAlign w:val="center"/>
          </w:tcPr>
          <w:p w14:paraId="1E2E1736" w14:textId="77777777" w:rsidR="00A322B9" w:rsidRDefault="00A322B9" w:rsidP="00A81ED7">
            <w:pPr>
              <w:rPr>
                <w:sz w:val="20"/>
                <w:szCs w:val="20"/>
              </w:rPr>
            </w:pPr>
            <w:proofErr w:type="spellStart"/>
            <w:r>
              <w:rPr>
                <w:sz w:val="20"/>
                <w:szCs w:val="20"/>
              </w:rPr>
              <w:lastRenderedPageBreak/>
              <w:t>Lewer</w:t>
            </w:r>
            <w:proofErr w:type="spellEnd"/>
            <w:r>
              <w:rPr>
                <w:sz w:val="20"/>
                <w:szCs w:val="20"/>
              </w:rPr>
              <w:t xml:space="preserve"> et al., 2019</w:t>
            </w:r>
          </w:p>
          <w:p w14:paraId="693D3407" w14:textId="77777777" w:rsidR="00A322B9" w:rsidRDefault="00A322B9" w:rsidP="00A81ED7">
            <w:pPr>
              <w:rPr>
                <w:sz w:val="20"/>
                <w:szCs w:val="20"/>
              </w:rPr>
            </w:pPr>
            <w:r>
              <w:rPr>
                <w:sz w:val="20"/>
                <w:szCs w:val="20"/>
              </w:rPr>
              <w:t>England</w:t>
            </w:r>
          </w:p>
          <w:p w14:paraId="6C01E055" w14:textId="77777777" w:rsidR="00A322B9" w:rsidRPr="005E28AB" w:rsidRDefault="00A322B9" w:rsidP="00A81ED7">
            <w:pPr>
              <w:rPr>
                <w:sz w:val="20"/>
                <w:szCs w:val="20"/>
              </w:rPr>
            </w:pPr>
            <w:r>
              <w:rPr>
                <w:sz w:val="20"/>
                <w:szCs w:val="20"/>
              </w:rPr>
              <w:t>2003-2018</w:t>
            </w:r>
          </w:p>
        </w:tc>
        <w:tc>
          <w:tcPr>
            <w:tcW w:w="712" w:type="pct"/>
            <w:shd w:val="clear" w:color="auto" w:fill="F2F2F2" w:themeFill="background1" w:themeFillShade="F2"/>
            <w:vAlign w:val="center"/>
          </w:tcPr>
          <w:p w14:paraId="1F081D62" w14:textId="77777777" w:rsidR="00A322B9" w:rsidRDefault="00A322B9" w:rsidP="00A81ED7">
            <w:pPr>
              <w:rPr>
                <w:sz w:val="20"/>
                <w:szCs w:val="20"/>
              </w:rPr>
            </w:pPr>
            <w:r w:rsidRPr="004E3237">
              <w:rPr>
                <w:sz w:val="20"/>
                <w:szCs w:val="20"/>
              </w:rPr>
              <w:t>UK Office for National Statistics</w:t>
            </w:r>
          </w:p>
        </w:tc>
        <w:tc>
          <w:tcPr>
            <w:tcW w:w="1320" w:type="pct"/>
            <w:shd w:val="clear" w:color="auto" w:fill="F2F2F2" w:themeFill="background1" w:themeFillShade="F2"/>
            <w:vAlign w:val="center"/>
          </w:tcPr>
          <w:p w14:paraId="155BFFDC" w14:textId="77777777" w:rsidR="00A322B9" w:rsidRDefault="00A322B9" w:rsidP="00A81ED7">
            <w:pPr>
              <w:rPr>
                <w:sz w:val="20"/>
                <w:szCs w:val="20"/>
              </w:rPr>
            </w:pPr>
            <w:r>
              <w:rPr>
                <w:sz w:val="20"/>
                <w:szCs w:val="20"/>
              </w:rPr>
              <w:t>Area- level</w:t>
            </w:r>
          </w:p>
          <w:p w14:paraId="05736ACD" w14:textId="77777777" w:rsidR="00A322B9" w:rsidRDefault="00A322B9" w:rsidP="00A81ED7">
            <w:pPr>
              <w:rPr>
                <w:sz w:val="20"/>
                <w:szCs w:val="20"/>
              </w:rPr>
            </w:pPr>
            <w:r>
              <w:rPr>
                <w:sz w:val="20"/>
                <w:szCs w:val="20"/>
              </w:rPr>
              <w:t>Deprivation at a local authority level defined by deciles of the Index of Multiple Deprivation</w:t>
            </w:r>
          </w:p>
          <w:p w14:paraId="37D4DFB6" w14:textId="77777777" w:rsidR="00A322B9" w:rsidRPr="005E28AB" w:rsidRDefault="00A322B9" w:rsidP="00A81ED7">
            <w:pPr>
              <w:rPr>
                <w:sz w:val="20"/>
                <w:szCs w:val="20"/>
              </w:rPr>
            </w:pPr>
            <w:r>
              <w:rPr>
                <w:sz w:val="20"/>
                <w:szCs w:val="20"/>
              </w:rPr>
              <w:t>M</w:t>
            </w:r>
            <w:r w:rsidRPr="000E5CE1">
              <w:rPr>
                <w:sz w:val="20"/>
                <w:szCs w:val="20"/>
              </w:rPr>
              <w:t>ortality attributable to socioeconomic inequality</w:t>
            </w:r>
            <w:r>
              <w:rPr>
                <w:sz w:val="20"/>
                <w:szCs w:val="20"/>
              </w:rPr>
              <w:t xml:space="preserve"> and YLLs to inequality</w:t>
            </w:r>
          </w:p>
        </w:tc>
        <w:tc>
          <w:tcPr>
            <w:tcW w:w="2156" w:type="pct"/>
            <w:shd w:val="clear" w:color="auto" w:fill="F2F2F2" w:themeFill="background1" w:themeFillShade="F2"/>
            <w:vAlign w:val="center"/>
          </w:tcPr>
          <w:p w14:paraId="7C972D85" w14:textId="77777777" w:rsidR="00A322B9" w:rsidRDefault="00A322B9" w:rsidP="00A81ED7">
            <w:pPr>
              <w:rPr>
                <w:sz w:val="20"/>
                <w:szCs w:val="20"/>
              </w:rPr>
            </w:pPr>
            <w:r>
              <w:rPr>
                <w:sz w:val="20"/>
                <w:szCs w:val="20"/>
              </w:rPr>
              <w:t xml:space="preserve">Premature mortality rates decreased for men and women and in all deprivation groups. </w:t>
            </w:r>
            <w:r w:rsidRPr="00406AD7">
              <w:rPr>
                <w:sz w:val="20"/>
                <w:szCs w:val="20"/>
              </w:rPr>
              <w:t>Reductions in absolute mortality rates were greater for more deprived groups</w:t>
            </w:r>
            <w:r>
              <w:rPr>
                <w:sz w:val="20"/>
                <w:szCs w:val="20"/>
              </w:rPr>
              <w:t>. R</w:t>
            </w:r>
            <w:r w:rsidRPr="00406AD7">
              <w:rPr>
                <w:sz w:val="20"/>
                <w:szCs w:val="20"/>
              </w:rPr>
              <w:t>elative reductions were greater for less deprived groups</w:t>
            </w:r>
            <w:r>
              <w:rPr>
                <w:sz w:val="20"/>
                <w:szCs w:val="20"/>
              </w:rPr>
              <w:t xml:space="preserve"> leading to an increase in mortality attributable to socioeconomic inequality. Areas of higher deprivation typically had higher values of mortality attributable to socioeconomic inequality.</w:t>
            </w:r>
          </w:p>
        </w:tc>
      </w:tr>
      <w:tr w:rsidR="00A322B9" w:rsidRPr="005E28AB" w14:paraId="49581EA3" w14:textId="77777777" w:rsidTr="00A81ED7">
        <w:trPr>
          <w:cantSplit/>
          <w:trHeight w:val="284"/>
        </w:trPr>
        <w:tc>
          <w:tcPr>
            <w:tcW w:w="811" w:type="pct"/>
            <w:vAlign w:val="center"/>
          </w:tcPr>
          <w:p w14:paraId="57E132E5" w14:textId="77777777" w:rsidR="00A322B9" w:rsidRDefault="00A322B9" w:rsidP="00A81ED7">
            <w:pPr>
              <w:rPr>
                <w:sz w:val="20"/>
                <w:szCs w:val="20"/>
              </w:rPr>
            </w:pPr>
            <w:proofErr w:type="spellStart"/>
            <w:r w:rsidRPr="005E28AB">
              <w:rPr>
                <w:sz w:val="20"/>
                <w:szCs w:val="20"/>
              </w:rPr>
              <w:t>Otavova</w:t>
            </w:r>
            <w:proofErr w:type="spellEnd"/>
            <w:r w:rsidRPr="005E28AB">
              <w:rPr>
                <w:sz w:val="20"/>
                <w:szCs w:val="20"/>
              </w:rPr>
              <w:t xml:space="preserve"> et al., 2024</w:t>
            </w:r>
          </w:p>
          <w:p w14:paraId="756A5ED8" w14:textId="77777777" w:rsidR="00A322B9" w:rsidRPr="005E28AB" w:rsidRDefault="00A322B9" w:rsidP="00A81ED7">
            <w:pPr>
              <w:rPr>
                <w:sz w:val="20"/>
                <w:szCs w:val="20"/>
              </w:rPr>
            </w:pPr>
            <w:r w:rsidRPr="005E28AB">
              <w:rPr>
                <w:sz w:val="20"/>
                <w:szCs w:val="20"/>
              </w:rPr>
              <w:t>Belgium</w:t>
            </w:r>
          </w:p>
          <w:p w14:paraId="0CC574A4" w14:textId="77777777" w:rsidR="00A322B9" w:rsidRPr="005E28AB" w:rsidRDefault="00A322B9" w:rsidP="00A81ED7">
            <w:pPr>
              <w:rPr>
                <w:sz w:val="20"/>
                <w:szCs w:val="20"/>
              </w:rPr>
            </w:pPr>
            <w:r w:rsidRPr="005E28AB">
              <w:rPr>
                <w:sz w:val="20"/>
                <w:szCs w:val="20"/>
              </w:rPr>
              <w:t>1998-2019</w:t>
            </w:r>
          </w:p>
        </w:tc>
        <w:tc>
          <w:tcPr>
            <w:tcW w:w="712" w:type="pct"/>
            <w:vAlign w:val="center"/>
          </w:tcPr>
          <w:p w14:paraId="0E1867E9" w14:textId="77777777" w:rsidR="00A322B9" w:rsidRDefault="00A322B9" w:rsidP="00A81ED7">
            <w:pPr>
              <w:rPr>
                <w:sz w:val="20"/>
                <w:szCs w:val="20"/>
              </w:rPr>
            </w:pPr>
            <w:r>
              <w:rPr>
                <w:sz w:val="20"/>
                <w:szCs w:val="20"/>
              </w:rPr>
              <w:t>I</w:t>
            </w:r>
            <w:r w:rsidRPr="00EE3155">
              <w:rPr>
                <w:sz w:val="20"/>
                <w:szCs w:val="20"/>
              </w:rPr>
              <w:t>ndividual-level all-cause and</w:t>
            </w:r>
            <w:r>
              <w:rPr>
                <w:sz w:val="20"/>
                <w:szCs w:val="20"/>
              </w:rPr>
              <w:t xml:space="preserve"> </w:t>
            </w:r>
            <w:r w:rsidRPr="00EE3155">
              <w:rPr>
                <w:sz w:val="20"/>
                <w:szCs w:val="20"/>
              </w:rPr>
              <w:t>cause-specific mortality data from the Civil</w:t>
            </w:r>
            <w:r>
              <w:rPr>
                <w:sz w:val="20"/>
                <w:szCs w:val="20"/>
              </w:rPr>
              <w:t xml:space="preserve"> </w:t>
            </w:r>
            <w:r w:rsidRPr="00EE3155">
              <w:rPr>
                <w:sz w:val="20"/>
                <w:szCs w:val="20"/>
              </w:rPr>
              <w:t>Registry</w:t>
            </w:r>
          </w:p>
        </w:tc>
        <w:tc>
          <w:tcPr>
            <w:tcW w:w="1320" w:type="pct"/>
            <w:vAlign w:val="center"/>
          </w:tcPr>
          <w:p w14:paraId="59570F30" w14:textId="77777777" w:rsidR="00A322B9" w:rsidRDefault="00A322B9" w:rsidP="00A81ED7">
            <w:pPr>
              <w:rPr>
                <w:sz w:val="20"/>
                <w:szCs w:val="20"/>
              </w:rPr>
            </w:pPr>
            <w:r>
              <w:rPr>
                <w:sz w:val="20"/>
                <w:szCs w:val="20"/>
              </w:rPr>
              <w:t>Area-level</w:t>
            </w:r>
          </w:p>
          <w:p w14:paraId="7BEE9174" w14:textId="77777777" w:rsidR="00A322B9" w:rsidRDefault="00A322B9" w:rsidP="00A81ED7">
            <w:pPr>
              <w:rPr>
                <w:sz w:val="20"/>
                <w:szCs w:val="20"/>
              </w:rPr>
            </w:pPr>
            <w:r w:rsidRPr="005E28AB">
              <w:rPr>
                <w:sz w:val="20"/>
                <w:szCs w:val="20"/>
              </w:rPr>
              <w:t>Geographical areas assigned a deprivation dec</w:t>
            </w:r>
            <w:r>
              <w:rPr>
                <w:sz w:val="20"/>
                <w:szCs w:val="20"/>
              </w:rPr>
              <w:t xml:space="preserve">ile based on </w:t>
            </w:r>
            <w:r w:rsidRPr="005E28AB">
              <w:rPr>
                <w:sz w:val="20"/>
                <w:szCs w:val="20"/>
              </w:rPr>
              <w:t>Belgian Indices of Multiple Deprivation</w:t>
            </w:r>
          </w:p>
          <w:p w14:paraId="0A4F1A5C" w14:textId="77777777" w:rsidR="00A322B9" w:rsidRPr="005E28AB" w:rsidRDefault="00A322B9" w:rsidP="00A81ED7">
            <w:pPr>
              <w:rPr>
                <w:sz w:val="20"/>
                <w:szCs w:val="20"/>
              </w:rPr>
            </w:pPr>
            <w:r w:rsidRPr="00601C4B">
              <w:rPr>
                <w:sz w:val="20"/>
                <w:szCs w:val="20"/>
              </w:rPr>
              <w:t>Age-standardized premature mortality rates</w:t>
            </w:r>
            <w:r>
              <w:rPr>
                <w:sz w:val="20"/>
                <w:szCs w:val="20"/>
              </w:rPr>
              <w:t>, population attributable fractions and potential YLLs</w:t>
            </w:r>
          </w:p>
        </w:tc>
        <w:tc>
          <w:tcPr>
            <w:tcW w:w="2156" w:type="pct"/>
            <w:vAlign w:val="center"/>
          </w:tcPr>
          <w:p w14:paraId="17B301C8" w14:textId="77777777" w:rsidR="00A322B9" w:rsidRPr="00601C4B" w:rsidRDefault="00A322B9" w:rsidP="00A81ED7">
            <w:pPr>
              <w:rPr>
                <w:sz w:val="20"/>
                <w:szCs w:val="20"/>
              </w:rPr>
            </w:pPr>
            <w:r w:rsidRPr="00D20092">
              <w:rPr>
                <w:sz w:val="20"/>
                <w:szCs w:val="20"/>
              </w:rPr>
              <w:t xml:space="preserve">Premature mortality rates declined over time. Comparing overall premature mortality rates in </w:t>
            </w:r>
            <w:r>
              <w:rPr>
                <w:sz w:val="20"/>
                <w:szCs w:val="20"/>
              </w:rPr>
              <w:t xml:space="preserve">the periods </w:t>
            </w:r>
            <w:r w:rsidRPr="00D20092">
              <w:rPr>
                <w:sz w:val="20"/>
                <w:szCs w:val="20"/>
              </w:rPr>
              <w:t>1998–2003 with 2014–2019, show</w:t>
            </w:r>
            <w:r>
              <w:rPr>
                <w:sz w:val="20"/>
                <w:szCs w:val="20"/>
              </w:rPr>
              <w:t>ed</w:t>
            </w:r>
            <w:r w:rsidRPr="00D20092">
              <w:rPr>
                <w:sz w:val="20"/>
                <w:szCs w:val="20"/>
              </w:rPr>
              <w:t xml:space="preserve"> they have decreased over time in both sexes and across all deciles of socioeconomic deprivation. </w:t>
            </w:r>
            <w:r>
              <w:rPr>
                <w:sz w:val="20"/>
                <w:szCs w:val="20"/>
              </w:rPr>
              <w:t>The</w:t>
            </w:r>
            <w:r w:rsidRPr="00D20092">
              <w:rPr>
                <w:sz w:val="20"/>
                <w:szCs w:val="20"/>
              </w:rPr>
              <w:t xml:space="preserve"> relative difference in premature mortality</w:t>
            </w:r>
            <w:r>
              <w:rPr>
                <w:sz w:val="20"/>
                <w:szCs w:val="20"/>
              </w:rPr>
              <w:t xml:space="preserve"> between deciles</w:t>
            </w:r>
            <w:r w:rsidRPr="00D20092">
              <w:rPr>
                <w:sz w:val="20"/>
                <w:szCs w:val="20"/>
              </w:rPr>
              <w:t xml:space="preserve"> has increased due to a faster </w:t>
            </w:r>
            <w:r>
              <w:rPr>
                <w:sz w:val="20"/>
                <w:szCs w:val="20"/>
              </w:rPr>
              <w:t>decline</w:t>
            </w:r>
            <w:r w:rsidRPr="00D20092">
              <w:rPr>
                <w:sz w:val="20"/>
                <w:szCs w:val="20"/>
              </w:rPr>
              <w:t xml:space="preserve"> in the least compared to the most deprived areas. The relative difference between the most and least deprived areas increased in men and women by </w:t>
            </w:r>
            <w:r>
              <w:rPr>
                <w:sz w:val="20"/>
                <w:szCs w:val="20"/>
              </w:rPr>
              <w:t>approx.</w:t>
            </w:r>
            <w:r w:rsidRPr="00D20092">
              <w:rPr>
                <w:sz w:val="20"/>
                <w:szCs w:val="20"/>
              </w:rPr>
              <w:t xml:space="preserve"> 8%.</w:t>
            </w:r>
          </w:p>
        </w:tc>
      </w:tr>
      <w:tr w:rsidR="00A322B9" w:rsidRPr="005E28AB" w14:paraId="2F2B189F" w14:textId="77777777" w:rsidTr="00A81ED7">
        <w:trPr>
          <w:cantSplit/>
          <w:trHeight w:val="284"/>
        </w:trPr>
        <w:tc>
          <w:tcPr>
            <w:tcW w:w="811" w:type="pct"/>
            <w:shd w:val="clear" w:color="auto" w:fill="F2F2F2" w:themeFill="background1" w:themeFillShade="F2"/>
            <w:vAlign w:val="center"/>
          </w:tcPr>
          <w:p w14:paraId="549C29E8" w14:textId="77777777" w:rsidR="00A322B9" w:rsidRDefault="00A322B9" w:rsidP="00A81ED7">
            <w:pPr>
              <w:rPr>
                <w:sz w:val="20"/>
                <w:szCs w:val="20"/>
              </w:rPr>
            </w:pPr>
            <w:proofErr w:type="spellStart"/>
            <w:r>
              <w:rPr>
                <w:sz w:val="20"/>
                <w:szCs w:val="20"/>
              </w:rPr>
              <w:t>Petrelli</w:t>
            </w:r>
            <w:proofErr w:type="spellEnd"/>
            <w:r>
              <w:rPr>
                <w:sz w:val="20"/>
                <w:szCs w:val="20"/>
              </w:rPr>
              <w:t xml:space="preserve"> et al., 2024</w:t>
            </w:r>
          </w:p>
          <w:p w14:paraId="06008931" w14:textId="77777777" w:rsidR="00A322B9" w:rsidRDefault="00A322B9" w:rsidP="00A81ED7">
            <w:pPr>
              <w:rPr>
                <w:sz w:val="20"/>
                <w:szCs w:val="20"/>
              </w:rPr>
            </w:pPr>
            <w:r>
              <w:rPr>
                <w:sz w:val="20"/>
                <w:szCs w:val="20"/>
              </w:rPr>
              <w:t>Italy</w:t>
            </w:r>
          </w:p>
          <w:p w14:paraId="5D9BE375" w14:textId="77777777" w:rsidR="00A322B9" w:rsidRPr="005E28AB" w:rsidRDefault="00A322B9" w:rsidP="00A81ED7">
            <w:pPr>
              <w:rPr>
                <w:sz w:val="20"/>
                <w:szCs w:val="20"/>
              </w:rPr>
            </w:pPr>
            <w:r>
              <w:rPr>
                <w:sz w:val="20"/>
                <w:szCs w:val="20"/>
              </w:rPr>
              <w:t>2012-2019</w:t>
            </w:r>
          </w:p>
        </w:tc>
        <w:tc>
          <w:tcPr>
            <w:tcW w:w="712" w:type="pct"/>
            <w:shd w:val="clear" w:color="auto" w:fill="F2F2F2" w:themeFill="background1" w:themeFillShade="F2"/>
            <w:vAlign w:val="center"/>
          </w:tcPr>
          <w:p w14:paraId="4071E45C" w14:textId="77777777" w:rsidR="00A322B9" w:rsidRDefault="00A322B9" w:rsidP="00A81ED7">
            <w:pPr>
              <w:rPr>
                <w:sz w:val="20"/>
                <w:szCs w:val="20"/>
              </w:rPr>
            </w:pPr>
            <w:r w:rsidRPr="006620FF">
              <w:rPr>
                <w:sz w:val="20"/>
                <w:szCs w:val="20"/>
              </w:rPr>
              <w:t>2011 Census of Population and Housing</w:t>
            </w:r>
          </w:p>
          <w:p w14:paraId="6C5263A1" w14:textId="77777777" w:rsidR="00A322B9" w:rsidRDefault="00A322B9" w:rsidP="00A81ED7">
            <w:pPr>
              <w:rPr>
                <w:sz w:val="20"/>
                <w:szCs w:val="20"/>
              </w:rPr>
            </w:pPr>
            <w:r>
              <w:rPr>
                <w:sz w:val="20"/>
                <w:szCs w:val="20"/>
              </w:rPr>
              <w:t>Register-based data</w:t>
            </w:r>
          </w:p>
        </w:tc>
        <w:tc>
          <w:tcPr>
            <w:tcW w:w="1320" w:type="pct"/>
            <w:shd w:val="clear" w:color="auto" w:fill="F2F2F2" w:themeFill="background1" w:themeFillShade="F2"/>
            <w:vAlign w:val="center"/>
          </w:tcPr>
          <w:p w14:paraId="2FC4F8E5" w14:textId="77777777" w:rsidR="00A322B9" w:rsidRDefault="00A322B9" w:rsidP="00A81ED7">
            <w:pPr>
              <w:rPr>
                <w:sz w:val="20"/>
                <w:szCs w:val="20"/>
              </w:rPr>
            </w:pPr>
            <w:r>
              <w:rPr>
                <w:sz w:val="20"/>
                <w:szCs w:val="20"/>
              </w:rPr>
              <w:t>Individual-level</w:t>
            </w:r>
          </w:p>
          <w:p w14:paraId="328D4820" w14:textId="77777777" w:rsidR="00A322B9" w:rsidRDefault="00A322B9" w:rsidP="00A81ED7">
            <w:pPr>
              <w:rPr>
                <w:sz w:val="20"/>
                <w:szCs w:val="20"/>
              </w:rPr>
            </w:pPr>
            <w:r>
              <w:rPr>
                <w:sz w:val="20"/>
                <w:szCs w:val="20"/>
              </w:rPr>
              <w:t>Education level as a proxy of socioeconomic status</w:t>
            </w:r>
          </w:p>
          <w:p w14:paraId="7114D2C8" w14:textId="77777777" w:rsidR="00A322B9" w:rsidRPr="005E28AB" w:rsidRDefault="00A322B9" w:rsidP="00A81ED7">
            <w:pPr>
              <w:rPr>
                <w:sz w:val="20"/>
                <w:szCs w:val="20"/>
              </w:rPr>
            </w:pPr>
            <w:r>
              <w:rPr>
                <w:sz w:val="20"/>
                <w:szCs w:val="20"/>
              </w:rPr>
              <w:t>Preventable and treatable mortality</w:t>
            </w:r>
          </w:p>
        </w:tc>
        <w:tc>
          <w:tcPr>
            <w:tcW w:w="2156" w:type="pct"/>
            <w:shd w:val="clear" w:color="auto" w:fill="F2F2F2" w:themeFill="background1" w:themeFillShade="F2"/>
            <w:vAlign w:val="center"/>
          </w:tcPr>
          <w:p w14:paraId="46E736B8" w14:textId="77777777" w:rsidR="00A322B9" w:rsidRDefault="00A322B9" w:rsidP="00A81ED7">
            <w:pPr>
              <w:rPr>
                <w:sz w:val="20"/>
                <w:szCs w:val="20"/>
              </w:rPr>
            </w:pPr>
            <w:r>
              <w:rPr>
                <w:sz w:val="20"/>
                <w:szCs w:val="20"/>
              </w:rPr>
              <w:t>Observed a</w:t>
            </w:r>
            <w:r w:rsidRPr="00297C2D">
              <w:rPr>
                <w:sz w:val="20"/>
                <w:szCs w:val="20"/>
              </w:rPr>
              <w:t xml:space="preserve">n inverse trend </w:t>
            </w:r>
            <w:r>
              <w:rPr>
                <w:sz w:val="20"/>
                <w:szCs w:val="20"/>
              </w:rPr>
              <w:t>in age-standardised</w:t>
            </w:r>
            <w:r w:rsidRPr="00297C2D">
              <w:rPr>
                <w:sz w:val="20"/>
                <w:szCs w:val="20"/>
              </w:rPr>
              <w:t xml:space="preserve"> mortality</w:t>
            </w:r>
            <w:r>
              <w:rPr>
                <w:sz w:val="20"/>
                <w:szCs w:val="20"/>
              </w:rPr>
              <w:t xml:space="preserve"> rates </w:t>
            </w:r>
            <w:r w:rsidRPr="00297C2D">
              <w:rPr>
                <w:sz w:val="20"/>
                <w:szCs w:val="20"/>
              </w:rPr>
              <w:t xml:space="preserve">by education level for preventable, treatable, and non-avoidable causes of death </w:t>
            </w:r>
            <w:r>
              <w:rPr>
                <w:sz w:val="20"/>
                <w:szCs w:val="20"/>
              </w:rPr>
              <w:t>among</w:t>
            </w:r>
            <w:r w:rsidRPr="00297C2D">
              <w:rPr>
                <w:sz w:val="20"/>
                <w:szCs w:val="20"/>
              </w:rPr>
              <w:t xml:space="preserve"> both males</w:t>
            </w:r>
            <w:r>
              <w:rPr>
                <w:sz w:val="20"/>
                <w:szCs w:val="20"/>
              </w:rPr>
              <w:t xml:space="preserve"> </w:t>
            </w:r>
            <w:r w:rsidRPr="00297C2D">
              <w:rPr>
                <w:sz w:val="20"/>
                <w:szCs w:val="20"/>
              </w:rPr>
              <w:t>and females</w:t>
            </w:r>
          </w:p>
        </w:tc>
      </w:tr>
      <w:tr w:rsidR="00A322B9" w:rsidRPr="005E28AB" w14:paraId="30386E71" w14:textId="77777777" w:rsidTr="00A81ED7">
        <w:trPr>
          <w:cantSplit/>
          <w:trHeight w:val="284"/>
        </w:trPr>
        <w:tc>
          <w:tcPr>
            <w:tcW w:w="811" w:type="pct"/>
            <w:vAlign w:val="center"/>
          </w:tcPr>
          <w:p w14:paraId="235C5532" w14:textId="77777777" w:rsidR="00A322B9" w:rsidRDefault="00A322B9" w:rsidP="00A81ED7">
            <w:pPr>
              <w:rPr>
                <w:sz w:val="20"/>
                <w:szCs w:val="20"/>
              </w:rPr>
            </w:pPr>
            <w:r>
              <w:rPr>
                <w:sz w:val="20"/>
                <w:szCs w:val="20"/>
              </w:rPr>
              <w:t>Seaman et al., 2019</w:t>
            </w:r>
          </w:p>
          <w:p w14:paraId="283D12F1" w14:textId="77777777" w:rsidR="00A322B9" w:rsidRDefault="00A322B9" w:rsidP="00A81ED7">
            <w:pPr>
              <w:rPr>
                <w:sz w:val="20"/>
                <w:szCs w:val="20"/>
              </w:rPr>
            </w:pPr>
            <w:r>
              <w:rPr>
                <w:sz w:val="20"/>
                <w:szCs w:val="20"/>
              </w:rPr>
              <w:t>Scotland</w:t>
            </w:r>
          </w:p>
          <w:p w14:paraId="4A0C6EBB" w14:textId="77777777" w:rsidR="00A322B9" w:rsidRPr="005E28AB" w:rsidRDefault="00A322B9" w:rsidP="00A81ED7">
            <w:pPr>
              <w:rPr>
                <w:sz w:val="20"/>
                <w:szCs w:val="20"/>
              </w:rPr>
            </w:pPr>
            <w:r>
              <w:rPr>
                <w:sz w:val="20"/>
                <w:szCs w:val="20"/>
              </w:rPr>
              <w:t>1981-2011</w:t>
            </w:r>
          </w:p>
        </w:tc>
        <w:tc>
          <w:tcPr>
            <w:tcW w:w="712" w:type="pct"/>
            <w:vAlign w:val="center"/>
          </w:tcPr>
          <w:p w14:paraId="5A00EB33" w14:textId="77777777" w:rsidR="00A322B9" w:rsidRDefault="00A322B9" w:rsidP="00A81ED7">
            <w:pPr>
              <w:rPr>
                <w:sz w:val="20"/>
                <w:szCs w:val="20"/>
              </w:rPr>
            </w:pPr>
            <w:r>
              <w:rPr>
                <w:sz w:val="20"/>
                <w:szCs w:val="20"/>
              </w:rPr>
              <w:t>I</w:t>
            </w:r>
            <w:r w:rsidRPr="00757D3D">
              <w:rPr>
                <w:sz w:val="20"/>
                <w:szCs w:val="20"/>
              </w:rPr>
              <w:t>ndividual level death records and census population estimates</w:t>
            </w:r>
          </w:p>
        </w:tc>
        <w:tc>
          <w:tcPr>
            <w:tcW w:w="1320" w:type="pct"/>
            <w:vAlign w:val="center"/>
          </w:tcPr>
          <w:p w14:paraId="704BF99D" w14:textId="77777777" w:rsidR="00A322B9" w:rsidRDefault="00A322B9" w:rsidP="00A81ED7">
            <w:pPr>
              <w:rPr>
                <w:sz w:val="20"/>
                <w:szCs w:val="20"/>
              </w:rPr>
            </w:pPr>
            <w:r>
              <w:rPr>
                <w:sz w:val="20"/>
                <w:szCs w:val="20"/>
              </w:rPr>
              <w:t>Area-level</w:t>
            </w:r>
          </w:p>
          <w:p w14:paraId="2DB3E011" w14:textId="77777777" w:rsidR="00A322B9" w:rsidRDefault="00A322B9" w:rsidP="00A81ED7">
            <w:pPr>
              <w:rPr>
                <w:sz w:val="20"/>
                <w:szCs w:val="20"/>
              </w:rPr>
            </w:pPr>
            <w:r>
              <w:rPr>
                <w:sz w:val="20"/>
                <w:szCs w:val="20"/>
              </w:rPr>
              <w:t>Postcode sectors assigned to quintiles of socioeconomic deprivation based on Carstairs score</w:t>
            </w:r>
          </w:p>
          <w:p w14:paraId="68A7B288" w14:textId="77777777" w:rsidR="00A322B9" w:rsidRPr="005E28AB" w:rsidRDefault="00A322B9" w:rsidP="00A81ED7">
            <w:pPr>
              <w:rPr>
                <w:sz w:val="20"/>
                <w:szCs w:val="20"/>
              </w:rPr>
            </w:pPr>
            <w:r>
              <w:rPr>
                <w:sz w:val="20"/>
                <w:szCs w:val="20"/>
              </w:rPr>
              <w:t xml:space="preserve">Cause-specific mortality and </w:t>
            </w:r>
            <w:r w:rsidRPr="00D36643">
              <w:rPr>
                <w:sz w:val="20"/>
                <w:szCs w:val="20"/>
              </w:rPr>
              <w:t>lifespan variation</w:t>
            </w:r>
          </w:p>
        </w:tc>
        <w:tc>
          <w:tcPr>
            <w:tcW w:w="2156" w:type="pct"/>
            <w:vAlign w:val="center"/>
          </w:tcPr>
          <w:p w14:paraId="0478FAC1" w14:textId="77777777" w:rsidR="00A322B9" w:rsidRDefault="00A322B9" w:rsidP="00A81ED7">
            <w:pPr>
              <w:rPr>
                <w:sz w:val="20"/>
                <w:szCs w:val="20"/>
              </w:rPr>
            </w:pPr>
            <w:r>
              <w:rPr>
                <w:sz w:val="20"/>
                <w:szCs w:val="20"/>
              </w:rPr>
              <w:t xml:space="preserve">Differences in lifespan variation increased between deprivation quintiles over the period and the socioeconomic gradient for lifespan variation has steepened over time. </w:t>
            </w:r>
            <w:r w:rsidRPr="0098077B">
              <w:rPr>
                <w:sz w:val="20"/>
                <w:szCs w:val="20"/>
              </w:rPr>
              <w:t>Males from the most deprived quintile lagged further behind the national average and contributed to the steepening gradient. Females from the most deprived quintile were converging toward the national average and contributed to a decrease in the gradient.</w:t>
            </w:r>
            <w:r>
              <w:rPr>
                <w:sz w:val="20"/>
                <w:szCs w:val="20"/>
              </w:rPr>
              <w:t xml:space="preserve"> </w:t>
            </w:r>
            <w:r w:rsidRPr="0098077B">
              <w:rPr>
                <w:sz w:val="20"/>
                <w:szCs w:val="20"/>
              </w:rPr>
              <w:t>Males and females from the least deprived areas diverged away from the national lifespan variation average</w:t>
            </w:r>
            <w:r>
              <w:rPr>
                <w:sz w:val="20"/>
                <w:szCs w:val="20"/>
              </w:rPr>
              <w:t>.</w:t>
            </w:r>
          </w:p>
        </w:tc>
      </w:tr>
      <w:tr w:rsidR="00A322B9" w:rsidRPr="005E28AB" w14:paraId="5047EA93" w14:textId="77777777" w:rsidTr="00A81ED7">
        <w:trPr>
          <w:cantSplit/>
          <w:trHeight w:val="284"/>
        </w:trPr>
        <w:tc>
          <w:tcPr>
            <w:tcW w:w="811" w:type="pct"/>
            <w:shd w:val="clear" w:color="auto" w:fill="F2F2F2" w:themeFill="background1" w:themeFillShade="F2"/>
            <w:vAlign w:val="center"/>
          </w:tcPr>
          <w:p w14:paraId="7FF1C4F5" w14:textId="77777777" w:rsidR="00A322B9" w:rsidRDefault="00A322B9" w:rsidP="00A81ED7">
            <w:pPr>
              <w:rPr>
                <w:sz w:val="20"/>
                <w:szCs w:val="20"/>
              </w:rPr>
            </w:pPr>
            <w:r>
              <w:rPr>
                <w:sz w:val="20"/>
                <w:szCs w:val="20"/>
              </w:rPr>
              <w:lastRenderedPageBreak/>
              <w:t>Shahidi et al., 2020</w:t>
            </w:r>
          </w:p>
          <w:p w14:paraId="791DD805" w14:textId="77777777" w:rsidR="00A322B9" w:rsidRDefault="00A322B9" w:rsidP="00A81ED7">
            <w:pPr>
              <w:rPr>
                <w:sz w:val="20"/>
                <w:szCs w:val="20"/>
              </w:rPr>
            </w:pPr>
            <w:r>
              <w:rPr>
                <w:sz w:val="20"/>
                <w:szCs w:val="20"/>
              </w:rPr>
              <w:t>Canada</w:t>
            </w:r>
          </w:p>
          <w:p w14:paraId="08F5431D" w14:textId="77777777" w:rsidR="00A322B9" w:rsidRDefault="00A322B9" w:rsidP="00A81ED7">
            <w:pPr>
              <w:rPr>
                <w:sz w:val="20"/>
                <w:szCs w:val="20"/>
              </w:rPr>
            </w:pPr>
            <w:r>
              <w:rPr>
                <w:sz w:val="20"/>
                <w:szCs w:val="20"/>
              </w:rPr>
              <w:t>1991-2016</w:t>
            </w:r>
          </w:p>
        </w:tc>
        <w:tc>
          <w:tcPr>
            <w:tcW w:w="712" w:type="pct"/>
            <w:shd w:val="clear" w:color="auto" w:fill="F2F2F2" w:themeFill="background1" w:themeFillShade="F2"/>
            <w:vAlign w:val="center"/>
          </w:tcPr>
          <w:p w14:paraId="441C566C" w14:textId="77777777" w:rsidR="00A322B9" w:rsidRDefault="00A322B9" w:rsidP="00A81ED7">
            <w:pPr>
              <w:rPr>
                <w:sz w:val="20"/>
                <w:szCs w:val="20"/>
              </w:rPr>
            </w:pPr>
            <w:r w:rsidRPr="00B91CFF">
              <w:rPr>
                <w:sz w:val="20"/>
                <w:szCs w:val="20"/>
              </w:rPr>
              <w:t xml:space="preserve">1991, 1996, 2001, 2006 </w:t>
            </w:r>
            <w:r>
              <w:rPr>
                <w:sz w:val="20"/>
                <w:szCs w:val="20"/>
              </w:rPr>
              <w:t>&amp;</w:t>
            </w:r>
            <w:r w:rsidRPr="00B91CFF">
              <w:rPr>
                <w:sz w:val="20"/>
                <w:szCs w:val="20"/>
              </w:rPr>
              <w:t xml:space="preserve"> 2011 Canadian Census Health and Environment Cohorts</w:t>
            </w:r>
            <w:r>
              <w:rPr>
                <w:sz w:val="20"/>
                <w:szCs w:val="20"/>
              </w:rPr>
              <w:t xml:space="preserve"> linked to the </w:t>
            </w:r>
            <w:r w:rsidRPr="003534B8">
              <w:rPr>
                <w:sz w:val="20"/>
                <w:szCs w:val="20"/>
              </w:rPr>
              <w:t>Canadian Mortality Database</w:t>
            </w:r>
          </w:p>
        </w:tc>
        <w:tc>
          <w:tcPr>
            <w:tcW w:w="1320" w:type="pct"/>
            <w:shd w:val="clear" w:color="auto" w:fill="F2F2F2" w:themeFill="background1" w:themeFillShade="F2"/>
            <w:vAlign w:val="center"/>
          </w:tcPr>
          <w:p w14:paraId="0E2C517E" w14:textId="77777777" w:rsidR="00A322B9" w:rsidRDefault="00A322B9" w:rsidP="00A81ED7">
            <w:pPr>
              <w:rPr>
                <w:sz w:val="20"/>
                <w:szCs w:val="20"/>
              </w:rPr>
            </w:pPr>
            <w:r>
              <w:rPr>
                <w:sz w:val="20"/>
                <w:szCs w:val="20"/>
              </w:rPr>
              <w:t>Individual-level</w:t>
            </w:r>
          </w:p>
          <w:p w14:paraId="553F0399" w14:textId="77777777" w:rsidR="00A322B9" w:rsidRDefault="00A322B9" w:rsidP="00A81ED7">
            <w:pPr>
              <w:rPr>
                <w:sz w:val="20"/>
                <w:szCs w:val="20"/>
              </w:rPr>
            </w:pPr>
            <w:r>
              <w:rPr>
                <w:sz w:val="20"/>
                <w:szCs w:val="20"/>
              </w:rPr>
              <w:t>Household income and education.</w:t>
            </w:r>
          </w:p>
          <w:p w14:paraId="6D79E097" w14:textId="77777777" w:rsidR="00A322B9" w:rsidRDefault="00A322B9" w:rsidP="00A81ED7">
            <w:pPr>
              <w:rPr>
                <w:sz w:val="20"/>
                <w:szCs w:val="20"/>
              </w:rPr>
            </w:pPr>
            <w:r>
              <w:rPr>
                <w:sz w:val="20"/>
                <w:szCs w:val="20"/>
              </w:rPr>
              <w:t>Premature mortality</w:t>
            </w:r>
          </w:p>
        </w:tc>
        <w:tc>
          <w:tcPr>
            <w:tcW w:w="2156" w:type="pct"/>
            <w:shd w:val="clear" w:color="auto" w:fill="F2F2F2" w:themeFill="background1" w:themeFillShade="F2"/>
            <w:vAlign w:val="center"/>
          </w:tcPr>
          <w:p w14:paraId="77AA0327" w14:textId="77777777" w:rsidR="00A322B9" w:rsidRDefault="00A322B9" w:rsidP="00A81ED7">
            <w:pPr>
              <w:rPr>
                <w:sz w:val="20"/>
                <w:szCs w:val="20"/>
              </w:rPr>
            </w:pPr>
            <w:r>
              <w:rPr>
                <w:sz w:val="20"/>
                <w:szCs w:val="20"/>
              </w:rPr>
              <w:t>P</w:t>
            </w:r>
            <w:r w:rsidRPr="00617E62">
              <w:rPr>
                <w:sz w:val="20"/>
                <w:szCs w:val="20"/>
              </w:rPr>
              <w:t>remature and avoidable mortality rates declined in most socioeconomic groups</w:t>
            </w:r>
            <w:r>
              <w:rPr>
                <w:sz w:val="20"/>
                <w:szCs w:val="20"/>
              </w:rPr>
              <w:t>. S</w:t>
            </w:r>
            <w:r w:rsidRPr="00617E62">
              <w:rPr>
                <w:sz w:val="20"/>
                <w:szCs w:val="20"/>
              </w:rPr>
              <w:t>ocioeconomically disadvantaged groups did not benefit equally from these overall decreases in mortality.</w:t>
            </w:r>
          </w:p>
        </w:tc>
      </w:tr>
      <w:tr w:rsidR="00A322B9" w:rsidRPr="005E28AB" w14:paraId="36D4E4AF" w14:textId="77777777" w:rsidTr="00A81ED7">
        <w:trPr>
          <w:cantSplit/>
          <w:trHeight w:val="284"/>
        </w:trPr>
        <w:tc>
          <w:tcPr>
            <w:tcW w:w="811" w:type="pct"/>
            <w:tcBorders>
              <w:bottom w:val="single" w:sz="4" w:space="0" w:color="D9D9D9" w:themeColor="background1" w:themeShade="D9"/>
            </w:tcBorders>
            <w:vAlign w:val="center"/>
          </w:tcPr>
          <w:p w14:paraId="71FEE988" w14:textId="77777777" w:rsidR="00A322B9" w:rsidRDefault="00A322B9" w:rsidP="00A81ED7">
            <w:pPr>
              <w:rPr>
                <w:sz w:val="20"/>
                <w:szCs w:val="20"/>
              </w:rPr>
            </w:pPr>
            <w:r>
              <w:rPr>
                <w:sz w:val="20"/>
                <w:szCs w:val="20"/>
              </w:rPr>
              <w:t>Steel et al., 2018</w:t>
            </w:r>
          </w:p>
          <w:p w14:paraId="5B520855" w14:textId="77777777" w:rsidR="00A322B9" w:rsidRDefault="00A322B9" w:rsidP="00A81ED7">
            <w:pPr>
              <w:rPr>
                <w:sz w:val="20"/>
                <w:szCs w:val="20"/>
              </w:rPr>
            </w:pPr>
            <w:r>
              <w:rPr>
                <w:sz w:val="20"/>
                <w:szCs w:val="20"/>
              </w:rPr>
              <w:t>United Kingdom</w:t>
            </w:r>
          </w:p>
          <w:p w14:paraId="75167D84" w14:textId="77777777" w:rsidR="00A322B9" w:rsidRPr="005E28AB" w:rsidRDefault="00A322B9" w:rsidP="00A81ED7">
            <w:pPr>
              <w:rPr>
                <w:sz w:val="20"/>
                <w:szCs w:val="20"/>
              </w:rPr>
            </w:pPr>
            <w:r>
              <w:rPr>
                <w:sz w:val="20"/>
                <w:szCs w:val="20"/>
              </w:rPr>
              <w:t>1990-2016</w:t>
            </w:r>
          </w:p>
        </w:tc>
        <w:tc>
          <w:tcPr>
            <w:tcW w:w="712" w:type="pct"/>
            <w:tcBorders>
              <w:bottom w:val="single" w:sz="4" w:space="0" w:color="D9D9D9" w:themeColor="background1" w:themeShade="D9"/>
            </w:tcBorders>
            <w:vAlign w:val="center"/>
          </w:tcPr>
          <w:p w14:paraId="7ADA2C95" w14:textId="77777777" w:rsidR="00A322B9" w:rsidRDefault="00A322B9" w:rsidP="00A81ED7">
            <w:pPr>
              <w:rPr>
                <w:sz w:val="20"/>
                <w:szCs w:val="20"/>
              </w:rPr>
            </w:pPr>
            <w:r>
              <w:rPr>
                <w:sz w:val="20"/>
                <w:szCs w:val="20"/>
              </w:rPr>
              <w:t>Global Burden of Disease 2019</w:t>
            </w:r>
          </w:p>
        </w:tc>
        <w:tc>
          <w:tcPr>
            <w:tcW w:w="1320" w:type="pct"/>
            <w:tcBorders>
              <w:bottom w:val="single" w:sz="4" w:space="0" w:color="D9D9D9" w:themeColor="background1" w:themeShade="D9"/>
            </w:tcBorders>
            <w:vAlign w:val="center"/>
          </w:tcPr>
          <w:p w14:paraId="1EED453F" w14:textId="77777777" w:rsidR="00A322B9" w:rsidRDefault="00A322B9" w:rsidP="00A81ED7">
            <w:pPr>
              <w:rPr>
                <w:sz w:val="20"/>
                <w:szCs w:val="20"/>
              </w:rPr>
            </w:pPr>
            <w:r>
              <w:rPr>
                <w:sz w:val="20"/>
                <w:szCs w:val="20"/>
              </w:rPr>
              <w:t>Area-level</w:t>
            </w:r>
          </w:p>
          <w:p w14:paraId="0F8631C5" w14:textId="77777777" w:rsidR="00A322B9" w:rsidRDefault="00A322B9" w:rsidP="00A81ED7">
            <w:pPr>
              <w:rPr>
                <w:sz w:val="20"/>
                <w:szCs w:val="20"/>
              </w:rPr>
            </w:pPr>
            <w:r>
              <w:rPr>
                <w:sz w:val="20"/>
                <w:szCs w:val="20"/>
              </w:rPr>
              <w:t>D</w:t>
            </w:r>
            <w:r w:rsidRPr="00EA6265">
              <w:rPr>
                <w:sz w:val="20"/>
                <w:szCs w:val="20"/>
              </w:rPr>
              <w:t xml:space="preserve">eprivation in local authorities </w:t>
            </w:r>
            <w:r>
              <w:rPr>
                <w:sz w:val="20"/>
                <w:szCs w:val="20"/>
              </w:rPr>
              <w:t xml:space="preserve">assigned </w:t>
            </w:r>
            <w:r w:rsidRPr="00EA6265">
              <w:rPr>
                <w:sz w:val="20"/>
                <w:szCs w:val="20"/>
              </w:rPr>
              <w:t>using the Index of Multiple Deprivation</w:t>
            </w:r>
          </w:p>
          <w:p w14:paraId="2A3008AB" w14:textId="77777777" w:rsidR="00A322B9" w:rsidRPr="005E28AB" w:rsidRDefault="00A322B9" w:rsidP="00A81ED7">
            <w:pPr>
              <w:rPr>
                <w:sz w:val="20"/>
                <w:szCs w:val="20"/>
              </w:rPr>
            </w:pPr>
            <w:r>
              <w:rPr>
                <w:sz w:val="20"/>
                <w:szCs w:val="20"/>
              </w:rPr>
              <w:t>All-cause and cause-specific YLLs, YLDs, and DALYs</w:t>
            </w:r>
          </w:p>
        </w:tc>
        <w:tc>
          <w:tcPr>
            <w:tcW w:w="2156" w:type="pct"/>
            <w:tcBorders>
              <w:bottom w:val="single" w:sz="4" w:space="0" w:color="D9D9D9" w:themeColor="background1" w:themeShade="D9"/>
            </w:tcBorders>
            <w:vAlign w:val="center"/>
          </w:tcPr>
          <w:p w14:paraId="0FC94125" w14:textId="77777777" w:rsidR="00A322B9" w:rsidRDefault="00A322B9" w:rsidP="00A81ED7">
            <w:pPr>
              <w:rPr>
                <w:sz w:val="20"/>
                <w:szCs w:val="20"/>
              </w:rPr>
            </w:pPr>
            <w:r w:rsidRPr="0041266F">
              <w:rPr>
                <w:sz w:val="20"/>
                <w:szCs w:val="20"/>
              </w:rPr>
              <w:t>Between 1990 and 2016, life expectancy at birth improved in all four UK countries for both males and females. The rate of improvement slowed from 2010. In England in 2016, age-standardised rates of all cause YLLs varied by more than two times between the highest and lowest IMD-ranked Upper-Tier Local Authorities. Age-standardised YLL rates for the 15 (10%) most deprived and 15 least deprived Upper-Tier Local Authorities in England were consistently increased in the deprived areas for most conditions. Upper-Tier Local Authorities in London had generally lower rates of DALYs and YLLs than was expected for their level of deprivation.</w:t>
            </w:r>
          </w:p>
        </w:tc>
      </w:tr>
      <w:tr w:rsidR="00A322B9" w:rsidRPr="005E28AB" w14:paraId="706EB20B" w14:textId="77777777" w:rsidTr="00A81ED7">
        <w:trPr>
          <w:cantSplit/>
          <w:trHeight w:val="284"/>
        </w:trPr>
        <w:tc>
          <w:tcPr>
            <w:tcW w:w="811" w:type="pct"/>
            <w:tcBorders>
              <w:top w:val="single" w:sz="4" w:space="0" w:color="D9D9D9" w:themeColor="background1" w:themeShade="D9"/>
            </w:tcBorders>
            <w:shd w:val="clear" w:color="auto" w:fill="F2F2F2" w:themeFill="background1" w:themeFillShade="F2"/>
            <w:vAlign w:val="center"/>
          </w:tcPr>
          <w:p w14:paraId="2055E8EA" w14:textId="77777777" w:rsidR="00A322B9" w:rsidRDefault="00A322B9" w:rsidP="00A81ED7">
            <w:pPr>
              <w:rPr>
                <w:sz w:val="20"/>
                <w:szCs w:val="20"/>
              </w:rPr>
            </w:pPr>
            <w:proofErr w:type="spellStart"/>
            <w:r>
              <w:rPr>
                <w:sz w:val="20"/>
                <w:szCs w:val="20"/>
              </w:rPr>
              <w:t>Suulamo</w:t>
            </w:r>
            <w:proofErr w:type="spellEnd"/>
            <w:r>
              <w:rPr>
                <w:sz w:val="20"/>
                <w:szCs w:val="20"/>
              </w:rPr>
              <w:t xml:space="preserve"> et al., 2021</w:t>
            </w:r>
          </w:p>
          <w:p w14:paraId="1AD51C99" w14:textId="77777777" w:rsidR="00A322B9" w:rsidRDefault="00A322B9" w:rsidP="00A81ED7">
            <w:pPr>
              <w:rPr>
                <w:sz w:val="20"/>
                <w:szCs w:val="20"/>
              </w:rPr>
            </w:pPr>
            <w:r>
              <w:rPr>
                <w:sz w:val="20"/>
                <w:szCs w:val="20"/>
              </w:rPr>
              <w:t>Finland</w:t>
            </w:r>
          </w:p>
          <w:p w14:paraId="7CB6C6E9" w14:textId="77777777" w:rsidR="00A322B9" w:rsidRPr="005E28AB" w:rsidRDefault="00A322B9" w:rsidP="00A81ED7">
            <w:pPr>
              <w:rPr>
                <w:sz w:val="20"/>
                <w:szCs w:val="20"/>
              </w:rPr>
            </w:pPr>
            <w:r>
              <w:rPr>
                <w:sz w:val="20"/>
                <w:szCs w:val="20"/>
              </w:rPr>
              <w:t>1972-2018</w:t>
            </w:r>
          </w:p>
        </w:tc>
        <w:tc>
          <w:tcPr>
            <w:tcW w:w="712" w:type="pct"/>
            <w:tcBorders>
              <w:top w:val="single" w:sz="4" w:space="0" w:color="D9D9D9" w:themeColor="background1" w:themeShade="D9"/>
            </w:tcBorders>
            <w:shd w:val="clear" w:color="auto" w:fill="F2F2F2" w:themeFill="background1" w:themeFillShade="F2"/>
            <w:vAlign w:val="center"/>
          </w:tcPr>
          <w:p w14:paraId="0AF9D4BB" w14:textId="77777777" w:rsidR="00A322B9" w:rsidRDefault="00A322B9" w:rsidP="00A81ED7">
            <w:pPr>
              <w:rPr>
                <w:sz w:val="20"/>
                <w:szCs w:val="20"/>
              </w:rPr>
            </w:pPr>
            <w:r>
              <w:rPr>
                <w:sz w:val="20"/>
                <w:szCs w:val="20"/>
              </w:rPr>
              <w:t>Register-based data for population aged 30 years and over</w:t>
            </w:r>
          </w:p>
        </w:tc>
        <w:tc>
          <w:tcPr>
            <w:tcW w:w="1320" w:type="pct"/>
            <w:tcBorders>
              <w:top w:val="single" w:sz="4" w:space="0" w:color="D9D9D9" w:themeColor="background1" w:themeShade="D9"/>
            </w:tcBorders>
            <w:shd w:val="clear" w:color="auto" w:fill="F2F2F2" w:themeFill="background1" w:themeFillShade="F2"/>
            <w:vAlign w:val="center"/>
          </w:tcPr>
          <w:p w14:paraId="2D62B59E" w14:textId="77777777" w:rsidR="00A322B9" w:rsidRDefault="00A322B9" w:rsidP="00A81ED7">
            <w:pPr>
              <w:rPr>
                <w:sz w:val="20"/>
                <w:szCs w:val="20"/>
              </w:rPr>
            </w:pPr>
            <w:r>
              <w:rPr>
                <w:sz w:val="20"/>
                <w:szCs w:val="20"/>
              </w:rPr>
              <w:t>Area-level</w:t>
            </w:r>
          </w:p>
          <w:p w14:paraId="3EDE4444" w14:textId="77777777" w:rsidR="00A322B9" w:rsidRDefault="00A322B9" w:rsidP="00A81ED7">
            <w:pPr>
              <w:rPr>
                <w:sz w:val="20"/>
                <w:szCs w:val="20"/>
              </w:rPr>
            </w:pPr>
            <w:r>
              <w:rPr>
                <w:sz w:val="20"/>
                <w:szCs w:val="20"/>
              </w:rPr>
              <w:t>Based on individual socioeconomic characteristics (level of education, income and occupation) nested within municipalities</w:t>
            </w:r>
          </w:p>
          <w:p w14:paraId="6FEDC4AF" w14:textId="77777777" w:rsidR="00A322B9" w:rsidRPr="005E28AB" w:rsidRDefault="00A322B9" w:rsidP="00A81ED7">
            <w:pPr>
              <w:rPr>
                <w:sz w:val="20"/>
                <w:szCs w:val="20"/>
              </w:rPr>
            </w:pPr>
            <w:r>
              <w:rPr>
                <w:sz w:val="20"/>
                <w:szCs w:val="20"/>
              </w:rPr>
              <w:t>All-cause mortality</w:t>
            </w:r>
          </w:p>
        </w:tc>
        <w:tc>
          <w:tcPr>
            <w:tcW w:w="2156" w:type="pct"/>
            <w:tcBorders>
              <w:top w:val="single" w:sz="4" w:space="0" w:color="D9D9D9" w:themeColor="background1" w:themeShade="D9"/>
            </w:tcBorders>
            <w:shd w:val="clear" w:color="auto" w:fill="F2F2F2" w:themeFill="background1" w:themeFillShade="F2"/>
            <w:vAlign w:val="center"/>
          </w:tcPr>
          <w:p w14:paraId="0F9F6191" w14:textId="77777777" w:rsidR="00A322B9" w:rsidRDefault="00A322B9" w:rsidP="00A81ED7">
            <w:pPr>
              <w:rPr>
                <w:sz w:val="20"/>
                <w:szCs w:val="20"/>
              </w:rPr>
            </w:pPr>
            <w:r w:rsidRPr="00D20092">
              <w:rPr>
                <w:sz w:val="20"/>
                <w:szCs w:val="20"/>
              </w:rPr>
              <w:t xml:space="preserve">Overall municipal-level variation in all-cause mortality remained relatively stable over </w:t>
            </w:r>
            <w:r>
              <w:rPr>
                <w:sz w:val="20"/>
                <w:szCs w:val="20"/>
              </w:rPr>
              <w:t xml:space="preserve">the </w:t>
            </w:r>
            <w:r w:rsidRPr="00D20092">
              <w:rPr>
                <w:sz w:val="20"/>
                <w:szCs w:val="20"/>
              </w:rPr>
              <w:t>period.</w:t>
            </w:r>
          </w:p>
        </w:tc>
      </w:tr>
      <w:tr w:rsidR="00A322B9" w:rsidRPr="005E28AB" w14:paraId="2BF8CB79" w14:textId="77777777" w:rsidTr="00A81ED7">
        <w:trPr>
          <w:cantSplit/>
          <w:trHeight w:val="284"/>
        </w:trPr>
        <w:tc>
          <w:tcPr>
            <w:tcW w:w="811" w:type="pct"/>
            <w:vAlign w:val="center"/>
          </w:tcPr>
          <w:p w14:paraId="61B13CF1" w14:textId="77777777" w:rsidR="00A322B9" w:rsidRDefault="00A322B9" w:rsidP="00A81ED7">
            <w:pPr>
              <w:rPr>
                <w:sz w:val="20"/>
                <w:szCs w:val="20"/>
              </w:rPr>
            </w:pPr>
            <w:proofErr w:type="spellStart"/>
            <w:r>
              <w:rPr>
                <w:sz w:val="20"/>
                <w:szCs w:val="20"/>
              </w:rPr>
              <w:t>Tetzlaff</w:t>
            </w:r>
            <w:proofErr w:type="spellEnd"/>
            <w:r>
              <w:rPr>
                <w:sz w:val="20"/>
                <w:szCs w:val="20"/>
              </w:rPr>
              <w:t xml:space="preserve"> et al., 2024</w:t>
            </w:r>
          </w:p>
          <w:p w14:paraId="677BC795" w14:textId="77777777" w:rsidR="00A322B9" w:rsidRDefault="00A322B9" w:rsidP="00A81ED7">
            <w:pPr>
              <w:rPr>
                <w:sz w:val="20"/>
                <w:szCs w:val="20"/>
              </w:rPr>
            </w:pPr>
            <w:r>
              <w:rPr>
                <w:sz w:val="20"/>
                <w:szCs w:val="20"/>
              </w:rPr>
              <w:t>Germany</w:t>
            </w:r>
          </w:p>
          <w:p w14:paraId="12A49DC3" w14:textId="77777777" w:rsidR="00A322B9" w:rsidRPr="005E28AB" w:rsidRDefault="00A322B9" w:rsidP="00A81ED7">
            <w:pPr>
              <w:rPr>
                <w:sz w:val="20"/>
                <w:szCs w:val="20"/>
              </w:rPr>
            </w:pPr>
            <w:r>
              <w:rPr>
                <w:sz w:val="20"/>
                <w:szCs w:val="20"/>
              </w:rPr>
              <w:t>2003-2019</w:t>
            </w:r>
          </w:p>
        </w:tc>
        <w:tc>
          <w:tcPr>
            <w:tcW w:w="712" w:type="pct"/>
            <w:vAlign w:val="center"/>
          </w:tcPr>
          <w:p w14:paraId="5044F444" w14:textId="77777777" w:rsidR="00A322B9" w:rsidRDefault="00A322B9" w:rsidP="00A81ED7">
            <w:pPr>
              <w:rPr>
                <w:sz w:val="20"/>
                <w:szCs w:val="20"/>
              </w:rPr>
            </w:pPr>
            <w:r>
              <w:rPr>
                <w:sz w:val="20"/>
                <w:szCs w:val="20"/>
              </w:rPr>
              <w:t>Federal Statistical Office of Germany</w:t>
            </w:r>
          </w:p>
        </w:tc>
        <w:tc>
          <w:tcPr>
            <w:tcW w:w="1320" w:type="pct"/>
            <w:vAlign w:val="center"/>
          </w:tcPr>
          <w:p w14:paraId="005BB7EA" w14:textId="77777777" w:rsidR="00A322B9" w:rsidRDefault="00A322B9" w:rsidP="00A81ED7">
            <w:pPr>
              <w:rPr>
                <w:sz w:val="20"/>
                <w:szCs w:val="20"/>
              </w:rPr>
            </w:pPr>
            <w:r>
              <w:rPr>
                <w:sz w:val="20"/>
                <w:szCs w:val="20"/>
              </w:rPr>
              <w:t>Area-level</w:t>
            </w:r>
          </w:p>
          <w:p w14:paraId="59AB2C00" w14:textId="77777777" w:rsidR="00A322B9" w:rsidRDefault="00A322B9" w:rsidP="00A81ED7">
            <w:pPr>
              <w:rPr>
                <w:sz w:val="20"/>
                <w:szCs w:val="20"/>
              </w:rPr>
            </w:pPr>
            <w:r>
              <w:rPr>
                <w:sz w:val="20"/>
                <w:szCs w:val="20"/>
              </w:rPr>
              <w:t>Districts assigned to quintiles based on German Index of Socioeconomic Deprivation</w:t>
            </w:r>
          </w:p>
          <w:p w14:paraId="16C3EB59" w14:textId="77777777" w:rsidR="00A322B9" w:rsidRPr="005E28AB" w:rsidRDefault="00A322B9" w:rsidP="00A81ED7">
            <w:pPr>
              <w:rPr>
                <w:sz w:val="20"/>
                <w:szCs w:val="20"/>
              </w:rPr>
            </w:pPr>
            <w:r>
              <w:rPr>
                <w:sz w:val="20"/>
                <w:szCs w:val="20"/>
              </w:rPr>
              <w:t>Life expectancy, age-specific and cause-specific mortality</w:t>
            </w:r>
          </w:p>
        </w:tc>
        <w:tc>
          <w:tcPr>
            <w:tcW w:w="2156" w:type="pct"/>
            <w:vAlign w:val="center"/>
          </w:tcPr>
          <w:p w14:paraId="7528740B" w14:textId="77777777" w:rsidR="00A322B9" w:rsidRDefault="00A322B9" w:rsidP="00A81ED7">
            <w:pPr>
              <w:rPr>
                <w:sz w:val="20"/>
                <w:szCs w:val="20"/>
              </w:rPr>
            </w:pPr>
            <w:r>
              <w:rPr>
                <w:sz w:val="20"/>
                <w:szCs w:val="20"/>
              </w:rPr>
              <w:t>L</w:t>
            </w:r>
            <w:r w:rsidRPr="0041266F">
              <w:rPr>
                <w:sz w:val="20"/>
                <w:szCs w:val="20"/>
              </w:rPr>
              <w:t>ife expectancy increased but improvement slowed after 2009. The difference in life expectancy between the most and least deprived quintiles of districts increased among females and males between 2003 and 2019. Between 2020 and 2021, life expectancy decreased in both more and less deprived districts, but the pace was faster in more deprived districts resulting in an increased gap. The authors note that the pandemic exacerbated the expansion of area-level socioeconomic inequalities in life expectancy.</w:t>
            </w:r>
          </w:p>
        </w:tc>
      </w:tr>
      <w:tr w:rsidR="00A322B9" w:rsidRPr="005E28AB" w14:paraId="09E85F38" w14:textId="77777777" w:rsidTr="00A81ED7">
        <w:trPr>
          <w:cantSplit/>
          <w:trHeight w:val="284"/>
        </w:trPr>
        <w:tc>
          <w:tcPr>
            <w:tcW w:w="811" w:type="pct"/>
            <w:shd w:val="clear" w:color="auto" w:fill="F2F2F2" w:themeFill="background1" w:themeFillShade="F2"/>
            <w:vAlign w:val="center"/>
          </w:tcPr>
          <w:p w14:paraId="02A2B601" w14:textId="77777777" w:rsidR="00A322B9" w:rsidRDefault="00A322B9" w:rsidP="00A81ED7">
            <w:pPr>
              <w:rPr>
                <w:sz w:val="20"/>
                <w:szCs w:val="20"/>
              </w:rPr>
            </w:pPr>
            <w:r>
              <w:rPr>
                <w:sz w:val="20"/>
                <w:szCs w:val="20"/>
              </w:rPr>
              <w:lastRenderedPageBreak/>
              <w:t>Walsh et al., 2020</w:t>
            </w:r>
          </w:p>
          <w:p w14:paraId="372CFE0F" w14:textId="77777777" w:rsidR="00A322B9" w:rsidRDefault="00A322B9" w:rsidP="00A81ED7">
            <w:pPr>
              <w:rPr>
                <w:sz w:val="20"/>
                <w:szCs w:val="20"/>
              </w:rPr>
            </w:pPr>
            <w:r>
              <w:rPr>
                <w:sz w:val="20"/>
                <w:szCs w:val="20"/>
              </w:rPr>
              <w:t>United Kingdom</w:t>
            </w:r>
          </w:p>
          <w:p w14:paraId="541B5A0B" w14:textId="77777777" w:rsidR="00A322B9" w:rsidRPr="005E28AB" w:rsidRDefault="00A322B9" w:rsidP="00A81ED7">
            <w:pPr>
              <w:rPr>
                <w:sz w:val="20"/>
                <w:szCs w:val="20"/>
              </w:rPr>
            </w:pPr>
            <w:r>
              <w:rPr>
                <w:sz w:val="20"/>
                <w:szCs w:val="20"/>
              </w:rPr>
              <w:t>1981-2017</w:t>
            </w:r>
          </w:p>
        </w:tc>
        <w:tc>
          <w:tcPr>
            <w:tcW w:w="712" w:type="pct"/>
            <w:shd w:val="clear" w:color="auto" w:fill="F2F2F2" w:themeFill="background1" w:themeFillShade="F2"/>
            <w:vAlign w:val="center"/>
          </w:tcPr>
          <w:p w14:paraId="385A4B9C" w14:textId="77777777" w:rsidR="00A322B9" w:rsidRDefault="00A322B9" w:rsidP="00A81ED7">
            <w:pPr>
              <w:rPr>
                <w:sz w:val="20"/>
                <w:szCs w:val="20"/>
              </w:rPr>
            </w:pPr>
            <w:r w:rsidRPr="00B8390B">
              <w:rPr>
                <w:sz w:val="20"/>
                <w:szCs w:val="20"/>
              </w:rPr>
              <w:t>National Records of Scotland</w:t>
            </w:r>
            <w:r>
              <w:rPr>
                <w:sz w:val="20"/>
                <w:szCs w:val="20"/>
              </w:rPr>
              <w:t>,</w:t>
            </w:r>
            <w:r w:rsidRPr="00B8390B">
              <w:rPr>
                <w:sz w:val="20"/>
                <w:szCs w:val="20"/>
              </w:rPr>
              <w:t xml:space="preserve"> Office for National Statistics and Northern Ireland Statistics </w:t>
            </w:r>
            <w:r>
              <w:rPr>
                <w:sz w:val="20"/>
                <w:szCs w:val="20"/>
              </w:rPr>
              <w:t>&amp;</w:t>
            </w:r>
            <w:r w:rsidRPr="00B8390B">
              <w:rPr>
                <w:sz w:val="20"/>
                <w:szCs w:val="20"/>
              </w:rPr>
              <w:t xml:space="preserve"> Research Agency</w:t>
            </w:r>
          </w:p>
        </w:tc>
        <w:tc>
          <w:tcPr>
            <w:tcW w:w="1320" w:type="pct"/>
            <w:shd w:val="clear" w:color="auto" w:fill="F2F2F2" w:themeFill="background1" w:themeFillShade="F2"/>
            <w:vAlign w:val="center"/>
          </w:tcPr>
          <w:p w14:paraId="7B1383EC" w14:textId="77777777" w:rsidR="00A322B9" w:rsidRDefault="00A322B9" w:rsidP="00A81ED7">
            <w:pPr>
              <w:rPr>
                <w:sz w:val="20"/>
                <w:szCs w:val="20"/>
              </w:rPr>
            </w:pPr>
            <w:r>
              <w:rPr>
                <w:sz w:val="20"/>
                <w:szCs w:val="20"/>
              </w:rPr>
              <w:t>Area-level</w:t>
            </w:r>
          </w:p>
          <w:p w14:paraId="36B8F649" w14:textId="77777777" w:rsidR="00A322B9" w:rsidRPr="005E28AB" w:rsidRDefault="00A322B9" w:rsidP="00A81ED7">
            <w:pPr>
              <w:rPr>
                <w:sz w:val="20"/>
                <w:szCs w:val="20"/>
              </w:rPr>
            </w:pPr>
            <w:r>
              <w:rPr>
                <w:sz w:val="20"/>
                <w:szCs w:val="20"/>
              </w:rPr>
              <w:t>L</w:t>
            </w:r>
            <w:r w:rsidRPr="00374E48">
              <w:rPr>
                <w:sz w:val="20"/>
                <w:szCs w:val="20"/>
              </w:rPr>
              <w:t>evels of deprivation within individual countrie</w:t>
            </w:r>
            <w:r>
              <w:rPr>
                <w:sz w:val="20"/>
                <w:szCs w:val="20"/>
              </w:rPr>
              <w:t>s assigned using t</w:t>
            </w:r>
            <w:r w:rsidRPr="00337A82">
              <w:rPr>
                <w:sz w:val="20"/>
                <w:szCs w:val="20"/>
              </w:rPr>
              <w:t>he separate Scottish, English and Northern Irish area-based indices of deprivation</w:t>
            </w:r>
          </w:p>
        </w:tc>
        <w:tc>
          <w:tcPr>
            <w:tcW w:w="2156" w:type="pct"/>
            <w:shd w:val="clear" w:color="auto" w:fill="F2F2F2" w:themeFill="background1" w:themeFillShade="F2"/>
            <w:vAlign w:val="center"/>
          </w:tcPr>
          <w:p w14:paraId="70CD2A9B" w14:textId="77777777" w:rsidR="00A322B9" w:rsidRPr="005E28AB" w:rsidRDefault="00A322B9" w:rsidP="00A81ED7">
            <w:pPr>
              <w:rPr>
                <w:sz w:val="20"/>
                <w:szCs w:val="20"/>
              </w:rPr>
            </w:pPr>
            <w:r>
              <w:rPr>
                <w:sz w:val="20"/>
                <w:szCs w:val="20"/>
              </w:rPr>
              <w:t>A change in the male death trend was observed from 2011/2013 for Scotland and England,</w:t>
            </w:r>
            <w:r w:rsidRPr="001C6405">
              <w:rPr>
                <w:sz w:val="20"/>
                <w:szCs w:val="20"/>
              </w:rPr>
              <w:t xml:space="preserve"> little improvement observed in the periods </w:t>
            </w:r>
            <w:r>
              <w:rPr>
                <w:sz w:val="20"/>
                <w:szCs w:val="20"/>
              </w:rPr>
              <w:t>following. D</w:t>
            </w:r>
            <w:r w:rsidRPr="00196FE5">
              <w:rPr>
                <w:sz w:val="20"/>
                <w:szCs w:val="20"/>
              </w:rPr>
              <w:t>ata suggest there has been a slight increase (rather than slowdown) in mortality rates for Scotland in the most recent period.</w:t>
            </w:r>
            <w:r>
              <w:rPr>
                <w:sz w:val="20"/>
                <w:szCs w:val="20"/>
              </w:rPr>
              <w:t xml:space="preserve"> For male all-cause mortality, i</w:t>
            </w:r>
            <w:r w:rsidRPr="006725CC">
              <w:rPr>
                <w:sz w:val="20"/>
                <w:szCs w:val="20"/>
              </w:rPr>
              <w:t>ncreased rates observed in the most recent period for the most deprived fifth of the population in each countr</w:t>
            </w:r>
            <w:r>
              <w:rPr>
                <w:sz w:val="20"/>
                <w:szCs w:val="20"/>
              </w:rPr>
              <w:t>y of the UK. Similar trends observed for women. A</w:t>
            </w:r>
            <w:r w:rsidRPr="004E2D63">
              <w:rPr>
                <w:sz w:val="20"/>
                <w:szCs w:val="20"/>
              </w:rPr>
              <w:t xml:space="preserve">bsolute and relative inequalities </w:t>
            </w:r>
            <w:r>
              <w:rPr>
                <w:sz w:val="20"/>
                <w:szCs w:val="20"/>
              </w:rPr>
              <w:t xml:space="preserve">have widened </w:t>
            </w:r>
            <w:r w:rsidRPr="004E2D63">
              <w:rPr>
                <w:sz w:val="20"/>
                <w:szCs w:val="20"/>
              </w:rPr>
              <w:t>across deprivation quintiles since 2011/2013 in all countries</w:t>
            </w:r>
            <w:r>
              <w:rPr>
                <w:sz w:val="20"/>
                <w:szCs w:val="20"/>
              </w:rPr>
              <w:t xml:space="preserve"> of the UK.</w:t>
            </w:r>
          </w:p>
        </w:tc>
      </w:tr>
    </w:tbl>
    <w:p w14:paraId="539C20B6" w14:textId="77777777" w:rsidR="00A322B9" w:rsidRDefault="00A322B9" w:rsidP="00A322B9"/>
    <w:p w14:paraId="03366F33" w14:textId="4BCAF2FC" w:rsidR="00A322B9" w:rsidRDefault="00A322B9">
      <w:pPr>
        <w:spacing w:after="0" w:line="240" w:lineRule="auto"/>
      </w:pPr>
      <w:r>
        <w:br w:type="page"/>
      </w:r>
    </w:p>
    <w:p w14:paraId="03085291" w14:textId="3E720228" w:rsidR="0068490A" w:rsidRDefault="0068490A" w:rsidP="0068490A">
      <w:pPr>
        <w:pStyle w:val="Heading2"/>
        <w:numPr>
          <w:ilvl w:val="0"/>
          <w:numId w:val="0"/>
        </w:numPr>
        <w:ind w:left="576" w:hanging="576"/>
      </w:pPr>
      <w:r>
        <w:lastRenderedPageBreak/>
        <w:t>Child health outcomes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0"/>
        <w:gridCol w:w="2020"/>
        <w:gridCol w:w="4666"/>
        <w:gridCol w:w="6372"/>
      </w:tblGrid>
      <w:tr w:rsidR="00FC4BED" w:rsidRPr="006F744D" w14:paraId="452B5DD4" w14:textId="77777777" w:rsidTr="0068490A">
        <w:trPr>
          <w:cantSplit/>
          <w:trHeight w:val="829"/>
          <w:tblHeader/>
        </w:trPr>
        <w:tc>
          <w:tcPr>
            <w:tcW w:w="760" w:type="pct"/>
            <w:shd w:val="clear" w:color="auto" w:fill="156082" w:themeFill="accent1"/>
            <w:vAlign w:val="center"/>
          </w:tcPr>
          <w:p w14:paraId="630D3FC2" w14:textId="77777777" w:rsidR="00A322B9" w:rsidRPr="006F744D" w:rsidRDefault="00A322B9" w:rsidP="00A81ED7">
            <w:pPr>
              <w:pStyle w:val="NoSpacing"/>
              <w:rPr>
                <w:b/>
                <w:bCs/>
                <w:color w:val="FFFFFF" w:themeColor="background1"/>
                <w:sz w:val="20"/>
                <w:szCs w:val="20"/>
              </w:rPr>
            </w:pPr>
            <w:r w:rsidRPr="006F744D">
              <w:rPr>
                <w:b/>
                <w:bCs/>
                <w:color w:val="FFFFFF" w:themeColor="background1"/>
                <w:sz w:val="20"/>
                <w:szCs w:val="20"/>
              </w:rPr>
              <w:t>Author(s)</w:t>
            </w:r>
          </w:p>
          <w:p w14:paraId="0E53E187" w14:textId="77777777" w:rsidR="00A322B9" w:rsidRPr="006F744D" w:rsidRDefault="00A322B9" w:rsidP="00A81ED7">
            <w:pPr>
              <w:pStyle w:val="NoSpacing"/>
              <w:rPr>
                <w:b/>
                <w:bCs/>
                <w:color w:val="FFFFFF" w:themeColor="background1"/>
                <w:sz w:val="20"/>
                <w:szCs w:val="20"/>
              </w:rPr>
            </w:pPr>
            <w:r w:rsidRPr="006F744D">
              <w:rPr>
                <w:b/>
                <w:bCs/>
                <w:color w:val="FFFFFF" w:themeColor="background1"/>
                <w:sz w:val="20"/>
                <w:szCs w:val="20"/>
              </w:rPr>
              <w:t>Country</w:t>
            </w:r>
          </w:p>
          <w:p w14:paraId="42FFA8AC" w14:textId="77777777" w:rsidR="00A322B9" w:rsidRPr="006F744D" w:rsidRDefault="00A322B9" w:rsidP="00A81ED7">
            <w:pPr>
              <w:pStyle w:val="NoSpacing"/>
              <w:rPr>
                <w:b/>
                <w:bCs/>
                <w:color w:val="FFFFFF" w:themeColor="background1"/>
                <w:sz w:val="20"/>
                <w:szCs w:val="20"/>
              </w:rPr>
            </w:pPr>
            <w:r w:rsidRPr="006F744D">
              <w:rPr>
                <w:b/>
                <w:bCs/>
                <w:color w:val="FFFFFF" w:themeColor="background1"/>
                <w:sz w:val="20"/>
                <w:szCs w:val="20"/>
              </w:rPr>
              <w:t>Year</w:t>
            </w:r>
          </w:p>
        </w:tc>
        <w:tc>
          <w:tcPr>
            <w:tcW w:w="656" w:type="pct"/>
            <w:shd w:val="clear" w:color="auto" w:fill="156082" w:themeFill="accent1"/>
            <w:vAlign w:val="center"/>
          </w:tcPr>
          <w:p w14:paraId="64F6A3E7" w14:textId="77777777" w:rsidR="00A322B9" w:rsidRPr="006F744D" w:rsidRDefault="00A322B9" w:rsidP="00A81ED7">
            <w:pPr>
              <w:pStyle w:val="NoSpacing"/>
              <w:rPr>
                <w:b/>
                <w:bCs/>
                <w:color w:val="FFFFFF" w:themeColor="background1"/>
                <w:sz w:val="20"/>
                <w:szCs w:val="20"/>
              </w:rPr>
            </w:pPr>
            <w:r w:rsidRPr="006F744D">
              <w:rPr>
                <w:b/>
                <w:bCs/>
                <w:color w:val="FFFFFF" w:themeColor="background1"/>
                <w:sz w:val="20"/>
                <w:szCs w:val="20"/>
              </w:rPr>
              <w:t>Data source(s)</w:t>
            </w:r>
          </w:p>
        </w:tc>
        <w:tc>
          <w:tcPr>
            <w:tcW w:w="1515" w:type="pct"/>
            <w:shd w:val="clear" w:color="auto" w:fill="156082" w:themeFill="accent1"/>
            <w:vAlign w:val="center"/>
          </w:tcPr>
          <w:p w14:paraId="64FAB174" w14:textId="77777777" w:rsidR="00A322B9" w:rsidRPr="006F744D" w:rsidRDefault="00A322B9" w:rsidP="00A81ED7">
            <w:pPr>
              <w:pStyle w:val="NoSpacing"/>
              <w:rPr>
                <w:b/>
                <w:bCs/>
                <w:color w:val="FFFFFF" w:themeColor="background1"/>
                <w:sz w:val="20"/>
                <w:szCs w:val="20"/>
              </w:rPr>
            </w:pPr>
            <w:r w:rsidRPr="006F744D">
              <w:rPr>
                <w:b/>
                <w:bCs/>
                <w:color w:val="FFFFFF" w:themeColor="background1"/>
                <w:sz w:val="20"/>
                <w:szCs w:val="20"/>
              </w:rPr>
              <w:t>Individual- or area-level</w:t>
            </w:r>
          </w:p>
          <w:p w14:paraId="0076957F" w14:textId="77777777" w:rsidR="00A322B9" w:rsidRPr="006F744D" w:rsidRDefault="00A322B9" w:rsidP="00A81ED7">
            <w:pPr>
              <w:pStyle w:val="NoSpacing"/>
              <w:rPr>
                <w:b/>
                <w:bCs/>
                <w:color w:val="FFFFFF" w:themeColor="background1"/>
                <w:sz w:val="20"/>
                <w:szCs w:val="20"/>
              </w:rPr>
            </w:pPr>
            <w:r w:rsidRPr="006F744D">
              <w:rPr>
                <w:b/>
                <w:bCs/>
                <w:color w:val="FFFFFF" w:themeColor="background1"/>
                <w:sz w:val="20"/>
                <w:szCs w:val="20"/>
              </w:rPr>
              <w:t>Measure of inequality</w:t>
            </w:r>
          </w:p>
          <w:p w14:paraId="6051E142" w14:textId="77777777" w:rsidR="00A322B9" w:rsidRPr="006F744D" w:rsidRDefault="00A322B9" w:rsidP="00A81ED7">
            <w:pPr>
              <w:pStyle w:val="NoSpacing"/>
              <w:rPr>
                <w:b/>
                <w:bCs/>
                <w:color w:val="FFFFFF" w:themeColor="background1"/>
                <w:sz w:val="20"/>
                <w:szCs w:val="20"/>
              </w:rPr>
            </w:pPr>
            <w:r w:rsidRPr="006F744D">
              <w:rPr>
                <w:b/>
                <w:bCs/>
                <w:color w:val="FFFFFF" w:themeColor="background1"/>
                <w:sz w:val="20"/>
                <w:szCs w:val="20"/>
              </w:rPr>
              <w:t>Outcome measure(s)</w:t>
            </w:r>
          </w:p>
        </w:tc>
        <w:tc>
          <w:tcPr>
            <w:tcW w:w="2069" w:type="pct"/>
            <w:shd w:val="clear" w:color="auto" w:fill="156082" w:themeFill="accent1"/>
            <w:vAlign w:val="center"/>
          </w:tcPr>
          <w:p w14:paraId="403B7CB1" w14:textId="77777777" w:rsidR="00A322B9" w:rsidRPr="006F744D" w:rsidRDefault="00A322B9" w:rsidP="00A81ED7">
            <w:pPr>
              <w:pStyle w:val="NoSpacing"/>
              <w:rPr>
                <w:b/>
                <w:bCs/>
                <w:color w:val="FFFFFF" w:themeColor="background1"/>
                <w:sz w:val="20"/>
                <w:szCs w:val="20"/>
              </w:rPr>
            </w:pPr>
            <w:r w:rsidRPr="006F744D">
              <w:rPr>
                <w:b/>
                <w:bCs/>
                <w:color w:val="FFFFFF" w:themeColor="background1"/>
                <w:sz w:val="20"/>
                <w:szCs w:val="20"/>
              </w:rPr>
              <w:t>Findings</w:t>
            </w:r>
          </w:p>
        </w:tc>
      </w:tr>
      <w:tr w:rsidR="00A322B9" w14:paraId="4015F373" w14:textId="77777777" w:rsidTr="0068490A">
        <w:trPr>
          <w:cantSplit/>
        </w:trPr>
        <w:tc>
          <w:tcPr>
            <w:tcW w:w="760" w:type="pct"/>
            <w:tcBorders>
              <w:bottom w:val="single" w:sz="4" w:space="0" w:color="D9D9D9" w:themeColor="background1" w:themeShade="D9"/>
            </w:tcBorders>
          </w:tcPr>
          <w:p w14:paraId="2BBB6B74" w14:textId="77777777" w:rsidR="00A322B9" w:rsidRPr="00FF640B" w:rsidRDefault="00A322B9" w:rsidP="00A81ED7">
            <w:pPr>
              <w:spacing w:after="80"/>
              <w:rPr>
                <w:sz w:val="20"/>
                <w:szCs w:val="20"/>
              </w:rPr>
            </w:pPr>
            <w:r>
              <w:rPr>
                <w:sz w:val="20"/>
                <w:szCs w:val="20"/>
              </w:rPr>
              <w:t xml:space="preserve">Best </w:t>
            </w:r>
            <w:r w:rsidRPr="00FF640B">
              <w:rPr>
                <w:sz w:val="20"/>
                <w:szCs w:val="20"/>
              </w:rPr>
              <w:t>et</w:t>
            </w:r>
            <w:r>
              <w:rPr>
                <w:sz w:val="20"/>
                <w:szCs w:val="20"/>
              </w:rPr>
              <w:t xml:space="preserve"> </w:t>
            </w:r>
            <w:r w:rsidRPr="00FF640B">
              <w:rPr>
                <w:sz w:val="20"/>
                <w:szCs w:val="20"/>
              </w:rPr>
              <w:t>al</w:t>
            </w:r>
            <w:r>
              <w:rPr>
                <w:sz w:val="20"/>
                <w:szCs w:val="20"/>
              </w:rPr>
              <w:t>.</w:t>
            </w:r>
            <w:r w:rsidRPr="00FF640B">
              <w:rPr>
                <w:sz w:val="20"/>
                <w:szCs w:val="20"/>
              </w:rPr>
              <w:t>, 2019</w:t>
            </w:r>
          </w:p>
          <w:p w14:paraId="50160806" w14:textId="77777777" w:rsidR="00A322B9" w:rsidRPr="00FF640B" w:rsidRDefault="00A322B9" w:rsidP="00A81ED7">
            <w:pPr>
              <w:spacing w:after="80"/>
              <w:rPr>
                <w:sz w:val="20"/>
                <w:szCs w:val="20"/>
              </w:rPr>
            </w:pPr>
            <w:r w:rsidRPr="00FF640B">
              <w:rPr>
                <w:sz w:val="20"/>
                <w:szCs w:val="20"/>
              </w:rPr>
              <w:t>England, Wales, Scotland, and the UK Crown Dependencies</w:t>
            </w:r>
          </w:p>
          <w:p w14:paraId="783EA192" w14:textId="77777777" w:rsidR="00A322B9" w:rsidRPr="00F96573" w:rsidRDefault="00A322B9" w:rsidP="00A81ED7">
            <w:pPr>
              <w:spacing w:after="80"/>
              <w:rPr>
                <w:sz w:val="20"/>
                <w:szCs w:val="20"/>
              </w:rPr>
            </w:pPr>
            <w:r w:rsidRPr="00FF640B">
              <w:rPr>
                <w:sz w:val="20"/>
                <w:szCs w:val="20"/>
              </w:rPr>
              <w:t xml:space="preserve">2014 </w:t>
            </w:r>
            <w:r>
              <w:rPr>
                <w:sz w:val="20"/>
                <w:szCs w:val="20"/>
              </w:rPr>
              <w:t>–</w:t>
            </w:r>
            <w:r w:rsidRPr="00FF640B">
              <w:rPr>
                <w:sz w:val="20"/>
                <w:szCs w:val="20"/>
              </w:rPr>
              <w:t xml:space="preserve"> 2015</w:t>
            </w:r>
            <w:r>
              <w:rPr>
                <w:sz w:val="20"/>
                <w:szCs w:val="20"/>
              </w:rPr>
              <w:t xml:space="preserve"> </w:t>
            </w:r>
          </w:p>
        </w:tc>
        <w:tc>
          <w:tcPr>
            <w:tcW w:w="656" w:type="pct"/>
            <w:tcBorders>
              <w:bottom w:val="single" w:sz="4" w:space="0" w:color="D9D9D9" w:themeColor="background1" w:themeShade="D9"/>
            </w:tcBorders>
          </w:tcPr>
          <w:p w14:paraId="15C9649D" w14:textId="77777777" w:rsidR="00A322B9" w:rsidRPr="00F96573" w:rsidRDefault="00A322B9" w:rsidP="00A81ED7">
            <w:pPr>
              <w:spacing w:after="80"/>
              <w:rPr>
                <w:sz w:val="20"/>
                <w:szCs w:val="20"/>
              </w:rPr>
            </w:pPr>
            <w:r w:rsidRPr="00FF640B">
              <w:rPr>
                <w:sz w:val="20"/>
                <w:szCs w:val="20"/>
              </w:rPr>
              <w:t>MBRRACE-UK</w:t>
            </w:r>
          </w:p>
        </w:tc>
        <w:tc>
          <w:tcPr>
            <w:tcW w:w="1515" w:type="pct"/>
            <w:tcBorders>
              <w:bottom w:val="single" w:sz="4" w:space="0" w:color="D9D9D9" w:themeColor="background1" w:themeShade="D9"/>
            </w:tcBorders>
          </w:tcPr>
          <w:p w14:paraId="6A259733" w14:textId="77777777" w:rsidR="00A322B9" w:rsidRDefault="00A322B9" w:rsidP="00A81ED7">
            <w:pPr>
              <w:spacing w:after="80"/>
              <w:rPr>
                <w:sz w:val="20"/>
                <w:szCs w:val="20"/>
              </w:rPr>
            </w:pPr>
            <w:r>
              <w:rPr>
                <w:sz w:val="20"/>
                <w:szCs w:val="20"/>
              </w:rPr>
              <w:t>Area-level</w:t>
            </w:r>
          </w:p>
          <w:p w14:paraId="3F267A43" w14:textId="77777777" w:rsidR="00A322B9" w:rsidRDefault="00A322B9" w:rsidP="00A81ED7">
            <w:pPr>
              <w:spacing w:after="80"/>
              <w:rPr>
                <w:sz w:val="20"/>
                <w:szCs w:val="20"/>
              </w:rPr>
            </w:pPr>
            <w:r w:rsidRPr="00B04CC1">
              <w:rPr>
                <w:sz w:val="20"/>
                <w:szCs w:val="20"/>
              </w:rPr>
              <w:t>Low-Income Families Local Measure</w:t>
            </w:r>
            <w:r>
              <w:rPr>
                <w:sz w:val="20"/>
                <w:szCs w:val="20"/>
              </w:rPr>
              <w:t xml:space="preserve"> divided into quintiles; based on</w:t>
            </w:r>
            <w:r w:rsidRPr="00B04CC1">
              <w:rPr>
                <w:sz w:val="20"/>
                <w:szCs w:val="20"/>
              </w:rPr>
              <w:t xml:space="preserve"> the proportion of children living in families</w:t>
            </w:r>
            <w:r>
              <w:rPr>
                <w:sz w:val="20"/>
                <w:szCs w:val="20"/>
              </w:rPr>
              <w:t xml:space="preserve"> </w:t>
            </w:r>
            <w:r w:rsidRPr="00B04CC1">
              <w:rPr>
                <w:sz w:val="20"/>
                <w:szCs w:val="20"/>
              </w:rPr>
              <w:t>that are either in receipt of out-of-work benefits or in</w:t>
            </w:r>
            <w:r>
              <w:rPr>
                <w:sz w:val="20"/>
                <w:szCs w:val="20"/>
              </w:rPr>
              <w:t xml:space="preserve"> </w:t>
            </w:r>
            <w:r w:rsidRPr="00B04CC1">
              <w:rPr>
                <w:sz w:val="20"/>
                <w:szCs w:val="20"/>
              </w:rPr>
              <w:t xml:space="preserve">receipt of tax credits with a reported income </w:t>
            </w:r>
            <w:r>
              <w:rPr>
                <w:sz w:val="20"/>
                <w:szCs w:val="20"/>
              </w:rPr>
              <w:t>&lt;</w:t>
            </w:r>
            <w:r w:rsidRPr="00B04CC1">
              <w:rPr>
                <w:sz w:val="20"/>
                <w:szCs w:val="20"/>
              </w:rPr>
              <w:t>60% of</w:t>
            </w:r>
            <w:r>
              <w:rPr>
                <w:sz w:val="20"/>
                <w:szCs w:val="20"/>
              </w:rPr>
              <w:t xml:space="preserve"> </w:t>
            </w:r>
            <w:r w:rsidRPr="00B04CC1">
              <w:rPr>
                <w:sz w:val="20"/>
                <w:szCs w:val="20"/>
              </w:rPr>
              <w:t xml:space="preserve">national median income. </w:t>
            </w:r>
          </w:p>
          <w:p w14:paraId="422D240C" w14:textId="77777777" w:rsidR="00A322B9" w:rsidRPr="00F96573" w:rsidRDefault="00A322B9" w:rsidP="00A81ED7">
            <w:pPr>
              <w:spacing w:after="80"/>
              <w:rPr>
                <w:sz w:val="20"/>
                <w:szCs w:val="20"/>
              </w:rPr>
            </w:pPr>
            <w:r>
              <w:rPr>
                <w:sz w:val="20"/>
                <w:szCs w:val="20"/>
              </w:rPr>
              <w:t>S</w:t>
            </w:r>
            <w:r w:rsidRPr="0080165A">
              <w:rPr>
                <w:sz w:val="20"/>
                <w:szCs w:val="20"/>
              </w:rPr>
              <w:t>tillbirth</w:t>
            </w:r>
            <w:r>
              <w:rPr>
                <w:sz w:val="20"/>
                <w:szCs w:val="20"/>
              </w:rPr>
              <w:t xml:space="preserve">s </w:t>
            </w:r>
            <w:r w:rsidRPr="0080165A">
              <w:rPr>
                <w:sz w:val="20"/>
                <w:szCs w:val="20"/>
              </w:rPr>
              <w:t>(≥24 weeks’</w:t>
            </w:r>
            <w:r>
              <w:rPr>
                <w:sz w:val="20"/>
                <w:szCs w:val="20"/>
              </w:rPr>
              <w:t xml:space="preserve"> </w:t>
            </w:r>
            <w:r w:rsidRPr="0080165A">
              <w:rPr>
                <w:sz w:val="20"/>
                <w:szCs w:val="20"/>
              </w:rPr>
              <w:t>gestational age) or neonatal death (death of a live born infant ≥24</w:t>
            </w:r>
            <w:r>
              <w:rPr>
                <w:sz w:val="20"/>
                <w:szCs w:val="20"/>
              </w:rPr>
              <w:t xml:space="preserve"> </w:t>
            </w:r>
            <w:r w:rsidRPr="0080165A">
              <w:rPr>
                <w:sz w:val="20"/>
                <w:szCs w:val="20"/>
              </w:rPr>
              <w:t>weeks’ gestation, 0–27 days after birth)</w:t>
            </w:r>
            <w:r>
              <w:rPr>
                <w:sz w:val="20"/>
                <w:szCs w:val="20"/>
              </w:rPr>
              <w:t xml:space="preserve">, based on the </w:t>
            </w:r>
            <w:r w:rsidRPr="00DE4073">
              <w:rPr>
                <w:sz w:val="20"/>
                <w:szCs w:val="20"/>
              </w:rPr>
              <w:t>Cause Of Death &amp; Associated Conditions</w:t>
            </w:r>
            <w:r>
              <w:rPr>
                <w:sz w:val="20"/>
                <w:szCs w:val="20"/>
              </w:rPr>
              <w:t xml:space="preserve"> </w:t>
            </w:r>
            <w:r w:rsidRPr="00DE4073">
              <w:rPr>
                <w:sz w:val="20"/>
                <w:szCs w:val="20"/>
              </w:rPr>
              <w:t>classification system</w:t>
            </w:r>
            <w:r>
              <w:rPr>
                <w:sz w:val="20"/>
                <w:szCs w:val="20"/>
              </w:rPr>
              <w:t>.</w:t>
            </w:r>
          </w:p>
        </w:tc>
        <w:tc>
          <w:tcPr>
            <w:tcW w:w="2069" w:type="pct"/>
            <w:tcBorders>
              <w:bottom w:val="single" w:sz="4" w:space="0" w:color="D9D9D9" w:themeColor="background1" w:themeShade="D9"/>
            </w:tcBorders>
          </w:tcPr>
          <w:p w14:paraId="58CCB3AE" w14:textId="77777777" w:rsidR="00A322B9" w:rsidRPr="00F96573" w:rsidRDefault="00A322B9" w:rsidP="00A81ED7">
            <w:pPr>
              <w:spacing w:after="80"/>
              <w:rPr>
                <w:sz w:val="20"/>
                <w:szCs w:val="20"/>
              </w:rPr>
            </w:pPr>
            <w:r>
              <w:rPr>
                <w:sz w:val="20"/>
                <w:szCs w:val="20"/>
              </w:rPr>
              <w:t>R</w:t>
            </w:r>
            <w:r w:rsidRPr="00AD1C38">
              <w:rPr>
                <w:sz w:val="20"/>
                <w:szCs w:val="20"/>
              </w:rPr>
              <w:t>ate</w:t>
            </w:r>
            <w:r>
              <w:rPr>
                <w:sz w:val="20"/>
                <w:szCs w:val="20"/>
              </w:rPr>
              <w:t>s</w:t>
            </w:r>
            <w:r w:rsidRPr="00AD1C38">
              <w:rPr>
                <w:sz w:val="20"/>
                <w:szCs w:val="20"/>
              </w:rPr>
              <w:t xml:space="preserve"> increased</w:t>
            </w:r>
            <w:r>
              <w:rPr>
                <w:sz w:val="20"/>
                <w:szCs w:val="20"/>
              </w:rPr>
              <w:t xml:space="preserve"> </w:t>
            </w:r>
            <w:r w:rsidRPr="00AD1C38">
              <w:rPr>
                <w:sz w:val="20"/>
                <w:szCs w:val="20"/>
              </w:rPr>
              <w:t>with increasing deprivation quintile</w:t>
            </w:r>
            <w:r>
              <w:rPr>
                <w:sz w:val="20"/>
                <w:szCs w:val="20"/>
              </w:rPr>
              <w:t>. W</w:t>
            </w:r>
            <w:r w:rsidRPr="00FF640B">
              <w:rPr>
                <w:sz w:val="20"/>
                <w:szCs w:val="20"/>
              </w:rPr>
              <w:t xml:space="preserve">omen in the most deprived areas </w:t>
            </w:r>
            <w:r>
              <w:rPr>
                <w:sz w:val="20"/>
                <w:szCs w:val="20"/>
              </w:rPr>
              <w:t>were</w:t>
            </w:r>
            <w:r w:rsidRPr="00FF640B">
              <w:rPr>
                <w:sz w:val="20"/>
                <w:szCs w:val="20"/>
              </w:rPr>
              <w:t xml:space="preserve"> </w:t>
            </w:r>
            <w:r>
              <w:rPr>
                <w:sz w:val="20"/>
                <w:szCs w:val="20"/>
              </w:rPr>
              <w:t>1.68 times</w:t>
            </w:r>
            <w:r w:rsidRPr="00FF640B">
              <w:rPr>
                <w:sz w:val="20"/>
                <w:szCs w:val="20"/>
              </w:rPr>
              <w:t xml:space="preserve"> more likely to have a stillbirth and </w:t>
            </w:r>
            <w:r>
              <w:rPr>
                <w:sz w:val="20"/>
                <w:szCs w:val="20"/>
              </w:rPr>
              <w:t>1.67 times</w:t>
            </w:r>
            <w:r w:rsidRPr="00FF640B">
              <w:rPr>
                <w:sz w:val="20"/>
                <w:szCs w:val="20"/>
              </w:rPr>
              <w:t xml:space="preserve"> more likely to have a neonatal death than those in the least deprived areas.</w:t>
            </w:r>
          </w:p>
        </w:tc>
      </w:tr>
      <w:tr w:rsidR="00FC4BED" w14:paraId="7CA0B5B0" w14:textId="77777777" w:rsidTr="0068490A">
        <w:trPr>
          <w:cantSplit/>
        </w:trPr>
        <w:tc>
          <w:tcPr>
            <w:tcW w:w="760" w:type="pct"/>
            <w:tcBorders>
              <w:top w:val="single" w:sz="4" w:space="0" w:color="D9D9D9" w:themeColor="background1" w:themeShade="D9"/>
            </w:tcBorders>
            <w:shd w:val="clear" w:color="auto" w:fill="F2F2F2" w:themeFill="background1" w:themeFillShade="F2"/>
          </w:tcPr>
          <w:p w14:paraId="2529696E" w14:textId="77777777" w:rsidR="00A322B9" w:rsidRDefault="00A322B9" w:rsidP="00A81ED7">
            <w:pPr>
              <w:spacing w:after="80"/>
              <w:rPr>
                <w:sz w:val="20"/>
                <w:szCs w:val="20"/>
              </w:rPr>
            </w:pPr>
            <w:proofErr w:type="spellStart"/>
            <w:r>
              <w:rPr>
                <w:sz w:val="20"/>
                <w:szCs w:val="20"/>
              </w:rPr>
              <w:t>Harpur</w:t>
            </w:r>
            <w:proofErr w:type="spellEnd"/>
            <w:r>
              <w:rPr>
                <w:sz w:val="20"/>
                <w:szCs w:val="20"/>
              </w:rPr>
              <w:t xml:space="preserve"> et al., 2021</w:t>
            </w:r>
          </w:p>
          <w:p w14:paraId="40BE74F5" w14:textId="77777777" w:rsidR="00A322B9" w:rsidRDefault="00A322B9" w:rsidP="00A81ED7">
            <w:pPr>
              <w:spacing w:after="80"/>
              <w:rPr>
                <w:sz w:val="20"/>
                <w:szCs w:val="20"/>
              </w:rPr>
            </w:pPr>
            <w:r>
              <w:rPr>
                <w:sz w:val="20"/>
                <w:szCs w:val="20"/>
              </w:rPr>
              <w:t>Scotland</w:t>
            </w:r>
          </w:p>
          <w:p w14:paraId="6599A63B" w14:textId="77777777" w:rsidR="00A322B9" w:rsidRPr="00F96573" w:rsidRDefault="00A322B9" w:rsidP="00A81ED7">
            <w:pPr>
              <w:spacing w:after="80"/>
              <w:rPr>
                <w:sz w:val="20"/>
                <w:szCs w:val="20"/>
              </w:rPr>
            </w:pPr>
            <w:r>
              <w:rPr>
                <w:sz w:val="20"/>
                <w:szCs w:val="20"/>
              </w:rPr>
              <w:t xml:space="preserve">2000 – 2018 </w:t>
            </w:r>
          </w:p>
        </w:tc>
        <w:tc>
          <w:tcPr>
            <w:tcW w:w="656" w:type="pct"/>
            <w:tcBorders>
              <w:top w:val="single" w:sz="4" w:space="0" w:color="D9D9D9" w:themeColor="background1" w:themeShade="D9"/>
            </w:tcBorders>
            <w:shd w:val="clear" w:color="auto" w:fill="F2F2F2" w:themeFill="background1" w:themeFillShade="F2"/>
          </w:tcPr>
          <w:p w14:paraId="528B0D5C" w14:textId="77777777" w:rsidR="00A322B9" w:rsidRPr="00F96573" w:rsidRDefault="00A322B9" w:rsidP="00A81ED7">
            <w:pPr>
              <w:spacing w:after="80"/>
              <w:rPr>
                <w:sz w:val="20"/>
                <w:szCs w:val="20"/>
              </w:rPr>
            </w:pPr>
            <w:r>
              <w:rPr>
                <w:sz w:val="20"/>
                <w:szCs w:val="20"/>
              </w:rPr>
              <w:t>National Records of Scotland</w:t>
            </w:r>
          </w:p>
        </w:tc>
        <w:tc>
          <w:tcPr>
            <w:tcW w:w="1515" w:type="pct"/>
            <w:tcBorders>
              <w:top w:val="single" w:sz="4" w:space="0" w:color="D9D9D9" w:themeColor="background1" w:themeShade="D9"/>
            </w:tcBorders>
            <w:shd w:val="clear" w:color="auto" w:fill="F2F2F2" w:themeFill="background1" w:themeFillShade="F2"/>
          </w:tcPr>
          <w:p w14:paraId="3B8C59CA" w14:textId="77777777" w:rsidR="00A322B9" w:rsidRDefault="00A322B9" w:rsidP="00A81ED7">
            <w:pPr>
              <w:spacing w:after="80"/>
              <w:rPr>
                <w:sz w:val="20"/>
                <w:szCs w:val="20"/>
              </w:rPr>
            </w:pPr>
            <w:r>
              <w:rPr>
                <w:sz w:val="20"/>
                <w:szCs w:val="20"/>
              </w:rPr>
              <w:t xml:space="preserve">Area-level </w:t>
            </w:r>
          </w:p>
          <w:p w14:paraId="125D6C48" w14:textId="77777777" w:rsidR="00A322B9" w:rsidRDefault="00A322B9" w:rsidP="00A81ED7">
            <w:pPr>
              <w:spacing w:after="80"/>
              <w:rPr>
                <w:sz w:val="20"/>
                <w:szCs w:val="20"/>
              </w:rPr>
            </w:pPr>
            <w:r>
              <w:rPr>
                <w:sz w:val="20"/>
                <w:szCs w:val="20"/>
              </w:rPr>
              <w:t>S</w:t>
            </w:r>
            <w:r w:rsidRPr="00215751">
              <w:rPr>
                <w:sz w:val="20"/>
                <w:szCs w:val="20"/>
              </w:rPr>
              <w:t>core</w:t>
            </w:r>
            <w:r>
              <w:rPr>
                <w:sz w:val="20"/>
                <w:szCs w:val="20"/>
              </w:rPr>
              <w:t xml:space="preserve">s on the </w:t>
            </w:r>
            <w:r w:rsidRPr="00215751">
              <w:rPr>
                <w:sz w:val="20"/>
                <w:szCs w:val="20"/>
              </w:rPr>
              <w:t>Scottish Index of Multiple</w:t>
            </w:r>
            <w:r>
              <w:rPr>
                <w:sz w:val="20"/>
                <w:szCs w:val="20"/>
              </w:rPr>
              <w:t xml:space="preserve"> </w:t>
            </w:r>
            <w:r w:rsidRPr="00215751">
              <w:rPr>
                <w:sz w:val="20"/>
                <w:szCs w:val="20"/>
              </w:rPr>
              <w:t>Deprivation income and</w:t>
            </w:r>
            <w:r>
              <w:rPr>
                <w:sz w:val="20"/>
                <w:szCs w:val="20"/>
              </w:rPr>
              <w:t xml:space="preserve"> </w:t>
            </w:r>
            <w:r w:rsidRPr="00215751">
              <w:rPr>
                <w:sz w:val="20"/>
                <w:szCs w:val="20"/>
              </w:rPr>
              <w:t xml:space="preserve">employment </w:t>
            </w:r>
            <w:r w:rsidRPr="00B833DD">
              <w:rPr>
                <w:sz w:val="20"/>
                <w:szCs w:val="20"/>
              </w:rPr>
              <w:t>collapsed into population</w:t>
            </w:r>
            <w:r>
              <w:rPr>
                <w:sz w:val="20"/>
                <w:szCs w:val="20"/>
              </w:rPr>
              <w:t xml:space="preserve"> </w:t>
            </w:r>
            <w:r w:rsidRPr="00B833DD">
              <w:rPr>
                <w:sz w:val="20"/>
                <w:szCs w:val="20"/>
              </w:rPr>
              <w:t>weighted quintiles</w:t>
            </w:r>
            <w:r>
              <w:rPr>
                <w:sz w:val="20"/>
                <w:szCs w:val="20"/>
              </w:rPr>
              <w:t>. Analyses repeated at an individual-level using a modified version of the five-class National Statistics Socio-economic classification.</w:t>
            </w:r>
          </w:p>
          <w:p w14:paraId="250FCE17" w14:textId="77777777" w:rsidR="00A322B9" w:rsidRPr="00F96573" w:rsidRDefault="00A322B9" w:rsidP="00A81ED7">
            <w:pPr>
              <w:spacing w:after="80"/>
              <w:rPr>
                <w:sz w:val="20"/>
                <w:szCs w:val="20"/>
              </w:rPr>
            </w:pPr>
            <w:r>
              <w:rPr>
                <w:sz w:val="20"/>
                <w:szCs w:val="20"/>
              </w:rPr>
              <w:t xml:space="preserve">Infant mortality (deaths within the first year of life) and stillbirth (infants </w:t>
            </w:r>
            <w:r w:rsidRPr="00CE2E47">
              <w:rPr>
                <w:sz w:val="20"/>
                <w:szCs w:val="20"/>
              </w:rPr>
              <w:t>delivered at or beyond 24+0 weeks gestation who did not breathe or show any other signs of life</w:t>
            </w:r>
            <w:r>
              <w:rPr>
                <w:sz w:val="20"/>
                <w:szCs w:val="20"/>
              </w:rPr>
              <w:t>)</w:t>
            </w:r>
          </w:p>
        </w:tc>
        <w:tc>
          <w:tcPr>
            <w:tcW w:w="2069" w:type="pct"/>
            <w:tcBorders>
              <w:top w:val="single" w:sz="4" w:space="0" w:color="D9D9D9" w:themeColor="background1" w:themeShade="D9"/>
            </w:tcBorders>
            <w:shd w:val="clear" w:color="auto" w:fill="F2F2F2" w:themeFill="background1" w:themeFillShade="F2"/>
          </w:tcPr>
          <w:p w14:paraId="6A620A37" w14:textId="77777777" w:rsidR="00A322B9" w:rsidRDefault="00A322B9" w:rsidP="00A81ED7">
            <w:pPr>
              <w:spacing w:after="80"/>
              <w:rPr>
                <w:sz w:val="20"/>
                <w:szCs w:val="20"/>
              </w:rPr>
            </w:pPr>
            <w:r>
              <w:rPr>
                <w:sz w:val="20"/>
                <w:szCs w:val="20"/>
              </w:rPr>
              <w:t>Infant mortality rates</w:t>
            </w:r>
            <w:r w:rsidRPr="00DB21ED">
              <w:rPr>
                <w:sz w:val="20"/>
                <w:szCs w:val="20"/>
              </w:rPr>
              <w:t xml:space="preserve"> fell between 2000 and 2018, with no change in trend</w:t>
            </w:r>
            <w:r>
              <w:rPr>
                <w:sz w:val="20"/>
                <w:szCs w:val="20"/>
              </w:rPr>
              <w:t xml:space="preserve"> </w:t>
            </w:r>
            <w:r w:rsidRPr="00DB21ED">
              <w:rPr>
                <w:sz w:val="20"/>
                <w:szCs w:val="20"/>
              </w:rPr>
              <w:t>identified. Stillbirth rates were relatively static between 2000 and 2008 but experienced accelerated reduction from</w:t>
            </w:r>
            <w:r>
              <w:rPr>
                <w:sz w:val="20"/>
                <w:szCs w:val="20"/>
              </w:rPr>
              <w:t xml:space="preserve"> </w:t>
            </w:r>
            <w:r w:rsidRPr="00DB21ED">
              <w:rPr>
                <w:sz w:val="20"/>
                <w:szCs w:val="20"/>
              </w:rPr>
              <w:t>2009 onwards.</w:t>
            </w:r>
          </w:p>
          <w:p w14:paraId="4E2ED338" w14:textId="77777777" w:rsidR="00A322B9" w:rsidRDefault="00A322B9" w:rsidP="00A81ED7">
            <w:pPr>
              <w:spacing w:after="80"/>
              <w:rPr>
                <w:sz w:val="20"/>
                <w:szCs w:val="20"/>
              </w:rPr>
            </w:pPr>
            <w:r>
              <w:rPr>
                <w:sz w:val="20"/>
                <w:szCs w:val="20"/>
              </w:rPr>
              <w:t>Infant mortality</w:t>
            </w:r>
            <w:r w:rsidRPr="00DB21ED">
              <w:rPr>
                <w:sz w:val="20"/>
                <w:szCs w:val="20"/>
              </w:rPr>
              <w:t xml:space="preserve"> and stillbirth rates </w:t>
            </w:r>
            <w:r>
              <w:rPr>
                <w:sz w:val="20"/>
                <w:szCs w:val="20"/>
              </w:rPr>
              <w:t xml:space="preserve">consistently higher in the most relative to least deprived quintile (2000 to 2018). </w:t>
            </w:r>
            <w:r w:rsidRPr="007A61BE">
              <w:rPr>
                <w:sz w:val="20"/>
                <w:szCs w:val="20"/>
              </w:rPr>
              <w:t>Since 2016, most deprived quintiles in infant, neonatal and post</w:t>
            </w:r>
            <w:r>
              <w:rPr>
                <w:sz w:val="20"/>
                <w:szCs w:val="20"/>
              </w:rPr>
              <w:t>-</w:t>
            </w:r>
            <w:r w:rsidRPr="007A61BE">
              <w:rPr>
                <w:sz w:val="20"/>
                <w:szCs w:val="20"/>
              </w:rPr>
              <w:t>neonatal</w:t>
            </w:r>
            <w:r>
              <w:rPr>
                <w:sz w:val="20"/>
                <w:szCs w:val="20"/>
              </w:rPr>
              <w:t xml:space="preserve"> </w:t>
            </w:r>
            <w:r w:rsidRPr="007A61BE">
              <w:rPr>
                <w:sz w:val="20"/>
                <w:szCs w:val="20"/>
              </w:rPr>
              <w:t>mortality rates have experienced a rising trend in</w:t>
            </w:r>
            <w:r>
              <w:rPr>
                <w:sz w:val="20"/>
                <w:szCs w:val="20"/>
              </w:rPr>
              <w:t xml:space="preserve"> </w:t>
            </w:r>
            <w:r w:rsidRPr="007A61BE">
              <w:rPr>
                <w:sz w:val="20"/>
                <w:szCs w:val="20"/>
              </w:rPr>
              <w:t xml:space="preserve">mortality rates </w:t>
            </w:r>
            <w:r>
              <w:rPr>
                <w:sz w:val="20"/>
                <w:szCs w:val="20"/>
              </w:rPr>
              <w:t xml:space="preserve">following </w:t>
            </w:r>
            <w:r w:rsidRPr="007A61BE">
              <w:rPr>
                <w:sz w:val="20"/>
                <w:szCs w:val="20"/>
              </w:rPr>
              <w:t>previous downward trajectories.</w:t>
            </w:r>
            <w:r>
              <w:rPr>
                <w:sz w:val="20"/>
                <w:szCs w:val="20"/>
              </w:rPr>
              <w:t xml:space="preserve"> E</w:t>
            </w:r>
            <w:r w:rsidRPr="005E2514">
              <w:rPr>
                <w:sz w:val="20"/>
                <w:szCs w:val="20"/>
              </w:rPr>
              <w:t>ach unit change in quintile, from least</w:t>
            </w:r>
            <w:r>
              <w:rPr>
                <w:sz w:val="20"/>
                <w:szCs w:val="20"/>
              </w:rPr>
              <w:t xml:space="preserve"> </w:t>
            </w:r>
            <w:r w:rsidRPr="005E2514">
              <w:rPr>
                <w:sz w:val="20"/>
                <w:szCs w:val="20"/>
              </w:rPr>
              <w:t>(Q5) to most (Q1) deprived was</w:t>
            </w:r>
            <w:r>
              <w:rPr>
                <w:sz w:val="20"/>
                <w:szCs w:val="20"/>
              </w:rPr>
              <w:t xml:space="preserve"> </w:t>
            </w:r>
            <w:r w:rsidRPr="005E2514">
              <w:rPr>
                <w:sz w:val="20"/>
                <w:szCs w:val="20"/>
              </w:rPr>
              <w:t>accompanied by a 16% increase</w:t>
            </w:r>
            <w:r>
              <w:rPr>
                <w:sz w:val="20"/>
                <w:szCs w:val="20"/>
              </w:rPr>
              <w:t xml:space="preserve"> </w:t>
            </w:r>
            <w:r w:rsidRPr="005E2514">
              <w:rPr>
                <w:sz w:val="20"/>
                <w:szCs w:val="20"/>
              </w:rPr>
              <w:t>in the incidence rate of infant mortality (IRR 1.16,</w:t>
            </w:r>
            <w:r>
              <w:rPr>
                <w:sz w:val="20"/>
                <w:szCs w:val="20"/>
              </w:rPr>
              <w:t xml:space="preserve"> </w:t>
            </w:r>
            <w:r w:rsidRPr="005E2514">
              <w:rPr>
                <w:sz w:val="20"/>
                <w:szCs w:val="20"/>
              </w:rPr>
              <w:t>95% CI 1.13–1.19).</w:t>
            </w:r>
          </w:p>
          <w:p w14:paraId="7569F31E" w14:textId="77777777" w:rsidR="00A322B9" w:rsidRPr="00F96573" w:rsidRDefault="00A322B9" w:rsidP="00A81ED7">
            <w:pPr>
              <w:spacing w:after="80"/>
              <w:rPr>
                <w:sz w:val="20"/>
                <w:szCs w:val="20"/>
              </w:rPr>
            </w:pPr>
            <w:r>
              <w:rPr>
                <w:sz w:val="20"/>
                <w:szCs w:val="20"/>
              </w:rPr>
              <w:t xml:space="preserve">Analysis of slope and relative indices of inequalities did not find </w:t>
            </w:r>
            <w:r w:rsidRPr="001D32CF">
              <w:rPr>
                <w:sz w:val="20"/>
                <w:szCs w:val="20"/>
              </w:rPr>
              <w:t>strong evidence for a change in</w:t>
            </w:r>
            <w:r>
              <w:rPr>
                <w:sz w:val="20"/>
                <w:szCs w:val="20"/>
              </w:rPr>
              <w:t xml:space="preserve"> </w:t>
            </w:r>
            <w:r w:rsidRPr="001D32CF">
              <w:rPr>
                <w:sz w:val="20"/>
                <w:szCs w:val="20"/>
              </w:rPr>
              <w:t>absolute or relative</w:t>
            </w:r>
            <w:r>
              <w:rPr>
                <w:sz w:val="20"/>
                <w:szCs w:val="20"/>
              </w:rPr>
              <w:t xml:space="preserve"> </w:t>
            </w:r>
            <w:r w:rsidRPr="001D32CF">
              <w:rPr>
                <w:sz w:val="20"/>
                <w:szCs w:val="20"/>
              </w:rPr>
              <w:t>inequality in infant mortality, neonatal mortality, post</w:t>
            </w:r>
            <w:r>
              <w:rPr>
                <w:sz w:val="20"/>
                <w:szCs w:val="20"/>
              </w:rPr>
              <w:t>-</w:t>
            </w:r>
            <w:r w:rsidRPr="001D32CF">
              <w:rPr>
                <w:sz w:val="20"/>
                <w:szCs w:val="20"/>
              </w:rPr>
              <w:t>neonatal</w:t>
            </w:r>
            <w:r>
              <w:rPr>
                <w:sz w:val="20"/>
                <w:szCs w:val="20"/>
              </w:rPr>
              <w:t xml:space="preserve"> </w:t>
            </w:r>
            <w:r w:rsidRPr="001D32CF">
              <w:rPr>
                <w:sz w:val="20"/>
                <w:szCs w:val="20"/>
              </w:rPr>
              <w:t>mortality, extended perinatal mortality or stillbirth</w:t>
            </w:r>
            <w:r>
              <w:rPr>
                <w:sz w:val="20"/>
                <w:szCs w:val="20"/>
              </w:rPr>
              <w:t xml:space="preserve"> </w:t>
            </w:r>
            <w:r w:rsidRPr="001D32CF">
              <w:rPr>
                <w:sz w:val="20"/>
                <w:szCs w:val="20"/>
              </w:rPr>
              <w:t xml:space="preserve">rates </w:t>
            </w:r>
            <w:r>
              <w:rPr>
                <w:sz w:val="20"/>
                <w:szCs w:val="20"/>
              </w:rPr>
              <w:t>in two</w:t>
            </w:r>
            <w:r w:rsidRPr="001D32CF">
              <w:rPr>
                <w:sz w:val="20"/>
                <w:szCs w:val="20"/>
              </w:rPr>
              <w:t xml:space="preserve"> 8-year periods</w:t>
            </w:r>
            <w:r>
              <w:rPr>
                <w:sz w:val="20"/>
                <w:szCs w:val="20"/>
              </w:rPr>
              <w:t xml:space="preserve"> (2002-2010 </w:t>
            </w:r>
            <w:r w:rsidRPr="00D85C2F">
              <w:rPr>
                <w:sz w:val="20"/>
                <w:szCs w:val="20"/>
              </w:rPr>
              <w:t>and 2011-2018).</w:t>
            </w:r>
          </w:p>
        </w:tc>
      </w:tr>
      <w:tr w:rsidR="00A322B9" w14:paraId="1FB4A8FF" w14:textId="77777777" w:rsidTr="0068490A">
        <w:trPr>
          <w:cantSplit/>
        </w:trPr>
        <w:tc>
          <w:tcPr>
            <w:tcW w:w="760" w:type="pct"/>
          </w:tcPr>
          <w:p w14:paraId="3C672171" w14:textId="77777777" w:rsidR="00A322B9" w:rsidRDefault="00A322B9" w:rsidP="00A81ED7">
            <w:pPr>
              <w:spacing w:after="80"/>
              <w:rPr>
                <w:sz w:val="20"/>
                <w:szCs w:val="20"/>
              </w:rPr>
            </w:pPr>
            <w:proofErr w:type="spellStart"/>
            <w:r>
              <w:rPr>
                <w:sz w:val="20"/>
                <w:szCs w:val="20"/>
              </w:rPr>
              <w:lastRenderedPageBreak/>
              <w:t>Pabayo</w:t>
            </w:r>
            <w:proofErr w:type="spellEnd"/>
            <w:r>
              <w:rPr>
                <w:sz w:val="20"/>
                <w:szCs w:val="20"/>
              </w:rPr>
              <w:t xml:space="preserve"> et al., 2019</w:t>
            </w:r>
          </w:p>
          <w:p w14:paraId="5B7AB34E" w14:textId="77777777" w:rsidR="00A322B9" w:rsidRDefault="00A322B9" w:rsidP="00A81ED7">
            <w:pPr>
              <w:spacing w:after="80"/>
              <w:rPr>
                <w:sz w:val="20"/>
                <w:szCs w:val="20"/>
              </w:rPr>
            </w:pPr>
            <w:r>
              <w:rPr>
                <w:sz w:val="20"/>
                <w:szCs w:val="20"/>
              </w:rPr>
              <w:t>USA</w:t>
            </w:r>
          </w:p>
          <w:p w14:paraId="0D3DAD94" w14:textId="77777777" w:rsidR="00A322B9" w:rsidRDefault="00A322B9" w:rsidP="00A81ED7">
            <w:pPr>
              <w:spacing w:after="80"/>
              <w:rPr>
                <w:sz w:val="20"/>
                <w:szCs w:val="20"/>
              </w:rPr>
            </w:pPr>
            <w:r>
              <w:rPr>
                <w:sz w:val="20"/>
                <w:szCs w:val="20"/>
              </w:rPr>
              <w:t xml:space="preserve">2007 – 2010 </w:t>
            </w:r>
          </w:p>
        </w:tc>
        <w:tc>
          <w:tcPr>
            <w:tcW w:w="656" w:type="pct"/>
          </w:tcPr>
          <w:p w14:paraId="1238AC02" w14:textId="77777777" w:rsidR="00A322B9" w:rsidRDefault="00A322B9" w:rsidP="00A81ED7">
            <w:pPr>
              <w:spacing w:after="80"/>
              <w:rPr>
                <w:sz w:val="20"/>
                <w:szCs w:val="20"/>
              </w:rPr>
            </w:pPr>
            <w:r w:rsidRPr="00B05342">
              <w:rPr>
                <w:sz w:val="20"/>
                <w:szCs w:val="20"/>
              </w:rPr>
              <w:t xml:space="preserve">National Vital Statistics System </w:t>
            </w:r>
          </w:p>
          <w:p w14:paraId="232B86C5" w14:textId="77777777" w:rsidR="00A322B9" w:rsidRDefault="00A322B9" w:rsidP="00A81ED7">
            <w:pPr>
              <w:spacing w:after="80"/>
              <w:rPr>
                <w:sz w:val="20"/>
                <w:szCs w:val="20"/>
              </w:rPr>
            </w:pPr>
            <w:r w:rsidRPr="00B05342">
              <w:rPr>
                <w:sz w:val="20"/>
                <w:szCs w:val="20"/>
              </w:rPr>
              <w:t>US Cohort Linked Birth/Infant</w:t>
            </w:r>
            <w:r>
              <w:rPr>
                <w:sz w:val="20"/>
                <w:szCs w:val="20"/>
              </w:rPr>
              <w:t xml:space="preserve"> </w:t>
            </w:r>
            <w:r w:rsidRPr="00B05342">
              <w:rPr>
                <w:sz w:val="20"/>
                <w:szCs w:val="20"/>
              </w:rPr>
              <w:t>Death Data Files 2007–2010</w:t>
            </w:r>
          </w:p>
        </w:tc>
        <w:tc>
          <w:tcPr>
            <w:tcW w:w="1515" w:type="pct"/>
          </w:tcPr>
          <w:p w14:paraId="57DDF654" w14:textId="77777777" w:rsidR="00A322B9" w:rsidRDefault="00A322B9" w:rsidP="00A81ED7">
            <w:pPr>
              <w:spacing w:after="80"/>
              <w:rPr>
                <w:sz w:val="20"/>
                <w:szCs w:val="20"/>
              </w:rPr>
            </w:pPr>
            <w:r>
              <w:rPr>
                <w:sz w:val="20"/>
                <w:szCs w:val="20"/>
              </w:rPr>
              <w:t xml:space="preserve">Area-level </w:t>
            </w:r>
          </w:p>
          <w:p w14:paraId="793FC848" w14:textId="77777777" w:rsidR="00A322B9" w:rsidRDefault="00A322B9" w:rsidP="00A81ED7">
            <w:pPr>
              <w:spacing w:after="80"/>
              <w:rPr>
                <w:sz w:val="20"/>
                <w:szCs w:val="20"/>
              </w:rPr>
            </w:pPr>
            <w:r>
              <w:rPr>
                <w:sz w:val="20"/>
                <w:szCs w:val="20"/>
              </w:rPr>
              <w:t xml:space="preserve">State-level income inequality, measured by the </w:t>
            </w:r>
            <w:r w:rsidRPr="000706FB">
              <w:rPr>
                <w:sz w:val="20"/>
                <w:szCs w:val="20"/>
              </w:rPr>
              <w:t xml:space="preserve">Gini coefficient between </w:t>
            </w:r>
            <w:r>
              <w:rPr>
                <w:sz w:val="20"/>
                <w:szCs w:val="20"/>
              </w:rPr>
              <w:t xml:space="preserve">of </w:t>
            </w:r>
            <w:r w:rsidRPr="000706FB">
              <w:rPr>
                <w:sz w:val="20"/>
                <w:szCs w:val="20"/>
              </w:rPr>
              <w:t>2007</w:t>
            </w:r>
            <w:r>
              <w:rPr>
                <w:sz w:val="20"/>
                <w:szCs w:val="20"/>
              </w:rPr>
              <w:t xml:space="preserve"> to </w:t>
            </w:r>
            <w:r w:rsidRPr="000706FB">
              <w:rPr>
                <w:sz w:val="20"/>
                <w:szCs w:val="20"/>
              </w:rPr>
              <w:t>2010</w:t>
            </w:r>
            <w:r>
              <w:rPr>
                <w:sz w:val="20"/>
                <w:szCs w:val="20"/>
              </w:rPr>
              <w:t>. The change in Gini coefficient from 1900 to the year of birth was also calculated. State-level (median income, proportion of the population that is non-Hispanic black, population size, and US census division) and individual-level (</w:t>
            </w:r>
            <w:r w:rsidRPr="00A87245">
              <w:rPr>
                <w:sz w:val="20"/>
                <w:szCs w:val="20"/>
              </w:rPr>
              <w:t>mother’s age, race/ethnicity, education, marital status,</w:t>
            </w:r>
            <w:r>
              <w:rPr>
                <w:sz w:val="20"/>
                <w:szCs w:val="20"/>
              </w:rPr>
              <w:t xml:space="preserve"> </w:t>
            </w:r>
            <w:r w:rsidRPr="00A87245">
              <w:rPr>
                <w:sz w:val="20"/>
                <w:szCs w:val="20"/>
              </w:rPr>
              <w:t>and nativity</w:t>
            </w:r>
            <w:r>
              <w:rPr>
                <w:sz w:val="20"/>
                <w:szCs w:val="20"/>
              </w:rPr>
              <w:t>)</w:t>
            </w:r>
            <w:r w:rsidRPr="00A87245">
              <w:rPr>
                <w:sz w:val="20"/>
                <w:szCs w:val="20"/>
              </w:rPr>
              <w:t xml:space="preserve"> </w:t>
            </w:r>
            <w:r>
              <w:rPr>
                <w:sz w:val="20"/>
                <w:szCs w:val="20"/>
              </w:rPr>
              <w:t>factors were controlled for.</w:t>
            </w:r>
          </w:p>
          <w:p w14:paraId="1EF37535" w14:textId="77777777" w:rsidR="00A322B9" w:rsidRDefault="00A322B9" w:rsidP="00A81ED7">
            <w:pPr>
              <w:spacing w:after="80"/>
              <w:rPr>
                <w:sz w:val="20"/>
                <w:szCs w:val="20"/>
              </w:rPr>
            </w:pPr>
            <w:r>
              <w:rPr>
                <w:sz w:val="20"/>
                <w:szCs w:val="20"/>
              </w:rPr>
              <w:t>Infant mortality rate (</w:t>
            </w:r>
            <w:r w:rsidRPr="00165955">
              <w:rPr>
                <w:sz w:val="20"/>
                <w:szCs w:val="20"/>
              </w:rPr>
              <w:t>death</w:t>
            </w:r>
            <w:r>
              <w:rPr>
                <w:sz w:val="20"/>
                <w:szCs w:val="20"/>
              </w:rPr>
              <w:t>s</w:t>
            </w:r>
            <w:r w:rsidRPr="00165955">
              <w:rPr>
                <w:sz w:val="20"/>
                <w:szCs w:val="20"/>
              </w:rPr>
              <w:t xml:space="preserve"> within</w:t>
            </w:r>
            <w:r>
              <w:rPr>
                <w:sz w:val="20"/>
                <w:szCs w:val="20"/>
              </w:rPr>
              <w:t xml:space="preserve"> </w:t>
            </w:r>
            <w:r w:rsidRPr="00165955">
              <w:rPr>
                <w:sz w:val="20"/>
                <w:szCs w:val="20"/>
              </w:rPr>
              <w:t>365 days of birth</w:t>
            </w:r>
            <w:r>
              <w:rPr>
                <w:sz w:val="20"/>
                <w:szCs w:val="20"/>
              </w:rPr>
              <w:t>)</w:t>
            </w:r>
            <w:r w:rsidRPr="00165955">
              <w:rPr>
                <w:sz w:val="20"/>
                <w:szCs w:val="20"/>
              </w:rPr>
              <w:t xml:space="preserve"> and neonatal mortality</w:t>
            </w:r>
            <w:r>
              <w:rPr>
                <w:sz w:val="20"/>
                <w:szCs w:val="20"/>
              </w:rPr>
              <w:t xml:space="preserve"> (</w:t>
            </w:r>
            <w:r w:rsidRPr="00165955">
              <w:rPr>
                <w:sz w:val="20"/>
                <w:szCs w:val="20"/>
              </w:rPr>
              <w:t>death</w:t>
            </w:r>
            <w:r>
              <w:rPr>
                <w:sz w:val="20"/>
                <w:szCs w:val="20"/>
              </w:rPr>
              <w:t>s</w:t>
            </w:r>
            <w:r w:rsidRPr="00165955">
              <w:rPr>
                <w:sz w:val="20"/>
                <w:szCs w:val="20"/>
              </w:rPr>
              <w:t xml:space="preserve"> within the</w:t>
            </w:r>
            <w:r>
              <w:rPr>
                <w:sz w:val="20"/>
                <w:szCs w:val="20"/>
              </w:rPr>
              <w:t xml:space="preserve"> </w:t>
            </w:r>
            <w:r w:rsidRPr="00165955">
              <w:rPr>
                <w:sz w:val="20"/>
                <w:szCs w:val="20"/>
              </w:rPr>
              <w:t>first 28 days of life</w:t>
            </w:r>
            <w:r>
              <w:rPr>
                <w:sz w:val="20"/>
                <w:szCs w:val="20"/>
              </w:rPr>
              <w:t>)</w:t>
            </w:r>
          </w:p>
        </w:tc>
        <w:tc>
          <w:tcPr>
            <w:tcW w:w="2069" w:type="pct"/>
          </w:tcPr>
          <w:p w14:paraId="7CE44040" w14:textId="77777777" w:rsidR="00A322B9" w:rsidRDefault="00A322B9" w:rsidP="00A81ED7">
            <w:pPr>
              <w:spacing w:after="80"/>
            </w:pPr>
            <w:r>
              <w:rPr>
                <w:sz w:val="20"/>
                <w:szCs w:val="20"/>
              </w:rPr>
              <w:t>After</w:t>
            </w:r>
            <w:r w:rsidRPr="009E6871">
              <w:rPr>
                <w:sz w:val="20"/>
                <w:szCs w:val="20"/>
              </w:rPr>
              <w:t xml:space="preserve"> controlling for state and individual level </w:t>
            </w:r>
            <w:r>
              <w:rPr>
                <w:sz w:val="20"/>
                <w:szCs w:val="20"/>
              </w:rPr>
              <w:t>covariates</w:t>
            </w:r>
            <w:r w:rsidRPr="009E6871">
              <w:rPr>
                <w:sz w:val="20"/>
                <w:szCs w:val="20"/>
              </w:rPr>
              <w:t>,</w:t>
            </w:r>
            <w:r>
              <w:rPr>
                <w:sz w:val="20"/>
                <w:szCs w:val="20"/>
              </w:rPr>
              <w:t xml:space="preserve"> income inequality was not</w:t>
            </w:r>
            <w:r w:rsidRPr="009E6871">
              <w:rPr>
                <w:sz w:val="20"/>
                <w:szCs w:val="20"/>
              </w:rPr>
              <w:t xml:space="preserve"> significant</w:t>
            </w:r>
            <w:r>
              <w:rPr>
                <w:sz w:val="20"/>
                <w:szCs w:val="20"/>
              </w:rPr>
              <w:t>ly</w:t>
            </w:r>
            <w:r w:rsidRPr="009E6871">
              <w:rPr>
                <w:sz w:val="20"/>
                <w:szCs w:val="20"/>
              </w:rPr>
              <w:t xml:space="preserve"> </w:t>
            </w:r>
            <w:r>
              <w:rPr>
                <w:sz w:val="20"/>
                <w:szCs w:val="20"/>
              </w:rPr>
              <w:t>associated with an increased odds of</w:t>
            </w:r>
            <w:r w:rsidRPr="009E6871">
              <w:rPr>
                <w:sz w:val="20"/>
                <w:szCs w:val="20"/>
              </w:rPr>
              <w:t xml:space="preserve"> infant </w:t>
            </w:r>
            <w:r>
              <w:rPr>
                <w:sz w:val="20"/>
                <w:szCs w:val="20"/>
              </w:rPr>
              <w:t xml:space="preserve">or neonatal </w:t>
            </w:r>
            <w:r w:rsidRPr="009E6871">
              <w:rPr>
                <w:sz w:val="20"/>
                <w:szCs w:val="20"/>
              </w:rPr>
              <w:t xml:space="preserve">mortality. However, </w:t>
            </w:r>
            <w:r>
              <w:rPr>
                <w:sz w:val="20"/>
                <w:szCs w:val="20"/>
              </w:rPr>
              <w:t>change in income inequality</w:t>
            </w:r>
            <w:r w:rsidRPr="009E6871">
              <w:rPr>
                <w:sz w:val="20"/>
                <w:szCs w:val="20"/>
              </w:rPr>
              <w:t xml:space="preserve"> was significant</w:t>
            </w:r>
            <w:r>
              <w:rPr>
                <w:sz w:val="20"/>
                <w:szCs w:val="20"/>
              </w:rPr>
              <w:t>ly</w:t>
            </w:r>
            <w:r w:rsidRPr="009E6871">
              <w:rPr>
                <w:sz w:val="20"/>
                <w:szCs w:val="20"/>
              </w:rPr>
              <w:t xml:space="preserve"> associated with a</w:t>
            </w:r>
            <w:r>
              <w:rPr>
                <w:sz w:val="20"/>
                <w:szCs w:val="20"/>
              </w:rPr>
              <w:t>n</w:t>
            </w:r>
            <w:r w:rsidRPr="009E6871">
              <w:rPr>
                <w:sz w:val="20"/>
                <w:szCs w:val="20"/>
              </w:rPr>
              <w:t xml:space="preserve"> increase</w:t>
            </w:r>
            <w:r>
              <w:rPr>
                <w:sz w:val="20"/>
                <w:szCs w:val="20"/>
              </w:rPr>
              <w:t>d</w:t>
            </w:r>
            <w:r w:rsidRPr="009E6871">
              <w:rPr>
                <w:sz w:val="20"/>
                <w:szCs w:val="20"/>
              </w:rPr>
              <w:t xml:space="preserve"> </w:t>
            </w:r>
            <w:r>
              <w:rPr>
                <w:sz w:val="20"/>
                <w:szCs w:val="20"/>
              </w:rPr>
              <w:t>odds</w:t>
            </w:r>
            <w:r w:rsidRPr="009E6871">
              <w:rPr>
                <w:sz w:val="20"/>
                <w:szCs w:val="20"/>
              </w:rPr>
              <w:t xml:space="preserve"> of </w:t>
            </w:r>
            <w:r>
              <w:rPr>
                <w:sz w:val="20"/>
                <w:szCs w:val="20"/>
              </w:rPr>
              <w:t xml:space="preserve">both </w:t>
            </w:r>
            <w:r w:rsidRPr="009E6871">
              <w:rPr>
                <w:sz w:val="20"/>
                <w:szCs w:val="20"/>
              </w:rPr>
              <w:t>infant (</w:t>
            </w:r>
            <w:r w:rsidRPr="00BF0F16">
              <w:rPr>
                <w:sz w:val="20"/>
                <w:szCs w:val="20"/>
              </w:rPr>
              <w:t>OR</w:t>
            </w:r>
            <w:r>
              <w:rPr>
                <w:sz w:val="20"/>
                <w:szCs w:val="20"/>
              </w:rPr>
              <w:t xml:space="preserve"> </w:t>
            </w:r>
            <w:r w:rsidRPr="00BF0F16">
              <w:rPr>
                <w:sz w:val="20"/>
                <w:szCs w:val="20"/>
              </w:rPr>
              <w:t>1.03, 95% CI</w:t>
            </w:r>
            <w:r>
              <w:rPr>
                <w:sz w:val="20"/>
                <w:szCs w:val="20"/>
              </w:rPr>
              <w:t xml:space="preserve"> </w:t>
            </w:r>
            <w:r w:rsidRPr="00BF0F16">
              <w:rPr>
                <w:sz w:val="20"/>
                <w:szCs w:val="20"/>
              </w:rPr>
              <w:t>1.00, 1.07</w:t>
            </w:r>
            <w:r>
              <w:rPr>
                <w:sz w:val="20"/>
                <w:szCs w:val="20"/>
              </w:rPr>
              <w:t>) and neonatal</w:t>
            </w:r>
            <w:r w:rsidRPr="009E6871">
              <w:rPr>
                <w:sz w:val="20"/>
                <w:szCs w:val="20"/>
              </w:rPr>
              <w:t xml:space="preserve"> mortality</w:t>
            </w:r>
            <w:r>
              <w:rPr>
                <w:sz w:val="20"/>
                <w:szCs w:val="20"/>
              </w:rPr>
              <w:t xml:space="preserve"> </w:t>
            </w:r>
            <w:r w:rsidRPr="009E6871">
              <w:rPr>
                <w:sz w:val="20"/>
                <w:szCs w:val="20"/>
              </w:rPr>
              <w:t>(AOR</w:t>
            </w:r>
            <w:r w:rsidRPr="00BF0F16">
              <w:rPr>
                <w:sz w:val="20"/>
                <w:szCs w:val="20"/>
              </w:rPr>
              <w:t xml:space="preserve"> 1.05, 95% CI 1.01, 1.09</w:t>
            </w:r>
            <w:r w:rsidRPr="009E6871">
              <w:rPr>
                <w:sz w:val="20"/>
                <w:szCs w:val="20"/>
              </w:rPr>
              <w:t>).</w:t>
            </w:r>
            <w:r>
              <w:t xml:space="preserve"> </w:t>
            </w:r>
          </w:p>
          <w:p w14:paraId="5B81DAD3" w14:textId="77777777" w:rsidR="00A322B9" w:rsidRPr="00DB21ED" w:rsidRDefault="00A322B9" w:rsidP="00A81ED7">
            <w:pPr>
              <w:spacing w:after="80"/>
              <w:rPr>
                <w:sz w:val="20"/>
                <w:szCs w:val="20"/>
              </w:rPr>
            </w:pPr>
            <w:r>
              <w:rPr>
                <w:sz w:val="20"/>
                <w:szCs w:val="20"/>
              </w:rPr>
              <w:t>In</w:t>
            </w:r>
            <w:r w:rsidRPr="00C87260">
              <w:rPr>
                <w:sz w:val="20"/>
                <w:szCs w:val="20"/>
              </w:rPr>
              <w:t>fants and neonates born in the US states that experienced</w:t>
            </w:r>
            <w:r>
              <w:rPr>
                <w:sz w:val="20"/>
                <w:szCs w:val="20"/>
              </w:rPr>
              <w:t xml:space="preserve"> </w:t>
            </w:r>
            <w:r w:rsidRPr="00C87260">
              <w:rPr>
                <w:sz w:val="20"/>
                <w:szCs w:val="20"/>
              </w:rPr>
              <w:t>a greater increase in income inequality since 1990</w:t>
            </w:r>
            <w:r>
              <w:rPr>
                <w:sz w:val="20"/>
                <w:szCs w:val="20"/>
              </w:rPr>
              <w:t xml:space="preserve"> </w:t>
            </w:r>
            <w:r w:rsidRPr="00C87260">
              <w:rPr>
                <w:sz w:val="20"/>
                <w:szCs w:val="20"/>
              </w:rPr>
              <w:t>were more likely to die than those that were born in states</w:t>
            </w:r>
            <w:r>
              <w:rPr>
                <w:sz w:val="20"/>
                <w:szCs w:val="20"/>
              </w:rPr>
              <w:t xml:space="preserve"> </w:t>
            </w:r>
            <w:r w:rsidRPr="00C87260">
              <w:rPr>
                <w:sz w:val="20"/>
                <w:szCs w:val="20"/>
              </w:rPr>
              <w:t>with a smaller increase in income inequality</w:t>
            </w:r>
            <w:r>
              <w:rPr>
                <w:sz w:val="20"/>
                <w:szCs w:val="20"/>
              </w:rPr>
              <w:t>.</w:t>
            </w:r>
          </w:p>
        </w:tc>
      </w:tr>
      <w:tr w:rsidR="00FC4BED" w14:paraId="4C8CCD37" w14:textId="77777777" w:rsidTr="0068490A">
        <w:trPr>
          <w:cantSplit/>
        </w:trPr>
        <w:tc>
          <w:tcPr>
            <w:tcW w:w="760" w:type="pct"/>
            <w:shd w:val="clear" w:color="auto" w:fill="F2F2F2" w:themeFill="background1" w:themeFillShade="F2"/>
          </w:tcPr>
          <w:p w14:paraId="70C3F807" w14:textId="77777777" w:rsidR="00A322B9" w:rsidRDefault="00A322B9" w:rsidP="00A81ED7">
            <w:pPr>
              <w:spacing w:after="80"/>
              <w:rPr>
                <w:sz w:val="20"/>
                <w:szCs w:val="20"/>
              </w:rPr>
            </w:pPr>
            <w:r>
              <w:rPr>
                <w:sz w:val="20"/>
                <w:szCs w:val="20"/>
              </w:rPr>
              <w:t>Robinson et al., 2019</w:t>
            </w:r>
          </w:p>
          <w:p w14:paraId="290F29FE" w14:textId="77777777" w:rsidR="00A322B9" w:rsidRDefault="00A322B9" w:rsidP="00A81ED7">
            <w:pPr>
              <w:spacing w:after="80"/>
              <w:rPr>
                <w:sz w:val="20"/>
                <w:szCs w:val="20"/>
              </w:rPr>
            </w:pPr>
            <w:r>
              <w:rPr>
                <w:sz w:val="20"/>
                <w:szCs w:val="20"/>
              </w:rPr>
              <w:t>England</w:t>
            </w:r>
          </w:p>
          <w:p w14:paraId="45CABC15" w14:textId="77777777" w:rsidR="00A322B9" w:rsidRPr="00F96573" w:rsidRDefault="00A322B9" w:rsidP="00A81ED7">
            <w:pPr>
              <w:spacing w:after="80"/>
              <w:rPr>
                <w:sz w:val="20"/>
                <w:szCs w:val="20"/>
              </w:rPr>
            </w:pPr>
            <w:r>
              <w:rPr>
                <w:sz w:val="20"/>
                <w:szCs w:val="20"/>
              </w:rPr>
              <w:t xml:space="preserve">1983 – 2017 </w:t>
            </w:r>
          </w:p>
        </w:tc>
        <w:tc>
          <w:tcPr>
            <w:tcW w:w="656" w:type="pct"/>
            <w:shd w:val="clear" w:color="auto" w:fill="F2F2F2" w:themeFill="background1" w:themeFillShade="F2"/>
          </w:tcPr>
          <w:p w14:paraId="0D9E3E0F" w14:textId="77777777" w:rsidR="00A322B9" w:rsidRPr="00F96573" w:rsidRDefault="00A322B9" w:rsidP="00A81ED7">
            <w:pPr>
              <w:spacing w:after="80"/>
              <w:rPr>
                <w:sz w:val="20"/>
                <w:szCs w:val="20"/>
              </w:rPr>
            </w:pPr>
            <w:r w:rsidRPr="00BB5976">
              <w:rPr>
                <w:sz w:val="20"/>
                <w:szCs w:val="20"/>
              </w:rPr>
              <w:t xml:space="preserve">UK Data Archive and </w:t>
            </w:r>
            <w:r>
              <w:rPr>
                <w:sz w:val="20"/>
                <w:szCs w:val="20"/>
              </w:rPr>
              <w:t>Office for National Statistics</w:t>
            </w:r>
          </w:p>
        </w:tc>
        <w:tc>
          <w:tcPr>
            <w:tcW w:w="1515" w:type="pct"/>
            <w:shd w:val="clear" w:color="auto" w:fill="F2F2F2" w:themeFill="background1" w:themeFillShade="F2"/>
          </w:tcPr>
          <w:p w14:paraId="0ABF836B" w14:textId="77777777" w:rsidR="00A322B9" w:rsidRDefault="00A322B9" w:rsidP="00A81ED7">
            <w:pPr>
              <w:spacing w:after="80"/>
              <w:rPr>
                <w:sz w:val="20"/>
                <w:szCs w:val="20"/>
              </w:rPr>
            </w:pPr>
            <w:r>
              <w:rPr>
                <w:sz w:val="20"/>
                <w:szCs w:val="20"/>
              </w:rPr>
              <w:t xml:space="preserve">Area-level </w:t>
            </w:r>
          </w:p>
          <w:p w14:paraId="70215BA9" w14:textId="77777777" w:rsidR="00A322B9" w:rsidRDefault="00A322B9" w:rsidP="00A81ED7">
            <w:pPr>
              <w:spacing w:after="80"/>
              <w:rPr>
                <w:sz w:val="20"/>
                <w:szCs w:val="20"/>
              </w:rPr>
            </w:pPr>
            <w:r w:rsidRPr="00FC3EB4">
              <w:rPr>
                <w:sz w:val="20"/>
                <w:szCs w:val="20"/>
              </w:rPr>
              <w:t>Townsend index of material deprivation</w:t>
            </w:r>
            <w:r>
              <w:rPr>
                <w:sz w:val="20"/>
                <w:szCs w:val="20"/>
              </w:rPr>
              <w:t xml:space="preserve"> used</w:t>
            </w:r>
            <w:r w:rsidRPr="00FC3EB4">
              <w:rPr>
                <w:sz w:val="20"/>
                <w:szCs w:val="20"/>
              </w:rPr>
              <w:t xml:space="preserve"> to</w:t>
            </w:r>
            <w:r>
              <w:rPr>
                <w:sz w:val="20"/>
                <w:szCs w:val="20"/>
              </w:rPr>
              <w:t xml:space="preserve"> </w:t>
            </w:r>
            <w:r w:rsidRPr="00FC3EB4">
              <w:rPr>
                <w:sz w:val="20"/>
                <w:szCs w:val="20"/>
              </w:rPr>
              <w:t xml:space="preserve">identify the most deprived local authorities </w:t>
            </w:r>
            <w:r>
              <w:rPr>
                <w:sz w:val="20"/>
                <w:szCs w:val="20"/>
              </w:rPr>
              <w:t>in England</w:t>
            </w:r>
          </w:p>
          <w:p w14:paraId="4AC660A6" w14:textId="77777777" w:rsidR="00A322B9" w:rsidRPr="00F96573" w:rsidRDefault="00A322B9" w:rsidP="00A81ED7">
            <w:pPr>
              <w:spacing w:after="80"/>
              <w:rPr>
                <w:sz w:val="20"/>
                <w:szCs w:val="20"/>
              </w:rPr>
            </w:pPr>
            <w:r>
              <w:rPr>
                <w:sz w:val="20"/>
                <w:szCs w:val="20"/>
              </w:rPr>
              <w:t xml:space="preserve">Infant mortality rate, </w:t>
            </w:r>
            <w:r w:rsidRPr="00BB5976">
              <w:rPr>
                <w:sz w:val="20"/>
                <w:szCs w:val="20"/>
              </w:rPr>
              <w:t>annual number of births and infant deaths</w:t>
            </w:r>
            <w:r>
              <w:rPr>
                <w:sz w:val="20"/>
                <w:szCs w:val="20"/>
              </w:rPr>
              <w:t xml:space="preserve"> under the age of 1</w:t>
            </w:r>
            <w:r w:rsidRPr="00BB5976">
              <w:rPr>
                <w:sz w:val="20"/>
                <w:szCs w:val="20"/>
              </w:rPr>
              <w:t xml:space="preserve"> in local authority areas across England</w:t>
            </w:r>
          </w:p>
        </w:tc>
        <w:tc>
          <w:tcPr>
            <w:tcW w:w="2069" w:type="pct"/>
            <w:shd w:val="clear" w:color="auto" w:fill="F2F2F2" w:themeFill="background1" w:themeFillShade="F2"/>
          </w:tcPr>
          <w:p w14:paraId="37769CB1" w14:textId="77777777" w:rsidR="00A322B9" w:rsidRDefault="00A322B9" w:rsidP="00A81ED7">
            <w:pPr>
              <w:spacing w:after="80"/>
              <w:rPr>
                <w:sz w:val="20"/>
                <w:szCs w:val="20"/>
              </w:rPr>
            </w:pPr>
            <w:r>
              <w:rPr>
                <w:sz w:val="20"/>
                <w:szCs w:val="20"/>
              </w:rPr>
              <w:t xml:space="preserve">Between </w:t>
            </w:r>
            <w:r w:rsidRPr="0092105E">
              <w:rPr>
                <w:sz w:val="20"/>
                <w:szCs w:val="20"/>
              </w:rPr>
              <w:t>1983–1998</w:t>
            </w:r>
            <w:r>
              <w:rPr>
                <w:sz w:val="20"/>
                <w:szCs w:val="20"/>
              </w:rPr>
              <w:t xml:space="preserve"> (b</w:t>
            </w:r>
            <w:r w:rsidRPr="0092105E">
              <w:rPr>
                <w:sz w:val="20"/>
                <w:szCs w:val="20"/>
              </w:rPr>
              <w:t>efore the</w:t>
            </w:r>
            <w:r>
              <w:rPr>
                <w:sz w:val="20"/>
                <w:szCs w:val="20"/>
              </w:rPr>
              <w:t xml:space="preserve"> English health inequalities</w:t>
            </w:r>
            <w:r w:rsidRPr="0092105E">
              <w:rPr>
                <w:sz w:val="20"/>
                <w:szCs w:val="20"/>
              </w:rPr>
              <w:t xml:space="preserve"> strategy), absolute inequalities increased between the most deprived local authorities and the rest of England (0.034</w:t>
            </w:r>
            <w:r>
              <w:rPr>
                <w:sz w:val="20"/>
                <w:szCs w:val="20"/>
              </w:rPr>
              <w:t xml:space="preserve"> per year</w:t>
            </w:r>
            <w:r w:rsidRPr="0092105E">
              <w:rPr>
                <w:sz w:val="20"/>
                <w:szCs w:val="20"/>
              </w:rPr>
              <w:t xml:space="preserve"> 95% CI 0.001 to 0.067). </w:t>
            </w:r>
          </w:p>
          <w:p w14:paraId="5C660AB7" w14:textId="77777777" w:rsidR="00A322B9" w:rsidRDefault="00A322B9" w:rsidP="00A81ED7">
            <w:pPr>
              <w:spacing w:after="80"/>
              <w:rPr>
                <w:sz w:val="20"/>
                <w:szCs w:val="20"/>
              </w:rPr>
            </w:pPr>
            <w:r>
              <w:rPr>
                <w:sz w:val="20"/>
                <w:szCs w:val="20"/>
              </w:rPr>
              <w:t xml:space="preserve">Between </w:t>
            </w:r>
            <w:r w:rsidRPr="0092105E">
              <w:rPr>
                <w:sz w:val="20"/>
                <w:szCs w:val="20"/>
              </w:rPr>
              <w:t>1999–2010</w:t>
            </w:r>
            <w:r>
              <w:rPr>
                <w:sz w:val="20"/>
                <w:szCs w:val="20"/>
              </w:rPr>
              <w:t xml:space="preserve"> (after the </w:t>
            </w:r>
            <w:r w:rsidRPr="0092105E">
              <w:rPr>
                <w:sz w:val="20"/>
                <w:szCs w:val="20"/>
              </w:rPr>
              <w:t>strategy</w:t>
            </w:r>
            <w:r>
              <w:rPr>
                <w:sz w:val="20"/>
                <w:szCs w:val="20"/>
              </w:rPr>
              <w:t>)</w:t>
            </w:r>
            <w:r w:rsidRPr="0092105E">
              <w:rPr>
                <w:sz w:val="20"/>
                <w:szCs w:val="20"/>
              </w:rPr>
              <w:t>, absolute inequalities decreased (−0.116</w:t>
            </w:r>
            <w:r>
              <w:rPr>
                <w:sz w:val="20"/>
                <w:szCs w:val="20"/>
              </w:rPr>
              <w:t xml:space="preserve"> per year</w:t>
            </w:r>
            <w:r w:rsidRPr="0092105E">
              <w:rPr>
                <w:sz w:val="20"/>
                <w:szCs w:val="20"/>
              </w:rPr>
              <w:t xml:space="preserve"> 95% CI −0.178 to −0.053). Relative inequalities also marginally decreased</w:t>
            </w:r>
            <w:r>
              <w:rPr>
                <w:sz w:val="20"/>
                <w:szCs w:val="20"/>
              </w:rPr>
              <w:t>.</w:t>
            </w:r>
          </w:p>
          <w:p w14:paraId="51B5F535" w14:textId="77777777" w:rsidR="00A322B9" w:rsidRPr="00F96573" w:rsidRDefault="00A322B9" w:rsidP="00A81ED7">
            <w:pPr>
              <w:spacing w:after="80"/>
              <w:rPr>
                <w:sz w:val="20"/>
                <w:szCs w:val="20"/>
              </w:rPr>
            </w:pPr>
            <w:r w:rsidRPr="0092105E">
              <w:rPr>
                <w:sz w:val="20"/>
                <w:szCs w:val="20"/>
              </w:rPr>
              <w:t xml:space="preserve">After the strategy period ended </w:t>
            </w:r>
            <w:r w:rsidRPr="00D85C2F">
              <w:rPr>
                <w:sz w:val="20"/>
                <w:szCs w:val="20"/>
              </w:rPr>
              <w:t>(2011–2017), absolute</w:t>
            </w:r>
            <w:r w:rsidRPr="0092105E">
              <w:rPr>
                <w:sz w:val="20"/>
                <w:szCs w:val="20"/>
              </w:rPr>
              <w:t xml:space="preserve"> inequalities increased (</w:t>
            </w:r>
            <w:r>
              <w:rPr>
                <w:sz w:val="20"/>
                <w:szCs w:val="20"/>
              </w:rPr>
              <w:t xml:space="preserve">annual change = </w:t>
            </w:r>
            <w:r w:rsidRPr="0092105E">
              <w:rPr>
                <w:sz w:val="20"/>
                <w:szCs w:val="20"/>
              </w:rPr>
              <w:t xml:space="preserve">0.042 </w:t>
            </w:r>
            <w:r>
              <w:rPr>
                <w:sz w:val="20"/>
                <w:szCs w:val="20"/>
              </w:rPr>
              <w:t>per year</w:t>
            </w:r>
            <w:r w:rsidRPr="0092105E">
              <w:rPr>
                <w:sz w:val="20"/>
                <w:szCs w:val="20"/>
              </w:rPr>
              <w:t xml:space="preserve"> 95% CI −0.042 to 0.125). </w:t>
            </w:r>
          </w:p>
        </w:tc>
      </w:tr>
      <w:tr w:rsidR="00A322B9" w14:paraId="1100D725" w14:textId="77777777" w:rsidTr="0068490A">
        <w:trPr>
          <w:cantSplit/>
        </w:trPr>
        <w:tc>
          <w:tcPr>
            <w:tcW w:w="760" w:type="pct"/>
          </w:tcPr>
          <w:p w14:paraId="50A9A473" w14:textId="77777777" w:rsidR="00A322B9" w:rsidRDefault="00A322B9" w:rsidP="00A81ED7">
            <w:pPr>
              <w:spacing w:after="80"/>
              <w:rPr>
                <w:sz w:val="20"/>
                <w:szCs w:val="20"/>
              </w:rPr>
            </w:pPr>
            <w:proofErr w:type="spellStart"/>
            <w:r w:rsidRPr="0038304C">
              <w:rPr>
                <w:sz w:val="20"/>
                <w:szCs w:val="20"/>
              </w:rPr>
              <w:lastRenderedPageBreak/>
              <w:t>Simeoni</w:t>
            </w:r>
            <w:proofErr w:type="spellEnd"/>
            <w:r w:rsidRPr="0038304C">
              <w:rPr>
                <w:sz w:val="20"/>
                <w:szCs w:val="20"/>
              </w:rPr>
              <w:t xml:space="preserve"> et al., 2019</w:t>
            </w:r>
            <w:r>
              <w:rPr>
                <w:sz w:val="20"/>
                <w:szCs w:val="20"/>
              </w:rPr>
              <w:t xml:space="preserve">; </w:t>
            </w:r>
            <w:proofErr w:type="spellStart"/>
            <w:r>
              <w:rPr>
                <w:sz w:val="20"/>
                <w:szCs w:val="20"/>
              </w:rPr>
              <w:t>Simeoni</w:t>
            </w:r>
            <w:proofErr w:type="spellEnd"/>
            <w:r>
              <w:rPr>
                <w:sz w:val="20"/>
                <w:szCs w:val="20"/>
              </w:rPr>
              <w:t xml:space="preserve"> et.al, 2024</w:t>
            </w:r>
          </w:p>
          <w:p w14:paraId="1716B815" w14:textId="77777777" w:rsidR="00A322B9" w:rsidRDefault="00A322B9" w:rsidP="00A81ED7">
            <w:pPr>
              <w:spacing w:after="80"/>
              <w:rPr>
                <w:sz w:val="20"/>
                <w:szCs w:val="20"/>
              </w:rPr>
            </w:pPr>
            <w:r>
              <w:rPr>
                <w:sz w:val="20"/>
                <w:szCs w:val="20"/>
              </w:rPr>
              <w:t>Italy</w:t>
            </w:r>
          </w:p>
          <w:p w14:paraId="5DA0AB1C" w14:textId="77777777" w:rsidR="00A322B9" w:rsidRPr="00F96573" w:rsidRDefault="00A322B9" w:rsidP="00A81ED7">
            <w:pPr>
              <w:spacing w:after="80"/>
              <w:rPr>
                <w:sz w:val="20"/>
                <w:szCs w:val="20"/>
              </w:rPr>
            </w:pPr>
            <w:r>
              <w:rPr>
                <w:sz w:val="20"/>
                <w:szCs w:val="20"/>
              </w:rPr>
              <w:t xml:space="preserve">2006 – 2015 and </w:t>
            </w:r>
            <w:r>
              <w:rPr>
                <w:sz w:val="20"/>
                <w:szCs w:val="20"/>
              </w:rPr>
              <w:br/>
              <w:t xml:space="preserve">2016 – 2020 </w:t>
            </w:r>
          </w:p>
        </w:tc>
        <w:tc>
          <w:tcPr>
            <w:tcW w:w="656" w:type="pct"/>
          </w:tcPr>
          <w:p w14:paraId="77D134D3" w14:textId="77777777" w:rsidR="00A322B9" w:rsidRDefault="00A322B9" w:rsidP="00A81ED7">
            <w:pPr>
              <w:spacing w:after="80"/>
              <w:rPr>
                <w:sz w:val="20"/>
                <w:szCs w:val="20"/>
              </w:rPr>
            </w:pPr>
            <w:r w:rsidRPr="00E61088">
              <w:rPr>
                <w:sz w:val="20"/>
                <w:szCs w:val="20"/>
              </w:rPr>
              <w:t>Italian National Institute of Statistics</w:t>
            </w:r>
            <w:r>
              <w:rPr>
                <w:sz w:val="20"/>
                <w:szCs w:val="20"/>
              </w:rPr>
              <w:t xml:space="preserve"> </w:t>
            </w:r>
          </w:p>
          <w:p w14:paraId="2FE472D2" w14:textId="77777777" w:rsidR="00A322B9" w:rsidRPr="00F96573" w:rsidRDefault="00A322B9" w:rsidP="00A81ED7">
            <w:pPr>
              <w:spacing w:after="80"/>
              <w:rPr>
                <w:sz w:val="20"/>
                <w:szCs w:val="20"/>
              </w:rPr>
            </w:pPr>
            <w:r w:rsidRPr="004F0852">
              <w:rPr>
                <w:sz w:val="20"/>
                <w:szCs w:val="20"/>
              </w:rPr>
              <w:t>Causes of Death and Live births register</w:t>
            </w:r>
            <w:r>
              <w:rPr>
                <w:sz w:val="20"/>
                <w:szCs w:val="20"/>
              </w:rPr>
              <w:t>s</w:t>
            </w:r>
          </w:p>
        </w:tc>
        <w:tc>
          <w:tcPr>
            <w:tcW w:w="1515" w:type="pct"/>
          </w:tcPr>
          <w:p w14:paraId="6A15B8FB" w14:textId="77777777" w:rsidR="00A322B9" w:rsidRDefault="00A322B9" w:rsidP="00A81ED7">
            <w:pPr>
              <w:spacing w:after="80"/>
              <w:rPr>
                <w:sz w:val="20"/>
                <w:szCs w:val="20"/>
              </w:rPr>
            </w:pPr>
            <w:r>
              <w:rPr>
                <w:sz w:val="20"/>
                <w:szCs w:val="20"/>
              </w:rPr>
              <w:t>Area-level</w:t>
            </w:r>
          </w:p>
          <w:p w14:paraId="5E665517" w14:textId="77777777" w:rsidR="00A322B9" w:rsidRDefault="00A322B9" w:rsidP="00A81ED7">
            <w:pPr>
              <w:spacing w:after="80"/>
              <w:rPr>
                <w:sz w:val="20"/>
                <w:szCs w:val="20"/>
              </w:rPr>
            </w:pPr>
            <w:r>
              <w:rPr>
                <w:sz w:val="20"/>
                <w:szCs w:val="20"/>
              </w:rPr>
              <w:t xml:space="preserve">Five geographical areas of Italy: North West (Piedmont, </w:t>
            </w:r>
            <w:proofErr w:type="spellStart"/>
            <w:r>
              <w:rPr>
                <w:sz w:val="20"/>
                <w:szCs w:val="20"/>
              </w:rPr>
              <w:t>Aosta</w:t>
            </w:r>
            <w:proofErr w:type="spellEnd"/>
            <w:r>
              <w:rPr>
                <w:sz w:val="20"/>
                <w:szCs w:val="20"/>
              </w:rPr>
              <w:t xml:space="preserve"> Valley, Lombardy, Liguria), North East (Veneto, Trentino-South Tyrol, Friuli Venezia Giulia, Emilia-Romagna), Central (Tuscany, Marche, Umbria, Lazio), South regions (Abruzzo, Molise, Campania, Basilicata, Calabria, Apulia), and Islands (Sardinia and Sicily).</w:t>
            </w:r>
          </w:p>
          <w:p w14:paraId="16DB4061" w14:textId="77777777" w:rsidR="00A322B9" w:rsidRPr="00F96573" w:rsidRDefault="00A322B9" w:rsidP="00A81ED7">
            <w:pPr>
              <w:spacing w:after="80"/>
              <w:rPr>
                <w:sz w:val="20"/>
                <w:szCs w:val="20"/>
              </w:rPr>
            </w:pPr>
            <w:r>
              <w:rPr>
                <w:sz w:val="20"/>
                <w:szCs w:val="20"/>
              </w:rPr>
              <w:t>Neonatal mortality (deaths within the first 28 days of life), post-neonatal mortality (deaths between 28 days and the end of the first year of life) and infant mortality (number of deaths in the first year of life)</w:t>
            </w:r>
          </w:p>
        </w:tc>
        <w:tc>
          <w:tcPr>
            <w:tcW w:w="2069" w:type="pct"/>
          </w:tcPr>
          <w:p w14:paraId="744187BA" w14:textId="77777777" w:rsidR="00A322B9" w:rsidRPr="00F96573" w:rsidRDefault="00A322B9" w:rsidP="00A81ED7">
            <w:pPr>
              <w:spacing w:after="80"/>
              <w:rPr>
                <w:sz w:val="20"/>
                <w:szCs w:val="20"/>
              </w:rPr>
            </w:pPr>
            <w:r>
              <w:rPr>
                <w:sz w:val="20"/>
                <w:szCs w:val="20"/>
              </w:rPr>
              <w:t xml:space="preserve">Between 2006 and 2015, mortality was greater in the southern regions and the main islands than in the central-northern regions. </w:t>
            </w:r>
            <w:r w:rsidRPr="008831F1">
              <w:rPr>
                <w:sz w:val="20"/>
                <w:szCs w:val="20"/>
              </w:rPr>
              <w:t>In 2020, neonatal mortality</w:t>
            </w:r>
            <w:r>
              <w:rPr>
                <w:sz w:val="20"/>
                <w:szCs w:val="20"/>
              </w:rPr>
              <w:t xml:space="preserve"> rates</w:t>
            </w:r>
            <w:r w:rsidRPr="008831F1">
              <w:rPr>
                <w:sz w:val="20"/>
                <w:szCs w:val="20"/>
              </w:rPr>
              <w:t xml:space="preserve"> in the South </w:t>
            </w:r>
            <w:r>
              <w:rPr>
                <w:sz w:val="20"/>
                <w:szCs w:val="20"/>
              </w:rPr>
              <w:t>were</w:t>
            </w:r>
            <w:r w:rsidRPr="008831F1">
              <w:rPr>
                <w:sz w:val="20"/>
                <w:szCs w:val="20"/>
              </w:rPr>
              <w:t xml:space="preserve"> 7</w:t>
            </w:r>
            <w:r>
              <w:rPr>
                <w:sz w:val="20"/>
                <w:szCs w:val="20"/>
              </w:rPr>
              <w:t>4</w:t>
            </w:r>
            <w:r w:rsidRPr="008831F1">
              <w:rPr>
                <w:sz w:val="20"/>
                <w:szCs w:val="20"/>
              </w:rPr>
              <w:t xml:space="preserve">% higher than in the North. </w:t>
            </w:r>
            <w:r>
              <w:rPr>
                <w:sz w:val="20"/>
                <w:szCs w:val="20"/>
              </w:rPr>
              <w:t>The difference in post-neonatal mortality and infant mortality between the South and the North was smaller.</w:t>
            </w:r>
          </w:p>
        </w:tc>
      </w:tr>
      <w:tr w:rsidR="00FC4BED" w14:paraId="29BC3CEA" w14:textId="77777777" w:rsidTr="0068490A">
        <w:trPr>
          <w:cantSplit/>
        </w:trPr>
        <w:tc>
          <w:tcPr>
            <w:tcW w:w="760" w:type="pct"/>
            <w:shd w:val="clear" w:color="auto" w:fill="F2F2F2" w:themeFill="background1" w:themeFillShade="F2"/>
          </w:tcPr>
          <w:p w14:paraId="684A618F" w14:textId="77777777" w:rsidR="00A322B9" w:rsidRDefault="00A322B9" w:rsidP="00A81ED7">
            <w:pPr>
              <w:spacing w:after="80"/>
              <w:rPr>
                <w:sz w:val="20"/>
                <w:szCs w:val="20"/>
              </w:rPr>
            </w:pPr>
            <w:r w:rsidRPr="00152F6A">
              <w:rPr>
                <w:sz w:val="20"/>
                <w:szCs w:val="20"/>
              </w:rPr>
              <w:t>Singh</w:t>
            </w:r>
            <w:r>
              <w:rPr>
                <w:sz w:val="20"/>
                <w:szCs w:val="20"/>
              </w:rPr>
              <w:t xml:space="preserve"> &amp;</w:t>
            </w:r>
            <w:r w:rsidRPr="00152F6A">
              <w:rPr>
                <w:sz w:val="20"/>
                <w:szCs w:val="20"/>
              </w:rPr>
              <w:t xml:space="preserve"> </w:t>
            </w:r>
            <w:r>
              <w:rPr>
                <w:sz w:val="20"/>
                <w:szCs w:val="20"/>
              </w:rPr>
              <w:t>Yu</w:t>
            </w:r>
            <w:r w:rsidRPr="00152F6A">
              <w:rPr>
                <w:sz w:val="20"/>
                <w:szCs w:val="20"/>
              </w:rPr>
              <w:t>, 2019</w:t>
            </w:r>
          </w:p>
          <w:p w14:paraId="088D90DB" w14:textId="77777777" w:rsidR="00A322B9" w:rsidRDefault="00A322B9" w:rsidP="00A81ED7">
            <w:pPr>
              <w:spacing w:after="80"/>
              <w:rPr>
                <w:sz w:val="20"/>
                <w:szCs w:val="20"/>
              </w:rPr>
            </w:pPr>
            <w:r>
              <w:rPr>
                <w:sz w:val="20"/>
                <w:szCs w:val="20"/>
              </w:rPr>
              <w:t>USA</w:t>
            </w:r>
          </w:p>
          <w:p w14:paraId="39FAD63C" w14:textId="77777777" w:rsidR="00A322B9" w:rsidRPr="00F96573" w:rsidRDefault="00A322B9" w:rsidP="00A81ED7">
            <w:pPr>
              <w:spacing w:after="80"/>
              <w:rPr>
                <w:sz w:val="20"/>
                <w:szCs w:val="20"/>
              </w:rPr>
            </w:pPr>
            <w:r>
              <w:rPr>
                <w:sz w:val="20"/>
                <w:szCs w:val="20"/>
              </w:rPr>
              <w:t xml:space="preserve">1915 – 2017 </w:t>
            </w:r>
          </w:p>
        </w:tc>
        <w:tc>
          <w:tcPr>
            <w:tcW w:w="656" w:type="pct"/>
            <w:shd w:val="clear" w:color="auto" w:fill="F2F2F2" w:themeFill="background1" w:themeFillShade="F2"/>
          </w:tcPr>
          <w:p w14:paraId="66F989DF" w14:textId="77777777" w:rsidR="00A322B9" w:rsidRDefault="00A322B9" w:rsidP="00A81ED7">
            <w:pPr>
              <w:spacing w:after="80"/>
              <w:rPr>
                <w:sz w:val="20"/>
                <w:szCs w:val="20"/>
              </w:rPr>
            </w:pPr>
            <w:r w:rsidRPr="001536B6">
              <w:rPr>
                <w:sz w:val="20"/>
                <w:szCs w:val="20"/>
              </w:rPr>
              <w:t>National Vital Statistics System</w:t>
            </w:r>
          </w:p>
          <w:p w14:paraId="0E2B1432" w14:textId="77777777" w:rsidR="00A322B9" w:rsidRPr="00F96573" w:rsidRDefault="00A322B9" w:rsidP="00A81ED7">
            <w:pPr>
              <w:spacing w:after="80"/>
              <w:rPr>
                <w:sz w:val="20"/>
                <w:szCs w:val="20"/>
              </w:rPr>
            </w:pPr>
          </w:p>
        </w:tc>
        <w:tc>
          <w:tcPr>
            <w:tcW w:w="1515" w:type="pct"/>
            <w:shd w:val="clear" w:color="auto" w:fill="F2F2F2" w:themeFill="background1" w:themeFillShade="F2"/>
          </w:tcPr>
          <w:p w14:paraId="25B27006" w14:textId="77777777" w:rsidR="00A322B9" w:rsidRDefault="00A322B9" w:rsidP="00A81ED7">
            <w:pPr>
              <w:spacing w:after="80"/>
              <w:rPr>
                <w:sz w:val="20"/>
                <w:szCs w:val="20"/>
              </w:rPr>
            </w:pPr>
            <w:r>
              <w:rPr>
                <w:sz w:val="20"/>
                <w:szCs w:val="20"/>
              </w:rPr>
              <w:t xml:space="preserve">Individual-level </w:t>
            </w:r>
          </w:p>
          <w:p w14:paraId="49804FF3" w14:textId="77777777" w:rsidR="00A322B9" w:rsidRDefault="00A322B9" w:rsidP="00A81ED7">
            <w:pPr>
              <w:spacing w:after="80"/>
              <w:rPr>
                <w:sz w:val="20"/>
                <w:szCs w:val="20"/>
              </w:rPr>
            </w:pPr>
            <w:r>
              <w:rPr>
                <w:sz w:val="20"/>
                <w:szCs w:val="20"/>
              </w:rPr>
              <w:t>Maternal socioeconomic status based on maternal education level (&lt;12 years; 12 years; 13-15 years; 16+ years)</w:t>
            </w:r>
          </w:p>
          <w:p w14:paraId="5A87F8D7" w14:textId="77777777" w:rsidR="00A322B9" w:rsidRPr="00FF640B" w:rsidRDefault="00A322B9" w:rsidP="00A81ED7">
            <w:pPr>
              <w:spacing w:after="80"/>
              <w:rPr>
                <w:sz w:val="20"/>
                <w:szCs w:val="20"/>
              </w:rPr>
            </w:pPr>
            <w:r>
              <w:rPr>
                <w:sz w:val="20"/>
                <w:szCs w:val="20"/>
              </w:rPr>
              <w:t>Infant mortality rate (not defined)</w:t>
            </w:r>
          </w:p>
        </w:tc>
        <w:tc>
          <w:tcPr>
            <w:tcW w:w="2069" w:type="pct"/>
            <w:shd w:val="clear" w:color="auto" w:fill="F2F2F2" w:themeFill="background1" w:themeFillShade="F2"/>
          </w:tcPr>
          <w:p w14:paraId="2D622899" w14:textId="77777777" w:rsidR="00A322B9" w:rsidRPr="00FF640B" w:rsidRDefault="00A322B9" w:rsidP="00A81ED7">
            <w:pPr>
              <w:spacing w:after="80"/>
              <w:rPr>
                <w:sz w:val="20"/>
                <w:szCs w:val="20"/>
              </w:rPr>
            </w:pPr>
            <w:r>
              <w:rPr>
                <w:sz w:val="20"/>
                <w:szCs w:val="20"/>
              </w:rPr>
              <w:t>Declines in mortality between 1986 and 2016 in all education groups but overall disparity in infant mortality</w:t>
            </w:r>
            <w:r w:rsidRPr="00A00359">
              <w:rPr>
                <w:sz w:val="20"/>
                <w:szCs w:val="20"/>
              </w:rPr>
              <w:t xml:space="preserve"> grew</w:t>
            </w:r>
            <w:r>
              <w:rPr>
                <w:sz w:val="20"/>
                <w:szCs w:val="20"/>
              </w:rPr>
              <w:t>. Index of inequality score grew from 48% (1996) to 82% (2016)</w:t>
            </w:r>
            <w:r w:rsidRPr="00A00359">
              <w:rPr>
                <w:sz w:val="20"/>
                <w:szCs w:val="20"/>
              </w:rPr>
              <w:t>. In 2016, mothers with less than a high school education</w:t>
            </w:r>
            <w:r>
              <w:rPr>
                <w:sz w:val="20"/>
                <w:szCs w:val="20"/>
              </w:rPr>
              <w:t xml:space="preserve"> (&lt;12 years)</w:t>
            </w:r>
            <w:r w:rsidRPr="00A00359">
              <w:rPr>
                <w:sz w:val="20"/>
                <w:szCs w:val="20"/>
              </w:rPr>
              <w:t xml:space="preserve"> had 2.4 times the risk of infant mortality, 1.9 times the risk of neonatal mortality, and 3.7 times the risk of post-neonatal mortality</w:t>
            </w:r>
            <w:r>
              <w:rPr>
                <w:sz w:val="20"/>
                <w:szCs w:val="20"/>
              </w:rPr>
              <w:t xml:space="preserve"> than those with a college degree (16+ years)</w:t>
            </w:r>
            <w:r w:rsidRPr="00A00359">
              <w:rPr>
                <w:sz w:val="20"/>
                <w:szCs w:val="20"/>
              </w:rPr>
              <w:t>.</w:t>
            </w:r>
            <w:r>
              <w:rPr>
                <w:sz w:val="20"/>
                <w:szCs w:val="20"/>
              </w:rPr>
              <w:t xml:space="preserve"> D</w:t>
            </w:r>
            <w:r w:rsidRPr="00A00359">
              <w:rPr>
                <w:sz w:val="20"/>
                <w:szCs w:val="20"/>
              </w:rPr>
              <w:t xml:space="preserve">iscrepancies between regions </w:t>
            </w:r>
            <w:r>
              <w:rPr>
                <w:sz w:val="20"/>
                <w:szCs w:val="20"/>
              </w:rPr>
              <w:t>have grown</w:t>
            </w:r>
            <w:r w:rsidRPr="00A00359">
              <w:rPr>
                <w:sz w:val="20"/>
                <w:szCs w:val="20"/>
              </w:rPr>
              <w:t xml:space="preserve"> with time</w:t>
            </w:r>
            <w:r>
              <w:rPr>
                <w:sz w:val="20"/>
                <w:szCs w:val="20"/>
              </w:rPr>
              <w:t xml:space="preserve">; </w:t>
            </w:r>
            <w:r w:rsidRPr="00A00359">
              <w:rPr>
                <w:sz w:val="20"/>
                <w:szCs w:val="20"/>
              </w:rPr>
              <w:t xml:space="preserve">Southeast states </w:t>
            </w:r>
            <w:r>
              <w:rPr>
                <w:sz w:val="20"/>
                <w:szCs w:val="20"/>
              </w:rPr>
              <w:t>report</w:t>
            </w:r>
            <w:r w:rsidRPr="00A00359">
              <w:rPr>
                <w:sz w:val="20"/>
                <w:szCs w:val="20"/>
              </w:rPr>
              <w:t xml:space="preserve"> higher infant mortality </w:t>
            </w:r>
            <w:r>
              <w:rPr>
                <w:sz w:val="20"/>
                <w:szCs w:val="20"/>
              </w:rPr>
              <w:t xml:space="preserve">rates </w:t>
            </w:r>
            <w:r w:rsidRPr="00A00359">
              <w:rPr>
                <w:sz w:val="20"/>
                <w:szCs w:val="20"/>
              </w:rPr>
              <w:t>than others.</w:t>
            </w:r>
          </w:p>
        </w:tc>
      </w:tr>
    </w:tbl>
    <w:p w14:paraId="3579B3DA" w14:textId="77777777" w:rsidR="00A322B9" w:rsidRDefault="00A322B9" w:rsidP="00A322B9"/>
    <w:p w14:paraId="486ED2A4" w14:textId="77777777" w:rsidR="00A322B9" w:rsidRPr="00A322B9" w:rsidRDefault="00A322B9" w:rsidP="00A322B9"/>
    <w:p w14:paraId="08F792E2" w14:textId="77777777" w:rsidR="00A322B9" w:rsidRDefault="00A322B9" w:rsidP="00A322B9">
      <w:pPr>
        <w:pStyle w:val="Heading1"/>
        <w:numPr>
          <w:ilvl w:val="0"/>
          <w:numId w:val="0"/>
        </w:numPr>
        <w:sectPr w:rsidR="00A322B9" w:rsidSect="00C00F8E">
          <w:pgSz w:w="16838" w:h="11906" w:orient="landscape"/>
          <w:pgMar w:top="720" w:right="720" w:bottom="720" w:left="720" w:header="708" w:footer="708" w:gutter="0"/>
          <w:cols w:space="708"/>
          <w:docGrid w:linePitch="360"/>
        </w:sectPr>
      </w:pPr>
    </w:p>
    <w:p w14:paraId="70EE686B" w14:textId="5B95313C" w:rsidR="00C00F8E" w:rsidRDefault="00C00F8E" w:rsidP="007F0C8F">
      <w:pPr>
        <w:pStyle w:val="Heading1"/>
        <w:numPr>
          <w:ilvl w:val="0"/>
          <w:numId w:val="0"/>
        </w:numPr>
        <w:ind w:left="431" w:hanging="431"/>
      </w:pPr>
      <w:bookmarkStart w:id="39" w:name="_Toc185516857"/>
      <w:bookmarkStart w:id="40" w:name="_Toc189563144"/>
      <w:r>
        <w:lastRenderedPageBreak/>
        <w:t xml:space="preserve">Appendix 2: </w:t>
      </w:r>
      <w:r w:rsidR="007B1E97">
        <w:t>Welsh policies and strategies with relevance to health inequalities</w:t>
      </w:r>
      <w:bookmarkEnd w:id="39"/>
      <w:bookmarkEnd w:id="40"/>
    </w:p>
    <w:tbl>
      <w:tblPr>
        <w:tblW w:w="0" w:type="auto"/>
        <w:tblLook w:val="06A0" w:firstRow="1" w:lastRow="0" w:firstColumn="1" w:lastColumn="0" w:noHBand="1" w:noVBand="1"/>
      </w:tblPr>
      <w:tblGrid>
        <w:gridCol w:w="1560"/>
        <w:gridCol w:w="8505"/>
        <w:gridCol w:w="5333"/>
      </w:tblGrid>
      <w:tr w:rsidR="007B1E97" w:rsidRPr="007B1E97" w14:paraId="3A9A2752" w14:textId="77777777" w:rsidTr="00E11D69">
        <w:trPr>
          <w:trHeight w:val="384"/>
          <w:tblHeader/>
        </w:trPr>
        <w:tc>
          <w:tcPr>
            <w:tcW w:w="1560" w:type="dxa"/>
            <w:shd w:val="clear" w:color="auto" w:fill="156082" w:themeFill="accent1"/>
            <w:vAlign w:val="center"/>
          </w:tcPr>
          <w:p w14:paraId="12A2147D" w14:textId="77777777" w:rsidR="00C00F8E" w:rsidRPr="007B1E97" w:rsidRDefault="00C00F8E" w:rsidP="00A81ED7">
            <w:pPr>
              <w:spacing w:after="0" w:line="240" w:lineRule="auto"/>
              <w:rPr>
                <w:rFonts w:eastAsia="Times New Roman" w:cs="Arial"/>
                <w:b/>
                <w:bCs/>
                <w:color w:val="FFFFFF" w:themeColor="background1"/>
                <w:kern w:val="0"/>
                <w:sz w:val="20"/>
                <w:szCs w:val="20"/>
                <w:lang w:eastAsia="en-GB"/>
                <w14:ligatures w14:val="none"/>
              </w:rPr>
            </w:pPr>
            <w:r w:rsidRPr="007B1E97">
              <w:rPr>
                <w:rFonts w:eastAsia="Times New Roman" w:cs="Arial"/>
                <w:b/>
                <w:bCs/>
                <w:color w:val="FFFFFF" w:themeColor="background1"/>
                <w:kern w:val="0"/>
                <w:sz w:val="20"/>
                <w:szCs w:val="20"/>
                <w:lang w:eastAsia="en-GB"/>
                <w14:ligatures w14:val="none"/>
              </w:rPr>
              <w:t>Area of Focus</w:t>
            </w:r>
          </w:p>
        </w:tc>
        <w:tc>
          <w:tcPr>
            <w:tcW w:w="8505" w:type="dxa"/>
            <w:shd w:val="clear" w:color="auto" w:fill="156082" w:themeFill="accent1"/>
            <w:vAlign w:val="center"/>
          </w:tcPr>
          <w:p w14:paraId="6EF8AF5D" w14:textId="7042FD33" w:rsidR="00C00F8E" w:rsidRPr="007B1E97" w:rsidRDefault="00C00F8E" w:rsidP="00A81ED7">
            <w:pPr>
              <w:spacing w:after="0" w:line="240" w:lineRule="auto"/>
              <w:jc w:val="center"/>
              <w:rPr>
                <w:rFonts w:eastAsia="Aptos" w:cs="Arial"/>
                <w:b/>
                <w:bCs/>
                <w:color w:val="FFFFFF" w:themeColor="background1"/>
                <w:sz w:val="20"/>
                <w:szCs w:val="20"/>
              </w:rPr>
            </w:pPr>
            <w:r w:rsidRPr="007B1E97">
              <w:rPr>
                <w:rFonts w:eastAsia="Aptos" w:cs="Arial"/>
                <w:b/>
                <w:bCs/>
                <w:color w:val="FFFFFF" w:themeColor="background1"/>
                <w:sz w:val="20"/>
                <w:szCs w:val="20"/>
              </w:rPr>
              <w:t>Strategy</w:t>
            </w:r>
            <w:r w:rsidR="0085140E">
              <w:rPr>
                <w:rFonts w:eastAsia="Aptos" w:cs="Arial"/>
                <w:b/>
                <w:bCs/>
                <w:color w:val="FFFFFF" w:themeColor="background1"/>
                <w:sz w:val="20"/>
                <w:szCs w:val="20"/>
              </w:rPr>
              <w:t>*</w:t>
            </w:r>
          </w:p>
        </w:tc>
        <w:tc>
          <w:tcPr>
            <w:tcW w:w="5333" w:type="dxa"/>
            <w:shd w:val="clear" w:color="auto" w:fill="156082" w:themeFill="accent1"/>
            <w:vAlign w:val="center"/>
          </w:tcPr>
          <w:p w14:paraId="556C6637" w14:textId="54F87680" w:rsidR="00C00F8E" w:rsidRPr="007B1E97" w:rsidRDefault="00C00F8E" w:rsidP="00A81ED7">
            <w:pPr>
              <w:contextualSpacing/>
              <w:jc w:val="center"/>
              <w:rPr>
                <w:rFonts w:eastAsia="Aptos" w:cs="Arial"/>
                <w:b/>
                <w:bCs/>
                <w:color w:val="FFFFFF" w:themeColor="background1"/>
                <w:sz w:val="20"/>
                <w:szCs w:val="20"/>
              </w:rPr>
            </w:pPr>
            <w:r w:rsidRPr="007B1E97">
              <w:rPr>
                <w:rFonts w:eastAsia="Aptos" w:cs="Arial"/>
                <w:b/>
                <w:bCs/>
                <w:color w:val="FFFFFF" w:themeColor="background1"/>
                <w:sz w:val="20"/>
                <w:szCs w:val="20"/>
              </w:rPr>
              <w:t>Policy</w:t>
            </w:r>
            <w:r w:rsidR="0085140E">
              <w:rPr>
                <w:rFonts w:eastAsia="Aptos" w:cs="Arial"/>
                <w:b/>
                <w:bCs/>
                <w:color w:val="FFFFFF" w:themeColor="background1"/>
                <w:sz w:val="20"/>
                <w:szCs w:val="20"/>
              </w:rPr>
              <w:t>*</w:t>
            </w:r>
          </w:p>
        </w:tc>
      </w:tr>
      <w:tr w:rsidR="00C00F8E" w:rsidRPr="00E56B85" w14:paraId="75DDD76D" w14:textId="77777777" w:rsidTr="00654D89">
        <w:trPr>
          <w:trHeight w:val="4064"/>
        </w:trPr>
        <w:tc>
          <w:tcPr>
            <w:tcW w:w="1560" w:type="dxa"/>
            <w:shd w:val="clear" w:color="auto" w:fill="auto"/>
            <w:vAlign w:val="center"/>
          </w:tcPr>
          <w:p w14:paraId="46E33860" w14:textId="0D1B7FBC" w:rsidR="00C00F8E" w:rsidRPr="00E56B85" w:rsidRDefault="00C00F8E" w:rsidP="00A81ED7">
            <w:pPr>
              <w:spacing w:after="0" w:line="240" w:lineRule="auto"/>
              <w:rPr>
                <w:rFonts w:eastAsia="Times New Roman" w:cs="Arial"/>
                <w:b/>
                <w:bCs/>
                <w:color w:val="000000"/>
                <w:kern w:val="0"/>
                <w:sz w:val="20"/>
                <w:szCs w:val="20"/>
                <w:lang w:eastAsia="en-GB"/>
                <w14:ligatures w14:val="none"/>
              </w:rPr>
            </w:pPr>
            <w:r w:rsidRPr="00E56B85">
              <w:rPr>
                <w:rFonts w:eastAsia="Times New Roman" w:cs="Arial"/>
                <w:b/>
                <w:bCs/>
                <w:color w:val="000000"/>
                <w:kern w:val="0"/>
                <w:sz w:val="20"/>
                <w:szCs w:val="20"/>
                <w:lang w:eastAsia="en-GB"/>
                <w14:ligatures w14:val="none"/>
              </w:rPr>
              <w:t xml:space="preserve">Health </w:t>
            </w:r>
            <w:r w:rsidR="00D81936" w:rsidRPr="00E56B85">
              <w:rPr>
                <w:rFonts w:eastAsia="Times New Roman" w:cs="Arial"/>
                <w:b/>
                <w:bCs/>
                <w:color w:val="000000"/>
                <w:kern w:val="0"/>
                <w:sz w:val="20"/>
                <w:szCs w:val="20"/>
                <w:lang w:eastAsia="en-GB"/>
                <w14:ligatures w14:val="none"/>
              </w:rPr>
              <w:t>Services</w:t>
            </w:r>
          </w:p>
        </w:tc>
        <w:tc>
          <w:tcPr>
            <w:tcW w:w="8505" w:type="dxa"/>
            <w:shd w:val="clear" w:color="auto" w:fill="auto"/>
          </w:tcPr>
          <w:p w14:paraId="15F68E93"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Digital and data strategy for health and social care in Wales</w:t>
            </w:r>
          </w:p>
          <w:p w14:paraId="2EC84CC2"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The role of outpatients in transforming planned care in Wales</w:t>
            </w:r>
          </w:p>
          <w:p w14:paraId="55358086"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Strengthening our community care system</w:t>
            </w:r>
          </w:p>
          <w:p w14:paraId="00906A8D"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Substance Misuse Delivery Plan 2019-2022</w:t>
            </w:r>
          </w:p>
          <w:p w14:paraId="3F545CD8"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Dementia Action Plan 2018 to 2022</w:t>
            </w:r>
          </w:p>
          <w:p w14:paraId="227A9819"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Together for Mental Health Delivery Plan 2019-2022</w:t>
            </w:r>
          </w:p>
          <w:p w14:paraId="5429BCEA"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Age Friendly Wales: Our Strategy for an Ageing Society</w:t>
            </w:r>
          </w:p>
          <w:p w14:paraId="604141EF"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Healthy Weight: Healthy Wales Obesity Strategy</w:t>
            </w:r>
          </w:p>
          <w:p w14:paraId="428B615D"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A Healthier Wales: Long-term Plan for Health and Social Care</w:t>
            </w:r>
          </w:p>
          <w:p w14:paraId="78230A11"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Transforming and Modernising Planned Care and Reducing NHS Waiting Lists</w:t>
            </w:r>
          </w:p>
          <w:p w14:paraId="734633D8"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A Smoke-free Wales: Our Long-term Tobacco Control Strategy</w:t>
            </w:r>
          </w:p>
          <w:p w14:paraId="673FE778"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Directed Enhanced Service: Hormone Treatment for Adult Patients with Gender Dysphoria</w:t>
            </w:r>
          </w:p>
          <w:p w14:paraId="199FC621"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Directed Enhanced Service: Homelessness</w:t>
            </w:r>
          </w:p>
          <w:p w14:paraId="2180AA2B"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Directed Enhanced Service: Asylum Seekers and Refugees</w:t>
            </w:r>
          </w:p>
          <w:p w14:paraId="600D06B7"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More Than Just Words: Welsh Language Plan in Health and Social Care</w:t>
            </w:r>
          </w:p>
          <w:p w14:paraId="6EC7852D"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Learning Disability Delivery and Implementation Plan 2022-2026</w:t>
            </w:r>
          </w:p>
        </w:tc>
        <w:tc>
          <w:tcPr>
            <w:tcW w:w="5333" w:type="dxa"/>
            <w:shd w:val="clear" w:color="auto" w:fill="auto"/>
          </w:tcPr>
          <w:p w14:paraId="774D025C"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Charter for unpaid carers</w:t>
            </w:r>
          </w:p>
          <w:p w14:paraId="60607CBB"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National framework for social prescribing</w:t>
            </w:r>
          </w:p>
          <w:p w14:paraId="709DEEC4"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Programme for Government 2021 to 2026</w:t>
            </w:r>
          </w:p>
        </w:tc>
      </w:tr>
      <w:tr w:rsidR="00C00F8E" w:rsidRPr="00E56B85" w14:paraId="1E362955" w14:textId="77777777" w:rsidTr="00654D89">
        <w:trPr>
          <w:trHeight w:val="1556"/>
        </w:trPr>
        <w:tc>
          <w:tcPr>
            <w:tcW w:w="1560" w:type="dxa"/>
            <w:shd w:val="clear" w:color="auto" w:fill="F2F2F2" w:themeFill="background1" w:themeFillShade="F2"/>
            <w:vAlign w:val="center"/>
          </w:tcPr>
          <w:p w14:paraId="5A9E651C" w14:textId="23C3DE6B" w:rsidR="00C00F8E" w:rsidRPr="00E56B85" w:rsidRDefault="00C00F8E" w:rsidP="00A81ED7">
            <w:pPr>
              <w:spacing w:after="0" w:line="240" w:lineRule="auto"/>
              <w:rPr>
                <w:rFonts w:eastAsia="Times New Roman" w:cs="Arial"/>
                <w:b/>
                <w:bCs/>
                <w:color w:val="000000"/>
                <w:kern w:val="0"/>
                <w:sz w:val="20"/>
                <w:szCs w:val="20"/>
                <w:lang w:eastAsia="en-GB"/>
                <w14:ligatures w14:val="none"/>
              </w:rPr>
            </w:pPr>
            <w:r w:rsidRPr="00E56B85">
              <w:rPr>
                <w:rFonts w:eastAsia="Times New Roman" w:cs="Arial"/>
                <w:b/>
                <w:bCs/>
                <w:color w:val="000000"/>
                <w:kern w:val="0"/>
                <w:sz w:val="20"/>
                <w:szCs w:val="20"/>
                <w:lang w:eastAsia="en-GB"/>
                <w14:ligatures w14:val="none"/>
              </w:rPr>
              <w:t xml:space="preserve">Income </w:t>
            </w:r>
            <w:r w:rsidR="00D81936" w:rsidRPr="00E56B85">
              <w:rPr>
                <w:rFonts w:eastAsia="Times New Roman" w:cs="Arial"/>
                <w:b/>
                <w:bCs/>
                <w:color w:val="000000"/>
                <w:kern w:val="0"/>
                <w:sz w:val="20"/>
                <w:szCs w:val="20"/>
                <w:lang w:eastAsia="en-GB"/>
                <w14:ligatures w14:val="none"/>
              </w:rPr>
              <w:t>Security &amp; Social Protection</w:t>
            </w:r>
          </w:p>
        </w:tc>
        <w:tc>
          <w:tcPr>
            <w:tcW w:w="8505" w:type="dxa"/>
            <w:shd w:val="clear" w:color="auto" w:fill="F2F2F2" w:themeFill="background1" w:themeFillShade="F2"/>
          </w:tcPr>
          <w:p w14:paraId="0999CE66"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Tackling Fuel Poverty 2021 to 2035</w:t>
            </w:r>
          </w:p>
          <w:p w14:paraId="6C8FCFC1"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Equality Plan and Objectives: 2020 to 2024</w:t>
            </w:r>
          </w:p>
          <w:p w14:paraId="642221DC"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Raising Awareness of Children’s Rights</w:t>
            </w:r>
          </w:p>
          <w:p w14:paraId="0C79F3C7"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Childcare Offer for Wales: National Digital Service Assisted Digital Strategy</w:t>
            </w:r>
          </w:p>
          <w:p w14:paraId="3D89E0A0"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UK Strategy for Financial Well-being: Delivery Plan for Wales</w:t>
            </w:r>
          </w:p>
          <w:p w14:paraId="6D7B30F7"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Welsh Government Budget Improvement Plan 2023 to 2024</w:t>
            </w:r>
          </w:p>
        </w:tc>
        <w:tc>
          <w:tcPr>
            <w:tcW w:w="5333" w:type="dxa"/>
            <w:shd w:val="clear" w:color="auto" w:fill="F2F2F2" w:themeFill="background1" w:themeFillShade="F2"/>
          </w:tcPr>
          <w:p w14:paraId="2A126194"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Our National Mission: High Standards and Aspirations for All</w:t>
            </w:r>
          </w:p>
        </w:tc>
      </w:tr>
      <w:tr w:rsidR="00C00F8E" w:rsidRPr="00E56B85" w14:paraId="31745C9C" w14:textId="77777777" w:rsidTr="00E11D69">
        <w:tc>
          <w:tcPr>
            <w:tcW w:w="1560" w:type="dxa"/>
            <w:shd w:val="clear" w:color="auto" w:fill="auto"/>
            <w:vAlign w:val="center"/>
          </w:tcPr>
          <w:p w14:paraId="1EDC6F0F" w14:textId="6576B512" w:rsidR="00C00F8E" w:rsidRPr="00E56B85" w:rsidRDefault="00C00F8E" w:rsidP="00A81ED7">
            <w:pPr>
              <w:spacing w:after="0" w:line="240" w:lineRule="auto"/>
              <w:rPr>
                <w:rFonts w:eastAsia="Times New Roman" w:cs="Arial"/>
                <w:b/>
                <w:bCs/>
                <w:color w:val="000000"/>
                <w:kern w:val="0"/>
                <w:sz w:val="20"/>
                <w:szCs w:val="20"/>
                <w:lang w:eastAsia="en-GB"/>
                <w14:ligatures w14:val="none"/>
              </w:rPr>
            </w:pPr>
            <w:r w:rsidRPr="00E56B85">
              <w:rPr>
                <w:rFonts w:eastAsia="Times New Roman" w:cs="Arial"/>
                <w:b/>
                <w:bCs/>
                <w:color w:val="000000"/>
                <w:kern w:val="0"/>
                <w:sz w:val="20"/>
                <w:szCs w:val="20"/>
                <w:lang w:eastAsia="en-GB"/>
                <w14:ligatures w14:val="none"/>
              </w:rPr>
              <w:t xml:space="preserve">Living </w:t>
            </w:r>
            <w:r w:rsidR="00D81936" w:rsidRPr="00E56B85">
              <w:rPr>
                <w:rFonts w:eastAsia="Times New Roman" w:cs="Arial"/>
                <w:b/>
                <w:bCs/>
                <w:color w:val="000000"/>
                <w:kern w:val="0"/>
                <w:sz w:val="20"/>
                <w:szCs w:val="20"/>
                <w:lang w:eastAsia="en-GB"/>
                <w14:ligatures w14:val="none"/>
              </w:rPr>
              <w:t>Conditions</w:t>
            </w:r>
          </w:p>
        </w:tc>
        <w:tc>
          <w:tcPr>
            <w:tcW w:w="8505" w:type="dxa"/>
            <w:shd w:val="clear" w:color="auto" w:fill="auto"/>
          </w:tcPr>
          <w:p w14:paraId="099D4960"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Healthy Weight: Healthy Wales Obesity Strategy</w:t>
            </w:r>
          </w:p>
          <w:p w14:paraId="7214A0D1"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A Healthier Wales: Long-term Plan for Health and Social Care</w:t>
            </w:r>
          </w:p>
          <w:p w14:paraId="1C6A73EE"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Equality Plan and Objectives: 2020 to 2024</w:t>
            </w:r>
          </w:p>
          <w:p w14:paraId="3AEE2AA2"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An Active Travel Action Plan for Wales</w:t>
            </w:r>
          </w:p>
          <w:p w14:paraId="5DE65307"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Clean Air Plan for Wales: Healthy Air, Healthy Wales</w:t>
            </w:r>
          </w:p>
          <w:p w14:paraId="680C2D00"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Prosperity for All: A Climate conscious Wales</w:t>
            </w:r>
          </w:p>
          <w:p w14:paraId="362743B3"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Violence Against Women, Domestic Abuse and Sexual Violence: National Survivor Engagement Framework</w:t>
            </w:r>
          </w:p>
          <w:p w14:paraId="1B5CF6AE"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lastRenderedPageBreak/>
              <w:t>Violence Against Women, Domestic Abuse and Sexual Violence: National Advisers Annual Plan 2021 to 2022</w:t>
            </w:r>
          </w:p>
          <w:p w14:paraId="58704415"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Low Carbon Delivery Plan</w:t>
            </w:r>
          </w:p>
          <w:p w14:paraId="65F0AF6B"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Social House Building Strategy</w:t>
            </w:r>
          </w:p>
          <w:p w14:paraId="5D869B3F"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Strategy for Preventing and Ending Homelessness</w:t>
            </w:r>
          </w:p>
          <w:p w14:paraId="0FFEB800"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National Strategy for Flood and Coastal Erosion Risk Management in Wales</w:t>
            </w:r>
          </w:p>
          <w:p w14:paraId="39E591FF"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Cold Weather Resilience Plan</w:t>
            </w:r>
          </w:p>
          <w:p w14:paraId="371EADBE"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Ending Homelessness in Wales: A High-Level Action Plan 2021 to 2026</w:t>
            </w:r>
          </w:p>
          <w:p w14:paraId="2EFC1E27"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Regional Economic Frameworks</w:t>
            </w:r>
          </w:p>
          <w:p w14:paraId="191D86A0"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Towards Zero Waste: Our Waste Strategy</w:t>
            </w:r>
          </w:p>
          <w:p w14:paraId="1CC27468"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Future Wales: The National Plan 2040</w:t>
            </w:r>
          </w:p>
          <w:p w14:paraId="6AF869CF"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Welsh Government Net Zero Strategic Plan</w:t>
            </w:r>
          </w:p>
          <w:p w14:paraId="57001499" w14:textId="77777777" w:rsidR="00C00F8E" w:rsidRPr="00E56B85" w:rsidRDefault="00C00F8E" w:rsidP="00A81ED7">
            <w:pPr>
              <w:spacing w:after="0" w:line="240" w:lineRule="auto"/>
              <w:rPr>
                <w:rFonts w:eastAsia="Times New Roman" w:cs="Arial"/>
                <w:color w:val="000000"/>
                <w:kern w:val="0"/>
                <w:sz w:val="20"/>
                <w:szCs w:val="20"/>
                <w:lang w:eastAsia="en-GB"/>
                <w14:ligatures w14:val="none"/>
              </w:rPr>
            </w:pPr>
          </w:p>
        </w:tc>
        <w:tc>
          <w:tcPr>
            <w:tcW w:w="5333" w:type="dxa"/>
            <w:shd w:val="clear" w:color="auto" w:fill="auto"/>
          </w:tcPr>
          <w:p w14:paraId="392308B9"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lastRenderedPageBreak/>
              <w:t>Programme for Government 2021 to 2026</w:t>
            </w:r>
          </w:p>
          <w:p w14:paraId="10128491"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New Warm Homes Programme: policy statement</w:t>
            </w:r>
          </w:p>
        </w:tc>
      </w:tr>
      <w:tr w:rsidR="00C00F8E" w:rsidRPr="00E56B85" w14:paraId="2657A571" w14:textId="77777777" w:rsidTr="00654D89">
        <w:trPr>
          <w:trHeight w:val="4271"/>
        </w:trPr>
        <w:tc>
          <w:tcPr>
            <w:tcW w:w="1560" w:type="dxa"/>
            <w:shd w:val="clear" w:color="auto" w:fill="F2F2F2" w:themeFill="background1" w:themeFillShade="F2"/>
            <w:vAlign w:val="center"/>
          </w:tcPr>
          <w:p w14:paraId="58118D69" w14:textId="6CD93E21" w:rsidR="00C00F8E" w:rsidRPr="00E56B85" w:rsidRDefault="00C00F8E" w:rsidP="00A81ED7">
            <w:pPr>
              <w:spacing w:after="0" w:line="240" w:lineRule="auto"/>
              <w:rPr>
                <w:rFonts w:eastAsia="Times New Roman" w:cs="Arial"/>
                <w:b/>
                <w:bCs/>
                <w:color w:val="000000"/>
                <w:kern w:val="0"/>
                <w:sz w:val="20"/>
                <w:szCs w:val="20"/>
                <w:lang w:eastAsia="en-GB"/>
                <w14:ligatures w14:val="none"/>
              </w:rPr>
            </w:pPr>
            <w:r w:rsidRPr="00E56B85">
              <w:rPr>
                <w:rFonts w:eastAsia="Times New Roman" w:cs="Arial"/>
                <w:b/>
                <w:bCs/>
                <w:color w:val="000000"/>
                <w:kern w:val="0"/>
                <w:sz w:val="20"/>
                <w:szCs w:val="20"/>
                <w:lang w:eastAsia="en-GB"/>
                <w14:ligatures w14:val="none"/>
              </w:rPr>
              <w:t xml:space="preserve">Social </w:t>
            </w:r>
            <w:r w:rsidR="006364EF">
              <w:rPr>
                <w:rFonts w:eastAsia="Times New Roman" w:cs="Arial"/>
                <w:b/>
                <w:bCs/>
                <w:color w:val="000000"/>
                <w:kern w:val="0"/>
                <w:sz w:val="20"/>
                <w:szCs w:val="20"/>
                <w:lang w:eastAsia="en-GB"/>
                <w14:ligatures w14:val="none"/>
              </w:rPr>
              <w:t>&amp;</w:t>
            </w:r>
            <w:r w:rsidR="006364EF" w:rsidRPr="00E56B85">
              <w:rPr>
                <w:rFonts w:eastAsia="Times New Roman" w:cs="Arial"/>
                <w:b/>
                <w:bCs/>
                <w:color w:val="000000"/>
                <w:kern w:val="0"/>
                <w:sz w:val="20"/>
                <w:szCs w:val="20"/>
                <w:lang w:eastAsia="en-GB"/>
                <w14:ligatures w14:val="none"/>
              </w:rPr>
              <w:t xml:space="preserve"> Human Capital</w:t>
            </w:r>
          </w:p>
        </w:tc>
        <w:tc>
          <w:tcPr>
            <w:tcW w:w="8505" w:type="dxa"/>
            <w:shd w:val="clear" w:color="auto" w:fill="F2F2F2" w:themeFill="background1" w:themeFillShade="F2"/>
          </w:tcPr>
          <w:p w14:paraId="346ACC96"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Strengthening our community care system</w:t>
            </w:r>
          </w:p>
          <w:p w14:paraId="00376F5D"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Together for Mental Health Delivery Plan 2019-2022</w:t>
            </w:r>
          </w:p>
          <w:p w14:paraId="69B7E03B"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Healthy Weight: Healthy Wales Obesity Strategy</w:t>
            </w:r>
          </w:p>
          <w:p w14:paraId="4E222009"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Equality Plan and Objectives: 2020 to 2024</w:t>
            </w:r>
          </w:p>
          <w:p w14:paraId="0E33D104"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Strategy for an Ageing Society: Delivery Plan</w:t>
            </w:r>
          </w:p>
          <w:p w14:paraId="74E62E76"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Strategy for an ageing society: delivery plan progress May 2023</w:t>
            </w:r>
          </w:p>
          <w:p w14:paraId="3D9164EC"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Youth Engagement and Progression Framework</w:t>
            </w:r>
          </w:p>
          <w:p w14:paraId="0DD9758C"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Supporting Young People in the Justice system</w:t>
            </w:r>
          </w:p>
          <w:p w14:paraId="6A7F3E18"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Digital Strategy for Wales</w:t>
            </w:r>
          </w:p>
          <w:p w14:paraId="2E7E0E70"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Cymraeg 2050: Our Plan for 2021 – 2026</w:t>
            </w:r>
          </w:p>
          <w:p w14:paraId="34FCB1DC"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Violence Against Women, Domestic Abuse and Sexual Violence: Strategy 2022 to 2026</w:t>
            </w:r>
          </w:p>
          <w:p w14:paraId="5D401039"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Equality, Race and Disability Evidence Units Strategy</w:t>
            </w:r>
          </w:p>
          <w:p w14:paraId="7DBB4999"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LGBTQ+ Action Plan for Wales</w:t>
            </w:r>
          </w:p>
          <w:p w14:paraId="15036C32"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Period Proud Wales Action Plan</w:t>
            </w:r>
          </w:p>
          <w:p w14:paraId="3F5A6626"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Delivering Justice for Wales</w:t>
            </w:r>
          </w:p>
          <w:p w14:paraId="0A0D8B30"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Well-being of Future Generations: Continuous Learning and Improvement Plan for 2023 to 2025</w:t>
            </w:r>
          </w:p>
        </w:tc>
        <w:tc>
          <w:tcPr>
            <w:tcW w:w="5333" w:type="dxa"/>
            <w:shd w:val="clear" w:color="auto" w:fill="F2F2F2" w:themeFill="background1" w:themeFillShade="F2"/>
          </w:tcPr>
          <w:p w14:paraId="44A15993"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Charter for unpaid carers</w:t>
            </w:r>
          </w:p>
          <w:p w14:paraId="7CF62B86"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Programme for Government 2021 to 2026</w:t>
            </w:r>
          </w:p>
          <w:p w14:paraId="0AF0ACB1"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Children and young people's plan</w:t>
            </w:r>
          </w:p>
          <w:p w14:paraId="4E1DC343"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Anti-racist Wales Action Plan</w:t>
            </w:r>
          </w:p>
          <w:p w14:paraId="66D8CDAF" w14:textId="77777777" w:rsidR="00C00F8E" w:rsidRPr="00E56B85" w:rsidRDefault="00C00F8E" w:rsidP="00A81ED7">
            <w:pPr>
              <w:spacing w:after="0" w:line="240" w:lineRule="auto"/>
              <w:rPr>
                <w:rFonts w:eastAsia="Times New Roman" w:cs="Arial"/>
                <w:color w:val="000000"/>
                <w:kern w:val="0"/>
                <w:sz w:val="20"/>
                <w:szCs w:val="20"/>
                <w:lang w:eastAsia="en-GB"/>
                <w14:ligatures w14:val="none"/>
              </w:rPr>
            </w:pPr>
          </w:p>
        </w:tc>
      </w:tr>
      <w:tr w:rsidR="00C00F8E" w:rsidRPr="00E56B85" w14:paraId="4D160AD8" w14:textId="77777777" w:rsidTr="00E11D69">
        <w:tc>
          <w:tcPr>
            <w:tcW w:w="1560" w:type="dxa"/>
            <w:tcBorders>
              <w:bottom w:val="single" w:sz="4" w:space="0" w:color="F2F2F2" w:themeColor="background1" w:themeShade="F2"/>
            </w:tcBorders>
            <w:shd w:val="clear" w:color="auto" w:fill="auto"/>
            <w:vAlign w:val="center"/>
          </w:tcPr>
          <w:p w14:paraId="0B72A4FD" w14:textId="29A322AD" w:rsidR="00C00F8E" w:rsidRPr="00E56B85" w:rsidRDefault="00C00F8E" w:rsidP="00A81ED7">
            <w:pPr>
              <w:spacing w:after="0" w:line="240" w:lineRule="auto"/>
              <w:rPr>
                <w:rFonts w:eastAsia="Times New Roman" w:cs="Arial"/>
                <w:b/>
                <w:bCs/>
                <w:color w:val="000000"/>
                <w:kern w:val="0"/>
                <w:sz w:val="20"/>
                <w:szCs w:val="20"/>
                <w:lang w:eastAsia="en-GB"/>
                <w14:ligatures w14:val="none"/>
              </w:rPr>
            </w:pPr>
            <w:r w:rsidRPr="00E56B85">
              <w:rPr>
                <w:rFonts w:eastAsia="Times New Roman" w:cs="Arial"/>
                <w:b/>
                <w:bCs/>
                <w:color w:val="000000"/>
                <w:kern w:val="0"/>
                <w:sz w:val="20"/>
                <w:szCs w:val="20"/>
                <w:lang w:eastAsia="en-GB"/>
                <w14:ligatures w14:val="none"/>
              </w:rPr>
              <w:t xml:space="preserve">Employment </w:t>
            </w:r>
            <w:r w:rsidR="006364EF">
              <w:rPr>
                <w:rFonts w:eastAsia="Times New Roman" w:cs="Arial"/>
                <w:b/>
                <w:bCs/>
                <w:color w:val="000000"/>
                <w:kern w:val="0"/>
                <w:sz w:val="20"/>
                <w:szCs w:val="20"/>
                <w:lang w:eastAsia="en-GB"/>
                <w14:ligatures w14:val="none"/>
              </w:rPr>
              <w:t>&amp;</w:t>
            </w:r>
            <w:r w:rsidR="006364EF" w:rsidRPr="00E56B85">
              <w:rPr>
                <w:rFonts w:eastAsia="Times New Roman" w:cs="Arial"/>
                <w:b/>
                <w:bCs/>
                <w:color w:val="000000"/>
                <w:kern w:val="0"/>
                <w:sz w:val="20"/>
                <w:szCs w:val="20"/>
                <w:lang w:eastAsia="en-GB"/>
                <w14:ligatures w14:val="none"/>
              </w:rPr>
              <w:t xml:space="preserve"> Working Conditions</w:t>
            </w:r>
          </w:p>
        </w:tc>
        <w:tc>
          <w:tcPr>
            <w:tcW w:w="8505" w:type="dxa"/>
            <w:tcBorders>
              <w:bottom w:val="single" w:sz="4" w:space="0" w:color="F2F2F2" w:themeColor="background1" w:themeShade="F2"/>
            </w:tcBorders>
            <w:shd w:val="clear" w:color="auto" w:fill="auto"/>
          </w:tcPr>
          <w:p w14:paraId="48303595"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Healthy Weight: Healthy Wales Obesity Strategy</w:t>
            </w:r>
          </w:p>
          <w:p w14:paraId="7C846D64"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Digital Strategy for Wales</w:t>
            </w:r>
          </w:p>
          <w:p w14:paraId="7F65947A"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Cross-Government Employability Plan</w:t>
            </w:r>
          </w:p>
          <w:p w14:paraId="76FE15F6"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Workforce Equality, Diversity, and Inclusion Strategy: 2021 to 2026</w:t>
            </w:r>
          </w:p>
          <w:p w14:paraId="0C9D7223"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Stronger, Fairer, Greener Wales: A Plan for Employability and Skills</w:t>
            </w:r>
          </w:p>
          <w:p w14:paraId="0F304E42"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Regional Economic Frameworks</w:t>
            </w:r>
          </w:p>
          <w:p w14:paraId="4B36ED87"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National Occupational Standards Strategy 2022 and Beyond</w:t>
            </w:r>
          </w:p>
        </w:tc>
        <w:tc>
          <w:tcPr>
            <w:tcW w:w="5333" w:type="dxa"/>
            <w:tcBorders>
              <w:bottom w:val="single" w:sz="4" w:space="0" w:color="F2F2F2" w:themeColor="background1" w:themeShade="F2"/>
            </w:tcBorders>
            <w:shd w:val="clear" w:color="auto" w:fill="auto"/>
          </w:tcPr>
          <w:p w14:paraId="15432CB0" w14:textId="77777777" w:rsidR="00C00F8E" w:rsidRPr="00E56B85" w:rsidRDefault="00C00F8E" w:rsidP="0049380C">
            <w:pPr>
              <w:pStyle w:val="ListParagraph"/>
              <w:numPr>
                <w:ilvl w:val="0"/>
                <w:numId w:val="15"/>
              </w:numPr>
              <w:spacing w:after="0" w:line="240" w:lineRule="auto"/>
              <w:ind w:left="244" w:hanging="244"/>
              <w:rPr>
                <w:rFonts w:eastAsia="Times New Roman" w:cs="Arial"/>
                <w:color w:val="000000"/>
                <w:kern w:val="0"/>
                <w:sz w:val="20"/>
                <w:szCs w:val="20"/>
                <w:lang w:eastAsia="en-GB"/>
                <w14:ligatures w14:val="none"/>
              </w:rPr>
            </w:pPr>
            <w:r w:rsidRPr="00E56B85">
              <w:rPr>
                <w:rFonts w:eastAsia="Times New Roman" w:cs="Arial"/>
                <w:color w:val="000000"/>
                <w:kern w:val="0"/>
                <w:sz w:val="20"/>
                <w:szCs w:val="20"/>
                <w:lang w:eastAsia="en-GB"/>
                <w14:ligatures w14:val="none"/>
              </w:rPr>
              <w:t>Programme for Government 2021 to 2026</w:t>
            </w:r>
          </w:p>
        </w:tc>
      </w:tr>
    </w:tbl>
    <w:p w14:paraId="7FE125DD" w14:textId="01C88A94" w:rsidR="0068490A" w:rsidRPr="007B1E97" w:rsidRDefault="00C00F8E" w:rsidP="00E11D69">
      <w:pPr>
        <w:spacing w:before="120" w:after="0" w:line="240" w:lineRule="auto"/>
        <w:rPr>
          <w:rFonts w:cs="Calibri"/>
          <w:color w:val="212121"/>
          <w:sz w:val="20"/>
          <w:szCs w:val="20"/>
        </w:rPr>
      </w:pPr>
      <w:r w:rsidRPr="007B1E97">
        <w:rPr>
          <w:rFonts w:cs="Calibri"/>
          <w:color w:val="212121"/>
          <w:sz w:val="20"/>
          <w:szCs w:val="20"/>
        </w:rPr>
        <w:t>* Categori</w:t>
      </w:r>
      <w:r w:rsidR="007B1E97">
        <w:rPr>
          <w:rFonts w:cs="Calibri"/>
          <w:color w:val="212121"/>
          <w:sz w:val="20"/>
          <w:szCs w:val="20"/>
        </w:rPr>
        <w:t>s</w:t>
      </w:r>
      <w:r w:rsidRPr="007B1E97">
        <w:rPr>
          <w:rFonts w:cs="Calibri"/>
          <w:color w:val="212121"/>
          <w:sz w:val="20"/>
          <w:szCs w:val="20"/>
        </w:rPr>
        <w:t>ed according to the</w:t>
      </w:r>
      <w:r w:rsidR="007B1E97">
        <w:rPr>
          <w:rFonts w:cs="Calibri"/>
          <w:color w:val="212121"/>
          <w:sz w:val="20"/>
          <w:szCs w:val="20"/>
        </w:rPr>
        <w:t>ir</w:t>
      </w:r>
      <w:r w:rsidRPr="007B1E97">
        <w:rPr>
          <w:rFonts w:cs="Calibri"/>
          <w:color w:val="212121"/>
          <w:sz w:val="20"/>
          <w:szCs w:val="20"/>
        </w:rPr>
        <w:t xml:space="preserve"> </w:t>
      </w:r>
      <w:r w:rsidR="007B1E97" w:rsidRPr="007B1E97">
        <w:rPr>
          <w:rFonts w:cs="Calibri"/>
          <w:color w:val="212121"/>
          <w:sz w:val="20"/>
          <w:szCs w:val="20"/>
        </w:rPr>
        <w:t>classification</w:t>
      </w:r>
      <w:r w:rsidR="007B1E97">
        <w:rPr>
          <w:rFonts w:cs="Calibri"/>
          <w:color w:val="212121"/>
          <w:sz w:val="20"/>
          <w:szCs w:val="20"/>
        </w:rPr>
        <w:t xml:space="preserve"> on the</w:t>
      </w:r>
      <w:r w:rsidR="007B1E97" w:rsidRPr="007B1E97">
        <w:rPr>
          <w:rFonts w:cs="Calibri"/>
          <w:color w:val="212121"/>
          <w:sz w:val="20"/>
          <w:szCs w:val="20"/>
        </w:rPr>
        <w:t xml:space="preserve"> </w:t>
      </w:r>
      <w:r w:rsidRPr="007B1E97">
        <w:rPr>
          <w:rFonts w:cs="Calibri"/>
          <w:color w:val="212121"/>
          <w:sz w:val="20"/>
          <w:szCs w:val="20"/>
        </w:rPr>
        <w:t>Welsh Health Equity Solutions Platform</w:t>
      </w:r>
      <w:r w:rsidR="007B1E97">
        <w:rPr>
          <w:rFonts w:cs="Calibri"/>
          <w:color w:val="212121"/>
          <w:sz w:val="20"/>
          <w:szCs w:val="20"/>
        </w:rPr>
        <w:t>.</w:t>
      </w:r>
    </w:p>
    <w:p w14:paraId="34D559FE" w14:textId="77777777" w:rsidR="00C00F8E" w:rsidRPr="007B1E97" w:rsidRDefault="00C00F8E" w:rsidP="00C00F8E">
      <w:pPr>
        <w:rPr>
          <w:sz w:val="20"/>
          <w:szCs w:val="20"/>
        </w:rPr>
        <w:sectPr w:rsidR="00C00F8E" w:rsidRPr="007B1E97" w:rsidSect="000C6D44">
          <w:pgSz w:w="16838" w:h="11906" w:orient="landscape"/>
          <w:pgMar w:top="720" w:right="720" w:bottom="720" w:left="720" w:header="708" w:footer="708" w:gutter="0"/>
          <w:cols w:space="708"/>
          <w:docGrid w:linePitch="360"/>
        </w:sectPr>
      </w:pPr>
    </w:p>
    <w:p w14:paraId="70CF57ED" w14:textId="431085BF" w:rsidR="007F0C8F" w:rsidRDefault="007F0C8F" w:rsidP="007F0C8F">
      <w:pPr>
        <w:pStyle w:val="Heading1"/>
        <w:numPr>
          <w:ilvl w:val="0"/>
          <w:numId w:val="0"/>
        </w:numPr>
        <w:ind w:left="431" w:hanging="431"/>
      </w:pPr>
      <w:bookmarkStart w:id="41" w:name="_Toc185516858"/>
      <w:bookmarkStart w:id="42" w:name="_Toc189563145"/>
      <w:r>
        <w:lastRenderedPageBreak/>
        <w:t xml:space="preserve">Appendix </w:t>
      </w:r>
      <w:r w:rsidR="005A5A99">
        <w:t>3</w:t>
      </w:r>
      <w:r>
        <w:t>: Country</w:t>
      </w:r>
      <w:r w:rsidR="003F47AB">
        <w:t>-</w:t>
      </w:r>
      <w:r>
        <w:t>level comparison data</w:t>
      </w:r>
      <w:bookmarkEnd w:id="41"/>
      <w:bookmarkEnd w:id="42"/>
    </w:p>
    <w:p w14:paraId="5CA476A2" w14:textId="7BB48A41" w:rsidR="00D30A07" w:rsidRDefault="005B7BF3" w:rsidP="005B7BF3">
      <w:pPr>
        <w:pStyle w:val="Heading2"/>
        <w:numPr>
          <w:ilvl w:val="0"/>
          <w:numId w:val="0"/>
        </w:numPr>
        <w:ind w:left="576" w:hanging="576"/>
      </w:pPr>
      <w:r w:rsidRPr="00A322B9">
        <w:t xml:space="preserve">Comparison of </w:t>
      </w:r>
      <w:r>
        <w:t xml:space="preserve">country-level </w:t>
      </w:r>
      <w:r w:rsidRPr="00A322B9">
        <w:t>demographic and socioeconomic contexts</w:t>
      </w:r>
    </w:p>
    <w:tbl>
      <w:tblPr>
        <w:tblStyle w:val="TableGrid"/>
        <w:tblW w:w="155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3"/>
        <w:gridCol w:w="1424"/>
        <w:gridCol w:w="1405"/>
        <w:gridCol w:w="1373"/>
        <w:gridCol w:w="1405"/>
        <w:gridCol w:w="1405"/>
        <w:gridCol w:w="1406"/>
        <w:gridCol w:w="1406"/>
        <w:gridCol w:w="1406"/>
        <w:gridCol w:w="1406"/>
      </w:tblGrid>
      <w:tr w:rsidR="00E14EAF" w:rsidRPr="00E56B85" w14:paraId="7DC38FB9" w14:textId="7723C4EB" w:rsidTr="00E24DE0">
        <w:trPr>
          <w:trHeight w:val="739"/>
        </w:trPr>
        <w:tc>
          <w:tcPr>
            <w:tcW w:w="2903" w:type="dxa"/>
            <w:shd w:val="clear" w:color="auto" w:fill="156082" w:themeFill="accent1"/>
            <w:vAlign w:val="center"/>
          </w:tcPr>
          <w:p w14:paraId="3239F7DA" w14:textId="77777777" w:rsidR="007C7330" w:rsidRPr="00E24DE0" w:rsidRDefault="007C7330" w:rsidP="007C7330">
            <w:pPr>
              <w:spacing w:after="0" w:line="240" w:lineRule="auto"/>
              <w:rPr>
                <w:rFonts w:cs="Calibri"/>
                <w:color w:val="FFFFFF" w:themeColor="background1"/>
                <w:sz w:val="20"/>
                <w:szCs w:val="20"/>
              </w:rPr>
            </w:pPr>
          </w:p>
        </w:tc>
        <w:tc>
          <w:tcPr>
            <w:tcW w:w="1424" w:type="dxa"/>
            <w:shd w:val="clear" w:color="auto" w:fill="156082" w:themeFill="accent1"/>
            <w:vAlign w:val="center"/>
          </w:tcPr>
          <w:p w14:paraId="3EAB0C98" w14:textId="43FE7F23" w:rsidR="007C7330" w:rsidRPr="00E24DE0" w:rsidRDefault="007C7330" w:rsidP="007C7330">
            <w:pPr>
              <w:spacing w:after="0" w:line="240" w:lineRule="auto"/>
              <w:jc w:val="center"/>
              <w:rPr>
                <w:rFonts w:cs="Calibri"/>
                <w:b/>
                <w:bCs/>
                <w:color w:val="FFFFFF" w:themeColor="background1"/>
                <w:sz w:val="20"/>
                <w:szCs w:val="20"/>
              </w:rPr>
            </w:pPr>
            <w:r w:rsidRPr="00E24DE0">
              <w:rPr>
                <w:rFonts w:cs="Calibri"/>
                <w:b/>
                <w:bCs/>
                <w:color w:val="FFFFFF" w:themeColor="background1"/>
                <w:sz w:val="20"/>
                <w:szCs w:val="20"/>
              </w:rPr>
              <w:t>Belgium</w:t>
            </w:r>
          </w:p>
        </w:tc>
        <w:tc>
          <w:tcPr>
            <w:tcW w:w="1405" w:type="dxa"/>
            <w:shd w:val="clear" w:color="auto" w:fill="156082" w:themeFill="accent1"/>
            <w:vAlign w:val="center"/>
          </w:tcPr>
          <w:p w14:paraId="430F02E7" w14:textId="2D3F6F23" w:rsidR="007C7330" w:rsidRPr="00E24DE0" w:rsidRDefault="007C7330" w:rsidP="007C7330">
            <w:pPr>
              <w:spacing w:after="0" w:line="240" w:lineRule="auto"/>
              <w:jc w:val="center"/>
              <w:rPr>
                <w:rFonts w:cs="Calibri"/>
                <w:b/>
                <w:bCs/>
                <w:color w:val="FFFFFF" w:themeColor="background1"/>
                <w:sz w:val="20"/>
                <w:szCs w:val="20"/>
              </w:rPr>
            </w:pPr>
            <w:r w:rsidRPr="00E24DE0">
              <w:rPr>
                <w:rFonts w:cs="Calibri"/>
                <w:b/>
                <w:bCs/>
                <w:color w:val="FFFFFF" w:themeColor="background1"/>
                <w:sz w:val="20"/>
                <w:szCs w:val="20"/>
              </w:rPr>
              <w:t>Finland</w:t>
            </w:r>
          </w:p>
        </w:tc>
        <w:tc>
          <w:tcPr>
            <w:tcW w:w="1373" w:type="dxa"/>
            <w:shd w:val="clear" w:color="auto" w:fill="156082" w:themeFill="accent1"/>
            <w:vAlign w:val="center"/>
          </w:tcPr>
          <w:p w14:paraId="622BF4A2" w14:textId="1D299844" w:rsidR="007C7330" w:rsidRPr="00E24DE0" w:rsidRDefault="007C7330" w:rsidP="007C7330">
            <w:pPr>
              <w:spacing w:after="0" w:line="240" w:lineRule="auto"/>
              <w:jc w:val="center"/>
              <w:rPr>
                <w:rFonts w:cs="Calibri"/>
                <w:b/>
                <w:bCs/>
                <w:color w:val="FFFFFF" w:themeColor="background1"/>
                <w:sz w:val="20"/>
                <w:szCs w:val="20"/>
              </w:rPr>
            </w:pPr>
            <w:r w:rsidRPr="00E24DE0">
              <w:rPr>
                <w:rFonts w:cs="Calibri"/>
                <w:b/>
                <w:bCs/>
                <w:color w:val="FFFFFF" w:themeColor="background1"/>
                <w:sz w:val="20"/>
                <w:szCs w:val="20"/>
              </w:rPr>
              <w:t>Iceland</w:t>
            </w:r>
          </w:p>
        </w:tc>
        <w:tc>
          <w:tcPr>
            <w:tcW w:w="1405" w:type="dxa"/>
            <w:shd w:val="clear" w:color="auto" w:fill="156082" w:themeFill="accent1"/>
            <w:vAlign w:val="center"/>
          </w:tcPr>
          <w:p w14:paraId="4B54C8A9" w14:textId="5FC337AD" w:rsidR="007C7330" w:rsidRPr="00E24DE0" w:rsidRDefault="007C7330" w:rsidP="007C7330">
            <w:pPr>
              <w:spacing w:after="0" w:line="240" w:lineRule="auto"/>
              <w:jc w:val="center"/>
              <w:rPr>
                <w:rFonts w:cs="Calibri"/>
                <w:b/>
                <w:bCs/>
                <w:color w:val="FFFFFF" w:themeColor="background1"/>
                <w:sz w:val="20"/>
                <w:szCs w:val="20"/>
              </w:rPr>
            </w:pPr>
            <w:r w:rsidRPr="00E24DE0">
              <w:rPr>
                <w:rFonts w:cs="Calibri"/>
                <w:b/>
                <w:bCs/>
                <w:color w:val="FFFFFF" w:themeColor="background1"/>
                <w:sz w:val="20"/>
                <w:szCs w:val="20"/>
              </w:rPr>
              <w:t>Ireland</w:t>
            </w:r>
          </w:p>
        </w:tc>
        <w:tc>
          <w:tcPr>
            <w:tcW w:w="1405" w:type="dxa"/>
            <w:shd w:val="clear" w:color="auto" w:fill="156082" w:themeFill="accent1"/>
            <w:vAlign w:val="center"/>
          </w:tcPr>
          <w:p w14:paraId="15FE69CB" w14:textId="6986234C" w:rsidR="007C7330" w:rsidRPr="00E24DE0" w:rsidRDefault="007C7330" w:rsidP="007C7330">
            <w:pPr>
              <w:spacing w:after="0" w:line="240" w:lineRule="auto"/>
              <w:jc w:val="center"/>
              <w:rPr>
                <w:rFonts w:cs="Calibri"/>
                <w:b/>
                <w:bCs/>
                <w:color w:val="FFFFFF" w:themeColor="background1"/>
                <w:sz w:val="20"/>
                <w:szCs w:val="20"/>
              </w:rPr>
            </w:pPr>
            <w:r w:rsidRPr="00E24DE0">
              <w:rPr>
                <w:rFonts w:cs="Calibri"/>
                <w:b/>
                <w:bCs/>
                <w:color w:val="FFFFFF" w:themeColor="background1"/>
                <w:sz w:val="20"/>
                <w:szCs w:val="20"/>
              </w:rPr>
              <w:t>New Zealand</w:t>
            </w:r>
          </w:p>
        </w:tc>
        <w:tc>
          <w:tcPr>
            <w:tcW w:w="1406" w:type="dxa"/>
            <w:tcBorders>
              <w:right w:val="single" w:sz="4" w:space="0" w:color="FFFFFF" w:themeColor="background1"/>
            </w:tcBorders>
            <w:shd w:val="clear" w:color="auto" w:fill="156082" w:themeFill="accent1"/>
            <w:vAlign w:val="center"/>
          </w:tcPr>
          <w:p w14:paraId="31EF3009" w14:textId="75449ABB" w:rsidR="007C7330" w:rsidRPr="00E24DE0" w:rsidRDefault="007C7330" w:rsidP="007C7330">
            <w:pPr>
              <w:spacing w:after="0" w:line="240" w:lineRule="auto"/>
              <w:jc w:val="center"/>
              <w:rPr>
                <w:rFonts w:cs="Calibri"/>
                <w:b/>
                <w:bCs/>
                <w:color w:val="FFFFFF" w:themeColor="background1"/>
                <w:sz w:val="20"/>
                <w:szCs w:val="20"/>
              </w:rPr>
            </w:pPr>
            <w:r w:rsidRPr="00E24DE0">
              <w:rPr>
                <w:rFonts w:cs="Calibri"/>
                <w:b/>
                <w:bCs/>
                <w:color w:val="FFFFFF" w:themeColor="background1"/>
                <w:sz w:val="20"/>
                <w:szCs w:val="20"/>
              </w:rPr>
              <w:t>Slovenia</w:t>
            </w:r>
          </w:p>
        </w:tc>
        <w:tc>
          <w:tcPr>
            <w:tcW w:w="1406" w:type="dxa"/>
            <w:tcBorders>
              <w:left w:val="single" w:sz="4" w:space="0" w:color="FFFFFF" w:themeColor="background1"/>
            </w:tcBorders>
            <w:shd w:val="clear" w:color="auto" w:fill="156082" w:themeFill="accent1"/>
            <w:vAlign w:val="center"/>
          </w:tcPr>
          <w:p w14:paraId="2988E857" w14:textId="44C1ACDD" w:rsidR="007C7330" w:rsidRPr="00E24DE0" w:rsidRDefault="007C7330" w:rsidP="007C7330">
            <w:pPr>
              <w:spacing w:after="0" w:line="240" w:lineRule="auto"/>
              <w:jc w:val="center"/>
              <w:rPr>
                <w:rFonts w:cs="Calibri"/>
                <w:b/>
                <w:bCs/>
                <w:color w:val="FFFFFF" w:themeColor="background1"/>
                <w:sz w:val="20"/>
                <w:szCs w:val="20"/>
              </w:rPr>
            </w:pPr>
            <w:r w:rsidRPr="00E24DE0">
              <w:rPr>
                <w:rFonts w:cs="Calibri"/>
                <w:b/>
                <w:bCs/>
                <w:color w:val="FFFFFF" w:themeColor="background1"/>
                <w:sz w:val="20"/>
                <w:szCs w:val="20"/>
              </w:rPr>
              <w:t>Scotland</w:t>
            </w:r>
          </w:p>
        </w:tc>
        <w:tc>
          <w:tcPr>
            <w:tcW w:w="1406" w:type="dxa"/>
            <w:shd w:val="clear" w:color="auto" w:fill="156082" w:themeFill="accent1"/>
            <w:vAlign w:val="center"/>
          </w:tcPr>
          <w:p w14:paraId="5F319777" w14:textId="343691A2" w:rsidR="007C7330" w:rsidRPr="00E24DE0" w:rsidRDefault="007C7330" w:rsidP="007C7330">
            <w:pPr>
              <w:spacing w:after="0" w:line="240" w:lineRule="auto"/>
              <w:jc w:val="center"/>
              <w:rPr>
                <w:rFonts w:cs="Calibri"/>
                <w:b/>
                <w:bCs/>
                <w:color w:val="FFFFFF" w:themeColor="background1"/>
                <w:sz w:val="20"/>
                <w:szCs w:val="20"/>
              </w:rPr>
            </w:pPr>
            <w:r w:rsidRPr="00E24DE0">
              <w:rPr>
                <w:rFonts w:cs="Calibri"/>
                <w:b/>
                <w:bCs/>
                <w:color w:val="FFFFFF" w:themeColor="background1"/>
                <w:sz w:val="20"/>
                <w:szCs w:val="20"/>
              </w:rPr>
              <w:t>Wales</w:t>
            </w:r>
          </w:p>
        </w:tc>
        <w:tc>
          <w:tcPr>
            <w:tcW w:w="1406" w:type="dxa"/>
            <w:shd w:val="clear" w:color="auto" w:fill="156082" w:themeFill="accent1"/>
            <w:vAlign w:val="center"/>
          </w:tcPr>
          <w:p w14:paraId="324675D7" w14:textId="1FB1D6BE" w:rsidR="007C7330" w:rsidRPr="00E24DE0" w:rsidRDefault="007C7330" w:rsidP="007C7330">
            <w:pPr>
              <w:spacing w:after="0" w:line="240" w:lineRule="auto"/>
              <w:jc w:val="center"/>
              <w:rPr>
                <w:rFonts w:cs="Calibri"/>
                <w:b/>
                <w:bCs/>
                <w:color w:val="FFFFFF" w:themeColor="background1"/>
                <w:sz w:val="20"/>
                <w:szCs w:val="20"/>
              </w:rPr>
            </w:pPr>
            <w:r w:rsidRPr="00E24DE0">
              <w:rPr>
                <w:rFonts w:cs="Calibri"/>
                <w:b/>
                <w:bCs/>
                <w:color w:val="FFFFFF" w:themeColor="background1"/>
                <w:sz w:val="20"/>
                <w:szCs w:val="20"/>
              </w:rPr>
              <w:t>United Kingdom</w:t>
            </w:r>
          </w:p>
        </w:tc>
      </w:tr>
      <w:tr w:rsidR="00E24DE0" w:rsidRPr="00E24DE0" w14:paraId="7A9B4E4F" w14:textId="77777777" w:rsidTr="00E24DE0">
        <w:trPr>
          <w:trHeight w:val="372"/>
        </w:trPr>
        <w:tc>
          <w:tcPr>
            <w:tcW w:w="15539" w:type="dxa"/>
            <w:gridSpan w:val="10"/>
            <w:tcBorders>
              <w:left w:val="single" w:sz="4" w:space="0" w:color="FFFFFF" w:themeColor="background1"/>
            </w:tcBorders>
            <w:shd w:val="clear" w:color="auto" w:fill="45B0E1" w:themeFill="accent1" w:themeFillTint="99"/>
            <w:vAlign w:val="center"/>
          </w:tcPr>
          <w:p w14:paraId="1EE96383" w14:textId="6FC692A1" w:rsidR="007C7330" w:rsidRPr="00E24DE0" w:rsidRDefault="007C7330" w:rsidP="007C7330">
            <w:pPr>
              <w:spacing w:after="0" w:line="240" w:lineRule="auto"/>
              <w:rPr>
                <w:b/>
                <w:bCs/>
                <w:color w:val="FFFFFF" w:themeColor="background1"/>
                <w:sz w:val="20"/>
                <w:szCs w:val="20"/>
              </w:rPr>
            </w:pPr>
            <w:r w:rsidRPr="00E24DE0">
              <w:rPr>
                <w:rFonts w:cs="Calibri"/>
                <w:b/>
                <w:bCs/>
                <w:color w:val="FFFFFF" w:themeColor="background1"/>
                <w:sz w:val="20"/>
                <w:szCs w:val="20"/>
              </w:rPr>
              <w:t>Demographic factors</w:t>
            </w:r>
            <w:r w:rsidR="000964F4" w:rsidRPr="000964F4">
              <w:rPr>
                <w:rFonts w:cs="Calibri"/>
                <w:b/>
                <w:bCs/>
                <w:color w:val="FFFFFF" w:themeColor="background1"/>
                <w:sz w:val="20"/>
                <w:szCs w:val="20"/>
                <w:vertAlign w:val="superscript"/>
              </w:rPr>
              <w:t>[1]</w:t>
            </w:r>
          </w:p>
        </w:tc>
      </w:tr>
      <w:tr w:rsidR="00E14EAF" w:rsidRPr="00E56B85" w14:paraId="154EECCA" w14:textId="27981941" w:rsidTr="00E24DE0">
        <w:trPr>
          <w:trHeight w:val="739"/>
        </w:trPr>
        <w:tc>
          <w:tcPr>
            <w:tcW w:w="2903" w:type="dxa"/>
            <w:vAlign w:val="center"/>
          </w:tcPr>
          <w:p w14:paraId="43CA5920" w14:textId="67D7427A" w:rsidR="007C7330" w:rsidRPr="00E56B85" w:rsidRDefault="007C7330" w:rsidP="007C7330">
            <w:pPr>
              <w:spacing w:after="0" w:line="240" w:lineRule="auto"/>
              <w:rPr>
                <w:rFonts w:cs="Calibri"/>
                <w:b/>
                <w:bCs/>
                <w:color w:val="212121"/>
                <w:sz w:val="20"/>
                <w:szCs w:val="20"/>
              </w:rPr>
            </w:pPr>
            <w:r w:rsidRPr="00E56B85">
              <w:rPr>
                <w:rFonts w:cs="Calibri"/>
                <w:b/>
                <w:bCs/>
                <w:color w:val="212121"/>
                <w:sz w:val="20"/>
                <w:szCs w:val="20"/>
              </w:rPr>
              <w:t>Population size</w:t>
            </w:r>
            <w:r w:rsidR="0080073F" w:rsidRPr="00E56B85">
              <w:rPr>
                <w:rFonts w:cs="Calibri"/>
                <w:b/>
                <w:bCs/>
                <w:color w:val="212121"/>
                <w:sz w:val="20"/>
                <w:szCs w:val="20"/>
              </w:rPr>
              <w:t>, 2022</w:t>
            </w:r>
          </w:p>
        </w:tc>
        <w:tc>
          <w:tcPr>
            <w:tcW w:w="1424" w:type="dxa"/>
            <w:vAlign w:val="center"/>
          </w:tcPr>
          <w:p w14:paraId="138659D0" w14:textId="3EE6B4B8" w:rsidR="007C7330" w:rsidRPr="00E56B85" w:rsidRDefault="007C7330" w:rsidP="007C7330">
            <w:pPr>
              <w:spacing w:after="0" w:line="240" w:lineRule="auto"/>
              <w:jc w:val="center"/>
              <w:rPr>
                <w:rFonts w:cs="Calibri"/>
                <w:b/>
                <w:bCs/>
                <w:color w:val="212121"/>
                <w:sz w:val="20"/>
                <w:szCs w:val="20"/>
              </w:rPr>
            </w:pPr>
            <w:r w:rsidRPr="00E56B85">
              <w:rPr>
                <w:b/>
                <w:bCs/>
                <w:sz w:val="20"/>
                <w:szCs w:val="20"/>
              </w:rPr>
              <w:t>11,640,788</w:t>
            </w:r>
          </w:p>
        </w:tc>
        <w:tc>
          <w:tcPr>
            <w:tcW w:w="1405" w:type="dxa"/>
            <w:vAlign w:val="center"/>
          </w:tcPr>
          <w:p w14:paraId="24302A13" w14:textId="33AFC2C9" w:rsidR="007C7330" w:rsidRPr="00E56B85" w:rsidRDefault="007C7330" w:rsidP="007C7330">
            <w:pPr>
              <w:spacing w:after="0" w:line="240" w:lineRule="auto"/>
              <w:jc w:val="center"/>
              <w:rPr>
                <w:rFonts w:cs="Calibri"/>
                <w:b/>
                <w:bCs/>
                <w:color w:val="212121"/>
                <w:sz w:val="20"/>
                <w:szCs w:val="20"/>
              </w:rPr>
            </w:pPr>
            <w:r w:rsidRPr="00E56B85">
              <w:rPr>
                <w:b/>
                <w:bCs/>
                <w:sz w:val="20"/>
                <w:szCs w:val="20"/>
              </w:rPr>
              <w:t>5,556,108</w:t>
            </w:r>
          </w:p>
        </w:tc>
        <w:tc>
          <w:tcPr>
            <w:tcW w:w="1373" w:type="dxa"/>
            <w:vAlign w:val="center"/>
          </w:tcPr>
          <w:p w14:paraId="2198B0C3" w14:textId="5F3BD2EB" w:rsidR="007C7330" w:rsidRPr="00E56B85" w:rsidRDefault="007C7330" w:rsidP="007C7330">
            <w:pPr>
              <w:spacing w:after="0" w:line="240" w:lineRule="auto"/>
              <w:jc w:val="center"/>
              <w:rPr>
                <w:b/>
                <w:bCs/>
                <w:sz w:val="20"/>
                <w:szCs w:val="20"/>
              </w:rPr>
            </w:pPr>
            <w:r w:rsidRPr="00E56B85">
              <w:rPr>
                <w:b/>
                <w:bCs/>
                <w:sz w:val="20"/>
                <w:szCs w:val="20"/>
              </w:rPr>
              <w:t>382,005</w:t>
            </w:r>
          </w:p>
        </w:tc>
        <w:tc>
          <w:tcPr>
            <w:tcW w:w="1405" w:type="dxa"/>
            <w:vAlign w:val="center"/>
          </w:tcPr>
          <w:p w14:paraId="79C1E2E8" w14:textId="151770DE" w:rsidR="007C7330" w:rsidRPr="00E56B85" w:rsidRDefault="007C7330" w:rsidP="007C7330">
            <w:pPr>
              <w:spacing w:after="0" w:line="240" w:lineRule="auto"/>
              <w:jc w:val="center"/>
              <w:rPr>
                <w:b/>
                <w:bCs/>
                <w:sz w:val="20"/>
                <w:szCs w:val="20"/>
              </w:rPr>
            </w:pPr>
            <w:r w:rsidRPr="00E56B85">
              <w:rPr>
                <w:b/>
                <w:bCs/>
                <w:sz w:val="20"/>
                <w:szCs w:val="20"/>
              </w:rPr>
              <w:t>5,100,229</w:t>
            </w:r>
          </w:p>
        </w:tc>
        <w:tc>
          <w:tcPr>
            <w:tcW w:w="1405" w:type="dxa"/>
            <w:vAlign w:val="center"/>
          </w:tcPr>
          <w:p w14:paraId="13A2D3D5" w14:textId="5A04FECA" w:rsidR="007C7330" w:rsidRPr="00E56B85" w:rsidRDefault="007C7330" w:rsidP="007C7330">
            <w:pPr>
              <w:spacing w:after="0" w:line="240" w:lineRule="auto"/>
              <w:jc w:val="center"/>
              <w:rPr>
                <w:b/>
                <w:bCs/>
                <w:sz w:val="20"/>
                <w:szCs w:val="20"/>
              </w:rPr>
            </w:pPr>
            <w:r w:rsidRPr="00E56B85">
              <w:rPr>
                <w:b/>
                <w:bCs/>
                <w:sz w:val="20"/>
                <w:szCs w:val="20"/>
              </w:rPr>
              <w:t>5,124,100</w:t>
            </w:r>
          </w:p>
        </w:tc>
        <w:tc>
          <w:tcPr>
            <w:tcW w:w="1406" w:type="dxa"/>
            <w:tcBorders>
              <w:right w:val="single" w:sz="4" w:space="0" w:color="FFFFFF" w:themeColor="background1"/>
            </w:tcBorders>
            <w:vAlign w:val="center"/>
          </w:tcPr>
          <w:p w14:paraId="66CAE681" w14:textId="1A03613E" w:rsidR="007C7330" w:rsidRPr="00E56B85" w:rsidRDefault="007C7330" w:rsidP="007C7330">
            <w:pPr>
              <w:spacing w:after="0" w:line="240" w:lineRule="auto"/>
              <w:jc w:val="center"/>
              <w:rPr>
                <w:rFonts w:cs="Calibri"/>
                <w:b/>
                <w:bCs/>
                <w:color w:val="212121"/>
                <w:sz w:val="20"/>
                <w:szCs w:val="20"/>
              </w:rPr>
            </w:pPr>
            <w:r w:rsidRPr="00E56B85">
              <w:rPr>
                <w:b/>
                <w:bCs/>
                <w:sz w:val="20"/>
                <w:szCs w:val="20"/>
              </w:rPr>
              <w:t>2,108,732</w:t>
            </w:r>
          </w:p>
        </w:tc>
        <w:tc>
          <w:tcPr>
            <w:tcW w:w="1406" w:type="dxa"/>
            <w:tcBorders>
              <w:left w:val="single" w:sz="4" w:space="0" w:color="FFFFFF" w:themeColor="background1"/>
            </w:tcBorders>
            <w:vAlign w:val="center"/>
          </w:tcPr>
          <w:p w14:paraId="0B1CE8C6" w14:textId="0A4FA9C3" w:rsidR="007C7330" w:rsidRPr="00E56B85" w:rsidRDefault="007C7330" w:rsidP="007C7330">
            <w:pPr>
              <w:spacing w:after="0" w:line="240" w:lineRule="auto"/>
              <w:jc w:val="center"/>
              <w:rPr>
                <w:b/>
                <w:bCs/>
                <w:sz w:val="20"/>
                <w:szCs w:val="20"/>
              </w:rPr>
            </w:pPr>
            <w:r w:rsidRPr="00E56B85">
              <w:rPr>
                <w:b/>
                <w:bCs/>
                <w:sz w:val="20"/>
                <w:szCs w:val="20"/>
              </w:rPr>
              <w:t>5,448,000</w:t>
            </w:r>
            <w:r w:rsidR="00BB5A6F" w:rsidRPr="00E56B85">
              <w:rPr>
                <w:rFonts w:cs="Calibri"/>
                <w:b/>
                <w:bCs/>
                <w:noProof/>
                <w:color w:val="212121"/>
                <w:sz w:val="20"/>
                <w:szCs w:val="20"/>
                <w:vertAlign w:val="superscript"/>
              </w:rPr>
              <w:fldChar w:fldCharType="begin"/>
            </w:r>
            <w:r w:rsidR="00A43081" w:rsidRPr="00E56B85">
              <w:rPr>
                <w:rFonts w:cs="Calibri"/>
                <w:b/>
                <w:bCs/>
                <w:noProof/>
                <w:color w:val="212121"/>
                <w:sz w:val="20"/>
                <w:szCs w:val="20"/>
                <w:vertAlign w:val="superscript"/>
              </w:rPr>
              <w:instrText xml:space="preserve"> ADDIN EN.CITE &lt;EndNote&gt;&lt;Cite&gt;&lt;Author&gt;(ONS)&lt;/Author&gt;&lt;Year&gt;2024&lt;/Year&gt;&lt;RecNum&gt;12&lt;/RecNum&gt;&lt;DisplayText&gt;[2]&lt;/DisplayText&gt;&lt;record&gt;&lt;rec-number&gt;12&lt;/rec-number&gt;&lt;foreign-keys&gt;&lt;key app="EN" db-id="xdx0ffwwqd5ev9edfsppd5e0aavewvxp5rpx" timestamp="1722851280"&gt;12&lt;/key&gt;&lt;/foreign-keys&gt;&lt;ref-type name="Web Page"&gt;12&lt;/ref-type&gt;&lt;contributors&gt;&lt;authors&gt;&lt;author&gt;Office for National Statistics (ONS)&lt;/author&gt;&lt;/authors&gt;&lt;/contributors&gt;&lt;titles&gt;&lt;title&gt; Population estimates for the UK, England, Wales, Scotland, and Northern Ireland: mid-2022&lt;/title&gt;&lt;/titles&gt;&lt;volume&gt;2024&lt;/volume&gt;&lt;number&gt;Aug 5&lt;/number&gt;&lt;dates&gt;&lt;year&gt;2024&lt;/year&gt;&lt;/dates&gt;&lt;urls&gt;&lt;related-urls&gt;&lt;url&gt;https://www.ons.gov.uk/peoplepopulationandcommunity/populationandmigration/populationestimates/bulletins/annualmidyearpopulationestimates/latest&lt;/url&gt;&lt;/related-urls&gt;&lt;/urls&gt;&lt;/record&gt;&lt;/Cite&gt;&lt;/EndNote&gt;</w:instrText>
            </w:r>
            <w:r w:rsidR="00BB5A6F" w:rsidRPr="00E56B85">
              <w:rPr>
                <w:rFonts w:cs="Calibri"/>
                <w:b/>
                <w:bCs/>
                <w:noProof/>
                <w:color w:val="212121"/>
                <w:sz w:val="20"/>
                <w:szCs w:val="20"/>
                <w:vertAlign w:val="superscript"/>
              </w:rPr>
              <w:fldChar w:fldCharType="separate"/>
            </w:r>
            <w:r w:rsidR="00A43081" w:rsidRPr="00E56B85">
              <w:rPr>
                <w:rFonts w:cs="Calibri"/>
                <w:b/>
                <w:bCs/>
                <w:noProof/>
                <w:color w:val="212121"/>
                <w:sz w:val="20"/>
                <w:szCs w:val="20"/>
                <w:vertAlign w:val="superscript"/>
              </w:rPr>
              <w:t>[2]</w:t>
            </w:r>
            <w:r w:rsidR="00BB5A6F" w:rsidRPr="00E56B85">
              <w:rPr>
                <w:rFonts w:cs="Calibri"/>
                <w:b/>
                <w:bCs/>
                <w:noProof/>
                <w:color w:val="212121"/>
                <w:sz w:val="20"/>
                <w:szCs w:val="20"/>
                <w:vertAlign w:val="superscript"/>
              </w:rPr>
              <w:fldChar w:fldCharType="end"/>
            </w:r>
          </w:p>
        </w:tc>
        <w:tc>
          <w:tcPr>
            <w:tcW w:w="1406" w:type="dxa"/>
            <w:vAlign w:val="center"/>
          </w:tcPr>
          <w:p w14:paraId="5567BABA" w14:textId="7C43163B" w:rsidR="007C7330" w:rsidRPr="00E56B85" w:rsidRDefault="007C7330" w:rsidP="007C7330">
            <w:pPr>
              <w:spacing w:after="0" w:line="240" w:lineRule="auto"/>
              <w:jc w:val="center"/>
              <w:rPr>
                <w:b/>
                <w:bCs/>
                <w:sz w:val="20"/>
                <w:szCs w:val="20"/>
              </w:rPr>
            </w:pPr>
            <w:r w:rsidRPr="00E56B85">
              <w:rPr>
                <w:b/>
                <w:bCs/>
                <w:sz w:val="20"/>
                <w:szCs w:val="20"/>
              </w:rPr>
              <w:t>3,132,000</w:t>
            </w:r>
            <w:r w:rsidR="00F44265" w:rsidRPr="00F44265">
              <w:rPr>
                <w:sz w:val="20"/>
                <w:szCs w:val="20"/>
                <w:vertAlign w:val="superscript"/>
              </w:rPr>
              <w:t>[2]</w:t>
            </w:r>
          </w:p>
        </w:tc>
        <w:tc>
          <w:tcPr>
            <w:tcW w:w="1406" w:type="dxa"/>
            <w:vAlign w:val="center"/>
          </w:tcPr>
          <w:p w14:paraId="110D8857" w14:textId="424751D6" w:rsidR="007C7330" w:rsidRPr="00E56B85" w:rsidRDefault="000C12C6" w:rsidP="007C7330">
            <w:pPr>
              <w:spacing w:after="0" w:line="240" w:lineRule="auto"/>
              <w:jc w:val="center"/>
              <w:rPr>
                <w:b/>
                <w:bCs/>
                <w:sz w:val="20"/>
                <w:szCs w:val="20"/>
              </w:rPr>
            </w:pPr>
            <w:r w:rsidRPr="00E56B85">
              <w:rPr>
                <w:b/>
                <w:bCs/>
                <w:sz w:val="20"/>
                <w:szCs w:val="20"/>
              </w:rPr>
              <w:t>67,596,281</w:t>
            </w:r>
            <w:r w:rsidR="00F44265">
              <w:rPr>
                <w:rFonts w:cs="Calibri"/>
                <w:b/>
                <w:bCs/>
                <w:noProof/>
                <w:color w:val="212121"/>
                <w:sz w:val="20"/>
                <w:szCs w:val="20"/>
                <w:vertAlign w:val="superscript"/>
              </w:rPr>
              <w:t>[2]</w:t>
            </w:r>
          </w:p>
        </w:tc>
      </w:tr>
      <w:tr w:rsidR="00E14EAF" w:rsidRPr="00E56B85" w14:paraId="37B1361D" w14:textId="38193822" w:rsidTr="00E24DE0">
        <w:trPr>
          <w:trHeight w:val="739"/>
        </w:trPr>
        <w:tc>
          <w:tcPr>
            <w:tcW w:w="2903" w:type="dxa"/>
            <w:shd w:val="clear" w:color="auto" w:fill="F2F2F2" w:themeFill="background1" w:themeFillShade="F2"/>
            <w:vAlign w:val="center"/>
          </w:tcPr>
          <w:p w14:paraId="0FDEB7B6" w14:textId="481E314A" w:rsidR="007C7330" w:rsidRPr="00E56B85" w:rsidRDefault="007C7330" w:rsidP="007C7330">
            <w:pPr>
              <w:spacing w:after="0" w:line="240" w:lineRule="auto"/>
              <w:rPr>
                <w:rFonts w:cs="Calibri"/>
                <w:color w:val="212121"/>
                <w:sz w:val="20"/>
                <w:szCs w:val="20"/>
                <w:vertAlign w:val="superscript"/>
              </w:rPr>
            </w:pPr>
            <w:r w:rsidRPr="00E56B85">
              <w:rPr>
                <w:sz w:val="20"/>
                <w:szCs w:val="20"/>
              </w:rPr>
              <w:t>Share of population over age 65 (%)</w:t>
            </w:r>
            <w:r w:rsidR="00007D59" w:rsidRPr="00E56B85">
              <w:rPr>
                <w:sz w:val="20"/>
                <w:szCs w:val="20"/>
              </w:rPr>
              <w:t>, 2022</w:t>
            </w:r>
          </w:p>
        </w:tc>
        <w:tc>
          <w:tcPr>
            <w:tcW w:w="1424" w:type="dxa"/>
            <w:shd w:val="clear" w:color="auto" w:fill="F2F2F2" w:themeFill="background1" w:themeFillShade="F2"/>
            <w:vAlign w:val="center"/>
          </w:tcPr>
          <w:p w14:paraId="51CEB174" w14:textId="53EC3482" w:rsidR="007C7330" w:rsidRPr="00E56B85" w:rsidRDefault="007C7330" w:rsidP="007C7330">
            <w:pPr>
              <w:spacing w:after="0" w:line="240" w:lineRule="auto"/>
              <w:jc w:val="center"/>
              <w:rPr>
                <w:rFonts w:cs="Calibri"/>
                <w:color w:val="212121"/>
                <w:sz w:val="20"/>
                <w:szCs w:val="20"/>
              </w:rPr>
            </w:pPr>
            <w:r w:rsidRPr="00E56B85">
              <w:rPr>
                <w:sz w:val="20"/>
                <w:szCs w:val="20"/>
              </w:rPr>
              <w:t>19.7</w:t>
            </w:r>
          </w:p>
        </w:tc>
        <w:tc>
          <w:tcPr>
            <w:tcW w:w="1405" w:type="dxa"/>
            <w:shd w:val="clear" w:color="auto" w:fill="F2F2F2" w:themeFill="background1" w:themeFillShade="F2"/>
            <w:vAlign w:val="center"/>
          </w:tcPr>
          <w:p w14:paraId="017A8BAE" w14:textId="393C9E80" w:rsidR="007C7330" w:rsidRPr="00E56B85" w:rsidRDefault="007C7330" w:rsidP="007C7330">
            <w:pPr>
              <w:spacing w:after="0" w:line="240" w:lineRule="auto"/>
              <w:jc w:val="center"/>
              <w:rPr>
                <w:rFonts w:cs="Calibri"/>
                <w:color w:val="212121"/>
                <w:sz w:val="20"/>
                <w:szCs w:val="20"/>
              </w:rPr>
            </w:pPr>
            <w:r w:rsidRPr="00E56B85">
              <w:rPr>
                <w:sz w:val="20"/>
                <w:szCs w:val="20"/>
              </w:rPr>
              <w:t>23.2</w:t>
            </w:r>
          </w:p>
        </w:tc>
        <w:tc>
          <w:tcPr>
            <w:tcW w:w="1373" w:type="dxa"/>
            <w:shd w:val="clear" w:color="auto" w:fill="F2F2F2" w:themeFill="background1" w:themeFillShade="F2"/>
            <w:vAlign w:val="center"/>
          </w:tcPr>
          <w:p w14:paraId="75B4A03A" w14:textId="3F51B2EA" w:rsidR="007C7330" w:rsidRPr="00E56B85" w:rsidRDefault="007C7330" w:rsidP="007C7330">
            <w:pPr>
              <w:spacing w:after="0" w:line="240" w:lineRule="auto"/>
              <w:jc w:val="center"/>
              <w:rPr>
                <w:sz w:val="20"/>
                <w:szCs w:val="20"/>
              </w:rPr>
            </w:pPr>
            <w:r w:rsidRPr="00E56B85">
              <w:rPr>
                <w:sz w:val="20"/>
                <w:szCs w:val="20"/>
              </w:rPr>
              <w:t>15.0</w:t>
            </w:r>
          </w:p>
        </w:tc>
        <w:tc>
          <w:tcPr>
            <w:tcW w:w="1405" w:type="dxa"/>
            <w:shd w:val="clear" w:color="auto" w:fill="F2F2F2" w:themeFill="background1" w:themeFillShade="F2"/>
            <w:vAlign w:val="center"/>
          </w:tcPr>
          <w:p w14:paraId="2D73C7E8" w14:textId="3C4992AD" w:rsidR="007C7330" w:rsidRPr="00E56B85" w:rsidRDefault="007C7330" w:rsidP="007C7330">
            <w:pPr>
              <w:spacing w:after="0" w:line="240" w:lineRule="auto"/>
              <w:jc w:val="center"/>
              <w:rPr>
                <w:sz w:val="20"/>
                <w:szCs w:val="20"/>
              </w:rPr>
            </w:pPr>
            <w:r w:rsidRPr="00E56B85">
              <w:rPr>
                <w:sz w:val="20"/>
                <w:szCs w:val="20"/>
              </w:rPr>
              <w:t>15.1</w:t>
            </w:r>
          </w:p>
        </w:tc>
        <w:tc>
          <w:tcPr>
            <w:tcW w:w="1405" w:type="dxa"/>
            <w:shd w:val="clear" w:color="auto" w:fill="F2F2F2" w:themeFill="background1" w:themeFillShade="F2"/>
            <w:vAlign w:val="center"/>
          </w:tcPr>
          <w:p w14:paraId="6BE5CA00" w14:textId="0CAF5F9B" w:rsidR="007C7330" w:rsidRPr="00E56B85" w:rsidRDefault="007C7330" w:rsidP="007C7330">
            <w:pPr>
              <w:spacing w:after="0" w:line="240" w:lineRule="auto"/>
              <w:jc w:val="center"/>
              <w:rPr>
                <w:sz w:val="20"/>
                <w:szCs w:val="20"/>
              </w:rPr>
            </w:pPr>
            <w:r w:rsidRPr="00E56B85">
              <w:rPr>
                <w:sz w:val="20"/>
                <w:szCs w:val="20"/>
              </w:rPr>
              <w:t>16.4</w:t>
            </w:r>
          </w:p>
        </w:tc>
        <w:tc>
          <w:tcPr>
            <w:tcW w:w="1406" w:type="dxa"/>
            <w:tcBorders>
              <w:right w:val="single" w:sz="4" w:space="0" w:color="FFFFFF" w:themeColor="background1"/>
            </w:tcBorders>
            <w:shd w:val="clear" w:color="auto" w:fill="F2F2F2" w:themeFill="background1" w:themeFillShade="F2"/>
            <w:vAlign w:val="center"/>
          </w:tcPr>
          <w:p w14:paraId="554D5233" w14:textId="0CEB291D" w:rsidR="007C7330" w:rsidRPr="00E56B85" w:rsidRDefault="007C7330" w:rsidP="007C7330">
            <w:pPr>
              <w:spacing w:after="0" w:line="240" w:lineRule="auto"/>
              <w:jc w:val="center"/>
              <w:rPr>
                <w:rFonts w:cs="Calibri"/>
                <w:color w:val="212121"/>
                <w:sz w:val="20"/>
                <w:szCs w:val="20"/>
              </w:rPr>
            </w:pPr>
            <w:r w:rsidRPr="00E56B85">
              <w:rPr>
                <w:sz w:val="20"/>
                <w:szCs w:val="20"/>
              </w:rPr>
              <w:t>21.3</w:t>
            </w:r>
          </w:p>
        </w:tc>
        <w:tc>
          <w:tcPr>
            <w:tcW w:w="1406" w:type="dxa"/>
            <w:tcBorders>
              <w:left w:val="single" w:sz="4" w:space="0" w:color="FFFFFF" w:themeColor="background1"/>
            </w:tcBorders>
            <w:shd w:val="clear" w:color="auto" w:fill="F2F2F2" w:themeFill="background1" w:themeFillShade="F2"/>
            <w:vAlign w:val="center"/>
          </w:tcPr>
          <w:p w14:paraId="384D40BF" w14:textId="6472AEBB" w:rsidR="007C7330" w:rsidRPr="00E56B85" w:rsidRDefault="007C7330" w:rsidP="007C7330">
            <w:pPr>
              <w:spacing w:after="0" w:line="240" w:lineRule="auto"/>
              <w:jc w:val="center"/>
              <w:rPr>
                <w:sz w:val="20"/>
                <w:szCs w:val="20"/>
                <w:vertAlign w:val="superscript"/>
              </w:rPr>
            </w:pPr>
            <w:r w:rsidRPr="00E56B85">
              <w:rPr>
                <w:sz w:val="20"/>
                <w:szCs w:val="20"/>
              </w:rPr>
              <w:t>20.1</w:t>
            </w:r>
            <w:r w:rsidR="00F44265">
              <w:rPr>
                <w:sz w:val="20"/>
                <w:szCs w:val="20"/>
                <w:vertAlign w:val="superscript"/>
              </w:rPr>
              <w:t>[3]</w:t>
            </w:r>
          </w:p>
        </w:tc>
        <w:tc>
          <w:tcPr>
            <w:tcW w:w="1406" w:type="dxa"/>
            <w:shd w:val="clear" w:color="auto" w:fill="F2F2F2" w:themeFill="background1" w:themeFillShade="F2"/>
            <w:vAlign w:val="center"/>
          </w:tcPr>
          <w:p w14:paraId="273AED51" w14:textId="588BE64F" w:rsidR="007C7330" w:rsidRPr="00E56B85" w:rsidRDefault="007C7330" w:rsidP="007C7330">
            <w:pPr>
              <w:spacing w:after="0" w:line="240" w:lineRule="auto"/>
              <w:jc w:val="center"/>
              <w:rPr>
                <w:sz w:val="20"/>
                <w:szCs w:val="20"/>
                <w:vertAlign w:val="superscript"/>
              </w:rPr>
            </w:pPr>
            <w:r w:rsidRPr="00E56B85">
              <w:rPr>
                <w:sz w:val="20"/>
                <w:szCs w:val="20"/>
              </w:rPr>
              <w:t>21.5</w:t>
            </w:r>
            <w:r w:rsidR="00F44265">
              <w:rPr>
                <w:sz w:val="20"/>
                <w:szCs w:val="20"/>
                <w:vertAlign w:val="superscript"/>
              </w:rPr>
              <w:t>[4]</w:t>
            </w:r>
          </w:p>
        </w:tc>
        <w:tc>
          <w:tcPr>
            <w:tcW w:w="1406" w:type="dxa"/>
            <w:shd w:val="clear" w:color="auto" w:fill="F2F2F2" w:themeFill="background1" w:themeFillShade="F2"/>
            <w:vAlign w:val="center"/>
          </w:tcPr>
          <w:p w14:paraId="3A8B458C" w14:textId="6EC010B6" w:rsidR="007C7330" w:rsidRPr="00E56B85" w:rsidRDefault="007C7330" w:rsidP="007C7330">
            <w:pPr>
              <w:spacing w:after="0" w:line="240" w:lineRule="auto"/>
              <w:jc w:val="center"/>
              <w:rPr>
                <w:sz w:val="20"/>
                <w:szCs w:val="20"/>
              </w:rPr>
            </w:pPr>
            <w:r w:rsidRPr="00E56B85">
              <w:rPr>
                <w:sz w:val="20"/>
                <w:szCs w:val="20"/>
              </w:rPr>
              <w:t>-</w:t>
            </w:r>
          </w:p>
        </w:tc>
      </w:tr>
      <w:tr w:rsidR="00E14EAF" w:rsidRPr="00E56B85" w14:paraId="41046067" w14:textId="72C389FC" w:rsidTr="00E24DE0">
        <w:trPr>
          <w:trHeight w:val="739"/>
        </w:trPr>
        <w:tc>
          <w:tcPr>
            <w:tcW w:w="2903" w:type="dxa"/>
            <w:vAlign w:val="center"/>
          </w:tcPr>
          <w:p w14:paraId="2475CB48" w14:textId="4955BE19" w:rsidR="007C7330" w:rsidRPr="00E56B85" w:rsidRDefault="007C7330" w:rsidP="007C7330">
            <w:pPr>
              <w:spacing w:after="0" w:line="240" w:lineRule="auto"/>
              <w:rPr>
                <w:rFonts w:cs="Calibri"/>
                <w:color w:val="212121"/>
                <w:sz w:val="20"/>
                <w:szCs w:val="20"/>
              </w:rPr>
            </w:pPr>
            <w:r w:rsidRPr="00E56B85">
              <w:rPr>
                <w:sz w:val="20"/>
                <w:szCs w:val="20"/>
              </w:rPr>
              <w:t>Fertility rate (live births per woman)</w:t>
            </w:r>
            <w:r w:rsidR="00250706" w:rsidRPr="00E56B85">
              <w:rPr>
                <w:sz w:val="20"/>
                <w:szCs w:val="20"/>
              </w:rPr>
              <w:t>, 2022</w:t>
            </w:r>
          </w:p>
        </w:tc>
        <w:tc>
          <w:tcPr>
            <w:tcW w:w="1424" w:type="dxa"/>
            <w:vAlign w:val="center"/>
          </w:tcPr>
          <w:p w14:paraId="7E17E7AE" w14:textId="35991A7B" w:rsidR="007C7330" w:rsidRPr="00E56B85" w:rsidRDefault="007C7330" w:rsidP="007C7330">
            <w:pPr>
              <w:spacing w:after="0" w:line="240" w:lineRule="auto"/>
              <w:jc w:val="center"/>
              <w:rPr>
                <w:rFonts w:cs="Calibri"/>
                <w:color w:val="212121"/>
                <w:sz w:val="20"/>
                <w:szCs w:val="20"/>
              </w:rPr>
            </w:pPr>
            <w:r w:rsidRPr="00E56B85">
              <w:rPr>
                <w:sz w:val="20"/>
                <w:szCs w:val="20"/>
              </w:rPr>
              <w:t>1.53</w:t>
            </w:r>
          </w:p>
        </w:tc>
        <w:tc>
          <w:tcPr>
            <w:tcW w:w="1405" w:type="dxa"/>
            <w:vAlign w:val="center"/>
          </w:tcPr>
          <w:p w14:paraId="761FFFAF" w14:textId="65995BAE" w:rsidR="007C7330" w:rsidRPr="00E56B85" w:rsidRDefault="007C7330" w:rsidP="007C7330">
            <w:pPr>
              <w:spacing w:after="0" w:line="240" w:lineRule="auto"/>
              <w:jc w:val="center"/>
              <w:rPr>
                <w:rFonts w:cs="Calibri"/>
                <w:color w:val="212121"/>
                <w:sz w:val="20"/>
                <w:szCs w:val="20"/>
              </w:rPr>
            </w:pPr>
            <w:r w:rsidRPr="00E56B85">
              <w:rPr>
                <w:sz w:val="20"/>
                <w:szCs w:val="20"/>
              </w:rPr>
              <w:t>1.32</w:t>
            </w:r>
          </w:p>
        </w:tc>
        <w:tc>
          <w:tcPr>
            <w:tcW w:w="1373" w:type="dxa"/>
            <w:vAlign w:val="center"/>
          </w:tcPr>
          <w:p w14:paraId="7AE4CA20" w14:textId="6D8CBE40" w:rsidR="007C7330" w:rsidRPr="00E56B85" w:rsidRDefault="007C7330" w:rsidP="007C7330">
            <w:pPr>
              <w:spacing w:after="0" w:line="240" w:lineRule="auto"/>
              <w:jc w:val="center"/>
              <w:rPr>
                <w:sz w:val="20"/>
                <w:szCs w:val="20"/>
              </w:rPr>
            </w:pPr>
            <w:r w:rsidRPr="00E56B85">
              <w:rPr>
                <w:sz w:val="20"/>
                <w:szCs w:val="20"/>
              </w:rPr>
              <w:t>1.59</w:t>
            </w:r>
          </w:p>
        </w:tc>
        <w:tc>
          <w:tcPr>
            <w:tcW w:w="1405" w:type="dxa"/>
            <w:vAlign w:val="center"/>
          </w:tcPr>
          <w:p w14:paraId="362B1E3E" w14:textId="4B6BA16C" w:rsidR="007C7330" w:rsidRPr="00E56B85" w:rsidRDefault="007C7330" w:rsidP="007C7330">
            <w:pPr>
              <w:spacing w:after="0" w:line="240" w:lineRule="auto"/>
              <w:jc w:val="center"/>
              <w:rPr>
                <w:sz w:val="20"/>
                <w:szCs w:val="20"/>
              </w:rPr>
            </w:pPr>
            <w:r w:rsidRPr="00E56B85">
              <w:rPr>
                <w:sz w:val="20"/>
                <w:szCs w:val="20"/>
              </w:rPr>
              <w:t>1.54</w:t>
            </w:r>
          </w:p>
        </w:tc>
        <w:tc>
          <w:tcPr>
            <w:tcW w:w="1405" w:type="dxa"/>
            <w:vAlign w:val="center"/>
          </w:tcPr>
          <w:p w14:paraId="224EE310" w14:textId="3EF37714" w:rsidR="007C7330" w:rsidRPr="00E56B85" w:rsidRDefault="007C7330" w:rsidP="007C7330">
            <w:pPr>
              <w:spacing w:after="0" w:line="240" w:lineRule="auto"/>
              <w:jc w:val="center"/>
              <w:rPr>
                <w:sz w:val="20"/>
                <w:szCs w:val="20"/>
              </w:rPr>
            </w:pPr>
            <w:r w:rsidRPr="00E56B85">
              <w:rPr>
                <w:sz w:val="20"/>
                <w:szCs w:val="20"/>
              </w:rPr>
              <w:t>1.63</w:t>
            </w:r>
          </w:p>
        </w:tc>
        <w:tc>
          <w:tcPr>
            <w:tcW w:w="1406" w:type="dxa"/>
            <w:tcBorders>
              <w:right w:val="single" w:sz="4" w:space="0" w:color="FFFFFF" w:themeColor="background1"/>
            </w:tcBorders>
            <w:vAlign w:val="center"/>
          </w:tcPr>
          <w:p w14:paraId="44A0D7FB" w14:textId="4F7FEDE5" w:rsidR="007C7330" w:rsidRPr="00E56B85" w:rsidRDefault="007C7330" w:rsidP="007C7330">
            <w:pPr>
              <w:spacing w:after="0" w:line="240" w:lineRule="auto"/>
              <w:jc w:val="center"/>
              <w:rPr>
                <w:rFonts w:cs="Calibri"/>
                <w:color w:val="212121"/>
                <w:sz w:val="20"/>
                <w:szCs w:val="20"/>
              </w:rPr>
            </w:pPr>
            <w:r w:rsidRPr="00E56B85">
              <w:rPr>
                <w:sz w:val="20"/>
                <w:szCs w:val="20"/>
              </w:rPr>
              <w:t>1.55</w:t>
            </w:r>
          </w:p>
        </w:tc>
        <w:tc>
          <w:tcPr>
            <w:tcW w:w="1406" w:type="dxa"/>
            <w:tcBorders>
              <w:left w:val="single" w:sz="4" w:space="0" w:color="FFFFFF" w:themeColor="background1"/>
            </w:tcBorders>
            <w:vAlign w:val="center"/>
          </w:tcPr>
          <w:p w14:paraId="67169228" w14:textId="636612A0" w:rsidR="007C7330" w:rsidRPr="00E56B85" w:rsidRDefault="007C7330" w:rsidP="007C7330">
            <w:pPr>
              <w:spacing w:after="0" w:line="240" w:lineRule="auto"/>
              <w:jc w:val="center"/>
              <w:rPr>
                <w:sz w:val="20"/>
                <w:szCs w:val="20"/>
              </w:rPr>
            </w:pPr>
            <w:r w:rsidRPr="00E56B85">
              <w:rPr>
                <w:sz w:val="20"/>
                <w:szCs w:val="20"/>
              </w:rPr>
              <w:t>1.31</w:t>
            </w:r>
            <w:r w:rsidR="00C75C66" w:rsidRPr="00E56B85">
              <w:rPr>
                <w:sz w:val="20"/>
                <w:szCs w:val="20"/>
              </w:rPr>
              <w:t>*</w:t>
            </w:r>
            <w:r w:rsidR="00F44265">
              <w:rPr>
                <w:sz w:val="20"/>
                <w:szCs w:val="20"/>
                <w:vertAlign w:val="superscript"/>
              </w:rPr>
              <w:t>[5]</w:t>
            </w:r>
          </w:p>
        </w:tc>
        <w:tc>
          <w:tcPr>
            <w:tcW w:w="1406" w:type="dxa"/>
            <w:vAlign w:val="center"/>
          </w:tcPr>
          <w:p w14:paraId="4E24453B" w14:textId="2545DC28" w:rsidR="007C7330" w:rsidRPr="00E56B85" w:rsidRDefault="007C7330" w:rsidP="007C7330">
            <w:pPr>
              <w:spacing w:after="0" w:line="240" w:lineRule="auto"/>
              <w:jc w:val="center"/>
              <w:rPr>
                <w:sz w:val="20"/>
                <w:szCs w:val="20"/>
              </w:rPr>
            </w:pPr>
            <w:r w:rsidRPr="00E56B85">
              <w:rPr>
                <w:sz w:val="20"/>
                <w:szCs w:val="20"/>
              </w:rPr>
              <w:t>1.49</w:t>
            </w:r>
            <w:r w:rsidR="00C25DF2" w:rsidRPr="00E56B85">
              <w:rPr>
                <w:sz w:val="20"/>
                <w:szCs w:val="20"/>
              </w:rPr>
              <w:t>*</w:t>
            </w:r>
            <w:r w:rsidR="00F44265">
              <w:rPr>
                <w:sz w:val="20"/>
                <w:szCs w:val="20"/>
                <w:vertAlign w:val="superscript"/>
              </w:rPr>
              <w:t>[5]</w:t>
            </w:r>
          </w:p>
        </w:tc>
        <w:tc>
          <w:tcPr>
            <w:tcW w:w="1406" w:type="dxa"/>
            <w:vAlign w:val="center"/>
          </w:tcPr>
          <w:p w14:paraId="52916ED3" w14:textId="594E029D" w:rsidR="007C7330" w:rsidRPr="00E56B85" w:rsidRDefault="007C7330" w:rsidP="007C7330">
            <w:pPr>
              <w:spacing w:after="0" w:line="240" w:lineRule="auto"/>
              <w:jc w:val="center"/>
              <w:rPr>
                <w:sz w:val="20"/>
                <w:szCs w:val="20"/>
              </w:rPr>
            </w:pPr>
            <w:r w:rsidRPr="00E56B85">
              <w:rPr>
                <w:sz w:val="20"/>
                <w:szCs w:val="20"/>
              </w:rPr>
              <w:t>-</w:t>
            </w:r>
          </w:p>
        </w:tc>
      </w:tr>
      <w:tr w:rsidR="00E14EAF" w:rsidRPr="0095692C" w14:paraId="097E15D1" w14:textId="553CEB15" w:rsidTr="00E24DE0">
        <w:trPr>
          <w:trHeight w:val="739"/>
        </w:trPr>
        <w:tc>
          <w:tcPr>
            <w:tcW w:w="2903" w:type="dxa"/>
            <w:shd w:val="clear" w:color="auto" w:fill="F2F2F2" w:themeFill="background1" w:themeFillShade="F2"/>
            <w:vAlign w:val="center"/>
          </w:tcPr>
          <w:p w14:paraId="5FF316C0" w14:textId="796A933B" w:rsidR="007C7330" w:rsidRPr="0095692C" w:rsidRDefault="007C7330" w:rsidP="007C7330">
            <w:pPr>
              <w:spacing w:after="0" w:line="240" w:lineRule="auto"/>
              <w:rPr>
                <w:rFonts w:cs="Calibri"/>
                <w:color w:val="212121"/>
                <w:sz w:val="20"/>
                <w:szCs w:val="20"/>
              </w:rPr>
            </w:pPr>
            <w:r w:rsidRPr="0095692C">
              <w:rPr>
                <w:sz w:val="20"/>
                <w:szCs w:val="20"/>
              </w:rPr>
              <w:t>Life expectancy at birth (years)</w:t>
            </w:r>
            <w:r w:rsidR="00CB5F8E" w:rsidRPr="0095692C">
              <w:rPr>
                <w:sz w:val="20"/>
                <w:szCs w:val="20"/>
              </w:rPr>
              <w:t>, 2023</w:t>
            </w:r>
          </w:p>
        </w:tc>
        <w:tc>
          <w:tcPr>
            <w:tcW w:w="1424" w:type="dxa"/>
            <w:shd w:val="clear" w:color="auto" w:fill="F2F2F2" w:themeFill="background1" w:themeFillShade="F2"/>
            <w:vAlign w:val="center"/>
          </w:tcPr>
          <w:p w14:paraId="5D8380B3" w14:textId="687B371C" w:rsidR="007C7330" w:rsidRPr="0095692C" w:rsidRDefault="007C7330" w:rsidP="007C7330">
            <w:pPr>
              <w:spacing w:after="0" w:line="240" w:lineRule="auto"/>
              <w:jc w:val="center"/>
              <w:rPr>
                <w:rFonts w:cs="Calibri"/>
                <w:color w:val="212121"/>
                <w:sz w:val="20"/>
                <w:szCs w:val="20"/>
              </w:rPr>
            </w:pPr>
            <w:r w:rsidRPr="0095692C">
              <w:rPr>
                <w:sz w:val="20"/>
                <w:szCs w:val="20"/>
              </w:rPr>
              <w:t>82.5</w:t>
            </w:r>
          </w:p>
        </w:tc>
        <w:tc>
          <w:tcPr>
            <w:tcW w:w="1405" w:type="dxa"/>
            <w:shd w:val="clear" w:color="auto" w:fill="F2F2F2" w:themeFill="background1" w:themeFillShade="F2"/>
            <w:vAlign w:val="center"/>
          </w:tcPr>
          <w:p w14:paraId="18ED37CF" w14:textId="475F117B" w:rsidR="007C7330" w:rsidRPr="0095692C" w:rsidRDefault="007C7330" w:rsidP="007C7330">
            <w:pPr>
              <w:spacing w:after="0" w:line="240" w:lineRule="auto"/>
              <w:jc w:val="center"/>
              <w:rPr>
                <w:rFonts w:cs="Calibri"/>
                <w:color w:val="212121"/>
                <w:sz w:val="20"/>
                <w:szCs w:val="20"/>
              </w:rPr>
            </w:pPr>
            <w:r w:rsidRPr="0095692C">
              <w:rPr>
                <w:sz w:val="20"/>
                <w:szCs w:val="20"/>
              </w:rPr>
              <w:t>81.7</w:t>
            </w:r>
          </w:p>
        </w:tc>
        <w:tc>
          <w:tcPr>
            <w:tcW w:w="1373" w:type="dxa"/>
            <w:shd w:val="clear" w:color="auto" w:fill="F2F2F2" w:themeFill="background1" w:themeFillShade="F2"/>
            <w:vAlign w:val="center"/>
          </w:tcPr>
          <w:p w14:paraId="5E22584D" w14:textId="7B1C95F4" w:rsidR="007C7330" w:rsidRPr="0095692C" w:rsidRDefault="007C7330" w:rsidP="007C7330">
            <w:pPr>
              <w:spacing w:after="0" w:line="240" w:lineRule="auto"/>
              <w:jc w:val="center"/>
              <w:rPr>
                <w:sz w:val="20"/>
                <w:szCs w:val="20"/>
              </w:rPr>
            </w:pPr>
            <w:r w:rsidRPr="0095692C">
              <w:rPr>
                <w:sz w:val="20"/>
                <w:szCs w:val="20"/>
              </w:rPr>
              <w:t>82.6</w:t>
            </w:r>
          </w:p>
        </w:tc>
        <w:tc>
          <w:tcPr>
            <w:tcW w:w="1405" w:type="dxa"/>
            <w:shd w:val="clear" w:color="auto" w:fill="F2F2F2" w:themeFill="background1" w:themeFillShade="F2"/>
            <w:vAlign w:val="center"/>
          </w:tcPr>
          <w:p w14:paraId="66A26CF8" w14:textId="596CC5D0" w:rsidR="007C7330" w:rsidRPr="0095692C" w:rsidRDefault="007C7330" w:rsidP="007C7330">
            <w:pPr>
              <w:spacing w:after="0" w:line="240" w:lineRule="auto"/>
              <w:jc w:val="center"/>
              <w:rPr>
                <w:sz w:val="20"/>
                <w:szCs w:val="20"/>
              </w:rPr>
            </w:pPr>
            <w:r w:rsidRPr="0095692C">
              <w:rPr>
                <w:sz w:val="20"/>
                <w:szCs w:val="20"/>
              </w:rPr>
              <w:t>82.6</w:t>
            </w:r>
            <w:r w:rsidR="00D6050C" w:rsidRPr="0095692C">
              <w:rPr>
                <w:sz w:val="20"/>
                <w:szCs w:val="20"/>
              </w:rPr>
              <w:t>**</w:t>
            </w:r>
          </w:p>
        </w:tc>
        <w:tc>
          <w:tcPr>
            <w:tcW w:w="1405" w:type="dxa"/>
            <w:shd w:val="clear" w:color="auto" w:fill="F2F2F2" w:themeFill="background1" w:themeFillShade="F2"/>
            <w:vAlign w:val="center"/>
          </w:tcPr>
          <w:p w14:paraId="43A9B705" w14:textId="3CED96A0" w:rsidR="007C7330" w:rsidRPr="0095692C" w:rsidRDefault="007C7330" w:rsidP="007C7330">
            <w:pPr>
              <w:spacing w:after="0" w:line="240" w:lineRule="auto"/>
              <w:jc w:val="center"/>
              <w:rPr>
                <w:sz w:val="20"/>
                <w:szCs w:val="20"/>
              </w:rPr>
            </w:pPr>
            <w:r w:rsidRPr="0095692C">
              <w:rPr>
                <w:sz w:val="20"/>
                <w:szCs w:val="20"/>
              </w:rPr>
              <w:t>82.3</w:t>
            </w:r>
            <w:r w:rsidR="00C43EBA" w:rsidRPr="0095692C">
              <w:rPr>
                <w:sz w:val="20"/>
                <w:szCs w:val="20"/>
              </w:rPr>
              <w:t>*</w:t>
            </w:r>
          </w:p>
        </w:tc>
        <w:tc>
          <w:tcPr>
            <w:tcW w:w="1406" w:type="dxa"/>
            <w:tcBorders>
              <w:right w:val="single" w:sz="4" w:space="0" w:color="FFFFFF" w:themeColor="background1"/>
            </w:tcBorders>
            <w:shd w:val="clear" w:color="auto" w:fill="F2F2F2" w:themeFill="background1" w:themeFillShade="F2"/>
            <w:vAlign w:val="center"/>
          </w:tcPr>
          <w:p w14:paraId="5F82BF70" w14:textId="68F8758B" w:rsidR="007C7330" w:rsidRPr="0095692C" w:rsidRDefault="007C7330" w:rsidP="007C7330">
            <w:pPr>
              <w:spacing w:after="0" w:line="240" w:lineRule="auto"/>
              <w:jc w:val="center"/>
              <w:rPr>
                <w:rFonts w:cs="Calibri"/>
                <w:color w:val="212121"/>
                <w:sz w:val="20"/>
                <w:szCs w:val="20"/>
              </w:rPr>
            </w:pPr>
            <w:r w:rsidRPr="0095692C">
              <w:rPr>
                <w:sz w:val="20"/>
                <w:szCs w:val="20"/>
              </w:rPr>
              <w:t>82.0</w:t>
            </w:r>
          </w:p>
        </w:tc>
        <w:tc>
          <w:tcPr>
            <w:tcW w:w="1406" w:type="dxa"/>
            <w:tcBorders>
              <w:left w:val="single" w:sz="4" w:space="0" w:color="FFFFFF" w:themeColor="background1"/>
            </w:tcBorders>
            <w:shd w:val="clear" w:color="auto" w:fill="F2F2F2" w:themeFill="background1" w:themeFillShade="F2"/>
            <w:vAlign w:val="center"/>
          </w:tcPr>
          <w:p w14:paraId="05CD1C95" w14:textId="013BB44C" w:rsidR="007C7330" w:rsidRPr="0095692C" w:rsidRDefault="007C7330" w:rsidP="007C7330">
            <w:pPr>
              <w:spacing w:after="0" w:line="240" w:lineRule="auto"/>
              <w:jc w:val="center"/>
              <w:rPr>
                <w:sz w:val="20"/>
                <w:szCs w:val="20"/>
              </w:rPr>
            </w:pPr>
            <w:r w:rsidRPr="0095692C">
              <w:rPr>
                <w:sz w:val="20"/>
                <w:szCs w:val="20"/>
              </w:rPr>
              <w:t>76.5 (m)</w:t>
            </w:r>
            <w:r w:rsidR="00183D1A" w:rsidRPr="0095692C">
              <w:rPr>
                <w:sz w:val="20"/>
                <w:szCs w:val="20"/>
                <w:vertAlign w:val="superscript"/>
              </w:rPr>
              <w:t>b</w:t>
            </w:r>
            <w:r w:rsidRPr="0095692C">
              <w:rPr>
                <w:sz w:val="20"/>
                <w:szCs w:val="20"/>
              </w:rPr>
              <w:br/>
              <w:t>80.7 (f)</w:t>
            </w:r>
            <w:r w:rsidR="00183D1A" w:rsidRPr="0095692C">
              <w:rPr>
                <w:sz w:val="20"/>
                <w:szCs w:val="20"/>
                <w:vertAlign w:val="superscript"/>
              </w:rPr>
              <w:t>b</w:t>
            </w:r>
            <w:r w:rsidR="00B00C3F" w:rsidRPr="0095692C">
              <w:rPr>
                <w:sz w:val="20"/>
                <w:szCs w:val="20"/>
                <w:vertAlign w:val="superscript"/>
              </w:rPr>
              <w:t xml:space="preserve"> </w:t>
            </w:r>
            <w:r w:rsidR="00F44265" w:rsidRPr="0095692C">
              <w:rPr>
                <w:sz w:val="20"/>
                <w:szCs w:val="20"/>
                <w:vertAlign w:val="superscript"/>
              </w:rPr>
              <w:t>[6]</w:t>
            </w:r>
          </w:p>
        </w:tc>
        <w:tc>
          <w:tcPr>
            <w:tcW w:w="1406" w:type="dxa"/>
            <w:shd w:val="clear" w:color="auto" w:fill="F2F2F2" w:themeFill="background1" w:themeFillShade="F2"/>
            <w:vAlign w:val="center"/>
          </w:tcPr>
          <w:p w14:paraId="389EB636" w14:textId="386D261F" w:rsidR="007C7330" w:rsidRPr="0095692C" w:rsidRDefault="007C7330" w:rsidP="007C7330">
            <w:pPr>
              <w:spacing w:after="0" w:line="240" w:lineRule="auto"/>
              <w:jc w:val="center"/>
              <w:rPr>
                <w:sz w:val="20"/>
                <w:szCs w:val="20"/>
                <w:vertAlign w:val="superscript"/>
              </w:rPr>
            </w:pPr>
            <w:r w:rsidRPr="0095692C">
              <w:rPr>
                <w:sz w:val="20"/>
                <w:szCs w:val="20"/>
              </w:rPr>
              <w:t>77.9 (m)</w:t>
            </w:r>
            <w:r w:rsidR="00183D1A" w:rsidRPr="0095692C">
              <w:rPr>
                <w:sz w:val="20"/>
                <w:szCs w:val="20"/>
                <w:vertAlign w:val="superscript"/>
              </w:rPr>
              <w:t>b</w:t>
            </w:r>
            <w:r w:rsidRPr="0095692C">
              <w:rPr>
                <w:sz w:val="20"/>
                <w:szCs w:val="20"/>
              </w:rPr>
              <w:br/>
              <w:t>81.8 (f)</w:t>
            </w:r>
            <w:r w:rsidR="00183D1A" w:rsidRPr="0095692C">
              <w:rPr>
                <w:sz w:val="20"/>
                <w:szCs w:val="20"/>
                <w:vertAlign w:val="superscript"/>
              </w:rPr>
              <w:t>b</w:t>
            </w:r>
            <w:r w:rsidR="00117277" w:rsidRPr="0095692C">
              <w:rPr>
                <w:sz w:val="20"/>
                <w:szCs w:val="20"/>
                <w:vertAlign w:val="superscript"/>
              </w:rPr>
              <w:t xml:space="preserve"> </w:t>
            </w:r>
            <w:r w:rsidR="00F44265" w:rsidRPr="0095692C">
              <w:rPr>
                <w:sz w:val="20"/>
                <w:szCs w:val="20"/>
                <w:vertAlign w:val="superscript"/>
              </w:rPr>
              <w:t>[6]</w:t>
            </w:r>
          </w:p>
        </w:tc>
        <w:tc>
          <w:tcPr>
            <w:tcW w:w="1406" w:type="dxa"/>
            <w:shd w:val="clear" w:color="auto" w:fill="F2F2F2" w:themeFill="background1" w:themeFillShade="F2"/>
            <w:vAlign w:val="center"/>
          </w:tcPr>
          <w:p w14:paraId="1D136DFB" w14:textId="20C71B7A" w:rsidR="007C7330" w:rsidRPr="0095692C" w:rsidRDefault="007C7330" w:rsidP="007C7330">
            <w:pPr>
              <w:spacing w:after="0" w:line="240" w:lineRule="auto"/>
              <w:jc w:val="center"/>
              <w:rPr>
                <w:sz w:val="20"/>
                <w:szCs w:val="20"/>
              </w:rPr>
            </w:pPr>
            <w:r w:rsidRPr="0095692C">
              <w:rPr>
                <w:sz w:val="20"/>
                <w:szCs w:val="20"/>
              </w:rPr>
              <w:t>-</w:t>
            </w:r>
          </w:p>
        </w:tc>
      </w:tr>
      <w:tr w:rsidR="00E14EAF" w:rsidRPr="0095692C" w14:paraId="19436895" w14:textId="30F8ADEB" w:rsidTr="00E24DE0">
        <w:trPr>
          <w:trHeight w:val="739"/>
        </w:trPr>
        <w:tc>
          <w:tcPr>
            <w:tcW w:w="2903" w:type="dxa"/>
            <w:vAlign w:val="center"/>
          </w:tcPr>
          <w:p w14:paraId="43445E8E" w14:textId="089F2996" w:rsidR="007C7330" w:rsidRPr="0095692C" w:rsidRDefault="007C7330" w:rsidP="007C7330">
            <w:pPr>
              <w:spacing w:after="0" w:line="240" w:lineRule="auto"/>
              <w:rPr>
                <w:sz w:val="20"/>
                <w:szCs w:val="20"/>
              </w:rPr>
            </w:pPr>
            <w:r w:rsidRPr="0095692C">
              <w:rPr>
                <w:sz w:val="20"/>
                <w:szCs w:val="20"/>
              </w:rPr>
              <w:t>Infant mortality rate per 1,000 live births</w:t>
            </w:r>
          </w:p>
        </w:tc>
        <w:tc>
          <w:tcPr>
            <w:tcW w:w="1424" w:type="dxa"/>
            <w:vAlign w:val="center"/>
          </w:tcPr>
          <w:p w14:paraId="73F5ACD6" w14:textId="608016AC" w:rsidR="007C7330" w:rsidRPr="0095692C" w:rsidRDefault="007C7330" w:rsidP="007C7330">
            <w:pPr>
              <w:spacing w:after="0" w:line="240" w:lineRule="auto"/>
              <w:jc w:val="center"/>
              <w:rPr>
                <w:rFonts w:cs="Calibri"/>
                <w:color w:val="212121"/>
                <w:sz w:val="20"/>
                <w:szCs w:val="20"/>
              </w:rPr>
            </w:pPr>
            <w:r w:rsidRPr="0095692C">
              <w:rPr>
                <w:sz w:val="20"/>
                <w:szCs w:val="20"/>
              </w:rPr>
              <w:t>2.9</w:t>
            </w:r>
            <w:r w:rsidR="002666CC" w:rsidRPr="0095692C">
              <w:rPr>
                <w:sz w:val="20"/>
                <w:szCs w:val="20"/>
              </w:rPr>
              <w:t>*</w:t>
            </w:r>
          </w:p>
        </w:tc>
        <w:tc>
          <w:tcPr>
            <w:tcW w:w="1405" w:type="dxa"/>
            <w:vAlign w:val="center"/>
          </w:tcPr>
          <w:p w14:paraId="32F479DD" w14:textId="7D00CC45" w:rsidR="007C7330" w:rsidRPr="0095692C" w:rsidRDefault="007C7330" w:rsidP="007C7330">
            <w:pPr>
              <w:spacing w:after="0" w:line="240" w:lineRule="auto"/>
              <w:jc w:val="center"/>
              <w:rPr>
                <w:rFonts w:cs="Calibri"/>
                <w:color w:val="212121"/>
                <w:sz w:val="20"/>
                <w:szCs w:val="20"/>
              </w:rPr>
            </w:pPr>
            <w:r w:rsidRPr="0095692C">
              <w:rPr>
                <w:sz w:val="20"/>
                <w:szCs w:val="20"/>
              </w:rPr>
              <w:t>2.0</w:t>
            </w:r>
            <w:r w:rsidR="00F5408C" w:rsidRPr="0095692C">
              <w:rPr>
                <w:sz w:val="20"/>
                <w:szCs w:val="20"/>
              </w:rPr>
              <w:t>**</w:t>
            </w:r>
          </w:p>
        </w:tc>
        <w:tc>
          <w:tcPr>
            <w:tcW w:w="1373" w:type="dxa"/>
            <w:vAlign w:val="center"/>
          </w:tcPr>
          <w:p w14:paraId="0DB2A97A" w14:textId="6B9E2F88" w:rsidR="007C7330" w:rsidRPr="0095692C" w:rsidRDefault="007C7330" w:rsidP="007C7330">
            <w:pPr>
              <w:spacing w:after="0" w:line="240" w:lineRule="auto"/>
              <w:jc w:val="center"/>
              <w:rPr>
                <w:sz w:val="20"/>
                <w:szCs w:val="20"/>
              </w:rPr>
            </w:pPr>
            <w:r w:rsidRPr="0095692C">
              <w:rPr>
                <w:sz w:val="20"/>
                <w:szCs w:val="20"/>
              </w:rPr>
              <w:t>3.3</w:t>
            </w:r>
            <w:r w:rsidR="00EB4AF5" w:rsidRPr="0095692C">
              <w:rPr>
                <w:sz w:val="20"/>
                <w:szCs w:val="20"/>
              </w:rPr>
              <w:t>*</w:t>
            </w:r>
          </w:p>
        </w:tc>
        <w:tc>
          <w:tcPr>
            <w:tcW w:w="1405" w:type="dxa"/>
            <w:vAlign w:val="center"/>
          </w:tcPr>
          <w:p w14:paraId="1A1C552F" w14:textId="63E179EB" w:rsidR="007C7330" w:rsidRPr="0095692C" w:rsidRDefault="007C7330" w:rsidP="007C7330">
            <w:pPr>
              <w:spacing w:after="0" w:line="240" w:lineRule="auto"/>
              <w:jc w:val="center"/>
              <w:rPr>
                <w:sz w:val="20"/>
                <w:szCs w:val="20"/>
              </w:rPr>
            </w:pPr>
            <w:r w:rsidRPr="0095692C">
              <w:rPr>
                <w:sz w:val="20"/>
                <w:szCs w:val="20"/>
              </w:rPr>
              <w:t>3.3</w:t>
            </w:r>
            <w:r w:rsidR="00576DF7" w:rsidRPr="0095692C">
              <w:rPr>
                <w:sz w:val="20"/>
                <w:szCs w:val="20"/>
              </w:rPr>
              <w:t>**</w:t>
            </w:r>
          </w:p>
        </w:tc>
        <w:tc>
          <w:tcPr>
            <w:tcW w:w="1405" w:type="dxa"/>
            <w:vAlign w:val="center"/>
          </w:tcPr>
          <w:p w14:paraId="79CCAC8E" w14:textId="518C585F" w:rsidR="007C7330" w:rsidRPr="0095692C" w:rsidRDefault="007C7330" w:rsidP="007C7330">
            <w:pPr>
              <w:spacing w:after="0" w:line="240" w:lineRule="auto"/>
              <w:jc w:val="center"/>
              <w:rPr>
                <w:sz w:val="20"/>
                <w:szCs w:val="20"/>
              </w:rPr>
            </w:pPr>
            <w:r w:rsidRPr="0095692C">
              <w:rPr>
                <w:sz w:val="20"/>
                <w:szCs w:val="20"/>
              </w:rPr>
              <w:t>4.3</w:t>
            </w:r>
            <w:r w:rsidR="004C12D8" w:rsidRPr="0095692C">
              <w:rPr>
                <w:sz w:val="20"/>
                <w:szCs w:val="20"/>
              </w:rPr>
              <w:t xml:space="preserve"> (2018)</w:t>
            </w:r>
          </w:p>
        </w:tc>
        <w:tc>
          <w:tcPr>
            <w:tcW w:w="1406" w:type="dxa"/>
            <w:tcBorders>
              <w:right w:val="single" w:sz="4" w:space="0" w:color="FFFFFF" w:themeColor="background1"/>
            </w:tcBorders>
            <w:vAlign w:val="center"/>
          </w:tcPr>
          <w:p w14:paraId="67F3F151" w14:textId="4102DEF8" w:rsidR="007C7330" w:rsidRPr="0095692C" w:rsidRDefault="007C7330" w:rsidP="007C7330">
            <w:pPr>
              <w:spacing w:after="0" w:line="240" w:lineRule="auto"/>
              <w:jc w:val="center"/>
              <w:rPr>
                <w:rFonts w:cs="Calibri"/>
                <w:color w:val="212121"/>
                <w:sz w:val="20"/>
                <w:szCs w:val="20"/>
              </w:rPr>
            </w:pPr>
            <w:r w:rsidRPr="0095692C">
              <w:rPr>
                <w:sz w:val="20"/>
                <w:szCs w:val="20"/>
              </w:rPr>
              <w:t>2.5</w:t>
            </w:r>
            <w:r w:rsidR="00923D3B" w:rsidRPr="0095692C">
              <w:rPr>
                <w:sz w:val="20"/>
                <w:szCs w:val="20"/>
              </w:rPr>
              <w:t>**</w:t>
            </w:r>
          </w:p>
        </w:tc>
        <w:tc>
          <w:tcPr>
            <w:tcW w:w="1406" w:type="dxa"/>
            <w:tcBorders>
              <w:left w:val="single" w:sz="4" w:space="0" w:color="FFFFFF" w:themeColor="background1"/>
            </w:tcBorders>
            <w:vAlign w:val="center"/>
          </w:tcPr>
          <w:p w14:paraId="0DB3BD60" w14:textId="22D6E302" w:rsidR="007C7330" w:rsidRPr="0095692C" w:rsidRDefault="007C7330" w:rsidP="007C7330">
            <w:pPr>
              <w:spacing w:after="0" w:line="240" w:lineRule="auto"/>
              <w:jc w:val="center"/>
              <w:rPr>
                <w:sz w:val="20"/>
                <w:szCs w:val="20"/>
              </w:rPr>
            </w:pPr>
            <w:r w:rsidRPr="0095692C">
              <w:rPr>
                <w:sz w:val="20"/>
                <w:szCs w:val="20"/>
              </w:rPr>
              <w:t>3.5</w:t>
            </w:r>
            <w:r w:rsidR="002E0CB9" w:rsidRPr="0095692C">
              <w:rPr>
                <w:sz w:val="20"/>
                <w:szCs w:val="20"/>
              </w:rPr>
              <w:t>**</w:t>
            </w:r>
            <w:r w:rsidR="00F44265" w:rsidRPr="0095692C">
              <w:rPr>
                <w:sz w:val="20"/>
                <w:szCs w:val="20"/>
                <w:vertAlign w:val="superscript"/>
              </w:rPr>
              <w:t>[7]</w:t>
            </w:r>
          </w:p>
        </w:tc>
        <w:tc>
          <w:tcPr>
            <w:tcW w:w="1406" w:type="dxa"/>
            <w:vAlign w:val="center"/>
          </w:tcPr>
          <w:p w14:paraId="2AB81A62" w14:textId="24EA7A3C" w:rsidR="007C7330" w:rsidRPr="0095692C" w:rsidRDefault="007C7330" w:rsidP="007C7330">
            <w:pPr>
              <w:spacing w:after="0" w:line="240" w:lineRule="auto"/>
              <w:jc w:val="center"/>
              <w:rPr>
                <w:sz w:val="20"/>
                <w:szCs w:val="20"/>
              </w:rPr>
            </w:pPr>
            <w:r w:rsidRPr="0095692C">
              <w:rPr>
                <w:sz w:val="20"/>
                <w:szCs w:val="20"/>
              </w:rPr>
              <w:t>3.6</w:t>
            </w:r>
            <w:r w:rsidR="002E0CB9" w:rsidRPr="0095692C">
              <w:rPr>
                <w:sz w:val="20"/>
                <w:szCs w:val="20"/>
              </w:rPr>
              <w:t>**</w:t>
            </w:r>
            <w:r w:rsidR="00F44265" w:rsidRPr="0095692C">
              <w:rPr>
                <w:sz w:val="20"/>
                <w:szCs w:val="20"/>
                <w:vertAlign w:val="superscript"/>
              </w:rPr>
              <w:t>[8]</w:t>
            </w:r>
          </w:p>
        </w:tc>
        <w:tc>
          <w:tcPr>
            <w:tcW w:w="1406" w:type="dxa"/>
            <w:vAlign w:val="center"/>
          </w:tcPr>
          <w:p w14:paraId="4F34DC1F" w14:textId="1175D404" w:rsidR="007C7330" w:rsidRPr="0095692C" w:rsidRDefault="007C7330" w:rsidP="007C7330">
            <w:pPr>
              <w:spacing w:after="0" w:line="240" w:lineRule="auto"/>
              <w:jc w:val="center"/>
              <w:rPr>
                <w:sz w:val="20"/>
                <w:szCs w:val="20"/>
              </w:rPr>
            </w:pPr>
            <w:r w:rsidRPr="0095692C">
              <w:rPr>
                <w:sz w:val="20"/>
                <w:szCs w:val="20"/>
              </w:rPr>
              <w:t>-</w:t>
            </w:r>
          </w:p>
        </w:tc>
      </w:tr>
      <w:tr w:rsidR="00E24DE0" w:rsidRPr="0095692C" w14:paraId="2EB8BDE3" w14:textId="77777777" w:rsidTr="00E24DE0">
        <w:trPr>
          <w:trHeight w:val="370"/>
        </w:trPr>
        <w:tc>
          <w:tcPr>
            <w:tcW w:w="15539" w:type="dxa"/>
            <w:gridSpan w:val="10"/>
            <w:tcBorders>
              <w:left w:val="single" w:sz="4" w:space="0" w:color="FFFFFF" w:themeColor="background1"/>
            </w:tcBorders>
            <w:shd w:val="clear" w:color="auto" w:fill="45B0E1" w:themeFill="accent1" w:themeFillTint="99"/>
            <w:vAlign w:val="center"/>
          </w:tcPr>
          <w:p w14:paraId="01B242C9" w14:textId="0EEA7AE4" w:rsidR="007C7330" w:rsidRPr="0095692C" w:rsidRDefault="007C7330" w:rsidP="007C7330">
            <w:pPr>
              <w:spacing w:after="0" w:line="240" w:lineRule="auto"/>
              <w:rPr>
                <w:rFonts w:cs="Calibri"/>
                <w:b/>
                <w:bCs/>
                <w:color w:val="FFFFFF" w:themeColor="background1"/>
                <w:sz w:val="20"/>
                <w:szCs w:val="20"/>
              </w:rPr>
            </w:pPr>
            <w:r w:rsidRPr="0095692C">
              <w:rPr>
                <w:rFonts w:cs="Calibri"/>
                <w:b/>
                <w:bCs/>
                <w:color w:val="FFFFFF" w:themeColor="background1"/>
                <w:sz w:val="20"/>
                <w:szCs w:val="20"/>
              </w:rPr>
              <w:t>Socioeconomic factors</w:t>
            </w:r>
          </w:p>
        </w:tc>
      </w:tr>
      <w:tr w:rsidR="00E14EAF" w:rsidRPr="0095692C" w14:paraId="0D22D028" w14:textId="5FA71888" w:rsidTr="00E24DE0">
        <w:trPr>
          <w:trHeight w:val="737"/>
        </w:trPr>
        <w:tc>
          <w:tcPr>
            <w:tcW w:w="2903" w:type="dxa"/>
            <w:shd w:val="clear" w:color="auto" w:fill="F2F2F2" w:themeFill="background1" w:themeFillShade="F2"/>
            <w:vAlign w:val="center"/>
          </w:tcPr>
          <w:p w14:paraId="7CA5907C" w14:textId="0D469460" w:rsidR="007C7330" w:rsidRPr="0095692C" w:rsidRDefault="007C7330" w:rsidP="007C7330">
            <w:pPr>
              <w:spacing w:after="0" w:line="240" w:lineRule="auto"/>
              <w:rPr>
                <w:rFonts w:cs="Calibri"/>
                <w:color w:val="212121"/>
                <w:sz w:val="20"/>
                <w:szCs w:val="20"/>
              </w:rPr>
            </w:pPr>
            <w:r w:rsidRPr="0095692C">
              <w:rPr>
                <w:rFonts w:cs="Calibri"/>
                <w:color w:val="212121"/>
                <w:sz w:val="20"/>
                <w:szCs w:val="20"/>
              </w:rPr>
              <w:t>GDP per capita (PPP international $)</w:t>
            </w:r>
            <w:r w:rsidR="00CD1DC1" w:rsidRPr="0095692C">
              <w:rPr>
                <w:rFonts w:cs="Calibri"/>
                <w:color w:val="212121"/>
                <w:sz w:val="20"/>
                <w:szCs w:val="20"/>
              </w:rPr>
              <w:t>, 2023</w:t>
            </w:r>
            <w:r w:rsidR="00F44265" w:rsidRPr="0095692C">
              <w:rPr>
                <w:rFonts w:cs="Calibri"/>
                <w:color w:val="212121"/>
                <w:sz w:val="20"/>
                <w:szCs w:val="20"/>
                <w:vertAlign w:val="superscript"/>
              </w:rPr>
              <w:t>[9]</w:t>
            </w:r>
          </w:p>
        </w:tc>
        <w:tc>
          <w:tcPr>
            <w:tcW w:w="1424" w:type="dxa"/>
            <w:shd w:val="clear" w:color="auto" w:fill="F2F2F2" w:themeFill="background1" w:themeFillShade="F2"/>
            <w:vAlign w:val="center"/>
          </w:tcPr>
          <w:p w14:paraId="2E7FFF7C" w14:textId="6E7BA781" w:rsidR="007C7330" w:rsidRPr="0095692C" w:rsidRDefault="007C7330" w:rsidP="007C7330">
            <w:pPr>
              <w:spacing w:after="0" w:line="240" w:lineRule="auto"/>
              <w:jc w:val="center"/>
              <w:rPr>
                <w:rFonts w:cs="Calibri"/>
                <w:color w:val="212121"/>
                <w:sz w:val="20"/>
                <w:szCs w:val="20"/>
              </w:rPr>
            </w:pPr>
            <w:r w:rsidRPr="0095692C">
              <w:rPr>
                <w:sz w:val="20"/>
                <w:szCs w:val="20"/>
              </w:rPr>
              <w:t>70,456</w:t>
            </w:r>
          </w:p>
        </w:tc>
        <w:tc>
          <w:tcPr>
            <w:tcW w:w="1405" w:type="dxa"/>
            <w:shd w:val="clear" w:color="auto" w:fill="F2F2F2" w:themeFill="background1" w:themeFillShade="F2"/>
            <w:vAlign w:val="center"/>
          </w:tcPr>
          <w:p w14:paraId="7F7902E6" w14:textId="4D429E5D" w:rsidR="007C7330" w:rsidRPr="0095692C" w:rsidRDefault="007C7330" w:rsidP="007C7330">
            <w:pPr>
              <w:spacing w:after="0" w:line="240" w:lineRule="auto"/>
              <w:jc w:val="center"/>
              <w:rPr>
                <w:rFonts w:cs="Calibri"/>
                <w:color w:val="212121"/>
                <w:sz w:val="20"/>
                <w:szCs w:val="20"/>
              </w:rPr>
            </w:pPr>
            <w:r w:rsidRPr="0095692C">
              <w:rPr>
                <w:rFonts w:ascii="Helvetica" w:hAnsi="Helvetica" w:cs="Helvetica"/>
                <w:color w:val="000000"/>
                <w:sz w:val="20"/>
                <w:szCs w:val="20"/>
                <w:shd w:val="clear" w:color="auto" w:fill="FFFFFF"/>
              </w:rPr>
              <w:t>65,061</w:t>
            </w:r>
          </w:p>
        </w:tc>
        <w:tc>
          <w:tcPr>
            <w:tcW w:w="1373" w:type="dxa"/>
            <w:shd w:val="clear" w:color="auto" w:fill="F2F2F2" w:themeFill="background1" w:themeFillShade="F2"/>
            <w:vAlign w:val="center"/>
          </w:tcPr>
          <w:p w14:paraId="788F030C" w14:textId="0A2E9739" w:rsidR="007C7330" w:rsidRPr="0095692C" w:rsidRDefault="007C7330" w:rsidP="007C7330">
            <w:pPr>
              <w:spacing w:after="0" w:line="240" w:lineRule="auto"/>
              <w:jc w:val="center"/>
              <w:rPr>
                <w:rFonts w:cs="Calibri"/>
                <w:color w:val="212121"/>
                <w:sz w:val="20"/>
                <w:szCs w:val="20"/>
              </w:rPr>
            </w:pPr>
            <w:r w:rsidRPr="0095692C">
              <w:rPr>
                <w:sz w:val="20"/>
                <w:szCs w:val="20"/>
              </w:rPr>
              <w:t>77,567</w:t>
            </w:r>
          </w:p>
        </w:tc>
        <w:tc>
          <w:tcPr>
            <w:tcW w:w="1405" w:type="dxa"/>
            <w:shd w:val="clear" w:color="auto" w:fill="F2F2F2" w:themeFill="background1" w:themeFillShade="F2"/>
            <w:vAlign w:val="center"/>
          </w:tcPr>
          <w:p w14:paraId="2174DF5E" w14:textId="386C112B" w:rsidR="007C7330" w:rsidRPr="0095692C" w:rsidRDefault="007C7330" w:rsidP="007C7330">
            <w:pPr>
              <w:spacing w:after="0" w:line="240" w:lineRule="auto"/>
              <w:jc w:val="center"/>
              <w:rPr>
                <w:rFonts w:cs="Calibri"/>
                <w:color w:val="212121"/>
                <w:sz w:val="20"/>
                <w:szCs w:val="20"/>
              </w:rPr>
            </w:pPr>
            <w:r w:rsidRPr="0095692C">
              <w:rPr>
                <w:sz w:val="20"/>
                <w:szCs w:val="20"/>
              </w:rPr>
              <w:t>127,623</w:t>
            </w:r>
          </w:p>
        </w:tc>
        <w:tc>
          <w:tcPr>
            <w:tcW w:w="1405" w:type="dxa"/>
            <w:shd w:val="clear" w:color="auto" w:fill="F2F2F2" w:themeFill="background1" w:themeFillShade="F2"/>
            <w:vAlign w:val="center"/>
          </w:tcPr>
          <w:p w14:paraId="5196E080" w14:textId="37C0C88F" w:rsidR="007C7330" w:rsidRPr="0095692C" w:rsidRDefault="007C7330" w:rsidP="007C7330">
            <w:pPr>
              <w:spacing w:after="0" w:line="240" w:lineRule="auto"/>
              <w:jc w:val="center"/>
              <w:rPr>
                <w:rFonts w:cs="Calibri"/>
                <w:color w:val="212121"/>
                <w:sz w:val="20"/>
                <w:szCs w:val="20"/>
              </w:rPr>
            </w:pPr>
            <w:r w:rsidRPr="0095692C">
              <w:rPr>
                <w:sz w:val="20"/>
                <w:szCs w:val="20"/>
              </w:rPr>
              <w:t>54,110</w:t>
            </w:r>
          </w:p>
        </w:tc>
        <w:tc>
          <w:tcPr>
            <w:tcW w:w="1406" w:type="dxa"/>
            <w:tcBorders>
              <w:right w:val="single" w:sz="4" w:space="0" w:color="FFFFFF" w:themeColor="background1"/>
            </w:tcBorders>
            <w:shd w:val="clear" w:color="auto" w:fill="F2F2F2" w:themeFill="background1" w:themeFillShade="F2"/>
            <w:vAlign w:val="center"/>
          </w:tcPr>
          <w:p w14:paraId="60711D00" w14:textId="121EC0E0" w:rsidR="007C7330" w:rsidRPr="0095692C" w:rsidRDefault="007C7330" w:rsidP="007C7330">
            <w:pPr>
              <w:spacing w:after="0" w:line="240" w:lineRule="auto"/>
              <w:jc w:val="center"/>
              <w:rPr>
                <w:rFonts w:cs="Calibri"/>
                <w:color w:val="212121"/>
                <w:sz w:val="20"/>
                <w:szCs w:val="20"/>
              </w:rPr>
            </w:pPr>
            <w:r w:rsidRPr="0095692C">
              <w:rPr>
                <w:rFonts w:ascii="Helvetica" w:hAnsi="Helvetica" w:cs="Helvetica"/>
                <w:color w:val="000000"/>
                <w:sz w:val="20"/>
                <w:szCs w:val="20"/>
                <w:shd w:val="clear" w:color="auto" w:fill="FFFFFF"/>
              </w:rPr>
              <w:t>54,948</w:t>
            </w:r>
          </w:p>
        </w:tc>
        <w:tc>
          <w:tcPr>
            <w:tcW w:w="1406" w:type="dxa"/>
            <w:tcBorders>
              <w:left w:val="single" w:sz="4" w:space="0" w:color="FFFFFF" w:themeColor="background1"/>
            </w:tcBorders>
            <w:shd w:val="clear" w:color="auto" w:fill="F2F2F2" w:themeFill="background1" w:themeFillShade="F2"/>
            <w:vAlign w:val="center"/>
          </w:tcPr>
          <w:p w14:paraId="6D47A31F" w14:textId="23292B11" w:rsidR="007C7330" w:rsidRPr="0095692C" w:rsidRDefault="007C7330" w:rsidP="007C7330">
            <w:pPr>
              <w:spacing w:after="0" w:line="240" w:lineRule="auto"/>
              <w:jc w:val="center"/>
              <w:rPr>
                <w:rFonts w:ascii="Helvetica" w:hAnsi="Helvetica" w:cs="Helvetica"/>
                <w:color w:val="000000"/>
                <w:sz w:val="20"/>
                <w:szCs w:val="20"/>
                <w:shd w:val="clear" w:color="auto" w:fill="FFFFFF"/>
              </w:rPr>
            </w:pPr>
            <w:r w:rsidRPr="0095692C">
              <w:rPr>
                <w:sz w:val="20"/>
                <w:szCs w:val="20"/>
              </w:rPr>
              <w:t>-</w:t>
            </w:r>
          </w:p>
        </w:tc>
        <w:tc>
          <w:tcPr>
            <w:tcW w:w="1406" w:type="dxa"/>
            <w:shd w:val="clear" w:color="auto" w:fill="F2F2F2" w:themeFill="background1" w:themeFillShade="F2"/>
            <w:vAlign w:val="center"/>
          </w:tcPr>
          <w:p w14:paraId="0346BB14" w14:textId="481A04DE" w:rsidR="007C7330" w:rsidRPr="0095692C" w:rsidRDefault="007C7330" w:rsidP="007C7330">
            <w:pPr>
              <w:spacing w:after="0" w:line="240" w:lineRule="auto"/>
              <w:jc w:val="center"/>
              <w:rPr>
                <w:sz w:val="20"/>
                <w:szCs w:val="20"/>
              </w:rPr>
            </w:pPr>
            <w:r w:rsidRPr="0095692C">
              <w:rPr>
                <w:rFonts w:cs="Calibri"/>
                <w:color w:val="212121"/>
                <w:sz w:val="20"/>
                <w:szCs w:val="20"/>
              </w:rPr>
              <w:t>-</w:t>
            </w:r>
          </w:p>
        </w:tc>
        <w:tc>
          <w:tcPr>
            <w:tcW w:w="1406" w:type="dxa"/>
            <w:shd w:val="clear" w:color="auto" w:fill="F2F2F2" w:themeFill="background1" w:themeFillShade="F2"/>
            <w:vAlign w:val="center"/>
          </w:tcPr>
          <w:p w14:paraId="2865156A" w14:textId="43F84546" w:rsidR="007C7330" w:rsidRPr="0095692C" w:rsidRDefault="007C7330" w:rsidP="007C7330">
            <w:pPr>
              <w:spacing w:after="0" w:line="240" w:lineRule="auto"/>
              <w:jc w:val="center"/>
              <w:rPr>
                <w:rFonts w:cs="Calibri"/>
                <w:color w:val="212121"/>
                <w:sz w:val="20"/>
                <w:szCs w:val="20"/>
              </w:rPr>
            </w:pPr>
            <w:r w:rsidRPr="0095692C">
              <w:rPr>
                <w:rFonts w:cs="Calibri"/>
                <w:color w:val="212121"/>
                <w:sz w:val="20"/>
                <w:szCs w:val="20"/>
              </w:rPr>
              <w:t>58,906</w:t>
            </w:r>
          </w:p>
        </w:tc>
      </w:tr>
      <w:tr w:rsidR="00E14EAF" w:rsidRPr="0095692C" w14:paraId="1D45455C" w14:textId="4F0B104B" w:rsidTr="00E24DE0">
        <w:trPr>
          <w:trHeight w:val="737"/>
        </w:trPr>
        <w:tc>
          <w:tcPr>
            <w:tcW w:w="2903" w:type="dxa"/>
            <w:vAlign w:val="center"/>
          </w:tcPr>
          <w:p w14:paraId="0B985305" w14:textId="67C5870B" w:rsidR="007C7330" w:rsidRPr="0095692C" w:rsidRDefault="007C7330" w:rsidP="00835732">
            <w:pPr>
              <w:spacing w:after="0" w:line="240" w:lineRule="auto"/>
              <w:jc w:val="both"/>
              <w:rPr>
                <w:rFonts w:cs="Calibri"/>
                <w:color w:val="212121"/>
                <w:sz w:val="20"/>
                <w:szCs w:val="20"/>
              </w:rPr>
            </w:pPr>
            <w:r w:rsidRPr="0095692C">
              <w:rPr>
                <w:rFonts w:cs="Calibri"/>
                <w:color w:val="212121"/>
                <w:sz w:val="20"/>
                <w:szCs w:val="20"/>
              </w:rPr>
              <w:t>Relative poverty rate</w:t>
            </w:r>
            <w:r w:rsidR="002776A7" w:rsidRPr="0095692C">
              <w:rPr>
                <w:rFonts w:cs="Arial"/>
                <w:color w:val="212121"/>
                <w:sz w:val="20"/>
                <w:szCs w:val="20"/>
                <w:vertAlign w:val="superscript"/>
              </w:rPr>
              <w:t>†</w:t>
            </w:r>
            <w:r w:rsidRPr="0095692C">
              <w:rPr>
                <w:rFonts w:cs="Calibri"/>
                <w:color w:val="212121"/>
                <w:sz w:val="20"/>
                <w:szCs w:val="20"/>
              </w:rPr>
              <w:t xml:space="preserve"> (%)</w:t>
            </w:r>
            <w:r w:rsidR="00E14D4F" w:rsidRPr="0095692C">
              <w:rPr>
                <w:rFonts w:cs="Calibri"/>
                <w:color w:val="212121"/>
                <w:sz w:val="20"/>
                <w:szCs w:val="20"/>
              </w:rPr>
              <w:t>, 2023</w:t>
            </w:r>
            <w:r w:rsidR="00F44265" w:rsidRPr="0095692C">
              <w:rPr>
                <w:rFonts w:cs="Calibri"/>
                <w:color w:val="212121"/>
                <w:sz w:val="20"/>
                <w:szCs w:val="20"/>
                <w:vertAlign w:val="superscript"/>
              </w:rPr>
              <w:t>[10]</w:t>
            </w:r>
          </w:p>
        </w:tc>
        <w:tc>
          <w:tcPr>
            <w:tcW w:w="1424" w:type="dxa"/>
            <w:vAlign w:val="center"/>
          </w:tcPr>
          <w:p w14:paraId="6B09BF9F" w14:textId="066602CE" w:rsidR="007C7330" w:rsidRPr="0095692C" w:rsidRDefault="007C7330" w:rsidP="007C7330">
            <w:pPr>
              <w:spacing w:after="0" w:line="240" w:lineRule="auto"/>
              <w:jc w:val="center"/>
              <w:rPr>
                <w:rFonts w:cs="Calibri"/>
                <w:color w:val="212121"/>
                <w:sz w:val="20"/>
                <w:szCs w:val="20"/>
              </w:rPr>
            </w:pPr>
            <w:r w:rsidRPr="0095692C">
              <w:rPr>
                <w:sz w:val="20"/>
                <w:szCs w:val="20"/>
              </w:rPr>
              <w:t>12.3</w:t>
            </w:r>
          </w:p>
        </w:tc>
        <w:tc>
          <w:tcPr>
            <w:tcW w:w="1405" w:type="dxa"/>
            <w:vAlign w:val="center"/>
          </w:tcPr>
          <w:p w14:paraId="700933AA" w14:textId="3179A3E6" w:rsidR="007C7330" w:rsidRPr="0095692C" w:rsidRDefault="007C7330" w:rsidP="007C7330">
            <w:pPr>
              <w:spacing w:after="0" w:line="240" w:lineRule="auto"/>
              <w:jc w:val="center"/>
              <w:rPr>
                <w:rFonts w:cs="Calibri"/>
                <w:color w:val="212121"/>
                <w:sz w:val="20"/>
                <w:szCs w:val="20"/>
              </w:rPr>
            </w:pPr>
            <w:r w:rsidRPr="0095692C">
              <w:rPr>
                <w:sz w:val="20"/>
                <w:szCs w:val="20"/>
              </w:rPr>
              <w:t>12.2</w:t>
            </w:r>
          </w:p>
        </w:tc>
        <w:tc>
          <w:tcPr>
            <w:tcW w:w="1373" w:type="dxa"/>
            <w:vAlign w:val="center"/>
          </w:tcPr>
          <w:p w14:paraId="426E3ACD" w14:textId="36629C3A" w:rsidR="007C7330" w:rsidRPr="0095692C" w:rsidRDefault="007C7330" w:rsidP="007C7330">
            <w:pPr>
              <w:spacing w:after="0" w:line="240" w:lineRule="auto"/>
              <w:jc w:val="center"/>
              <w:rPr>
                <w:sz w:val="20"/>
                <w:szCs w:val="20"/>
              </w:rPr>
            </w:pPr>
            <w:r w:rsidRPr="0095692C">
              <w:rPr>
                <w:sz w:val="20"/>
                <w:szCs w:val="20"/>
              </w:rPr>
              <w:t>9.3</w:t>
            </w:r>
            <w:r w:rsidR="000D31B3" w:rsidRPr="0095692C">
              <w:rPr>
                <w:sz w:val="20"/>
                <w:szCs w:val="20"/>
              </w:rPr>
              <w:t xml:space="preserve"> (</w:t>
            </w:r>
            <w:r w:rsidR="00C71AE0" w:rsidRPr="0095692C">
              <w:rPr>
                <w:sz w:val="20"/>
                <w:szCs w:val="20"/>
              </w:rPr>
              <w:t>2019)</w:t>
            </w:r>
          </w:p>
        </w:tc>
        <w:tc>
          <w:tcPr>
            <w:tcW w:w="1405" w:type="dxa"/>
            <w:vAlign w:val="center"/>
          </w:tcPr>
          <w:p w14:paraId="19D295EE" w14:textId="0EEEC37B" w:rsidR="007C7330" w:rsidRPr="0095692C" w:rsidRDefault="007C7330" w:rsidP="007C7330">
            <w:pPr>
              <w:spacing w:after="0" w:line="240" w:lineRule="auto"/>
              <w:jc w:val="center"/>
              <w:rPr>
                <w:sz w:val="20"/>
                <w:szCs w:val="20"/>
              </w:rPr>
            </w:pPr>
            <w:r w:rsidRPr="0095692C">
              <w:rPr>
                <w:sz w:val="20"/>
                <w:szCs w:val="20"/>
              </w:rPr>
              <w:t>12.0</w:t>
            </w:r>
          </w:p>
        </w:tc>
        <w:tc>
          <w:tcPr>
            <w:tcW w:w="1405" w:type="dxa"/>
            <w:vAlign w:val="center"/>
          </w:tcPr>
          <w:p w14:paraId="13853B74" w14:textId="34EF604B" w:rsidR="007C7330" w:rsidRPr="0095692C" w:rsidRDefault="007C7330" w:rsidP="007C7330">
            <w:pPr>
              <w:spacing w:after="0" w:line="240" w:lineRule="auto"/>
              <w:jc w:val="center"/>
              <w:rPr>
                <w:sz w:val="20"/>
                <w:szCs w:val="20"/>
                <w:vertAlign w:val="superscript"/>
              </w:rPr>
            </w:pPr>
            <w:r w:rsidRPr="0095692C">
              <w:rPr>
                <w:sz w:val="20"/>
                <w:szCs w:val="20"/>
              </w:rPr>
              <w:t>12.4</w:t>
            </w:r>
            <w:r w:rsidR="00F44265" w:rsidRPr="0095692C">
              <w:rPr>
                <w:sz w:val="20"/>
                <w:szCs w:val="20"/>
                <w:vertAlign w:val="superscript"/>
              </w:rPr>
              <w:t>[11]</w:t>
            </w:r>
          </w:p>
          <w:p w14:paraId="505BFEFA" w14:textId="692672A2" w:rsidR="000D31B3" w:rsidRPr="0095692C" w:rsidRDefault="000D31B3" w:rsidP="007C7330">
            <w:pPr>
              <w:spacing w:after="0" w:line="240" w:lineRule="auto"/>
              <w:jc w:val="center"/>
              <w:rPr>
                <w:sz w:val="20"/>
                <w:szCs w:val="20"/>
              </w:rPr>
            </w:pPr>
            <w:r w:rsidRPr="0095692C">
              <w:rPr>
                <w:sz w:val="20"/>
                <w:szCs w:val="20"/>
              </w:rPr>
              <w:t>(2020)</w:t>
            </w:r>
          </w:p>
        </w:tc>
        <w:tc>
          <w:tcPr>
            <w:tcW w:w="1406" w:type="dxa"/>
            <w:tcBorders>
              <w:right w:val="single" w:sz="4" w:space="0" w:color="FFFFFF" w:themeColor="background1"/>
            </w:tcBorders>
            <w:vAlign w:val="center"/>
          </w:tcPr>
          <w:p w14:paraId="2C0FF92B" w14:textId="520FA0B4" w:rsidR="007C7330" w:rsidRPr="0095692C" w:rsidRDefault="007C7330" w:rsidP="007C7330">
            <w:pPr>
              <w:spacing w:after="0" w:line="240" w:lineRule="auto"/>
              <w:jc w:val="center"/>
              <w:rPr>
                <w:rFonts w:cs="Calibri"/>
                <w:color w:val="212121"/>
                <w:sz w:val="20"/>
                <w:szCs w:val="20"/>
              </w:rPr>
            </w:pPr>
            <w:r w:rsidRPr="0095692C">
              <w:rPr>
                <w:sz w:val="20"/>
                <w:szCs w:val="20"/>
              </w:rPr>
              <w:t>12.7</w:t>
            </w:r>
          </w:p>
        </w:tc>
        <w:tc>
          <w:tcPr>
            <w:tcW w:w="1406" w:type="dxa"/>
            <w:tcBorders>
              <w:left w:val="single" w:sz="4" w:space="0" w:color="FFFFFF" w:themeColor="background1"/>
            </w:tcBorders>
            <w:vAlign w:val="center"/>
          </w:tcPr>
          <w:p w14:paraId="13F0132E" w14:textId="7D65F259" w:rsidR="007C7330" w:rsidRPr="0095692C" w:rsidRDefault="007C7330" w:rsidP="007C7330">
            <w:pPr>
              <w:spacing w:after="0" w:line="240" w:lineRule="auto"/>
              <w:jc w:val="center"/>
              <w:rPr>
                <w:sz w:val="20"/>
                <w:szCs w:val="20"/>
              </w:rPr>
            </w:pPr>
            <w:r w:rsidRPr="0095692C">
              <w:rPr>
                <w:sz w:val="20"/>
                <w:szCs w:val="20"/>
              </w:rPr>
              <w:t>-</w:t>
            </w:r>
          </w:p>
        </w:tc>
        <w:tc>
          <w:tcPr>
            <w:tcW w:w="1406" w:type="dxa"/>
            <w:vAlign w:val="center"/>
          </w:tcPr>
          <w:p w14:paraId="2B22D98D" w14:textId="29399FFA" w:rsidR="007C7330" w:rsidRPr="0095692C" w:rsidRDefault="007C7330" w:rsidP="007C7330">
            <w:pPr>
              <w:spacing w:after="0" w:line="240" w:lineRule="auto"/>
              <w:jc w:val="center"/>
              <w:rPr>
                <w:sz w:val="20"/>
                <w:szCs w:val="20"/>
              </w:rPr>
            </w:pPr>
            <w:r w:rsidRPr="0095692C">
              <w:rPr>
                <w:rFonts w:cs="Calibri"/>
                <w:color w:val="212121"/>
                <w:sz w:val="20"/>
                <w:szCs w:val="20"/>
              </w:rPr>
              <w:t>-</w:t>
            </w:r>
          </w:p>
        </w:tc>
        <w:tc>
          <w:tcPr>
            <w:tcW w:w="1406" w:type="dxa"/>
            <w:vAlign w:val="center"/>
          </w:tcPr>
          <w:p w14:paraId="767CDE64" w14:textId="48124399" w:rsidR="007C7330" w:rsidRPr="0095692C" w:rsidRDefault="007C7330" w:rsidP="007C7330">
            <w:pPr>
              <w:spacing w:after="0" w:line="240" w:lineRule="auto"/>
              <w:jc w:val="center"/>
              <w:rPr>
                <w:rFonts w:cs="Calibri"/>
                <w:color w:val="212121"/>
                <w:sz w:val="20"/>
                <w:szCs w:val="20"/>
              </w:rPr>
            </w:pPr>
            <w:r w:rsidRPr="0095692C">
              <w:rPr>
                <w:rFonts w:cs="Calibri"/>
                <w:color w:val="212121"/>
                <w:sz w:val="20"/>
                <w:szCs w:val="20"/>
              </w:rPr>
              <w:t>12.4</w:t>
            </w:r>
          </w:p>
        </w:tc>
      </w:tr>
      <w:tr w:rsidR="00E14EAF" w:rsidRPr="0095692C" w14:paraId="2C7478F4" w14:textId="3BBA5740" w:rsidTr="00BA0D88">
        <w:trPr>
          <w:trHeight w:val="737"/>
        </w:trPr>
        <w:tc>
          <w:tcPr>
            <w:tcW w:w="2903" w:type="dxa"/>
            <w:shd w:val="clear" w:color="auto" w:fill="F2F2F2" w:themeFill="background1" w:themeFillShade="F2"/>
            <w:vAlign w:val="center"/>
          </w:tcPr>
          <w:p w14:paraId="0582A32E" w14:textId="5AC0232C" w:rsidR="007C7330" w:rsidRPr="0095692C" w:rsidRDefault="007C7330" w:rsidP="007C7330">
            <w:pPr>
              <w:spacing w:after="0" w:line="240" w:lineRule="auto"/>
              <w:rPr>
                <w:rFonts w:cs="Calibri"/>
                <w:color w:val="212121"/>
                <w:sz w:val="20"/>
                <w:szCs w:val="20"/>
              </w:rPr>
            </w:pPr>
            <w:r w:rsidRPr="0095692C">
              <w:rPr>
                <w:rFonts w:cs="Calibri"/>
                <w:color w:val="212121"/>
                <w:sz w:val="20"/>
                <w:szCs w:val="20"/>
              </w:rPr>
              <w:t>Unemployment rate (% aged 15 to 74 y)</w:t>
            </w:r>
            <w:r w:rsidR="00563BE2" w:rsidRPr="0095692C">
              <w:rPr>
                <w:rFonts w:cs="Calibri"/>
                <w:color w:val="212121"/>
                <w:sz w:val="20"/>
                <w:szCs w:val="20"/>
              </w:rPr>
              <w:t>, 2023</w:t>
            </w:r>
            <w:r w:rsidR="00F44265" w:rsidRPr="0095692C">
              <w:rPr>
                <w:rFonts w:cs="Calibri"/>
                <w:color w:val="212121"/>
                <w:sz w:val="20"/>
                <w:szCs w:val="20"/>
                <w:vertAlign w:val="superscript"/>
              </w:rPr>
              <w:t>[12]</w:t>
            </w:r>
          </w:p>
        </w:tc>
        <w:tc>
          <w:tcPr>
            <w:tcW w:w="1424" w:type="dxa"/>
            <w:shd w:val="clear" w:color="auto" w:fill="F2F2F2" w:themeFill="background1" w:themeFillShade="F2"/>
            <w:vAlign w:val="center"/>
          </w:tcPr>
          <w:p w14:paraId="3ED03D69" w14:textId="2D704068" w:rsidR="007C7330" w:rsidRPr="0095692C" w:rsidRDefault="007C7330" w:rsidP="007C7330">
            <w:pPr>
              <w:spacing w:after="0" w:line="240" w:lineRule="auto"/>
              <w:jc w:val="center"/>
              <w:rPr>
                <w:rFonts w:cs="Calibri"/>
                <w:color w:val="212121"/>
                <w:sz w:val="20"/>
                <w:szCs w:val="20"/>
              </w:rPr>
            </w:pPr>
            <w:r w:rsidRPr="0095692C">
              <w:rPr>
                <w:sz w:val="20"/>
                <w:szCs w:val="20"/>
              </w:rPr>
              <w:t>5.5</w:t>
            </w:r>
          </w:p>
        </w:tc>
        <w:tc>
          <w:tcPr>
            <w:tcW w:w="1405" w:type="dxa"/>
            <w:shd w:val="clear" w:color="auto" w:fill="F2F2F2" w:themeFill="background1" w:themeFillShade="F2"/>
            <w:vAlign w:val="center"/>
          </w:tcPr>
          <w:p w14:paraId="55D0AAC0" w14:textId="22916DA5" w:rsidR="007C7330" w:rsidRPr="0095692C" w:rsidRDefault="007C7330" w:rsidP="007C7330">
            <w:pPr>
              <w:spacing w:after="0" w:line="240" w:lineRule="auto"/>
              <w:jc w:val="center"/>
              <w:rPr>
                <w:rFonts w:cs="Calibri"/>
                <w:color w:val="212121"/>
                <w:sz w:val="20"/>
                <w:szCs w:val="20"/>
              </w:rPr>
            </w:pPr>
            <w:r w:rsidRPr="0095692C">
              <w:rPr>
                <w:sz w:val="20"/>
                <w:szCs w:val="20"/>
              </w:rPr>
              <w:t>7.2</w:t>
            </w:r>
          </w:p>
        </w:tc>
        <w:tc>
          <w:tcPr>
            <w:tcW w:w="1373" w:type="dxa"/>
            <w:shd w:val="clear" w:color="auto" w:fill="F2F2F2" w:themeFill="background1" w:themeFillShade="F2"/>
            <w:vAlign w:val="center"/>
          </w:tcPr>
          <w:p w14:paraId="2EC71D2A" w14:textId="78CDEBD2" w:rsidR="007C7330" w:rsidRPr="0095692C" w:rsidRDefault="007C7330" w:rsidP="007C7330">
            <w:pPr>
              <w:spacing w:after="0" w:line="240" w:lineRule="auto"/>
              <w:jc w:val="center"/>
              <w:rPr>
                <w:sz w:val="20"/>
                <w:szCs w:val="20"/>
              </w:rPr>
            </w:pPr>
            <w:r w:rsidRPr="0095692C">
              <w:rPr>
                <w:sz w:val="20"/>
                <w:szCs w:val="20"/>
              </w:rPr>
              <w:t>3.5</w:t>
            </w:r>
          </w:p>
        </w:tc>
        <w:tc>
          <w:tcPr>
            <w:tcW w:w="1405" w:type="dxa"/>
            <w:shd w:val="clear" w:color="auto" w:fill="F2F2F2" w:themeFill="background1" w:themeFillShade="F2"/>
            <w:vAlign w:val="center"/>
          </w:tcPr>
          <w:p w14:paraId="27B6A508" w14:textId="0EDCC297" w:rsidR="007C7330" w:rsidRPr="0095692C" w:rsidRDefault="007C7330" w:rsidP="007C7330">
            <w:pPr>
              <w:spacing w:after="0" w:line="240" w:lineRule="auto"/>
              <w:jc w:val="center"/>
              <w:rPr>
                <w:sz w:val="20"/>
                <w:szCs w:val="20"/>
              </w:rPr>
            </w:pPr>
            <w:r w:rsidRPr="0095692C">
              <w:rPr>
                <w:sz w:val="20"/>
                <w:szCs w:val="20"/>
              </w:rPr>
              <w:t>4.3</w:t>
            </w:r>
          </w:p>
        </w:tc>
        <w:tc>
          <w:tcPr>
            <w:tcW w:w="1405" w:type="dxa"/>
            <w:shd w:val="clear" w:color="auto" w:fill="F2F2F2" w:themeFill="background1" w:themeFillShade="F2"/>
            <w:vAlign w:val="center"/>
          </w:tcPr>
          <w:p w14:paraId="6389F3A6" w14:textId="108B1708" w:rsidR="007C7330" w:rsidRPr="0095692C" w:rsidRDefault="007C7330" w:rsidP="007C7330">
            <w:pPr>
              <w:spacing w:after="0" w:line="240" w:lineRule="auto"/>
              <w:jc w:val="center"/>
              <w:rPr>
                <w:sz w:val="20"/>
                <w:szCs w:val="20"/>
              </w:rPr>
            </w:pPr>
            <w:r w:rsidRPr="0095692C">
              <w:rPr>
                <w:sz w:val="20"/>
                <w:szCs w:val="20"/>
              </w:rPr>
              <w:t>3.3</w:t>
            </w:r>
            <w:r w:rsidR="000B128F" w:rsidRPr="0095692C">
              <w:rPr>
                <w:sz w:val="20"/>
                <w:szCs w:val="20"/>
              </w:rPr>
              <w:t>**</w:t>
            </w:r>
            <w:r w:rsidR="00F44265" w:rsidRPr="0095692C">
              <w:rPr>
                <w:sz w:val="20"/>
                <w:szCs w:val="20"/>
                <w:vertAlign w:val="superscript"/>
              </w:rPr>
              <w:t>[11]</w:t>
            </w:r>
          </w:p>
        </w:tc>
        <w:tc>
          <w:tcPr>
            <w:tcW w:w="1406" w:type="dxa"/>
            <w:tcBorders>
              <w:right w:val="single" w:sz="4" w:space="0" w:color="FFFFFF" w:themeColor="background1"/>
            </w:tcBorders>
            <w:shd w:val="clear" w:color="auto" w:fill="F2F2F2" w:themeFill="background1" w:themeFillShade="F2"/>
            <w:vAlign w:val="center"/>
          </w:tcPr>
          <w:p w14:paraId="41337E23" w14:textId="46702E76" w:rsidR="007C7330" w:rsidRPr="0095692C" w:rsidRDefault="007C7330" w:rsidP="007C7330">
            <w:pPr>
              <w:spacing w:after="0" w:line="240" w:lineRule="auto"/>
              <w:jc w:val="center"/>
              <w:rPr>
                <w:rFonts w:cs="Calibri"/>
                <w:color w:val="212121"/>
                <w:sz w:val="20"/>
                <w:szCs w:val="20"/>
              </w:rPr>
            </w:pPr>
            <w:r w:rsidRPr="0095692C">
              <w:rPr>
                <w:sz w:val="20"/>
                <w:szCs w:val="20"/>
              </w:rPr>
              <w:t>3.7</w:t>
            </w:r>
          </w:p>
        </w:tc>
        <w:tc>
          <w:tcPr>
            <w:tcW w:w="1406" w:type="dxa"/>
            <w:tcBorders>
              <w:left w:val="single" w:sz="4" w:space="0" w:color="FFFFFF" w:themeColor="background1"/>
            </w:tcBorders>
            <w:shd w:val="clear" w:color="auto" w:fill="F2F2F2" w:themeFill="background1" w:themeFillShade="F2"/>
            <w:vAlign w:val="center"/>
          </w:tcPr>
          <w:p w14:paraId="27AF3FC3" w14:textId="284A029D" w:rsidR="007C7330" w:rsidRPr="0095692C" w:rsidRDefault="007C7330" w:rsidP="007C7330">
            <w:pPr>
              <w:spacing w:after="0" w:line="240" w:lineRule="auto"/>
              <w:jc w:val="center"/>
              <w:rPr>
                <w:sz w:val="20"/>
                <w:szCs w:val="20"/>
              </w:rPr>
            </w:pPr>
            <w:r w:rsidRPr="0095692C">
              <w:rPr>
                <w:sz w:val="20"/>
                <w:szCs w:val="20"/>
              </w:rPr>
              <w:t>3.5</w:t>
            </w:r>
            <w:r w:rsidR="00F44265" w:rsidRPr="0095692C">
              <w:rPr>
                <w:sz w:val="20"/>
                <w:szCs w:val="20"/>
                <w:vertAlign w:val="superscript"/>
              </w:rPr>
              <w:t>[13]</w:t>
            </w:r>
          </w:p>
        </w:tc>
        <w:tc>
          <w:tcPr>
            <w:tcW w:w="1406" w:type="dxa"/>
            <w:shd w:val="clear" w:color="auto" w:fill="F2F2F2" w:themeFill="background1" w:themeFillShade="F2"/>
            <w:vAlign w:val="center"/>
          </w:tcPr>
          <w:p w14:paraId="3A89B172" w14:textId="639A0A13" w:rsidR="007C7330" w:rsidRPr="0095692C" w:rsidRDefault="007C7330" w:rsidP="007C7330">
            <w:pPr>
              <w:spacing w:after="0" w:line="240" w:lineRule="auto"/>
              <w:jc w:val="center"/>
              <w:rPr>
                <w:sz w:val="20"/>
                <w:szCs w:val="20"/>
              </w:rPr>
            </w:pPr>
            <w:r w:rsidRPr="0095692C">
              <w:rPr>
                <w:sz w:val="20"/>
                <w:szCs w:val="20"/>
              </w:rPr>
              <w:t>3.7</w:t>
            </w:r>
            <w:r w:rsidR="00F44265" w:rsidRPr="0095692C">
              <w:rPr>
                <w:sz w:val="20"/>
                <w:szCs w:val="20"/>
                <w:vertAlign w:val="superscript"/>
              </w:rPr>
              <w:t>[14]</w:t>
            </w:r>
          </w:p>
        </w:tc>
        <w:tc>
          <w:tcPr>
            <w:tcW w:w="1406" w:type="dxa"/>
            <w:shd w:val="clear" w:color="auto" w:fill="F2F2F2" w:themeFill="background1" w:themeFillShade="F2"/>
            <w:vAlign w:val="center"/>
          </w:tcPr>
          <w:p w14:paraId="76B20EC9" w14:textId="367B568A" w:rsidR="007C7330" w:rsidRPr="0095692C" w:rsidRDefault="001A7C4F" w:rsidP="007C7330">
            <w:pPr>
              <w:spacing w:after="0" w:line="240" w:lineRule="auto"/>
              <w:jc w:val="center"/>
              <w:rPr>
                <w:sz w:val="20"/>
                <w:szCs w:val="20"/>
              </w:rPr>
            </w:pPr>
            <w:r w:rsidRPr="0095692C">
              <w:rPr>
                <w:sz w:val="20"/>
                <w:szCs w:val="20"/>
              </w:rPr>
              <w:t>3.7</w:t>
            </w:r>
            <w:r w:rsidR="00F44265" w:rsidRPr="0095692C">
              <w:rPr>
                <w:sz w:val="20"/>
                <w:szCs w:val="20"/>
                <w:vertAlign w:val="superscript"/>
              </w:rPr>
              <w:t>[14]</w:t>
            </w:r>
          </w:p>
        </w:tc>
      </w:tr>
      <w:tr w:rsidR="00E14EAF" w:rsidRPr="0095692C" w14:paraId="7185C4A6" w14:textId="42CF7717" w:rsidTr="00BA0D88">
        <w:trPr>
          <w:trHeight w:val="737"/>
        </w:trPr>
        <w:tc>
          <w:tcPr>
            <w:tcW w:w="2903" w:type="dxa"/>
            <w:tcBorders>
              <w:bottom w:val="single" w:sz="4" w:space="0" w:color="F2F2F2" w:themeColor="background1" w:themeShade="F2"/>
            </w:tcBorders>
            <w:vAlign w:val="center"/>
          </w:tcPr>
          <w:p w14:paraId="0B51034F" w14:textId="730AD588" w:rsidR="007C7330" w:rsidRPr="0095692C" w:rsidRDefault="007C7330" w:rsidP="007C7330">
            <w:pPr>
              <w:spacing w:after="0" w:line="240" w:lineRule="auto"/>
              <w:rPr>
                <w:rFonts w:cs="Calibri"/>
                <w:color w:val="212121"/>
                <w:sz w:val="20"/>
                <w:szCs w:val="20"/>
              </w:rPr>
            </w:pPr>
            <w:r w:rsidRPr="0095692C">
              <w:rPr>
                <w:rFonts w:cs="Calibri"/>
                <w:color w:val="212121"/>
                <w:sz w:val="20"/>
                <w:szCs w:val="20"/>
              </w:rPr>
              <w:t>Disposable income inequality (% Gini)</w:t>
            </w:r>
            <w:r w:rsidR="00E15FD1" w:rsidRPr="0095692C">
              <w:rPr>
                <w:rFonts w:cs="Calibri"/>
                <w:color w:val="212121"/>
                <w:sz w:val="20"/>
                <w:szCs w:val="20"/>
              </w:rPr>
              <w:t>, 2021</w:t>
            </w:r>
            <w:r w:rsidR="00F44265" w:rsidRPr="0095692C">
              <w:rPr>
                <w:rFonts w:cs="Calibri"/>
                <w:color w:val="212121"/>
                <w:sz w:val="20"/>
                <w:szCs w:val="20"/>
                <w:vertAlign w:val="superscript"/>
              </w:rPr>
              <w:t>[15]</w:t>
            </w:r>
          </w:p>
        </w:tc>
        <w:tc>
          <w:tcPr>
            <w:tcW w:w="1424" w:type="dxa"/>
            <w:tcBorders>
              <w:bottom w:val="single" w:sz="4" w:space="0" w:color="F2F2F2" w:themeColor="background1" w:themeShade="F2"/>
            </w:tcBorders>
            <w:vAlign w:val="center"/>
          </w:tcPr>
          <w:p w14:paraId="050FDB40" w14:textId="5C7EAAB3" w:rsidR="007C7330" w:rsidRPr="0095692C" w:rsidRDefault="007C7330" w:rsidP="007C7330">
            <w:pPr>
              <w:spacing w:after="0" w:line="240" w:lineRule="auto"/>
              <w:jc w:val="center"/>
              <w:rPr>
                <w:rFonts w:cs="Calibri"/>
                <w:color w:val="212121"/>
                <w:sz w:val="20"/>
                <w:szCs w:val="20"/>
              </w:rPr>
            </w:pPr>
            <w:r w:rsidRPr="0095692C">
              <w:rPr>
                <w:sz w:val="20"/>
                <w:szCs w:val="20"/>
              </w:rPr>
              <w:t>25.6</w:t>
            </w:r>
          </w:p>
        </w:tc>
        <w:tc>
          <w:tcPr>
            <w:tcW w:w="1405" w:type="dxa"/>
            <w:tcBorders>
              <w:bottom w:val="single" w:sz="4" w:space="0" w:color="F2F2F2" w:themeColor="background1" w:themeShade="F2"/>
            </w:tcBorders>
            <w:vAlign w:val="center"/>
          </w:tcPr>
          <w:p w14:paraId="4C5AD23C" w14:textId="600A0C35" w:rsidR="007C7330" w:rsidRPr="0095692C" w:rsidRDefault="007C7330" w:rsidP="007C7330">
            <w:pPr>
              <w:spacing w:after="0" w:line="240" w:lineRule="auto"/>
              <w:jc w:val="center"/>
              <w:rPr>
                <w:rFonts w:cs="Calibri"/>
                <w:color w:val="212121"/>
                <w:sz w:val="20"/>
                <w:szCs w:val="20"/>
              </w:rPr>
            </w:pPr>
            <w:r w:rsidRPr="0095692C">
              <w:rPr>
                <w:sz w:val="20"/>
                <w:szCs w:val="20"/>
              </w:rPr>
              <w:t>27.4</w:t>
            </w:r>
          </w:p>
        </w:tc>
        <w:tc>
          <w:tcPr>
            <w:tcW w:w="1373" w:type="dxa"/>
            <w:tcBorders>
              <w:bottom w:val="single" w:sz="4" w:space="0" w:color="F2F2F2" w:themeColor="background1" w:themeShade="F2"/>
            </w:tcBorders>
            <w:vAlign w:val="center"/>
          </w:tcPr>
          <w:p w14:paraId="121EB476" w14:textId="1978BC45" w:rsidR="007C7330" w:rsidRPr="0095692C" w:rsidRDefault="007C7330" w:rsidP="007C7330">
            <w:pPr>
              <w:spacing w:after="0" w:line="240" w:lineRule="auto"/>
              <w:jc w:val="center"/>
              <w:rPr>
                <w:sz w:val="20"/>
                <w:szCs w:val="20"/>
              </w:rPr>
            </w:pPr>
            <w:r w:rsidRPr="0095692C">
              <w:rPr>
                <w:sz w:val="20"/>
                <w:szCs w:val="20"/>
              </w:rPr>
              <w:t>25.0</w:t>
            </w:r>
            <w:r w:rsidR="000764E0" w:rsidRPr="0095692C">
              <w:rPr>
                <w:sz w:val="20"/>
                <w:szCs w:val="20"/>
              </w:rPr>
              <w:t xml:space="preserve"> (2017)</w:t>
            </w:r>
          </w:p>
        </w:tc>
        <w:tc>
          <w:tcPr>
            <w:tcW w:w="1405" w:type="dxa"/>
            <w:tcBorders>
              <w:bottom w:val="single" w:sz="4" w:space="0" w:color="F2F2F2" w:themeColor="background1" w:themeShade="F2"/>
            </w:tcBorders>
            <w:vAlign w:val="center"/>
          </w:tcPr>
          <w:p w14:paraId="3EFDDE9F" w14:textId="1A965D50" w:rsidR="007C7330" w:rsidRPr="0095692C" w:rsidRDefault="007C7330" w:rsidP="007C7330">
            <w:pPr>
              <w:spacing w:after="0" w:line="240" w:lineRule="auto"/>
              <w:jc w:val="center"/>
              <w:rPr>
                <w:sz w:val="20"/>
                <w:szCs w:val="20"/>
              </w:rPr>
            </w:pPr>
            <w:r w:rsidRPr="0095692C">
              <w:rPr>
                <w:sz w:val="20"/>
                <w:szCs w:val="20"/>
              </w:rPr>
              <w:t>29.1</w:t>
            </w:r>
          </w:p>
        </w:tc>
        <w:tc>
          <w:tcPr>
            <w:tcW w:w="1405" w:type="dxa"/>
            <w:tcBorders>
              <w:bottom w:val="single" w:sz="4" w:space="0" w:color="F2F2F2" w:themeColor="background1" w:themeShade="F2"/>
            </w:tcBorders>
            <w:vAlign w:val="center"/>
          </w:tcPr>
          <w:p w14:paraId="2E1F19EF" w14:textId="66340ABA" w:rsidR="007C7330" w:rsidRPr="0095692C" w:rsidRDefault="007C7330" w:rsidP="007C7330">
            <w:pPr>
              <w:spacing w:after="0" w:line="240" w:lineRule="auto"/>
              <w:jc w:val="center"/>
              <w:rPr>
                <w:sz w:val="20"/>
                <w:szCs w:val="20"/>
              </w:rPr>
            </w:pPr>
            <w:r w:rsidRPr="0095692C">
              <w:rPr>
                <w:sz w:val="20"/>
                <w:szCs w:val="20"/>
              </w:rPr>
              <w:t>32.0</w:t>
            </w:r>
            <w:r w:rsidR="00797A1A" w:rsidRPr="0095692C">
              <w:rPr>
                <w:sz w:val="20"/>
                <w:szCs w:val="20"/>
              </w:rPr>
              <w:t xml:space="preserve"> (2020)</w:t>
            </w:r>
          </w:p>
        </w:tc>
        <w:tc>
          <w:tcPr>
            <w:tcW w:w="1406" w:type="dxa"/>
            <w:tcBorders>
              <w:bottom w:val="single" w:sz="4" w:space="0" w:color="F2F2F2" w:themeColor="background1" w:themeShade="F2"/>
              <w:right w:val="single" w:sz="4" w:space="0" w:color="FFFFFF" w:themeColor="background1"/>
            </w:tcBorders>
            <w:vAlign w:val="center"/>
          </w:tcPr>
          <w:p w14:paraId="5340132D" w14:textId="2E9F0BC7" w:rsidR="007C7330" w:rsidRPr="0095692C" w:rsidRDefault="007C7330" w:rsidP="007C7330">
            <w:pPr>
              <w:spacing w:after="0" w:line="240" w:lineRule="auto"/>
              <w:jc w:val="center"/>
              <w:rPr>
                <w:rFonts w:cs="Calibri"/>
                <w:color w:val="212121"/>
                <w:sz w:val="20"/>
                <w:szCs w:val="20"/>
              </w:rPr>
            </w:pPr>
            <w:r w:rsidRPr="0095692C">
              <w:rPr>
                <w:sz w:val="20"/>
                <w:szCs w:val="20"/>
              </w:rPr>
              <w:t>24.2</w:t>
            </w:r>
          </w:p>
        </w:tc>
        <w:tc>
          <w:tcPr>
            <w:tcW w:w="1406" w:type="dxa"/>
            <w:tcBorders>
              <w:left w:val="single" w:sz="4" w:space="0" w:color="FFFFFF" w:themeColor="background1"/>
              <w:bottom w:val="single" w:sz="4" w:space="0" w:color="F2F2F2" w:themeColor="background1" w:themeShade="F2"/>
            </w:tcBorders>
            <w:vAlign w:val="center"/>
          </w:tcPr>
          <w:p w14:paraId="339352B1" w14:textId="23834589" w:rsidR="007C7330" w:rsidRPr="0095692C" w:rsidRDefault="007C7330" w:rsidP="007C7330">
            <w:pPr>
              <w:spacing w:after="0" w:line="240" w:lineRule="auto"/>
              <w:jc w:val="center"/>
              <w:rPr>
                <w:sz w:val="20"/>
                <w:szCs w:val="20"/>
              </w:rPr>
            </w:pPr>
            <w:r w:rsidRPr="0095692C">
              <w:rPr>
                <w:sz w:val="20"/>
                <w:szCs w:val="20"/>
              </w:rPr>
              <w:t>-</w:t>
            </w:r>
          </w:p>
        </w:tc>
        <w:tc>
          <w:tcPr>
            <w:tcW w:w="1406" w:type="dxa"/>
            <w:tcBorders>
              <w:bottom w:val="single" w:sz="4" w:space="0" w:color="F2F2F2" w:themeColor="background1" w:themeShade="F2"/>
            </w:tcBorders>
            <w:vAlign w:val="center"/>
          </w:tcPr>
          <w:p w14:paraId="54C46237" w14:textId="7AF44E56" w:rsidR="007C7330" w:rsidRPr="0095692C" w:rsidRDefault="007C7330" w:rsidP="007C7330">
            <w:pPr>
              <w:spacing w:after="0" w:line="240" w:lineRule="auto"/>
              <w:jc w:val="center"/>
              <w:rPr>
                <w:sz w:val="20"/>
                <w:szCs w:val="20"/>
              </w:rPr>
            </w:pPr>
            <w:r w:rsidRPr="0095692C">
              <w:rPr>
                <w:rFonts w:cs="Calibri"/>
                <w:color w:val="212121"/>
                <w:sz w:val="20"/>
                <w:szCs w:val="20"/>
              </w:rPr>
              <w:t>-</w:t>
            </w:r>
          </w:p>
        </w:tc>
        <w:tc>
          <w:tcPr>
            <w:tcW w:w="1406" w:type="dxa"/>
            <w:tcBorders>
              <w:bottom w:val="single" w:sz="4" w:space="0" w:color="F2F2F2" w:themeColor="background1" w:themeShade="F2"/>
            </w:tcBorders>
            <w:vAlign w:val="center"/>
          </w:tcPr>
          <w:p w14:paraId="2C188BB1" w14:textId="34C855B7" w:rsidR="007C7330" w:rsidRPr="0095692C" w:rsidRDefault="007C7330" w:rsidP="007C7330">
            <w:pPr>
              <w:spacing w:after="0" w:line="240" w:lineRule="auto"/>
              <w:jc w:val="center"/>
              <w:rPr>
                <w:rFonts w:cs="Calibri"/>
                <w:color w:val="212121"/>
                <w:sz w:val="20"/>
                <w:szCs w:val="20"/>
              </w:rPr>
            </w:pPr>
            <w:r w:rsidRPr="0095692C">
              <w:rPr>
                <w:rFonts w:cs="Calibri"/>
                <w:color w:val="212121"/>
                <w:sz w:val="20"/>
                <w:szCs w:val="20"/>
              </w:rPr>
              <w:t>35.</w:t>
            </w:r>
            <w:r w:rsidR="00E15FD1" w:rsidRPr="0095692C">
              <w:rPr>
                <w:rFonts w:cs="Calibri"/>
                <w:color w:val="212121"/>
                <w:sz w:val="20"/>
                <w:szCs w:val="20"/>
              </w:rPr>
              <w:t>4</w:t>
            </w:r>
          </w:p>
        </w:tc>
      </w:tr>
    </w:tbl>
    <w:p w14:paraId="6511FDAE" w14:textId="52CD07E7" w:rsidR="00EE2094" w:rsidRPr="0095692C" w:rsidRDefault="00EE2094" w:rsidP="009F2658">
      <w:r w:rsidRPr="0095692C">
        <w:br w:type="page"/>
      </w:r>
    </w:p>
    <w:p w14:paraId="3390155B" w14:textId="77777777" w:rsidR="00EE2094" w:rsidRPr="0095692C" w:rsidRDefault="00EE2094"/>
    <w:p w14:paraId="1DACF997" w14:textId="5985D525" w:rsidR="00CA3A1E" w:rsidRPr="005B7BF3" w:rsidRDefault="00CA3A1E" w:rsidP="005B7BF3">
      <w:pPr>
        <w:shd w:val="clear" w:color="auto" w:fill="156082" w:themeFill="accent1"/>
        <w:rPr>
          <w:rFonts w:cs="Arial"/>
          <w:b/>
          <w:bCs/>
          <w:color w:val="FFFFFF" w:themeColor="background1"/>
          <w:sz w:val="20"/>
          <w:szCs w:val="20"/>
        </w:rPr>
      </w:pPr>
      <w:r w:rsidRPr="005B7BF3">
        <w:rPr>
          <w:rFonts w:cs="Arial"/>
          <w:b/>
          <w:bCs/>
          <w:color w:val="FFFFFF" w:themeColor="background1"/>
          <w:sz w:val="20"/>
          <w:szCs w:val="20"/>
        </w:rPr>
        <w:t>Key</w:t>
      </w:r>
    </w:p>
    <w:p w14:paraId="5B53DC69" w14:textId="71F9F806" w:rsidR="00FD4292" w:rsidRPr="00EB506A" w:rsidRDefault="00E834AD" w:rsidP="003B4EED">
      <w:pPr>
        <w:rPr>
          <w:rFonts w:cs="Calibri"/>
          <w:color w:val="212121"/>
          <w:sz w:val="20"/>
          <w:szCs w:val="20"/>
        </w:rPr>
      </w:pPr>
      <w:r w:rsidRPr="0095692C">
        <w:rPr>
          <w:rFonts w:cs="Arial"/>
          <w:color w:val="212121"/>
          <w:sz w:val="20"/>
          <w:szCs w:val="20"/>
          <w:vertAlign w:val="superscript"/>
        </w:rPr>
        <w:t>†</w:t>
      </w:r>
      <w:r w:rsidR="002776A7" w:rsidRPr="0095692C">
        <w:rPr>
          <w:rFonts w:cs="Arial"/>
          <w:color w:val="212121"/>
          <w:sz w:val="20"/>
          <w:szCs w:val="20"/>
        </w:rPr>
        <w:t xml:space="preserve"> </w:t>
      </w:r>
      <w:r w:rsidR="00FD4292" w:rsidRPr="0095692C">
        <w:rPr>
          <w:rFonts w:cs="Calibri"/>
          <w:color w:val="212121"/>
          <w:sz w:val="20"/>
          <w:szCs w:val="20"/>
        </w:rPr>
        <w:t>Share</w:t>
      </w:r>
      <w:r w:rsidR="00567AD2" w:rsidRPr="0095692C">
        <w:rPr>
          <w:rFonts w:cs="Calibri"/>
          <w:color w:val="212121"/>
          <w:sz w:val="20"/>
          <w:szCs w:val="20"/>
        </w:rPr>
        <w:t xml:space="preserve"> of people earning less than 60% of the median income, after taxes and transfers</w:t>
      </w:r>
      <w:r w:rsidR="00EB506A" w:rsidRPr="0095692C">
        <w:rPr>
          <w:rFonts w:cs="Calibri"/>
          <w:color w:val="212121"/>
          <w:sz w:val="20"/>
          <w:szCs w:val="20"/>
        </w:rPr>
        <w:t xml:space="preserve">. </w:t>
      </w:r>
      <w:r w:rsidR="00183D1A" w:rsidRPr="0095692C">
        <w:rPr>
          <w:rFonts w:cs="Calibri"/>
          <w:color w:val="212121"/>
          <w:sz w:val="20"/>
          <w:szCs w:val="20"/>
        </w:rPr>
        <w:t>*</w:t>
      </w:r>
      <w:r w:rsidR="00FD4292" w:rsidRPr="0095692C">
        <w:rPr>
          <w:sz w:val="20"/>
          <w:szCs w:val="20"/>
        </w:rPr>
        <w:t xml:space="preserve"> 2021</w:t>
      </w:r>
      <w:r w:rsidR="00EB506A" w:rsidRPr="0095692C">
        <w:rPr>
          <w:sz w:val="20"/>
          <w:szCs w:val="20"/>
        </w:rPr>
        <w:t xml:space="preserve">; </w:t>
      </w:r>
      <w:r w:rsidR="00FD4292" w:rsidRPr="0095692C">
        <w:rPr>
          <w:sz w:val="20"/>
          <w:szCs w:val="20"/>
        </w:rPr>
        <w:t>*</w:t>
      </w:r>
      <w:r w:rsidR="003B4EED" w:rsidRPr="0095692C">
        <w:rPr>
          <w:sz w:val="20"/>
          <w:szCs w:val="20"/>
        </w:rPr>
        <w:t xml:space="preserve">* </w:t>
      </w:r>
      <w:r w:rsidR="00FD4292" w:rsidRPr="0095692C">
        <w:rPr>
          <w:sz w:val="20"/>
          <w:szCs w:val="20"/>
        </w:rPr>
        <w:t>2022</w:t>
      </w:r>
      <w:r w:rsidR="00EB506A" w:rsidRPr="0095692C">
        <w:rPr>
          <w:sz w:val="20"/>
          <w:szCs w:val="20"/>
        </w:rPr>
        <w:t xml:space="preserve">; </w:t>
      </w:r>
      <w:r w:rsidR="003B4EED" w:rsidRPr="0095692C">
        <w:rPr>
          <w:rFonts w:cs="Calibri"/>
          <w:color w:val="212121"/>
          <w:sz w:val="20"/>
          <w:szCs w:val="20"/>
        </w:rPr>
        <w:t>*** 2023</w:t>
      </w:r>
    </w:p>
    <w:p w14:paraId="31D662EF" w14:textId="5CD23F7E" w:rsidR="00670A8C" w:rsidRPr="00EB506A" w:rsidRDefault="00183D1A" w:rsidP="006C35F8">
      <w:pPr>
        <w:rPr>
          <w:rFonts w:cs="Calibri"/>
          <w:color w:val="212121"/>
          <w:sz w:val="20"/>
          <w:szCs w:val="20"/>
        </w:rPr>
      </w:pPr>
      <w:r w:rsidRPr="00EB506A">
        <w:rPr>
          <w:rFonts w:cs="Calibri"/>
          <w:color w:val="212121"/>
          <w:sz w:val="20"/>
          <w:szCs w:val="20"/>
          <w:vertAlign w:val="superscript"/>
        </w:rPr>
        <w:t xml:space="preserve">a </w:t>
      </w:r>
      <w:r w:rsidR="00906167" w:rsidRPr="00EB506A">
        <w:rPr>
          <w:rFonts w:cs="Calibri"/>
          <w:color w:val="212121"/>
          <w:sz w:val="20"/>
          <w:szCs w:val="20"/>
        </w:rPr>
        <w:t>UK, 2018</w:t>
      </w:r>
      <w:r w:rsidR="00C1473D" w:rsidRPr="00EB506A">
        <w:rPr>
          <w:rFonts w:cs="Calibri"/>
          <w:color w:val="212121"/>
          <w:sz w:val="20"/>
          <w:szCs w:val="20"/>
        </w:rPr>
        <w:t xml:space="preserve"> (21% in Scotland for 2020-2023</w:t>
      </w:r>
      <w:r w:rsidR="00537F1D" w:rsidRPr="00EB506A">
        <w:rPr>
          <w:rFonts w:cs="Calibri"/>
          <w:color w:val="212121"/>
          <w:sz w:val="20"/>
          <w:szCs w:val="20"/>
        </w:rPr>
        <w:t>)</w:t>
      </w:r>
      <w:r w:rsidR="00BA0D88">
        <w:rPr>
          <w:rFonts w:cs="Calibri"/>
          <w:color w:val="212121"/>
          <w:sz w:val="20"/>
          <w:szCs w:val="20"/>
        </w:rPr>
        <w:t xml:space="preserve">; </w:t>
      </w:r>
      <w:r w:rsidR="00537F1D" w:rsidRPr="00EB506A">
        <w:rPr>
          <w:rFonts w:cs="Calibri"/>
          <w:color w:val="212121"/>
          <w:sz w:val="20"/>
          <w:szCs w:val="20"/>
          <w:vertAlign w:val="superscript"/>
        </w:rPr>
        <w:t xml:space="preserve">b </w:t>
      </w:r>
      <w:r w:rsidR="00537F1D" w:rsidRPr="00EB506A">
        <w:rPr>
          <w:rFonts w:cs="Calibri"/>
          <w:color w:val="212121"/>
          <w:sz w:val="20"/>
          <w:szCs w:val="20"/>
        </w:rPr>
        <w:t>2020</w:t>
      </w:r>
      <w:r w:rsidR="0004591A" w:rsidRPr="00EB506A">
        <w:rPr>
          <w:rFonts w:cs="Calibri"/>
          <w:color w:val="212121"/>
          <w:sz w:val="20"/>
          <w:szCs w:val="20"/>
        </w:rPr>
        <w:t xml:space="preserve"> – 2022 </w:t>
      </w:r>
    </w:p>
    <w:p w14:paraId="6707D7E9" w14:textId="0C1783B2" w:rsidR="00452260" w:rsidRPr="00EB506A" w:rsidRDefault="00652638" w:rsidP="00102C06">
      <w:pPr>
        <w:rPr>
          <w:sz w:val="20"/>
          <w:szCs w:val="20"/>
        </w:rPr>
      </w:pPr>
      <w:r w:rsidRPr="00EB506A">
        <w:rPr>
          <w:sz w:val="20"/>
          <w:szCs w:val="20"/>
        </w:rPr>
        <w:t xml:space="preserve">Regional gross domestic product per head: </w:t>
      </w:r>
      <w:r w:rsidR="00670A8C" w:rsidRPr="00EB506A">
        <w:rPr>
          <w:sz w:val="20"/>
          <w:szCs w:val="20"/>
        </w:rPr>
        <w:t>Wales £27,274 Scotland £34,299</w:t>
      </w:r>
    </w:p>
    <w:p w14:paraId="15B821A3" w14:textId="3AA7D6B1" w:rsidR="00BA0D88" w:rsidRPr="00BA0D88" w:rsidRDefault="00BA0D88" w:rsidP="00D30A07">
      <w:pPr>
        <w:pStyle w:val="ListParagraph"/>
        <w:numPr>
          <w:ilvl w:val="0"/>
          <w:numId w:val="16"/>
        </w:numPr>
        <w:ind w:left="426" w:hanging="426"/>
        <w:rPr>
          <w:rFonts w:cs="Calibri"/>
          <w:color w:val="212121"/>
          <w:sz w:val="20"/>
          <w:szCs w:val="20"/>
        </w:rPr>
      </w:pPr>
      <w:r w:rsidRPr="00BA0D88">
        <w:rPr>
          <w:rFonts w:cs="Calibri"/>
          <w:color w:val="212121"/>
          <w:sz w:val="20"/>
          <w:szCs w:val="20"/>
        </w:rPr>
        <w:t>OECD Data Explorer. 2023</w:t>
      </w:r>
    </w:p>
    <w:p w14:paraId="53EF251C" w14:textId="3E840F1E" w:rsidR="00BA0D88" w:rsidRPr="00BA0D88" w:rsidRDefault="00BA0D88" w:rsidP="00D30A07">
      <w:pPr>
        <w:pStyle w:val="ListParagraph"/>
        <w:numPr>
          <w:ilvl w:val="0"/>
          <w:numId w:val="16"/>
        </w:numPr>
        <w:ind w:left="426" w:hanging="426"/>
        <w:rPr>
          <w:rFonts w:cs="Calibri"/>
          <w:color w:val="212121"/>
          <w:sz w:val="20"/>
          <w:szCs w:val="20"/>
        </w:rPr>
      </w:pPr>
      <w:r>
        <w:rPr>
          <w:rFonts w:cs="Calibri"/>
          <w:color w:val="212121"/>
          <w:sz w:val="20"/>
          <w:szCs w:val="20"/>
        </w:rPr>
        <w:t>Office for National Statistics</w:t>
      </w:r>
      <w:r w:rsidRPr="00BA0D88">
        <w:rPr>
          <w:rFonts w:cs="Calibri"/>
          <w:color w:val="212121"/>
          <w:sz w:val="20"/>
          <w:szCs w:val="20"/>
        </w:rPr>
        <w:t>. Population estimates for the UK, England, Wales, Scotland, and Northern Ireland: mid-2022.</w:t>
      </w:r>
    </w:p>
    <w:p w14:paraId="186F742C" w14:textId="7F804A0D" w:rsidR="00BA0D88" w:rsidRPr="00BA0D88" w:rsidRDefault="00BA0D88" w:rsidP="00D30A07">
      <w:pPr>
        <w:pStyle w:val="ListParagraph"/>
        <w:numPr>
          <w:ilvl w:val="0"/>
          <w:numId w:val="16"/>
        </w:numPr>
        <w:ind w:left="426" w:hanging="426"/>
        <w:rPr>
          <w:rFonts w:cs="Calibri"/>
          <w:color w:val="212121"/>
          <w:sz w:val="20"/>
          <w:szCs w:val="20"/>
        </w:rPr>
      </w:pPr>
      <w:r w:rsidRPr="00BA0D88">
        <w:rPr>
          <w:rFonts w:cs="Calibri"/>
          <w:color w:val="212121"/>
          <w:sz w:val="20"/>
          <w:szCs w:val="20"/>
        </w:rPr>
        <w:t>Scotland's Census 2022 - Rounded population estimates</w:t>
      </w:r>
      <w:r>
        <w:rPr>
          <w:rFonts w:cs="Calibri"/>
          <w:color w:val="212121"/>
          <w:sz w:val="20"/>
          <w:szCs w:val="20"/>
        </w:rPr>
        <w:t>.</w:t>
      </w:r>
    </w:p>
    <w:p w14:paraId="06C87D07" w14:textId="4FABAAE6" w:rsidR="00BA0D88" w:rsidRPr="00BA0D88" w:rsidRDefault="00BA0D88" w:rsidP="00D30A07">
      <w:pPr>
        <w:pStyle w:val="ListParagraph"/>
        <w:numPr>
          <w:ilvl w:val="0"/>
          <w:numId w:val="16"/>
        </w:numPr>
        <w:ind w:left="426" w:hanging="426"/>
        <w:rPr>
          <w:rFonts w:cs="Calibri"/>
          <w:color w:val="212121"/>
          <w:sz w:val="20"/>
          <w:szCs w:val="20"/>
        </w:rPr>
      </w:pPr>
      <w:r w:rsidRPr="00BA0D88">
        <w:rPr>
          <w:rFonts w:cs="Calibri"/>
          <w:color w:val="212121"/>
          <w:sz w:val="20"/>
          <w:szCs w:val="20"/>
        </w:rPr>
        <w:t>Mid-year estimates of the population: 2022. 2023  [cited 2024 Aug 5]; Available from: https://www.gov.wales/mid-year-estimates-population-2022</w:t>
      </w:r>
    </w:p>
    <w:p w14:paraId="54711C21" w14:textId="53D0C2C9" w:rsidR="00BA0D88" w:rsidRPr="00BA0D88" w:rsidRDefault="00BA0D88" w:rsidP="00D30A07">
      <w:pPr>
        <w:pStyle w:val="ListParagraph"/>
        <w:numPr>
          <w:ilvl w:val="0"/>
          <w:numId w:val="16"/>
        </w:numPr>
        <w:ind w:left="426" w:hanging="426"/>
        <w:rPr>
          <w:rFonts w:cs="Calibri"/>
          <w:color w:val="212121"/>
          <w:sz w:val="20"/>
          <w:szCs w:val="20"/>
        </w:rPr>
      </w:pPr>
      <w:r w:rsidRPr="00BA0D88">
        <w:rPr>
          <w:rFonts w:cs="Calibri"/>
          <w:color w:val="212121"/>
          <w:sz w:val="20"/>
          <w:szCs w:val="20"/>
        </w:rPr>
        <w:t xml:space="preserve">Berrington A., K.B., </w:t>
      </w:r>
      <w:proofErr w:type="spellStart"/>
      <w:r w:rsidRPr="00BA0D88">
        <w:rPr>
          <w:rFonts w:cs="Calibri"/>
          <w:color w:val="212121"/>
          <w:sz w:val="20"/>
          <w:szCs w:val="20"/>
        </w:rPr>
        <w:t>Christison</w:t>
      </w:r>
      <w:proofErr w:type="spellEnd"/>
      <w:r w:rsidRPr="00BA0D88">
        <w:rPr>
          <w:rFonts w:cs="Calibri"/>
          <w:color w:val="212121"/>
          <w:sz w:val="20"/>
          <w:szCs w:val="20"/>
        </w:rPr>
        <w:t xml:space="preserve"> S., </w:t>
      </w:r>
      <w:proofErr w:type="spellStart"/>
      <w:r w:rsidRPr="00BA0D88">
        <w:rPr>
          <w:rFonts w:cs="Calibri"/>
          <w:color w:val="212121"/>
          <w:sz w:val="20"/>
          <w:szCs w:val="20"/>
        </w:rPr>
        <w:t>Kulu</w:t>
      </w:r>
      <w:proofErr w:type="spellEnd"/>
      <w:r w:rsidRPr="00BA0D88">
        <w:rPr>
          <w:rFonts w:cs="Calibri"/>
          <w:color w:val="212121"/>
          <w:sz w:val="20"/>
          <w:szCs w:val="20"/>
        </w:rPr>
        <w:t xml:space="preserve"> H., Understanding fertility trends in Britain: Do fertility intentions differ across England, Wales and Scotland? 2023.</w:t>
      </w:r>
    </w:p>
    <w:p w14:paraId="12510CBC" w14:textId="0F521FA7" w:rsidR="00BA0D88" w:rsidRPr="00BA0D88" w:rsidRDefault="00E71B52" w:rsidP="00D30A07">
      <w:pPr>
        <w:pStyle w:val="ListParagraph"/>
        <w:numPr>
          <w:ilvl w:val="0"/>
          <w:numId w:val="16"/>
        </w:numPr>
        <w:ind w:left="426" w:hanging="426"/>
        <w:rPr>
          <w:rFonts w:cs="Calibri"/>
          <w:color w:val="212121"/>
          <w:sz w:val="20"/>
          <w:szCs w:val="20"/>
        </w:rPr>
      </w:pPr>
      <w:r>
        <w:rPr>
          <w:rFonts w:cs="Calibri"/>
          <w:color w:val="212121"/>
          <w:sz w:val="20"/>
          <w:szCs w:val="20"/>
        </w:rPr>
        <w:t>Office for National Statistics</w:t>
      </w:r>
      <w:r w:rsidRPr="00BA0D88">
        <w:rPr>
          <w:rFonts w:cs="Calibri"/>
          <w:color w:val="212121"/>
          <w:sz w:val="20"/>
          <w:szCs w:val="20"/>
        </w:rPr>
        <w:t xml:space="preserve">. </w:t>
      </w:r>
      <w:r w:rsidR="00BA0D88" w:rsidRPr="00BA0D88">
        <w:rPr>
          <w:rFonts w:cs="Calibri"/>
          <w:color w:val="212121"/>
          <w:sz w:val="20"/>
          <w:szCs w:val="20"/>
        </w:rPr>
        <w:t>National life tables – life expectancy in the UK: 2020 to 2022</w:t>
      </w:r>
      <w:r>
        <w:rPr>
          <w:rFonts w:cs="Calibri"/>
          <w:color w:val="212121"/>
          <w:sz w:val="20"/>
          <w:szCs w:val="20"/>
        </w:rPr>
        <w:t>.</w:t>
      </w:r>
    </w:p>
    <w:p w14:paraId="4A624D9B" w14:textId="211D356C" w:rsidR="00BA0D88" w:rsidRPr="00BA0D88" w:rsidRDefault="00E71B52" w:rsidP="00D30A07">
      <w:pPr>
        <w:pStyle w:val="ListParagraph"/>
        <w:numPr>
          <w:ilvl w:val="0"/>
          <w:numId w:val="16"/>
        </w:numPr>
        <w:ind w:left="426" w:hanging="426"/>
        <w:rPr>
          <w:rFonts w:cs="Calibri"/>
          <w:color w:val="212121"/>
          <w:sz w:val="20"/>
          <w:szCs w:val="20"/>
        </w:rPr>
      </w:pPr>
      <w:r>
        <w:rPr>
          <w:rFonts w:cs="Calibri"/>
          <w:color w:val="212121"/>
          <w:sz w:val="20"/>
          <w:szCs w:val="20"/>
        </w:rPr>
        <w:t xml:space="preserve">National Records </w:t>
      </w:r>
      <w:r w:rsidR="00BA0D88" w:rsidRPr="00BA0D88">
        <w:rPr>
          <w:rFonts w:cs="Calibri"/>
          <w:color w:val="212121"/>
          <w:sz w:val="20"/>
          <w:szCs w:val="20"/>
        </w:rPr>
        <w:t>Scotland</w:t>
      </w:r>
      <w:r>
        <w:rPr>
          <w:rFonts w:cs="Calibri"/>
          <w:color w:val="212121"/>
          <w:sz w:val="20"/>
          <w:szCs w:val="20"/>
        </w:rPr>
        <w:t xml:space="preserve">. </w:t>
      </w:r>
      <w:r w:rsidR="00BA0D88" w:rsidRPr="00BA0D88">
        <w:rPr>
          <w:rFonts w:cs="Calibri"/>
          <w:color w:val="212121"/>
          <w:sz w:val="20"/>
          <w:szCs w:val="20"/>
        </w:rPr>
        <w:t>Vital Events Reference Tables 2022.</w:t>
      </w:r>
    </w:p>
    <w:p w14:paraId="38480DD3" w14:textId="2620D7D5" w:rsidR="00BA0D88" w:rsidRPr="00BA0D88" w:rsidRDefault="00E71B52" w:rsidP="00D30A07">
      <w:pPr>
        <w:pStyle w:val="ListParagraph"/>
        <w:numPr>
          <w:ilvl w:val="0"/>
          <w:numId w:val="16"/>
        </w:numPr>
        <w:ind w:left="426" w:hanging="426"/>
        <w:rPr>
          <w:rFonts w:cs="Calibri"/>
          <w:color w:val="212121"/>
          <w:sz w:val="20"/>
          <w:szCs w:val="20"/>
        </w:rPr>
      </w:pPr>
      <w:r>
        <w:rPr>
          <w:rFonts w:cs="Calibri"/>
          <w:color w:val="212121"/>
          <w:sz w:val="20"/>
          <w:szCs w:val="20"/>
        </w:rPr>
        <w:t>Office for National Statistics</w:t>
      </w:r>
      <w:r w:rsidRPr="00BA0D88">
        <w:rPr>
          <w:rFonts w:cs="Calibri"/>
          <w:color w:val="212121"/>
          <w:sz w:val="20"/>
          <w:szCs w:val="20"/>
        </w:rPr>
        <w:t xml:space="preserve">. </w:t>
      </w:r>
      <w:r w:rsidR="00BA0D88" w:rsidRPr="00BA0D88">
        <w:rPr>
          <w:rFonts w:cs="Calibri"/>
          <w:color w:val="212121"/>
          <w:sz w:val="20"/>
          <w:szCs w:val="20"/>
        </w:rPr>
        <w:t>Child and infant mortality in England and Wales: 2022.</w:t>
      </w:r>
    </w:p>
    <w:p w14:paraId="3F471B50" w14:textId="0F23F3A0" w:rsidR="00BA0D88" w:rsidRPr="00BA0D88" w:rsidRDefault="00BA0D88" w:rsidP="00D30A07">
      <w:pPr>
        <w:pStyle w:val="ListParagraph"/>
        <w:numPr>
          <w:ilvl w:val="0"/>
          <w:numId w:val="16"/>
        </w:numPr>
        <w:ind w:left="426" w:hanging="426"/>
        <w:rPr>
          <w:rFonts w:cs="Calibri"/>
          <w:color w:val="212121"/>
          <w:sz w:val="20"/>
          <w:szCs w:val="20"/>
        </w:rPr>
      </w:pPr>
      <w:r w:rsidRPr="00BA0D88">
        <w:rPr>
          <w:rFonts w:cs="Calibri"/>
          <w:color w:val="212121"/>
          <w:sz w:val="20"/>
          <w:szCs w:val="20"/>
        </w:rPr>
        <w:t>The World Bank. GDP per capita, PPP (current international $) - OECD members. 2024</w:t>
      </w:r>
    </w:p>
    <w:p w14:paraId="25EFA6BA" w14:textId="69F9107A" w:rsidR="00BA0D88" w:rsidRPr="00BA0D88" w:rsidRDefault="00BA0D88" w:rsidP="00D30A07">
      <w:pPr>
        <w:pStyle w:val="ListParagraph"/>
        <w:numPr>
          <w:ilvl w:val="0"/>
          <w:numId w:val="16"/>
        </w:numPr>
        <w:ind w:left="426" w:hanging="426"/>
        <w:rPr>
          <w:rFonts w:cs="Calibri"/>
          <w:color w:val="212121"/>
          <w:sz w:val="20"/>
          <w:szCs w:val="20"/>
        </w:rPr>
      </w:pPr>
      <w:proofErr w:type="spellStart"/>
      <w:r w:rsidRPr="00BA0D88">
        <w:rPr>
          <w:rFonts w:cs="Calibri"/>
          <w:color w:val="212121"/>
          <w:sz w:val="20"/>
          <w:szCs w:val="20"/>
        </w:rPr>
        <w:t>EuroStat</w:t>
      </w:r>
      <w:proofErr w:type="spellEnd"/>
      <w:r w:rsidRPr="00BA0D88">
        <w:rPr>
          <w:rFonts w:cs="Calibri"/>
          <w:color w:val="212121"/>
          <w:sz w:val="20"/>
          <w:szCs w:val="20"/>
        </w:rPr>
        <w:t>. At-risk-of-poverty rate by age group - EU-SILC survey. 2024</w:t>
      </w:r>
    </w:p>
    <w:p w14:paraId="75DBFF2A" w14:textId="12FA02B9" w:rsidR="00BA0D88" w:rsidRPr="00BA0D88" w:rsidRDefault="00BA0D88" w:rsidP="00D30A07">
      <w:pPr>
        <w:pStyle w:val="ListParagraph"/>
        <w:numPr>
          <w:ilvl w:val="0"/>
          <w:numId w:val="16"/>
        </w:numPr>
        <w:ind w:left="426" w:hanging="426"/>
        <w:rPr>
          <w:rFonts w:cs="Calibri"/>
          <w:color w:val="212121"/>
          <w:sz w:val="20"/>
          <w:szCs w:val="20"/>
        </w:rPr>
      </w:pPr>
      <w:r w:rsidRPr="00BA0D88">
        <w:rPr>
          <w:rFonts w:cs="Calibri"/>
          <w:color w:val="212121"/>
          <w:sz w:val="20"/>
          <w:szCs w:val="20"/>
        </w:rPr>
        <w:t>OECD Economic Surveys: New Zealand 2024. 2024.</w:t>
      </w:r>
    </w:p>
    <w:p w14:paraId="13D8E70C" w14:textId="194B6DCC" w:rsidR="00BA0D88" w:rsidRPr="00BA0D88" w:rsidRDefault="00BA0D88" w:rsidP="00D30A07">
      <w:pPr>
        <w:pStyle w:val="ListParagraph"/>
        <w:numPr>
          <w:ilvl w:val="0"/>
          <w:numId w:val="16"/>
        </w:numPr>
        <w:ind w:left="426" w:hanging="426"/>
        <w:rPr>
          <w:rFonts w:cs="Calibri"/>
          <w:color w:val="212121"/>
          <w:sz w:val="20"/>
          <w:szCs w:val="20"/>
        </w:rPr>
      </w:pPr>
      <w:proofErr w:type="spellStart"/>
      <w:r w:rsidRPr="00BA0D88">
        <w:rPr>
          <w:rFonts w:cs="Calibri"/>
          <w:color w:val="212121"/>
          <w:sz w:val="20"/>
          <w:szCs w:val="20"/>
        </w:rPr>
        <w:t>EuroStat</w:t>
      </w:r>
      <w:proofErr w:type="spellEnd"/>
      <w:r w:rsidRPr="00BA0D88">
        <w:rPr>
          <w:rFonts w:cs="Calibri"/>
          <w:color w:val="212121"/>
          <w:sz w:val="20"/>
          <w:szCs w:val="20"/>
        </w:rPr>
        <w:t>. Unemployment by sex and age – annual data. 2024</w:t>
      </w:r>
    </w:p>
    <w:p w14:paraId="03246359" w14:textId="3B79F956" w:rsidR="00BA0D88" w:rsidRPr="00BA0D88" w:rsidRDefault="00E71B52" w:rsidP="00D30A07">
      <w:pPr>
        <w:pStyle w:val="ListParagraph"/>
        <w:numPr>
          <w:ilvl w:val="0"/>
          <w:numId w:val="16"/>
        </w:numPr>
        <w:ind w:left="426" w:hanging="426"/>
        <w:rPr>
          <w:rFonts w:cs="Calibri"/>
          <w:color w:val="212121"/>
          <w:sz w:val="20"/>
          <w:szCs w:val="20"/>
        </w:rPr>
      </w:pPr>
      <w:r>
        <w:rPr>
          <w:rFonts w:cs="Calibri"/>
          <w:color w:val="212121"/>
          <w:sz w:val="20"/>
          <w:szCs w:val="20"/>
        </w:rPr>
        <w:t>Office for National Statistics</w:t>
      </w:r>
      <w:r w:rsidRPr="00BA0D88">
        <w:rPr>
          <w:rFonts w:cs="Calibri"/>
          <w:color w:val="212121"/>
          <w:sz w:val="20"/>
          <w:szCs w:val="20"/>
        </w:rPr>
        <w:t xml:space="preserve">. </w:t>
      </w:r>
      <w:r w:rsidR="00BA0D88" w:rsidRPr="00BA0D88">
        <w:rPr>
          <w:rFonts w:cs="Calibri"/>
          <w:color w:val="212121"/>
          <w:sz w:val="20"/>
          <w:szCs w:val="20"/>
        </w:rPr>
        <w:t>Employment, unemployment and economic inactivity in Scottish Borders. 2024</w:t>
      </w:r>
    </w:p>
    <w:p w14:paraId="2603F259" w14:textId="6EF2D195" w:rsidR="00BA0D88" w:rsidRPr="00BA0D88" w:rsidRDefault="00BA0D88" w:rsidP="00D30A07">
      <w:pPr>
        <w:pStyle w:val="ListParagraph"/>
        <w:numPr>
          <w:ilvl w:val="0"/>
          <w:numId w:val="16"/>
        </w:numPr>
        <w:ind w:left="426" w:hanging="426"/>
        <w:rPr>
          <w:rFonts w:cs="Calibri"/>
          <w:color w:val="212121"/>
          <w:sz w:val="20"/>
          <w:szCs w:val="20"/>
        </w:rPr>
      </w:pPr>
      <w:r w:rsidRPr="00BA0D88">
        <w:rPr>
          <w:rFonts w:cs="Calibri"/>
          <w:color w:val="212121"/>
          <w:sz w:val="20"/>
          <w:szCs w:val="20"/>
        </w:rPr>
        <w:t>GOV.WALES. Labour market statistics (Annual Population Survey): 2023. 2024  [cited 2024; Available from: https://www.gov.wales/sites/default/files/pdf-versions/2024/6/3/1719407202/labour-market-statistics-annual-population-survey-2023.pdf.</w:t>
      </w:r>
    </w:p>
    <w:p w14:paraId="00750FD6" w14:textId="41C27F64" w:rsidR="00BA0D88" w:rsidRPr="00BA0D88" w:rsidRDefault="00BA0D88" w:rsidP="00D30A07">
      <w:pPr>
        <w:pStyle w:val="ListParagraph"/>
        <w:numPr>
          <w:ilvl w:val="0"/>
          <w:numId w:val="16"/>
        </w:numPr>
        <w:ind w:left="426" w:hanging="426"/>
        <w:rPr>
          <w:rFonts w:cs="Calibri"/>
          <w:color w:val="212121"/>
          <w:sz w:val="20"/>
          <w:szCs w:val="20"/>
        </w:rPr>
      </w:pPr>
      <w:r w:rsidRPr="00BA0D88">
        <w:rPr>
          <w:rFonts w:cs="Calibri"/>
          <w:color w:val="212121"/>
          <w:sz w:val="20"/>
          <w:szCs w:val="20"/>
        </w:rPr>
        <w:t>OECD Data Explorer: Income Distribution Database.</w:t>
      </w:r>
    </w:p>
    <w:p w14:paraId="76D4DAEB" w14:textId="77777777" w:rsidR="00E56B85" w:rsidRDefault="00E56B85" w:rsidP="001B3603">
      <w:pPr>
        <w:rPr>
          <w:rFonts w:cs="Calibri"/>
          <w:color w:val="212121"/>
        </w:rPr>
      </w:pPr>
    </w:p>
    <w:p w14:paraId="3CF5F1BC" w14:textId="5D9E01A2" w:rsidR="00E71B52" w:rsidRDefault="00E71B52">
      <w:pPr>
        <w:spacing w:after="0" w:line="240" w:lineRule="auto"/>
        <w:rPr>
          <w:rFonts w:cs="Calibri"/>
          <w:color w:val="212121"/>
        </w:rPr>
      </w:pPr>
      <w:r>
        <w:rPr>
          <w:rFonts w:cs="Calibri"/>
          <w:color w:val="212121"/>
        </w:rPr>
        <w:br w:type="page"/>
      </w:r>
    </w:p>
    <w:p w14:paraId="42478DAB" w14:textId="2C680C67" w:rsidR="00CA3A1E" w:rsidRDefault="00CA3A1E" w:rsidP="00D30A07">
      <w:pPr>
        <w:pStyle w:val="Heading2"/>
        <w:numPr>
          <w:ilvl w:val="0"/>
          <w:numId w:val="0"/>
        </w:numPr>
        <w:ind w:left="576" w:hanging="576"/>
      </w:pPr>
      <w:r>
        <w:lastRenderedPageBreak/>
        <w:t xml:space="preserve">Comparison of country level outcomes on the </w:t>
      </w:r>
      <w:r w:rsidRPr="00517C93">
        <w:t>OECD Better Life Index</w:t>
      </w:r>
    </w:p>
    <w:p w14:paraId="1A5500B5" w14:textId="78DE78CC" w:rsidR="00EF49A9" w:rsidRPr="00EF49A9" w:rsidRDefault="00EF49A9" w:rsidP="00EF49A9">
      <w:r w:rsidRPr="00EF49A9">
        <w:t xml:space="preserve">The colours indicate different ranges of values: </w:t>
      </w:r>
      <w:r w:rsidRPr="00BB051A">
        <w:rPr>
          <w:shd w:val="clear" w:color="auto" w:fill="90EE90"/>
        </w:rPr>
        <w:t>light green</w:t>
      </w:r>
      <w:r w:rsidRPr="00EF49A9">
        <w:t xml:space="preserve"> for high values (9 and above), </w:t>
      </w:r>
      <w:r w:rsidRPr="00BB051A">
        <w:rPr>
          <w:shd w:val="clear" w:color="auto" w:fill="FFFFE0"/>
        </w:rPr>
        <w:t>light yellow</w:t>
      </w:r>
      <w:r w:rsidRPr="00EF49A9">
        <w:t xml:space="preserve"> for medium values (7 to 8.9), and </w:t>
      </w:r>
      <w:r w:rsidRPr="00BB051A">
        <w:rPr>
          <w:shd w:val="clear" w:color="auto" w:fill="F08080"/>
        </w:rPr>
        <w:t>light coral</w:t>
      </w:r>
      <w:r w:rsidRPr="00EF49A9">
        <w:t xml:space="preserve"> for lower values (below 7).</w:t>
      </w:r>
    </w:p>
    <w:tbl>
      <w:tblPr>
        <w:tblStyle w:val="TableGrid"/>
        <w:tblW w:w="155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3"/>
        <w:gridCol w:w="1424"/>
        <w:gridCol w:w="1405"/>
        <w:gridCol w:w="1373"/>
        <w:gridCol w:w="1405"/>
        <w:gridCol w:w="1405"/>
        <w:gridCol w:w="1406"/>
        <w:gridCol w:w="1406"/>
        <w:gridCol w:w="1406"/>
        <w:gridCol w:w="1406"/>
      </w:tblGrid>
      <w:tr w:rsidR="00CA3A1E" w:rsidRPr="00AC0DEB" w14:paraId="2FB6F01F" w14:textId="77777777" w:rsidTr="00627C8A">
        <w:trPr>
          <w:trHeight w:val="739"/>
        </w:trPr>
        <w:tc>
          <w:tcPr>
            <w:tcW w:w="2903" w:type="dxa"/>
            <w:shd w:val="clear" w:color="auto" w:fill="156082"/>
            <w:vAlign w:val="center"/>
          </w:tcPr>
          <w:p w14:paraId="4E12A0D4" w14:textId="77777777" w:rsidR="00CA3A1E" w:rsidRPr="00AC0DEB" w:rsidRDefault="00CA3A1E" w:rsidP="00A81ED7">
            <w:pPr>
              <w:spacing w:after="0" w:line="240" w:lineRule="auto"/>
              <w:rPr>
                <w:rFonts w:cs="Calibri"/>
                <w:color w:val="FFFFFF" w:themeColor="background1"/>
                <w:sz w:val="20"/>
                <w:szCs w:val="20"/>
              </w:rPr>
            </w:pPr>
          </w:p>
        </w:tc>
        <w:tc>
          <w:tcPr>
            <w:tcW w:w="1424" w:type="dxa"/>
            <w:shd w:val="clear" w:color="auto" w:fill="156082" w:themeFill="accent1"/>
            <w:vAlign w:val="center"/>
          </w:tcPr>
          <w:p w14:paraId="3BB0B856" w14:textId="77777777" w:rsidR="00CA3A1E" w:rsidRPr="00AC0DEB" w:rsidRDefault="00CA3A1E" w:rsidP="00A81ED7">
            <w:pPr>
              <w:spacing w:after="0" w:line="240" w:lineRule="auto"/>
              <w:jc w:val="center"/>
              <w:rPr>
                <w:rFonts w:cs="Calibri"/>
                <w:b/>
                <w:bCs/>
                <w:color w:val="FFFFFF" w:themeColor="background1"/>
                <w:sz w:val="20"/>
                <w:szCs w:val="20"/>
              </w:rPr>
            </w:pPr>
            <w:r w:rsidRPr="00AC0DEB">
              <w:rPr>
                <w:rFonts w:cs="Calibri"/>
                <w:b/>
                <w:bCs/>
                <w:color w:val="FFFFFF" w:themeColor="background1"/>
                <w:sz w:val="20"/>
                <w:szCs w:val="20"/>
              </w:rPr>
              <w:t>Belgium</w:t>
            </w:r>
          </w:p>
        </w:tc>
        <w:tc>
          <w:tcPr>
            <w:tcW w:w="1405" w:type="dxa"/>
            <w:shd w:val="clear" w:color="auto" w:fill="156082" w:themeFill="accent1"/>
            <w:vAlign w:val="center"/>
          </w:tcPr>
          <w:p w14:paraId="059C947C" w14:textId="77777777" w:rsidR="00CA3A1E" w:rsidRPr="00AC0DEB" w:rsidRDefault="00CA3A1E" w:rsidP="00A81ED7">
            <w:pPr>
              <w:spacing w:after="0" w:line="240" w:lineRule="auto"/>
              <w:jc w:val="center"/>
              <w:rPr>
                <w:rFonts w:cs="Calibri"/>
                <w:b/>
                <w:bCs/>
                <w:color w:val="FFFFFF" w:themeColor="background1"/>
                <w:sz w:val="20"/>
                <w:szCs w:val="20"/>
              </w:rPr>
            </w:pPr>
            <w:r w:rsidRPr="00AC0DEB">
              <w:rPr>
                <w:rFonts w:cs="Calibri"/>
                <w:b/>
                <w:bCs/>
                <w:color w:val="FFFFFF" w:themeColor="background1"/>
                <w:sz w:val="20"/>
                <w:szCs w:val="20"/>
              </w:rPr>
              <w:t>Finland</w:t>
            </w:r>
          </w:p>
        </w:tc>
        <w:tc>
          <w:tcPr>
            <w:tcW w:w="1373" w:type="dxa"/>
            <w:shd w:val="clear" w:color="auto" w:fill="156082" w:themeFill="accent1"/>
            <w:vAlign w:val="center"/>
          </w:tcPr>
          <w:p w14:paraId="62F91955" w14:textId="77777777" w:rsidR="00CA3A1E" w:rsidRPr="00AC0DEB" w:rsidRDefault="00CA3A1E" w:rsidP="00A81ED7">
            <w:pPr>
              <w:spacing w:after="0" w:line="240" w:lineRule="auto"/>
              <w:jc w:val="center"/>
              <w:rPr>
                <w:rFonts w:cs="Calibri"/>
                <w:b/>
                <w:bCs/>
                <w:color w:val="FFFFFF" w:themeColor="background1"/>
                <w:sz w:val="20"/>
                <w:szCs w:val="20"/>
              </w:rPr>
            </w:pPr>
            <w:r w:rsidRPr="00AC0DEB">
              <w:rPr>
                <w:rFonts w:cs="Calibri"/>
                <w:b/>
                <w:bCs/>
                <w:color w:val="FFFFFF" w:themeColor="background1"/>
                <w:sz w:val="20"/>
                <w:szCs w:val="20"/>
              </w:rPr>
              <w:t>Iceland</w:t>
            </w:r>
          </w:p>
        </w:tc>
        <w:tc>
          <w:tcPr>
            <w:tcW w:w="1405" w:type="dxa"/>
            <w:shd w:val="clear" w:color="auto" w:fill="156082" w:themeFill="accent1"/>
            <w:vAlign w:val="center"/>
          </w:tcPr>
          <w:p w14:paraId="094DCC3E" w14:textId="77777777" w:rsidR="00CA3A1E" w:rsidRPr="00AC0DEB" w:rsidRDefault="00CA3A1E" w:rsidP="00A81ED7">
            <w:pPr>
              <w:spacing w:after="0" w:line="240" w:lineRule="auto"/>
              <w:jc w:val="center"/>
              <w:rPr>
                <w:rFonts w:cs="Calibri"/>
                <w:b/>
                <w:bCs/>
                <w:color w:val="FFFFFF" w:themeColor="background1"/>
                <w:sz w:val="20"/>
                <w:szCs w:val="20"/>
              </w:rPr>
            </w:pPr>
            <w:r w:rsidRPr="00AC0DEB">
              <w:rPr>
                <w:rFonts w:cs="Calibri"/>
                <w:b/>
                <w:bCs/>
                <w:color w:val="FFFFFF" w:themeColor="background1"/>
                <w:sz w:val="20"/>
                <w:szCs w:val="20"/>
              </w:rPr>
              <w:t>Ireland</w:t>
            </w:r>
          </w:p>
        </w:tc>
        <w:tc>
          <w:tcPr>
            <w:tcW w:w="1405" w:type="dxa"/>
            <w:shd w:val="clear" w:color="auto" w:fill="156082" w:themeFill="accent1"/>
            <w:vAlign w:val="center"/>
          </w:tcPr>
          <w:p w14:paraId="08A10B64" w14:textId="77777777" w:rsidR="00CA3A1E" w:rsidRPr="00AC0DEB" w:rsidRDefault="00CA3A1E" w:rsidP="00A81ED7">
            <w:pPr>
              <w:spacing w:after="0" w:line="240" w:lineRule="auto"/>
              <w:jc w:val="center"/>
              <w:rPr>
                <w:rFonts w:cs="Calibri"/>
                <w:b/>
                <w:bCs/>
                <w:color w:val="FFFFFF" w:themeColor="background1"/>
                <w:sz w:val="20"/>
                <w:szCs w:val="20"/>
              </w:rPr>
            </w:pPr>
            <w:r w:rsidRPr="00AC0DEB">
              <w:rPr>
                <w:rFonts w:cs="Calibri"/>
                <w:b/>
                <w:bCs/>
                <w:color w:val="FFFFFF" w:themeColor="background1"/>
                <w:sz w:val="20"/>
                <w:szCs w:val="20"/>
              </w:rPr>
              <w:t>New Zealand</w:t>
            </w:r>
          </w:p>
        </w:tc>
        <w:tc>
          <w:tcPr>
            <w:tcW w:w="1406" w:type="dxa"/>
            <w:tcBorders>
              <w:right w:val="single" w:sz="4" w:space="0" w:color="FFFFFF" w:themeColor="background1"/>
            </w:tcBorders>
            <w:shd w:val="clear" w:color="auto" w:fill="156082" w:themeFill="accent1"/>
            <w:vAlign w:val="center"/>
          </w:tcPr>
          <w:p w14:paraId="253EBCE4" w14:textId="77777777" w:rsidR="00CA3A1E" w:rsidRPr="00AC0DEB" w:rsidRDefault="00CA3A1E" w:rsidP="00A81ED7">
            <w:pPr>
              <w:spacing w:after="0" w:line="240" w:lineRule="auto"/>
              <w:jc w:val="center"/>
              <w:rPr>
                <w:rFonts w:cs="Calibri"/>
                <w:b/>
                <w:bCs/>
                <w:color w:val="FFFFFF" w:themeColor="background1"/>
                <w:sz w:val="20"/>
                <w:szCs w:val="20"/>
              </w:rPr>
            </w:pPr>
            <w:r w:rsidRPr="00AC0DEB">
              <w:rPr>
                <w:rFonts w:cs="Calibri"/>
                <w:b/>
                <w:bCs/>
                <w:color w:val="FFFFFF" w:themeColor="background1"/>
                <w:sz w:val="20"/>
                <w:szCs w:val="20"/>
              </w:rPr>
              <w:t>Slovenia</w:t>
            </w:r>
          </w:p>
        </w:tc>
        <w:tc>
          <w:tcPr>
            <w:tcW w:w="1406" w:type="dxa"/>
            <w:tcBorders>
              <w:left w:val="single" w:sz="4" w:space="0" w:color="FFFFFF" w:themeColor="background1"/>
            </w:tcBorders>
            <w:shd w:val="clear" w:color="auto" w:fill="156082" w:themeFill="accent1"/>
            <w:vAlign w:val="center"/>
          </w:tcPr>
          <w:p w14:paraId="72E14E31" w14:textId="77777777" w:rsidR="00CA3A1E" w:rsidRPr="00AC0DEB" w:rsidRDefault="00CA3A1E" w:rsidP="00A81ED7">
            <w:pPr>
              <w:spacing w:after="0" w:line="240" w:lineRule="auto"/>
              <w:jc w:val="center"/>
              <w:rPr>
                <w:rFonts w:cs="Calibri"/>
                <w:b/>
                <w:bCs/>
                <w:color w:val="FFFFFF" w:themeColor="background1"/>
                <w:sz w:val="20"/>
                <w:szCs w:val="20"/>
              </w:rPr>
            </w:pPr>
            <w:r w:rsidRPr="00AC0DEB">
              <w:rPr>
                <w:rFonts w:cs="Calibri"/>
                <w:b/>
                <w:bCs/>
                <w:color w:val="FFFFFF" w:themeColor="background1"/>
                <w:sz w:val="20"/>
                <w:szCs w:val="20"/>
              </w:rPr>
              <w:t>Scotland</w:t>
            </w:r>
          </w:p>
        </w:tc>
        <w:tc>
          <w:tcPr>
            <w:tcW w:w="1406" w:type="dxa"/>
            <w:shd w:val="clear" w:color="auto" w:fill="156082" w:themeFill="accent1"/>
            <w:vAlign w:val="center"/>
          </w:tcPr>
          <w:p w14:paraId="4881A60F" w14:textId="77777777" w:rsidR="00CA3A1E" w:rsidRPr="00AC0DEB" w:rsidRDefault="00CA3A1E" w:rsidP="00A81ED7">
            <w:pPr>
              <w:spacing w:after="0" w:line="240" w:lineRule="auto"/>
              <w:jc w:val="center"/>
              <w:rPr>
                <w:rFonts w:cs="Calibri"/>
                <w:b/>
                <w:bCs/>
                <w:color w:val="FFFFFF" w:themeColor="background1"/>
                <w:sz w:val="20"/>
                <w:szCs w:val="20"/>
              </w:rPr>
            </w:pPr>
            <w:r w:rsidRPr="00AC0DEB">
              <w:rPr>
                <w:rFonts w:cs="Calibri"/>
                <w:b/>
                <w:bCs/>
                <w:color w:val="FFFFFF" w:themeColor="background1"/>
                <w:sz w:val="20"/>
                <w:szCs w:val="20"/>
              </w:rPr>
              <w:t>Wales</w:t>
            </w:r>
          </w:p>
        </w:tc>
        <w:tc>
          <w:tcPr>
            <w:tcW w:w="1406" w:type="dxa"/>
            <w:shd w:val="clear" w:color="auto" w:fill="156082" w:themeFill="accent1"/>
            <w:vAlign w:val="center"/>
          </w:tcPr>
          <w:p w14:paraId="30CC7BD2" w14:textId="77777777" w:rsidR="00CA3A1E" w:rsidRPr="00AC0DEB" w:rsidRDefault="00CA3A1E" w:rsidP="00A81ED7">
            <w:pPr>
              <w:spacing w:after="0" w:line="240" w:lineRule="auto"/>
              <w:jc w:val="center"/>
              <w:rPr>
                <w:rFonts w:cs="Calibri"/>
                <w:b/>
                <w:bCs/>
                <w:color w:val="FFFFFF" w:themeColor="background1"/>
                <w:sz w:val="20"/>
                <w:szCs w:val="20"/>
              </w:rPr>
            </w:pPr>
            <w:r w:rsidRPr="00AC0DEB">
              <w:rPr>
                <w:rFonts w:cs="Calibri"/>
                <w:b/>
                <w:bCs/>
                <w:color w:val="FFFFFF" w:themeColor="background1"/>
                <w:sz w:val="20"/>
                <w:szCs w:val="20"/>
              </w:rPr>
              <w:t>United Kingdom</w:t>
            </w:r>
          </w:p>
        </w:tc>
      </w:tr>
      <w:tr w:rsidR="00CA3A1E" w:rsidRPr="00E56B85" w14:paraId="206B851A" w14:textId="77777777" w:rsidTr="007A5CC1">
        <w:trPr>
          <w:trHeight w:val="489"/>
        </w:trPr>
        <w:tc>
          <w:tcPr>
            <w:tcW w:w="2903" w:type="dxa"/>
            <w:vAlign w:val="center"/>
          </w:tcPr>
          <w:p w14:paraId="18269E05"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Housing</w:t>
            </w:r>
          </w:p>
        </w:tc>
        <w:tc>
          <w:tcPr>
            <w:tcW w:w="1424" w:type="dxa"/>
            <w:shd w:val="clear" w:color="auto" w:fill="FFFFE0"/>
            <w:vAlign w:val="center"/>
          </w:tcPr>
          <w:p w14:paraId="1C88E79B" w14:textId="77777777" w:rsidR="00CA3A1E" w:rsidRPr="00E56B85" w:rsidRDefault="00CA3A1E" w:rsidP="00A81ED7">
            <w:pPr>
              <w:spacing w:after="0" w:line="240" w:lineRule="auto"/>
              <w:jc w:val="center"/>
              <w:rPr>
                <w:sz w:val="20"/>
                <w:szCs w:val="20"/>
              </w:rPr>
            </w:pPr>
            <w:r w:rsidRPr="00E56B85">
              <w:rPr>
                <w:sz w:val="20"/>
                <w:szCs w:val="20"/>
              </w:rPr>
              <w:t>7.6</w:t>
            </w:r>
          </w:p>
        </w:tc>
        <w:tc>
          <w:tcPr>
            <w:tcW w:w="1405" w:type="dxa"/>
            <w:shd w:val="clear" w:color="auto" w:fill="F08080"/>
            <w:vAlign w:val="center"/>
          </w:tcPr>
          <w:p w14:paraId="4B29EB37" w14:textId="77777777" w:rsidR="00CA3A1E" w:rsidRPr="00E56B85" w:rsidRDefault="00CA3A1E" w:rsidP="00A81ED7">
            <w:pPr>
              <w:spacing w:after="0" w:line="240" w:lineRule="auto"/>
              <w:jc w:val="center"/>
              <w:rPr>
                <w:sz w:val="20"/>
                <w:szCs w:val="20"/>
              </w:rPr>
            </w:pPr>
            <w:r w:rsidRPr="00E56B85">
              <w:rPr>
                <w:sz w:val="20"/>
                <w:szCs w:val="20"/>
              </w:rPr>
              <w:t>6.4</w:t>
            </w:r>
          </w:p>
        </w:tc>
        <w:tc>
          <w:tcPr>
            <w:tcW w:w="1373" w:type="dxa"/>
            <w:shd w:val="clear" w:color="auto" w:fill="F08080"/>
            <w:vAlign w:val="center"/>
          </w:tcPr>
          <w:p w14:paraId="223188E1" w14:textId="77777777" w:rsidR="00CA3A1E" w:rsidRPr="00E56B85" w:rsidRDefault="00CA3A1E" w:rsidP="00A81ED7">
            <w:pPr>
              <w:spacing w:after="0" w:line="240" w:lineRule="auto"/>
              <w:jc w:val="center"/>
              <w:rPr>
                <w:sz w:val="20"/>
                <w:szCs w:val="20"/>
              </w:rPr>
            </w:pPr>
            <w:r w:rsidRPr="00E56B85">
              <w:rPr>
                <w:sz w:val="20"/>
                <w:szCs w:val="20"/>
              </w:rPr>
              <w:t>6.5</w:t>
            </w:r>
          </w:p>
        </w:tc>
        <w:tc>
          <w:tcPr>
            <w:tcW w:w="1405" w:type="dxa"/>
            <w:shd w:val="clear" w:color="auto" w:fill="FFFFE0"/>
            <w:vAlign w:val="center"/>
          </w:tcPr>
          <w:p w14:paraId="615CE8CB" w14:textId="77777777" w:rsidR="00CA3A1E" w:rsidRPr="00E56B85" w:rsidRDefault="00CA3A1E" w:rsidP="00A81ED7">
            <w:pPr>
              <w:spacing w:after="0" w:line="240" w:lineRule="auto"/>
              <w:jc w:val="center"/>
              <w:rPr>
                <w:sz w:val="20"/>
                <w:szCs w:val="20"/>
              </w:rPr>
            </w:pPr>
            <w:r w:rsidRPr="00E56B85">
              <w:rPr>
                <w:sz w:val="20"/>
                <w:szCs w:val="20"/>
              </w:rPr>
              <w:t>7.4</w:t>
            </w:r>
          </w:p>
        </w:tc>
        <w:tc>
          <w:tcPr>
            <w:tcW w:w="1405" w:type="dxa"/>
            <w:shd w:val="clear" w:color="auto" w:fill="F08080"/>
            <w:vAlign w:val="center"/>
          </w:tcPr>
          <w:p w14:paraId="445B9168" w14:textId="77777777" w:rsidR="00CA3A1E" w:rsidRPr="00E56B85" w:rsidRDefault="00CA3A1E" w:rsidP="00A81ED7">
            <w:pPr>
              <w:spacing w:after="0" w:line="240" w:lineRule="auto"/>
              <w:jc w:val="center"/>
              <w:rPr>
                <w:sz w:val="20"/>
                <w:szCs w:val="20"/>
              </w:rPr>
            </w:pPr>
            <w:r w:rsidRPr="00E56B85">
              <w:rPr>
                <w:sz w:val="20"/>
                <w:szCs w:val="20"/>
              </w:rPr>
              <w:t>6.8</w:t>
            </w:r>
          </w:p>
        </w:tc>
        <w:tc>
          <w:tcPr>
            <w:tcW w:w="1406" w:type="dxa"/>
            <w:tcBorders>
              <w:right w:val="single" w:sz="4" w:space="0" w:color="FFFFFF" w:themeColor="background1"/>
            </w:tcBorders>
            <w:shd w:val="clear" w:color="auto" w:fill="F08080"/>
            <w:vAlign w:val="center"/>
          </w:tcPr>
          <w:p w14:paraId="07E61E92" w14:textId="77777777" w:rsidR="00CA3A1E" w:rsidRPr="00E56B85" w:rsidRDefault="00CA3A1E" w:rsidP="00A81ED7">
            <w:pPr>
              <w:spacing w:after="0" w:line="240" w:lineRule="auto"/>
              <w:jc w:val="center"/>
              <w:rPr>
                <w:sz w:val="20"/>
                <w:szCs w:val="20"/>
              </w:rPr>
            </w:pPr>
            <w:r w:rsidRPr="00E56B85">
              <w:rPr>
                <w:sz w:val="20"/>
                <w:szCs w:val="20"/>
              </w:rPr>
              <w:t>6.9</w:t>
            </w:r>
          </w:p>
        </w:tc>
        <w:tc>
          <w:tcPr>
            <w:tcW w:w="1406" w:type="dxa"/>
            <w:tcBorders>
              <w:left w:val="single" w:sz="4" w:space="0" w:color="FFFFFF" w:themeColor="background1"/>
            </w:tcBorders>
            <w:shd w:val="clear" w:color="auto" w:fill="F08080"/>
            <w:vAlign w:val="center"/>
          </w:tcPr>
          <w:p w14:paraId="222F8E13"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08080"/>
            <w:vAlign w:val="center"/>
          </w:tcPr>
          <w:p w14:paraId="156A29E0"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08080"/>
            <w:vAlign w:val="center"/>
          </w:tcPr>
          <w:p w14:paraId="24D527FB"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6.5</w:t>
            </w:r>
          </w:p>
        </w:tc>
      </w:tr>
      <w:tr w:rsidR="00CA3A1E" w:rsidRPr="00E56B85" w14:paraId="0E25A49B" w14:textId="77777777" w:rsidTr="0099708F">
        <w:trPr>
          <w:trHeight w:val="489"/>
        </w:trPr>
        <w:tc>
          <w:tcPr>
            <w:tcW w:w="2903" w:type="dxa"/>
            <w:shd w:val="clear" w:color="auto" w:fill="F2F2F2" w:themeFill="background1" w:themeFillShade="F2"/>
            <w:vAlign w:val="center"/>
          </w:tcPr>
          <w:p w14:paraId="57DE03C5"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Income</w:t>
            </w:r>
          </w:p>
        </w:tc>
        <w:tc>
          <w:tcPr>
            <w:tcW w:w="1424" w:type="dxa"/>
            <w:shd w:val="clear" w:color="auto" w:fill="F08080"/>
            <w:vAlign w:val="center"/>
          </w:tcPr>
          <w:p w14:paraId="7B4387C9" w14:textId="77777777" w:rsidR="00CA3A1E" w:rsidRPr="00E56B85" w:rsidRDefault="00CA3A1E" w:rsidP="00A81ED7">
            <w:pPr>
              <w:spacing w:after="0" w:line="240" w:lineRule="auto"/>
              <w:jc w:val="center"/>
              <w:rPr>
                <w:sz w:val="20"/>
                <w:szCs w:val="20"/>
              </w:rPr>
            </w:pPr>
            <w:r w:rsidRPr="00E56B85">
              <w:rPr>
                <w:sz w:val="20"/>
                <w:szCs w:val="20"/>
              </w:rPr>
              <w:t>5.2</w:t>
            </w:r>
          </w:p>
        </w:tc>
        <w:tc>
          <w:tcPr>
            <w:tcW w:w="1405" w:type="dxa"/>
            <w:shd w:val="clear" w:color="auto" w:fill="F08080"/>
            <w:vAlign w:val="center"/>
          </w:tcPr>
          <w:p w14:paraId="68BD2773" w14:textId="77777777" w:rsidR="00CA3A1E" w:rsidRPr="00E56B85" w:rsidRDefault="00CA3A1E" w:rsidP="00A81ED7">
            <w:pPr>
              <w:spacing w:after="0" w:line="240" w:lineRule="auto"/>
              <w:jc w:val="center"/>
              <w:rPr>
                <w:sz w:val="20"/>
                <w:szCs w:val="20"/>
              </w:rPr>
            </w:pPr>
            <w:r w:rsidRPr="00E56B85">
              <w:rPr>
                <w:sz w:val="20"/>
                <w:szCs w:val="20"/>
              </w:rPr>
              <w:t>3.8</w:t>
            </w:r>
          </w:p>
        </w:tc>
        <w:tc>
          <w:tcPr>
            <w:tcW w:w="1373" w:type="dxa"/>
            <w:shd w:val="clear" w:color="auto" w:fill="F08080"/>
            <w:vAlign w:val="center"/>
          </w:tcPr>
          <w:p w14:paraId="3B9F4350" w14:textId="77777777" w:rsidR="00CA3A1E" w:rsidRPr="00E56B85" w:rsidRDefault="00CA3A1E" w:rsidP="00A81ED7">
            <w:pPr>
              <w:spacing w:after="0" w:line="240" w:lineRule="auto"/>
              <w:jc w:val="center"/>
              <w:rPr>
                <w:sz w:val="20"/>
                <w:szCs w:val="20"/>
              </w:rPr>
            </w:pPr>
            <w:r w:rsidRPr="00E56B85">
              <w:rPr>
                <w:sz w:val="20"/>
                <w:szCs w:val="20"/>
              </w:rPr>
              <w:t>6.4</w:t>
            </w:r>
          </w:p>
        </w:tc>
        <w:tc>
          <w:tcPr>
            <w:tcW w:w="1405" w:type="dxa"/>
            <w:shd w:val="clear" w:color="auto" w:fill="F08080"/>
            <w:vAlign w:val="center"/>
          </w:tcPr>
          <w:p w14:paraId="67E63A6A" w14:textId="77777777" w:rsidR="00CA3A1E" w:rsidRPr="00E56B85" w:rsidRDefault="00CA3A1E" w:rsidP="00A81ED7">
            <w:pPr>
              <w:spacing w:after="0" w:line="240" w:lineRule="auto"/>
              <w:jc w:val="center"/>
              <w:rPr>
                <w:sz w:val="20"/>
                <w:szCs w:val="20"/>
              </w:rPr>
            </w:pPr>
            <w:r w:rsidRPr="00E56B85">
              <w:rPr>
                <w:sz w:val="20"/>
                <w:szCs w:val="20"/>
              </w:rPr>
              <w:t>4.1</w:t>
            </w:r>
          </w:p>
        </w:tc>
        <w:tc>
          <w:tcPr>
            <w:tcW w:w="1405" w:type="dxa"/>
            <w:shd w:val="clear" w:color="auto" w:fill="F08080"/>
            <w:vAlign w:val="center"/>
          </w:tcPr>
          <w:p w14:paraId="065BD2FF" w14:textId="77777777" w:rsidR="00CA3A1E" w:rsidRPr="00E56B85" w:rsidRDefault="00CA3A1E" w:rsidP="00A81ED7">
            <w:pPr>
              <w:spacing w:after="0" w:line="240" w:lineRule="auto"/>
              <w:jc w:val="center"/>
              <w:rPr>
                <w:sz w:val="20"/>
                <w:szCs w:val="20"/>
              </w:rPr>
            </w:pPr>
            <w:r w:rsidRPr="00E56B85">
              <w:rPr>
                <w:sz w:val="20"/>
                <w:szCs w:val="20"/>
              </w:rPr>
              <w:t>6.0</w:t>
            </w:r>
          </w:p>
        </w:tc>
        <w:tc>
          <w:tcPr>
            <w:tcW w:w="1406" w:type="dxa"/>
            <w:tcBorders>
              <w:right w:val="single" w:sz="4" w:space="0" w:color="FFFFFF" w:themeColor="background1"/>
            </w:tcBorders>
            <w:shd w:val="clear" w:color="auto" w:fill="F08080"/>
            <w:vAlign w:val="center"/>
          </w:tcPr>
          <w:p w14:paraId="0BBA35FD" w14:textId="77777777" w:rsidR="00CA3A1E" w:rsidRPr="00E56B85" w:rsidRDefault="00CA3A1E" w:rsidP="00A81ED7">
            <w:pPr>
              <w:spacing w:after="0" w:line="240" w:lineRule="auto"/>
              <w:jc w:val="center"/>
              <w:rPr>
                <w:sz w:val="20"/>
                <w:szCs w:val="20"/>
              </w:rPr>
            </w:pPr>
            <w:r w:rsidRPr="00E56B85">
              <w:rPr>
                <w:sz w:val="20"/>
                <w:szCs w:val="20"/>
              </w:rPr>
              <w:t>2.8</w:t>
            </w:r>
          </w:p>
        </w:tc>
        <w:tc>
          <w:tcPr>
            <w:tcW w:w="1406" w:type="dxa"/>
            <w:tcBorders>
              <w:left w:val="single" w:sz="4" w:space="0" w:color="FFFFFF" w:themeColor="background1"/>
            </w:tcBorders>
            <w:shd w:val="clear" w:color="auto" w:fill="F08080"/>
            <w:vAlign w:val="center"/>
          </w:tcPr>
          <w:p w14:paraId="01B5EAFA"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08080"/>
            <w:vAlign w:val="center"/>
          </w:tcPr>
          <w:p w14:paraId="3B0437E9"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08080"/>
            <w:vAlign w:val="center"/>
          </w:tcPr>
          <w:p w14:paraId="2BE1BD3D"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5.4</w:t>
            </w:r>
          </w:p>
        </w:tc>
      </w:tr>
      <w:tr w:rsidR="00CA3A1E" w:rsidRPr="00E56B85" w14:paraId="7E2ECC32" w14:textId="77777777" w:rsidTr="007A5CC1">
        <w:trPr>
          <w:trHeight w:val="489"/>
        </w:trPr>
        <w:tc>
          <w:tcPr>
            <w:tcW w:w="2903" w:type="dxa"/>
            <w:vAlign w:val="center"/>
          </w:tcPr>
          <w:p w14:paraId="552880CF"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Jobs</w:t>
            </w:r>
          </w:p>
        </w:tc>
        <w:tc>
          <w:tcPr>
            <w:tcW w:w="1424" w:type="dxa"/>
            <w:shd w:val="clear" w:color="auto" w:fill="FFFFE0"/>
            <w:vAlign w:val="center"/>
          </w:tcPr>
          <w:p w14:paraId="0DE26F60" w14:textId="77777777" w:rsidR="00CA3A1E" w:rsidRPr="00E56B85" w:rsidRDefault="00CA3A1E" w:rsidP="00A81ED7">
            <w:pPr>
              <w:spacing w:after="0" w:line="240" w:lineRule="auto"/>
              <w:jc w:val="center"/>
              <w:rPr>
                <w:sz w:val="20"/>
                <w:szCs w:val="20"/>
              </w:rPr>
            </w:pPr>
            <w:r w:rsidRPr="00E56B85">
              <w:rPr>
                <w:sz w:val="20"/>
                <w:szCs w:val="20"/>
              </w:rPr>
              <w:t>8.0</w:t>
            </w:r>
          </w:p>
        </w:tc>
        <w:tc>
          <w:tcPr>
            <w:tcW w:w="1405" w:type="dxa"/>
            <w:shd w:val="clear" w:color="auto" w:fill="FFFFE0"/>
            <w:vAlign w:val="center"/>
          </w:tcPr>
          <w:p w14:paraId="42D7781D" w14:textId="77777777" w:rsidR="00CA3A1E" w:rsidRPr="00E56B85" w:rsidRDefault="00CA3A1E" w:rsidP="00A81ED7">
            <w:pPr>
              <w:spacing w:after="0" w:line="240" w:lineRule="auto"/>
              <w:jc w:val="center"/>
              <w:rPr>
                <w:sz w:val="20"/>
                <w:szCs w:val="20"/>
              </w:rPr>
            </w:pPr>
            <w:r w:rsidRPr="00E56B85">
              <w:rPr>
                <w:sz w:val="20"/>
                <w:szCs w:val="20"/>
              </w:rPr>
              <w:t>8.2</w:t>
            </w:r>
          </w:p>
        </w:tc>
        <w:tc>
          <w:tcPr>
            <w:tcW w:w="1373" w:type="dxa"/>
            <w:shd w:val="clear" w:color="auto" w:fill="90EE90"/>
            <w:vAlign w:val="center"/>
          </w:tcPr>
          <w:p w14:paraId="5F27B9E3" w14:textId="77777777" w:rsidR="00CA3A1E" w:rsidRPr="00E56B85" w:rsidRDefault="00CA3A1E" w:rsidP="00A81ED7">
            <w:pPr>
              <w:spacing w:after="0" w:line="240" w:lineRule="auto"/>
              <w:jc w:val="center"/>
              <w:rPr>
                <w:sz w:val="20"/>
                <w:szCs w:val="20"/>
              </w:rPr>
            </w:pPr>
            <w:r w:rsidRPr="00E56B85">
              <w:rPr>
                <w:sz w:val="20"/>
                <w:szCs w:val="20"/>
              </w:rPr>
              <w:t>9.7</w:t>
            </w:r>
          </w:p>
        </w:tc>
        <w:tc>
          <w:tcPr>
            <w:tcW w:w="1405" w:type="dxa"/>
            <w:shd w:val="clear" w:color="auto" w:fill="FFFFE0"/>
            <w:vAlign w:val="center"/>
          </w:tcPr>
          <w:p w14:paraId="12133300" w14:textId="77777777" w:rsidR="00CA3A1E" w:rsidRPr="00E56B85" w:rsidRDefault="00CA3A1E" w:rsidP="00A81ED7">
            <w:pPr>
              <w:spacing w:after="0" w:line="240" w:lineRule="auto"/>
              <w:jc w:val="center"/>
              <w:rPr>
                <w:sz w:val="20"/>
                <w:szCs w:val="20"/>
              </w:rPr>
            </w:pPr>
            <w:r w:rsidRPr="00E56B85">
              <w:rPr>
                <w:sz w:val="20"/>
                <w:szCs w:val="20"/>
              </w:rPr>
              <w:t>8.1</w:t>
            </w:r>
          </w:p>
        </w:tc>
        <w:tc>
          <w:tcPr>
            <w:tcW w:w="1405" w:type="dxa"/>
            <w:shd w:val="clear" w:color="auto" w:fill="FFFFE0"/>
            <w:vAlign w:val="center"/>
          </w:tcPr>
          <w:p w14:paraId="0598524F" w14:textId="77777777" w:rsidR="00CA3A1E" w:rsidRPr="00E56B85" w:rsidRDefault="00CA3A1E" w:rsidP="00A81ED7">
            <w:pPr>
              <w:spacing w:after="0" w:line="240" w:lineRule="auto"/>
              <w:jc w:val="center"/>
              <w:rPr>
                <w:sz w:val="20"/>
                <w:szCs w:val="20"/>
              </w:rPr>
            </w:pPr>
            <w:r w:rsidRPr="00E56B85">
              <w:rPr>
                <w:sz w:val="20"/>
                <w:szCs w:val="20"/>
              </w:rPr>
              <w:t>8.3</w:t>
            </w:r>
          </w:p>
        </w:tc>
        <w:tc>
          <w:tcPr>
            <w:tcW w:w="1406" w:type="dxa"/>
            <w:tcBorders>
              <w:right w:val="single" w:sz="4" w:space="0" w:color="FFFFFF" w:themeColor="background1"/>
            </w:tcBorders>
            <w:shd w:val="clear" w:color="auto" w:fill="FFFFE0"/>
            <w:vAlign w:val="center"/>
          </w:tcPr>
          <w:p w14:paraId="3F9A42DE" w14:textId="77777777" w:rsidR="00CA3A1E" w:rsidRPr="00E56B85" w:rsidRDefault="00CA3A1E" w:rsidP="00A81ED7">
            <w:pPr>
              <w:spacing w:after="0" w:line="240" w:lineRule="auto"/>
              <w:jc w:val="center"/>
              <w:rPr>
                <w:sz w:val="20"/>
                <w:szCs w:val="20"/>
              </w:rPr>
            </w:pPr>
            <w:r w:rsidRPr="00E56B85">
              <w:rPr>
                <w:sz w:val="20"/>
                <w:szCs w:val="20"/>
              </w:rPr>
              <w:t>7.5</w:t>
            </w:r>
          </w:p>
        </w:tc>
        <w:tc>
          <w:tcPr>
            <w:tcW w:w="1406" w:type="dxa"/>
            <w:tcBorders>
              <w:left w:val="single" w:sz="4" w:space="0" w:color="FFFFFF" w:themeColor="background1"/>
            </w:tcBorders>
            <w:shd w:val="clear" w:color="auto" w:fill="FFFFE0"/>
            <w:vAlign w:val="center"/>
          </w:tcPr>
          <w:p w14:paraId="1C0411E5"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FFFE0"/>
            <w:vAlign w:val="center"/>
          </w:tcPr>
          <w:p w14:paraId="632F5076"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FFFE0"/>
            <w:vAlign w:val="center"/>
          </w:tcPr>
          <w:p w14:paraId="292EA9A4"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8.4</w:t>
            </w:r>
          </w:p>
        </w:tc>
      </w:tr>
      <w:tr w:rsidR="007A5CC1" w:rsidRPr="00E56B85" w14:paraId="2F6B76CC" w14:textId="77777777" w:rsidTr="007A5CC1">
        <w:trPr>
          <w:trHeight w:val="489"/>
        </w:trPr>
        <w:tc>
          <w:tcPr>
            <w:tcW w:w="2903" w:type="dxa"/>
            <w:shd w:val="clear" w:color="auto" w:fill="F2F2F2" w:themeFill="background1" w:themeFillShade="F2"/>
            <w:vAlign w:val="center"/>
          </w:tcPr>
          <w:p w14:paraId="645C8F46"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Community</w:t>
            </w:r>
          </w:p>
        </w:tc>
        <w:tc>
          <w:tcPr>
            <w:tcW w:w="1424" w:type="dxa"/>
            <w:shd w:val="clear" w:color="auto" w:fill="F08080"/>
            <w:vAlign w:val="center"/>
          </w:tcPr>
          <w:p w14:paraId="4DF16D09" w14:textId="77777777" w:rsidR="00CA3A1E" w:rsidRPr="00E56B85" w:rsidRDefault="00CA3A1E" w:rsidP="00A81ED7">
            <w:pPr>
              <w:spacing w:after="0" w:line="240" w:lineRule="auto"/>
              <w:jc w:val="center"/>
              <w:rPr>
                <w:sz w:val="20"/>
                <w:szCs w:val="20"/>
              </w:rPr>
            </w:pPr>
            <w:r w:rsidRPr="00E56B85">
              <w:rPr>
                <w:sz w:val="20"/>
                <w:szCs w:val="20"/>
              </w:rPr>
              <w:t>6.0</w:t>
            </w:r>
          </w:p>
        </w:tc>
        <w:tc>
          <w:tcPr>
            <w:tcW w:w="1405" w:type="dxa"/>
            <w:shd w:val="clear" w:color="auto" w:fill="FFFFE0"/>
            <w:vAlign w:val="center"/>
          </w:tcPr>
          <w:p w14:paraId="41F0CEBB" w14:textId="77777777" w:rsidR="00CA3A1E" w:rsidRPr="00E56B85" w:rsidRDefault="00CA3A1E" w:rsidP="00A81ED7">
            <w:pPr>
              <w:spacing w:after="0" w:line="240" w:lineRule="auto"/>
              <w:jc w:val="center"/>
              <w:rPr>
                <w:sz w:val="20"/>
                <w:szCs w:val="20"/>
              </w:rPr>
            </w:pPr>
            <w:r w:rsidRPr="00E56B85">
              <w:rPr>
                <w:sz w:val="20"/>
                <w:szCs w:val="20"/>
              </w:rPr>
              <w:t>8.9</w:t>
            </w:r>
          </w:p>
        </w:tc>
        <w:tc>
          <w:tcPr>
            <w:tcW w:w="1373" w:type="dxa"/>
            <w:shd w:val="clear" w:color="auto" w:fill="90EE90"/>
            <w:vAlign w:val="center"/>
          </w:tcPr>
          <w:p w14:paraId="4E37BB51" w14:textId="77777777" w:rsidR="00CA3A1E" w:rsidRPr="00E56B85" w:rsidRDefault="00CA3A1E" w:rsidP="00A81ED7">
            <w:pPr>
              <w:spacing w:after="0" w:line="240" w:lineRule="auto"/>
              <w:jc w:val="center"/>
              <w:rPr>
                <w:sz w:val="20"/>
                <w:szCs w:val="20"/>
              </w:rPr>
            </w:pPr>
            <w:r w:rsidRPr="00E56B85">
              <w:rPr>
                <w:sz w:val="20"/>
                <w:szCs w:val="20"/>
              </w:rPr>
              <w:t>10.0</w:t>
            </w:r>
          </w:p>
        </w:tc>
        <w:tc>
          <w:tcPr>
            <w:tcW w:w="1405" w:type="dxa"/>
            <w:shd w:val="clear" w:color="auto" w:fill="FFFFE0"/>
            <w:vAlign w:val="center"/>
          </w:tcPr>
          <w:p w14:paraId="4B19F508" w14:textId="77777777" w:rsidR="00CA3A1E" w:rsidRPr="00E56B85" w:rsidRDefault="00CA3A1E" w:rsidP="00A81ED7">
            <w:pPr>
              <w:spacing w:after="0" w:line="240" w:lineRule="auto"/>
              <w:jc w:val="center"/>
              <w:rPr>
                <w:sz w:val="20"/>
                <w:szCs w:val="20"/>
              </w:rPr>
            </w:pPr>
            <w:r w:rsidRPr="00E56B85">
              <w:rPr>
                <w:sz w:val="20"/>
                <w:szCs w:val="20"/>
              </w:rPr>
              <w:t>8.9</w:t>
            </w:r>
          </w:p>
        </w:tc>
        <w:tc>
          <w:tcPr>
            <w:tcW w:w="1405" w:type="dxa"/>
            <w:shd w:val="clear" w:color="auto" w:fill="FFFFE0"/>
            <w:vAlign w:val="center"/>
          </w:tcPr>
          <w:p w14:paraId="3DDA0F3F" w14:textId="77777777" w:rsidR="00CA3A1E" w:rsidRPr="00E56B85" w:rsidRDefault="00CA3A1E" w:rsidP="00A81ED7">
            <w:pPr>
              <w:spacing w:after="0" w:line="240" w:lineRule="auto"/>
              <w:jc w:val="center"/>
              <w:rPr>
                <w:sz w:val="20"/>
                <w:szCs w:val="20"/>
              </w:rPr>
            </w:pPr>
            <w:r w:rsidRPr="00E56B85">
              <w:rPr>
                <w:sz w:val="20"/>
                <w:szCs w:val="20"/>
              </w:rPr>
              <w:t>8.5</w:t>
            </w:r>
          </w:p>
        </w:tc>
        <w:tc>
          <w:tcPr>
            <w:tcW w:w="1406" w:type="dxa"/>
            <w:tcBorders>
              <w:right w:val="single" w:sz="4" w:space="0" w:color="FFFFFF" w:themeColor="background1"/>
            </w:tcBorders>
            <w:shd w:val="clear" w:color="auto" w:fill="FFFFE0"/>
            <w:vAlign w:val="center"/>
          </w:tcPr>
          <w:p w14:paraId="7187A778" w14:textId="77777777" w:rsidR="00CA3A1E" w:rsidRPr="00E56B85" w:rsidRDefault="00CA3A1E" w:rsidP="00A81ED7">
            <w:pPr>
              <w:spacing w:after="0" w:line="240" w:lineRule="auto"/>
              <w:jc w:val="center"/>
              <w:rPr>
                <w:sz w:val="20"/>
                <w:szCs w:val="20"/>
              </w:rPr>
            </w:pPr>
            <w:r w:rsidRPr="00E56B85">
              <w:rPr>
                <w:sz w:val="20"/>
                <w:szCs w:val="20"/>
              </w:rPr>
              <w:t>8.5</w:t>
            </w:r>
          </w:p>
        </w:tc>
        <w:tc>
          <w:tcPr>
            <w:tcW w:w="1406" w:type="dxa"/>
            <w:tcBorders>
              <w:left w:val="single" w:sz="4" w:space="0" w:color="FFFFFF" w:themeColor="background1"/>
            </w:tcBorders>
            <w:shd w:val="clear" w:color="auto" w:fill="FFFFE0"/>
            <w:vAlign w:val="center"/>
          </w:tcPr>
          <w:p w14:paraId="7C30A0A6"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FFFE0"/>
            <w:vAlign w:val="center"/>
          </w:tcPr>
          <w:p w14:paraId="708FFC75"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FFFE0"/>
            <w:vAlign w:val="center"/>
          </w:tcPr>
          <w:p w14:paraId="5ED513F5"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7.3</w:t>
            </w:r>
          </w:p>
        </w:tc>
      </w:tr>
      <w:tr w:rsidR="00CA3A1E" w:rsidRPr="00E56B85" w14:paraId="065F2A8D" w14:textId="77777777" w:rsidTr="007A5CC1">
        <w:trPr>
          <w:trHeight w:val="489"/>
        </w:trPr>
        <w:tc>
          <w:tcPr>
            <w:tcW w:w="2903" w:type="dxa"/>
            <w:vAlign w:val="center"/>
          </w:tcPr>
          <w:p w14:paraId="48B92CF3"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Education</w:t>
            </w:r>
          </w:p>
        </w:tc>
        <w:tc>
          <w:tcPr>
            <w:tcW w:w="1424" w:type="dxa"/>
            <w:shd w:val="clear" w:color="auto" w:fill="FFFFE0"/>
            <w:vAlign w:val="center"/>
          </w:tcPr>
          <w:p w14:paraId="02FE5301" w14:textId="77777777" w:rsidR="00CA3A1E" w:rsidRPr="00E56B85" w:rsidRDefault="00CA3A1E" w:rsidP="00A81ED7">
            <w:pPr>
              <w:spacing w:after="0" w:line="240" w:lineRule="auto"/>
              <w:jc w:val="center"/>
              <w:rPr>
                <w:sz w:val="20"/>
                <w:szCs w:val="20"/>
              </w:rPr>
            </w:pPr>
            <w:r w:rsidRPr="00E56B85">
              <w:rPr>
                <w:sz w:val="20"/>
                <w:szCs w:val="20"/>
              </w:rPr>
              <w:t>7.9</w:t>
            </w:r>
          </w:p>
        </w:tc>
        <w:tc>
          <w:tcPr>
            <w:tcW w:w="1405" w:type="dxa"/>
            <w:shd w:val="clear" w:color="auto" w:fill="90EE90"/>
            <w:vAlign w:val="center"/>
          </w:tcPr>
          <w:p w14:paraId="71C2EFFA" w14:textId="77777777" w:rsidR="00CA3A1E" w:rsidRPr="00E56B85" w:rsidRDefault="00CA3A1E" w:rsidP="00A81ED7">
            <w:pPr>
              <w:spacing w:after="0" w:line="240" w:lineRule="auto"/>
              <w:jc w:val="center"/>
              <w:rPr>
                <w:sz w:val="20"/>
                <w:szCs w:val="20"/>
              </w:rPr>
            </w:pPr>
            <w:r w:rsidRPr="00E56B85">
              <w:rPr>
                <w:sz w:val="20"/>
                <w:szCs w:val="20"/>
              </w:rPr>
              <w:t>9.2</w:t>
            </w:r>
          </w:p>
        </w:tc>
        <w:tc>
          <w:tcPr>
            <w:tcW w:w="1373" w:type="dxa"/>
            <w:shd w:val="clear" w:color="auto" w:fill="F08080"/>
            <w:vAlign w:val="center"/>
          </w:tcPr>
          <w:p w14:paraId="5E7D46E0" w14:textId="77777777" w:rsidR="00CA3A1E" w:rsidRPr="00E56B85" w:rsidRDefault="00CA3A1E" w:rsidP="00A81ED7">
            <w:pPr>
              <w:spacing w:after="0" w:line="240" w:lineRule="auto"/>
              <w:jc w:val="center"/>
              <w:rPr>
                <w:sz w:val="20"/>
                <w:szCs w:val="20"/>
              </w:rPr>
            </w:pPr>
            <w:r w:rsidRPr="00E56B85">
              <w:rPr>
                <w:sz w:val="20"/>
                <w:szCs w:val="20"/>
              </w:rPr>
              <w:t>6.8</w:t>
            </w:r>
          </w:p>
        </w:tc>
        <w:tc>
          <w:tcPr>
            <w:tcW w:w="1405" w:type="dxa"/>
            <w:shd w:val="clear" w:color="auto" w:fill="FFFFE0"/>
            <w:vAlign w:val="center"/>
          </w:tcPr>
          <w:p w14:paraId="0714F64A" w14:textId="77777777" w:rsidR="00CA3A1E" w:rsidRPr="00E56B85" w:rsidRDefault="00CA3A1E" w:rsidP="00A81ED7">
            <w:pPr>
              <w:spacing w:after="0" w:line="240" w:lineRule="auto"/>
              <w:jc w:val="center"/>
              <w:rPr>
                <w:sz w:val="20"/>
                <w:szCs w:val="20"/>
              </w:rPr>
            </w:pPr>
            <w:r w:rsidRPr="00E56B85">
              <w:rPr>
                <w:sz w:val="20"/>
                <w:szCs w:val="20"/>
              </w:rPr>
              <w:t>7.6</w:t>
            </w:r>
          </w:p>
        </w:tc>
        <w:tc>
          <w:tcPr>
            <w:tcW w:w="1405" w:type="dxa"/>
            <w:shd w:val="clear" w:color="auto" w:fill="FFFFE0"/>
            <w:vAlign w:val="center"/>
          </w:tcPr>
          <w:p w14:paraId="4A393279" w14:textId="77777777" w:rsidR="00CA3A1E" w:rsidRPr="00E56B85" w:rsidRDefault="00CA3A1E" w:rsidP="00A81ED7">
            <w:pPr>
              <w:spacing w:after="0" w:line="240" w:lineRule="auto"/>
              <w:jc w:val="center"/>
              <w:rPr>
                <w:sz w:val="20"/>
                <w:szCs w:val="20"/>
              </w:rPr>
            </w:pPr>
            <w:r w:rsidRPr="00E56B85">
              <w:rPr>
                <w:sz w:val="20"/>
                <w:szCs w:val="20"/>
              </w:rPr>
              <w:t>7.0</w:t>
            </w:r>
          </w:p>
        </w:tc>
        <w:tc>
          <w:tcPr>
            <w:tcW w:w="1406" w:type="dxa"/>
            <w:tcBorders>
              <w:right w:val="single" w:sz="4" w:space="0" w:color="FFFFFF" w:themeColor="background1"/>
            </w:tcBorders>
            <w:shd w:val="clear" w:color="auto" w:fill="FFFFE0"/>
            <w:vAlign w:val="center"/>
          </w:tcPr>
          <w:p w14:paraId="0F5231A3" w14:textId="77777777" w:rsidR="00CA3A1E" w:rsidRPr="00E56B85" w:rsidRDefault="00CA3A1E" w:rsidP="00A81ED7">
            <w:pPr>
              <w:spacing w:after="0" w:line="240" w:lineRule="auto"/>
              <w:jc w:val="center"/>
              <w:rPr>
                <w:sz w:val="20"/>
                <w:szCs w:val="20"/>
              </w:rPr>
            </w:pPr>
            <w:r w:rsidRPr="00E56B85">
              <w:rPr>
                <w:sz w:val="20"/>
                <w:szCs w:val="20"/>
              </w:rPr>
              <w:t>8.1</w:t>
            </w:r>
          </w:p>
        </w:tc>
        <w:tc>
          <w:tcPr>
            <w:tcW w:w="1406" w:type="dxa"/>
            <w:tcBorders>
              <w:left w:val="single" w:sz="4" w:space="0" w:color="FFFFFF" w:themeColor="background1"/>
            </w:tcBorders>
            <w:shd w:val="clear" w:color="auto" w:fill="F08080"/>
            <w:vAlign w:val="center"/>
          </w:tcPr>
          <w:p w14:paraId="5F470059"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08080"/>
            <w:vAlign w:val="center"/>
          </w:tcPr>
          <w:p w14:paraId="41E530C5"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08080"/>
            <w:vAlign w:val="center"/>
          </w:tcPr>
          <w:p w14:paraId="108CD8A0"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6.7</w:t>
            </w:r>
          </w:p>
        </w:tc>
      </w:tr>
      <w:tr w:rsidR="00CA3A1E" w:rsidRPr="00E56B85" w14:paraId="01805EEC" w14:textId="77777777" w:rsidTr="007A5CC1">
        <w:trPr>
          <w:trHeight w:val="489"/>
        </w:trPr>
        <w:tc>
          <w:tcPr>
            <w:tcW w:w="2903" w:type="dxa"/>
            <w:shd w:val="clear" w:color="auto" w:fill="F2F2F2" w:themeFill="background1" w:themeFillShade="F2"/>
            <w:vAlign w:val="center"/>
          </w:tcPr>
          <w:p w14:paraId="0BF00E16"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Environment</w:t>
            </w:r>
          </w:p>
        </w:tc>
        <w:tc>
          <w:tcPr>
            <w:tcW w:w="1424" w:type="dxa"/>
            <w:shd w:val="clear" w:color="auto" w:fill="F08080"/>
            <w:vAlign w:val="center"/>
          </w:tcPr>
          <w:p w14:paraId="13591193" w14:textId="77777777" w:rsidR="00CA3A1E" w:rsidRPr="00E56B85" w:rsidRDefault="00CA3A1E" w:rsidP="00A81ED7">
            <w:pPr>
              <w:spacing w:after="0" w:line="240" w:lineRule="auto"/>
              <w:jc w:val="center"/>
              <w:rPr>
                <w:sz w:val="20"/>
                <w:szCs w:val="20"/>
              </w:rPr>
            </w:pPr>
            <w:r w:rsidRPr="00E56B85">
              <w:rPr>
                <w:sz w:val="20"/>
                <w:szCs w:val="20"/>
              </w:rPr>
              <w:t>5.8</w:t>
            </w:r>
          </w:p>
        </w:tc>
        <w:tc>
          <w:tcPr>
            <w:tcW w:w="1405" w:type="dxa"/>
            <w:shd w:val="clear" w:color="auto" w:fill="90EE90"/>
            <w:vAlign w:val="center"/>
          </w:tcPr>
          <w:p w14:paraId="5B03F4FD" w14:textId="77777777" w:rsidR="00CA3A1E" w:rsidRPr="00E56B85" w:rsidRDefault="00CA3A1E" w:rsidP="00A81ED7">
            <w:pPr>
              <w:spacing w:after="0" w:line="240" w:lineRule="auto"/>
              <w:jc w:val="center"/>
              <w:rPr>
                <w:sz w:val="20"/>
                <w:szCs w:val="20"/>
              </w:rPr>
            </w:pPr>
            <w:r w:rsidRPr="00E56B85">
              <w:rPr>
                <w:sz w:val="20"/>
                <w:szCs w:val="20"/>
              </w:rPr>
              <w:t>9.8</w:t>
            </w:r>
          </w:p>
        </w:tc>
        <w:tc>
          <w:tcPr>
            <w:tcW w:w="1373" w:type="dxa"/>
            <w:shd w:val="clear" w:color="auto" w:fill="90EE90"/>
            <w:vAlign w:val="center"/>
          </w:tcPr>
          <w:p w14:paraId="41DA7DC7" w14:textId="77777777" w:rsidR="00CA3A1E" w:rsidRPr="00E56B85" w:rsidRDefault="00CA3A1E" w:rsidP="00A81ED7">
            <w:pPr>
              <w:spacing w:after="0" w:line="240" w:lineRule="auto"/>
              <w:jc w:val="center"/>
              <w:rPr>
                <w:sz w:val="20"/>
                <w:szCs w:val="20"/>
              </w:rPr>
            </w:pPr>
            <w:r w:rsidRPr="00E56B85">
              <w:rPr>
                <w:sz w:val="20"/>
                <w:szCs w:val="20"/>
              </w:rPr>
              <w:t>9.7</w:t>
            </w:r>
          </w:p>
        </w:tc>
        <w:tc>
          <w:tcPr>
            <w:tcW w:w="1405" w:type="dxa"/>
            <w:shd w:val="clear" w:color="auto" w:fill="FFFFE0"/>
            <w:vAlign w:val="center"/>
          </w:tcPr>
          <w:p w14:paraId="76181C66" w14:textId="77777777" w:rsidR="00CA3A1E" w:rsidRPr="00E56B85" w:rsidRDefault="00CA3A1E" w:rsidP="00A81ED7">
            <w:pPr>
              <w:spacing w:after="0" w:line="240" w:lineRule="auto"/>
              <w:jc w:val="center"/>
              <w:rPr>
                <w:sz w:val="20"/>
                <w:szCs w:val="20"/>
              </w:rPr>
            </w:pPr>
            <w:r w:rsidRPr="00E56B85">
              <w:rPr>
                <w:sz w:val="20"/>
                <w:szCs w:val="20"/>
              </w:rPr>
              <w:t>7.1</w:t>
            </w:r>
          </w:p>
        </w:tc>
        <w:tc>
          <w:tcPr>
            <w:tcW w:w="1405" w:type="dxa"/>
            <w:shd w:val="clear" w:color="auto" w:fill="FFFFE0"/>
            <w:vAlign w:val="center"/>
          </w:tcPr>
          <w:p w14:paraId="16065E7B" w14:textId="77777777" w:rsidR="00CA3A1E" w:rsidRPr="00E56B85" w:rsidRDefault="00CA3A1E" w:rsidP="00A81ED7">
            <w:pPr>
              <w:spacing w:after="0" w:line="240" w:lineRule="auto"/>
              <w:jc w:val="center"/>
              <w:rPr>
                <w:sz w:val="20"/>
                <w:szCs w:val="20"/>
              </w:rPr>
            </w:pPr>
            <w:r w:rsidRPr="00E56B85">
              <w:rPr>
                <w:sz w:val="20"/>
                <w:szCs w:val="20"/>
              </w:rPr>
              <w:t>8.1</w:t>
            </w:r>
          </w:p>
        </w:tc>
        <w:tc>
          <w:tcPr>
            <w:tcW w:w="1406" w:type="dxa"/>
            <w:tcBorders>
              <w:right w:val="single" w:sz="4" w:space="0" w:color="FFFFFF" w:themeColor="background1"/>
            </w:tcBorders>
            <w:shd w:val="clear" w:color="auto" w:fill="F08080"/>
            <w:vAlign w:val="center"/>
          </w:tcPr>
          <w:p w14:paraId="0D635E0B" w14:textId="77777777" w:rsidR="00CA3A1E" w:rsidRPr="00E56B85" w:rsidRDefault="00CA3A1E" w:rsidP="00A81ED7">
            <w:pPr>
              <w:spacing w:after="0" w:line="240" w:lineRule="auto"/>
              <w:jc w:val="center"/>
              <w:rPr>
                <w:sz w:val="20"/>
                <w:szCs w:val="20"/>
              </w:rPr>
            </w:pPr>
            <w:r w:rsidRPr="00E56B85">
              <w:rPr>
                <w:sz w:val="20"/>
                <w:szCs w:val="20"/>
              </w:rPr>
              <w:t>6.8</w:t>
            </w:r>
          </w:p>
        </w:tc>
        <w:tc>
          <w:tcPr>
            <w:tcW w:w="1406" w:type="dxa"/>
            <w:tcBorders>
              <w:left w:val="single" w:sz="4" w:space="0" w:color="FFFFFF" w:themeColor="background1"/>
            </w:tcBorders>
            <w:shd w:val="clear" w:color="auto" w:fill="F08080"/>
            <w:vAlign w:val="center"/>
          </w:tcPr>
          <w:p w14:paraId="381B78CE"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08080"/>
            <w:vAlign w:val="center"/>
          </w:tcPr>
          <w:p w14:paraId="10F64224"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08080"/>
            <w:vAlign w:val="center"/>
          </w:tcPr>
          <w:p w14:paraId="5254279C"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6.8</w:t>
            </w:r>
          </w:p>
        </w:tc>
      </w:tr>
      <w:tr w:rsidR="00CA3A1E" w:rsidRPr="00E56B85" w14:paraId="6C643E68" w14:textId="77777777" w:rsidTr="007A5CC1">
        <w:trPr>
          <w:trHeight w:val="489"/>
        </w:trPr>
        <w:tc>
          <w:tcPr>
            <w:tcW w:w="2903" w:type="dxa"/>
            <w:vAlign w:val="center"/>
          </w:tcPr>
          <w:p w14:paraId="34C62FA5"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Civic engagement</w:t>
            </w:r>
          </w:p>
        </w:tc>
        <w:tc>
          <w:tcPr>
            <w:tcW w:w="1424" w:type="dxa"/>
            <w:shd w:val="clear" w:color="auto" w:fill="FFFFE0"/>
            <w:vAlign w:val="center"/>
          </w:tcPr>
          <w:p w14:paraId="321E915A" w14:textId="77777777" w:rsidR="00CA3A1E" w:rsidRPr="00E56B85" w:rsidRDefault="00CA3A1E" w:rsidP="00A81ED7">
            <w:pPr>
              <w:spacing w:after="0" w:line="240" w:lineRule="auto"/>
              <w:jc w:val="center"/>
              <w:rPr>
                <w:sz w:val="20"/>
                <w:szCs w:val="20"/>
              </w:rPr>
            </w:pPr>
            <w:r w:rsidRPr="00E56B85">
              <w:rPr>
                <w:sz w:val="20"/>
                <w:szCs w:val="20"/>
              </w:rPr>
              <w:t>7.2</w:t>
            </w:r>
          </w:p>
        </w:tc>
        <w:tc>
          <w:tcPr>
            <w:tcW w:w="1405" w:type="dxa"/>
            <w:shd w:val="clear" w:color="auto" w:fill="F08080"/>
            <w:vAlign w:val="center"/>
          </w:tcPr>
          <w:p w14:paraId="59BB08D1" w14:textId="77777777" w:rsidR="00CA3A1E" w:rsidRPr="00E56B85" w:rsidRDefault="00CA3A1E" w:rsidP="00A81ED7">
            <w:pPr>
              <w:spacing w:after="0" w:line="240" w:lineRule="auto"/>
              <w:jc w:val="center"/>
              <w:rPr>
                <w:sz w:val="20"/>
                <w:szCs w:val="20"/>
              </w:rPr>
            </w:pPr>
            <w:r w:rsidRPr="00E56B85">
              <w:rPr>
                <w:sz w:val="20"/>
                <w:szCs w:val="20"/>
              </w:rPr>
              <w:t>5.4</w:t>
            </w:r>
          </w:p>
        </w:tc>
        <w:tc>
          <w:tcPr>
            <w:tcW w:w="1373" w:type="dxa"/>
            <w:shd w:val="clear" w:color="auto" w:fill="F08080"/>
            <w:vAlign w:val="center"/>
          </w:tcPr>
          <w:p w14:paraId="774E1752" w14:textId="77777777" w:rsidR="00CA3A1E" w:rsidRPr="00E56B85" w:rsidRDefault="00CA3A1E" w:rsidP="00A81ED7">
            <w:pPr>
              <w:spacing w:after="0" w:line="240" w:lineRule="auto"/>
              <w:jc w:val="center"/>
              <w:rPr>
                <w:sz w:val="20"/>
                <w:szCs w:val="20"/>
              </w:rPr>
            </w:pPr>
            <w:r w:rsidRPr="00E56B85">
              <w:rPr>
                <w:sz w:val="20"/>
                <w:szCs w:val="20"/>
              </w:rPr>
              <w:t>6.6</w:t>
            </w:r>
          </w:p>
        </w:tc>
        <w:tc>
          <w:tcPr>
            <w:tcW w:w="1405" w:type="dxa"/>
            <w:shd w:val="clear" w:color="auto" w:fill="F08080"/>
            <w:vAlign w:val="center"/>
          </w:tcPr>
          <w:p w14:paraId="09E1A1C6" w14:textId="77777777" w:rsidR="00CA3A1E" w:rsidRPr="00E56B85" w:rsidRDefault="00CA3A1E" w:rsidP="00A81ED7">
            <w:pPr>
              <w:spacing w:after="0" w:line="240" w:lineRule="auto"/>
              <w:jc w:val="center"/>
              <w:rPr>
                <w:sz w:val="20"/>
                <w:szCs w:val="20"/>
              </w:rPr>
            </w:pPr>
            <w:r w:rsidRPr="00E56B85">
              <w:rPr>
                <w:sz w:val="20"/>
                <w:szCs w:val="20"/>
              </w:rPr>
              <w:t>2.9</w:t>
            </w:r>
          </w:p>
        </w:tc>
        <w:tc>
          <w:tcPr>
            <w:tcW w:w="1405" w:type="dxa"/>
            <w:shd w:val="clear" w:color="auto" w:fill="FFFFE0"/>
            <w:vAlign w:val="center"/>
          </w:tcPr>
          <w:p w14:paraId="3007DB82" w14:textId="77777777" w:rsidR="00CA3A1E" w:rsidRPr="00E56B85" w:rsidRDefault="00CA3A1E" w:rsidP="00A81ED7">
            <w:pPr>
              <w:spacing w:after="0" w:line="240" w:lineRule="auto"/>
              <w:jc w:val="center"/>
              <w:rPr>
                <w:sz w:val="20"/>
                <w:szCs w:val="20"/>
              </w:rPr>
            </w:pPr>
            <w:r w:rsidRPr="00E56B85">
              <w:rPr>
                <w:sz w:val="20"/>
                <w:szCs w:val="20"/>
              </w:rPr>
              <w:t>7.5</w:t>
            </w:r>
          </w:p>
        </w:tc>
        <w:tc>
          <w:tcPr>
            <w:tcW w:w="1406" w:type="dxa"/>
            <w:tcBorders>
              <w:right w:val="single" w:sz="4" w:space="0" w:color="FFFFFF" w:themeColor="background1"/>
            </w:tcBorders>
            <w:shd w:val="clear" w:color="auto" w:fill="F08080"/>
            <w:vAlign w:val="center"/>
          </w:tcPr>
          <w:p w14:paraId="387CD501" w14:textId="77777777" w:rsidR="00CA3A1E" w:rsidRPr="00E56B85" w:rsidRDefault="00CA3A1E" w:rsidP="00A81ED7">
            <w:pPr>
              <w:spacing w:after="0" w:line="240" w:lineRule="auto"/>
              <w:jc w:val="center"/>
              <w:rPr>
                <w:sz w:val="20"/>
                <w:szCs w:val="20"/>
              </w:rPr>
            </w:pPr>
            <w:r w:rsidRPr="00E56B85">
              <w:rPr>
                <w:sz w:val="20"/>
                <w:szCs w:val="20"/>
              </w:rPr>
              <w:t>4.3</w:t>
            </w:r>
          </w:p>
        </w:tc>
        <w:tc>
          <w:tcPr>
            <w:tcW w:w="1406" w:type="dxa"/>
            <w:tcBorders>
              <w:left w:val="single" w:sz="4" w:space="0" w:color="FFFFFF" w:themeColor="background1"/>
            </w:tcBorders>
            <w:shd w:val="clear" w:color="auto" w:fill="FFFFE0"/>
            <w:vAlign w:val="center"/>
          </w:tcPr>
          <w:p w14:paraId="28046BD8"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FFFE0"/>
            <w:vAlign w:val="center"/>
          </w:tcPr>
          <w:p w14:paraId="4CAA0733"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FFFE0"/>
            <w:vAlign w:val="center"/>
          </w:tcPr>
          <w:p w14:paraId="31E2FF2D"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7.1</w:t>
            </w:r>
          </w:p>
        </w:tc>
      </w:tr>
      <w:tr w:rsidR="007A5CC1" w:rsidRPr="00E56B85" w14:paraId="6BE8AC37" w14:textId="77777777" w:rsidTr="007A5CC1">
        <w:trPr>
          <w:trHeight w:val="489"/>
        </w:trPr>
        <w:tc>
          <w:tcPr>
            <w:tcW w:w="2903" w:type="dxa"/>
            <w:shd w:val="clear" w:color="auto" w:fill="F2F2F2" w:themeFill="background1" w:themeFillShade="F2"/>
            <w:vAlign w:val="center"/>
          </w:tcPr>
          <w:p w14:paraId="5CBB0C8C"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Health</w:t>
            </w:r>
          </w:p>
        </w:tc>
        <w:tc>
          <w:tcPr>
            <w:tcW w:w="1424" w:type="dxa"/>
            <w:shd w:val="clear" w:color="auto" w:fill="FFFFE0"/>
            <w:vAlign w:val="center"/>
          </w:tcPr>
          <w:p w14:paraId="0EDD3EF0" w14:textId="77777777" w:rsidR="00CA3A1E" w:rsidRPr="00E56B85" w:rsidRDefault="00CA3A1E" w:rsidP="00A81ED7">
            <w:pPr>
              <w:spacing w:after="0" w:line="240" w:lineRule="auto"/>
              <w:jc w:val="center"/>
              <w:rPr>
                <w:sz w:val="20"/>
                <w:szCs w:val="20"/>
              </w:rPr>
            </w:pPr>
            <w:r w:rsidRPr="00E56B85">
              <w:rPr>
                <w:sz w:val="20"/>
                <w:szCs w:val="20"/>
              </w:rPr>
              <w:t>8.1</w:t>
            </w:r>
          </w:p>
        </w:tc>
        <w:tc>
          <w:tcPr>
            <w:tcW w:w="1405" w:type="dxa"/>
            <w:shd w:val="clear" w:color="auto" w:fill="FFFFE0"/>
            <w:vAlign w:val="center"/>
          </w:tcPr>
          <w:p w14:paraId="58C43C20" w14:textId="77777777" w:rsidR="00CA3A1E" w:rsidRPr="00E56B85" w:rsidRDefault="00CA3A1E" w:rsidP="00A81ED7">
            <w:pPr>
              <w:spacing w:after="0" w:line="240" w:lineRule="auto"/>
              <w:jc w:val="center"/>
              <w:rPr>
                <w:sz w:val="20"/>
                <w:szCs w:val="20"/>
              </w:rPr>
            </w:pPr>
            <w:r w:rsidRPr="00E56B85">
              <w:rPr>
                <w:sz w:val="20"/>
                <w:szCs w:val="20"/>
              </w:rPr>
              <w:t>7.6</w:t>
            </w:r>
          </w:p>
        </w:tc>
        <w:tc>
          <w:tcPr>
            <w:tcW w:w="1373" w:type="dxa"/>
            <w:shd w:val="clear" w:color="auto" w:fill="FFFFE0"/>
            <w:vAlign w:val="center"/>
          </w:tcPr>
          <w:p w14:paraId="7B4387A4" w14:textId="77777777" w:rsidR="00CA3A1E" w:rsidRPr="00E56B85" w:rsidRDefault="00CA3A1E" w:rsidP="00A81ED7">
            <w:pPr>
              <w:spacing w:after="0" w:line="240" w:lineRule="auto"/>
              <w:jc w:val="center"/>
              <w:rPr>
                <w:sz w:val="20"/>
                <w:szCs w:val="20"/>
              </w:rPr>
            </w:pPr>
            <w:r w:rsidRPr="00E56B85">
              <w:rPr>
                <w:sz w:val="20"/>
                <w:szCs w:val="20"/>
              </w:rPr>
              <w:t>8.6</w:t>
            </w:r>
          </w:p>
        </w:tc>
        <w:tc>
          <w:tcPr>
            <w:tcW w:w="1405" w:type="dxa"/>
            <w:shd w:val="clear" w:color="auto" w:fill="90EE90"/>
            <w:vAlign w:val="center"/>
          </w:tcPr>
          <w:p w14:paraId="68B78D9F" w14:textId="77777777" w:rsidR="00CA3A1E" w:rsidRPr="00E56B85" w:rsidRDefault="00CA3A1E" w:rsidP="00A81ED7">
            <w:pPr>
              <w:spacing w:after="0" w:line="240" w:lineRule="auto"/>
              <w:jc w:val="center"/>
              <w:rPr>
                <w:sz w:val="20"/>
                <w:szCs w:val="20"/>
              </w:rPr>
            </w:pPr>
            <w:r w:rsidRPr="00E56B85">
              <w:rPr>
                <w:sz w:val="20"/>
                <w:szCs w:val="20"/>
              </w:rPr>
              <w:t>9.2</w:t>
            </w:r>
          </w:p>
        </w:tc>
        <w:tc>
          <w:tcPr>
            <w:tcW w:w="1405" w:type="dxa"/>
            <w:shd w:val="clear" w:color="auto" w:fill="90EE90"/>
            <w:vAlign w:val="center"/>
          </w:tcPr>
          <w:p w14:paraId="64C0EE17" w14:textId="77777777" w:rsidR="00CA3A1E" w:rsidRPr="00E56B85" w:rsidRDefault="00CA3A1E" w:rsidP="00A81ED7">
            <w:pPr>
              <w:spacing w:after="0" w:line="240" w:lineRule="auto"/>
              <w:jc w:val="center"/>
              <w:rPr>
                <w:sz w:val="20"/>
                <w:szCs w:val="20"/>
              </w:rPr>
            </w:pPr>
            <w:r w:rsidRPr="00E56B85">
              <w:rPr>
                <w:sz w:val="20"/>
                <w:szCs w:val="20"/>
              </w:rPr>
              <w:t>9.2</w:t>
            </w:r>
          </w:p>
        </w:tc>
        <w:tc>
          <w:tcPr>
            <w:tcW w:w="1406" w:type="dxa"/>
            <w:tcBorders>
              <w:right w:val="single" w:sz="4" w:space="0" w:color="FFFFFF" w:themeColor="background1"/>
            </w:tcBorders>
            <w:shd w:val="clear" w:color="auto" w:fill="FFFFE0"/>
            <w:vAlign w:val="center"/>
          </w:tcPr>
          <w:p w14:paraId="587AE6AF" w14:textId="77777777" w:rsidR="00CA3A1E" w:rsidRPr="00E56B85" w:rsidRDefault="00CA3A1E" w:rsidP="00A81ED7">
            <w:pPr>
              <w:spacing w:after="0" w:line="240" w:lineRule="auto"/>
              <w:jc w:val="center"/>
              <w:rPr>
                <w:sz w:val="20"/>
                <w:szCs w:val="20"/>
              </w:rPr>
            </w:pPr>
            <w:r w:rsidRPr="00E56B85">
              <w:rPr>
                <w:sz w:val="20"/>
                <w:szCs w:val="20"/>
              </w:rPr>
              <w:t>7.3</w:t>
            </w:r>
          </w:p>
        </w:tc>
        <w:tc>
          <w:tcPr>
            <w:tcW w:w="1406" w:type="dxa"/>
            <w:tcBorders>
              <w:left w:val="single" w:sz="4" w:space="0" w:color="FFFFFF" w:themeColor="background1"/>
            </w:tcBorders>
            <w:shd w:val="clear" w:color="auto" w:fill="FFFFE0"/>
            <w:vAlign w:val="center"/>
          </w:tcPr>
          <w:p w14:paraId="7DF0AADA"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FFFE0"/>
            <w:vAlign w:val="center"/>
          </w:tcPr>
          <w:p w14:paraId="14D760E3"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FFFE0"/>
            <w:vAlign w:val="center"/>
          </w:tcPr>
          <w:p w14:paraId="25ACA953"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7.8</w:t>
            </w:r>
          </w:p>
        </w:tc>
      </w:tr>
      <w:tr w:rsidR="00CA3A1E" w:rsidRPr="00E56B85" w14:paraId="7B6769AF" w14:textId="77777777" w:rsidTr="007A5CC1">
        <w:trPr>
          <w:trHeight w:val="489"/>
        </w:trPr>
        <w:tc>
          <w:tcPr>
            <w:tcW w:w="2903" w:type="dxa"/>
            <w:vAlign w:val="center"/>
          </w:tcPr>
          <w:p w14:paraId="5823BCBB"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Life Satisfaction</w:t>
            </w:r>
          </w:p>
        </w:tc>
        <w:tc>
          <w:tcPr>
            <w:tcW w:w="1424" w:type="dxa"/>
            <w:shd w:val="clear" w:color="auto" w:fill="F08080"/>
            <w:vAlign w:val="center"/>
          </w:tcPr>
          <w:p w14:paraId="6E0C2A6C" w14:textId="77777777" w:rsidR="00CA3A1E" w:rsidRPr="00E56B85" w:rsidRDefault="00CA3A1E" w:rsidP="00A81ED7">
            <w:pPr>
              <w:spacing w:after="0" w:line="240" w:lineRule="auto"/>
              <w:jc w:val="center"/>
              <w:rPr>
                <w:sz w:val="20"/>
                <w:szCs w:val="20"/>
              </w:rPr>
            </w:pPr>
            <w:r w:rsidRPr="00E56B85">
              <w:rPr>
                <w:sz w:val="20"/>
                <w:szCs w:val="20"/>
              </w:rPr>
              <w:t>6.5</w:t>
            </w:r>
          </w:p>
        </w:tc>
        <w:tc>
          <w:tcPr>
            <w:tcW w:w="1405" w:type="dxa"/>
            <w:shd w:val="clear" w:color="auto" w:fill="90EE90"/>
            <w:vAlign w:val="center"/>
          </w:tcPr>
          <w:p w14:paraId="63C45EED" w14:textId="77777777" w:rsidR="00CA3A1E" w:rsidRPr="00E56B85" w:rsidRDefault="00CA3A1E" w:rsidP="00A81ED7">
            <w:pPr>
              <w:spacing w:after="0" w:line="240" w:lineRule="auto"/>
              <w:jc w:val="center"/>
              <w:rPr>
                <w:sz w:val="20"/>
                <w:szCs w:val="20"/>
              </w:rPr>
            </w:pPr>
            <w:r w:rsidRPr="00E56B85">
              <w:rPr>
                <w:sz w:val="20"/>
                <w:szCs w:val="20"/>
              </w:rPr>
              <w:t>10.0</w:t>
            </w:r>
          </w:p>
        </w:tc>
        <w:tc>
          <w:tcPr>
            <w:tcW w:w="1373" w:type="dxa"/>
            <w:shd w:val="clear" w:color="auto" w:fill="90EE90"/>
            <w:vAlign w:val="center"/>
          </w:tcPr>
          <w:p w14:paraId="7F7AA74D" w14:textId="77777777" w:rsidR="00CA3A1E" w:rsidRPr="00E56B85" w:rsidRDefault="00CA3A1E" w:rsidP="00A81ED7">
            <w:pPr>
              <w:spacing w:after="0" w:line="240" w:lineRule="auto"/>
              <w:jc w:val="center"/>
              <w:rPr>
                <w:sz w:val="20"/>
                <w:szCs w:val="20"/>
              </w:rPr>
            </w:pPr>
            <w:r w:rsidRPr="00E56B85">
              <w:rPr>
                <w:sz w:val="20"/>
                <w:szCs w:val="20"/>
              </w:rPr>
              <w:t>9.0</w:t>
            </w:r>
          </w:p>
        </w:tc>
        <w:tc>
          <w:tcPr>
            <w:tcW w:w="1405" w:type="dxa"/>
            <w:shd w:val="clear" w:color="auto" w:fill="FFFFE0"/>
            <w:vAlign w:val="center"/>
          </w:tcPr>
          <w:p w14:paraId="1F7122D2" w14:textId="77777777" w:rsidR="00CA3A1E" w:rsidRPr="00E56B85" w:rsidRDefault="00CA3A1E" w:rsidP="00A81ED7">
            <w:pPr>
              <w:spacing w:after="0" w:line="240" w:lineRule="auto"/>
              <w:jc w:val="center"/>
              <w:rPr>
                <w:sz w:val="20"/>
                <w:szCs w:val="20"/>
              </w:rPr>
            </w:pPr>
            <w:r w:rsidRPr="00E56B85">
              <w:rPr>
                <w:sz w:val="20"/>
                <w:szCs w:val="20"/>
              </w:rPr>
              <w:t>7.2</w:t>
            </w:r>
          </w:p>
        </w:tc>
        <w:tc>
          <w:tcPr>
            <w:tcW w:w="1405" w:type="dxa"/>
            <w:shd w:val="clear" w:color="auto" w:fill="FFFFE0"/>
            <w:vAlign w:val="center"/>
          </w:tcPr>
          <w:p w14:paraId="525190DA" w14:textId="77777777" w:rsidR="00CA3A1E" w:rsidRPr="00E56B85" w:rsidRDefault="00CA3A1E" w:rsidP="00A81ED7">
            <w:pPr>
              <w:spacing w:after="0" w:line="240" w:lineRule="auto"/>
              <w:jc w:val="center"/>
              <w:rPr>
                <w:sz w:val="20"/>
                <w:szCs w:val="20"/>
              </w:rPr>
            </w:pPr>
            <w:r w:rsidRPr="00E56B85">
              <w:rPr>
                <w:sz w:val="20"/>
                <w:szCs w:val="20"/>
              </w:rPr>
              <w:t>7.9</w:t>
            </w:r>
          </w:p>
        </w:tc>
        <w:tc>
          <w:tcPr>
            <w:tcW w:w="1406" w:type="dxa"/>
            <w:tcBorders>
              <w:right w:val="single" w:sz="4" w:space="0" w:color="FFFFFF" w:themeColor="background1"/>
            </w:tcBorders>
            <w:shd w:val="clear" w:color="auto" w:fill="F08080"/>
            <w:vAlign w:val="center"/>
          </w:tcPr>
          <w:p w14:paraId="1E2EEEBD" w14:textId="77777777" w:rsidR="00CA3A1E" w:rsidRPr="00E56B85" w:rsidRDefault="00CA3A1E" w:rsidP="00A81ED7">
            <w:pPr>
              <w:spacing w:after="0" w:line="240" w:lineRule="auto"/>
              <w:jc w:val="center"/>
              <w:rPr>
                <w:sz w:val="20"/>
                <w:szCs w:val="20"/>
              </w:rPr>
            </w:pPr>
            <w:r w:rsidRPr="00E56B85">
              <w:rPr>
                <w:sz w:val="20"/>
                <w:szCs w:val="20"/>
              </w:rPr>
              <w:t>5.3</w:t>
            </w:r>
          </w:p>
        </w:tc>
        <w:tc>
          <w:tcPr>
            <w:tcW w:w="1406" w:type="dxa"/>
            <w:tcBorders>
              <w:left w:val="single" w:sz="4" w:space="0" w:color="FFFFFF" w:themeColor="background1"/>
            </w:tcBorders>
            <w:shd w:val="clear" w:color="auto" w:fill="F08080"/>
            <w:vAlign w:val="center"/>
          </w:tcPr>
          <w:p w14:paraId="09897F96"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08080"/>
            <w:vAlign w:val="center"/>
          </w:tcPr>
          <w:p w14:paraId="7AF0566F"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08080"/>
            <w:vAlign w:val="center"/>
          </w:tcPr>
          <w:p w14:paraId="7130E252"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6.4</w:t>
            </w:r>
          </w:p>
        </w:tc>
      </w:tr>
      <w:tr w:rsidR="00CA3A1E" w:rsidRPr="00E56B85" w14:paraId="29A32B10" w14:textId="77777777" w:rsidTr="007A5CC1">
        <w:trPr>
          <w:trHeight w:val="489"/>
        </w:trPr>
        <w:tc>
          <w:tcPr>
            <w:tcW w:w="2903" w:type="dxa"/>
            <w:shd w:val="clear" w:color="auto" w:fill="F2F2F2" w:themeFill="background1" w:themeFillShade="F2"/>
            <w:vAlign w:val="center"/>
          </w:tcPr>
          <w:p w14:paraId="494E4F31"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Safety</w:t>
            </w:r>
          </w:p>
        </w:tc>
        <w:tc>
          <w:tcPr>
            <w:tcW w:w="1424" w:type="dxa"/>
            <w:shd w:val="clear" w:color="auto" w:fill="F08080"/>
            <w:vAlign w:val="center"/>
          </w:tcPr>
          <w:p w14:paraId="5C40E4F0" w14:textId="77777777" w:rsidR="00CA3A1E" w:rsidRPr="00E56B85" w:rsidRDefault="00CA3A1E" w:rsidP="00A81ED7">
            <w:pPr>
              <w:spacing w:after="0" w:line="240" w:lineRule="auto"/>
              <w:jc w:val="center"/>
              <w:rPr>
                <w:sz w:val="20"/>
                <w:szCs w:val="20"/>
              </w:rPr>
            </w:pPr>
            <w:r w:rsidRPr="00E56B85">
              <w:rPr>
                <w:sz w:val="20"/>
                <w:szCs w:val="20"/>
              </w:rPr>
              <w:t>6.4</w:t>
            </w:r>
          </w:p>
        </w:tc>
        <w:tc>
          <w:tcPr>
            <w:tcW w:w="1405" w:type="dxa"/>
            <w:shd w:val="clear" w:color="auto" w:fill="90EE90"/>
            <w:vAlign w:val="center"/>
          </w:tcPr>
          <w:p w14:paraId="409BB8BC" w14:textId="77777777" w:rsidR="00CA3A1E" w:rsidRPr="00E56B85" w:rsidRDefault="00CA3A1E" w:rsidP="00A81ED7">
            <w:pPr>
              <w:spacing w:after="0" w:line="240" w:lineRule="auto"/>
              <w:jc w:val="center"/>
              <w:rPr>
                <w:sz w:val="20"/>
                <w:szCs w:val="20"/>
              </w:rPr>
            </w:pPr>
            <w:r w:rsidRPr="00E56B85">
              <w:rPr>
                <w:sz w:val="20"/>
                <w:szCs w:val="20"/>
              </w:rPr>
              <w:t>9.3</w:t>
            </w:r>
          </w:p>
        </w:tc>
        <w:tc>
          <w:tcPr>
            <w:tcW w:w="1373" w:type="dxa"/>
            <w:shd w:val="clear" w:color="auto" w:fill="90EE90"/>
            <w:vAlign w:val="center"/>
          </w:tcPr>
          <w:p w14:paraId="310ACD34" w14:textId="77777777" w:rsidR="00CA3A1E" w:rsidRPr="00E56B85" w:rsidRDefault="00CA3A1E" w:rsidP="00A81ED7">
            <w:pPr>
              <w:spacing w:after="0" w:line="240" w:lineRule="auto"/>
              <w:jc w:val="center"/>
              <w:rPr>
                <w:sz w:val="20"/>
                <w:szCs w:val="20"/>
              </w:rPr>
            </w:pPr>
            <w:r w:rsidRPr="00E56B85">
              <w:rPr>
                <w:sz w:val="20"/>
                <w:szCs w:val="20"/>
              </w:rPr>
              <w:t>9.3</w:t>
            </w:r>
          </w:p>
        </w:tc>
        <w:tc>
          <w:tcPr>
            <w:tcW w:w="1405" w:type="dxa"/>
            <w:shd w:val="clear" w:color="auto" w:fill="FFFFE0"/>
            <w:vAlign w:val="center"/>
          </w:tcPr>
          <w:p w14:paraId="066F139E" w14:textId="77777777" w:rsidR="00CA3A1E" w:rsidRPr="00E56B85" w:rsidRDefault="00CA3A1E" w:rsidP="00A81ED7">
            <w:pPr>
              <w:spacing w:after="0" w:line="240" w:lineRule="auto"/>
              <w:jc w:val="center"/>
              <w:rPr>
                <w:sz w:val="20"/>
                <w:szCs w:val="20"/>
              </w:rPr>
            </w:pPr>
            <w:r w:rsidRPr="00E56B85">
              <w:rPr>
                <w:sz w:val="20"/>
                <w:szCs w:val="20"/>
              </w:rPr>
              <w:t>8.3</w:t>
            </w:r>
          </w:p>
        </w:tc>
        <w:tc>
          <w:tcPr>
            <w:tcW w:w="1405" w:type="dxa"/>
            <w:shd w:val="clear" w:color="auto" w:fill="FFFFE0"/>
            <w:vAlign w:val="center"/>
          </w:tcPr>
          <w:p w14:paraId="6E505210" w14:textId="77777777" w:rsidR="00CA3A1E" w:rsidRPr="00E56B85" w:rsidRDefault="00CA3A1E" w:rsidP="00A81ED7">
            <w:pPr>
              <w:spacing w:after="0" w:line="240" w:lineRule="auto"/>
              <w:jc w:val="center"/>
              <w:rPr>
                <w:sz w:val="20"/>
                <w:szCs w:val="20"/>
              </w:rPr>
            </w:pPr>
            <w:r w:rsidRPr="00E56B85">
              <w:rPr>
                <w:sz w:val="20"/>
                <w:szCs w:val="20"/>
              </w:rPr>
              <w:t>7.3</w:t>
            </w:r>
          </w:p>
        </w:tc>
        <w:tc>
          <w:tcPr>
            <w:tcW w:w="1406" w:type="dxa"/>
            <w:tcBorders>
              <w:right w:val="single" w:sz="4" w:space="0" w:color="FFFFFF" w:themeColor="background1"/>
            </w:tcBorders>
            <w:shd w:val="clear" w:color="auto" w:fill="90EE90"/>
            <w:vAlign w:val="center"/>
          </w:tcPr>
          <w:p w14:paraId="1A691C76" w14:textId="77777777" w:rsidR="00CA3A1E" w:rsidRPr="00E56B85" w:rsidRDefault="00CA3A1E" w:rsidP="00A81ED7">
            <w:pPr>
              <w:spacing w:after="0" w:line="240" w:lineRule="auto"/>
              <w:jc w:val="center"/>
              <w:rPr>
                <w:sz w:val="20"/>
                <w:szCs w:val="20"/>
              </w:rPr>
            </w:pPr>
            <w:r w:rsidRPr="00E56B85">
              <w:rPr>
                <w:sz w:val="20"/>
                <w:szCs w:val="20"/>
              </w:rPr>
              <w:t>9.7</w:t>
            </w:r>
          </w:p>
        </w:tc>
        <w:tc>
          <w:tcPr>
            <w:tcW w:w="1406" w:type="dxa"/>
            <w:tcBorders>
              <w:left w:val="single" w:sz="4" w:space="0" w:color="FFFFFF" w:themeColor="background1"/>
            </w:tcBorders>
            <w:shd w:val="clear" w:color="auto" w:fill="FFFFE0"/>
            <w:vAlign w:val="center"/>
          </w:tcPr>
          <w:p w14:paraId="4D759D07"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shd w:val="clear" w:color="auto" w:fill="FFFFE0"/>
            <w:vAlign w:val="center"/>
          </w:tcPr>
          <w:p w14:paraId="3415FE4B"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shd w:val="clear" w:color="auto" w:fill="FFFFE0"/>
            <w:vAlign w:val="center"/>
          </w:tcPr>
          <w:p w14:paraId="4AC95A8A"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8.6</w:t>
            </w:r>
          </w:p>
        </w:tc>
      </w:tr>
      <w:tr w:rsidR="00CA3A1E" w:rsidRPr="00E56B85" w14:paraId="45107917" w14:textId="77777777" w:rsidTr="007A5CC1">
        <w:trPr>
          <w:trHeight w:val="489"/>
        </w:trPr>
        <w:tc>
          <w:tcPr>
            <w:tcW w:w="2903" w:type="dxa"/>
            <w:tcBorders>
              <w:bottom w:val="single" w:sz="4" w:space="0" w:color="F2F2F2" w:themeColor="background1" w:themeShade="F2"/>
            </w:tcBorders>
            <w:vAlign w:val="center"/>
          </w:tcPr>
          <w:p w14:paraId="73B7D0DD" w14:textId="77777777" w:rsidR="00CA3A1E" w:rsidRPr="00E56B85" w:rsidRDefault="00CA3A1E" w:rsidP="00A81ED7">
            <w:pPr>
              <w:spacing w:after="0" w:line="240" w:lineRule="auto"/>
              <w:rPr>
                <w:rFonts w:cs="Calibri"/>
                <w:color w:val="212121"/>
                <w:sz w:val="20"/>
                <w:szCs w:val="20"/>
              </w:rPr>
            </w:pPr>
            <w:r w:rsidRPr="00E56B85">
              <w:rPr>
                <w:rFonts w:cs="Calibri"/>
                <w:color w:val="212121"/>
                <w:sz w:val="20"/>
                <w:szCs w:val="20"/>
              </w:rPr>
              <w:t>Work-Life Balance</w:t>
            </w:r>
          </w:p>
        </w:tc>
        <w:tc>
          <w:tcPr>
            <w:tcW w:w="1424" w:type="dxa"/>
            <w:tcBorders>
              <w:bottom w:val="single" w:sz="4" w:space="0" w:color="F2F2F2" w:themeColor="background1" w:themeShade="F2"/>
            </w:tcBorders>
            <w:shd w:val="clear" w:color="auto" w:fill="FFFFE0"/>
            <w:vAlign w:val="center"/>
          </w:tcPr>
          <w:p w14:paraId="6DD49622" w14:textId="77777777" w:rsidR="00CA3A1E" w:rsidRPr="00E56B85" w:rsidRDefault="00CA3A1E" w:rsidP="00A81ED7">
            <w:pPr>
              <w:spacing w:after="0" w:line="240" w:lineRule="auto"/>
              <w:jc w:val="center"/>
              <w:rPr>
                <w:sz w:val="20"/>
                <w:szCs w:val="20"/>
              </w:rPr>
            </w:pPr>
            <w:r w:rsidRPr="00E56B85">
              <w:rPr>
                <w:sz w:val="20"/>
                <w:szCs w:val="20"/>
              </w:rPr>
              <w:t>7.7</w:t>
            </w:r>
          </w:p>
        </w:tc>
        <w:tc>
          <w:tcPr>
            <w:tcW w:w="1405" w:type="dxa"/>
            <w:tcBorders>
              <w:bottom w:val="single" w:sz="4" w:space="0" w:color="F2F2F2" w:themeColor="background1" w:themeShade="F2"/>
            </w:tcBorders>
            <w:shd w:val="clear" w:color="auto" w:fill="FFFFE0"/>
            <w:vAlign w:val="center"/>
          </w:tcPr>
          <w:p w14:paraId="0F908D44" w14:textId="77777777" w:rsidR="00CA3A1E" w:rsidRPr="00E56B85" w:rsidRDefault="00CA3A1E" w:rsidP="00A81ED7">
            <w:pPr>
              <w:spacing w:after="0" w:line="240" w:lineRule="auto"/>
              <w:jc w:val="center"/>
              <w:rPr>
                <w:sz w:val="20"/>
                <w:szCs w:val="20"/>
              </w:rPr>
            </w:pPr>
            <w:r w:rsidRPr="00E56B85">
              <w:rPr>
                <w:sz w:val="20"/>
                <w:szCs w:val="20"/>
              </w:rPr>
              <w:t>7.3</w:t>
            </w:r>
          </w:p>
        </w:tc>
        <w:tc>
          <w:tcPr>
            <w:tcW w:w="1373" w:type="dxa"/>
            <w:tcBorders>
              <w:bottom w:val="single" w:sz="4" w:space="0" w:color="F2F2F2" w:themeColor="background1" w:themeShade="F2"/>
            </w:tcBorders>
            <w:shd w:val="clear" w:color="auto" w:fill="F08080"/>
            <w:vAlign w:val="center"/>
          </w:tcPr>
          <w:p w14:paraId="3788275F" w14:textId="77777777" w:rsidR="00CA3A1E" w:rsidRPr="00E56B85" w:rsidRDefault="00CA3A1E" w:rsidP="00A81ED7">
            <w:pPr>
              <w:spacing w:after="0" w:line="240" w:lineRule="auto"/>
              <w:jc w:val="center"/>
              <w:rPr>
                <w:sz w:val="20"/>
                <w:szCs w:val="20"/>
              </w:rPr>
            </w:pPr>
            <w:r w:rsidRPr="00E56B85">
              <w:rPr>
                <w:sz w:val="20"/>
                <w:szCs w:val="20"/>
              </w:rPr>
              <w:t>4.8</w:t>
            </w:r>
          </w:p>
        </w:tc>
        <w:tc>
          <w:tcPr>
            <w:tcW w:w="1405" w:type="dxa"/>
            <w:tcBorders>
              <w:bottom w:val="single" w:sz="4" w:space="0" w:color="F2F2F2" w:themeColor="background1" w:themeShade="F2"/>
            </w:tcBorders>
            <w:shd w:val="clear" w:color="auto" w:fill="F08080"/>
            <w:vAlign w:val="center"/>
          </w:tcPr>
          <w:p w14:paraId="7D5B2DCB" w14:textId="77777777" w:rsidR="00CA3A1E" w:rsidRPr="00E56B85" w:rsidRDefault="00CA3A1E" w:rsidP="00A81ED7">
            <w:pPr>
              <w:spacing w:after="0" w:line="240" w:lineRule="auto"/>
              <w:jc w:val="center"/>
              <w:rPr>
                <w:sz w:val="20"/>
                <w:szCs w:val="20"/>
              </w:rPr>
            </w:pPr>
            <w:r w:rsidRPr="00E56B85">
              <w:rPr>
                <w:sz w:val="20"/>
                <w:szCs w:val="20"/>
              </w:rPr>
              <w:t>6.2</w:t>
            </w:r>
          </w:p>
        </w:tc>
        <w:tc>
          <w:tcPr>
            <w:tcW w:w="1405" w:type="dxa"/>
            <w:tcBorders>
              <w:bottom w:val="single" w:sz="4" w:space="0" w:color="F2F2F2" w:themeColor="background1" w:themeShade="F2"/>
            </w:tcBorders>
            <w:shd w:val="clear" w:color="auto" w:fill="F08080"/>
            <w:vAlign w:val="center"/>
          </w:tcPr>
          <w:p w14:paraId="2DF8AD1F" w14:textId="77777777" w:rsidR="00CA3A1E" w:rsidRPr="00E56B85" w:rsidRDefault="00CA3A1E" w:rsidP="00A81ED7">
            <w:pPr>
              <w:spacing w:after="0" w:line="240" w:lineRule="auto"/>
              <w:jc w:val="center"/>
              <w:rPr>
                <w:sz w:val="20"/>
                <w:szCs w:val="20"/>
              </w:rPr>
            </w:pPr>
            <w:r w:rsidRPr="00E56B85">
              <w:rPr>
                <w:sz w:val="20"/>
                <w:szCs w:val="20"/>
              </w:rPr>
              <w:t>4.9</w:t>
            </w:r>
          </w:p>
        </w:tc>
        <w:tc>
          <w:tcPr>
            <w:tcW w:w="1406" w:type="dxa"/>
            <w:tcBorders>
              <w:bottom w:val="single" w:sz="4" w:space="0" w:color="F2F2F2" w:themeColor="background1" w:themeShade="F2"/>
              <w:right w:val="single" w:sz="4" w:space="0" w:color="FFFFFF" w:themeColor="background1"/>
            </w:tcBorders>
            <w:shd w:val="clear" w:color="auto" w:fill="F08080"/>
            <w:vAlign w:val="center"/>
          </w:tcPr>
          <w:p w14:paraId="38165927" w14:textId="77777777" w:rsidR="00CA3A1E" w:rsidRPr="00E56B85" w:rsidRDefault="00CA3A1E" w:rsidP="00A81ED7">
            <w:pPr>
              <w:spacing w:after="0" w:line="240" w:lineRule="auto"/>
              <w:jc w:val="center"/>
              <w:rPr>
                <w:sz w:val="20"/>
                <w:szCs w:val="20"/>
              </w:rPr>
            </w:pPr>
            <w:r w:rsidRPr="00E56B85">
              <w:rPr>
                <w:sz w:val="20"/>
                <w:szCs w:val="20"/>
              </w:rPr>
              <w:t>6.7</w:t>
            </w:r>
          </w:p>
        </w:tc>
        <w:tc>
          <w:tcPr>
            <w:tcW w:w="1406" w:type="dxa"/>
            <w:tcBorders>
              <w:left w:val="single" w:sz="4" w:space="0" w:color="FFFFFF" w:themeColor="background1"/>
              <w:bottom w:val="single" w:sz="4" w:space="0" w:color="F2F2F2" w:themeColor="background1" w:themeShade="F2"/>
            </w:tcBorders>
            <w:shd w:val="clear" w:color="auto" w:fill="F08080"/>
            <w:vAlign w:val="center"/>
          </w:tcPr>
          <w:p w14:paraId="4C66ED4E" w14:textId="77777777" w:rsidR="00CA3A1E" w:rsidRPr="00E56B85" w:rsidRDefault="00CA3A1E" w:rsidP="00A81ED7">
            <w:pPr>
              <w:spacing w:after="0" w:line="240" w:lineRule="auto"/>
              <w:jc w:val="center"/>
              <w:rPr>
                <w:sz w:val="20"/>
                <w:szCs w:val="20"/>
              </w:rPr>
            </w:pPr>
            <w:r w:rsidRPr="00E56B85">
              <w:rPr>
                <w:sz w:val="20"/>
                <w:szCs w:val="20"/>
              </w:rPr>
              <w:t>-</w:t>
            </w:r>
          </w:p>
        </w:tc>
        <w:tc>
          <w:tcPr>
            <w:tcW w:w="1406" w:type="dxa"/>
            <w:tcBorders>
              <w:bottom w:val="single" w:sz="4" w:space="0" w:color="F2F2F2" w:themeColor="background1" w:themeShade="F2"/>
            </w:tcBorders>
            <w:shd w:val="clear" w:color="auto" w:fill="F08080"/>
            <w:vAlign w:val="center"/>
          </w:tcPr>
          <w:p w14:paraId="23AAB5C2"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w:t>
            </w:r>
          </w:p>
        </w:tc>
        <w:tc>
          <w:tcPr>
            <w:tcW w:w="1406" w:type="dxa"/>
            <w:tcBorders>
              <w:bottom w:val="single" w:sz="4" w:space="0" w:color="F2F2F2" w:themeColor="background1" w:themeShade="F2"/>
            </w:tcBorders>
            <w:shd w:val="clear" w:color="auto" w:fill="F08080"/>
            <w:vAlign w:val="center"/>
          </w:tcPr>
          <w:p w14:paraId="670BA6F2" w14:textId="77777777" w:rsidR="00CA3A1E" w:rsidRPr="00E56B85" w:rsidRDefault="00CA3A1E" w:rsidP="00A81ED7">
            <w:pPr>
              <w:spacing w:after="0" w:line="240" w:lineRule="auto"/>
              <w:jc w:val="center"/>
              <w:rPr>
                <w:rFonts w:cs="Calibri"/>
                <w:color w:val="212121"/>
                <w:sz w:val="20"/>
                <w:szCs w:val="20"/>
              </w:rPr>
            </w:pPr>
            <w:r w:rsidRPr="00E56B85">
              <w:rPr>
                <w:rFonts w:cs="Calibri"/>
                <w:color w:val="212121"/>
                <w:sz w:val="20"/>
                <w:szCs w:val="20"/>
              </w:rPr>
              <w:t>5.6</w:t>
            </w:r>
          </w:p>
        </w:tc>
      </w:tr>
    </w:tbl>
    <w:p w14:paraId="6413CFC7" w14:textId="77777777" w:rsidR="00CA3A1E" w:rsidRDefault="00CA3A1E" w:rsidP="001B3603">
      <w:pPr>
        <w:rPr>
          <w:rFonts w:cs="Calibri"/>
          <w:color w:val="212121"/>
        </w:rPr>
        <w:sectPr w:rsidR="00CA3A1E" w:rsidSect="000C6D44">
          <w:pgSz w:w="16838" w:h="11906" w:orient="landscape"/>
          <w:pgMar w:top="720" w:right="720" w:bottom="720" w:left="720" w:header="708" w:footer="708" w:gutter="0"/>
          <w:cols w:space="708"/>
          <w:docGrid w:linePitch="360"/>
        </w:sectPr>
      </w:pPr>
    </w:p>
    <w:p w14:paraId="6E25C49F" w14:textId="36B103E1" w:rsidR="007F0C8F" w:rsidRDefault="007F0C8F" w:rsidP="007F0C8F">
      <w:pPr>
        <w:pStyle w:val="Heading1"/>
        <w:numPr>
          <w:ilvl w:val="0"/>
          <w:numId w:val="0"/>
        </w:numPr>
      </w:pPr>
      <w:bookmarkStart w:id="43" w:name="_Toc185516859"/>
      <w:bookmarkStart w:id="44" w:name="_Toc189563146"/>
      <w:r>
        <w:lastRenderedPageBreak/>
        <w:t xml:space="preserve">Appendix </w:t>
      </w:r>
      <w:r w:rsidR="007430E6">
        <w:t>4</w:t>
      </w:r>
      <w:r>
        <w:t>: Country-level reports and policy documents</w:t>
      </w:r>
      <w:bookmarkEnd w:id="43"/>
      <w:bookmarkEnd w:id="44"/>
    </w:p>
    <w:p w14:paraId="39F5062B" w14:textId="77777777" w:rsidR="007F0C8F" w:rsidRPr="000B3D4B" w:rsidRDefault="007F0C8F" w:rsidP="007F0C8F">
      <w:pPr>
        <w:rPr>
          <w:rFonts w:cs="Calibri"/>
          <w:b/>
          <w:bCs/>
          <w:color w:val="212121"/>
        </w:rPr>
      </w:pPr>
      <w:r w:rsidRPr="000B3D4B">
        <w:rPr>
          <w:rFonts w:cs="Calibri"/>
          <w:b/>
          <w:bCs/>
          <w:color w:val="212121"/>
        </w:rPr>
        <w:t>Belgium</w:t>
      </w:r>
    </w:p>
    <w:p w14:paraId="07FA6396" w14:textId="77777777" w:rsidR="007F0C8F" w:rsidRDefault="007F0C8F" w:rsidP="0049380C">
      <w:pPr>
        <w:pStyle w:val="ListParagraph"/>
        <w:numPr>
          <w:ilvl w:val="0"/>
          <w:numId w:val="8"/>
        </w:numPr>
        <w:tabs>
          <w:tab w:val="left" w:pos="1142"/>
        </w:tabs>
        <w:ind w:left="357" w:hanging="357"/>
        <w:contextualSpacing w:val="0"/>
        <w:rPr>
          <w:rFonts w:cs="Calibri"/>
          <w:color w:val="212121"/>
        </w:rPr>
      </w:pPr>
      <w:proofErr w:type="spellStart"/>
      <w:r w:rsidRPr="00EB28A8">
        <w:rPr>
          <w:rFonts w:cs="Calibri"/>
          <w:color w:val="212121"/>
        </w:rPr>
        <w:t>Bouckaert</w:t>
      </w:r>
      <w:proofErr w:type="spellEnd"/>
      <w:r>
        <w:rPr>
          <w:rFonts w:cs="Calibri"/>
          <w:color w:val="212121"/>
        </w:rPr>
        <w:t>,</w:t>
      </w:r>
      <w:r w:rsidRPr="00EB28A8">
        <w:rPr>
          <w:rFonts w:cs="Calibri"/>
          <w:color w:val="212121"/>
        </w:rPr>
        <w:t xml:space="preserve"> N</w:t>
      </w:r>
      <w:r>
        <w:rPr>
          <w:rFonts w:cs="Calibri"/>
          <w:color w:val="212121"/>
        </w:rPr>
        <w:t>.</w:t>
      </w:r>
      <w:r w:rsidRPr="00EB28A8">
        <w:rPr>
          <w:rFonts w:cs="Calibri"/>
          <w:color w:val="212121"/>
        </w:rPr>
        <w:t xml:space="preserve">, </w:t>
      </w:r>
      <w:proofErr w:type="spellStart"/>
      <w:r w:rsidRPr="00EB28A8">
        <w:rPr>
          <w:rFonts w:cs="Calibri"/>
          <w:color w:val="212121"/>
        </w:rPr>
        <w:t>Maertens</w:t>
      </w:r>
      <w:proofErr w:type="spellEnd"/>
      <w:r w:rsidRPr="00EB28A8">
        <w:rPr>
          <w:rFonts w:cs="Calibri"/>
          <w:color w:val="212121"/>
        </w:rPr>
        <w:t xml:space="preserve"> de </w:t>
      </w:r>
      <w:proofErr w:type="spellStart"/>
      <w:r w:rsidRPr="00EB28A8">
        <w:rPr>
          <w:rFonts w:cs="Calibri"/>
          <w:color w:val="212121"/>
        </w:rPr>
        <w:t>Noordhout</w:t>
      </w:r>
      <w:proofErr w:type="spellEnd"/>
      <w:r>
        <w:rPr>
          <w:rFonts w:cs="Calibri"/>
          <w:color w:val="212121"/>
        </w:rPr>
        <w:t>,</w:t>
      </w:r>
      <w:r w:rsidRPr="00EB28A8">
        <w:rPr>
          <w:rFonts w:cs="Calibri"/>
          <w:color w:val="212121"/>
        </w:rPr>
        <w:t xml:space="preserve"> C</w:t>
      </w:r>
      <w:r>
        <w:rPr>
          <w:rFonts w:cs="Calibri"/>
          <w:color w:val="212121"/>
        </w:rPr>
        <w:t>.</w:t>
      </w:r>
      <w:r w:rsidRPr="00EB28A8">
        <w:rPr>
          <w:rFonts w:cs="Calibri"/>
          <w:color w:val="212121"/>
        </w:rPr>
        <w:t xml:space="preserve">, Van de </w:t>
      </w:r>
      <w:proofErr w:type="spellStart"/>
      <w:r w:rsidRPr="00EB28A8">
        <w:rPr>
          <w:rFonts w:cs="Calibri"/>
          <w:color w:val="212121"/>
        </w:rPr>
        <w:t>Voorde</w:t>
      </w:r>
      <w:proofErr w:type="spellEnd"/>
      <w:r>
        <w:rPr>
          <w:rFonts w:cs="Calibri"/>
          <w:color w:val="212121"/>
        </w:rPr>
        <w:t>,</w:t>
      </w:r>
      <w:r w:rsidRPr="00EB28A8">
        <w:rPr>
          <w:rFonts w:cs="Calibri"/>
          <w:color w:val="212121"/>
        </w:rPr>
        <w:t xml:space="preserve"> C.</w:t>
      </w:r>
      <w:r>
        <w:rPr>
          <w:rFonts w:cs="Calibri"/>
          <w:color w:val="212121"/>
        </w:rPr>
        <w:t xml:space="preserve"> (2020).</w:t>
      </w:r>
      <w:r w:rsidRPr="00EB28A8">
        <w:rPr>
          <w:rFonts w:cs="Calibri"/>
          <w:color w:val="212121"/>
        </w:rPr>
        <w:t xml:space="preserve"> Health System Performance Assessment: how equitable is the Belgian health system?</w:t>
      </w:r>
      <w:r>
        <w:rPr>
          <w:rFonts w:cs="Calibri"/>
          <w:color w:val="212121"/>
        </w:rPr>
        <w:t xml:space="preserve"> </w:t>
      </w:r>
      <w:r w:rsidRPr="00EB28A8">
        <w:rPr>
          <w:rFonts w:cs="Calibri"/>
          <w:color w:val="212121"/>
        </w:rPr>
        <w:t>KCE Reports 334</w:t>
      </w:r>
      <w:r>
        <w:rPr>
          <w:rFonts w:cs="Calibri"/>
          <w:color w:val="212121"/>
        </w:rPr>
        <w:t xml:space="preserve">. </w:t>
      </w:r>
      <w:r w:rsidRPr="00EB28A8">
        <w:rPr>
          <w:rFonts w:cs="Calibri"/>
          <w:color w:val="212121"/>
        </w:rPr>
        <w:t>Brussels: Belgian Health Care</w:t>
      </w:r>
      <w:r>
        <w:rPr>
          <w:rFonts w:cs="Calibri"/>
          <w:color w:val="212121"/>
        </w:rPr>
        <w:t xml:space="preserve"> </w:t>
      </w:r>
      <w:r w:rsidRPr="00EB28A8">
        <w:rPr>
          <w:rFonts w:cs="Calibri"/>
          <w:color w:val="212121"/>
        </w:rPr>
        <w:t>Knowledge Centre</w:t>
      </w:r>
      <w:r>
        <w:rPr>
          <w:rFonts w:cs="Calibri"/>
          <w:color w:val="212121"/>
        </w:rPr>
        <w:t>.</w:t>
      </w:r>
    </w:p>
    <w:p w14:paraId="2BCB1B4E" w14:textId="77777777" w:rsidR="007F0C8F" w:rsidRPr="00444970" w:rsidRDefault="007F0C8F" w:rsidP="0049380C">
      <w:pPr>
        <w:pStyle w:val="ListParagraph"/>
        <w:numPr>
          <w:ilvl w:val="0"/>
          <w:numId w:val="8"/>
        </w:numPr>
        <w:tabs>
          <w:tab w:val="left" w:pos="1142"/>
        </w:tabs>
        <w:ind w:left="357" w:hanging="357"/>
        <w:contextualSpacing w:val="0"/>
        <w:rPr>
          <w:rFonts w:cs="Calibri"/>
          <w:color w:val="212121"/>
        </w:rPr>
      </w:pPr>
      <w:r>
        <w:rPr>
          <w:rFonts w:cs="Calibri"/>
          <w:color w:val="212121"/>
        </w:rPr>
        <w:t xml:space="preserve">Buffel, V., Nicaise, I. (2018). </w:t>
      </w:r>
      <w:r w:rsidRPr="00444970">
        <w:rPr>
          <w:rFonts w:cs="Calibri"/>
          <w:color w:val="212121"/>
        </w:rPr>
        <w:t>ESPN Thematic Report on Inequalities in access to healthcare</w:t>
      </w:r>
      <w:r>
        <w:rPr>
          <w:rFonts w:cs="Calibri"/>
          <w:color w:val="212121"/>
        </w:rPr>
        <w:t>: Belgium. Brussels: European Commission.</w:t>
      </w:r>
    </w:p>
    <w:p w14:paraId="29E34073" w14:textId="77777777" w:rsidR="007F0C8F" w:rsidRPr="00444970" w:rsidRDefault="007F0C8F" w:rsidP="0049380C">
      <w:pPr>
        <w:pStyle w:val="ListParagraph"/>
        <w:numPr>
          <w:ilvl w:val="0"/>
          <w:numId w:val="8"/>
        </w:numPr>
        <w:tabs>
          <w:tab w:val="left" w:pos="1142"/>
        </w:tabs>
        <w:ind w:left="357" w:hanging="357"/>
        <w:contextualSpacing w:val="0"/>
        <w:rPr>
          <w:rFonts w:cs="Calibri"/>
          <w:color w:val="212121"/>
        </w:rPr>
      </w:pPr>
      <w:proofErr w:type="spellStart"/>
      <w:r w:rsidRPr="008A6197">
        <w:rPr>
          <w:rFonts w:cs="Calibri"/>
          <w:color w:val="212121"/>
        </w:rPr>
        <w:t>Cès</w:t>
      </w:r>
      <w:proofErr w:type="spellEnd"/>
      <w:r>
        <w:rPr>
          <w:rFonts w:cs="Calibri"/>
          <w:color w:val="212121"/>
        </w:rPr>
        <w:t xml:space="preserve">, S., </w:t>
      </w:r>
      <w:proofErr w:type="spellStart"/>
      <w:r>
        <w:rPr>
          <w:rFonts w:cs="Calibri"/>
          <w:color w:val="212121"/>
        </w:rPr>
        <w:t>Baeten</w:t>
      </w:r>
      <w:proofErr w:type="spellEnd"/>
      <w:r>
        <w:rPr>
          <w:rFonts w:cs="Calibri"/>
          <w:color w:val="212121"/>
        </w:rPr>
        <w:t xml:space="preserve">, R. (2020). </w:t>
      </w:r>
      <w:r w:rsidRPr="00444970">
        <w:rPr>
          <w:rFonts w:cs="Calibri"/>
          <w:color w:val="212121"/>
        </w:rPr>
        <w:t>Inequalities in access to healthcare in Belgium</w:t>
      </w:r>
      <w:r>
        <w:rPr>
          <w:rFonts w:cs="Calibri"/>
          <w:color w:val="212121"/>
        </w:rPr>
        <w:t xml:space="preserve">. Brussels: </w:t>
      </w:r>
      <w:r w:rsidRPr="009008E3">
        <w:rPr>
          <w:rFonts w:cs="Calibri"/>
          <w:color w:val="212121"/>
        </w:rPr>
        <w:t>European Social Observatory</w:t>
      </w:r>
      <w:r>
        <w:rPr>
          <w:rFonts w:cs="Calibri"/>
          <w:color w:val="212121"/>
        </w:rPr>
        <w:t>.</w:t>
      </w:r>
    </w:p>
    <w:p w14:paraId="0E2C4FB3" w14:textId="77777777" w:rsidR="007F0C8F" w:rsidRPr="00444970" w:rsidRDefault="007F0C8F" w:rsidP="0049380C">
      <w:pPr>
        <w:pStyle w:val="ListParagraph"/>
        <w:numPr>
          <w:ilvl w:val="0"/>
          <w:numId w:val="8"/>
        </w:numPr>
        <w:tabs>
          <w:tab w:val="left" w:pos="1142"/>
        </w:tabs>
        <w:ind w:left="357" w:hanging="357"/>
        <w:contextualSpacing w:val="0"/>
        <w:rPr>
          <w:rFonts w:cs="Calibri"/>
          <w:color w:val="212121"/>
        </w:rPr>
      </w:pPr>
      <w:r>
        <w:rPr>
          <w:rFonts w:cs="Calibri"/>
          <w:color w:val="212121"/>
        </w:rPr>
        <w:t xml:space="preserve">Federal Public Service Social Security. (2019). </w:t>
      </w:r>
      <w:r w:rsidRPr="00444970">
        <w:rPr>
          <w:rFonts w:cs="Calibri"/>
          <w:color w:val="212121"/>
        </w:rPr>
        <w:t>The evolution of the social situation and social protection in Belgium 2019</w:t>
      </w:r>
      <w:r>
        <w:rPr>
          <w:rFonts w:cs="Calibri"/>
          <w:color w:val="212121"/>
        </w:rPr>
        <w:t>. Brussels: FPS Social Security.</w:t>
      </w:r>
    </w:p>
    <w:p w14:paraId="54FA4A49" w14:textId="77777777" w:rsidR="007F0C8F" w:rsidRPr="00E7180A" w:rsidRDefault="007F0C8F" w:rsidP="0049380C">
      <w:pPr>
        <w:pStyle w:val="ListParagraph"/>
        <w:numPr>
          <w:ilvl w:val="0"/>
          <w:numId w:val="8"/>
        </w:numPr>
        <w:tabs>
          <w:tab w:val="left" w:pos="1142"/>
        </w:tabs>
        <w:ind w:left="357" w:hanging="357"/>
        <w:contextualSpacing w:val="0"/>
        <w:rPr>
          <w:rFonts w:cs="Calibri"/>
          <w:color w:val="212121"/>
        </w:rPr>
      </w:pPr>
      <w:proofErr w:type="spellStart"/>
      <w:r w:rsidRPr="00E7180A">
        <w:rPr>
          <w:rFonts w:cs="Calibri"/>
          <w:color w:val="212121"/>
        </w:rPr>
        <w:t>Gerkens</w:t>
      </w:r>
      <w:proofErr w:type="spellEnd"/>
      <w:r w:rsidRPr="00E7180A">
        <w:rPr>
          <w:rFonts w:cs="Calibri"/>
          <w:color w:val="212121"/>
        </w:rPr>
        <w:t>,</w:t>
      </w:r>
      <w:r>
        <w:rPr>
          <w:rFonts w:cs="Calibri"/>
          <w:color w:val="212121"/>
        </w:rPr>
        <w:t xml:space="preserve"> S.,</w:t>
      </w:r>
      <w:r w:rsidRPr="00E7180A">
        <w:rPr>
          <w:rFonts w:cs="Calibri"/>
          <w:color w:val="212121"/>
        </w:rPr>
        <w:t xml:space="preserve"> Lefèvre,</w:t>
      </w:r>
      <w:r>
        <w:rPr>
          <w:rFonts w:cs="Calibri"/>
          <w:color w:val="212121"/>
        </w:rPr>
        <w:t xml:space="preserve"> M.,</w:t>
      </w:r>
      <w:r w:rsidRPr="00E7180A">
        <w:rPr>
          <w:rFonts w:cs="Calibri"/>
          <w:color w:val="212121"/>
        </w:rPr>
        <w:t xml:space="preserve"> </w:t>
      </w:r>
      <w:proofErr w:type="spellStart"/>
      <w:r w:rsidRPr="00E7180A">
        <w:rPr>
          <w:rFonts w:cs="Calibri"/>
          <w:color w:val="212121"/>
        </w:rPr>
        <w:t>Bouckaert</w:t>
      </w:r>
      <w:proofErr w:type="spellEnd"/>
      <w:r w:rsidRPr="00E7180A">
        <w:rPr>
          <w:rFonts w:cs="Calibri"/>
          <w:color w:val="212121"/>
        </w:rPr>
        <w:t>,</w:t>
      </w:r>
      <w:r>
        <w:rPr>
          <w:rFonts w:cs="Calibri"/>
          <w:color w:val="212121"/>
        </w:rPr>
        <w:t xml:space="preserve"> N.,</w:t>
      </w:r>
      <w:r w:rsidRPr="00E7180A">
        <w:rPr>
          <w:rFonts w:cs="Calibri"/>
          <w:color w:val="212121"/>
        </w:rPr>
        <w:t xml:space="preserve"> Levy,</w:t>
      </w:r>
      <w:r>
        <w:rPr>
          <w:rFonts w:cs="Calibri"/>
          <w:color w:val="212121"/>
        </w:rPr>
        <w:t xml:space="preserve"> M.,</w:t>
      </w:r>
      <w:r w:rsidRPr="00E7180A">
        <w:rPr>
          <w:rFonts w:cs="Calibri"/>
          <w:color w:val="212121"/>
        </w:rPr>
        <w:t xml:space="preserve"> </w:t>
      </w:r>
      <w:proofErr w:type="spellStart"/>
      <w:r w:rsidRPr="00E7180A">
        <w:rPr>
          <w:rFonts w:cs="Calibri"/>
          <w:color w:val="212121"/>
        </w:rPr>
        <w:t>Maertens</w:t>
      </w:r>
      <w:proofErr w:type="spellEnd"/>
      <w:r w:rsidRPr="00E7180A">
        <w:rPr>
          <w:rFonts w:cs="Calibri"/>
          <w:color w:val="212121"/>
        </w:rPr>
        <w:t xml:space="preserve"> de </w:t>
      </w:r>
      <w:proofErr w:type="spellStart"/>
      <w:r w:rsidRPr="00E7180A">
        <w:rPr>
          <w:rFonts w:cs="Calibri"/>
          <w:color w:val="212121"/>
        </w:rPr>
        <w:t>Noordhout</w:t>
      </w:r>
      <w:proofErr w:type="spellEnd"/>
      <w:r w:rsidRPr="00E7180A">
        <w:rPr>
          <w:rFonts w:cs="Calibri"/>
          <w:color w:val="212121"/>
        </w:rPr>
        <w:t>, C</w:t>
      </w:r>
      <w:r>
        <w:rPr>
          <w:rFonts w:cs="Calibri"/>
          <w:color w:val="212121"/>
        </w:rPr>
        <w:t>., et al</w:t>
      </w:r>
      <w:r w:rsidRPr="00E7180A">
        <w:rPr>
          <w:rFonts w:cs="Calibri"/>
          <w:color w:val="212121"/>
        </w:rPr>
        <w:t>.</w:t>
      </w:r>
      <w:r>
        <w:rPr>
          <w:rFonts w:cs="Calibri"/>
          <w:color w:val="212121"/>
        </w:rPr>
        <w:t xml:space="preserve"> (2024).</w:t>
      </w:r>
      <w:r w:rsidRPr="00E7180A">
        <w:rPr>
          <w:rFonts w:cs="Calibri"/>
          <w:color w:val="212121"/>
        </w:rPr>
        <w:t xml:space="preserve"> Performance of the Belgian health system: Report 2024. Brussels: Belgian Health Care Knowledge Centre</w:t>
      </w:r>
      <w:r>
        <w:rPr>
          <w:rFonts w:cs="Calibri"/>
          <w:color w:val="212121"/>
        </w:rPr>
        <w:t>.</w:t>
      </w:r>
    </w:p>
    <w:p w14:paraId="2100BE91" w14:textId="77777777" w:rsidR="007F0C8F" w:rsidRDefault="007F0C8F" w:rsidP="0049380C">
      <w:pPr>
        <w:pStyle w:val="ListParagraph"/>
        <w:numPr>
          <w:ilvl w:val="0"/>
          <w:numId w:val="8"/>
        </w:numPr>
        <w:ind w:left="357" w:hanging="357"/>
        <w:contextualSpacing w:val="0"/>
        <w:rPr>
          <w:rFonts w:cs="Calibri"/>
          <w:color w:val="212121"/>
        </w:rPr>
      </w:pPr>
      <w:r w:rsidRPr="00C918D7">
        <w:rPr>
          <w:rFonts w:cs="Calibri"/>
          <w:color w:val="212121"/>
        </w:rPr>
        <w:t>OECD/European Observatory on Health Systems and Policies</w:t>
      </w:r>
      <w:r>
        <w:rPr>
          <w:rFonts w:cs="Calibri"/>
          <w:color w:val="212121"/>
        </w:rPr>
        <w:t xml:space="preserve">. </w:t>
      </w:r>
      <w:r w:rsidRPr="00C918D7">
        <w:rPr>
          <w:rFonts w:cs="Calibri"/>
          <w:color w:val="212121"/>
        </w:rPr>
        <w:t>(2023)</w:t>
      </w:r>
      <w:r>
        <w:rPr>
          <w:rFonts w:cs="Calibri"/>
          <w:color w:val="212121"/>
        </w:rPr>
        <w:t xml:space="preserve">. </w:t>
      </w:r>
      <w:r w:rsidRPr="008C100D">
        <w:rPr>
          <w:rFonts w:cs="Calibri"/>
          <w:color w:val="212121"/>
        </w:rPr>
        <w:t>Belgium: Country Health Profile 2023, State of Health in the EU</w:t>
      </w:r>
      <w:r>
        <w:rPr>
          <w:rFonts w:cs="Calibri"/>
          <w:color w:val="212121"/>
        </w:rPr>
        <w:t xml:space="preserve">. </w:t>
      </w:r>
      <w:r w:rsidRPr="008C100D">
        <w:rPr>
          <w:rFonts w:cs="Calibri"/>
          <w:color w:val="212121"/>
        </w:rPr>
        <w:t xml:space="preserve">OECD Publishing, Paris/European Observatory on Health Systems and Policies, Brussels. </w:t>
      </w:r>
    </w:p>
    <w:p w14:paraId="349B97AB" w14:textId="77777777" w:rsidR="007F0C8F" w:rsidRPr="008C100D" w:rsidRDefault="007F0C8F" w:rsidP="0049380C">
      <w:pPr>
        <w:pStyle w:val="ListParagraph"/>
        <w:numPr>
          <w:ilvl w:val="0"/>
          <w:numId w:val="8"/>
        </w:numPr>
        <w:ind w:left="357" w:hanging="357"/>
        <w:contextualSpacing w:val="0"/>
        <w:rPr>
          <w:rFonts w:cs="Calibri"/>
          <w:color w:val="212121"/>
        </w:rPr>
      </w:pPr>
      <w:proofErr w:type="spellStart"/>
      <w:r w:rsidRPr="00B87FC6">
        <w:rPr>
          <w:rFonts w:cs="Calibri"/>
          <w:color w:val="212121"/>
        </w:rPr>
        <w:t>Markowitsch</w:t>
      </w:r>
      <w:proofErr w:type="spellEnd"/>
      <w:r>
        <w:rPr>
          <w:rFonts w:cs="Calibri"/>
          <w:color w:val="212121"/>
        </w:rPr>
        <w:t xml:space="preserve">, J., </w:t>
      </w:r>
      <w:proofErr w:type="spellStart"/>
      <w:r>
        <w:rPr>
          <w:rFonts w:cs="Calibri"/>
          <w:color w:val="212121"/>
        </w:rPr>
        <w:t>Scharle</w:t>
      </w:r>
      <w:proofErr w:type="spellEnd"/>
      <w:r>
        <w:rPr>
          <w:rFonts w:cs="Calibri"/>
          <w:color w:val="212121"/>
        </w:rPr>
        <w:t xml:space="preserve">, </w:t>
      </w:r>
      <w:r w:rsidRPr="00153724">
        <w:rPr>
          <w:rFonts w:cs="Calibri"/>
          <w:color w:val="212121"/>
        </w:rPr>
        <w:t>Á</w:t>
      </w:r>
      <w:r>
        <w:rPr>
          <w:rFonts w:cs="Calibri"/>
          <w:color w:val="212121"/>
        </w:rPr>
        <w:t>. (2024). Towards zero long-term unemployment in the EU: Job guarantees and other innovative approaches. European Commission and Social Innovation Initiative.</w:t>
      </w:r>
    </w:p>
    <w:p w14:paraId="5016508A" w14:textId="77777777" w:rsidR="007F0C8F" w:rsidRPr="00444970" w:rsidRDefault="007F0C8F" w:rsidP="0049380C">
      <w:pPr>
        <w:pStyle w:val="ListParagraph"/>
        <w:numPr>
          <w:ilvl w:val="0"/>
          <w:numId w:val="8"/>
        </w:numPr>
        <w:ind w:left="357" w:hanging="357"/>
        <w:contextualSpacing w:val="0"/>
        <w:rPr>
          <w:rFonts w:cs="Calibri"/>
          <w:color w:val="212121"/>
        </w:rPr>
      </w:pPr>
      <w:r>
        <w:rPr>
          <w:rFonts w:cs="Calibri"/>
          <w:color w:val="212121"/>
        </w:rPr>
        <w:t xml:space="preserve">Renard, F., </w:t>
      </w:r>
      <w:proofErr w:type="spellStart"/>
      <w:r>
        <w:rPr>
          <w:rFonts w:cs="Calibri"/>
          <w:color w:val="212121"/>
        </w:rPr>
        <w:t>Scohy</w:t>
      </w:r>
      <w:proofErr w:type="spellEnd"/>
      <w:r>
        <w:rPr>
          <w:rFonts w:cs="Calibri"/>
          <w:color w:val="212121"/>
        </w:rPr>
        <w:t xml:space="preserve">, A., De </w:t>
      </w:r>
      <w:proofErr w:type="spellStart"/>
      <w:r>
        <w:rPr>
          <w:rFonts w:cs="Calibri"/>
          <w:color w:val="212121"/>
        </w:rPr>
        <w:t>Pauw</w:t>
      </w:r>
      <w:proofErr w:type="spellEnd"/>
      <w:r>
        <w:rPr>
          <w:rFonts w:cs="Calibri"/>
          <w:color w:val="212121"/>
        </w:rPr>
        <w:t xml:space="preserve">, R., </w:t>
      </w:r>
      <w:proofErr w:type="spellStart"/>
      <w:r w:rsidRPr="00054866">
        <w:rPr>
          <w:rFonts w:cs="Calibri"/>
          <w:color w:val="212121"/>
        </w:rPr>
        <w:t>Jurčević</w:t>
      </w:r>
      <w:proofErr w:type="spellEnd"/>
      <w:r>
        <w:rPr>
          <w:rFonts w:cs="Calibri"/>
          <w:color w:val="212121"/>
        </w:rPr>
        <w:t xml:space="preserve">, J, </w:t>
      </w:r>
      <w:proofErr w:type="spellStart"/>
      <w:r w:rsidRPr="00054866">
        <w:rPr>
          <w:rFonts w:cs="Calibri"/>
          <w:color w:val="212121"/>
        </w:rPr>
        <w:t>Devleesschauwer</w:t>
      </w:r>
      <w:proofErr w:type="spellEnd"/>
      <w:r>
        <w:rPr>
          <w:rFonts w:cs="Calibri"/>
          <w:color w:val="212121"/>
        </w:rPr>
        <w:t xml:space="preserve">, B. (2022). </w:t>
      </w:r>
      <w:r w:rsidRPr="00444970">
        <w:rPr>
          <w:rFonts w:cs="Calibri"/>
          <w:color w:val="212121"/>
        </w:rPr>
        <w:t>Health status report 2021</w:t>
      </w:r>
      <w:r>
        <w:rPr>
          <w:rFonts w:cs="Calibri"/>
          <w:color w:val="212121"/>
        </w:rPr>
        <w:t xml:space="preserve">: The state of health in Belgium. Brussels: </w:t>
      </w:r>
      <w:proofErr w:type="spellStart"/>
      <w:r>
        <w:rPr>
          <w:rFonts w:cs="Calibri"/>
          <w:color w:val="212121"/>
        </w:rPr>
        <w:t>Sciensano</w:t>
      </w:r>
      <w:proofErr w:type="spellEnd"/>
      <w:r>
        <w:rPr>
          <w:rFonts w:cs="Calibri"/>
          <w:color w:val="212121"/>
        </w:rPr>
        <w:t>.</w:t>
      </w:r>
    </w:p>
    <w:p w14:paraId="031C9AAC" w14:textId="77777777" w:rsidR="007F0C8F" w:rsidRDefault="007F0C8F" w:rsidP="0049380C">
      <w:pPr>
        <w:pStyle w:val="ListParagraph"/>
        <w:numPr>
          <w:ilvl w:val="0"/>
          <w:numId w:val="8"/>
        </w:numPr>
        <w:tabs>
          <w:tab w:val="left" w:pos="1142"/>
        </w:tabs>
        <w:ind w:left="357" w:hanging="357"/>
        <w:contextualSpacing w:val="0"/>
        <w:rPr>
          <w:rFonts w:cs="Calibri"/>
          <w:color w:val="212121"/>
        </w:rPr>
      </w:pPr>
      <w:r w:rsidRPr="00376AC1">
        <w:rPr>
          <w:rFonts w:cs="Calibri"/>
          <w:color w:val="212121"/>
        </w:rPr>
        <w:t xml:space="preserve">Van </w:t>
      </w:r>
      <w:proofErr w:type="spellStart"/>
      <w:r w:rsidRPr="00376AC1">
        <w:rPr>
          <w:rFonts w:cs="Calibri"/>
          <w:color w:val="212121"/>
        </w:rPr>
        <w:t>Aerden</w:t>
      </w:r>
      <w:proofErr w:type="spellEnd"/>
      <w:r w:rsidRPr="00376AC1">
        <w:rPr>
          <w:rFonts w:cs="Calibri"/>
          <w:color w:val="212121"/>
        </w:rPr>
        <w:t>, K. (ed.)</w:t>
      </w:r>
      <w:r>
        <w:rPr>
          <w:rFonts w:cs="Calibri"/>
          <w:color w:val="212121"/>
        </w:rPr>
        <w:t>,</w:t>
      </w:r>
      <w:r w:rsidRPr="00376AC1">
        <w:rPr>
          <w:rFonts w:cs="Calibri"/>
          <w:color w:val="212121"/>
        </w:rPr>
        <w:t xml:space="preserve"> </w:t>
      </w:r>
      <w:r>
        <w:rPr>
          <w:rFonts w:cs="Calibri"/>
          <w:color w:val="212121"/>
        </w:rPr>
        <w:t xml:space="preserve">et al. (2019). </w:t>
      </w:r>
      <w:r w:rsidRPr="00376AC1">
        <w:rPr>
          <w:rFonts w:cs="Calibri"/>
          <w:color w:val="212121"/>
        </w:rPr>
        <w:t>CAUSINEQ. Causes of health and mortality inequalities in Belgium: multiple</w:t>
      </w:r>
      <w:r>
        <w:rPr>
          <w:rFonts w:cs="Calibri"/>
          <w:color w:val="212121"/>
        </w:rPr>
        <w:t xml:space="preserve"> </w:t>
      </w:r>
      <w:r w:rsidRPr="00376AC1">
        <w:rPr>
          <w:rFonts w:cs="Calibri"/>
          <w:color w:val="212121"/>
        </w:rPr>
        <w:t xml:space="preserve">dimensions, multiple causes. Final Report. Brussels: Belgian Science Policy Office </w:t>
      </w:r>
    </w:p>
    <w:p w14:paraId="25289872" w14:textId="77777777" w:rsidR="007F0C8F" w:rsidRDefault="007F0C8F" w:rsidP="007F0C8F">
      <w:pPr>
        <w:rPr>
          <w:rFonts w:cs="Calibri"/>
          <w:b/>
          <w:bCs/>
          <w:color w:val="212121"/>
        </w:rPr>
      </w:pPr>
      <w:r>
        <w:rPr>
          <w:rFonts w:cs="Calibri"/>
          <w:b/>
          <w:bCs/>
          <w:color w:val="212121"/>
        </w:rPr>
        <w:t>Finland</w:t>
      </w:r>
    </w:p>
    <w:p w14:paraId="216D19C5" w14:textId="77777777" w:rsidR="007F0C8F" w:rsidRPr="00444970" w:rsidRDefault="007F0C8F" w:rsidP="0049380C">
      <w:pPr>
        <w:pStyle w:val="ListParagraph"/>
        <w:numPr>
          <w:ilvl w:val="0"/>
          <w:numId w:val="7"/>
        </w:numPr>
        <w:ind w:left="357" w:hanging="357"/>
        <w:contextualSpacing w:val="0"/>
        <w:rPr>
          <w:rFonts w:cs="Calibri"/>
          <w:color w:val="212121"/>
        </w:rPr>
      </w:pPr>
      <w:r>
        <w:rPr>
          <w:rFonts w:cs="Calibri"/>
          <w:color w:val="212121"/>
        </w:rPr>
        <w:t xml:space="preserve">Finnish Government. (2023). </w:t>
      </w:r>
      <w:r w:rsidRPr="00444970">
        <w:rPr>
          <w:rFonts w:cs="Calibri"/>
          <w:color w:val="212121"/>
        </w:rPr>
        <w:t>A strong and committed Finland: Programme of Prime Minister Petteri Orpo's Government 20 June 2023</w:t>
      </w:r>
      <w:r>
        <w:rPr>
          <w:rFonts w:cs="Calibri"/>
          <w:color w:val="212121"/>
        </w:rPr>
        <w:t xml:space="preserve">. </w:t>
      </w:r>
      <w:r w:rsidRPr="00295247">
        <w:rPr>
          <w:rFonts w:cs="Calibri"/>
          <w:color w:val="212121"/>
        </w:rPr>
        <w:t>Helsinki</w:t>
      </w:r>
      <w:r>
        <w:rPr>
          <w:rFonts w:cs="Calibri"/>
          <w:color w:val="212121"/>
        </w:rPr>
        <w:t>: Finnish Government.</w:t>
      </w:r>
    </w:p>
    <w:p w14:paraId="71825190" w14:textId="77777777" w:rsidR="007F0C8F" w:rsidRDefault="007F0C8F" w:rsidP="0049380C">
      <w:pPr>
        <w:pStyle w:val="ListParagraph"/>
        <w:numPr>
          <w:ilvl w:val="0"/>
          <w:numId w:val="7"/>
        </w:numPr>
        <w:ind w:left="357" w:hanging="357"/>
        <w:contextualSpacing w:val="0"/>
        <w:rPr>
          <w:rFonts w:cs="Calibri"/>
          <w:color w:val="212121"/>
        </w:rPr>
      </w:pPr>
      <w:proofErr w:type="spellStart"/>
      <w:r w:rsidRPr="008B5DB9">
        <w:rPr>
          <w:rFonts w:cs="Calibri"/>
          <w:color w:val="212121"/>
        </w:rPr>
        <w:t>Juhila</w:t>
      </w:r>
      <w:proofErr w:type="spellEnd"/>
      <w:r w:rsidRPr="008B5DB9">
        <w:rPr>
          <w:rFonts w:cs="Calibri"/>
          <w:color w:val="212121"/>
        </w:rPr>
        <w:t xml:space="preserve">, </w:t>
      </w:r>
      <w:r>
        <w:rPr>
          <w:rFonts w:cs="Calibri"/>
          <w:color w:val="212121"/>
        </w:rPr>
        <w:t>K.</w:t>
      </w:r>
      <w:r w:rsidRPr="008B5DB9">
        <w:rPr>
          <w:rFonts w:cs="Calibri"/>
          <w:color w:val="212121"/>
        </w:rPr>
        <w:t xml:space="preserve">, </w:t>
      </w:r>
      <w:proofErr w:type="spellStart"/>
      <w:r w:rsidRPr="008B5DB9">
        <w:rPr>
          <w:rFonts w:cs="Calibri"/>
          <w:color w:val="212121"/>
        </w:rPr>
        <w:t>Raitakari</w:t>
      </w:r>
      <w:proofErr w:type="spellEnd"/>
      <w:r w:rsidRPr="008B5DB9">
        <w:rPr>
          <w:rFonts w:cs="Calibri"/>
          <w:color w:val="212121"/>
        </w:rPr>
        <w:t>,</w:t>
      </w:r>
      <w:r>
        <w:rPr>
          <w:rFonts w:cs="Calibri"/>
          <w:color w:val="212121"/>
        </w:rPr>
        <w:t xml:space="preserve"> S., </w:t>
      </w:r>
      <w:proofErr w:type="spellStart"/>
      <w:r w:rsidRPr="008B5DB9">
        <w:rPr>
          <w:rFonts w:cs="Calibri"/>
          <w:color w:val="212121"/>
        </w:rPr>
        <w:t>Ranta</w:t>
      </w:r>
      <w:proofErr w:type="spellEnd"/>
      <w:r w:rsidRPr="008B5DB9">
        <w:rPr>
          <w:rFonts w:cs="Calibri"/>
          <w:color w:val="212121"/>
        </w:rPr>
        <w:t>,</w:t>
      </w:r>
      <w:r>
        <w:rPr>
          <w:rFonts w:cs="Calibri"/>
          <w:color w:val="212121"/>
        </w:rPr>
        <w:t xml:space="preserve"> J. (2022). </w:t>
      </w:r>
      <w:r w:rsidRPr="008B5DB9">
        <w:rPr>
          <w:rFonts w:cs="Calibri"/>
          <w:color w:val="212121"/>
        </w:rPr>
        <w:t>Housing First: Combatting Long-Term Homelessness in Finland, in de la Porte,</w:t>
      </w:r>
      <w:r>
        <w:rPr>
          <w:rFonts w:cs="Calibri"/>
          <w:color w:val="212121"/>
        </w:rPr>
        <w:t xml:space="preserve"> C.</w:t>
      </w:r>
      <w:r w:rsidRPr="008B5DB9">
        <w:rPr>
          <w:rFonts w:cs="Calibri"/>
          <w:color w:val="212121"/>
        </w:rPr>
        <w:t xml:space="preserve"> </w:t>
      </w:r>
      <w:r>
        <w:rPr>
          <w:rFonts w:cs="Calibri"/>
          <w:color w:val="212121"/>
        </w:rPr>
        <w:t>et al.</w:t>
      </w:r>
      <w:r w:rsidRPr="008B5DB9">
        <w:rPr>
          <w:rFonts w:cs="Calibri"/>
          <w:color w:val="212121"/>
        </w:rPr>
        <w:t xml:space="preserve"> (eds)</w:t>
      </w:r>
      <w:r>
        <w:rPr>
          <w:rFonts w:cs="Calibri"/>
          <w:color w:val="212121"/>
        </w:rPr>
        <w:t xml:space="preserve">: </w:t>
      </w:r>
      <w:r w:rsidRPr="008B5DB9">
        <w:rPr>
          <w:rFonts w:cs="Calibri"/>
          <w:color w:val="212121"/>
        </w:rPr>
        <w:t>Successful Public Policy in the Nordic Countries: Cases, Lessons, Challenges</w:t>
      </w:r>
      <w:r>
        <w:rPr>
          <w:rFonts w:cs="Calibri"/>
          <w:color w:val="212121"/>
        </w:rPr>
        <w:t xml:space="preserve">. </w:t>
      </w:r>
      <w:r w:rsidRPr="008B5DB9">
        <w:rPr>
          <w:rFonts w:cs="Calibri"/>
          <w:color w:val="212121"/>
        </w:rPr>
        <w:t>Oxford</w:t>
      </w:r>
      <w:r>
        <w:rPr>
          <w:rFonts w:cs="Calibri"/>
          <w:color w:val="212121"/>
        </w:rPr>
        <w:t xml:space="preserve">: </w:t>
      </w:r>
      <w:r w:rsidRPr="008B5DB9">
        <w:rPr>
          <w:rFonts w:cs="Calibri"/>
          <w:color w:val="212121"/>
        </w:rPr>
        <w:t>Oxford Academic</w:t>
      </w:r>
      <w:r>
        <w:rPr>
          <w:rFonts w:cs="Calibri"/>
          <w:color w:val="212121"/>
        </w:rPr>
        <w:t>.</w:t>
      </w:r>
    </w:p>
    <w:p w14:paraId="2F7FE797" w14:textId="77777777" w:rsidR="007F0C8F" w:rsidRPr="00444970" w:rsidRDefault="007F0C8F" w:rsidP="0049380C">
      <w:pPr>
        <w:pStyle w:val="ListParagraph"/>
        <w:numPr>
          <w:ilvl w:val="0"/>
          <w:numId w:val="7"/>
        </w:numPr>
        <w:ind w:left="357" w:hanging="357"/>
        <w:contextualSpacing w:val="0"/>
        <w:rPr>
          <w:rFonts w:cs="Calibri"/>
          <w:color w:val="212121"/>
        </w:rPr>
      </w:pPr>
      <w:r>
        <w:rPr>
          <w:rFonts w:cs="Calibri"/>
          <w:color w:val="212121"/>
        </w:rPr>
        <w:t xml:space="preserve">Kangas, O., </w:t>
      </w:r>
      <w:proofErr w:type="spellStart"/>
      <w:r>
        <w:t>Kalliomaa</w:t>
      </w:r>
      <w:proofErr w:type="spellEnd"/>
      <w:r>
        <w:t xml:space="preserve">-Puha, L. (2018). </w:t>
      </w:r>
      <w:r w:rsidRPr="00444970">
        <w:rPr>
          <w:rFonts w:cs="Calibri"/>
          <w:color w:val="212121"/>
        </w:rPr>
        <w:t>ESPN Thematic Report on Inequalities in access to healthcare 2018</w:t>
      </w:r>
      <w:r>
        <w:rPr>
          <w:rFonts w:cs="Calibri"/>
          <w:color w:val="212121"/>
        </w:rPr>
        <w:t>. Brussels: European Commission.</w:t>
      </w:r>
    </w:p>
    <w:p w14:paraId="58E46372" w14:textId="77777777" w:rsidR="007F0C8F" w:rsidRPr="00444970" w:rsidRDefault="007F0C8F" w:rsidP="0049380C">
      <w:pPr>
        <w:pStyle w:val="ListParagraph"/>
        <w:numPr>
          <w:ilvl w:val="0"/>
          <w:numId w:val="7"/>
        </w:numPr>
        <w:ind w:left="357" w:hanging="357"/>
        <w:contextualSpacing w:val="0"/>
        <w:rPr>
          <w:rFonts w:cs="Calibri"/>
          <w:color w:val="212121"/>
        </w:rPr>
      </w:pPr>
      <w:proofErr w:type="spellStart"/>
      <w:r>
        <w:lastRenderedPageBreak/>
        <w:t>Majlander</w:t>
      </w:r>
      <w:proofErr w:type="spellEnd"/>
      <w:r>
        <w:t xml:space="preserve">, S., </w:t>
      </w:r>
      <w:proofErr w:type="spellStart"/>
      <w:r>
        <w:t>Kuusio</w:t>
      </w:r>
      <w:proofErr w:type="spellEnd"/>
      <w:r>
        <w:t xml:space="preserve">, H., </w:t>
      </w:r>
      <w:proofErr w:type="spellStart"/>
      <w:r>
        <w:t>Kauppinen</w:t>
      </w:r>
      <w:proofErr w:type="spellEnd"/>
      <w:r>
        <w:t xml:space="preserve">, T., </w:t>
      </w:r>
      <w:proofErr w:type="spellStart"/>
      <w:r>
        <w:t>Kilpeläinen</w:t>
      </w:r>
      <w:proofErr w:type="spellEnd"/>
      <w:r>
        <w:t xml:space="preserve">, K., et al. (2021). </w:t>
      </w:r>
      <w:r w:rsidRPr="00444970">
        <w:rPr>
          <w:rFonts w:cs="Calibri"/>
          <w:color w:val="212121"/>
        </w:rPr>
        <w:t>Health monitoring and reducing health inequalities in Finland - observations of health inequalities and practical measures</w:t>
      </w:r>
      <w:r>
        <w:rPr>
          <w:rFonts w:cs="Calibri"/>
          <w:color w:val="212121"/>
        </w:rPr>
        <w:t xml:space="preserve">. </w:t>
      </w:r>
      <w:r>
        <w:t>Research in brief 70/2021. Helsinki: Finnish Institute for Health and Welfare.</w:t>
      </w:r>
    </w:p>
    <w:p w14:paraId="4CC7F337" w14:textId="77777777" w:rsidR="007F0C8F" w:rsidRDefault="007F0C8F" w:rsidP="0049380C">
      <w:pPr>
        <w:pStyle w:val="ListParagraph"/>
        <w:numPr>
          <w:ilvl w:val="0"/>
          <w:numId w:val="7"/>
        </w:numPr>
        <w:contextualSpacing w:val="0"/>
        <w:rPr>
          <w:rFonts w:cs="Calibri"/>
          <w:color w:val="212121"/>
        </w:rPr>
      </w:pPr>
      <w:r w:rsidRPr="00A83A44">
        <w:rPr>
          <w:rFonts w:cs="Calibri"/>
          <w:color w:val="212121"/>
        </w:rPr>
        <w:t>OECD/European Observatory on Health Systems and Policies</w:t>
      </w:r>
      <w:r>
        <w:rPr>
          <w:rFonts w:cs="Calibri"/>
          <w:color w:val="212121"/>
        </w:rPr>
        <w:t>.</w:t>
      </w:r>
      <w:r w:rsidRPr="00A83A44">
        <w:rPr>
          <w:rFonts w:cs="Calibri"/>
          <w:color w:val="212121"/>
        </w:rPr>
        <w:t xml:space="preserve"> (2023)</w:t>
      </w:r>
      <w:r>
        <w:rPr>
          <w:rFonts w:cs="Calibri"/>
          <w:color w:val="212121"/>
        </w:rPr>
        <w:t xml:space="preserve">. </w:t>
      </w:r>
      <w:r w:rsidRPr="00A83A44">
        <w:rPr>
          <w:rFonts w:cs="Calibri"/>
          <w:color w:val="212121"/>
        </w:rPr>
        <w:t>Finland: Country Health Profile 2023, State of Health in the EU</w:t>
      </w:r>
      <w:r>
        <w:rPr>
          <w:rFonts w:cs="Calibri"/>
          <w:color w:val="212121"/>
        </w:rPr>
        <w:t>.</w:t>
      </w:r>
      <w:r w:rsidRPr="00A83A44">
        <w:rPr>
          <w:rFonts w:cs="Calibri"/>
          <w:color w:val="212121"/>
        </w:rPr>
        <w:t xml:space="preserve"> OECD Publishing, Paris/European Observatory on Health Systems and Policies, Brussels.</w:t>
      </w:r>
    </w:p>
    <w:p w14:paraId="2DCA66EA" w14:textId="77777777" w:rsidR="007F0C8F" w:rsidRPr="00FF4D78" w:rsidRDefault="007F0C8F" w:rsidP="0049380C">
      <w:pPr>
        <w:pStyle w:val="ListParagraph"/>
        <w:numPr>
          <w:ilvl w:val="0"/>
          <w:numId w:val="7"/>
        </w:numPr>
        <w:ind w:left="357" w:hanging="357"/>
        <w:contextualSpacing w:val="0"/>
        <w:rPr>
          <w:rFonts w:cs="Calibri"/>
          <w:color w:val="212121"/>
        </w:rPr>
      </w:pPr>
      <w:r w:rsidRPr="00FF4D78">
        <w:rPr>
          <w:rFonts w:cs="Calibri"/>
          <w:color w:val="212121"/>
        </w:rPr>
        <w:t>Prime Minister’s Office of Finland. Progress on SDGs in Finland. Assessments by the Government and Civil Society Organisations. An excerpt from the voluntary national review of Finland 2020. Helsinki: Finnish Government.</w:t>
      </w:r>
    </w:p>
    <w:p w14:paraId="101CB5F4" w14:textId="77777777" w:rsidR="007F0C8F" w:rsidRPr="000B3D4B" w:rsidRDefault="007F0C8F" w:rsidP="007F0C8F">
      <w:pPr>
        <w:rPr>
          <w:b/>
          <w:bCs/>
        </w:rPr>
      </w:pPr>
      <w:r w:rsidRPr="000B3D4B">
        <w:rPr>
          <w:b/>
          <w:bCs/>
        </w:rPr>
        <w:t>Iceland</w:t>
      </w:r>
    </w:p>
    <w:p w14:paraId="387CFB9A" w14:textId="77777777" w:rsidR="007F0C8F" w:rsidRPr="00554CE2" w:rsidRDefault="007F0C8F" w:rsidP="0049380C">
      <w:pPr>
        <w:pStyle w:val="ListParagraph"/>
        <w:numPr>
          <w:ilvl w:val="0"/>
          <w:numId w:val="6"/>
        </w:numPr>
        <w:ind w:left="357" w:hanging="357"/>
        <w:contextualSpacing w:val="0"/>
        <w:rPr>
          <w:rFonts w:cs="Calibri"/>
          <w:color w:val="212121"/>
        </w:rPr>
      </w:pPr>
      <w:r>
        <w:rPr>
          <w:rFonts w:cs="Calibri"/>
          <w:color w:val="212121"/>
        </w:rPr>
        <w:t xml:space="preserve">Icelandic Ministry of Health. (2019). Health Policy: </w:t>
      </w:r>
      <w:r w:rsidRPr="00554CE2">
        <w:rPr>
          <w:rFonts w:cs="Calibri"/>
          <w:color w:val="212121"/>
        </w:rPr>
        <w:t>A policy for Iceland’s health services until 2030</w:t>
      </w:r>
      <w:r>
        <w:rPr>
          <w:rFonts w:cs="Calibri"/>
          <w:color w:val="212121"/>
        </w:rPr>
        <w:t xml:space="preserve">. </w:t>
      </w:r>
      <w:r w:rsidRPr="0032240F">
        <w:rPr>
          <w:rFonts w:cs="Calibri"/>
          <w:color w:val="212121"/>
        </w:rPr>
        <w:t>Reykjavík</w:t>
      </w:r>
      <w:r>
        <w:rPr>
          <w:rFonts w:cs="Calibri"/>
          <w:color w:val="212121"/>
        </w:rPr>
        <w:t>: Icelandic Ministry of Health.</w:t>
      </w:r>
    </w:p>
    <w:p w14:paraId="2DCD11FF" w14:textId="77777777" w:rsidR="007F0C8F" w:rsidRPr="00554CE2" w:rsidRDefault="007F0C8F" w:rsidP="0049380C">
      <w:pPr>
        <w:pStyle w:val="ListParagraph"/>
        <w:numPr>
          <w:ilvl w:val="0"/>
          <w:numId w:val="6"/>
        </w:numPr>
        <w:ind w:left="357" w:hanging="357"/>
        <w:contextualSpacing w:val="0"/>
        <w:rPr>
          <w:rFonts w:cs="Calibri"/>
          <w:color w:val="212121"/>
        </w:rPr>
      </w:pPr>
      <w:r w:rsidRPr="00554CE2">
        <w:rPr>
          <w:rFonts w:cs="Calibri"/>
          <w:color w:val="212121"/>
        </w:rPr>
        <w:t>OECD</w:t>
      </w:r>
      <w:r>
        <w:rPr>
          <w:rFonts w:cs="Calibri"/>
          <w:color w:val="212121"/>
        </w:rPr>
        <w:t xml:space="preserve">. (2017). </w:t>
      </w:r>
      <w:r w:rsidRPr="00554CE2">
        <w:rPr>
          <w:rFonts w:cs="Calibri"/>
          <w:color w:val="212121"/>
        </w:rPr>
        <w:t>Health policy in Iceland</w:t>
      </w:r>
      <w:r>
        <w:rPr>
          <w:rFonts w:cs="Calibri"/>
          <w:color w:val="212121"/>
        </w:rPr>
        <w:t>. OECD Health Policy Overview. Paris: OECD Publishing.</w:t>
      </w:r>
    </w:p>
    <w:p w14:paraId="2F382F51" w14:textId="77777777" w:rsidR="007F0C8F" w:rsidRDefault="007F0C8F" w:rsidP="0049380C">
      <w:pPr>
        <w:pStyle w:val="ListParagraph"/>
        <w:numPr>
          <w:ilvl w:val="0"/>
          <w:numId w:val="6"/>
        </w:numPr>
        <w:ind w:left="357" w:hanging="357"/>
        <w:contextualSpacing w:val="0"/>
        <w:rPr>
          <w:rFonts w:cs="Calibri"/>
          <w:color w:val="212121"/>
        </w:rPr>
      </w:pPr>
      <w:r w:rsidRPr="00E567E1">
        <w:rPr>
          <w:rFonts w:cs="Calibri"/>
          <w:color w:val="212121"/>
        </w:rPr>
        <w:t>OECD/European Observatory on Health Systems and Policies</w:t>
      </w:r>
      <w:r>
        <w:rPr>
          <w:rFonts w:cs="Calibri"/>
          <w:color w:val="212121"/>
        </w:rPr>
        <w:t>.</w:t>
      </w:r>
      <w:r w:rsidRPr="00E567E1">
        <w:rPr>
          <w:rFonts w:cs="Calibri"/>
          <w:color w:val="212121"/>
        </w:rPr>
        <w:t xml:space="preserve"> (2021)</w:t>
      </w:r>
      <w:r>
        <w:rPr>
          <w:rFonts w:cs="Calibri"/>
          <w:color w:val="212121"/>
        </w:rPr>
        <w:t>.</w:t>
      </w:r>
      <w:r w:rsidRPr="00E567E1">
        <w:rPr>
          <w:rFonts w:cs="Calibri"/>
          <w:color w:val="212121"/>
        </w:rPr>
        <w:t xml:space="preserve"> Iceland: Country Health Profile 2021, State of Health in the EU</w:t>
      </w:r>
      <w:r>
        <w:rPr>
          <w:rFonts w:cs="Calibri"/>
          <w:color w:val="212121"/>
        </w:rPr>
        <w:t>.</w:t>
      </w:r>
      <w:r w:rsidRPr="00E567E1">
        <w:rPr>
          <w:rFonts w:cs="Calibri"/>
          <w:color w:val="212121"/>
        </w:rPr>
        <w:t xml:space="preserve"> OECD Publishing, Paris/European Observatory on Health Systems and Policies, Brussels.</w:t>
      </w:r>
    </w:p>
    <w:p w14:paraId="197BFB70" w14:textId="77777777" w:rsidR="007F0C8F" w:rsidRPr="0032240F" w:rsidRDefault="007F0C8F" w:rsidP="0049380C">
      <w:pPr>
        <w:pStyle w:val="ListParagraph"/>
        <w:numPr>
          <w:ilvl w:val="0"/>
          <w:numId w:val="6"/>
        </w:numPr>
        <w:ind w:left="357" w:hanging="357"/>
        <w:contextualSpacing w:val="0"/>
        <w:rPr>
          <w:rFonts w:cs="Calibri"/>
          <w:color w:val="212121"/>
        </w:rPr>
      </w:pPr>
      <w:r w:rsidRPr="0032240F">
        <w:rPr>
          <w:rFonts w:cs="Arial"/>
        </w:rPr>
        <w:t>OECD/European Observatory on Health Systems and Policies. (2023).</w:t>
      </w:r>
      <w:r>
        <w:rPr>
          <w:rFonts w:cs="Arial"/>
        </w:rPr>
        <w:t xml:space="preserve"> </w:t>
      </w:r>
      <w:r w:rsidRPr="0032240F">
        <w:rPr>
          <w:rFonts w:cs="Arial"/>
        </w:rPr>
        <w:t>Iceland: Country Health Profile 2023, State of Health in the EU. Paris: OECD Publishing</w:t>
      </w:r>
      <w:r>
        <w:rPr>
          <w:rFonts w:cs="Arial"/>
        </w:rPr>
        <w:t>.</w:t>
      </w:r>
    </w:p>
    <w:p w14:paraId="4469B654" w14:textId="77777777" w:rsidR="007F0C8F" w:rsidRPr="00554CE2" w:rsidRDefault="007F0C8F" w:rsidP="0049380C">
      <w:pPr>
        <w:pStyle w:val="ListParagraph"/>
        <w:numPr>
          <w:ilvl w:val="0"/>
          <w:numId w:val="6"/>
        </w:numPr>
        <w:ind w:left="357" w:hanging="357"/>
        <w:contextualSpacing w:val="0"/>
        <w:rPr>
          <w:rFonts w:cs="Calibri"/>
          <w:color w:val="212121"/>
        </w:rPr>
      </w:pPr>
      <w:proofErr w:type="spellStart"/>
      <w:r w:rsidRPr="00D3518F">
        <w:rPr>
          <w:rFonts w:cs="Calibri"/>
          <w:color w:val="212121"/>
        </w:rPr>
        <w:t>Ólafsson</w:t>
      </w:r>
      <w:proofErr w:type="spellEnd"/>
      <w:r>
        <w:rPr>
          <w:rFonts w:cs="Calibri"/>
          <w:color w:val="212121"/>
        </w:rPr>
        <w:t xml:space="preserve">, S. (2018). </w:t>
      </w:r>
      <w:r w:rsidRPr="00554CE2">
        <w:rPr>
          <w:rFonts w:cs="Calibri"/>
          <w:color w:val="212121"/>
        </w:rPr>
        <w:t>ESPN Thematic Report on Inequalities in access to healthcare</w:t>
      </w:r>
      <w:r>
        <w:rPr>
          <w:rFonts w:cs="Calibri"/>
          <w:color w:val="212121"/>
        </w:rPr>
        <w:t>. Brussels: European Commission.</w:t>
      </w:r>
    </w:p>
    <w:p w14:paraId="268488A9" w14:textId="77777777" w:rsidR="007F0C8F" w:rsidRPr="00554CE2" w:rsidRDefault="007F0C8F" w:rsidP="0049380C">
      <w:pPr>
        <w:pStyle w:val="ListParagraph"/>
        <w:numPr>
          <w:ilvl w:val="0"/>
          <w:numId w:val="6"/>
        </w:numPr>
        <w:ind w:left="357" w:hanging="357"/>
        <w:contextualSpacing w:val="0"/>
        <w:rPr>
          <w:rFonts w:cs="Calibri"/>
          <w:color w:val="212121"/>
        </w:rPr>
      </w:pPr>
      <w:bookmarkStart w:id="45" w:name="OLE_LINK1"/>
      <w:r>
        <w:rPr>
          <w:rFonts w:cs="Calibri"/>
          <w:color w:val="212121"/>
        </w:rPr>
        <w:t xml:space="preserve">World Health Organization Regional Office for Europe. (2023). </w:t>
      </w:r>
      <w:r w:rsidRPr="00554CE2">
        <w:rPr>
          <w:rFonts w:cs="Calibri"/>
          <w:color w:val="212121"/>
        </w:rPr>
        <w:t>Country deep dive on the well-being economy</w:t>
      </w:r>
      <w:bookmarkEnd w:id="45"/>
      <w:r>
        <w:rPr>
          <w:rFonts w:cs="Calibri"/>
          <w:color w:val="212121"/>
        </w:rPr>
        <w:t>: Iceland. Copenhagen: World Health Organization Regional Office for Europe.</w:t>
      </w:r>
    </w:p>
    <w:p w14:paraId="30FF11A2" w14:textId="77777777" w:rsidR="007F0C8F" w:rsidRPr="000B3D4B" w:rsidRDefault="007F0C8F" w:rsidP="007F0C8F">
      <w:pPr>
        <w:rPr>
          <w:b/>
          <w:bCs/>
        </w:rPr>
      </w:pPr>
      <w:r w:rsidRPr="000B3D4B">
        <w:rPr>
          <w:b/>
          <w:bCs/>
        </w:rPr>
        <w:t>Ireland</w:t>
      </w:r>
    </w:p>
    <w:p w14:paraId="44544BF8" w14:textId="77777777" w:rsidR="007F0C8F" w:rsidRPr="0025658F" w:rsidRDefault="007F0C8F" w:rsidP="0049380C">
      <w:pPr>
        <w:pStyle w:val="ListParagraph"/>
        <w:numPr>
          <w:ilvl w:val="0"/>
          <w:numId w:val="5"/>
        </w:numPr>
      </w:pPr>
      <w:r>
        <w:t>A framework for improved health and wellbeing 2013-2025. Dublin: Department of Health.</w:t>
      </w:r>
    </w:p>
    <w:p w14:paraId="70F333F2" w14:textId="77777777" w:rsidR="007F0C8F" w:rsidRPr="00554CE2" w:rsidRDefault="007F0C8F" w:rsidP="0049380C">
      <w:pPr>
        <w:pStyle w:val="ListParagraph"/>
        <w:numPr>
          <w:ilvl w:val="0"/>
          <w:numId w:val="5"/>
        </w:numPr>
        <w:rPr>
          <w:rFonts w:cs="Calibri"/>
          <w:color w:val="212121"/>
        </w:rPr>
      </w:pPr>
      <w:r w:rsidRPr="00554CE2">
        <w:rPr>
          <w:rFonts w:cs="Calibri"/>
          <w:color w:val="212121"/>
        </w:rPr>
        <w:t>Department of Health: Statement of Strategy 2023-2025</w:t>
      </w:r>
      <w:r>
        <w:rPr>
          <w:rFonts w:cs="Calibri"/>
          <w:color w:val="212121"/>
        </w:rPr>
        <w:t xml:space="preserve">. </w:t>
      </w:r>
      <w:r>
        <w:t>Dublin: Department of Health.</w:t>
      </w:r>
    </w:p>
    <w:p w14:paraId="3D1CB65D" w14:textId="77777777" w:rsidR="007F0C8F" w:rsidRPr="00E8050A" w:rsidRDefault="007F0C8F" w:rsidP="0049380C">
      <w:pPr>
        <w:pStyle w:val="ListParagraph"/>
        <w:numPr>
          <w:ilvl w:val="0"/>
          <w:numId w:val="5"/>
        </w:numPr>
        <w:rPr>
          <w:rFonts w:cs="Calibri"/>
          <w:color w:val="212121"/>
        </w:rPr>
      </w:pPr>
      <w:r w:rsidRPr="00CA4DB1">
        <w:t xml:space="preserve">Department of Health. (2021). Healthy Ireland Strategic Action Plan 2021– 2025: Building on the first seven years of implementation. Dublin: Government Publications Office. </w:t>
      </w:r>
    </w:p>
    <w:p w14:paraId="118CD38C" w14:textId="77777777" w:rsidR="007F0C8F" w:rsidRPr="00554CE2" w:rsidRDefault="007F0C8F" w:rsidP="0049380C">
      <w:pPr>
        <w:pStyle w:val="ListParagraph"/>
        <w:numPr>
          <w:ilvl w:val="0"/>
          <w:numId w:val="5"/>
        </w:numPr>
        <w:rPr>
          <w:rFonts w:cs="Calibri"/>
          <w:color w:val="212121"/>
        </w:rPr>
      </w:pPr>
      <w:r w:rsidRPr="00554CE2">
        <w:rPr>
          <w:rFonts w:cs="Calibri"/>
          <w:color w:val="212121"/>
        </w:rPr>
        <w:t>Healthy Ireland Outcomes Framework First Report: September 2022</w:t>
      </w:r>
    </w:p>
    <w:p w14:paraId="629C5974" w14:textId="77777777" w:rsidR="007F0C8F" w:rsidRPr="00554CE2" w:rsidRDefault="007F0C8F" w:rsidP="0049380C">
      <w:pPr>
        <w:pStyle w:val="ListParagraph"/>
        <w:numPr>
          <w:ilvl w:val="0"/>
          <w:numId w:val="5"/>
        </w:numPr>
        <w:rPr>
          <w:rFonts w:cs="Calibri"/>
          <w:color w:val="212121"/>
        </w:rPr>
      </w:pPr>
      <w:proofErr w:type="spellStart"/>
      <w:r w:rsidRPr="00554CE2">
        <w:rPr>
          <w:rFonts w:cs="Calibri"/>
          <w:color w:val="212121"/>
        </w:rPr>
        <w:t>Sláintecare</w:t>
      </w:r>
      <w:proofErr w:type="spellEnd"/>
      <w:r w:rsidRPr="00554CE2">
        <w:rPr>
          <w:rFonts w:cs="Calibri"/>
          <w:color w:val="212121"/>
        </w:rPr>
        <w:t xml:space="preserve"> Action Plan 2023</w:t>
      </w:r>
      <w:r>
        <w:rPr>
          <w:rFonts w:cs="Calibri"/>
          <w:color w:val="212121"/>
        </w:rPr>
        <w:t xml:space="preserve">. </w:t>
      </w:r>
      <w:r>
        <w:t>Dublin: Government of Ireland.</w:t>
      </w:r>
    </w:p>
    <w:p w14:paraId="2320AECE" w14:textId="77777777" w:rsidR="007F0C8F" w:rsidRPr="00554CE2" w:rsidRDefault="007F0C8F" w:rsidP="0049380C">
      <w:pPr>
        <w:pStyle w:val="ListParagraph"/>
        <w:numPr>
          <w:ilvl w:val="0"/>
          <w:numId w:val="5"/>
        </w:numPr>
        <w:rPr>
          <w:rFonts w:cs="Calibri"/>
          <w:color w:val="212121"/>
        </w:rPr>
      </w:pPr>
      <w:proofErr w:type="spellStart"/>
      <w:r w:rsidRPr="00554CE2">
        <w:rPr>
          <w:rFonts w:cs="Calibri"/>
          <w:color w:val="212121"/>
        </w:rPr>
        <w:t>Sláintecare</w:t>
      </w:r>
      <w:proofErr w:type="spellEnd"/>
      <w:r w:rsidRPr="00554CE2">
        <w:rPr>
          <w:rFonts w:cs="Calibri"/>
          <w:color w:val="212121"/>
        </w:rPr>
        <w:t xml:space="preserve"> Healthy Communities Progress Report 2022</w:t>
      </w:r>
      <w:r>
        <w:rPr>
          <w:rFonts w:cs="Calibri"/>
          <w:color w:val="212121"/>
        </w:rPr>
        <w:t xml:space="preserve">. </w:t>
      </w:r>
      <w:r>
        <w:t>Dublin: Government of Ireland and Local Government Ireland.</w:t>
      </w:r>
    </w:p>
    <w:p w14:paraId="37DECB62" w14:textId="77777777" w:rsidR="007F0C8F" w:rsidRPr="00554CE2" w:rsidRDefault="007F0C8F" w:rsidP="0049380C">
      <w:pPr>
        <w:pStyle w:val="ListParagraph"/>
        <w:numPr>
          <w:ilvl w:val="0"/>
          <w:numId w:val="5"/>
        </w:numPr>
        <w:rPr>
          <w:rFonts w:cs="Calibri"/>
          <w:color w:val="212121"/>
        </w:rPr>
      </w:pPr>
      <w:proofErr w:type="spellStart"/>
      <w:r w:rsidRPr="00554CE2">
        <w:rPr>
          <w:rFonts w:cs="Calibri"/>
          <w:color w:val="212121"/>
        </w:rPr>
        <w:t>Sláintecare</w:t>
      </w:r>
      <w:proofErr w:type="spellEnd"/>
      <w:r w:rsidRPr="00554CE2">
        <w:rPr>
          <w:rFonts w:cs="Calibri"/>
          <w:color w:val="212121"/>
        </w:rPr>
        <w:t xml:space="preserve"> Implementation Strategy &amp; Action Plan 2021–2023</w:t>
      </w:r>
      <w:r>
        <w:rPr>
          <w:rFonts w:cs="Calibri"/>
          <w:color w:val="212121"/>
        </w:rPr>
        <w:t xml:space="preserve">. </w:t>
      </w:r>
      <w:r>
        <w:t>Dublin: Government of Ireland.</w:t>
      </w:r>
    </w:p>
    <w:p w14:paraId="792D516E" w14:textId="77777777" w:rsidR="007F0C8F" w:rsidRPr="00E8050A" w:rsidRDefault="007F0C8F" w:rsidP="0049380C">
      <w:pPr>
        <w:pStyle w:val="ListParagraph"/>
        <w:numPr>
          <w:ilvl w:val="0"/>
          <w:numId w:val="5"/>
        </w:numPr>
        <w:rPr>
          <w:rFonts w:cs="Calibri"/>
          <w:color w:val="212121"/>
        </w:rPr>
      </w:pPr>
      <w:proofErr w:type="spellStart"/>
      <w:r w:rsidRPr="00E8050A">
        <w:rPr>
          <w:rFonts w:cs="Calibri"/>
          <w:color w:val="212121"/>
        </w:rPr>
        <w:t>Sláintecare</w:t>
      </w:r>
      <w:proofErr w:type="spellEnd"/>
      <w:r w:rsidRPr="00E8050A">
        <w:rPr>
          <w:rFonts w:cs="Calibri"/>
          <w:color w:val="212121"/>
        </w:rPr>
        <w:t xml:space="preserve"> Progress Report 2021–2023. </w:t>
      </w:r>
      <w:r>
        <w:t>Dublin: Government of Ireland.</w:t>
      </w:r>
    </w:p>
    <w:p w14:paraId="5B2E7DA0" w14:textId="77777777" w:rsidR="007F0C8F" w:rsidRPr="000B3D4B" w:rsidRDefault="007F0C8F" w:rsidP="007F0C8F">
      <w:pPr>
        <w:rPr>
          <w:b/>
          <w:bCs/>
        </w:rPr>
      </w:pPr>
      <w:r w:rsidRPr="000B3D4B">
        <w:rPr>
          <w:b/>
          <w:bCs/>
        </w:rPr>
        <w:lastRenderedPageBreak/>
        <w:t>New Zealand</w:t>
      </w:r>
    </w:p>
    <w:p w14:paraId="219645E2" w14:textId="77777777" w:rsidR="007F0C8F" w:rsidRDefault="007F0C8F" w:rsidP="0049380C">
      <w:pPr>
        <w:pStyle w:val="ListParagraph"/>
        <w:numPr>
          <w:ilvl w:val="0"/>
          <w:numId w:val="4"/>
        </w:numPr>
      </w:pPr>
      <w:r>
        <w:t xml:space="preserve">Ministry of Health. (2020). </w:t>
      </w:r>
      <w:proofErr w:type="spellStart"/>
      <w:r>
        <w:t>Whakamaua</w:t>
      </w:r>
      <w:proofErr w:type="spellEnd"/>
      <w:r>
        <w:t>: Māori Health Action Plan 2020–2025. Wellington: Ministry of Health.</w:t>
      </w:r>
    </w:p>
    <w:p w14:paraId="1D03B204" w14:textId="77777777" w:rsidR="007F0C8F" w:rsidRPr="00554CE2" w:rsidRDefault="007F0C8F" w:rsidP="0049380C">
      <w:pPr>
        <w:pStyle w:val="ListParagraph"/>
        <w:numPr>
          <w:ilvl w:val="0"/>
          <w:numId w:val="4"/>
        </w:numPr>
        <w:rPr>
          <w:rFonts w:cs="Calibri"/>
          <w:color w:val="212121"/>
        </w:rPr>
      </w:pPr>
      <w:r>
        <w:t>Ministry of Health. (2023). Health System Reform Progress Report Q1 FY 2023/24. Wellington: Ministry of Health.</w:t>
      </w:r>
    </w:p>
    <w:p w14:paraId="31D0FECC" w14:textId="77777777" w:rsidR="007F0C8F" w:rsidRDefault="007F0C8F" w:rsidP="0049380C">
      <w:pPr>
        <w:pStyle w:val="ListParagraph"/>
        <w:numPr>
          <w:ilvl w:val="0"/>
          <w:numId w:val="4"/>
        </w:numPr>
      </w:pPr>
      <w:r>
        <w:t>Ministry of Health. (2023). Health System Reform Progress Report Q2 FY 2023/24. Wellington: Ministry of Health.</w:t>
      </w:r>
    </w:p>
    <w:p w14:paraId="39CBAC8E" w14:textId="77777777" w:rsidR="007F0C8F" w:rsidRPr="00554CE2" w:rsidRDefault="007F0C8F" w:rsidP="0049380C">
      <w:pPr>
        <w:pStyle w:val="ListParagraph"/>
        <w:numPr>
          <w:ilvl w:val="0"/>
          <w:numId w:val="4"/>
        </w:numPr>
        <w:rPr>
          <w:rFonts w:cs="Calibri"/>
          <w:color w:val="212121"/>
        </w:rPr>
      </w:pPr>
      <w:r>
        <w:t xml:space="preserve">Ministry of Health. (2023). </w:t>
      </w:r>
      <w:r w:rsidRPr="00554CE2">
        <w:rPr>
          <w:rFonts w:cs="Calibri"/>
          <w:color w:val="212121"/>
        </w:rPr>
        <w:t>New Zealand Health Strategy 2023</w:t>
      </w:r>
      <w:r>
        <w:rPr>
          <w:rFonts w:cs="Calibri"/>
          <w:color w:val="212121"/>
        </w:rPr>
        <w:t xml:space="preserve">. </w:t>
      </w:r>
      <w:r>
        <w:t>Wellington: Ministry of Health.</w:t>
      </w:r>
    </w:p>
    <w:p w14:paraId="55A79242" w14:textId="77777777" w:rsidR="007F0C8F" w:rsidRPr="00554CE2" w:rsidRDefault="007F0C8F" w:rsidP="0049380C">
      <w:pPr>
        <w:pStyle w:val="ListParagraph"/>
        <w:numPr>
          <w:ilvl w:val="0"/>
          <w:numId w:val="4"/>
        </w:numPr>
        <w:rPr>
          <w:rFonts w:cs="Calibri"/>
          <w:color w:val="212121"/>
        </w:rPr>
      </w:pPr>
      <w:r>
        <w:t xml:space="preserve">Ministry of Health. (2023). </w:t>
      </w:r>
      <w:proofErr w:type="spellStart"/>
      <w:r w:rsidRPr="00554CE2">
        <w:rPr>
          <w:rFonts w:cs="Calibri"/>
          <w:color w:val="212121"/>
        </w:rPr>
        <w:t>Pae</w:t>
      </w:r>
      <w:proofErr w:type="spellEnd"/>
      <w:r w:rsidRPr="00554CE2">
        <w:rPr>
          <w:rFonts w:cs="Calibri"/>
          <w:color w:val="212121"/>
        </w:rPr>
        <w:t xml:space="preserve"> </w:t>
      </w:r>
      <w:proofErr w:type="spellStart"/>
      <w:r w:rsidRPr="00554CE2">
        <w:rPr>
          <w:rFonts w:cs="Calibri"/>
          <w:color w:val="212121"/>
        </w:rPr>
        <w:t>T</w:t>
      </w:r>
      <w:r w:rsidRPr="00554CE2">
        <w:rPr>
          <w:rFonts w:cstheme="minorHAnsi"/>
          <w:color w:val="212121"/>
        </w:rPr>
        <w:t>ū</w:t>
      </w:r>
      <w:proofErr w:type="spellEnd"/>
      <w:r w:rsidRPr="00554CE2">
        <w:rPr>
          <w:rFonts w:cs="Calibri"/>
          <w:color w:val="212121"/>
        </w:rPr>
        <w:t>: Hauora M</w:t>
      </w:r>
      <w:r w:rsidRPr="00554CE2">
        <w:rPr>
          <w:rFonts w:cstheme="minorHAnsi"/>
          <w:color w:val="212121"/>
        </w:rPr>
        <w:t>āori Strategy 2023</w:t>
      </w:r>
      <w:r>
        <w:rPr>
          <w:rFonts w:cstheme="minorHAnsi"/>
          <w:color w:val="212121"/>
        </w:rPr>
        <w:t xml:space="preserve">. </w:t>
      </w:r>
      <w:r>
        <w:t>Wellington: Ministry of Health.</w:t>
      </w:r>
    </w:p>
    <w:p w14:paraId="18A2E38B" w14:textId="77777777" w:rsidR="007F0C8F" w:rsidRPr="00554CE2" w:rsidRDefault="007F0C8F" w:rsidP="0049380C">
      <w:pPr>
        <w:pStyle w:val="ListParagraph"/>
        <w:numPr>
          <w:ilvl w:val="0"/>
          <w:numId w:val="4"/>
        </w:numPr>
        <w:rPr>
          <w:rFonts w:cs="Calibri"/>
          <w:color w:val="212121"/>
        </w:rPr>
      </w:pPr>
      <w:r>
        <w:t xml:space="preserve">Ministry of Health. (2023). </w:t>
      </w:r>
      <w:r w:rsidRPr="00554CE2">
        <w:rPr>
          <w:rFonts w:cs="Calibri"/>
          <w:color w:val="212121"/>
        </w:rPr>
        <w:t>Provisional Health of Disabled People Strategy</w:t>
      </w:r>
      <w:r>
        <w:rPr>
          <w:rFonts w:cs="Calibri"/>
          <w:color w:val="212121"/>
        </w:rPr>
        <w:t xml:space="preserve"> 2023. </w:t>
      </w:r>
      <w:r>
        <w:t>Wellington: Ministry of Health.</w:t>
      </w:r>
    </w:p>
    <w:p w14:paraId="3BFFFEBF" w14:textId="77777777" w:rsidR="007F0C8F" w:rsidRPr="00162DF9" w:rsidRDefault="007F0C8F" w:rsidP="0049380C">
      <w:pPr>
        <w:pStyle w:val="ListParagraph"/>
        <w:numPr>
          <w:ilvl w:val="0"/>
          <w:numId w:val="4"/>
        </w:numPr>
      </w:pPr>
      <w:proofErr w:type="spellStart"/>
      <w:r>
        <w:t>Pae</w:t>
      </w:r>
      <w:proofErr w:type="spellEnd"/>
      <w:r>
        <w:t xml:space="preserve"> </w:t>
      </w:r>
      <w:proofErr w:type="spellStart"/>
      <w:r>
        <w:t>ora</w:t>
      </w:r>
      <w:proofErr w:type="spellEnd"/>
      <w:r>
        <w:t>: healthy futures for all New Zealanders. Government Policy Statement for Health 2022-2024.</w:t>
      </w:r>
      <w:r w:rsidRPr="00F800C7">
        <w:t xml:space="preserve"> </w:t>
      </w:r>
      <w:r>
        <w:t>Wellington: New Zealand Government.</w:t>
      </w:r>
    </w:p>
    <w:p w14:paraId="66DCC884" w14:textId="77777777" w:rsidR="007F0C8F" w:rsidRDefault="007F0C8F" w:rsidP="0049380C">
      <w:pPr>
        <w:pStyle w:val="ListParagraph"/>
        <w:numPr>
          <w:ilvl w:val="0"/>
          <w:numId w:val="4"/>
        </w:numPr>
      </w:pPr>
      <w:r w:rsidRPr="004C3128">
        <w:t>Public Health Advisory Committee</w:t>
      </w:r>
      <w:r>
        <w:t xml:space="preserve">. (2023). </w:t>
      </w:r>
      <w:r w:rsidRPr="008E0B4E">
        <w:t xml:space="preserve">Position statement on Equity, </w:t>
      </w:r>
      <w:proofErr w:type="spellStart"/>
      <w:r w:rsidRPr="008E0B4E">
        <w:t>Te</w:t>
      </w:r>
      <w:proofErr w:type="spellEnd"/>
      <w:r w:rsidRPr="008E0B4E">
        <w:t xml:space="preserve"> </w:t>
      </w:r>
      <w:proofErr w:type="spellStart"/>
      <w:r w:rsidRPr="008E0B4E">
        <w:t>Tiriti</w:t>
      </w:r>
      <w:proofErr w:type="spellEnd"/>
      <w:r w:rsidRPr="008E0B4E">
        <w:t xml:space="preserve"> o Waitangi, and Māori Health</w:t>
      </w:r>
      <w:r>
        <w:t>.</w:t>
      </w:r>
      <w:r w:rsidRPr="005E31DA">
        <w:t xml:space="preserve"> </w:t>
      </w:r>
      <w:r>
        <w:t>Wellington: Ministry of Health.</w:t>
      </w:r>
    </w:p>
    <w:p w14:paraId="4AB5CDDB" w14:textId="77777777" w:rsidR="007F0C8F" w:rsidRPr="000B3D4B" w:rsidRDefault="007F0C8F" w:rsidP="007F0C8F">
      <w:pPr>
        <w:spacing w:after="160" w:line="259" w:lineRule="auto"/>
        <w:rPr>
          <w:b/>
          <w:bCs/>
        </w:rPr>
      </w:pPr>
      <w:r w:rsidRPr="000B3D4B">
        <w:rPr>
          <w:b/>
          <w:bCs/>
        </w:rPr>
        <w:t>Scotland</w:t>
      </w:r>
    </w:p>
    <w:p w14:paraId="3BA720E0" w14:textId="77777777" w:rsidR="007F0C8F" w:rsidRPr="00554CE2" w:rsidRDefault="007F0C8F" w:rsidP="0049380C">
      <w:pPr>
        <w:pStyle w:val="ListParagraph"/>
        <w:numPr>
          <w:ilvl w:val="0"/>
          <w:numId w:val="3"/>
        </w:numPr>
        <w:rPr>
          <w:rFonts w:cs="Calibri"/>
          <w:color w:val="212121"/>
        </w:rPr>
      </w:pPr>
      <w:r>
        <w:rPr>
          <w:rFonts w:cs="Calibri"/>
          <w:color w:val="212121"/>
        </w:rPr>
        <w:t xml:space="preserve">Scottish Government. (2023). </w:t>
      </w:r>
      <w:r w:rsidRPr="00554CE2">
        <w:rPr>
          <w:rFonts w:cs="Calibri"/>
          <w:color w:val="212121"/>
        </w:rPr>
        <w:t>Equality, Opportunity, Community</w:t>
      </w:r>
      <w:r>
        <w:rPr>
          <w:rFonts w:cs="Calibri"/>
          <w:color w:val="212121"/>
        </w:rPr>
        <w:t xml:space="preserve">. </w:t>
      </w:r>
      <w:r w:rsidRPr="00554CE2">
        <w:rPr>
          <w:rFonts w:cs="Calibri"/>
          <w:color w:val="212121"/>
        </w:rPr>
        <w:t>Our Programme for Government</w:t>
      </w:r>
      <w:r>
        <w:rPr>
          <w:rFonts w:cs="Calibri"/>
          <w:color w:val="212121"/>
        </w:rPr>
        <w:t>.</w:t>
      </w:r>
      <w:r w:rsidRPr="009B22EA">
        <w:rPr>
          <w:rFonts w:cs="Calibri"/>
          <w:color w:val="212121"/>
        </w:rPr>
        <w:t xml:space="preserve"> </w:t>
      </w:r>
      <w:r>
        <w:rPr>
          <w:rFonts w:cs="Calibri"/>
          <w:color w:val="212121"/>
        </w:rPr>
        <w:t>Edinburgh: The Scottish Government.</w:t>
      </w:r>
    </w:p>
    <w:p w14:paraId="15A514CF" w14:textId="77777777" w:rsidR="007F0C8F" w:rsidRPr="00554CE2" w:rsidRDefault="007F0C8F" w:rsidP="0049380C">
      <w:pPr>
        <w:pStyle w:val="ListParagraph"/>
        <w:numPr>
          <w:ilvl w:val="0"/>
          <w:numId w:val="3"/>
        </w:numPr>
        <w:rPr>
          <w:rFonts w:cs="Calibri"/>
          <w:color w:val="212121"/>
        </w:rPr>
      </w:pPr>
      <w:r>
        <w:rPr>
          <w:rFonts w:cs="Calibri"/>
          <w:color w:val="212121"/>
        </w:rPr>
        <w:t xml:space="preserve">Scottish Government. (2023). </w:t>
      </w:r>
      <w:r w:rsidRPr="00554CE2">
        <w:rPr>
          <w:rFonts w:cs="Calibri"/>
          <w:color w:val="212121"/>
        </w:rPr>
        <w:t>Long-term Monitoring of Health Inequalities March 2023 report</w:t>
      </w:r>
      <w:r>
        <w:rPr>
          <w:rFonts w:cs="Calibri"/>
          <w:color w:val="212121"/>
        </w:rPr>
        <w:t>. Edinburgh: The Scottish Government.</w:t>
      </w:r>
    </w:p>
    <w:p w14:paraId="791BFE18" w14:textId="77777777" w:rsidR="007F0C8F" w:rsidRPr="00554CE2" w:rsidRDefault="007F0C8F" w:rsidP="0049380C">
      <w:pPr>
        <w:pStyle w:val="ListParagraph"/>
        <w:numPr>
          <w:ilvl w:val="0"/>
          <w:numId w:val="3"/>
        </w:numPr>
        <w:rPr>
          <w:rFonts w:cs="Calibri"/>
          <w:color w:val="212121"/>
        </w:rPr>
      </w:pPr>
      <w:r>
        <w:t>The Scottish Parliament Health, Social Care and Sport Committee. (2022). Tackling health inequalities in Scotland 2022.</w:t>
      </w:r>
      <w:r w:rsidRPr="009D459A">
        <w:rPr>
          <w:rFonts w:cs="Calibri"/>
          <w:color w:val="212121"/>
        </w:rPr>
        <w:t xml:space="preserve"> </w:t>
      </w:r>
      <w:r>
        <w:rPr>
          <w:rFonts w:cs="Calibri"/>
          <w:color w:val="212121"/>
        </w:rPr>
        <w:t xml:space="preserve">Edinburgh: </w:t>
      </w:r>
      <w:r w:rsidRPr="00A37B84">
        <w:rPr>
          <w:rFonts w:cs="Calibri"/>
          <w:color w:val="212121"/>
        </w:rPr>
        <w:t>Scottish Parliamentary Corporate Body.</w:t>
      </w:r>
    </w:p>
    <w:p w14:paraId="41EFE810" w14:textId="77777777" w:rsidR="007F0C8F" w:rsidRPr="00554CE2" w:rsidRDefault="007F0C8F" w:rsidP="0049380C">
      <w:pPr>
        <w:pStyle w:val="ListParagraph"/>
        <w:numPr>
          <w:ilvl w:val="0"/>
          <w:numId w:val="3"/>
        </w:numPr>
        <w:rPr>
          <w:rFonts w:cs="Calibri"/>
          <w:color w:val="212121"/>
        </w:rPr>
      </w:pPr>
      <w:r>
        <w:t xml:space="preserve">The Scottish Parliament Health, Social Care and Sport Committee. </w:t>
      </w:r>
      <w:r>
        <w:rPr>
          <w:rFonts w:cs="Calibri"/>
          <w:color w:val="212121"/>
        </w:rPr>
        <w:t>(2022). O</w:t>
      </w:r>
      <w:r w:rsidRPr="00554CE2">
        <w:rPr>
          <w:rFonts w:cs="Calibri"/>
          <w:color w:val="212121"/>
        </w:rPr>
        <w:t>fficial report</w:t>
      </w:r>
      <w:r>
        <w:rPr>
          <w:rFonts w:cs="Calibri"/>
          <w:color w:val="212121"/>
        </w:rPr>
        <w:t>.</w:t>
      </w:r>
      <w:r w:rsidRPr="00176A17">
        <w:rPr>
          <w:rFonts w:cs="Calibri"/>
          <w:color w:val="212121"/>
        </w:rPr>
        <w:t xml:space="preserve"> </w:t>
      </w:r>
      <w:r>
        <w:rPr>
          <w:rFonts w:cs="Calibri"/>
          <w:color w:val="212121"/>
        </w:rPr>
        <w:t xml:space="preserve">Edinburgh: </w:t>
      </w:r>
      <w:r w:rsidRPr="00A37B84">
        <w:rPr>
          <w:rFonts w:cs="Calibri"/>
          <w:color w:val="212121"/>
        </w:rPr>
        <w:t>Scottish Parliamentary Corporate Body.</w:t>
      </w:r>
    </w:p>
    <w:p w14:paraId="2E6426B4" w14:textId="77777777" w:rsidR="007F0C8F" w:rsidRPr="00B73EB2" w:rsidRDefault="007F0C8F" w:rsidP="007F0C8F">
      <w:pPr>
        <w:rPr>
          <w:b/>
          <w:bCs/>
        </w:rPr>
      </w:pPr>
      <w:r w:rsidRPr="00B73EB2">
        <w:rPr>
          <w:b/>
          <w:bCs/>
        </w:rPr>
        <w:t>Slovenia</w:t>
      </w:r>
    </w:p>
    <w:p w14:paraId="532D98D6" w14:textId="77777777" w:rsidR="007F0C8F" w:rsidRPr="00554CE2" w:rsidRDefault="007F0C8F" w:rsidP="0049380C">
      <w:pPr>
        <w:pStyle w:val="ListParagraph"/>
        <w:numPr>
          <w:ilvl w:val="0"/>
          <w:numId w:val="2"/>
        </w:numPr>
        <w:rPr>
          <w:rFonts w:cs="Calibri"/>
          <w:color w:val="212121"/>
        </w:rPr>
      </w:pPr>
      <w:r w:rsidRPr="00554CE2">
        <w:rPr>
          <w:rFonts w:cs="Calibri"/>
          <w:color w:val="212121"/>
        </w:rPr>
        <w:t>Biennial Collaborative Agreement between the Ministry of Health of Slovenia and the regional office for Europe of the World Health Organization</w:t>
      </w:r>
      <w:r>
        <w:rPr>
          <w:rFonts w:cs="Calibri"/>
          <w:color w:val="212121"/>
        </w:rPr>
        <w:t>.</w:t>
      </w:r>
    </w:p>
    <w:p w14:paraId="174D3498" w14:textId="77777777" w:rsidR="007F0C8F" w:rsidRPr="00554CE2" w:rsidRDefault="007F0C8F" w:rsidP="0049380C">
      <w:pPr>
        <w:pStyle w:val="ListParagraph"/>
        <w:numPr>
          <w:ilvl w:val="0"/>
          <w:numId w:val="2"/>
        </w:numPr>
        <w:rPr>
          <w:rFonts w:cs="Calibri"/>
          <w:color w:val="212121"/>
        </w:rPr>
      </w:pPr>
      <w:proofErr w:type="spellStart"/>
      <w:r w:rsidRPr="000D14B7">
        <w:rPr>
          <w:rFonts w:cs="Calibri"/>
          <w:color w:val="212121"/>
        </w:rPr>
        <w:t>Blenkuš</w:t>
      </w:r>
      <w:proofErr w:type="spellEnd"/>
      <w:r w:rsidRPr="000D14B7">
        <w:rPr>
          <w:rFonts w:cs="Calibri"/>
          <w:color w:val="212121"/>
        </w:rPr>
        <w:t xml:space="preserve">, </w:t>
      </w:r>
      <w:r>
        <w:rPr>
          <w:rFonts w:cs="Calibri"/>
          <w:color w:val="212121"/>
        </w:rPr>
        <w:t xml:space="preserve">M.G., </w:t>
      </w:r>
      <w:r w:rsidRPr="000D14B7">
        <w:rPr>
          <w:rFonts w:cs="Calibri"/>
          <w:color w:val="212121"/>
        </w:rPr>
        <w:t>Bric,</w:t>
      </w:r>
      <w:r>
        <w:rPr>
          <w:rFonts w:cs="Calibri"/>
          <w:color w:val="212121"/>
        </w:rPr>
        <w:t xml:space="preserve"> T.K., </w:t>
      </w:r>
      <w:proofErr w:type="spellStart"/>
      <w:r w:rsidRPr="000D14B7">
        <w:rPr>
          <w:rFonts w:cs="Calibri"/>
          <w:color w:val="212121"/>
        </w:rPr>
        <w:t>Zaletel</w:t>
      </w:r>
      <w:proofErr w:type="spellEnd"/>
      <w:r w:rsidRPr="000D14B7">
        <w:rPr>
          <w:rFonts w:cs="Calibri"/>
          <w:color w:val="212121"/>
        </w:rPr>
        <w:t>,</w:t>
      </w:r>
      <w:r>
        <w:rPr>
          <w:rFonts w:cs="Calibri"/>
          <w:color w:val="212121"/>
        </w:rPr>
        <w:t xml:space="preserve"> M., </w:t>
      </w:r>
      <w:r w:rsidRPr="00800B7F">
        <w:rPr>
          <w:rFonts w:cs="Calibri"/>
          <w:color w:val="212121"/>
        </w:rPr>
        <w:t>Grom,</w:t>
      </w:r>
      <w:r>
        <w:rPr>
          <w:rFonts w:cs="Calibri"/>
          <w:color w:val="212121"/>
        </w:rPr>
        <w:t xml:space="preserve"> A.H., </w:t>
      </w:r>
      <w:proofErr w:type="spellStart"/>
      <w:r>
        <w:rPr>
          <w:rFonts w:cs="Calibri"/>
          <w:color w:val="212121"/>
        </w:rPr>
        <w:t>Lesnik</w:t>
      </w:r>
      <w:proofErr w:type="spellEnd"/>
      <w:r>
        <w:rPr>
          <w:rFonts w:cs="Calibri"/>
          <w:color w:val="212121"/>
        </w:rPr>
        <w:t>, T. (eds.) et al.</w:t>
      </w:r>
      <w:r w:rsidRPr="000D14B7">
        <w:rPr>
          <w:rFonts w:cs="Calibri"/>
          <w:color w:val="212121"/>
        </w:rPr>
        <w:t xml:space="preserve"> </w:t>
      </w:r>
      <w:r>
        <w:rPr>
          <w:rFonts w:cs="Calibri"/>
          <w:color w:val="212121"/>
        </w:rPr>
        <w:t xml:space="preserve">(2021). </w:t>
      </w:r>
      <w:r w:rsidRPr="00554CE2">
        <w:rPr>
          <w:rFonts w:cs="Calibri"/>
          <w:color w:val="212121"/>
        </w:rPr>
        <w:t>Inequalities in Health. Future challenges for intersectoral cooperation</w:t>
      </w:r>
      <w:r>
        <w:rPr>
          <w:rFonts w:cs="Calibri"/>
          <w:color w:val="212121"/>
        </w:rPr>
        <w:t xml:space="preserve"> (summary)</w:t>
      </w:r>
      <w:r w:rsidRPr="00554CE2">
        <w:rPr>
          <w:rFonts w:cs="Calibri"/>
          <w:color w:val="212121"/>
        </w:rPr>
        <w:t>.</w:t>
      </w:r>
      <w:r>
        <w:rPr>
          <w:rFonts w:cs="Calibri"/>
          <w:color w:val="212121"/>
        </w:rPr>
        <w:t xml:space="preserve"> </w:t>
      </w:r>
      <w:r w:rsidRPr="007E32C4">
        <w:rPr>
          <w:rFonts w:cs="Calibri"/>
          <w:color w:val="212121"/>
        </w:rPr>
        <w:t>Ljubljana</w:t>
      </w:r>
      <w:r>
        <w:rPr>
          <w:rFonts w:cs="Calibri"/>
          <w:color w:val="212121"/>
        </w:rPr>
        <w:t xml:space="preserve">: </w:t>
      </w:r>
      <w:r w:rsidRPr="00960DDC">
        <w:rPr>
          <w:rFonts w:cs="Calibri"/>
          <w:color w:val="212121"/>
        </w:rPr>
        <w:t>National Institute of Public Health</w:t>
      </w:r>
      <w:r>
        <w:rPr>
          <w:rFonts w:cs="Calibri"/>
          <w:color w:val="212121"/>
        </w:rPr>
        <w:t>.</w:t>
      </w:r>
    </w:p>
    <w:p w14:paraId="07E75F73" w14:textId="77777777" w:rsidR="007F0C8F" w:rsidRPr="00554CE2" w:rsidRDefault="007F0C8F" w:rsidP="0049380C">
      <w:pPr>
        <w:pStyle w:val="ListParagraph"/>
        <w:numPr>
          <w:ilvl w:val="0"/>
          <w:numId w:val="2"/>
        </w:numPr>
        <w:rPr>
          <w:rFonts w:cs="Calibri"/>
          <w:color w:val="212121"/>
        </w:rPr>
      </w:pPr>
      <w:proofErr w:type="spellStart"/>
      <w:r w:rsidRPr="00417788">
        <w:rPr>
          <w:rFonts w:cs="Calibri"/>
          <w:color w:val="212121"/>
        </w:rPr>
        <w:t>Bucciardini</w:t>
      </w:r>
      <w:proofErr w:type="spellEnd"/>
      <w:r>
        <w:rPr>
          <w:rFonts w:cs="Calibri"/>
          <w:color w:val="212121"/>
        </w:rPr>
        <w:t xml:space="preserve">, R., </w:t>
      </w:r>
      <w:proofErr w:type="spellStart"/>
      <w:r w:rsidRPr="00E85542">
        <w:rPr>
          <w:rFonts w:cs="Calibri"/>
          <w:color w:val="212121"/>
        </w:rPr>
        <w:t>Zetterquist</w:t>
      </w:r>
      <w:proofErr w:type="spellEnd"/>
      <w:r w:rsidRPr="00E85542">
        <w:rPr>
          <w:rFonts w:cs="Calibri"/>
          <w:color w:val="212121"/>
        </w:rPr>
        <w:t>,</w:t>
      </w:r>
      <w:r>
        <w:rPr>
          <w:rFonts w:cs="Calibri"/>
          <w:color w:val="212121"/>
        </w:rPr>
        <w:t xml:space="preserve"> P., </w:t>
      </w:r>
      <w:proofErr w:type="spellStart"/>
      <w:r>
        <w:rPr>
          <w:rFonts w:cs="Calibri"/>
          <w:color w:val="212121"/>
        </w:rPr>
        <w:t>Rotko</w:t>
      </w:r>
      <w:proofErr w:type="spellEnd"/>
      <w:r>
        <w:rPr>
          <w:rFonts w:cs="Calibri"/>
          <w:color w:val="212121"/>
        </w:rPr>
        <w:t xml:space="preserve">, T., </w:t>
      </w:r>
      <w:proofErr w:type="spellStart"/>
      <w:r>
        <w:rPr>
          <w:rFonts w:cs="Calibri"/>
          <w:color w:val="212121"/>
        </w:rPr>
        <w:t>Putatti</w:t>
      </w:r>
      <w:proofErr w:type="spellEnd"/>
      <w:r>
        <w:rPr>
          <w:rFonts w:cs="Calibri"/>
          <w:color w:val="212121"/>
        </w:rPr>
        <w:t xml:space="preserve">, V., et al. (2023). </w:t>
      </w:r>
      <w:r w:rsidRPr="00554CE2">
        <w:rPr>
          <w:rFonts w:cs="Calibri"/>
          <w:color w:val="212121"/>
        </w:rPr>
        <w:t>Addressing health inequalities in Europe: key messages from the Joint Action Health Equity Europe (JAHEE)</w:t>
      </w:r>
      <w:r>
        <w:rPr>
          <w:rFonts w:cs="Calibri"/>
          <w:color w:val="212121"/>
        </w:rPr>
        <w:t xml:space="preserve">. </w:t>
      </w:r>
      <w:r w:rsidRPr="002D0AD6">
        <w:rPr>
          <w:rFonts w:cs="Calibri"/>
          <w:color w:val="212121"/>
        </w:rPr>
        <w:t>Archives of Public Health</w:t>
      </w:r>
      <w:r>
        <w:rPr>
          <w:rFonts w:cs="Calibri"/>
          <w:color w:val="212121"/>
        </w:rPr>
        <w:t>, 81, 89.</w:t>
      </w:r>
    </w:p>
    <w:p w14:paraId="5245630B" w14:textId="77777777" w:rsidR="007F0C8F" w:rsidRPr="001504E0" w:rsidRDefault="007F0C8F" w:rsidP="0049380C">
      <w:pPr>
        <w:pStyle w:val="ListParagraph"/>
        <w:numPr>
          <w:ilvl w:val="0"/>
          <w:numId w:val="2"/>
        </w:numPr>
        <w:rPr>
          <w:rFonts w:cs="Calibri"/>
          <w:color w:val="212121"/>
        </w:rPr>
      </w:pPr>
      <w:r w:rsidRPr="001504E0">
        <w:rPr>
          <w:rFonts w:cs="Calibri"/>
          <w:color w:val="212121"/>
        </w:rPr>
        <w:t>OECD/European Observatory on Health Systems and Policies. (2023). Slovenia: Country Health Profile 2023, State of Health in the EU,</w:t>
      </w:r>
      <w:r>
        <w:rPr>
          <w:rFonts w:cs="Calibri"/>
          <w:color w:val="212121"/>
        </w:rPr>
        <w:t xml:space="preserve"> </w:t>
      </w:r>
      <w:r w:rsidRPr="001504E0">
        <w:rPr>
          <w:rFonts w:cs="Calibri"/>
          <w:color w:val="212121"/>
        </w:rPr>
        <w:t>OECD Publishing, Paris/European Observatory on Health Systems and Policies, Brussels.</w:t>
      </w:r>
    </w:p>
    <w:p w14:paraId="745A3AF2" w14:textId="15C20F99" w:rsidR="007F0C8F" w:rsidRPr="0080559E" w:rsidRDefault="007F0C8F" w:rsidP="0049380C">
      <w:pPr>
        <w:pStyle w:val="ListParagraph"/>
        <w:numPr>
          <w:ilvl w:val="0"/>
          <w:numId w:val="2"/>
        </w:numPr>
        <w:rPr>
          <w:rFonts w:cs="Calibri"/>
          <w:color w:val="212121"/>
        </w:rPr>
      </w:pPr>
      <w:proofErr w:type="spellStart"/>
      <w:r w:rsidRPr="00926711">
        <w:rPr>
          <w:rFonts w:cs="Calibri"/>
          <w:color w:val="212121"/>
        </w:rPr>
        <w:t>Vračko</w:t>
      </w:r>
      <w:proofErr w:type="spellEnd"/>
      <w:r w:rsidRPr="00926711">
        <w:rPr>
          <w:rFonts w:cs="Calibri"/>
          <w:color w:val="212121"/>
        </w:rPr>
        <w:t>,</w:t>
      </w:r>
      <w:r>
        <w:rPr>
          <w:rFonts w:cs="Calibri"/>
          <w:color w:val="212121"/>
        </w:rPr>
        <w:t xml:space="preserve"> P., Kolar, U. (eds). (2021). </w:t>
      </w:r>
      <w:r w:rsidRPr="00554CE2">
        <w:rPr>
          <w:rFonts w:cs="Calibri"/>
          <w:color w:val="212121"/>
        </w:rPr>
        <w:t>Public Health Achievements in Slovenia</w:t>
      </w:r>
      <w:r>
        <w:rPr>
          <w:rFonts w:cs="Calibri"/>
          <w:color w:val="212121"/>
        </w:rPr>
        <w:t xml:space="preserve">. </w:t>
      </w:r>
      <w:r w:rsidRPr="007E32C4">
        <w:rPr>
          <w:rFonts w:cs="Calibri"/>
          <w:color w:val="212121"/>
        </w:rPr>
        <w:t>Ljubljana</w:t>
      </w:r>
      <w:r>
        <w:rPr>
          <w:rFonts w:cs="Calibri"/>
          <w:color w:val="212121"/>
        </w:rPr>
        <w:t xml:space="preserve">: </w:t>
      </w:r>
      <w:r w:rsidRPr="00960DDC">
        <w:rPr>
          <w:rFonts w:cs="Calibri"/>
          <w:color w:val="212121"/>
        </w:rPr>
        <w:t>National Institute of Public Health</w:t>
      </w:r>
      <w:r>
        <w:rPr>
          <w:rFonts w:cs="Calibri"/>
          <w:color w:val="212121"/>
        </w:rPr>
        <w:t>.</w:t>
      </w:r>
    </w:p>
    <w:p w14:paraId="449452D2" w14:textId="77777777" w:rsidR="007F0C8F" w:rsidRPr="00751FA8" w:rsidRDefault="007F0C8F" w:rsidP="007F0C8F">
      <w:pPr>
        <w:rPr>
          <w:rFonts w:cs="Calibri"/>
          <w:color w:val="212121"/>
        </w:rPr>
        <w:sectPr w:rsidR="007F0C8F" w:rsidRPr="00751FA8" w:rsidSect="007F0C8F">
          <w:pgSz w:w="11906" w:h="16838"/>
          <w:pgMar w:top="1440" w:right="1440" w:bottom="1440" w:left="1440" w:header="708" w:footer="708" w:gutter="0"/>
          <w:cols w:space="708"/>
          <w:docGrid w:linePitch="360"/>
        </w:sectPr>
      </w:pPr>
    </w:p>
    <w:p w14:paraId="1F88F460" w14:textId="25085DD2" w:rsidR="00E56B85" w:rsidRPr="00102C06" w:rsidRDefault="0080559E" w:rsidP="001B3603">
      <w:pPr>
        <w:rPr>
          <w:rFonts w:cs="Calibri"/>
          <w:color w:val="212121"/>
        </w:rPr>
      </w:pPr>
      <w:r w:rsidRPr="0080559E">
        <w:rPr>
          <w:rFonts w:cs="Calibri"/>
          <w:color w:val="212121"/>
          <w:highlight w:val="lightGray"/>
        </w:rPr>
        <w:lastRenderedPageBreak/>
        <w:t>[BACK PAGE]</w:t>
      </w:r>
    </w:p>
    <w:sectPr w:rsidR="00E56B85" w:rsidRPr="00102C06" w:rsidSect="000C6D44">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8141E9" w14:textId="77777777" w:rsidR="00DA1F51" w:rsidRDefault="00DA1F51" w:rsidP="00512468">
      <w:pPr>
        <w:spacing w:after="0" w:line="240" w:lineRule="auto"/>
      </w:pPr>
      <w:r>
        <w:separator/>
      </w:r>
    </w:p>
  </w:endnote>
  <w:endnote w:type="continuationSeparator" w:id="0">
    <w:p w14:paraId="572F9682" w14:textId="77777777" w:rsidR="00DA1F51" w:rsidRDefault="00DA1F51" w:rsidP="00512468">
      <w:pPr>
        <w:spacing w:after="0" w:line="240" w:lineRule="auto"/>
      </w:pPr>
      <w:r>
        <w:continuationSeparator/>
      </w:r>
    </w:p>
  </w:endnote>
  <w:endnote w:type="continuationNotice" w:id="1">
    <w:p w14:paraId="4666B83B" w14:textId="77777777" w:rsidR="00DA1F51" w:rsidRDefault="00DA1F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SemiBold">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2FF" w:usb1="5000205B" w:usb2="0000002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05947749"/>
      <w:docPartObj>
        <w:docPartGallery w:val="Page Numbers (Bottom of Page)"/>
        <w:docPartUnique/>
      </w:docPartObj>
    </w:sdtPr>
    <w:sdtContent>
      <w:p w14:paraId="6612404A" w14:textId="336559F0" w:rsidR="00444970" w:rsidRDefault="00444970" w:rsidP="0061022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350650">
          <w:rPr>
            <w:rStyle w:val="PageNumber"/>
            <w:noProof/>
          </w:rPr>
          <w:t>2</w:t>
        </w:r>
        <w:r>
          <w:rPr>
            <w:rStyle w:val="PageNumber"/>
          </w:rPr>
          <w:fldChar w:fldCharType="end"/>
        </w:r>
      </w:p>
    </w:sdtContent>
  </w:sdt>
  <w:p w14:paraId="6F608D1B" w14:textId="77777777" w:rsidR="00444970" w:rsidRDefault="00444970" w:rsidP="0044497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33006190"/>
      <w:docPartObj>
        <w:docPartGallery w:val="Page Numbers (Bottom of Page)"/>
        <w:docPartUnique/>
      </w:docPartObj>
    </w:sdtPr>
    <w:sdtContent>
      <w:p w14:paraId="6060357F" w14:textId="62453248" w:rsidR="00444970" w:rsidRDefault="00444970" w:rsidP="0061022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021EBCE" w14:textId="77777777" w:rsidR="00444970" w:rsidRDefault="00444970" w:rsidP="0044497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0EFFC6" w14:textId="77777777" w:rsidR="00DA1F51" w:rsidRDefault="00DA1F51" w:rsidP="00512468">
      <w:pPr>
        <w:spacing w:after="0" w:line="240" w:lineRule="auto"/>
      </w:pPr>
      <w:r>
        <w:separator/>
      </w:r>
    </w:p>
  </w:footnote>
  <w:footnote w:type="continuationSeparator" w:id="0">
    <w:p w14:paraId="7B0EA82D" w14:textId="77777777" w:rsidR="00DA1F51" w:rsidRDefault="00DA1F51" w:rsidP="00512468">
      <w:pPr>
        <w:spacing w:after="0" w:line="240" w:lineRule="auto"/>
      </w:pPr>
      <w:r>
        <w:continuationSeparator/>
      </w:r>
    </w:p>
  </w:footnote>
  <w:footnote w:type="continuationNotice" w:id="1">
    <w:p w14:paraId="25993D2A" w14:textId="77777777" w:rsidR="00DA1F51" w:rsidRDefault="00DA1F5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A22B5"/>
    <w:multiLevelType w:val="hybridMultilevel"/>
    <w:tmpl w:val="5C56B2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EBD1F66"/>
    <w:multiLevelType w:val="hybridMultilevel"/>
    <w:tmpl w:val="9D263C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7C40CC"/>
    <w:multiLevelType w:val="hybridMultilevel"/>
    <w:tmpl w:val="0A26B3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8FA6542"/>
    <w:multiLevelType w:val="hybridMultilevel"/>
    <w:tmpl w:val="BBAAD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51084"/>
    <w:multiLevelType w:val="hybridMultilevel"/>
    <w:tmpl w:val="B1EC4D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C7E4CD8"/>
    <w:multiLevelType w:val="hybridMultilevel"/>
    <w:tmpl w:val="8320F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1B0D3F"/>
    <w:multiLevelType w:val="hybridMultilevel"/>
    <w:tmpl w:val="9ADED1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E844B6"/>
    <w:multiLevelType w:val="hybridMultilevel"/>
    <w:tmpl w:val="47784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9C7BF2"/>
    <w:multiLevelType w:val="multilevel"/>
    <w:tmpl w:val="08090025"/>
    <w:styleLink w:val="CurrentList1"/>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238F4E36"/>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15:restartNumberingAfterBreak="0">
    <w:nsid w:val="36C8614F"/>
    <w:multiLevelType w:val="hybridMultilevel"/>
    <w:tmpl w:val="99F61D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F0E3409"/>
    <w:multiLevelType w:val="hybridMultilevel"/>
    <w:tmpl w:val="D4DC9C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3607C3B"/>
    <w:multiLevelType w:val="hybridMultilevel"/>
    <w:tmpl w:val="71729D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F1F02B4"/>
    <w:multiLevelType w:val="hybridMultilevel"/>
    <w:tmpl w:val="A53C6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0AA2E8F"/>
    <w:multiLevelType w:val="hybridMultilevel"/>
    <w:tmpl w:val="4C4A1758"/>
    <w:lvl w:ilvl="0" w:tplc="9DF8CD66">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3335571"/>
    <w:multiLevelType w:val="hybridMultilevel"/>
    <w:tmpl w:val="48C2A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69F0BD0"/>
    <w:multiLevelType w:val="hybridMultilevel"/>
    <w:tmpl w:val="B5D081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B89065F"/>
    <w:multiLevelType w:val="hybridMultilevel"/>
    <w:tmpl w:val="3F16BB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197699221">
    <w:abstractNumId w:val="13"/>
  </w:num>
  <w:num w:numId="2" w16cid:durableId="1238248626">
    <w:abstractNumId w:val="0"/>
  </w:num>
  <w:num w:numId="3" w16cid:durableId="1546721522">
    <w:abstractNumId w:val="10"/>
  </w:num>
  <w:num w:numId="4" w16cid:durableId="570310627">
    <w:abstractNumId w:val="4"/>
  </w:num>
  <w:num w:numId="5" w16cid:durableId="809901954">
    <w:abstractNumId w:val="16"/>
  </w:num>
  <w:num w:numId="6" w16cid:durableId="85662291">
    <w:abstractNumId w:val="12"/>
  </w:num>
  <w:num w:numId="7" w16cid:durableId="609320562">
    <w:abstractNumId w:val="2"/>
  </w:num>
  <w:num w:numId="8" w16cid:durableId="881593784">
    <w:abstractNumId w:val="17"/>
  </w:num>
  <w:num w:numId="9" w16cid:durableId="731805844">
    <w:abstractNumId w:val="9"/>
  </w:num>
  <w:num w:numId="10" w16cid:durableId="959603571">
    <w:abstractNumId w:val="8"/>
  </w:num>
  <w:num w:numId="11" w16cid:durableId="898982331">
    <w:abstractNumId w:val="7"/>
  </w:num>
  <w:num w:numId="12" w16cid:durableId="1418673386">
    <w:abstractNumId w:val="6"/>
  </w:num>
  <w:num w:numId="13" w16cid:durableId="969046099">
    <w:abstractNumId w:val="15"/>
  </w:num>
  <w:num w:numId="14" w16cid:durableId="735324309">
    <w:abstractNumId w:val="3"/>
  </w:num>
  <w:num w:numId="15" w16cid:durableId="858858269">
    <w:abstractNumId w:val="11"/>
  </w:num>
  <w:num w:numId="16" w16cid:durableId="685013829">
    <w:abstractNumId w:val="14"/>
  </w:num>
  <w:num w:numId="17" w16cid:durableId="247155086">
    <w:abstractNumId w:val="1"/>
  </w:num>
  <w:num w:numId="18" w16cid:durableId="2082438076">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Numbered&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dx0ffwwqd5ev9edfsppd5e0aavewvxp5rpx&quot;&gt;Country profile&lt;record-ids&gt;&lt;item&gt;4&lt;/item&gt;&lt;item&gt;6&lt;/item&gt;&lt;item&gt;8&lt;/item&gt;&lt;item&gt;9&lt;/item&gt;&lt;item&gt;10&lt;/item&gt;&lt;item&gt;12&lt;/item&gt;&lt;item&gt;13&lt;/item&gt;&lt;item&gt;14&lt;/item&gt;&lt;item&gt;15&lt;/item&gt;&lt;item&gt;16&lt;/item&gt;&lt;item&gt;17&lt;/item&gt;&lt;item&gt;18&lt;/item&gt;&lt;item&gt;20&lt;/item&gt;&lt;item&gt;22&lt;/item&gt;&lt;item&gt;23&lt;/item&gt;&lt;/record-ids&gt;&lt;/item&gt;&lt;/Libraries&gt;"/>
  </w:docVars>
  <w:rsids>
    <w:rsidRoot w:val="00667F52"/>
    <w:rsid w:val="0000131E"/>
    <w:rsid w:val="00001849"/>
    <w:rsid w:val="00001D42"/>
    <w:rsid w:val="000025DE"/>
    <w:rsid w:val="00002FFF"/>
    <w:rsid w:val="0000417E"/>
    <w:rsid w:val="0000573F"/>
    <w:rsid w:val="00005FF4"/>
    <w:rsid w:val="0000630F"/>
    <w:rsid w:val="000063A6"/>
    <w:rsid w:val="000065CA"/>
    <w:rsid w:val="00007D59"/>
    <w:rsid w:val="00010185"/>
    <w:rsid w:val="00011535"/>
    <w:rsid w:val="00011B87"/>
    <w:rsid w:val="00011E3C"/>
    <w:rsid w:val="00011F1D"/>
    <w:rsid w:val="000122E1"/>
    <w:rsid w:val="000124D9"/>
    <w:rsid w:val="00012FA9"/>
    <w:rsid w:val="000133FB"/>
    <w:rsid w:val="00013694"/>
    <w:rsid w:val="000137E1"/>
    <w:rsid w:val="000139BE"/>
    <w:rsid w:val="00013BD6"/>
    <w:rsid w:val="00014AD5"/>
    <w:rsid w:val="00015193"/>
    <w:rsid w:val="00015412"/>
    <w:rsid w:val="0001541A"/>
    <w:rsid w:val="00015A0C"/>
    <w:rsid w:val="00015CDC"/>
    <w:rsid w:val="00015CED"/>
    <w:rsid w:val="00017869"/>
    <w:rsid w:val="00017AD6"/>
    <w:rsid w:val="00020D0F"/>
    <w:rsid w:val="00020E3D"/>
    <w:rsid w:val="00021528"/>
    <w:rsid w:val="00021B12"/>
    <w:rsid w:val="00021F42"/>
    <w:rsid w:val="000221A5"/>
    <w:rsid w:val="0002399F"/>
    <w:rsid w:val="0002417E"/>
    <w:rsid w:val="00024743"/>
    <w:rsid w:val="000256FF"/>
    <w:rsid w:val="00025BBB"/>
    <w:rsid w:val="00025EB9"/>
    <w:rsid w:val="0003005E"/>
    <w:rsid w:val="00030D5A"/>
    <w:rsid w:val="00031FBB"/>
    <w:rsid w:val="0003267E"/>
    <w:rsid w:val="000331DA"/>
    <w:rsid w:val="0003332E"/>
    <w:rsid w:val="00033475"/>
    <w:rsid w:val="00033C0F"/>
    <w:rsid w:val="00033F80"/>
    <w:rsid w:val="000343FD"/>
    <w:rsid w:val="00035338"/>
    <w:rsid w:val="00035EF9"/>
    <w:rsid w:val="00035F65"/>
    <w:rsid w:val="00036164"/>
    <w:rsid w:val="0003658D"/>
    <w:rsid w:val="00036C84"/>
    <w:rsid w:val="00036DC6"/>
    <w:rsid w:val="00036DFB"/>
    <w:rsid w:val="00037BC9"/>
    <w:rsid w:val="00037EBF"/>
    <w:rsid w:val="00040EFC"/>
    <w:rsid w:val="0004131E"/>
    <w:rsid w:val="000419C0"/>
    <w:rsid w:val="00042454"/>
    <w:rsid w:val="000425D0"/>
    <w:rsid w:val="00042976"/>
    <w:rsid w:val="00044B4E"/>
    <w:rsid w:val="00044D04"/>
    <w:rsid w:val="000455EF"/>
    <w:rsid w:val="0004591A"/>
    <w:rsid w:val="00046BE7"/>
    <w:rsid w:val="0004765C"/>
    <w:rsid w:val="00047D2D"/>
    <w:rsid w:val="000515F1"/>
    <w:rsid w:val="00051CA2"/>
    <w:rsid w:val="000520BD"/>
    <w:rsid w:val="000521BF"/>
    <w:rsid w:val="00052807"/>
    <w:rsid w:val="00053159"/>
    <w:rsid w:val="000535EE"/>
    <w:rsid w:val="00053FA2"/>
    <w:rsid w:val="00054866"/>
    <w:rsid w:val="00054B52"/>
    <w:rsid w:val="00055153"/>
    <w:rsid w:val="00055899"/>
    <w:rsid w:val="00056802"/>
    <w:rsid w:val="00056AB4"/>
    <w:rsid w:val="000579E0"/>
    <w:rsid w:val="00057ABB"/>
    <w:rsid w:val="00061A15"/>
    <w:rsid w:val="00061C97"/>
    <w:rsid w:val="00063302"/>
    <w:rsid w:val="0006485E"/>
    <w:rsid w:val="000651DF"/>
    <w:rsid w:val="000653CF"/>
    <w:rsid w:val="00065A1F"/>
    <w:rsid w:val="00065F8D"/>
    <w:rsid w:val="0006666A"/>
    <w:rsid w:val="0006680E"/>
    <w:rsid w:val="000675C6"/>
    <w:rsid w:val="00067704"/>
    <w:rsid w:val="00067D83"/>
    <w:rsid w:val="00067E02"/>
    <w:rsid w:val="000700D7"/>
    <w:rsid w:val="0007029B"/>
    <w:rsid w:val="0007043F"/>
    <w:rsid w:val="000725AE"/>
    <w:rsid w:val="0007287A"/>
    <w:rsid w:val="00072B03"/>
    <w:rsid w:val="00072D4F"/>
    <w:rsid w:val="00072E9E"/>
    <w:rsid w:val="00072FDC"/>
    <w:rsid w:val="00073C74"/>
    <w:rsid w:val="00073D8D"/>
    <w:rsid w:val="000740EA"/>
    <w:rsid w:val="00074387"/>
    <w:rsid w:val="00074E1F"/>
    <w:rsid w:val="0007500D"/>
    <w:rsid w:val="000751B3"/>
    <w:rsid w:val="00075665"/>
    <w:rsid w:val="00076174"/>
    <w:rsid w:val="000764E0"/>
    <w:rsid w:val="000805AC"/>
    <w:rsid w:val="00080618"/>
    <w:rsid w:val="00080CF6"/>
    <w:rsid w:val="00080F12"/>
    <w:rsid w:val="000828CE"/>
    <w:rsid w:val="00082C80"/>
    <w:rsid w:val="00082EDA"/>
    <w:rsid w:val="00083AB6"/>
    <w:rsid w:val="000846F5"/>
    <w:rsid w:val="00084A9D"/>
    <w:rsid w:val="00084EFC"/>
    <w:rsid w:val="00085348"/>
    <w:rsid w:val="0008606D"/>
    <w:rsid w:val="00086B61"/>
    <w:rsid w:val="0008722F"/>
    <w:rsid w:val="00087237"/>
    <w:rsid w:val="00090359"/>
    <w:rsid w:val="00090691"/>
    <w:rsid w:val="00091072"/>
    <w:rsid w:val="0009171D"/>
    <w:rsid w:val="00091A1B"/>
    <w:rsid w:val="00092218"/>
    <w:rsid w:val="00092282"/>
    <w:rsid w:val="00092452"/>
    <w:rsid w:val="00092734"/>
    <w:rsid w:val="0009303A"/>
    <w:rsid w:val="000937C7"/>
    <w:rsid w:val="00094688"/>
    <w:rsid w:val="00095962"/>
    <w:rsid w:val="000964F4"/>
    <w:rsid w:val="0009707E"/>
    <w:rsid w:val="000977A7"/>
    <w:rsid w:val="000978EB"/>
    <w:rsid w:val="000A04D5"/>
    <w:rsid w:val="000A0689"/>
    <w:rsid w:val="000A0691"/>
    <w:rsid w:val="000A0BB4"/>
    <w:rsid w:val="000A0E7E"/>
    <w:rsid w:val="000A350D"/>
    <w:rsid w:val="000A39DB"/>
    <w:rsid w:val="000A54FE"/>
    <w:rsid w:val="000A578E"/>
    <w:rsid w:val="000A5958"/>
    <w:rsid w:val="000A5E90"/>
    <w:rsid w:val="000A657B"/>
    <w:rsid w:val="000A66BA"/>
    <w:rsid w:val="000A67E4"/>
    <w:rsid w:val="000A6C32"/>
    <w:rsid w:val="000A6CDF"/>
    <w:rsid w:val="000A6E05"/>
    <w:rsid w:val="000A6F11"/>
    <w:rsid w:val="000B10C2"/>
    <w:rsid w:val="000B128F"/>
    <w:rsid w:val="000B1D79"/>
    <w:rsid w:val="000B1FAD"/>
    <w:rsid w:val="000B2D8D"/>
    <w:rsid w:val="000B39F1"/>
    <w:rsid w:val="000B3D4B"/>
    <w:rsid w:val="000B4001"/>
    <w:rsid w:val="000B4112"/>
    <w:rsid w:val="000B4557"/>
    <w:rsid w:val="000B4F07"/>
    <w:rsid w:val="000B76C8"/>
    <w:rsid w:val="000B76DB"/>
    <w:rsid w:val="000B783A"/>
    <w:rsid w:val="000C0703"/>
    <w:rsid w:val="000C12C6"/>
    <w:rsid w:val="000C12E7"/>
    <w:rsid w:val="000C16B1"/>
    <w:rsid w:val="000C295C"/>
    <w:rsid w:val="000C29FE"/>
    <w:rsid w:val="000C37A4"/>
    <w:rsid w:val="000C428D"/>
    <w:rsid w:val="000C42E9"/>
    <w:rsid w:val="000C445C"/>
    <w:rsid w:val="000C445D"/>
    <w:rsid w:val="000C4654"/>
    <w:rsid w:val="000C48D0"/>
    <w:rsid w:val="000C5634"/>
    <w:rsid w:val="000C6342"/>
    <w:rsid w:val="000C6AB0"/>
    <w:rsid w:val="000C6CA4"/>
    <w:rsid w:val="000C6D44"/>
    <w:rsid w:val="000C9E89"/>
    <w:rsid w:val="000D14B7"/>
    <w:rsid w:val="000D1933"/>
    <w:rsid w:val="000D1E7F"/>
    <w:rsid w:val="000D2499"/>
    <w:rsid w:val="000D2822"/>
    <w:rsid w:val="000D31B3"/>
    <w:rsid w:val="000D4069"/>
    <w:rsid w:val="000D427C"/>
    <w:rsid w:val="000D452B"/>
    <w:rsid w:val="000D4FEF"/>
    <w:rsid w:val="000D51B8"/>
    <w:rsid w:val="000D54E9"/>
    <w:rsid w:val="000D5875"/>
    <w:rsid w:val="000D64B4"/>
    <w:rsid w:val="000D7385"/>
    <w:rsid w:val="000D7665"/>
    <w:rsid w:val="000E06EF"/>
    <w:rsid w:val="000E129D"/>
    <w:rsid w:val="000E1B34"/>
    <w:rsid w:val="000E2476"/>
    <w:rsid w:val="000E266A"/>
    <w:rsid w:val="000E276A"/>
    <w:rsid w:val="000E2BCB"/>
    <w:rsid w:val="000E399D"/>
    <w:rsid w:val="000E48BD"/>
    <w:rsid w:val="000E5288"/>
    <w:rsid w:val="000E5711"/>
    <w:rsid w:val="000E5CE1"/>
    <w:rsid w:val="000E6BEE"/>
    <w:rsid w:val="000E6C52"/>
    <w:rsid w:val="000E7314"/>
    <w:rsid w:val="000E75C6"/>
    <w:rsid w:val="000E7D2B"/>
    <w:rsid w:val="000F022E"/>
    <w:rsid w:val="000F0817"/>
    <w:rsid w:val="000F0AAB"/>
    <w:rsid w:val="000F1291"/>
    <w:rsid w:val="000F1C95"/>
    <w:rsid w:val="000F24EE"/>
    <w:rsid w:val="000F2DAA"/>
    <w:rsid w:val="000F321C"/>
    <w:rsid w:val="000F368B"/>
    <w:rsid w:val="000F5DE6"/>
    <w:rsid w:val="000F6CCD"/>
    <w:rsid w:val="000F7170"/>
    <w:rsid w:val="000F752E"/>
    <w:rsid w:val="000F7BDE"/>
    <w:rsid w:val="000F7E6F"/>
    <w:rsid w:val="000F7F56"/>
    <w:rsid w:val="000F7FB2"/>
    <w:rsid w:val="0010155E"/>
    <w:rsid w:val="00101652"/>
    <w:rsid w:val="00102681"/>
    <w:rsid w:val="00102C06"/>
    <w:rsid w:val="00102DC1"/>
    <w:rsid w:val="00102FA4"/>
    <w:rsid w:val="00103CD4"/>
    <w:rsid w:val="00104DCD"/>
    <w:rsid w:val="001051BE"/>
    <w:rsid w:val="001054E9"/>
    <w:rsid w:val="0010588D"/>
    <w:rsid w:val="00105ECB"/>
    <w:rsid w:val="00106F31"/>
    <w:rsid w:val="00107299"/>
    <w:rsid w:val="00107F93"/>
    <w:rsid w:val="00110920"/>
    <w:rsid w:val="00110C46"/>
    <w:rsid w:val="00112674"/>
    <w:rsid w:val="00112C40"/>
    <w:rsid w:val="00113861"/>
    <w:rsid w:val="00113B71"/>
    <w:rsid w:val="00113E6A"/>
    <w:rsid w:val="00114A04"/>
    <w:rsid w:val="001150E2"/>
    <w:rsid w:val="001164A2"/>
    <w:rsid w:val="00117277"/>
    <w:rsid w:val="00117509"/>
    <w:rsid w:val="001179E9"/>
    <w:rsid w:val="0012006D"/>
    <w:rsid w:val="00120F72"/>
    <w:rsid w:val="00121069"/>
    <w:rsid w:val="00121E25"/>
    <w:rsid w:val="00122694"/>
    <w:rsid w:val="001226C3"/>
    <w:rsid w:val="001229D1"/>
    <w:rsid w:val="001235C9"/>
    <w:rsid w:val="00125234"/>
    <w:rsid w:val="00125560"/>
    <w:rsid w:val="001257ED"/>
    <w:rsid w:val="00125B0F"/>
    <w:rsid w:val="00125B4C"/>
    <w:rsid w:val="00126D31"/>
    <w:rsid w:val="00126D95"/>
    <w:rsid w:val="00126F39"/>
    <w:rsid w:val="00127CD7"/>
    <w:rsid w:val="001307F6"/>
    <w:rsid w:val="00130CAD"/>
    <w:rsid w:val="00131451"/>
    <w:rsid w:val="001319BE"/>
    <w:rsid w:val="0013322A"/>
    <w:rsid w:val="00133244"/>
    <w:rsid w:val="00134842"/>
    <w:rsid w:val="00134D01"/>
    <w:rsid w:val="00134FA5"/>
    <w:rsid w:val="00135EDF"/>
    <w:rsid w:val="00136D06"/>
    <w:rsid w:val="00137671"/>
    <w:rsid w:val="001412F3"/>
    <w:rsid w:val="00141708"/>
    <w:rsid w:val="00141846"/>
    <w:rsid w:val="0014214F"/>
    <w:rsid w:val="001425E7"/>
    <w:rsid w:val="00142D27"/>
    <w:rsid w:val="00142EA6"/>
    <w:rsid w:val="001433F5"/>
    <w:rsid w:val="00143836"/>
    <w:rsid w:val="00144270"/>
    <w:rsid w:val="001443F1"/>
    <w:rsid w:val="0014570B"/>
    <w:rsid w:val="001459E4"/>
    <w:rsid w:val="00145A99"/>
    <w:rsid w:val="00145C06"/>
    <w:rsid w:val="00145D26"/>
    <w:rsid w:val="00146D32"/>
    <w:rsid w:val="001471A9"/>
    <w:rsid w:val="001504E0"/>
    <w:rsid w:val="00150B41"/>
    <w:rsid w:val="0015218E"/>
    <w:rsid w:val="0015220B"/>
    <w:rsid w:val="00152EA9"/>
    <w:rsid w:val="00153719"/>
    <w:rsid w:val="00153724"/>
    <w:rsid w:val="0015394E"/>
    <w:rsid w:val="00154139"/>
    <w:rsid w:val="001543F1"/>
    <w:rsid w:val="001552A0"/>
    <w:rsid w:val="001553BA"/>
    <w:rsid w:val="00155B5C"/>
    <w:rsid w:val="001565DD"/>
    <w:rsid w:val="001610D5"/>
    <w:rsid w:val="001618E7"/>
    <w:rsid w:val="00161933"/>
    <w:rsid w:val="00161969"/>
    <w:rsid w:val="001625D9"/>
    <w:rsid w:val="00162725"/>
    <w:rsid w:val="00162DF9"/>
    <w:rsid w:val="00163B17"/>
    <w:rsid w:val="00163E50"/>
    <w:rsid w:val="001643BC"/>
    <w:rsid w:val="001643C5"/>
    <w:rsid w:val="001648E5"/>
    <w:rsid w:val="00164BCE"/>
    <w:rsid w:val="001650AE"/>
    <w:rsid w:val="00165C91"/>
    <w:rsid w:val="0016638C"/>
    <w:rsid w:val="00166F8C"/>
    <w:rsid w:val="001672F7"/>
    <w:rsid w:val="00167756"/>
    <w:rsid w:val="0016792A"/>
    <w:rsid w:val="00170693"/>
    <w:rsid w:val="001707A2"/>
    <w:rsid w:val="00170AB0"/>
    <w:rsid w:val="0017122E"/>
    <w:rsid w:val="0017145F"/>
    <w:rsid w:val="00172384"/>
    <w:rsid w:val="001723FE"/>
    <w:rsid w:val="00172577"/>
    <w:rsid w:val="00172BFF"/>
    <w:rsid w:val="00172F24"/>
    <w:rsid w:val="00173D77"/>
    <w:rsid w:val="001740B8"/>
    <w:rsid w:val="00174138"/>
    <w:rsid w:val="00174EE3"/>
    <w:rsid w:val="00175527"/>
    <w:rsid w:val="0017573F"/>
    <w:rsid w:val="00175E3A"/>
    <w:rsid w:val="00175ED1"/>
    <w:rsid w:val="00176A17"/>
    <w:rsid w:val="0018006E"/>
    <w:rsid w:val="00180913"/>
    <w:rsid w:val="0018098C"/>
    <w:rsid w:val="001810B5"/>
    <w:rsid w:val="00181BCA"/>
    <w:rsid w:val="00181F13"/>
    <w:rsid w:val="00183D1A"/>
    <w:rsid w:val="0018478D"/>
    <w:rsid w:val="00184DE3"/>
    <w:rsid w:val="001851F7"/>
    <w:rsid w:val="00185892"/>
    <w:rsid w:val="0018771F"/>
    <w:rsid w:val="00187DD6"/>
    <w:rsid w:val="00190700"/>
    <w:rsid w:val="00191936"/>
    <w:rsid w:val="00191BFC"/>
    <w:rsid w:val="00192976"/>
    <w:rsid w:val="00192BD9"/>
    <w:rsid w:val="00192D06"/>
    <w:rsid w:val="0019314A"/>
    <w:rsid w:val="00193AF6"/>
    <w:rsid w:val="001940C0"/>
    <w:rsid w:val="001943E6"/>
    <w:rsid w:val="00194E09"/>
    <w:rsid w:val="00196039"/>
    <w:rsid w:val="001964E3"/>
    <w:rsid w:val="00196FE5"/>
    <w:rsid w:val="00197279"/>
    <w:rsid w:val="0019782E"/>
    <w:rsid w:val="00197853"/>
    <w:rsid w:val="00197892"/>
    <w:rsid w:val="001979CD"/>
    <w:rsid w:val="001A1164"/>
    <w:rsid w:val="001A1337"/>
    <w:rsid w:val="001A15B7"/>
    <w:rsid w:val="001A1DBE"/>
    <w:rsid w:val="001A28FA"/>
    <w:rsid w:val="001A298B"/>
    <w:rsid w:val="001A2A9A"/>
    <w:rsid w:val="001A30BF"/>
    <w:rsid w:val="001A3223"/>
    <w:rsid w:val="001A3829"/>
    <w:rsid w:val="001A38FE"/>
    <w:rsid w:val="001A4393"/>
    <w:rsid w:val="001A4770"/>
    <w:rsid w:val="001A5175"/>
    <w:rsid w:val="001A61F5"/>
    <w:rsid w:val="001A6FEE"/>
    <w:rsid w:val="001A7C4F"/>
    <w:rsid w:val="001A7C99"/>
    <w:rsid w:val="001B0045"/>
    <w:rsid w:val="001B036E"/>
    <w:rsid w:val="001B06F8"/>
    <w:rsid w:val="001B0C62"/>
    <w:rsid w:val="001B0FC3"/>
    <w:rsid w:val="001B1978"/>
    <w:rsid w:val="001B206D"/>
    <w:rsid w:val="001B2B62"/>
    <w:rsid w:val="001B2E63"/>
    <w:rsid w:val="001B3603"/>
    <w:rsid w:val="001B42F7"/>
    <w:rsid w:val="001B4CFE"/>
    <w:rsid w:val="001B4E40"/>
    <w:rsid w:val="001B4F2A"/>
    <w:rsid w:val="001B5B31"/>
    <w:rsid w:val="001B5CD1"/>
    <w:rsid w:val="001B68B8"/>
    <w:rsid w:val="001B6A84"/>
    <w:rsid w:val="001B6D96"/>
    <w:rsid w:val="001B7424"/>
    <w:rsid w:val="001B79D9"/>
    <w:rsid w:val="001C02A3"/>
    <w:rsid w:val="001C05E7"/>
    <w:rsid w:val="001C0A30"/>
    <w:rsid w:val="001C14B3"/>
    <w:rsid w:val="001C15FE"/>
    <w:rsid w:val="001C172A"/>
    <w:rsid w:val="001C1BFD"/>
    <w:rsid w:val="001C1F08"/>
    <w:rsid w:val="001C256D"/>
    <w:rsid w:val="001C2BE1"/>
    <w:rsid w:val="001C4018"/>
    <w:rsid w:val="001C4CAB"/>
    <w:rsid w:val="001C4F61"/>
    <w:rsid w:val="001C576A"/>
    <w:rsid w:val="001C5AC8"/>
    <w:rsid w:val="001C5B7A"/>
    <w:rsid w:val="001C5D0C"/>
    <w:rsid w:val="001C607D"/>
    <w:rsid w:val="001C6405"/>
    <w:rsid w:val="001C66B4"/>
    <w:rsid w:val="001D085B"/>
    <w:rsid w:val="001D2004"/>
    <w:rsid w:val="001D3D74"/>
    <w:rsid w:val="001D3DEE"/>
    <w:rsid w:val="001D3E6B"/>
    <w:rsid w:val="001D48E3"/>
    <w:rsid w:val="001D4C99"/>
    <w:rsid w:val="001D4CC6"/>
    <w:rsid w:val="001D5113"/>
    <w:rsid w:val="001D5806"/>
    <w:rsid w:val="001D5F73"/>
    <w:rsid w:val="001D64E6"/>
    <w:rsid w:val="001D6CC2"/>
    <w:rsid w:val="001D6DEF"/>
    <w:rsid w:val="001D77D1"/>
    <w:rsid w:val="001D7ACB"/>
    <w:rsid w:val="001E032E"/>
    <w:rsid w:val="001E0D7D"/>
    <w:rsid w:val="001E0FC0"/>
    <w:rsid w:val="001E0FF2"/>
    <w:rsid w:val="001E12D7"/>
    <w:rsid w:val="001E134E"/>
    <w:rsid w:val="001E13CA"/>
    <w:rsid w:val="001E23B6"/>
    <w:rsid w:val="001E25AE"/>
    <w:rsid w:val="001E2B6C"/>
    <w:rsid w:val="001E479E"/>
    <w:rsid w:val="001E4874"/>
    <w:rsid w:val="001E488E"/>
    <w:rsid w:val="001E4A7C"/>
    <w:rsid w:val="001E5ABE"/>
    <w:rsid w:val="001E6A82"/>
    <w:rsid w:val="001E7981"/>
    <w:rsid w:val="001E7F4D"/>
    <w:rsid w:val="001F0681"/>
    <w:rsid w:val="001F0E1D"/>
    <w:rsid w:val="001F18AF"/>
    <w:rsid w:val="001F1CB9"/>
    <w:rsid w:val="001F1F96"/>
    <w:rsid w:val="001F2544"/>
    <w:rsid w:val="001F4084"/>
    <w:rsid w:val="001F46CC"/>
    <w:rsid w:val="001F56B4"/>
    <w:rsid w:val="001F5703"/>
    <w:rsid w:val="001F5C90"/>
    <w:rsid w:val="001F604E"/>
    <w:rsid w:val="001F6BF3"/>
    <w:rsid w:val="001F6C98"/>
    <w:rsid w:val="001F6CC6"/>
    <w:rsid w:val="002002A2"/>
    <w:rsid w:val="00200DA4"/>
    <w:rsid w:val="002016C3"/>
    <w:rsid w:val="002019C4"/>
    <w:rsid w:val="00201CE2"/>
    <w:rsid w:val="00201D70"/>
    <w:rsid w:val="00203312"/>
    <w:rsid w:val="002036FA"/>
    <w:rsid w:val="00203C8E"/>
    <w:rsid w:val="002044BE"/>
    <w:rsid w:val="00204E5A"/>
    <w:rsid w:val="00204F20"/>
    <w:rsid w:val="00206A7F"/>
    <w:rsid w:val="00206ABD"/>
    <w:rsid w:val="002076D9"/>
    <w:rsid w:val="002114F7"/>
    <w:rsid w:val="00211CCC"/>
    <w:rsid w:val="002127A0"/>
    <w:rsid w:val="00212BA4"/>
    <w:rsid w:val="00212EB2"/>
    <w:rsid w:val="00213F72"/>
    <w:rsid w:val="00214002"/>
    <w:rsid w:val="00214893"/>
    <w:rsid w:val="00214A16"/>
    <w:rsid w:val="00215005"/>
    <w:rsid w:val="0021538F"/>
    <w:rsid w:val="002155A1"/>
    <w:rsid w:val="0021593E"/>
    <w:rsid w:val="00215A57"/>
    <w:rsid w:val="0021617E"/>
    <w:rsid w:val="0021697A"/>
    <w:rsid w:val="00217153"/>
    <w:rsid w:val="002202EF"/>
    <w:rsid w:val="00220378"/>
    <w:rsid w:val="00220798"/>
    <w:rsid w:val="0022139D"/>
    <w:rsid w:val="00222C50"/>
    <w:rsid w:val="002235D6"/>
    <w:rsid w:val="00223F2F"/>
    <w:rsid w:val="00223FCB"/>
    <w:rsid w:val="0022433C"/>
    <w:rsid w:val="00224AA4"/>
    <w:rsid w:val="00224AFF"/>
    <w:rsid w:val="002258F3"/>
    <w:rsid w:val="00225955"/>
    <w:rsid w:val="00225A58"/>
    <w:rsid w:val="00226338"/>
    <w:rsid w:val="0022651B"/>
    <w:rsid w:val="002266A6"/>
    <w:rsid w:val="00227132"/>
    <w:rsid w:val="00230415"/>
    <w:rsid w:val="00230FA3"/>
    <w:rsid w:val="00231D31"/>
    <w:rsid w:val="0023294F"/>
    <w:rsid w:val="00232A9A"/>
    <w:rsid w:val="00233788"/>
    <w:rsid w:val="00233A11"/>
    <w:rsid w:val="00234848"/>
    <w:rsid w:val="002348E4"/>
    <w:rsid w:val="00234C7B"/>
    <w:rsid w:val="002351A6"/>
    <w:rsid w:val="002353EE"/>
    <w:rsid w:val="00236D60"/>
    <w:rsid w:val="00237889"/>
    <w:rsid w:val="00237B5D"/>
    <w:rsid w:val="00237DEC"/>
    <w:rsid w:val="0024263C"/>
    <w:rsid w:val="00242669"/>
    <w:rsid w:val="00242D8F"/>
    <w:rsid w:val="00243192"/>
    <w:rsid w:val="0024385B"/>
    <w:rsid w:val="00243A46"/>
    <w:rsid w:val="00244246"/>
    <w:rsid w:val="002442AE"/>
    <w:rsid w:val="00246A85"/>
    <w:rsid w:val="00246DC2"/>
    <w:rsid w:val="00247057"/>
    <w:rsid w:val="002470CA"/>
    <w:rsid w:val="00247CBE"/>
    <w:rsid w:val="00247D69"/>
    <w:rsid w:val="00247EAE"/>
    <w:rsid w:val="002502C6"/>
    <w:rsid w:val="00250706"/>
    <w:rsid w:val="00250929"/>
    <w:rsid w:val="00250D13"/>
    <w:rsid w:val="00251CE9"/>
    <w:rsid w:val="00251DBD"/>
    <w:rsid w:val="00251F23"/>
    <w:rsid w:val="00252882"/>
    <w:rsid w:val="00253165"/>
    <w:rsid w:val="0025334C"/>
    <w:rsid w:val="00253411"/>
    <w:rsid w:val="0025362D"/>
    <w:rsid w:val="00253F04"/>
    <w:rsid w:val="002544D0"/>
    <w:rsid w:val="00254C31"/>
    <w:rsid w:val="002553ED"/>
    <w:rsid w:val="00255C4E"/>
    <w:rsid w:val="0025677E"/>
    <w:rsid w:val="002568FC"/>
    <w:rsid w:val="00256BEB"/>
    <w:rsid w:val="00256E67"/>
    <w:rsid w:val="002570FD"/>
    <w:rsid w:val="00257821"/>
    <w:rsid w:val="00257C71"/>
    <w:rsid w:val="00260069"/>
    <w:rsid w:val="00261112"/>
    <w:rsid w:val="002619A5"/>
    <w:rsid w:val="0026295C"/>
    <w:rsid w:val="00262DA9"/>
    <w:rsid w:val="002642D0"/>
    <w:rsid w:val="00264BD3"/>
    <w:rsid w:val="00264BFF"/>
    <w:rsid w:val="00264C59"/>
    <w:rsid w:val="00264F3E"/>
    <w:rsid w:val="002652BB"/>
    <w:rsid w:val="002656EE"/>
    <w:rsid w:val="00265D49"/>
    <w:rsid w:val="002666CC"/>
    <w:rsid w:val="002669DF"/>
    <w:rsid w:val="00270687"/>
    <w:rsid w:val="00270F7F"/>
    <w:rsid w:val="002721C1"/>
    <w:rsid w:val="00272255"/>
    <w:rsid w:val="00272AA3"/>
    <w:rsid w:val="0027395C"/>
    <w:rsid w:val="00273C87"/>
    <w:rsid w:val="00274963"/>
    <w:rsid w:val="00275645"/>
    <w:rsid w:val="00275F10"/>
    <w:rsid w:val="00276935"/>
    <w:rsid w:val="0027769E"/>
    <w:rsid w:val="002776A7"/>
    <w:rsid w:val="00277AE8"/>
    <w:rsid w:val="00277FBD"/>
    <w:rsid w:val="0028055D"/>
    <w:rsid w:val="002832BC"/>
    <w:rsid w:val="002832C7"/>
    <w:rsid w:val="0028373E"/>
    <w:rsid w:val="00284181"/>
    <w:rsid w:val="00284A78"/>
    <w:rsid w:val="00284BD2"/>
    <w:rsid w:val="002851F2"/>
    <w:rsid w:val="00285222"/>
    <w:rsid w:val="002870B1"/>
    <w:rsid w:val="00287970"/>
    <w:rsid w:val="0029024F"/>
    <w:rsid w:val="00290341"/>
    <w:rsid w:val="002915AF"/>
    <w:rsid w:val="002917FC"/>
    <w:rsid w:val="00292502"/>
    <w:rsid w:val="0029291F"/>
    <w:rsid w:val="002939BB"/>
    <w:rsid w:val="002946F9"/>
    <w:rsid w:val="00294835"/>
    <w:rsid w:val="00295247"/>
    <w:rsid w:val="00295C06"/>
    <w:rsid w:val="00295DC4"/>
    <w:rsid w:val="00296289"/>
    <w:rsid w:val="0029766D"/>
    <w:rsid w:val="00297C2D"/>
    <w:rsid w:val="002A00DD"/>
    <w:rsid w:val="002A07E9"/>
    <w:rsid w:val="002A0A0E"/>
    <w:rsid w:val="002A1414"/>
    <w:rsid w:val="002A1463"/>
    <w:rsid w:val="002A183B"/>
    <w:rsid w:val="002A19C4"/>
    <w:rsid w:val="002A3359"/>
    <w:rsid w:val="002A383E"/>
    <w:rsid w:val="002A416F"/>
    <w:rsid w:val="002A45CD"/>
    <w:rsid w:val="002A50DA"/>
    <w:rsid w:val="002A51A2"/>
    <w:rsid w:val="002A5C72"/>
    <w:rsid w:val="002A5CC8"/>
    <w:rsid w:val="002A6AA5"/>
    <w:rsid w:val="002A72A8"/>
    <w:rsid w:val="002A7FA5"/>
    <w:rsid w:val="002B0629"/>
    <w:rsid w:val="002B0C05"/>
    <w:rsid w:val="002B2580"/>
    <w:rsid w:val="002B331E"/>
    <w:rsid w:val="002B4B56"/>
    <w:rsid w:val="002B4B83"/>
    <w:rsid w:val="002B5190"/>
    <w:rsid w:val="002B58A0"/>
    <w:rsid w:val="002B5962"/>
    <w:rsid w:val="002B5E01"/>
    <w:rsid w:val="002B6458"/>
    <w:rsid w:val="002B6F17"/>
    <w:rsid w:val="002B771B"/>
    <w:rsid w:val="002B7E59"/>
    <w:rsid w:val="002C0741"/>
    <w:rsid w:val="002C102C"/>
    <w:rsid w:val="002C1079"/>
    <w:rsid w:val="002C178D"/>
    <w:rsid w:val="002C19FB"/>
    <w:rsid w:val="002C1FCB"/>
    <w:rsid w:val="002C21B8"/>
    <w:rsid w:val="002C2230"/>
    <w:rsid w:val="002C256B"/>
    <w:rsid w:val="002C2603"/>
    <w:rsid w:val="002C2DEB"/>
    <w:rsid w:val="002C34A7"/>
    <w:rsid w:val="002C3A6C"/>
    <w:rsid w:val="002C3C81"/>
    <w:rsid w:val="002C44FD"/>
    <w:rsid w:val="002C4606"/>
    <w:rsid w:val="002C4F23"/>
    <w:rsid w:val="002C55F4"/>
    <w:rsid w:val="002C674E"/>
    <w:rsid w:val="002C67B1"/>
    <w:rsid w:val="002C6936"/>
    <w:rsid w:val="002C702D"/>
    <w:rsid w:val="002C70C2"/>
    <w:rsid w:val="002D00BB"/>
    <w:rsid w:val="002D0129"/>
    <w:rsid w:val="002D036B"/>
    <w:rsid w:val="002D0AD6"/>
    <w:rsid w:val="002D13E7"/>
    <w:rsid w:val="002D1D76"/>
    <w:rsid w:val="002D1EC5"/>
    <w:rsid w:val="002D1F3B"/>
    <w:rsid w:val="002D2D07"/>
    <w:rsid w:val="002D3D2E"/>
    <w:rsid w:val="002D4C04"/>
    <w:rsid w:val="002D5015"/>
    <w:rsid w:val="002D5820"/>
    <w:rsid w:val="002D709D"/>
    <w:rsid w:val="002D7818"/>
    <w:rsid w:val="002D7C27"/>
    <w:rsid w:val="002E011C"/>
    <w:rsid w:val="002E05F9"/>
    <w:rsid w:val="002E09D4"/>
    <w:rsid w:val="002E0CB9"/>
    <w:rsid w:val="002E0E67"/>
    <w:rsid w:val="002E1393"/>
    <w:rsid w:val="002E1AD2"/>
    <w:rsid w:val="002E1DA4"/>
    <w:rsid w:val="002E280C"/>
    <w:rsid w:val="002E327D"/>
    <w:rsid w:val="002E3519"/>
    <w:rsid w:val="002E3861"/>
    <w:rsid w:val="002E3CBD"/>
    <w:rsid w:val="002E4197"/>
    <w:rsid w:val="002E4E65"/>
    <w:rsid w:val="002E5A42"/>
    <w:rsid w:val="002E5E5A"/>
    <w:rsid w:val="002E6408"/>
    <w:rsid w:val="002E68BB"/>
    <w:rsid w:val="002E70F9"/>
    <w:rsid w:val="002E7273"/>
    <w:rsid w:val="002E755F"/>
    <w:rsid w:val="002E7BB8"/>
    <w:rsid w:val="002E7BDE"/>
    <w:rsid w:val="002E7D20"/>
    <w:rsid w:val="002F0606"/>
    <w:rsid w:val="002F0CEA"/>
    <w:rsid w:val="002F0E3E"/>
    <w:rsid w:val="002F1632"/>
    <w:rsid w:val="002F1BAB"/>
    <w:rsid w:val="002F2572"/>
    <w:rsid w:val="002F2B55"/>
    <w:rsid w:val="002F3DEE"/>
    <w:rsid w:val="002F4224"/>
    <w:rsid w:val="002F4A95"/>
    <w:rsid w:val="002F4C78"/>
    <w:rsid w:val="002F4D71"/>
    <w:rsid w:val="002F57BD"/>
    <w:rsid w:val="002F5B45"/>
    <w:rsid w:val="002F71DF"/>
    <w:rsid w:val="002F7C10"/>
    <w:rsid w:val="0030077E"/>
    <w:rsid w:val="00300D2C"/>
    <w:rsid w:val="00300FC0"/>
    <w:rsid w:val="003013DC"/>
    <w:rsid w:val="00303B78"/>
    <w:rsid w:val="00303F4E"/>
    <w:rsid w:val="003042B6"/>
    <w:rsid w:val="003047A3"/>
    <w:rsid w:val="00304D6E"/>
    <w:rsid w:val="00305206"/>
    <w:rsid w:val="003069FB"/>
    <w:rsid w:val="00306A63"/>
    <w:rsid w:val="00307515"/>
    <w:rsid w:val="0030785B"/>
    <w:rsid w:val="0030796E"/>
    <w:rsid w:val="00307D4F"/>
    <w:rsid w:val="003106A5"/>
    <w:rsid w:val="0031074E"/>
    <w:rsid w:val="00310D3F"/>
    <w:rsid w:val="00310E1B"/>
    <w:rsid w:val="00311105"/>
    <w:rsid w:val="00311B31"/>
    <w:rsid w:val="003121E0"/>
    <w:rsid w:val="003125FB"/>
    <w:rsid w:val="00312D32"/>
    <w:rsid w:val="00313817"/>
    <w:rsid w:val="00314AB5"/>
    <w:rsid w:val="00314E09"/>
    <w:rsid w:val="00315FB1"/>
    <w:rsid w:val="00316431"/>
    <w:rsid w:val="00316F3E"/>
    <w:rsid w:val="00317198"/>
    <w:rsid w:val="00317DAC"/>
    <w:rsid w:val="00317F8E"/>
    <w:rsid w:val="003202B2"/>
    <w:rsid w:val="00320730"/>
    <w:rsid w:val="00320F5B"/>
    <w:rsid w:val="003211A5"/>
    <w:rsid w:val="003217BA"/>
    <w:rsid w:val="00321981"/>
    <w:rsid w:val="0032240F"/>
    <w:rsid w:val="00322B8D"/>
    <w:rsid w:val="00322DEB"/>
    <w:rsid w:val="003247D0"/>
    <w:rsid w:val="00324FFA"/>
    <w:rsid w:val="0032536F"/>
    <w:rsid w:val="003261F9"/>
    <w:rsid w:val="00326675"/>
    <w:rsid w:val="00326E56"/>
    <w:rsid w:val="003270CD"/>
    <w:rsid w:val="00327197"/>
    <w:rsid w:val="0032726E"/>
    <w:rsid w:val="003272DF"/>
    <w:rsid w:val="0032735F"/>
    <w:rsid w:val="00327555"/>
    <w:rsid w:val="0032768D"/>
    <w:rsid w:val="00327C1A"/>
    <w:rsid w:val="003307E3"/>
    <w:rsid w:val="003307F6"/>
    <w:rsid w:val="00330B05"/>
    <w:rsid w:val="00330DC9"/>
    <w:rsid w:val="0033171F"/>
    <w:rsid w:val="00331E45"/>
    <w:rsid w:val="0033229A"/>
    <w:rsid w:val="003326E6"/>
    <w:rsid w:val="00332DA7"/>
    <w:rsid w:val="003332CF"/>
    <w:rsid w:val="00334242"/>
    <w:rsid w:val="003342F6"/>
    <w:rsid w:val="00335272"/>
    <w:rsid w:val="003354A4"/>
    <w:rsid w:val="00335595"/>
    <w:rsid w:val="00335C7D"/>
    <w:rsid w:val="00335CFA"/>
    <w:rsid w:val="00335F78"/>
    <w:rsid w:val="00336031"/>
    <w:rsid w:val="00336047"/>
    <w:rsid w:val="003368CB"/>
    <w:rsid w:val="00337680"/>
    <w:rsid w:val="00337A82"/>
    <w:rsid w:val="00337FCE"/>
    <w:rsid w:val="00337FD6"/>
    <w:rsid w:val="00340054"/>
    <w:rsid w:val="003400CF"/>
    <w:rsid w:val="0034097C"/>
    <w:rsid w:val="00341215"/>
    <w:rsid w:val="0034175A"/>
    <w:rsid w:val="00343174"/>
    <w:rsid w:val="003440F8"/>
    <w:rsid w:val="00344759"/>
    <w:rsid w:val="00344DFD"/>
    <w:rsid w:val="00345F1D"/>
    <w:rsid w:val="003461B8"/>
    <w:rsid w:val="003471E3"/>
    <w:rsid w:val="00347615"/>
    <w:rsid w:val="00347807"/>
    <w:rsid w:val="0034785A"/>
    <w:rsid w:val="00347AA6"/>
    <w:rsid w:val="00347DBB"/>
    <w:rsid w:val="00350650"/>
    <w:rsid w:val="003507B1"/>
    <w:rsid w:val="003519C6"/>
    <w:rsid w:val="00351D56"/>
    <w:rsid w:val="003526AC"/>
    <w:rsid w:val="00352898"/>
    <w:rsid w:val="003534B8"/>
    <w:rsid w:val="00353E48"/>
    <w:rsid w:val="0035445B"/>
    <w:rsid w:val="00354853"/>
    <w:rsid w:val="0035500A"/>
    <w:rsid w:val="003557B1"/>
    <w:rsid w:val="0035682B"/>
    <w:rsid w:val="00357645"/>
    <w:rsid w:val="00357763"/>
    <w:rsid w:val="00360430"/>
    <w:rsid w:val="00360E79"/>
    <w:rsid w:val="00360E8E"/>
    <w:rsid w:val="00361838"/>
    <w:rsid w:val="00361C9D"/>
    <w:rsid w:val="00361D28"/>
    <w:rsid w:val="0036233D"/>
    <w:rsid w:val="00363141"/>
    <w:rsid w:val="003635E9"/>
    <w:rsid w:val="00363E58"/>
    <w:rsid w:val="003647DA"/>
    <w:rsid w:val="00364B8C"/>
    <w:rsid w:val="00364CD8"/>
    <w:rsid w:val="003651EB"/>
    <w:rsid w:val="00365D4B"/>
    <w:rsid w:val="0036674C"/>
    <w:rsid w:val="00366B55"/>
    <w:rsid w:val="003679FC"/>
    <w:rsid w:val="00367A8C"/>
    <w:rsid w:val="00367C4C"/>
    <w:rsid w:val="00367C9D"/>
    <w:rsid w:val="00367F2D"/>
    <w:rsid w:val="00370260"/>
    <w:rsid w:val="00370411"/>
    <w:rsid w:val="003714D7"/>
    <w:rsid w:val="00371A96"/>
    <w:rsid w:val="00371D99"/>
    <w:rsid w:val="003720FD"/>
    <w:rsid w:val="00372C9F"/>
    <w:rsid w:val="003734B3"/>
    <w:rsid w:val="003737BC"/>
    <w:rsid w:val="00373898"/>
    <w:rsid w:val="003739BD"/>
    <w:rsid w:val="00373DE6"/>
    <w:rsid w:val="00374020"/>
    <w:rsid w:val="003743F4"/>
    <w:rsid w:val="00374CAF"/>
    <w:rsid w:val="00374E48"/>
    <w:rsid w:val="0037539C"/>
    <w:rsid w:val="00375E0D"/>
    <w:rsid w:val="003760B6"/>
    <w:rsid w:val="003764BE"/>
    <w:rsid w:val="003767CF"/>
    <w:rsid w:val="00376A61"/>
    <w:rsid w:val="00376AC1"/>
    <w:rsid w:val="003773C3"/>
    <w:rsid w:val="003777AB"/>
    <w:rsid w:val="003803DF"/>
    <w:rsid w:val="0038089E"/>
    <w:rsid w:val="00380B0E"/>
    <w:rsid w:val="00381824"/>
    <w:rsid w:val="00381A0E"/>
    <w:rsid w:val="00382C5F"/>
    <w:rsid w:val="00382DE5"/>
    <w:rsid w:val="003830DD"/>
    <w:rsid w:val="003836C9"/>
    <w:rsid w:val="0038386E"/>
    <w:rsid w:val="00383C6C"/>
    <w:rsid w:val="00383DD0"/>
    <w:rsid w:val="00384816"/>
    <w:rsid w:val="00384C16"/>
    <w:rsid w:val="00384F89"/>
    <w:rsid w:val="00384FEB"/>
    <w:rsid w:val="003850EA"/>
    <w:rsid w:val="00386253"/>
    <w:rsid w:val="0038643C"/>
    <w:rsid w:val="00386B64"/>
    <w:rsid w:val="00386F07"/>
    <w:rsid w:val="0038711F"/>
    <w:rsid w:val="003877C8"/>
    <w:rsid w:val="00387F00"/>
    <w:rsid w:val="0039011C"/>
    <w:rsid w:val="00390742"/>
    <w:rsid w:val="00391273"/>
    <w:rsid w:val="0039173E"/>
    <w:rsid w:val="00391FDF"/>
    <w:rsid w:val="003923F7"/>
    <w:rsid w:val="00392773"/>
    <w:rsid w:val="003947E4"/>
    <w:rsid w:val="00394DE2"/>
    <w:rsid w:val="00395832"/>
    <w:rsid w:val="00395A3F"/>
    <w:rsid w:val="00396276"/>
    <w:rsid w:val="00396551"/>
    <w:rsid w:val="00396E21"/>
    <w:rsid w:val="00396EEC"/>
    <w:rsid w:val="00397633"/>
    <w:rsid w:val="0039775E"/>
    <w:rsid w:val="003A0388"/>
    <w:rsid w:val="003A0F0B"/>
    <w:rsid w:val="003A112B"/>
    <w:rsid w:val="003A1AE4"/>
    <w:rsid w:val="003A212C"/>
    <w:rsid w:val="003A2142"/>
    <w:rsid w:val="003A234F"/>
    <w:rsid w:val="003A2BA3"/>
    <w:rsid w:val="003A35ED"/>
    <w:rsid w:val="003A36DC"/>
    <w:rsid w:val="003A3C96"/>
    <w:rsid w:val="003A43C5"/>
    <w:rsid w:val="003A4DFC"/>
    <w:rsid w:val="003A6140"/>
    <w:rsid w:val="003A660A"/>
    <w:rsid w:val="003A6937"/>
    <w:rsid w:val="003A72DE"/>
    <w:rsid w:val="003A78C8"/>
    <w:rsid w:val="003A7AEB"/>
    <w:rsid w:val="003A7E2E"/>
    <w:rsid w:val="003B02A5"/>
    <w:rsid w:val="003B02D7"/>
    <w:rsid w:val="003B0919"/>
    <w:rsid w:val="003B09FD"/>
    <w:rsid w:val="003B0B8D"/>
    <w:rsid w:val="003B21B9"/>
    <w:rsid w:val="003B2269"/>
    <w:rsid w:val="003B30F7"/>
    <w:rsid w:val="003B334C"/>
    <w:rsid w:val="003B3C8F"/>
    <w:rsid w:val="003B4303"/>
    <w:rsid w:val="003B461B"/>
    <w:rsid w:val="003B4E79"/>
    <w:rsid w:val="003B4EED"/>
    <w:rsid w:val="003B51C1"/>
    <w:rsid w:val="003B5F98"/>
    <w:rsid w:val="003B6249"/>
    <w:rsid w:val="003B7389"/>
    <w:rsid w:val="003B73C3"/>
    <w:rsid w:val="003B7FF9"/>
    <w:rsid w:val="003C099E"/>
    <w:rsid w:val="003C18CB"/>
    <w:rsid w:val="003C1B10"/>
    <w:rsid w:val="003C20F8"/>
    <w:rsid w:val="003C28D6"/>
    <w:rsid w:val="003C2E7D"/>
    <w:rsid w:val="003C3CFB"/>
    <w:rsid w:val="003C41E3"/>
    <w:rsid w:val="003C4FB5"/>
    <w:rsid w:val="003C5742"/>
    <w:rsid w:val="003C6F41"/>
    <w:rsid w:val="003C6FEA"/>
    <w:rsid w:val="003D1442"/>
    <w:rsid w:val="003D2335"/>
    <w:rsid w:val="003D2531"/>
    <w:rsid w:val="003D26C6"/>
    <w:rsid w:val="003D337C"/>
    <w:rsid w:val="003D3477"/>
    <w:rsid w:val="003D3DE9"/>
    <w:rsid w:val="003D4047"/>
    <w:rsid w:val="003D5340"/>
    <w:rsid w:val="003D5456"/>
    <w:rsid w:val="003D56B8"/>
    <w:rsid w:val="003D6580"/>
    <w:rsid w:val="003D6AD9"/>
    <w:rsid w:val="003D768B"/>
    <w:rsid w:val="003D7C03"/>
    <w:rsid w:val="003D7C5A"/>
    <w:rsid w:val="003D7F23"/>
    <w:rsid w:val="003E0AD1"/>
    <w:rsid w:val="003E2D44"/>
    <w:rsid w:val="003E3BC4"/>
    <w:rsid w:val="003E4ACF"/>
    <w:rsid w:val="003E4BFC"/>
    <w:rsid w:val="003E4E31"/>
    <w:rsid w:val="003E5578"/>
    <w:rsid w:val="003E56EC"/>
    <w:rsid w:val="003E64F6"/>
    <w:rsid w:val="003E6500"/>
    <w:rsid w:val="003E68AE"/>
    <w:rsid w:val="003E6A5F"/>
    <w:rsid w:val="003E7196"/>
    <w:rsid w:val="003E789D"/>
    <w:rsid w:val="003E7C9E"/>
    <w:rsid w:val="003E7DFA"/>
    <w:rsid w:val="003E7F88"/>
    <w:rsid w:val="003F0B4B"/>
    <w:rsid w:val="003F1766"/>
    <w:rsid w:val="003F2584"/>
    <w:rsid w:val="003F2F45"/>
    <w:rsid w:val="003F335F"/>
    <w:rsid w:val="003F38FD"/>
    <w:rsid w:val="003F3C3D"/>
    <w:rsid w:val="003F3C43"/>
    <w:rsid w:val="003F3D93"/>
    <w:rsid w:val="003F4503"/>
    <w:rsid w:val="003F47AB"/>
    <w:rsid w:val="003F4806"/>
    <w:rsid w:val="003F6982"/>
    <w:rsid w:val="0040024B"/>
    <w:rsid w:val="00400CE9"/>
    <w:rsid w:val="00400F90"/>
    <w:rsid w:val="00401096"/>
    <w:rsid w:val="0040218E"/>
    <w:rsid w:val="00402EEE"/>
    <w:rsid w:val="00403210"/>
    <w:rsid w:val="004035EE"/>
    <w:rsid w:val="0040374F"/>
    <w:rsid w:val="00403E61"/>
    <w:rsid w:val="004042B2"/>
    <w:rsid w:val="0040461E"/>
    <w:rsid w:val="0040494A"/>
    <w:rsid w:val="00405235"/>
    <w:rsid w:val="004064F7"/>
    <w:rsid w:val="00406AD7"/>
    <w:rsid w:val="00407032"/>
    <w:rsid w:val="00407876"/>
    <w:rsid w:val="00407979"/>
    <w:rsid w:val="004079DA"/>
    <w:rsid w:val="00407AD2"/>
    <w:rsid w:val="0041001B"/>
    <w:rsid w:val="00410289"/>
    <w:rsid w:val="00411271"/>
    <w:rsid w:val="004115B6"/>
    <w:rsid w:val="0041266F"/>
    <w:rsid w:val="00413157"/>
    <w:rsid w:val="004133D5"/>
    <w:rsid w:val="0041438B"/>
    <w:rsid w:val="004158B4"/>
    <w:rsid w:val="0041703A"/>
    <w:rsid w:val="00417788"/>
    <w:rsid w:val="00420643"/>
    <w:rsid w:val="00420C47"/>
    <w:rsid w:val="00420C86"/>
    <w:rsid w:val="0042125A"/>
    <w:rsid w:val="004213ED"/>
    <w:rsid w:val="00421683"/>
    <w:rsid w:val="00421A7C"/>
    <w:rsid w:val="00421B60"/>
    <w:rsid w:val="004221BA"/>
    <w:rsid w:val="0042231D"/>
    <w:rsid w:val="00422EA2"/>
    <w:rsid w:val="00423553"/>
    <w:rsid w:val="00423CE7"/>
    <w:rsid w:val="0042443B"/>
    <w:rsid w:val="00424984"/>
    <w:rsid w:val="0042512E"/>
    <w:rsid w:val="004265B8"/>
    <w:rsid w:val="00426C9D"/>
    <w:rsid w:val="00427295"/>
    <w:rsid w:val="0042752D"/>
    <w:rsid w:val="00427753"/>
    <w:rsid w:val="0042788C"/>
    <w:rsid w:val="00427A05"/>
    <w:rsid w:val="00427B27"/>
    <w:rsid w:val="004303CF"/>
    <w:rsid w:val="00430530"/>
    <w:rsid w:val="004308CD"/>
    <w:rsid w:val="00430A84"/>
    <w:rsid w:val="00431E10"/>
    <w:rsid w:val="00432048"/>
    <w:rsid w:val="004321B1"/>
    <w:rsid w:val="0043269B"/>
    <w:rsid w:val="0043275E"/>
    <w:rsid w:val="00433497"/>
    <w:rsid w:val="00433575"/>
    <w:rsid w:val="00435221"/>
    <w:rsid w:val="0043524A"/>
    <w:rsid w:val="00436151"/>
    <w:rsid w:val="0043653E"/>
    <w:rsid w:val="00436F1B"/>
    <w:rsid w:val="004370B2"/>
    <w:rsid w:val="004374E7"/>
    <w:rsid w:val="00440676"/>
    <w:rsid w:val="00440D86"/>
    <w:rsid w:val="00441D4B"/>
    <w:rsid w:val="00442144"/>
    <w:rsid w:val="00442A90"/>
    <w:rsid w:val="00443A68"/>
    <w:rsid w:val="00443AEB"/>
    <w:rsid w:val="00443DC4"/>
    <w:rsid w:val="00444627"/>
    <w:rsid w:val="00444970"/>
    <w:rsid w:val="00444A31"/>
    <w:rsid w:val="004451E6"/>
    <w:rsid w:val="00445872"/>
    <w:rsid w:val="00445AC4"/>
    <w:rsid w:val="00445CBE"/>
    <w:rsid w:val="004460E4"/>
    <w:rsid w:val="00446310"/>
    <w:rsid w:val="00450932"/>
    <w:rsid w:val="00450B5D"/>
    <w:rsid w:val="00450D47"/>
    <w:rsid w:val="0045118D"/>
    <w:rsid w:val="004512DB"/>
    <w:rsid w:val="00452260"/>
    <w:rsid w:val="0045280B"/>
    <w:rsid w:val="00452979"/>
    <w:rsid w:val="0045300A"/>
    <w:rsid w:val="00453FBC"/>
    <w:rsid w:val="00454929"/>
    <w:rsid w:val="004549E4"/>
    <w:rsid w:val="00454BAF"/>
    <w:rsid w:val="00454BF3"/>
    <w:rsid w:val="00454C12"/>
    <w:rsid w:val="00454F00"/>
    <w:rsid w:val="00455F91"/>
    <w:rsid w:val="00456248"/>
    <w:rsid w:val="00456484"/>
    <w:rsid w:val="00457501"/>
    <w:rsid w:val="0045760D"/>
    <w:rsid w:val="00457806"/>
    <w:rsid w:val="004579C4"/>
    <w:rsid w:val="00460F97"/>
    <w:rsid w:val="0046148D"/>
    <w:rsid w:val="00461A98"/>
    <w:rsid w:val="00461C4F"/>
    <w:rsid w:val="00461E52"/>
    <w:rsid w:val="00461F0A"/>
    <w:rsid w:val="0046231C"/>
    <w:rsid w:val="0046232D"/>
    <w:rsid w:val="00462650"/>
    <w:rsid w:val="004627BB"/>
    <w:rsid w:val="00462B66"/>
    <w:rsid w:val="00462EB5"/>
    <w:rsid w:val="00462F07"/>
    <w:rsid w:val="00463AAB"/>
    <w:rsid w:val="00463AD0"/>
    <w:rsid w:val="00463B81"/>
    <w:rsid w:val="00464570"/>
    <w:rsid w:val="00465CB4"/>
    <w:rsid w:val="00465FB9"/>
    <w:rsid w:val="00466946"/>
    <w:rsid w:val="00467953"/>
    <w:rsid w:val="00467BEC"/>
    <w:rsid w:val="00467D7B"/>
    <w:rsid w:val="00470069"/>
    <w:rsid w:val="00471425"/>
    <w:rsid w:val="0047188B"/>
    <w:rsid w:val="004722F5"/>
    <w:rsid w:val="00472B2A"/>
    <w:rsid w:val="00472FC1"/>
    <w:rsid w:val="00472FEE"/>
    <w:rsid w:val="00473434"/>
    <w:rsid w:val="0047349F"/>
    <w:rsid w:val="00473852"/>
    <w:rsid w:val="00474620"/>
    <w:rsid w:val="00475A24"/>
    <w:rsid w:val="00475D06"/>
    <w:rsid w:val="00476728"/>
    <w:rsid w:val="00477660"/>
    <w:rsid w:val="004800FE"/>
    <w:rsid w:val="004805C0"/>
    <w:rsid w:val="004807DE"/>
    <w:rsid w:val="00480BD3"/>
    <w:rsid w:val="00480CBC"/>
    <w:rsid w:val="0048157E"/>
    <w:rsid w:val="00481A3C"/>
    <w:rsid w:val="00482227"/>
    <w:rsid w:val="00482AE0"/>
    <w:rsid w:val="0048364B"/>
    <w:rsid w:val="00483C37"/>
    <w:rsid w:val="004843C8"/>
    <w:rsid w:val="004844DF"/>
    <w:rsid w:val="00485ADF"/>
    <w:rsid w:val="004861F7"/>
    <w:rsid w:val="00486309"/>
    <w:rsid w:val="0048711A"/>
    <w:rsid w:val="00487523"/>
    <w:rsid w:val="004878AB"/>
    <w:rsid w:val="00487940"/>
    <w:rsid w:val="00487C8D"/>
    <w:rsid w:val="00492916"/>
    <w:rsid w:val="00493061"/>
    <w:rsid w:val="0049380C"/>
    <w:rsid w:val="00494411"/>
    <w:rsid w:val="00495282"/>
    <w:rsid w:val="0049593D"/>
    <w:rsid w:val="0049637C"/>
    <w:rsid w:val="00496493"/>
    <w:rsid w:val="00496BE5"/>
    <w:rsid w:val="004972DF"/>
    <w:rsid w:val="0049777B"/>
    <w:rsid w:val="004979E9"/>
    <w:rsid w:val="004A09D9"/>
    <w:rsid w:val="004A0DAC"/>
    <w:rsid w:val="004A0DC8"/>
    <w:rsid w:val="004A152F"/>
    <w:rsid w:val="004A1A4F"/>
    <w:rsid w:val="004A1E3B"/>
    <w:rsid w:val="004A344A"/>
    <w:rsid w:val="004A4A2F"/>
    <w:rsid w:val="004A4AE4"/>
    <w:rsid w:val="004A4DC9"/>
    <w:rsid w:val="004A4EC1"/>
    <w:rsid w:val="004A5424"/>
    <w:rsid w:val="004A62F9"/>
    <w:rsid w:val="004A665B"/>
    <w:rsid w:val="004A668D"/>
    <w:rsid w:val="004A6B42"/>
    <w:rsid w:val="004A6D3C"/>
    <w:rsid w:val="004A748B"/>
    <w:rsid w:val="004A74A6"/>
    <w:rsid w:val="004A77B7"/>
    <w:rsid w:val="004B0293"/>
    <w:rsid w:val="004B12AA"/>
    <w:rsid w:val="004B1587"/>
    <w:rsid w:val="004B1590"/>
    <w:rsid w:val="004B1B19"/>
    <w:rsid w:val="004B1ECE"/>
    <w:rsid w:val="004B245E"/>
    <w:rsid w:val="004B33E5"/>
    <w:rsid w:val="004B3A6A"/>
    <w:rsid w:val="004B3D6D"/>
    <w:rsid w:val="004B3EDF"/>
    <w:rsid w:val="004B44DE"/>
    <w:rsid w:val="004B5147"/>
    <w:rsid w:val="004B624B"/>
    <w:rsid w:val="004B6E01"/>
    <w:rsid w:val="004C0C0A"/>
    <w:rsid w:val="004C12D8"/>
    <w:rsid w:val="004C134E"/>
    <w:rsid w:val="004C2445"/>
    <w:rsid w:val="004C3128"/>
    <w:rsid w:val="004C3CDF"/>
    <w:rsid w:val="004C3DBD"/>
    <w:rsid w:val="004C42ED"/>
    <w:rsid w:val="004C4683"/>
    <w:rsid w:val="004C4FE5"/>
    <w:rsid w:val="004C5020"/>
    <w:rsid w:val="004C5551"/>
    <w:rsid w:val="004C626E"/>
    <w:rsid w:val="004C67B3"/>
    <w:rsid w:val="004C706F"/>
    <w:rsid w:val="004C7617"/>
    <w:rsid w:val="004C7AA0"/>
    <w:rsid w:val="004D145F"/>
    <w:rsid w:val="004D1503"/>
    <w:rsid w:val="004D158C"/>
    <w:rsid w:val="004D16B9"/>
    <w:rsid w:val="004D17E8"/>
    <w:rsid w:val="004D1916"/>
    <w:rsid w:val="004D23EC"/>
    <w:rsid w:val="004D2AB5"/>
    <w:rsid w:val="004D2EA3"/>
    <w:rsid w:val="004D3273"/>
    <w:rsid w:val="004D364A"/>
    <w:rsid w:val="004D3BD0"/>
    <w:rsid w:val="004D3D69"/>
    <w:rsid w:val="004D47FF"/>
    <w:rsid w:val="004D4E0F"/>
    <w:rsid w:val="004D5D59"/>
    <w:rsid w:val="004D6560"/>
    <w:rsid w:val="004D67DA"/>
    <w:rsid w:val="004D6B31"/>
    <w:rsid w:val="004D6C9A"/>
    <w:rsid w:val="004D70F4"/>
    <w:rsid w:val="004D78BB"/>
    <w:rsid w:val="004E0447"/>
    <w:rsid w:val="004E0DE3"/>
    <w:rsid w:val="004E0E88"/>
    <w:rsid w:val="004E2D63"/>
    <w:rsid w:val="004E3237"/>
    <w:rsid w:val="004E3494"/>
    <w:rsid w:val="004E382B"/>
    <w:rsid w:val="004E39DD"/>
    <w:rsid w:val="004E3DBA"/>
    <w:rsid w:val="004E4115"/>
    <w:rsid w:val="004E4163"/>
    <w:rsid w:val="004E4D63"/>
    <w:rsid w:val="004E4E8C"/>
    <w:rsid w:val="004E4FCC"/>
    <w:rsid w:val="004E57E2"/>
    <w:rsid w:val="004E5D1F"/>
    <w:rsid w:val="004E6425"/>
    <w:rsid w:val="004E66AA"/>
    <w:rsid w:val="004E6821"/>
    <w:rsid w:val="004E6AF8"/>
    <w:rsid w:val="004E7842"/>
    <w:rsid w:val="004E7881"/>
    <w:rsid w:val="004F0361"/>
    <w:rsid w:val="004F03FF"/>
    <w:rsid w:val="004F093A"/>
    <w:rsid w:val="004F0B81"/>
    <w:rsid w:val="004F1510"/>
    <w:rsid w:val="004F1AA1"/>
    <w:rsid w:val="004F1C3E"/>
    <w:rsid w:val="004F2319"/>
    <w:rsid w:val="004F28E3"/>
    <w:rsid w:val="004F2A30"/>
    <w:rsid w:val="004F2A7C"/>
    <w:rsid w:val="004F2A7E"/>
    <w:rsid w:val="004F315C"/>
    <w:rsid w:val="004F38C1"/>
    <w:rsid w:val="004F3E8A"/>
    <w:rsid w:val="004F4390"/>
    <w:rsid w:val="004F4AFE"/>
    <w:rsid w:val="004F506F"/>
    <w:rsid w:val="004F56E3"/>
    <w:rsid w:val="004F5793"/>
    <w:rsid w:val="004F615F"/>
    <w:rsid w:val="004F6BB8"/>
    <w:rsid w:val="004F70C0"/>
    <w:rsid w:val="004F7A3C"/>
    <w:rsid w:val="005006FF"/>
    <w:rsid w:val="005013CC"/>
    <w:rsid w:val="00501C72"/>
    <w:rsid w:val="00501D10"/>
    <w:rsid w:val="00501EED"/>
    <w:rsid w:val="0050255B"/>
    <w:rsid w:val="0050278B"/>
    <w:rsid w:val="005029ED"/>
    <w:rsid w:val="00503326"/>
    <w:rsid w:val="005033FE"/>
    <w:rsid w:val="00504ACC"/>
    <w:rsid w:val="00504DF6"/>
    <w:rsid w:val="00505005"/>
    <w:rsid w:val="005050B2"/>
    <w:rsid w:val="00505ADD"/>
    <w:rsid w:val="005062FD"/>
    <w:rsid w:val="00506485"/>
    <w:rsid w:val="00506FF8"/>
    <w:rsid w:val="0050702F"/>
    <w:rsid w:val="00507DC0"/>
    <w:rsid w:val="005103E4"/>
    <w:rsid w:val="00510496"/>
    <w:rsid w:val="0051051F"/>
    <w:rsid w:val="005110CC"/>
    <w:rsid w:val="005119FA"/>
    <w:rsid w:val="00511BD9"/>
    <w:rsid w:val="0051201A"/>
    <w:rsid w:val="00512468"/>
    <w:rsid w:val="005137D1"/>
    <w:rsid w:val="0051545E"/>
    <w:rsid w:val="0051553E"/>
    <w:rsid w:val="00515608"/>
    <w:rsid w:val="005163BE"/>
    <w:rsid w:val="005164FC"/>
    <w:rsid w:val="0051679A"/>
    <w:rsid w:val="00517B8B"/>
    <w:rsid w:val="00517C93"/>
    <w:rsid w:val="00517D38"/>
    <w:rsid w:val="005204E0"/>
    <w:rsid w:val="00520799"/>
    <w:rsid w:val="00522B32"/>
    <w:rsid w:val="0052327D"/>
    <w:rsid w:val="00523630"/>
    <w:rsid w:val="005237E5"/>
    <w:rsid w:val="00523DBB"/>
    <w:rsid w:val="00523E57"/>
    <w:rsid w:val="00524177"/>
    <w:rsid w:val="005249B4"/>
    <w:rsid w:val="00524B4C"/>
    <w:rsid w:val="00525E4B"/>
    <w:rsid w:val="00526108"/>
    <w:rsid w:val="005269E1"/>
    <w:rsid w:val="00527159"/>
    <w:rsid w:val="005277A5"/>
    <w:rsid w:val="00527DE8"/>
    <w:rsid w:val="00531B64"/>
    <w:rsid w:val="005335ED"/>
    <w:rsid w:val="005338BE"/>
    <w:rsid w:val="00533D1E"/>
    <w:rsid w:val="00533DBE"/>
    <w:rsid w:val="00536F6F"/>
    <w:rsid w:val="0053716C"/>
    <w:rsid w:val="00537246"/>
    <w:rsid w:val="00537A71"/>
    <w:rsid w:val="00537F1D"/>
    <w:rsid w:val="005403C7"/>
    <w:rsid w:val="00540701"/>
    <w:rsid w:val="0054136D"/>
    <w:rsid w:val="0054294A"/>
    <w:rsid w:val="00542F6D"/>
    <w:rsid w:val="005436FB"/>
    <w:rsid w:val="00544B0C"/>
    <w:rsid w:val="00544F96"/>
    <w:rsid w:val="005453A7"/>
    <w:rsid w:val="00545A36"/>
    <w:rsid w:val="00545B99"/>
    <w:rsid w:val="00545C65"/>
    <w:rsid w:val="005461BD"/>
    <w:rsid w:val="00546D63"/>
    <w:rsid w:val="005504DB"/>
    <w:rsid w:val="00551058"/>
    <w:rsid w:val="00551349"/>
    <w:rsid w:val="005518C7"/>
    <w:rsid w:val="00551D96"/>
    <w:rsid w:val="0055306D"/>
    <w:rsid w:val="0055353F"/>
    <w:rsid w:val="00553A29"/>
    <w:rsid w:val="0055406A"/>
    <w:rsid w:val="00554910"/>
    <w:rsid w:val="00554CC9"/>
    <w:rsid w:val="00554CE2"/>
    <w:rsid w:val="00554FC6"/>
    <w:rsid w:val="00555D43"/>
    <w:rsid w:val="00555DDE"/>
    <w:rsid w:val="00555F6F"/>
    <w:rsid w:val="005560D0"/>
    <w:rsid w:val="00556B41"/>
    <w:rsid w:val="00556CC7"/>
    <w:rsid w:val="00560808"/>
    <w:rsid w:val="005615DE"/>
    <w:rsid w:val="00562369"/>
    <w:rsid w:val="00562A39"/>
    <w:rsid w:val="00563BE2"/>
    <w:rsid w:val="005645AD"/>
    <w:rsid w:val="0056480E"/>
    <w:rsid w:val="00564F65"/>
    <w:rsid w:val="00565314"/>
    <w:rsid w:val="005653D9"/>
    <w:rsid w:val="00565CD8"/>
    <w:rsid w:val="0056687D"/>
    <w:rsid w:val="00566AAA"/>
    <w:rsid w:val="00566DCF"/>
    <w:rsid w:val="00566EEB"/>
    <w:rsid w:val="0056765F"/>
    <w:rsid w:val="00567A2C"/>
    <w:rsid w:val="00567A49"/>
    <w:rsid w:val="00567AD2"/>
    <w:rsid w:val="00567C20"/>
    <w:rsid w:val="00567EE9"/>
    <w:rsid w:val="00570089"/>
    <w:rsid w:val="0057049F"/>
    <w:rsid w:val="00570584"/>
    <w:rsid w:val="005713EF"/>
    <w:rsid w:val="00571C91"/>
    <w:rsid w:val="00571EAA"/>
    <w:rsid w:val="00572161"/>
    <w:rsid w:val="005728D7"/>
    <w:rsid w:val="00573C9A"/>
    <w:rsid w:val="00573EEE"/>
    <w:rsid w:val="005760D5"/>
    <w:rsid w:val="0057622E"/>
    <w:rsid w:val="0057634E"/>
    <w:rsid w:val="00576DF7"/>
    <w:rsid w:val="00576FF5"/>
    <w:rsid w:val="005803F3"/>
    <w:rsid w:val="00580475"/>
    <w:rsid w:val="005804C6"/>
    <w:rsid w:val="00580516"/>
    <w:rsid w:val="00580C17"/>
    <w:rsid w:val="005812C6"/>
    <w:rsid w:val="0058177F"/>
    <w:rsid w:val="00581AB8"/>
    <w:rsid w:val="0058280F"/>
    <w:rsid w:val="0058285C"/>
    <w:rsid w:val="00582B40"/>
    <w:rsid w:val="00583375"/>
    <w:rsid w:val="005835C3"/>
    <w:rsid w:val="005835CE"/>
    <w:rsid w:val="005837AE"/>
    <w:rsid w:val="00583AE0"/>
    <w:rsid w:val="00584C70"/>
    <w:rsid w:val="005855AE"/>
    <w:rsid w:val="00586122"/>
    <w:rsid w:val="00586C2D"/>
    <w:rsid w:val="00586FD5"/>
    <w:rsid w:val="00587C9F"/>
    <w:rsid w:val="00587CA0"/>
    <w:rsid w:val="00587DC1"/>
    <w:rsid w:val="0059001F"/>
    <w:rsid w:val="00590426"/>
    <w:rsid w:val="0059090C"/>
    <w:rsid w:val="00591BE5"/>
    <w:rsid w:val="00592594"/>
    <w:rsid w:val="00593454"/>
    <w:rsid w:val="00593F19"/>
    <w:rsid w:val="00593F71"/>
    <w:rsid w:val="0059417C"/>
    <w:rsid w:val="00594D98"/>
    <w:rsid w:val="00595C92"/>
    <w:rsid w:val="0059682D"/>
    <w:rsid w:val="00596BF9"/>
    <w:rsid w:val="00596DD3"/>
    <w:rsid w:val="005972D7"/>
    <w:rsid w:val="005A0202"/>
    <w:rsid w:val="005A0A76"/>
    <w:rsid w:val="005A2693"/>
    <w:rsid w:val="005A27B6"/>
    <w:rsid w:val="005A2A32"/>
    <w:rsid w:val="005A2CB2"/>
    <w:rsid w:val="005A2D7D"/>
    <w:rsid w:val="005A2DE2"/>
    <w:rsid w:val="005A3B53"/>
    <w:rsid w:val="005A4280"/>
    <w:rsid w:val="005A432A"/>
    <w:rsid w:val="005A49D7"/>
    <w:rsid w:val="005A4D55"/>
    <w:rsid w:val="005A55DA"/>
    <w:rsid w:val="005A5876"/>
    <w:rsid w:val="005A5A99"/>
    <w:rsid w:val="005A5CB2"/>
    <w:rsid w:val="005A65E6"/>
    <w:rsid w:val="005A7EA9"/>
    <w:rsid w:val="005B0A86"/>
    <w:rsid w:val="005B1E72"/>
    <w:rsid w:val="005B3403"/>
    <w:rsid w:val="005B3B74"/>
    <w:rsid w:val="005B3C50"/>
    <w:rsid w:val="005B4954"/>
    <w:rsid w:val="005B5834"/>
    <w:rsid w:val="005B5BE6"/>
    <w:rsid w:val="005B7485"/>
    <w:rsid w:val="005B7BF3"/>
    <w:rsid w:val="005B7D04"/>
    <w:rsid w:val="005C0A47"/>
    <w:rsid w:val="005C1722"/>
    <w:rsid w:val="005C179A"/>
    <w:rsid w:val="005C1892"/>
    <w:rsid w:val="005C20A9"/>
    <w:rsid w:val="005C28EA"/>
    <w:rsid w:val="005C3634"/>
    <w:rsid w:val="005C3906"/>
    <w:rsid w:val="005C3AAC"/>
    <w:rsid w:val="005C3B48"/>
    <w:rsid w:val="005C3CE5"/>
    <w:rsid w:val="005C5CC5"/>
    <w:rsid w:val="005C61C9"/>
    <w:rsid w:val="005C6B49"/>
    <w:rsid w:val="005C7526"/>
    <w:rsid w:val="005C77B8"/>
    <w:rsid w:val="005D03F7"/>
    <w:rsid w:val="005D055B"/>
    <w:rsid w:val="005D0C1F"/>
    <w:rsid w:val="005D1550"/>
    <w:rsid w:val="005D2274"/>
    <w:rsid w:val="005D27BD"/>
    <w:rsid w:val="005D3126"/>
    <w:rsid w:val="005D3831"/>
    <w:rsid w:val="005D4629"/>
    <w:rsid w:val="005D470E"/>
    <w:rsid w:val="005D67B8"/>
    <w:rsid w:val="005D6EBD"/>
    <w:rsid w:val="005D7591"/>
    <w:rsid w:val="005D7674"/>
    <w:rsid w:val="005D7745"/>
    <w:rsid w:val="005E1513"/>
    <w:rsid w:val="005E1BA9"/>
    <w:rsid w:val="005E2372"/>
    <w:rsid w:val="005E28AB"/>
    <w:rsid w:val="005E31DA"/>
    <w:rsid w:val="005E426F"/>
    <w:rsid w:val="005E49FE"/>
    <w:rsid w:val="005E4BBF"/>
    <w:rsid w:val="005E5441"/>
    <w:rsid w:val="005E592D"/>
    <w:rsid w:val="005E5F06"/>
    <w:rsid w:val="005E6535"/>
    <w:rsid w:val="005E66BE"/>
    <w:rsid w:val="005E6A78"/>
    <w:rsid w:val="005E6E54"/>
    <w:rsid w:val="005E7C63"/>
    <w:rsid w:val="005E7D7D"/>
    <w:rsid w:val="005F0608"/>
    <w:rsid w:val="005F0AF8"/>
    <w:rsid w:val="005F0E66"/>
    <w:rsid w:val="005F3407"/>
    <w:rsid w:val="005F3BCF"/>
    <w:rsid w:val="005F4391"/>
    <w:rsid w:val="005F43E8"/>
    <w:rsid w:val="005F449B"/>
    <w:rsid w:val="005F4D29"/>
    <w:rsid w:val="005F4E9F"/>
    <w:rsid w:val="005F503F"/>
    <w:rsid w:val="005F5AD2"/>
    <w:rsid w:val="005F5BA4"/>
    <w:rsid w:val="005F6644"/>
    <w:rsid w:val="005F6AEA"/>
    <w:rsid w:val="005F723E"/>
    <w:rsid w:val="005F7A31"/>
    <w:rsid w:val="005F7F1E"/>
    <w:rsid w:val="006012CD"/>
    <w:rsid w:val="006016D2"/>
    <w:rsid w:val="00601C4B"/>
    <w:rsid w:val="00602676"/>
    <w:rsid w:val="0060293D"/>
    <w:rsid w:val="006037CC"/>
    <w:rsid w:val="006040DD"/>
    <w:rsid w:val="006041B4"/>
    <w:rsid w:val="0060511E"/>
    <w:rsid w:val="006054C6"/>
    <w:rsid w:val="00605EEF"/>
    <w:rsid w:val="00606CCC"/>
    <w:rsid w:val="0060763B"/>
    <w:rsid w:val="00607741"/>
    <w:rsid w:val="00607CB8"/>
    <w:rsid w:val="00610224"/>
    <w:rsid w:val="00610712"/>
    <w:rsid w:val="00610912"/>
    <w:rsid w:val="00610F13"/>
    <w:rsid w:val="00611E80"/>
    <w:rsid w:val="0061242C"/>
    <w:rsid w:val="00612A41"/>
    <w:rsid w:val="00612EC3"/>
    <w:rsid w:val="006132BA"/>
    <w:rsid w:val="0061336B"/>
    <w:rsid w:val="0061348D"/>
    <w:rsid w:val="00613A51"/>
    <w:rsid w:val="006142E1"/>
    <w:rsid w:val="006143A4"/>
    <w:rsid w:val="00614C11"/>
    <w:rsid w:val="006150BC"/>
    <w:rsid w:val="00617E62"/>
    <w:rsid w:val="006203A0"/>
    <w:rsid w:val="00620A68"/>
    <w:rsid w:val="00621277"/>
    <w:rsid w:val="00621CCC"/>
    <w:rsid w:val="0062209D"/>
    <w:rsid w:val="00622A60"/>
    <w:rsid w:val="006233DC"/>
    <w:rsid w:val="00623887"/>
    <w:rsid w:val="0062426F"/>
    <w:rsid w:val="00625464"/>
    <w:rsid w:val="00625D45"/>
    <w:rsid w:val="00626060"/>
    <w:rsid w:val="00626120"/>
    <w:rsid w:val="006263D8"/>
    <w:rsid w:val="006265F1"/>
    <w:rsid w:val="006268D5"/>
    <w:rsid w:val="006269A6"/>
    <w:rsid w:val="00626D88"/>
    <w:rsid w:val="00626E5D"/>
    <w:rsid w:val="00627C8A"/>
    <w:rsid w:val="00630201"/>
    <w:rsid w:val="00630441"/>
    <w:rsid w:val="006306D5"/>
    <w:rsid w:val="00631633"/>
    <w:rsid w:val="0063239D"/>
    <w:rsid w:val="00632A24"/>
    <w:rsid w:val="00632F04"/>
    <w:rsid w:val="00633A4F"/>
    <w:rsid w:val="00633A8F"/>
    <w:rsid w:val="00633F97"/>
    <w:rsid w:val="00634416"/>
    <w:rsid w:val="00634A1B"/>
    <w:rsid w:val="00634C56"/>
    <w:rsid w:val="006350C4"/>
    <w:rsid w:val="0063517F"/>
    <w:rsid w:val="00635462"/>
    <w:rsid w:val="00635575"/>
    <w:rsid w:val="006362D8"/>
    <w:rsid w:val="006364EF"/>
    <w:rsid w:val="00636BBE"/>
    <w:rsid w:val="006374C3"/>
    <w:rsid w:val="006375B2"/>
    <w:rsid w:val="006375E4"/>
    <w:rsid w:val="006375E5"/>
    <w:rsid w:val="00637991"/>
    <w:rsid w:val="00637EE0"/>
    <w:rsid w:val="00640987"/>
    <w:rsid w:val="006421D3"/>
    <w:rsid w:val="006423A3"/>
    <w:rsid w:val="006425A6"/>
    <w:rsid w:val="006428BC"/>
    <w:rsid w:val="0064319F"/>
    <w:rsid w:val="006437AD"/>
    <w:rsid w:val="00643B18"/>
    <w:rsid w:val="00644D2C"/>
    <w:rsid w:val="00645D3F"/>
    <w:rsid w:val="00647BD6"/>
    <w:rsid w:val="00647C78"/>
    <w:rsid w:val="0065069B"/>
    <w:rsid w:val="00650B4D"/>
    <w:rsid w:val="0065116D"/>
    <w:rsid w:val="00651220"/>
    <w:rsid w:val="00652638"/>
    <w:rsid w:val="00652F22"/>
    <w:rsid w:val="0065392F"/>
    <w:rsid w:val="00653DD6"/>
    <w:rsid w:val="00654D89"/>
    <w:rsid w:val="00654DEC"/>
    <w:rsid w:val="006556C3"/>
    <w:rsid w:val="00655811"/>
    <w:rsid w:val="00655D7C"/>
    <w:rsid w:val="006566D2"/>
    <w:rsid w:val="0065745F"/>
    <w:rsid w:val="0066046D"/>
    <w:rsid w:val="00660D54"/>
    <w:rsid w:val="0066101B"/>
    <w:rsid w:val="006616BA"/>
    <w:rsid w:val="00661ACB"/>
    <w:rsid w:val="006620FF"/>
    <w:rsid w:val="00662834"/>
    <w:rsid w:val="006628A9"/>
    <w:rsid w:val="00662C19"/>
    <w:rsid w:val="00662F8D"/>
    <w:rsid w:val="00663082"/>
    <w:rsid w:val="0066392C"/>
    <w:rsid w:val="00665250"/>
    <w:rsid w:val="00665B99"/>
    <w:rsid w:val="00665CD9"/>
    <w:rsid w:val="00666717"/>
    <w:rsid w:val="0066674F"/>
    <w:rsid w:val="006667DA"/>
    <w:rsid w:val="00666DFB"/>
    <w:rsid w:val="00667BC2"/>
    <w:rsid w:val="00667F52"/>
    <w:rsid w:val="00667FD7"/>
    <w:rsid w:val="00670539"/>
    <w:rsid w:val="006707DB"/>
    <w:rsid w:val="006709EB"/>
    <w:rsid w:val="00670A8C"/>
    <w:rsid w:val="0067101B"/>
    <w:rsid w:val="00671F14"/>
    <w:rsid w:val="006725CC"/>
    <w:rsid w:val="00672BC9"/>
    <w:rsid w:val="00672EDC"/>
    <w:rsid w:val="00672F1A"/>
    <w:rsid w:val="006738EE"/>
    <w:rsid w:val="006739B2"/>
    <w:rsid w:val="00673C20"/>
    <w:rsid w:val="006740E5"/>
    <w:rsid w:val="00674C1E"/>
    <w:rsid w:val="00674E4B"/>
    <w:rsid w:val="006753E0"/>
    <w:rsid w:val="0067575B"/>
    <w:rsid w:val="00675A76"/>
    <w:rsid w:val="006774EC"/>
    <w:rsid w:val="00677F46"/>
    <w:rsid w:val="00683790"/>
    <w:rsid w:val="0068490A"/>
    <w:rsid w:val="006851D3"/>
    <w:rsid w:val="00685B82"/>
    <w:rsid w:val="006868F8"/>
    <w:rsid w:val="00690A71"/>
    <w:rsid w:val="00690AC3"/>
    <w:rsid w:val="006911BD"/>
    <w:rsid w:val="0069180B"/>
    <w:rsid w:val="00691C5B"/>
    <w:rsid w:val="0069208A"/>
    <w:rsid w:val="00692DCF"/>
    <w:rsid w:val="006939C8"/>
    <w:rsid w:val="00693B45"/>
    <w:rsid w:val="0069410A"/>
    <w:rsid w:val="0069457F"/>
    <w:rsid w:val="00694AF8"/>
    <w:rsid w:val="006957AA"/>
    <w:rsid w:val="00695B9B"/>
    <w:rsid w:val="00696086"/>
    <w:rsid w:val="00696099"/>
    <w:rsid w:val="006960B1"/>
    <w:rsid w:val="006962D1"/>
    <w:rsid w:val="0069708B"/>
    <w:rsid w:val="00697728"/>
    <w:rsid w:val="00697E45"/>
    <w:rsid w:val="00697EB1"/>
    <w:rsid w:val="00697F49"/>
    <w:rsid w:val="00697F7F"/>
    <w:rsid w:val="006A0762"/>
    <w:rsid w:val="006A0D74"/>
    <w:rsid w:val="006A1773"/>
    <w:rsid w:val="006A18A0"/>
    <w:rsid w:val="006A1A49"/>
    <w:rsid w:val="006A1A61"/>
    <w:rsid w:val="006A2347"/>
    <w:rsid w:val="006A2D3C"/>
    <w:rsid w:val="006A374E"/>
    <w:rsid w:val="006A3C80"/>
    <w:rsid w:val="006A43DB"/>
    <w:rsid w:val="006A4C80"/>
    <w:rsid w:val="006A5836"/>
    <w:rsid w:val="006A586C"/>
    <w:rsid w:val="006A61A7"/>
    <w:rsid w:val="006A7097"/>
    <w:rsid w:val="006A7A2E"/>
    <w:rsid w:val="006A7A75"/>
    <w:rsid w:val="006B0317"/>
    <w:rsid w:val="006B035B"/>
    <w:rsid w:val="006B0F7D"/>
    <w:rsid w:val="006B1543"/>
    <w:rsid w:val="006B2A0D"/>
    <w:rsid w:val="006B2C83"/>
    <w:rsid w:val="006B2C9B"/>
    <w:rsid w:val="006B3039"/>
    <w:rsid w:val="006B32A1"/>
    <w:rsid w:val="006B439D"/>
    <w:rsid w:val="006B4B8B"/>
    <w:rsid w:val="006B4F2A"/>
    <w:rsid w:val="006B5544"/>
    <w:rsid w:val="006B57D0"/>
    <w:rsid w:val="006B589E"/>
    <w:rsid w:val="006B670B"/>
    <w:rsid w:val="006B676D"/>
    <w:rsid w:val="006B697D"/>
    <w:rsid w:val="006B6BFE"/>
    <w:rsid w:val="006B6C73"/>
    <w:rsid w:val="006B6EF3"/>
    <w:rsid w:val="006B7383"/>
    <w:rsid w:val="006C0CE1"/>
    <w:rsid w:val="006C10B3"/>
    <w:rsid w:val="006C1AAE"/>
    <w:rsid w:val="006C290C"/>
    <w:rsid w:val="006C3415"/>
    <w:rsid w:val="006C3480"/>
    <w:rsid w:val="006C35F8"/>
    <w:rsid w:val="006C4013"/>
    <w:rsid w:val="006C4245"/>
    <w:rsid w:val="006C426E"/>
    <w:rsid w:val="006C455E"/>
    <w:rsid w:val="006C4713"/>
    <w:rsid w:val="006C49C5"/>
    <w:rsid w:val="006C585E"/>
    <w:rsid w:val="006C5E66"/>
    <w:rsid w:val="006C685B"/>
    <w:rsid w:val="006C6C9D"/>
    <w:rsid w:val="006C7856"/>
    <w:rsid w:val="006C7F3B"/>
    <w:rsid w:val="006D09B4"/>
    <w:rsid w:val="006D0AA3"/>
    <w:rsid w:val="006D0D18"/>
    <w:rsid w:val="006D0E7B"/>
    <w:rsid w:val="006D138F"/>
    <w:rsid w:val="006D15D3"/>
    <w:rsid w:val="006D1B7A"/>
    <w:rsid w:val="006D1CD7"/>
    <w:rsid w:val="006D1CF2"/>
    <w:rsid w:val="006D21B5"/>
    <w:rsid w:val="006D3231"/>
    <w:rsid w:val="006D3250"/>
    <w:rsid w:val="006D4130"/>
    <w:rsid w:val="006D4397"/>
    <w:rsid w:val="006D4968"/>
    <w:rsid w:val="006D5603"/>
    <w:rsid w:val="006D5E81"/>
    <w:rsid w:val="006D5FDA"/>
    <w:rsid w:val="006D67F8"/>
    <w:rsid w:val="006D6E12"/>
    <w:rsid w:val="006D7410"/>
    <w:rsid w:val="006E02BC"/>
    <w:rsid w:val="006E0CDF"/>
    <w:rsid w:val="006E0E03"/>
    <w:rsid w:val="006E20A1"/>
    <w:rsid w:val="006E2313"/>
    <w:rsid w:val="006E3FBA"/>
    <w:rsid w:val="006E42C6"/>
    <w:rsid w:val="006E44C2"/>
    <w:rsid w:val="006E44D9"/>
    <w:rsid w:val="006E4534"/>
    <w:rsid w:val="006E5622"/>
    <w:rsid w:val="006E6388"/>
    <w:rsid w:val="006E7DF0"/>
    <w:rsid w:val="006F00D4"/>
    <w:rsid w:val="006F0AF1"/>
    <w:rsid w:val="006F0B15"/>
    <w:rsid w:val="006F2B98"/>
    <w:rsid w:val="006F357E"/>
    <w:rsid w:val="006F4199"/>
    <w:rsid w:val="006F5070"/>
    <w:rsid w:val="006F5256"/>
    <w:rsid w:val="006F6DDC"/>
    <w:rsid w:val="006F7051"/>
    <w:rsid w:val="006F744D"/>
    <w:rsid w:val="006F7752"/>
    <w:rsid w:val="006F77A1"/>
    <w:rsid w:val="006F7A49"/>
    <w:rsid w:val="007007F6"/>
    <w:rsid w:val="00701DE9"/>
    <w:rsid w:val="007022B9"/>
    <w:rsid w:val="007029D6"/>
    <w:rsid w:val="00702BA7"/>
    <w:rsid w:val="00703069"/>
    <w:rsid w:val="007036BE"/>
    <w:rsid w:val="00703AE9"/>
    <w:rsid w:val="007042D6"/>
    <w:rsid w:val="00704713"/>
    <w:rsid w:val="007053BE"/>
    <w:rsid w:val="007056FA"/>
    <w:rsid w:val="00705E7E"/>
    <w:rsid w:val="007060DF"/>
    <w:rsid w:val="007061B9"/>
    <w:rsid w:val="00706342"/>
    <w:rsid w:val="00706591"/>
    <w:rsid w:val="00706ABB"/>
    <w:rsid w:val="00710254"/>
    <w:rsid w:val="007109A5"/>
    <w:rsid w:val="00710DE7"/>
    <w:rsid w:val="0071136C"/>
    <w:rsid w:val="00712248"/>
    <w:rsid w:val="00712688"/>
    <w:rsid w:val="007127B6"/>
    <w:rsid w:val="00712896"/>
    <w:rsid w:val="00713A3D"/>
    <w:rsid w:val="00714720"/>
    <w:rsid w:val="00714C71"/>
    <w:rsid w:val="00715FAD"/>
    <w:rsid w:val="0071607F"/>
    <w:rsid w:val="0071649C"/>
    <w:rsid w:val="00717198"/>
    <w:rsid w:val="00720779"/>
    <w:rsid w:val="007222E5"/>
    <w:rsid w:val="00722A00"/>
    <w:rsid w:val="00723A48"/>
    <w:rsid w:val="00724352"/>
    <w:rsid w:val="00724A88"/>
    <w:rsid w:val="00724BF9"/>
    <w:rsid w:val="007251B3"/>
    <w:rsid w:val="00725C07"/>
    <w:rsid w:val="00725E56"/>
    <w:rsid w:val="00726F2E"/>
    <w:rsid w:val="007275DB"/>
    <w:rsid w:val="00727BBD"/>
    <w:rsid w:val="00727E7D"/>
    <w:rsid w:val="007305E4"/>
    <w:rsid w:val="00730832"/>
    <w:rsid w:val="00730E3B"/>
    <w:rsid w:val="00730F9F"/>
    <w:rsid w:val="007323B0"/>
    <w:rsid w:val="007329B1"/>
    <w:rsid w:val="00732EBE"/>
    <w:rsid w:val="00733604"/>
    <w:rsid w:val="00733EE7"/>
    <w:rsid w:val="00734088"/>
    <w:rsid w:val="007340D2"/>
    <w:rsid w:val="00734B77"/>
    <w:rsid w:val="00734C44"/>
    <w:rsid w:val="0073510B"/>
    <w:rsid w:val="00735290"/>
    <w:rsid w:val="00735590"/>
    <w:rsid w:val="007355B0"/>
    <w:rsid w:val="00735AB4"/>
    <w:rsid w:val="00736512"/>
    <w:rsid w:val="0073680B"/>
    <w:rsid w:val="00740654"/>
    <w:rsid w:val="00740689"/>
    <w:rsid w:val="00740DA7"/>
    <w:rsid w:val="00742A22"/>
    <w:rsid w:val="00742E58"/>
    <w:rsid w:val="007430E6"/>
    <w:rsid w:val="007435A1"/>
    <w:rsid w:val="007443F6"/>
    <w:rsid w:val="00744A18"/>
    <w:rsid w:val="007451B3"/>
    <w:rsid w:val="00745259"/>
    <w:rsid w:val="007462B0"/>
    <w:rsid w:val="0074679C"/>
    <w:rsid w:val="00747FED"/>
    <w:rsid w:val="0075001B"/>
    <w:rsid w:val="0075008D"/>
    <w:rsid w:val="007510CC"/>
    <w:rsid w:val="00751215"/>
    <w:rsid w:val="007518B6"/>
    <w:rsid w:val="00751FA8"/>
    <w:rsid w:val="0075239B"/>
    <w:rsid w:val="00752900"/>
    <w:rsid w:val="00752B15"/>
    <w:rsid w:val="0075309C"/>
    <w:rsid w:val="00753281"/>
    <w:rsid w:val="00753863"/>
    <w:rsid w:val="007543FA"/>
    <w:rsid w:val="00754769"/>
    <w:rsid w:val="00754784"/>
    <w:rsid w:val="00754F88"/>
    <w:rsid w:val="0075546C"/>
    <w:rsid w:val="00755939"/>
    <w:rsid w:val="00755DB4"/>
    <w:rsid w:val="007563F5"/>
    <w:rsid w:val="007568F4"/>
    <w:rsid w:val="00756F1D"/>
    <w:rsid w:val="00757D3D"/>
    <w:rsid w:val="00761C68"/>
    <w:rsid w:val="00761D6B"/>
    <w:rsid w:val="00762002"/>
    <w:rsid w:val="00764139"/>
    <w:rsid w:val="007644FD"/>
    <w:rsid w:val="00765AEC"/>
    <w:rsid w:val="00765BE8"/>
    <w:rsid w:val="007660C2"/>
    <w:rsid w:val="0076676F"/>
    <w:rsid w:val="007672FD"/>
    <w:rsid w:val="0076779A"/>
    <w:rsid w:val="00770DCA"/>
    <w:rsid w:val="00771336"/>
    <w:rsid w:val="00771682"/>
    <w:rsid w:val="007718B6"/>
    <w:rsid w:val="0077196F"/>
    <w:rsid w:val="0077197B"/>
    <w:rsid w:val="00771AF2"/>
    <w:rsid w:val="00771B89"/>
    <w:rsid w:val="007724FF"/>
    <w:rsid w:val="00772812"/>
    <w:rsid w:val="00772D13"/>
    <w:rsid w:val="007737A5"/>
    <w:rsid w:val="00774B11"/>
    <w:rsid w:val="00774F30"/>
    <w:rsid w:val="007751F5"/>
    <w:rsid w:val="00775529"/>
    <w:rsid w:val="0077599E"/>
    <w:rsid w:val="00775D6E"/>
    <w:rsid w:val="007778B4"/>
    <w:rsid w:val="0078023F"/>
    <w:rsid w:val="007802DF"/>
    <w:rsid w:val="00780301"/>
    <w:rsid w:val="0078077D"/>
    <w:rsid w:val="00780978"/>
    <w:rsid w:val="007811DA"/>
    <w:rsid w:val="00781298"/>
    <w:rsid w:val="00781642"/>
    <w:rsid w:val="0078179A"/>
    <w:rsid w:val="00781A0E"/>
    <w:rsid w:val="00781EF7"/>
    <w:rsid w:val="00782E62"/>
    <w:rsid w:val="00783D6A"/>
    <w:rsid w:val="007842FC"/>
    <w:rsid w:val="0078498A"/>
    <w:rsid w:val="00784BD0"/>
    <w:rsid w:val="00784D6A"/>
    <w:rsid w:val="007859FC"/>
    <w:rsid w:val="00786172"/>
    <w:rsid w:val="0078621A"/>
    <w:rsid w:val="007864D2"/>
    <w:rsid w:val="00786F1A"/>
    <w:rsid w:val="0078795C"/>
    <w:rsid w:val="007906E7"/>
    <w:rsid w:val="007912AF"/>
    <w:rsid w:val="007914F9"/>
    <w:rsid w:val="00791B8C"/>
    <w:rsid w:val="00792360"/>
    <w:rsid w:val="00792403"/>
    <w:rsid w:val="00792755"/>
    <w:rsid w:val="00792C6E"/>
    <w:rsid w:val="007936C3"/>
    <w:rsid w:val="00793CAD"/>
    <w:rsid w:val="007944A1"/>
    <w:rsid w:val="00794719"/>
    <w:rsid w:val="00794E1C"/>
    <w:rsid w:val="00795251"/>
    <w:rsid w:val="00795F5E"/>
    <w:rsid w:val="007962D0"/>
    <w:rsid w:val="00796924"/>
    <w:rsid w:val="00797A1A"/>
    <w:rsid w:val="00797B76"/>
    <w:rsid w:val="00797F22"/>
    <w:rsid w:val="007A0964"/>
    <w:rsid w:val="007A0BB8"/>
    <w:rsid w:val="007A106B"/>
    <w:rsid w:val="007A134E"/>
    <w:rsid w:val="007A2763"/>
    <w:rsid w:val="007A2787"/>
    <w:rsid w:val="007A2DAB"/>
    <w:rsid w:val="007A3199"/>
    <w:rsid w:val="007A4E7A"/>
    <w:rsid w:val="007A5CC1"/>
    <w:rsid w:val="007A5F2F"/>
    <w:rsid w:val="007A6079"/>
    <w:rsid w:val="007A6571"/>
    <w:rsid w:val="007A6591"/>
    <w:rsid w:val="007A68A1"/>
    <w:rsid w:val="007A709D"/>
    <w:rsid w:val="007A74B9"/>
    <w:rsid w:val="007A7555"/>
    <w:rsid w:val="007A759D"/>
    <w:rsid w:val="007A775E"/>
    <w:rsid w:val="007B0466"/>
    <w:rsid w:val="007B0FEE"/>
    <w:rsid w:val="007B15F3"/>
    <w:rsid w:val="007B1E97"/>
    <w:rsid w:val="007B3C41"/>
    <w:rsid w:val="007B442A"/>
    <w:rsid w:val="007B51E1"/>
    <w:rsid w:val="007B56EC"/>
    <w:rsid w:val="007B5DB7"/>
    <w:rsid w:val="007B6257"/>
    <w:rsid w:val="007B6ED0"/>
    <w:rsid w:val="007B722A"/>
    <w:rsid w:val="007C1BE2"/>
    <w:rsid w:val="007C230E"/>
    <w:rsid w:val="007C27E5"/>
    <w:rsid w:val="007C2E18"/>
    <w:rsid w:val="007C418A"/>
    <w:rsid w:val="007C59F5"/>
    <w:rsid w:val="007C6A44"/>
    <w:rsid w:val="007C7330"/>
    <w:rsid w:val="007C7831"/>
    <w:rsid w:val="007C79E1"/>
    <w:rsid w:val="007C7F2C"/>
    <w:rsid w:val="007D03E5"/>
    <w:rsid w:val="007D155A"/>
    <w:rsid w:val="007D1849"/>
    <w:rsid w:val="007D1EBD"/>
    <w:rsid w:val="007D2632"/>
    <w:rsid w:val="007D3C32"/>
    <w:rsid w:val="007D3D6C"/>
    <w:rsid w:val="007D4012"/>
    <w:rsid w:val="007D415E"/>
    <w:rsid w:val="007D4635"/>
    <w:rsid w:val="007D6780"/>
    <w:rsid w:val="007D7364"/>
    <w:rsid w:val="007D75F2"/>
    <w:rsid w:val="007D7673"/>
    <w:rsid w:val="007E034C"/>
    <w:rsid w:val="007E094B"/>
    <w:rsid w:val="007E0E85"/>
    <w:rsid w:val="007E22AE"/>
    <w:rsid w:val="007E22FB"/>
    <w:rsid w:val="007E2AB3"/>
    <w:rsid w:val="007E2F44"/>
    <w:rsid w:val="007E32C4"/>
    <w:rsid w:val="007E3AA4"/>
    <w:rsid w:val="007E3F81"/>
    <w:rsid w:val="007E5A8F"/>
    <w:rsid w:val="007E6383"/>
    <w:rsid w:val="007E6F5B"/>
    <w:rsid w:val="007E71DC"/>
    <w:rsid w:val="007E7BA6"/>
    <w:rsid w:val="007E7C29"/>
    <w:rsid w:val="007F00E1"/>
    <w:rsid w:val="007F0B18"/>
    <w:rsid w:val="007F0C8F"/>
    <w:rsid w:val="007F1607"/>
    <w:rsid w:val="007F19A0"/>
    <w:rsid w:val="007F28AE"/>
    <w:rsid w:val="007F2ABF"/>
    <w:rsid w:val="007F3BFF"/>
    <w:rsid w:val="007F40C2"/>
    <w:rsid w:val="007F45CF"/>
    <w:rsid w:val="007F4D38"/>
    <w:rsid w:val="007F4E10"/>
    <w:rsid w:val="007F4ECA"/>
    <w:rsid w:val="007F64AE"/>
    <w:rsid w:val="007F661A"/>
    <w:rsid w:val="007F6F39"/>
    <w:rsid w:val="007F7086"/>
    <w:rsid w:val="007F7864"/>
    <w:rsid w:val="008001A6"/>
    <w:rsid w:val="00800641"/>
    <w:rsid w:val="0080073F"/>
    <w:rsid w:val="00800B7F"/>
    <w:rsid w:val="00801095"/>
    <w:rsid w:val="008010C4"/>
    <w:rsid w:val="0080148E"/>
    <w:rsid w:val="00801911"/>
    <w:rsid w:val="00802153"/>
    <w:rsid w:val="008030BE"/>
    <w:rsid w:val="00803465"/>
    <w:rsid w:val="00803C45"/>
    <w:rsid w:val="008040DD"/>
    <w:rsid w:val="008044E3"/>
    <w:rsid w:val="008046D8"/>
    <w:rsid w:val="00804867"/>
    <w:rsid w:val="008049EB"/>
    <w:rsid w:val="00805059"/>
    <w:rsid w:val="0080559E"/>
    <w:rsid w:val="00805AD7"/>
    <w:rsid w:val="00806434"/>
    <w:rsid w:val="008064D4"/>
    <w:rsid w:val="00806CE7"/>
    <w:rsid w:val="008071BE"/>
    <w:rsid w:val="00807CE8"/>
    <w:rsid w:val="00807EBF"/>
    <w:rsid w:val="0081000C"/>
    <w:rsid w:val="00810C01"/>
    <w:rsid w:val="00811279"/>
    <w:rsid w:val="0081248A"/>
    <w:rsid w:val="00812BB4"/>
    <w:rsid w:val="008132F5"/>
    <w:rsid w:val="00813F67"/>
    <w:rsid w:val="00814B2E"/>
    <w:rsid w:val="00814E56"/>
    <w:rsid w:val="008153A1"/>
    <w:rsid w:val="00815BEE"/>
    <w:rsid w:val="00815EC2"/>
    <w:rsid w:val="0081610F"/>
    <w:rsid w:val="008164E9"/>
    <w:rsid w:val="008164EA"/>
    <w:rsid w:val="00816C09"/>
    <w:rsid w:val="00816FC8"/>
    <w:rsid w:val="008177C8"/>
    <w:rsid w:val="0081780B"/>
    <w:rsid w:val="00820233"/>
    <w:rsid w:val="008203E3"/>
    <w:rsid w:val="008205DE"/>
    <w:rsid w:val="00820730"/>
    <w:rsid w:val="00820BB5"/>
    <w:rsid w:val="00821325"/>
    <w:rsid w:val="00822006"/>
    <w:rsid w:val="0082216A"/>
    <w:rsid w:val="0082695A"/>
    <w:rsid w:val="008270A3"/>
    <w:rsid w:val="008276DE"/>
    <w:rsid w:val="0083026A"/>
    <w:rsid w:val="008303ED"/>
    <w:rsid w:val="008305D0"/>
    <w:rsid w:val="00831199"/>
    <w:rsid w:val="0083186D"/>
    <w:rsid w:val="00831A59"/>
    <w:rsid w:val="00831AC5"/>
    <w:rsid w:val="00831D79"/>
    <w:rsid w:val="00833603"/>
    <w:rsid w:val="00833854"/>
    <w:rsid w:val="008338FC"/>
    <w:rsid w:val="008353C3"/>
    <w:rsid w:val="008356C1"/>
    <w:rsid w:val="00835732"/>
    <w:rsid w:val="00835F1F"/>
    <w:rsid w:val="00836663"/>
    <w:rsid w:val="00836C1A"/>
    <w:rsid w:val="0083794A"/>
    <w:rsid w:val="00837AC3"/>
    <w:rsid w:val="00840463"/>
    <w:rsid w:val="0084059F"/>
    <w:rsid w:val="008409D3"/>
    <w:rsid w:val="00840B0C"/>
    <w:rsid w:val="0084118E"/>
    <w:rsid w:val="00841C46"/>
    <w:rsid w:val="008421F5"/>
    <w:rsid w:val="00842442"/>
    <w:rsid w:val="0084258D"/>
    <w:rsid w:val="00842832"/>
    <w:rsid w:val="008428D0"/>
    <w:rsid w:val="00843534"/>
    <w:rsid w:val="00843901"/>
    <w:rsid w:val="008439FC"/>
    <w:rsid w:val="00843B09"/>
    <w:rsid w:val="00843B39"/>
    <w:rsid w:val="008464E5"/>
    <w:rsid w:val="0084719F"/>
    <w:rsid w:val="0084724B"/>
    <w:rsid w:val="008472AE"/>
    <w:rsid w:val="008473D9"/>
    <w:rsid w:val="008478C1"/>
    <w:rsid w:val="00847C21"/>
    <w:rsid w:val="00850314"/>
    <w:rsid w:val="00850A56"/>
    <w:rsid w:val="00850D77"/>
    <w:rsid w:val="008510C1"/>
    <w:rsid w:val="0085140E"/>
    <w:rsid w:val="008515E0"/>
    <w:rsid w:val="00851756"/>
    <w:rsid w:val="00851C29"/>
    <w:rsid w:val="008520C1"/>
    <w:rsid w:val="00852600"/>
    <w:rsid w:val="00853057"/>
    <w:rsid w:val="00855D82"/>
    <w:rsid w:val="00855FF2"/>
    <w:rsid w:val="008564C8"/>
    <w:rsid w:val="008565FD"/>
    <w:rsid w:val="008573AF"/>
    <w:rsid w:val="00860130"/>
    <w:rsid w:val="0086079F"/>
    <w:rsid w:val="008613CE"/>
    <w:rsid w:val="00861489"/>
    <w:rsid w:val="00861640"/>
    <w:rsid w:val="008616DB"/>
    <w:rsid w:val="00861779"/>
    <w:rsid w:val="00861B8A"/>
    <w:rsid w:val="0086224E"/>
    <w:rsid w:val="008629AA"/>
    <w:rsid w:val="00863ACD"/>
    <w:rsid w:val="00864468"/>
    <w:rsid w:val="00864EC9"/>
    <w:rsid w:val="00864F62"/>
    <w:rsid w:val="008657B9"/>
    <w:rsid w:val="00866CA2"/>
    <w:rsid w:val="00867E01"/>
    <w:rsid w:val="008701CF"/>
    <w:rsid w:val="008701EC"/>
    <w:rsid w:val="00870335"/>
    <w:rsid w:val="008707A8"/>
    <w:rsid w:val="00870A67"/>
    <w:rsid w:val="00870B5B"/>
    <w:rsid w:val="00871923"/>
    <w:rsid w:val="008719DC"/>
    <w:rsid w:val="00871C02"/>
    <w:rsid w:val="00872E9C"/>
    <w:rsid w:val="00874432"/>
    <w:rsid w:val="00874A92"/>
    <w:rsid w:val="00874F1A"/>
    <w:rsid w:val="00875600"/>
    <w:rsid w:val="008758FF"/>
    <w:rsid w:val="0087659A"/>
    <w:rsid w:val="0087761C"/>
    <w:rsid w:val="00877FA4"/>
    <w:rsid w:val="00880996"/>
    <w:rsid w:val="00880B26"/>
    <w:rsid w:val="00880CB0"/>
    <w:rsid w:val="008810A2"/>
    <w:rsid w:val="008812E5"/>
    <w:rsid w:val="00881D1B"/>
    <w:rsid w:val="00882CC0"/>
    <w:rsid w:val="00882D9C"/>
    <w:rsid w:val="008830DD"/>
    <w:rsid w:val="008846E3"/>
    <w:rsid w:val="0088488F"/>
    <w:rsid w:val="00884D15"/>
    <w:rsid w:val="00884DA8"/>
    <w:rsid w:val="008859D9"/>
    <w:rsid w:val="00885D03"/>
    <w:rsid w:val="0088609D"/>
    <w:rsid w:val="00886729"/>
    <w:rsid w:val="00886AA2"/>
    <w:rsid w:val="00886EF5"/>
    <w:rsid w:val="0088755B"/>
    <w:rsid w:val="00887ECF"/>
    <w:rsid w:val="008896FC"/>
    <w:rsid w:val="008900F8"/>
    <w:rsid w:val="008916A3"/>
    <w:rsid w:val="00891C72"/>
    <w:rsid w:val="008922AC"/>
    <w:rsid w:val="008935B5"/>
    <w:rsid w:val="00893A6E"/>
    <w:rsid w:val="00893D2E"/>
    <w:rsid w:val="00894A67"/>
    <w:rsid w:val="00895E3D"/>
    <w:rsid w:val="00895F4B"/>
    <w:rsid w:val="00896090"/>
    <w:rsid w:val="008969B2"/>
    <w:rsid w:val="00896A40"/>
    <w:rsid w:val="00897500"/>
    <w:rsid w:val="00897F74"/>
    <w:rsid w:val="008A0208"/>
    <w:rsid w:val="008A144C"/>
    <w:rsid w:val="008A17CD"/>
    <w:rsid w:val="008A1A5A"/>
    <w:rsid w:val="008A1F7A"/>
    <w:rsid w:val="008A26C9"/>
    <w:rsid w:val="008A2718"/>
    <w:rsid w:val="008A277A"/>
    <w:rsid w:val="008A30F2"/>
    <w:rsid w:val="008A4E49"/>
    <w:rsid w:val="008A4E56"/>
    <w:rsid w:val="008A557F"/>
    <w:rsid w:val="008A5DDC"/>
    <w:rsid w:val="008A5F77"/>
    <w:rsid w:val="008A6197"/>
    <w:rsid w:val="008A66A0"/>
    <w:rsid w:val="008A6984"/>
    <w:rsid w:val="008A7029"/>
    <w:rsid w:val="008A7883"/>
    <w:rsid w:val="008A7D81"/>
    <w:rsid w:val="008B024C"/>
    <w:rsid w:val="008B1C71"/>
    <w:rsid w:val="008B2D30"/>
    <w:rsid w:val="008B3410"/>
    <w:rsid w:val="008B35A2"/>
    <w:rsid w:val="008B3846"/>
    <w:rsid w:val="008B494B"/>
    <w:rsid w:val="008B4CF5"/>
    <w:rsid w:val="008B4D26"/>
    <w:rsid w:val="008B4E3F"/>
    <w:rsid w:val="008B4F43"/>
    <w:rsid w:val="008B58A5"/>
    <w:rsid w:val="008B5DB9"/>
    <w:rsid w:val="008B676E"/>
    <w:rsid w:val="008B6C6F"/>
    <w:rsid w:val="008B70C6"/>
    <w:rsid w:val="008B73FA"/>
    <w:rsid w:val="008B7DC6"/>
    <w:rsid w:val="008C006B"/>
    <w:rsid w:val="008C09FB"/>
    <w:rsid w:val="008C100D"/>
    <w:rsid w:val="008C1341"/>
    <w:rsid w:val="008C4028"/>
    <w:rsid w:val="008C5656"/>
    <w:rsid w:val="008C6370"/>
    <w:rsid w:val="008C6BF7"/>
    <w:rsid w:val="008C7033"/>
    <w:rsid w:val="008C7862"/>
    <w:rsid w:val="008C7B95"/>
    <w:rsid w:val="008C7BD2"/>
    <w:rsid w:val="008D0548"/>
    <w:rsid w:val="008D055E"/>
    <w:rsid w:val="008D0739"/>
    <w:rsid w:val="008D0EFD"/>
    <w:rsid w:val="008D0FF9"/>
    <w:rsid w:val="008D1783"/>
    <w:rsid w:val="008D219F"/>
    <w:rsid w:val="008D22CA"/>
    <w:rsid w:val="008D34AC"/>
    <w:rsid w:val="008D3554"/>
    <w:rsid w:val="008D4B54"/>
    <w:rsid w:val="008D4E15"/>
    <w:rsid w:val="008D5641"/>
    <w:rsid w:val="008D61A5"/>
    <w:rsid w:val="008D68DA"/>
    <w:rsid w:val="008D6FA0"/>
    <w:rsid w:val="008E01F8"/>
    <w:rsid w:val="008E217C"/>
    <w:rsid w:val="008E228A"/>
    <w:rsid w:val="008E2BE9"/>
    <w:rsid w:val="008E33B5"/>
    <w:rsid w:val="008E3445"/>
    <w:rsid w:val="008E3F7F"/>
    <w:rsid w:val="008E4604"/>
    <w:rsid w:val="008E5952"/>
    <w:rsid w:val="008E5FA2"/>
    <w:rsid w:val="008E63E5"/>
    <w:rsid w:val="008E67F5"/>
    <w:rsid w:val="008E718C"/>
    <w:rsid w:val="008E7275"/>
    <w:rsid w:val="008E7290"/>
    <w:rsid w:val="008E74C4"/>
    <w:rsid w:val="008E79E5"/>
    <w:rsid w:val="008F07BE"/>
    <w:rsid w:val="008F09E3"/>
    <w:rsid w:val="008F0AC0"/>
    <w:rsid w:val="008F0B27"/>
    <w:rsid w:val="008F0D98"/>
    <w:rsid w:val="008F0EBA"/>
    <w:rsid w:val="008F10C3"/>
    <w:rsid w:val="008F14C7"/>
    <w:rsid w:val="008F1B5B"/>
    <w:rsid w:val="008F1D1D"/>
    <w:rsid w:val="008F2624"/>
    <w:rsid w:val="008F26C8"/>
    <w:rsid w:val="008F2ADF"/>
    <w:rsid w:val="008F302B"/>
    <w:rsid w:val="008F314D"/>
    <w:rsid w:val="008F3189"/>
    <w:rsid w:val="008F3B03"/>
    <w:rsid w:val="008F41F1"/>
    <w:rsid w:val="008F43AD"/>
    <w:rsid w:val="008F46CE"/>
    <w:rsid w:val="008F54C7"/>
    <w:rsid w:val="008F58A7"/>
    <w:rsid w:val="008F5DE6"/>
    <w:rsid w:val="008F6780"/>
    <w:rsid w:val="008F75BF"/>
    <w:rsid w:val="009008E3"/>
    <w:rsid w:val="009011C4"/>
    <w:rsid w:val="00901606"/>
    <w:rsid w:val="00901D27"/>
    <w:rsid w:val="00901E73"/>
    <w:rsid w:val="00901EA0"/>
    <w:rsid w:val="00903BCC"/>
    <w:rsid w:val="00903BE0"/>
    <w:rsid w:val="00903D7D"/>
    <w:rsid w:val="00904516"/>
    <w:rsid w:val="00905D46"/>
    <w:rsid w:val="00906167"/>
    <w:rsid w:val="0090624F"/>
    <w:rsid w:val="009062AE"/>
    <w:rsid w:val="009064D0"/>
    <w:rsid w:val="00906693"/>
    <w:rsid w:val="00906D5D"/>
    <w:rsid w:val="00907DF4"/>
    <w:rsid w:val="00910013"/>
    <w:rsid w:val="009102C7"/>
    <w:rsid w:val="009105BF"/>
    <w:rsid w:val="00910713"/>
    <w:rsid w:val="00910FA6"/>
    <w:rsid w:val="00911DC4"/>
    <w:rsid w:val="00912179"/>
    <w:rsid w:val="0091218F"/>
    <w:rsid w:val="00912BFD"/>
    <w:rsid w:val="00912CF0"/>
    <w:rsid w:val="009131D9"/>
    <w:rsid w:val="009132A8"/>
    <w:rsid w:val="00913395"/>
    <w:rsid w:val="00913C9C"/>
    <w:rsid w:val="00913CDC"/>
    <w:rsid w:val="009142FA"/>
    <w:rsid w:val="0091435B"/>
    <w:rsid w:val="00914472"/>
    <w:rsid w:val="0091455C"/>
    <w:rsid w:val="0091511A"/>
    <w:rsid w:val="0091516E"/>
    <w:rsid w:val="00915193"/>
    <w:rsid w:val="009152F8"/>
    <w:rsid w:val="00915397"/>
    <w:rsid w:val="00916A59"/>
    <w:rsid w:val="009178AB"/>
    <w:rsid w:val="0091798B"/>
    <w:rsid w:val="00917A2F"/>
    <w:rsid w:val="00917E82"/>
    <w:rsid w:val="009207C3"/>
    <w:rsid w:val="009214BD"/>
    <w:rsid w:val="00922574"/>
    <w:rsid w:val="00922B7E"/>
    <w:rsid w:val="009231C1"/>
    <w:rsid w:val="0092348B"/>
    <w:rsid w:val="00923720"/>
    <w:rsid w:val="00923D3B"/>
    <w:rsid w:val="00923DB3"/>
    <w:rsid w:val="00923F62"/>
    <w:rsid w:val="009242F0"/>
    <w:rsid w:val="0092522B"/>
    <w:rsid w:val="009254C2"/>
    <w:rsid w:val="00925541"/>
    <w:rsid w:val="0092558A"/>
    <w:rsid w:val="00925BA6"/>
    <w:rsid w:val="00925CA1"/>
    <w:rsid w:val="00926473"/>
    <w:rsid w:val="00926711"/>
    <w:rsid w:val="00926744"/>
    <w:rsid w:val="009268EC"/>
    <w:rsid w:val="00926A5D"/>
    <w:rsid w:val="009300BB"/>
    <w:rsid w:val="00930696"/>
    <w:rsid w:val="00930AF2"/>
    <w:rsid w:val="009310C4"/>
    <w:rsid w:val="00931367"/>
    <w:rsid w:val="00931B0E"/>
    <w:rsid w:val="00931CCA"/>
    <w:rsid w:val="00931D5A"/>
    <w:rsid w:val="00932452"/>
    <w:rsid w:val="009325C9"/>
    <w:rsid w:val="00932785"/>
    <w:rsid w:val="00932CD3"/>
    <w:rsid w:val="00934B1B"/>
    <w:rsid w:val="00935842"/>
    <w:rsid w:val="00935A35"/>
    <w:rsid w:val="00935AC0"/>
    <w:rsid w:val="00935C33"/>
    <w:rsid w:val="00935D1B"/>
    <w:rsid w:val="0093667B"/>
    <w:rsid w:val="009375A4"/>
    <w:rsid w:val="00937719"/>
    <w:rsid w:val="009379CF"/>
    <w:rsid w:val="00937CAF"/>
    <w:rsid w:val="00940712"/>
    <w:rsid w:val="009409E0"/>
    <w:rsid w:val="009410CF"/>
    <w:rsid w:val="00941313"/>
    <w:rsid w:val="009413EA"/>
    <w:rsid w:val="009418F4"/>
    <w:rsid w:val="00941C19"/>
    <w:rsid w:val="00941D98"/>
    <w:rsid w:val="00942046"/>
    <w:rsid w:val="00942670"/>
    <w:rsid w:val="00942BBC"/>
    <w:rsid w:val="009436FA"/>
    <w:rsid w:val="00943798"/>
    <w:rsid w:val="00944008"/>
    <w:rsid w:val="009443C0"/>
    <w:rsid w:val="0094526D"/>
    <w:rsid w:val="00945501"/>
    <w:rsid w:val="00947E3F"/>
    <w:rsid w:val="00950652"/>
    <w:rsid w:val="00950895"/>
    <w:rsid w:val="00950F6B"/>
    <w:rsid w:val="009524E5"/>
    <w:rsid w:val="009526E8"/>
    <w:rsid w:val="009528A6"/>
    <w:rsid w:val="009528DF"/>
    <w:rsid w:val="00952AD7"/>
    <w:rsid w:val="009531A4"/>
    <w:rsid w:val="00953A7E"/>
    <w:rsid w:val="00953B65"/>
    <w:rsid w:val="00954D7B"/>
    <w:rsid w:val="00955E2B"/>
    <w:rsid w:val="0095692C"/>
    <w:rsid w:val="00956B91"/>
    <w:rsid w:val="00957E92"/>
    <w:rsid w:val="009606CC"/>
    <w:rsid w:val="009606EB"/>
    <w:rsid w:val="00960CA4"/>
    <w:rsid w:val="00960DDC"/>
    <w:rsid w:val="0096122E"/>
    <w:rsid w:val="009619B0"/>
    <w:rsid w:val="00961CD8"/>
    <w:rsid w:val="00961DF6"/>
    <w:rsid w:val="00963344"/>
    <w:rsid w:val="009639CE"/>
    <w:rsid w:val="00964FF6"/>
    <w:rsid w:val="009653C4"/>
    <w:rsid w:val="009678A9"/>
    <w:rsid w:val="009679DF"/>
    <w:rsid w:val="0097011C"/>
    <w:rsid w:val="00970C07"/>
    <w:rsid w:val="009711C5"/>
    <w:rsid w:val="00971227"/>
    <w:rsid w:val="0097151C"/>
    <w:rsid w:val="00971CFF"/>
    <w:rsid w:val="00971F31"/>
    <w:rsid w:val="009727F9"/>
    <w:rsid w:val="00972A78"/>
    <w:rsid w:val="00972D4F"/>
    <w:rsid w:val="0097334D"/>
    <w:rsid w:val="00973E6D"/>
    <w:rsid w:val="00973E89"/>
    <w:rsid w:val="00974051"/>
    <w:rsid w:val="0097428D"/>
    <w:rsid w:val="009747BE"/>
    <w:rsid w:val="00974BE1"/>
    <w:rsid w:val="00974C2B"/>
    <w:rsid w:val="00975E92"/>
    <w:rsid w:val="00975FD5"/>
    <w:rsid w:val="00976634"/>
    <w:rsid w:val="00976C26"/>
    <w:rsid w:val="00977014"/>
    <w:rsid w:val="009774FB"/>
    <w:rsid w:val="00977537"/>
    <w:rsid w:val="0098077B"/>
    <w:rsid w:val="00980790"/>
    <w:rsid w:val="00980FD2"/>
    <w:rsid w:val="00981E10"/>
    <w:rsid w:val="00981E2E"/>
    <w:rsid w:val="00983438"/>
    <w:rsid w:val="0098354A"/>
    <w:rsid w:val="00983A94"/>
    <w:rsid w:val="00984702"/>
    <w:rsid w:val="00985DDB"/>
    <w:rsid w:val="00986993"/>
    <w:rsid w:val="00987801"/>
    <w:rsid w:val="00987C86"/>
    <w:rsid w:val="00990AE4"/>
    <w:rsid w:val="00990B63"/>
    <w:rsid w:val="009926CC"/>
    <w:rsid w:val="00992E3F"/>
    <w:rsid w:val="00993023"/>
    <w:rsid w:val="009933AB"/>
    <w:rsid w:val="009943BA"/>
    <w:rsid w:val="00995F1C"/>
    <w:rsid w:val="00996221"/>
    <w:rsid w:val="00996675"/>
    <w:rsid w:val="00996C9C"/>
    <w:rsid w:val="0099708F"/>
    <w:rsid w:val="009978B2"/>
    <w:rsid w:val="009A036D"/>
    <w:rsid w:val="009A0ADD"/>
    <w:rsid w:val="009A18AA"/>
    <w:rsid w:val="009A1AD2"/>
    <w:rsid w:val="009A348A"/>
    <w:rsid w:val="009A35DB"/>
    <w:rsid w:val="009A452C"/>
    <w:rsid w:val="009A47F8"/>
    <w:rsid w:val="009A5332"/>
    <w:rsid w:val="009A538C"/>
    <w:rsid w:val="009A5AFD"/>
    <w:rsid w:val="009A5B78"/>
    <w:rsid w:val="009A6DB9"/>
    <w:rsid w:val="009A6FC2"/>
    <w:rsid w:val="009A70B7"/>
    <w:rsid w:val="009A762A"/>
    <w:rsid w:val="009A7689"/>
    <w:rsid w:val="009B018A"/>
    <w:rsid w:val="009B026D"/>
    <w:rsid w:val="009B0751"/>
    <w:rsid w:val="009B0A2F"/>
    <w:rsid w:val="009B0B6F"/>
    <w:rsid w:val="009B0E90"/>
    <w:rsid w:val="009B14CC"/>
    <w:rsid w:val="009B155C"/>
    <w:rsid w:val="009B1751"/>
    <w:rsid w:val="009B22EA"/>
    <w:rsid w:val="009B2FD8"/>
    <w:rsid w:val="009B4307"/>
    <w:rsid w:val="009B50D4"/>
    <w:rsid w:val="009B5416"/>
    <w:rsid w:val="009B5F72"/>
    <w:rsid w:val="009B6048"/>
    <w:rsid w:val="009B6314"/>
    <w:rsid w:val="009C0A5E"/>
    <w:rsid w:val="009C1513"/>
    <w:rsid w:val="009C240E"/>
    <w:rsid w:val="009C2910"/>
    <w:rsid w:val="009C2BA6"/>
    <w:rsid w:val="009C2C20"/>
    <w:rsid w:val="009C3E52"/>
    <w:rsid w:val="009C3F95"/>
    <w:rsid w:val="009C3FEA"/>
    <w:rsid w:val="009C4403"/>
    <w:rsid w:val="009C4FD9"/>
    <w:rsid w:val="009C515A"/>
    <w:rsid w:val="009C5279"/>
    <w:rsid w:val="009C590A"/>
    <w:rsid w:val="009C7490"/>
    <w:rsid w:val="009C7DB5"/>
    <w:rsid w:val="009D0BD7"/>
    <w:rsid w:val="009D0C5D"/>
    <w:rsid w:val="009D0D76"/>
    <w:rsid w:val="009D0DA9"/>
    <w:rsid w:val="009D1CDF"/>
    <w:rsid w:val="009D1E85"/>
    <w:rsid w:val="009D228F"/>
    <w:rsid w:val="009D2A66"/>
    <w:rsid w:val="009D348A"/>
    <w:rsid w:val="009D3DAB"/>
    <w:rsid w:val="009D4093"/>
    <w:rsid w:val="009D459A"/>
    <w:rsid w:val="009D49F6"/>
    <w:rsid w:val="009D4B54"/>
    <w:rsid w:val="009D562F"/>
    <w:rsid w:val="009D63D2"/>
    <w:rsid w:val="009D63FF"/>
    <w:rsid w:val="009D66DF"/>
    <w:rsid w:val="009D698A"/>
    <w:rsid w:val="009D6CCD"/>
    <w:rsid w:val="009E022C"/>
    <w:rsid w:val="009E1668"/>
    <w:rsid w:val="009E1AD5"/>
    <w:rsid w:val="009E1CB9"/>
    <w:rsid w:val="009E258C"/>
    <w:rsid w:val="009E28BE"/>
    <w:rsid w:val="009E3650"/>
    <w:rsid w:val="009E386D"/>
    <w:rsid w:val="009E430D"/>
    <w:rsid w:val="009E45C2"/>
    <w:rsid w:val="009E460D"/>
    <w:rsid w:val="009E49F9"/>
    <w:rsid w:val="009E4A9C"/>
    <w:rsid w:val="009E520E"/>
    <w:rsid w:val="009E5245"/>
    <w:rsid w:val="009E6319"/>
    <w:rsid w:val="009E7C9E"/>
    <w:rsid w:val="009E7F72"/>
    <w:rsid w:val="009F020D"/>
    <w:rsid w:val="009F0EB6"/>
    <w:rsid w:val="009F1318"/>
    <w:rsid w:val="009F13C1"/>
    <w:rsid w:val="009F147E"/>
    <w:rsid w:val="009F195D"/>
    <w:rsid w:val="009F1BC1"/>
    <w:rsid w:val="009F23B0"/>
    <w:rsid w:val="009F2658"/>
    <w:rsid w:val="009F27A3"/>
    <w:rsid w:val="009F2A83"/>
    <w:rsid w:val="009F3778"/>
    <w:rsid w:val="009F3B4A"/>
    <w:rsid w:val="009F4111"/>
    <w:rsid w:val="009F439B"/>
    <w:rsid w:val="009F51EC"/>
    <w:rsid w:val="009F6276"/>
    <w:rsid w:val="009F676B"/>
    <w:rsid w:val="009F681C"/>
    <w:rsid w:val="009F6824"/>
    <w:rsid w:val="009F78EF"/>
    <w:rsid w:val="00A004A3"/>
    <w:rsid w:val="00A004AB"/>
    <w:rsid w:val="00A0053F"/>
    <w:rsid w:val="00A011A6"/>
    <w:rsid w:val="00A0123D"/>
    <w:rsid w:val="00A015D1"/>
    <w:rsid w:val="00A01689"/>
    <w:rsid w:val="00A01840"/>
    <w:rsid w:val="00A01FBF"/>
    <w:rsid w:val="00A021B2"/>
    <w:rsid w:val="00A0231D"/>
    <w:rsid w:val="00A023C6"/>
    <w:rsid w:val="00A0256A"/>
    <w:rsid w:val="00A025AF"/>
    <w:rsid w:val="00A02D0A"/>
    <w:rsid w:val="00A02F20"/>
    <w:rsid w:val="00A03EDD"/>
    <w:rsid w:val="00A05932"/>
    <w:rsid w:val="00A05D79"/>
    <w:rsid w:val="00A07060"/>
    <w:rsid w:val="00A070BC"/>
    <w:rsid w:val="00A07822"/>
    <w:rsid w:val="00A106B6"/>
    <w:rsid w:val="00A1078E"/>
    <w:rsid w:val="00A10BE8"/>
    <w:rsid w:val="00A10F57"/>
    <w:rsid w:val="00A11164"/>
    <w:rsid w:val="00A113C6"/>
    <w:rsid w:val="00A11462"/>
    <w:rsid w:val="00A11D71"/>
    <w:rsid w:val="00A1323A"/>
    <w:rsid w:val="00A13318"/>
    <w:rsid w:val="00A157B5"/>
    <w:rsid w:val="00A16166"/>
    <w:rsid w:val="00A1620D"/>
    <w:rsid w:val="00A17DF7"/>
    <w:rsid w:val="00A20051"/>
    <w:rsid w:val="00A21A8E"/>
    <w:rsid w:val="00A21D4B"/>
    <w:rsid w:val="00A22597"/>
    <w:rsid w:val="00A23B17"/>
    <w:rsid w:val="00A23E60"/>
    <w:rsid w:val="00A24039"/>
    <w:rsid w:val="00A24B69"/>
    <w:rsid w:val="00A24FC7"/>
    <w:rsid w:val="00A26EEE"/>
    <w:rsid w:val="00A270C3"/>
    <w:rsid w:val="00A272E2"/>
    <w:rsid w:val="00A27946"/>
    <w:rsid w:val="00A27E2B"/>
    <w:rsid w:val="00A3034D"/>
    <w:rsid w:val="00A30368"/>
    <w:rsid w:val="00A303AA"/>
    <w:rsid w:val="00A307A9"/>
    <w:rsid w:val="00A30925"/>
    <w:rsid w:val="00A30B7F"/>
    <w:rsid w:val="00A31009"/>
    <w:rsid w:val="00A31207"/>
    <w:rsid w:val="00A31878"/>
    <w:rsid w:val="00A31B56"/>
    <w:rsid w:val="00A31DE4"/>
    <w:rsid w:val="00A322B9"/>
    <w:rsid w:val="00A326FD"/>
    <w:rsid w:val="00A34113"/>
    <w:rsid w:val="00A34F04"/>
    <w:rsid w:val="00A36BD5"/>
    <w:rsid w:val="00A36F52"/>
    <w:rsid w:val="00A37182"/>
    <w:rsid w:val="00A3736A"/>
    <w:rsid w:val="00A378D8"/>
    <w:rsid w:val="00A378FC"/>
    <w:rsid w:val="00A37B84"/>
    <w:rsid w:val="00A40C8E"/>
    <w:rsid w:val="00A4155F"/>
    <w:rsid w:val="00A415C5"/>
    <w:rsid w:val="00A42252"/>
    <w:rsid w:val="00A42413"/>
    <w:rsid w:val="00A42476"/>
    <w:rsid w:val="00A42485"/>
    <w:rsid w:val="00A42BC7"/>
    <w:rsid w:val="00A42CBF"/>
    <w:rsid w:val="00A43081"/>
    <w:rsid w:val="00A43420"/>
    <w:rsid w:val="00A43843"/>
    <w:rsid w:val="00A43A0D"/>
    <w:rsid w:val="00A43D58"/>
    <w:rsid w:val="00A44092"/>
    <w:rsid w:val="00A44346"/>
    <w:rsid w:val="00A44892"/>
    <w:rsid w:val="00A44A07"/>
    <w:rsid w:val="00A44AD1"/>
    <w:rsid w:val="00A45177"/>
    <w:rsid w:val="00A460B6"/>
    <w:rsid w:val="00A46135"/>
    <w:rsid w:val="00A461FA"/>
    <w:rsid w:val="00A462ED"/>
    <w:rsid w:val="00A46CE7"/>
    <w:rsid w:val="00A47828"/>
    <w:rsid w:val="00A47A29"/>
    <w:rsid w:val="00A47BD3"/>
    <w:rsid w:val="00A501D5"/>
    <w:rsid w:val="00A50AEA"/>
    <w:rsid w:val="00A51AE3"/>
    <w:rsid w:val="00A51B74"/>
    <w:rsid w:val="00A52271"/>
    <w:rsid w:val="00A52A45"/>
    <w:rsid w:val="00A53891"/>
    <w:rsid w:val="00A542DF"/>
    <w:rsid w:val="00A5539C"/>
    <w:rsid w:val="00A55D1D"/>
    <w:rsid w:val="00A56746"/>
    <w:rsid w:val="00A56F47"/>
    <w:rsid w:val="00A570D8"/>
    <w:rsid w:val="00A5757B"/>
    <w:rsid w:val="00A57CAF"/>
    <w:rsid w:val="00A60575"/>
    <w:rsid w:val="00A613F2"/>
    <w:rsid w:val="00A6148C"/>
    <w:rsid w:val="00A61783"/>
    <w:rsid w:val="00A61BE2"/>
    <w:rsid w:val="00A62181"/>
    <w:rsid w:val="00A63512"/>
    <w:rsid w:val="00A64AC2"/>
    <w:rsid w:val="00A64B99"/>
    <w:rsid w:val="00A64EBE"/>
    <w:rsid w:val="00A64FFA"/>
    <w:rsid w:val="00A652A6"/>
    <w:rsid w:val="00A6599E"/>
    <w:rsid w:val="00A65BB3"/>
    <w:rsid w:val="00A65F9A"/>
    <w:rsid w:val="00A6694A"/>
    <w:rsid w:val="00A672F4"/>
    <w:rsid w:val="00A674E5"/>
    <w:rsid w:val="00A675EC"/>
    <w:rsid w:val="00A70944"/>
    <w:rsid w:val="00A70BFC"/>
    <w:rsid w:val="00A7164A"/>
    <w:rsid w:val="00A72093"/>
    <w:rsid w:val="00A7391F"/>
    <w:rsid w:val="00A73FAE"/>
    <w:rsid w:val="00A75765"/>
    <w:rsid w:val="00A75936"/>
    <w:rsid w:val="00A76349"/>
    <w:rsid w:val="00A76579"/>
    <w:rsid w:val="00A769D5"/>
    <w:rsid w:val="00A77179"/>
    <w:rsid w:val="00A77F78"/>
    <w:rsid w:val="00A8099F"/>
    <w:rsid w:val="00A80A2E"/>
    <w:rsid w:val="00A80A7C"/>
    <w:rsid w:val="00A823C2"/>
    <w:rsid w:val="00A82C17"/>
    <w:rsid w:val="00A83A44"/>
    <w:rsid w:val="00A83AC4"/>
    <w:rsid w:val="00A84ACE"/>
    <w:rsid w:val="00A86358"/>
    <w:rsid w:val="00A869EA"/>
    <w:rsid w:val="00A86AF7"/>
    <w:rsid w:val="00A9066B"/>
    <w:rsid w:val="00A906FB"/>
    <w:rsid w:val="00A917E3"/>
    <w:rsid w:val="00A91F60"/>
    <w:rsid w:val="00A924B8"/>
    <w:rsid w:val="00A93190"/>
    <w:rsid w:val="00A93C59"/>
    <w:rsid w:val="00A93F66"/>
    <w:rsid w:val="00A9413D"/>
    <w:rsid w:val="00A9692D"/>
    <w:rsid w:val="00A9692E"/>
    <w:rsid w:val="00A96E69"/>
    <w:rsid w:val="00A96ED3"/>
    <w:rsid w:val="00A978D2"/>
    <w:rsid w:val="00AA0657"/>
    <w:rsid w:val="00AA1000"/>
    <w:rsid w:val="00AA177E"/>
    <w:rsid w:val="00AA32CC"/>
    <w:rsid w:val="00AA33C1"/>
    <w:rsid w:val="00AA5595"/>
    <w:rsid w:val="00AA55F6"/>
    <w:rsid w:val="00AA585B"/>
    <w:rsid w:val="00AA59C7"/>
    <w:rsid w:val="00AA5FFD"/>
    <w:rsid w:val="00AA75F3"/>
    <w:rsid w:val="00AA78F5"/>
    <w:rsid w:val="00AA7D27"/>
    <w:rsid w:val="00AA7E3A"/>
    <w:rsid w:val="00AB0713"/>
    <w:rsid w:val="00AB0967"/>
    <w:rsid w:val="00AB11B6"/>
    <w:rsid w:val="00AB12F4"/>
    <w:rsid w:val="00AB1C8F"/>
    <w:rsid w:val="00AB200B"/>
    <w:rsid w:val="00AB2B1F"/>
    <w:rsid w:val="00AB2CC3"/>
    <w:rsid w:val="00AB2E96"/>
    <w:rsid w:val="00AB3CD1"/>
    <w:rsid w:val="00AB3F68"/>
    <w:rsid w:val="00AB59E5"/>
    <w:rsid w:val="00AB5B05"/>
    <w:rsid w:val="00AB73A8"/>
    <w:rsid w:val="00AB742F"/>
    <w:rsid w:val="00AB7C3A"/>
    <w:rsid w:val="00AC02FB"/>
    <w:rsid w:val="00AC06AB"/>
    <w:rsid w:val="00AC0D5D"/>
    <w:rsid w:val="00AC0DEB"/>
    <w:rsid w:val="00AC1C3B"/>
    <w:rsid w:val="00AC1CCD"/>
    <w:rsid w:val="00AC2201"/>
    <w:rsid w:val="00AC22E6"/>
    <w:rsid w:val="00AC2FED"/>
    <w:rsid w:val="00AC37BA"/>
    <w:rsid w:val="00AC419C"/>
    <w:rsid w:val="00AC462B"/>
    <w:rsid w:val="00AC4BD7"/>
    <w:rsid w:val="00AC5063"/>
    <w:rsid w:val="00AC563D"/>
    <w:rsid w:val="00AC5FBE"/>
    <w:rsid w:val="00AC6068"/>
    <w:rsid w:val="00AC65BE"/>
    <w:rsid w:val="00AC7113"/>
    <w:rsid w:val="00AC74C5"/>
    <w:rsid w:val="00AC7601"/>
    <w:rsid w:val="00AC76FA"/>
    <w:rsid w:val="00AC7EDC"/>
    <w:rsid w:val="00AD028D"/>
    <w:rsid w:val="00AD16F4"/>
    <w:rsid w:val="00AD215C"/>
    <w:rsid w:val="00AD2278"/>
    <w:rsid w:val="00AD30F9"/>
    <w:rsid w:val="00AD4B45"/>
    <w:rsid w:val="00AD5558"/>
    <w:rsid w:val="00AD6274"/>
    <w:rsid w:val="00AD62AC"/>
    <w:rsid w:val="00AD6EC2"/>
    <w:rsid w:val="00AD72FC"/>
    <w:rsid w:val="00AD788E"/>
    <w:rsid w:val="00AD7CBF"/>
    <w:rsid w:val="00AD7D80"/>
    <w:rsid w:val="00AD7DFB"/>
    <w:rsid w:val="00AE10FB"/>
    <w:rsid w:val="00AE1F6C"/>
    <w:rsid w:val="00AE2611"/>
    <w:rsid w:val="00AE282A"/>
    <w:rsid w:val="00AE3616"/>
    <w:rsid w:val="00AE4313"/>
    <w:rsid w:val="00AE528A"/>
    <w:rsid w:val="00AE5A8E"/>
    <w:rsid w:val="00AE5F10"/>
    <w:rsid w:val="00AE65A5"/>
    <w:rsid w:val="00AE7890"/>
    <w:rsid w:val="00AF046C"/>
    <w:rsid w:val="00AF0697"/>
    <w:rsid w:val="00AF0CCF"/>
    <w:rsid w:val="00AF0E66"/>
    <w:rsid w:val="00AF127C"/>
    <w:rsid w:val="00AF1707"/>
    <w:rsid w:val="00AF1E2B"/>
    <w:rsid w:val="00AF217C"/>
    <w:rsid w:val="00AF2556"/>
    <w:rsid w:val="00AF261B"/>
    <w:rsid w:val="00AF2899"/>
    <w:rsid w:val="00AF3266"/>
    <w:rsid w:val="00AF3343"/>
    <w:rsid w:val="00AF3826"/>
    <w:rsid w:val="00AF432C"/>
    <w:rsid w:val="00AF4687"/>
    <w:rsid w:val="00AF4E1C"/>
    <w:rsid w:val="00AF4E7B"/>
    <w:rsid w:val="00AF5EF2"/>
    <w:rsid w:val="00AF6367"/>
    <w:rsid w:val="00AF6E98"/>
    <w:rsid w:val="00AF7257"/>
    <w:rsid w:val="00AF7680"/>
    <w:rsid w:val="00B005DA"/>
    <w:rsid w:val="00B00B85"/>
    <w:rsid w:val="00B00C3F"/>
    <w:rsid w:val="00B01961"/>
    <w:rsid w:val="00B01D12"/>
    <w:rsid w:val="00B02EE5"/>
    <w:rsid w:val="00B03A2D"/>
    <w:rsid w:val="00B04061"/>
    <w:rsid w:val="00B041C5"/>
    <w:rsid w:val="00B048EA"/>
    <w:rsid w:val="00B04C71"/>
    <w:rsid w:val="00B050F4"/>
    <w:rsid w:val="00B05347"/>
    <w:rsid w:val="00B05A5F"/>
    <w:rsid w:val="00B06682"/>
    <w:rsid w:val="00B06827"/>
    <w:rsid w:val="00B06AAD"/>
    <w:rsid w:val="00B07A04"/>
    <w:rsid w:val="00B07CCF"/>
    <w:rsid w:val="00B10ED3"/>
    <w:rsid w:val="00B11425"/>
    <w:rsid w:val="00B1153A"/>
    <w:rsid w:val="00B122CC"/>
    <w:rsid w:val="00B12472"/>
    <w:rsid w:val="00B12648"/>
    <w:rsid w:val="00B12D0B"/>
    <w:rsid w:val="00B12D36"/>
    <w:rsid w:val="00B133AC"/>
    <w:rsid w:val="00B13EB9"/>
    <w:rsid w:val="00B149E6"/>
    <w:rsid w:val="00B14A48"/>
    <w:rsid w:val="00B14C42"/>
    <w:rsid w:val="00B156FD"/>
    <w:rsid w:val="00B15770"/>
    <w:rsid w:val="00B16A85"/>
    <w:rsid w:val="00B175CD"/>
    <w:rsid w:val="00B20268"/>
    <w:rsid w:val="00B2067F"/>
    <w:rsid w:val="00B2095A"/>
    <w:rsid w:val="00B20D35"/>
    <w:rsid w:val="00B21200"/>
    <w:rsid w:val="00B21463"/>
    <w:rsid w:val="00B21F20"/>
    <w:rsid w:val="00B21F91"/>
    <w:rsid w:val="00B23C84"/>
    <w:rsid w:val="00B2408D"/>
    <w:rsid w:val="00B24A36"/>
    <w:rsid w:val="00B25EA9"/>
    <w:rsid w:val="00B2646C"/>
    <w:rsid w:val="00B2664C"/>
    <w:rsid w:val="00B27215"/>
    <w:rsid w:val="00B27691"/>
    <w:rsid w:val="00B27B03"/>
    <w:rsid w:val="00B302D4"/>
    <w:rsid w:val="00B303A2"/>
    <w:rsid w:val="00B305FE"/>
    <w:rsid w:val="00B30E35"/>
    <w:rsid w:val="00B31118"/>
    <w:rsid w:val="00B320F9"/>
    <w:rsid w:val="00B33049"/>
    <w:rsid w:val="00B33366"/>
    <w:rsid w:val="00B34432"/>
    <w:rsid w:val="00B35059"/>
    <w:rsid w:val="00B35DF8"/>
    <w:rsid w:val="00B3628E"/>
    <w:rsid w:val="00B37159"/>
    <w:rsid w:val="00B37B88"/>
    <w:rsid w:val="00B37FEA"/>
    <w:rsid w:val="00B415D6"/>
    <w:rsid w:val="00B41B1B"/>
    <w:rsid w:val="00B4225D"/>
    <w:rsid w:val="00B423EF"/>
    <w:rsid w:val="00B42C79"/>
    <w:rsid w:val="00B42E9C"/>
    <w:rsid w:val="00B432B8"/>
    <w:rsid w:val="00B439BD"/>
    <w:rsid w:val="00B46EFA"/>
    <w:rsid w:val="00B46F39"/>
    <w:rsid w:val="00B473AF"/>
    <w:rsid w:val="00B50B3C"/>
    <w:rsid w:val="00B510B8"/>
    <w:rsid w:val="00B51D16"/>
    <w:rsid w:val="00B51F69"/>
    <w:rsid w:val="00B52E39"/>
    <w:rsid w:val="00B537C4"/>
    <w:rsid w:val="00B542CB"/>
    <w:rsid w:val="00B5453D"/>
    <w:rsid w:val="00B54D09"/>
    <w:rsid w:val="00B551F8"/>
    <w:rsid w:val="00B554A7"/>
    <w:rsid w:val="00B56040"/>
    <w:rsid w:val="00B562DD"/>
    <w:rsid w:val="00B564DE"/>
    <w:rsid w:val="00B5678C"/>
    <w:rsid w:val="00B56BF0"/>
    <w:rsid w:val="00B56F91"/>
    <w:rsid w:val="00B57DC9"/>
    <w:rsid w:val="00B60B8F"/>
    <w:rsid w:val="00B60C23"/>
    <w:rsid w:val="00B613A7"/>
    <w:rsid w:val="00B61AC2"/>
    <w:rsid w:val="00B62138"/>
    <w:rsid w:val="00B622A5"/>
    <w:rsid w:val="00B62B4E"/>
    <w:rsid w:val="00B63010"/>
    <w:rsid w:val="00B6343A"/>
    <w:rsid w:val="00B63545"/>
    <w:rsid w:val="00B63694"/>
    <w:rsid w:val="00B63F8C"/>
    <w:rsid w:val="00B64557"/>
    <w:rsid w:val="00B64591"/>
    <w:rsid w:val="00B64DEF"/>
    <w:rsid w:val="00B65187"/>
    <w:rsid w:val="00B653FE"/>
    <w:rsid w:val="00B654EA"/>
    <w:rsid w:val="00B6571D"/>
    <w:rsid w:val="00B657D8"/>
    <w:rsid w:val="00B6682D"/>
    <w:rsid w:val="00B6770C"/>
    <w:rsid w:val="00B67739"/>
    <w:rsid w:val="00B67A8D"/>
    <w:rsid w:val="00B67D00"/>
    <w:rsid w:val="00B70063"/>
    <w:rsid w:val="00B700E3"/>
    <w:rsid w:val="00B70105"/>
    <w:rsid w:val="00B708C6"/>
    <w:rsid w:val="00B711BA"/>
    <w:rsid w:val="00B712E6"/>
    <w:rsid w:val="00B7196E"/>
    <w:rsid w:val="00B722F7"/>
    <w:rsid w:val="00B7284B"/>
    <w:rsid w:val="00B72850"/>
    <w:rsid w:val="00B728A0"/>
    <w:rsid w:val="00B7347B"/>
    <w:rsid w:val="00B73EB2"/>
    <w:rsid w:val="00B74253"/>
    <w:rsid w:val="00B7505C"/>
    <w:rsid w:val="00B75215"/>
    <w:rsid w:val="00B77447"/>
    <w:rsid w:val="00B80581"/>
    <w:rsid w:val="00B80D44"/>
    <w:rsid w:val="00B8149F"/>
    <w:rsid w:val="00B81DCE"/>
    <w:rsid w:val="00B81F59"/>
    <w:rsid w:val="00B8390B"/>
    <w:rsid w:val="00B83BE9"/>
    <w:rsid w:val="00B83D96"/>
    <w:rsid w:val="00B84210"/>
    <w:rsid w:val="00B850C6"/>
    <w:rsid w:val="00B858CD"/>
    <w:rsid w:val="00B85AEC"/>
    <w:rsid w:val="00B87FC6"/>
    <w:rsid w:val="00B901E6"/>
    <w:rsid w:val="00B902A5"/>
    <w:rsid w:val="00B91CFF"/>
    <w:rsid w:val="00B91D75"/>
    <w:rsid w:val="00B928C8"/>
    <w:rsid w:val="00B92E39"/>
    <w:rsid w:val="00B9306B"/>
    <w:rsid w:val="00B9336C"/>
    <w:rsid w:val="00B934BC"/>
    <w:rsid w:val="00B94B8C"/>
    <w:rsid w:val="00B967A5"/>
    <w:rsid w:val="00B97058"/>
    <w:rsid w:val="00B970B1"/>
    <w:rsid w:val="00B97165"/>
    <w:rsid w:val="00BA006A"/>
    <w:rsid w:val="00BA0D88"/>
    <w:rsid w:val="00BA1A4B"/>
    <w:rsid w:val="00BA1E63"/>
    <w:rsid w:val="00BA1ECD"/>
    <w:rsid w:val="00BA2E98"/>
    <w:rsid w:val="00BA372C"/>
    <w:rsid w:val="00BA382C"/>
    <w:rsid w:val="00BA3B01"/>
    <w:rsid w:val="00BA4623"/>
    <w:rsid w:val="00BA4D0F"/>
    <w:rsid w:val="00BA5791"/>
    <w:rsid w:val="00BA5EC9"/>
    <w:rsid w:val="00BA65B8"/>
    <w:rsid w:val="00BA6D43"/>
    <w:rsid w:val="00BA7897"/>
    <w:rsid w:val="00BA7936"/>
    <w:rsid w:val="00BA796E"/>
    <w:rsid w:val="00BA7D8A"/>
    <w:rsid w:val="00BA7F3E"/>
    <w:rsid w:val="00BB0048"/>
    <w:rsid w:val="00BB051A"/>
    <w:rsid w:val="00BB053F"/>
    <w:rsid w:val="00BB08C8"/>
    <w:rsid w:val="00BB0F1E"/>
    <w:rsid w:val="00BB128E"/>
    <w:rsid w:val="00BB1484"/>
    <w:rsid w:val="00BB18E7"/>
    <w:rsid w:val="00BB34B8"/>
    <w:rsid w:val="00BB3564"/>
    <w:rsid w:val="00BB3760"/>
    <w:rsid w:val="00BB3D6F"/>
    <w:rsid w:val="00BB44D6"/>
    <w:rsid w:val="00BB4783"/>
    <w:rsid w:val="00BB5924"/>
    <w:rsid w:val="00BB5A6F"/>
    <w:rsid w:val="00BB5DAE"/>
    <w:rsid w:val="00BB6BCE"/>
    <w:rsid w:val="00BB72C0"/>
    <w:rsid w:val="00BB7AC1"/>
    <w:rsid w:val="00BC1B31"/>
    <w:rsid w:val="00BC254A"/>
    <w:rsid w:val="00BC2696"/>
    <w:rsid w:val="00BC271E"/>
    <w:rsid w:val="00BC2F11"/>
    <w:rsid w:val="00BC3033"/>
    <w:rsid w:val="00BC33A6"/>
    <w:rsid w:val="00BC49E1"/>
    <w:rsid w:val="00BC4BA6"/>
    <w:rsid w:val="00BC6291"/>
    <w:rsid w:val="00BC65C7"/>
    <w:rsid w:val="00BC73F3"/>
    <w:rsid w:val="00BC7821"/>
    <w:rsid w:val="00BC791F"/>
    <w:rsid w:val="00BD087F"/>
    <w:rsid w:val="00BD08F4"/>
    <w:rsid w:val="00BD0E95"/>
    <w:rsid w:val="00BD13D5"/>
    <w:rsid w:val="00BD2D65"/>
    <w:rsid w:val="00BD3303"/>
    <w:rsid w:val="00BD3C5A"/>
    <w:rsid w:val="00BD4B46"/>
    <w:rsid w:val="00BD584E"/>
    <w:rsid w:val="00BD59A7"/>
    <w:rsid w:val="00BD5F70"/>
    <w:rsid w:val="00BD67F3"/>
    <w:rsid w:val="00BD7440"/>
    <w:rsid w:val="00BD7C95"/>
    <w:rsid w:val="00BE02FA"/>
    <w:rsid w:val="00BE03CF"/>
    <w:rsid w:val="00BE17AC"/>
    <w:rsid w:val="00BE1BEE"/>
    <w:rsid w:val="00BE226C"/>
    <w:rsid w:val="00BE2B20"/>
    <w:rsid w:val="00BE31EB"/>
    <w:rsid w:val="00BE3FED"/>
    <w:rsid w:val="00BE4F4A"/>
    <w:rsid w:val="00BE5E22"/>
    <w:rsid w:val="00BE703A"/>
    <w:rsid w:val="00BE7B44"/>
    <w:rsid w:val="00BF0067"/>
    <w:rsid w:val="00BF020F"/>
    <w:rsid w:val="00BF0739"/>
    <w:rsid w:val="00BF0A99"/>
    <w:rsid w:val="00BF0AA9"/>
    <w:rsid w:val="00BF0CA0"/>
    <w:rsid w:val="00BF1F6C"/>
    <w:rsid w:val="00BF29DE"/>
    <w:rsid w:val="00BF2BA4"/>
    <w:rsid w:val="00BF4064"/>
    <w:rsid w:val="00BF534D"/>
    <w:rsid w:val="00BF5810"/>
    <w:rsid w:val="00BF5E36"/>
    <w:rsid w:val="00BF63F4"/>
    <w:rsid w:val="00BF6E31"/>
    <w:rsid w:val="00C0050F"/>
    <w:rsid w:val="00C00B2F"/>
    <w:rsid w:val="00C00EB1"/>
    <w:rsid w:val="00C00F8E"/>
    <w:rsid w:val="00C01517"/>
    <w:rsid w:val="00C01E98"/>
    <w:rsid w:val="00C0266A"/>
    <w:rsid w:val="00C03487"/>
    <w:rsid w:val="00C03901"/>
    <w:rsid w:val="00C0395A"/>
    <w:rsid w:val="00C03B6A"/>
    <w:rsid w:val="00C04090"/>
    <w:rsid w:val="00C049CF"/>
    <w:rsid w:val="00C04EFD"/>
    <w:rsid w:val="00C05850"/>
    <w:rsid w:val="00C05ADF"/>
    <w:rsid w:val="00C06B99"/>
    <w:rsid w:val="00C06EFA"/>
    <w:rsid w:val="00C07454"/>
    <w:rsid w:val="00C10C95"/>
    <w:rsid w:val="00C10E21"/>
    <w:rsid w:val="00C10E6F"/>
    <w:rsid w:val="00C1155F"/>
    <w:rsid w:val="00C128E1"/>
    <w:rsid w:val="00C134CF"/>
    <w:rsid w:val="00C145FF"/>
    <w:rsid w:val="00C1473D"/>
    <w:rsid w:val="00C14CC7"/>
    <w:rsid w:val="00C14EB5"/>
    <w:rsid w:val="00C17176"/>
    <w:rsid w:val="00C17791"/>
    <w:rsid w:val="00C17C6C"/>
    <w:rsid w:val="00C20695"/>
    <w:rsid w:val="00C20B6C"/>
    <w:rsid w:val="00C21DE7"/>
    <w:rsid w:val="00C21FC0"/>
    <w:rsid w:val="00C2236E"/>
    <w:rsid w:val="00C228C7"/>
    <w:rsid w:val="00C22B97"/>
    <w:rsid w:val="00C233C6"/>
    <w:rsid w:val="00C23713"/>
    <w:rsid w:val="00C24D74"/>
    <w:rsid w:val="00C25477"/>
    <w:rsid w:val="00C258C7"/>
    <w:rsid w:val="00C25ABE"/>
    <w:rsid w:val="00C25DF2"/>
    <w:rsid w:val="00C268D4"/>
    <w:rsid w:val="00C2754B"/>
    <w:rsid w:val="00C314FF"/>
    <w:rsid w:val="00C319A8"/>
    <w:rsid w:val="00C31D9E"/>
    <w:rsid w:val="00C3201C"/>
    <w:rsid w:val="00C326F8"/>
    <w:rsid w:val="00C33437"/>
    <w:rsid w:val="00C335AA"/>
    <w:rsid w:val="00C34489"/>
    <w:rsid w:val="00C348D3"/>
    <w:rsid w:val="00C34F6F"/>
    <w:rsid w:val="00C35854"/>
    <w:rsid w:val="00C35BC5"/>
    <w:rsid w:val="00C35DED"/>
    <w:rsid w:val="00C35E31"/>
    <w:rsid w:val="00C4057C"/>
    <w:rsid w:val="00C408C5"/>
    <w:rsid w:val="00C4117F"/>
    <w:rsid w:val="00C41B2A"/>
    <w:rsid w:val="00C41CF8"/>
    <w:rsid w:val="00C421FF"/>
    <w:rsid w:val="00C428F9"/>
    <w:rsid w:val="00C43CFA"/>
    <w:rsid w:val="00C43EBA"/>
    <w:rsid w:val="00C44415"/>
    <w:rsid w:val="00C451A5"/>
    <w:rsid w:val="00C46F37"/>
    <w:rsid w:val="00C474DA"/>
    <w:rsid w:val="00C476FB"/>
    <w:rsid w:val="00C505D1"/>
    <w:rsid w:val="00C50633"/>
    <w:rsid w:val="00C50893"/>
    <w:rsid w:val="00C50D54"/>
    <w:rsid w:val="00C50D64"/>
    <w:rsid w:val="00C51542"/>
    <w:rsid w:val="00C516D7"/>
    <w:rsid w:val="00C535D2"/>
    <w:rsid w:val="00C537B3"/>
    <w:rsid w:val="00C541D7"/>
    <w:rsid w:val="00C5490F"/>
    <w:rsid w:val="00C54974"/>
    <w:rsid w:val="00C54B01"/>
    <w:rsid w:val="00C54BE6"/>
    <w:rsid w:val="00C55692"/>
    <w:rsid w:val="00C55EA1"/>
    <w:rsid w:val="00C57464"/>
    <w:rsid w:val="00C57650"/>
    <w:rsid w:val="00C57733"/>
    <w:rsid w:val="00C602E7"/>
    <w:rsid w:val="00C6138F"/>
    <w:rsid w:val="00C619A5"/>
    <w:rsid w:val="00C61C5B"/>
    <w:rsid w:val="00C61D27"/>
    <w:rsid w:val="00C62081"/>
    <w:rsid w:val="00C62C8A"/>
    <w:rsid w:val="00C6546A"/>
    <w:rsid w:val="00C65BCF"/>
    <w:rsid w:val="00C66DDA"/>
    <w:rsid w:val="00C67AAD"/>
    <w:rsid w:val="00C7002D"/>
    <w:rsid w:val="00C70684"/>
    <w:rsid w:val="00C70FB2"/>
    <w:rsid w:val="00C7114F"/>
    <w:rsid w:val="00C7164E"/>
    <w:rsid w:val="00C71AE0"/>
    <w:rsid w:val="00C7246A"/>
    <w:rsid w:val="00C7252C"/>
    <w:rsid w:val="00C728D0"/>
    <w:rsid w:val="00C73699"/>
    <w:rsid w:val="00C739F6"/>
    <w:rsid w:val="00C73DE4"/>
    <w:rsid w:val="00C7408A"/>
    <w:rsid w:val="00C74732"/>
    <w:rsid w:val="00C74AE8"/>
    <w:rsid w:val="00C75035"/>
    <w:rsid w:val="00C751E3"/>
    <w:rsid w:val="00C75624"/>
    <w:rsid w:val="00C75BC0"/>
    <w:rsid w:val="00C75C66"/>
    <w:rsid w:val="00C75D06"/>
    <w:rsid w:val="00C764B8"/>
    <w:rsid w:val="00C76609"/>
    <w:rsid w:val="00C770B5"/>
    <w:rsid w:val="00C8072A"/>
    <w:rsid w:val="00C81512"/>
    <w:rsid w:val="00C8218D"/>
    <w:rsid w:val="00C824D8"/>
    <w:rsid w:val="00C82950"/>
    <w:rsid w:val="00C829B0"/>
    <w:rsid w:val="00C83297"/>
    <w:rsid w:val="00C834BA"/>
    <w:rsid w:val="00C83562"/>
    <w:rsid w:val="00C83C1F"/>
    <w:rsid w:val="00C84807"/>
    <w:rsid w:val="00C859D0"/>
    <w:rsid w:val="00C86BF3"/>
    <w:rsid w:val="00C86F09"/>
    <w:rsid w:val="00C8775F"/>
    <w:rsid w:val="00C90391"/>
    <w:rsid w:val="00C9085F"/>
    <w:rsid w:val="00C90B49"/>
    <w:rsid w:val="00C9100A"/>
    <w:rsid w:val="00C9112E"/>
    <w:rsid w:val="00C918D7"/>
    <w:rsid w:val="00C918E1"/>
    <w:rsid w:val="00C91C54"/>
    <w:rsid w:val="00C91E18"/>
    <w:rsid w:val="00C920BC"/>
    <w:rsid w:val="00C92C26"/>
    <w:rsid w:val="00C92E9E"/>
    <w:rsid w:val="00C944ED"/>
    <w:rsid w:val="00C9524C"/>
    <w:rsid w:val="00C952C9"/>
    <w:rsid w:val="00C954FD"/>
    <w:rsid w:val="00C95BAA"/>
    <w:rsid w:val="00C96896"/>
    <w:rsid w:val="00C96B6B"/>
    <w:rsid w:val="00C96CB6"/>
    <w:rsid w:val="00C973E6"/>
    <w:rsid w:val="00C97EDF"/>
    <w:rsid w:val="00C97EFD"/>
    <w:rsid w:val="00C97FAE"/>
    <w:rsid w:val="00CA0280"/>
    <w:rsid w:val="00CA2021"/>
    <w:rsid w:val="00CA2489"/>
    <w:rsid w:val="00CA24E6"/>
    <w:rsid w:val="00CA3A1E"/>
    <w:rsid w:val="00CA3A46"/>
    <w:rsid w:val="00CA43B3"/>
    <w:rsid w:val="00CA4513"/>
    <w:rsid w:val="00CA4C0F"/>
    <w:rsid w:val="00CA4CDC"/>
    <w:rsid w:val="00CA4DB1"/>
    <w:rsid w:val="00CA55EB"/>
    <w:rsid w:val="00CA5A47"/>
    <w:rsid w:val="00CA6339"/>
    <w:rsid w:val="00CA65E4"/>
    <w:rsid w:val="00CA6C85"/>
    <w:rsid w:val="00CA70C9"/>
    <w:rsid w:val="00CA73D5"/>
    <w:rsid w:val="00CA7EDF"/>
    <w:rsid w:val="00CB031C"/>
    <w:rsid w:val="00CB0B05"/>
    <w:rsid w:val="00CB0F06"/>
    <w:rsid w:val="00CB1545"/>
    <w:rsid w:val="00CB15CE"/>
    <w:rsid w:val="00CB18F6"/>
    <w:rsid w:val="00CB21E4"/>
    <w:rsid w:val="00CB2754"/>
    <w:rsid w:val="00CB2B2E"/>
    <w:rsid w:val="00CB431D"/>
    <w:rsid w:val="00CB46DA"/>
    <w:rsid w:val="00CB4D35"/>
    <w:rsid w:val="00CB4F39"/>
    <w:rsid w:val="00CB5425"/>
    <w:rsid w:val="00CB57C6"/>
    <w:rsid w:val="00CB592B"/>
    <w:rsid w:val="00CB5F8E"/>
    <w:rsid w:val="00CB6156"/>
    <w:rsid w:val="00CB61C4"/>
    <w:rsid w:val="00CB6B5F"/>
    <w:rsid w:val="00CB724C"/>
    <w:rsid w:val="00CB7FD8"/>
    <w:rsid w:val="00CC09DB"/>
    <w:rsid w:val="00CC0B35"/>
    <w:rsid w:val="00CC1329"/>
    <w:rsid w:val="00CC1358"/>
    <w:rsid w:val="00CC14D2"/>
    <w:rsid w:val="00CC19D5"/>
    <w:rsid w:val="00CC2144"/>
    <w:rsid w:val="00CC2B15"/>
    <w:rsid w:val="00CC7FA2"/>
    <w:rsid w:val="00CD0FE6"/>
    <w:rsid w:val="00CD17E6"/>
    <w:rsid w:val="00CD1DC1"/>
    <w:rsid w:val="00CD2946"/>
    <w:rsid w:val="00CD3131"/>
    <w:rsid w:val="00CD3746"/>
    <w:rsid w:val="00CD3BAF"/>
    <w:rsid w:val="00CD4095"/>
    <w:rsid w:val="00CD412A"/>
    <w:rsid w:val="00CD4D65"/>
    <w:rsid w:val="00CD5883"/>
    <w:rsid w:val="00CD6F5F"/>
    <w:rsid w:val="00CD7868"/>
    <w:rsid w:val="00CD7D83"/>
    <w:rsid w:val="00CD7DD9"/>
    <w:rsid w:val="00CE0062"/>
    <w:rsid w:val="00CE00FD"/>
    <w:rsid w:val="00CE059B"/>
    <w:rsid w:val="00CE06C4"/>
    <w:rsid w:val="00CE0C5E"/>
    <w:rsid w:val="00CE1100"/>
    <w:rsid w:val="00CE14AA"/>
    <w:rsid w:val="00CE160E"/>
    <w:rsid w:val="00CE1F5F"/>
    <w:rsid w:val="00CE2AC8"/>
    <w:rsid w:val="00CE2B3E"/>
    <w:rsid w:val="00CE2BD3"/>
    <w:rsid w:val="00CE2E47"/>
    <w:rsid w:val="00CE3754"/>
    <w:rsid w:val="00CE3F43"/>
    <w:rsid w:val="00CE4D18"/>
    <w:rsid w:val="00CE4DAC"/>
    <w:rsid w:val="00CE4EDC"/>
    <w:rsid w:val="00CE594D"/>
    <w:rsid w:val="00CE5B30"/>
    <w:rsid w:val="00CE5E5A"/>
    <w:rsid w:val="00CE60C0"/>
    <w:rsid w:val="00CE622D"/>
    <w:rsid w:val="00CE75E1"/>
    <w:rsid w:val="00CE79E5"/>
    <w:rsid w:val="00CE7A0C"/>
    <w:rsid w:val="00CE7B6B"/>
    <w:rsid w:val="00CF02C0"/>
    <w:rsid w:val="00CF0ACB"/>
    <w:rsid w:val="00CF0BC7"/>
    <w:rsid w:val="00CF1F6C"/>
    <w:rsid w:val="00CF1FA5"/>
    <w:rsid w:val="00CF21F6"/>
    <w:rsid w:val="00CF2393"/>
    <w:rsid w:val="00CF243F"/>
    <w:rsid w:val="00CF2757"/>
    <w:rsid w:val="00CF3CAC"/>
    <w:rsid w:val="00CF3CD8"/>
    <w:rsid w:val="00CF41DF"/>
    <w:rsid w:val="00CF451C"/>
    <w:rsid w:val="00CF4C92"/>
    <w:rsid w:val="00CF5DA9"/>
    <w:rsid w:val="00CF5F3B"/>
    <w:rsid w:val="00CF6F72"/>
    <w:rsid w:val="00CF7396"/>
    <w:rsid w:val="00CF78BF"/>
    <w:rsid w:val="00D003C5"/>
    <w:rsid w:val="00D00C26"/>
    <w:rsid w:val="00D00DBD"/>
    <w:rsid w:val="00D014CB"/>
    <w:rsid w:val="00D01C26"/>
    <w:rsid w:val="00D01D97"/>
    <w:rsid w:val="00D0294C"/>
    <w:rsid w:val="00D029D5"/>
    <w:rsid w:val="00D02A94"/>
    <w:rsid w:val="00D0332D"/>
    <w:rsid w:val="00D03495"/>
    <w:rsid w:val="00D03B57"/>
    <w:rsid w:val="00D03C51"/>
    <w:rsid w:val="00D03F55"/>
    <w:rsid w:val="00D03FE6"/>
    <w:rsid w:val="00D0403B"/>
    <w:rsid w:val="00D04386"/>
    <w:rsid w:val="00D043C1"/>
    <w:rsid w:val="00D0460B"/>
    <w:rsid w:val="00D04C5B"/>
    <w:rsid w:val="00D05551"/>
    <w:rsid w:val="00D05C67"/>
    <w:rsid w:val="00D05F0D"/>
    <w:rsid w:val="00D06743"/>
    <w:rsid w:val="00D072B5"/>
    <w:rsid w:val="00D07641"/>
    <w:rsid w:val="00D10310"/>
    <w:rsid w:val="00D10A8E"/>
    <w:rsid w:val="00D10ED4"/>
    <w:rsid w:val="00D10FD3"/>
    <w:rsid w:val="00D11E7A"/>
    <w:rsid w:val="00D12171"/>
    <w:rsid w:val="00D1237E"/>
    <w:rsid w:val="00D12DFB"/>
    <w:rsid w:val="00D13148"/>
    <w:rsid w:val="00D131D3"/>
    <w:rsid w:val="00D13398"/>
    <w:rsid w:val="00D1345D"/>
    <w:rsid w:val="00D1360C"/>
    <w:rsid w:val="00D14081"/>
    <w:rsid w:val="00D14584"/>
    <w:rsid w:val="00D14FB3"/>
    <w:rsid w:val="00D15426"/>
    <w:rsid w:val="00D15D6B"/>
    <w:rsid w:val="00D15F15"/>
    <w:rsid w:val="00D166DF"/>
    <w:rsid w:val="00D17D6D"/>
    <w:rsid w:val="00D20092"/>
    <w:rsid w:val="00D2052C"/>
    <w:rsid w:val="00D20793"/>
    <w:rsid w:val="00D20BEE"/>
    <w:rsid w:val="00D21418"/>
    <w:rsid w:val="00D214C8"/>
    <w:rsid w:val="00D21AAC"/>
    <w:rsid w:val="00D2259E"/>
    <w:rsid w:val="00D22F03"/>
    <w:rsid w:val="00D26A01"/>
    <w:rsid w:val="00D26E9F"/>
    <w:rsid w:val="00D271EA"/>
    <w:rsid w:val="00D27C9F"/>
    <w:rsid w:val="00D30A07"/>
    <w:rsid w:val="00D31A60"/>
    <w:rsid w:val="00D31C91"/>
    <w:rsid w:val="00D32B98"/>
    <w:rsid w:val="00D331DD"/>
    <w:rsid w:val="00D3384C"/>
    <w:rsid w:val="00D3518F"/>
    <w:rsid w:val="00D354DA"/>
    <w:rsid w:val="00D36643"/>
    <w:rsid w:val="00D37214"/>
    <w:rsid w:val="00D37284"/>
    <w:rsid w:val="00D37ACD"/>
    <w:rsid w:val="00D37CD5"/>
    <w:rsid w:val="00D40214"/>
    <w:rsid w:val="00D4029B"/>
    <w:rsid w:val="00D416E6"/>
    <w:rsid w:val="00D418B3"/>
    <w:rsid w:val="00D44182"/>
    <w:rsid w:val="00D44D30"/>
    <w:rsid w:val="00D44F0F"/>
    <w:rsid w:val="00D44F73"/>
    <w:rsid w:val="00D45178"/>
    <w:rsid w:val="00D459E9"/>
    <w:rsid w:val="00D461E0"/>
    <w:rsid w:val="00D47532"/>
    <w:rsid w:val="00D47B6D"/>
    <w:rsid w:val="00D47C73"/>
    <w:rsid w:val="00D50D70"/>
    <w:rsid w:val="00D51585"/>
    <w:rsid w:val="00D522CB"/>
    <w:rsid w:val="00D522CC"/>
    <w:rsid w:val="00D524C1"/>
    <w:rsid w:val="00D52912"/>
    <w:rsid w:val="00D52B72"/>
    <w:rsid w:val="00D52CB4"/>
    <w:rsid w:val="00D52EFB"/>
    <w:rsid w:val="00D53783"/>
    <w:rsid w:val="00D542B8"/>
    <w:rsid w:val="00D546CD"/>
    <w:rsid w:val="00D55AA3"/>
    <w:rsid w:val="00D55AD0"/>
    <w:rsid w:val="00D55E84"/>
    <w:rsid w:val="00D5623E"/>
    <w:rsid w:val="00D562B4"/>
    <w:rsid w:val="00D56E48"/>
    <w:rsid w:val="00D57BA8"/>
    <w:rsid w:val="00D60351"/>
    <w:rsid w:val="00D604A2"/>
    <w:rsid w:val="00D6050C"/>
    <w:rsid w:val="00D607C5"/>
    <w:rsid w:val="00D61091"/>
    <w:rsid w:val="00D61186"/>
    <w:rsid w:val="00D6216A"/>
    <w:rsid w:val="00D634DD"/>
    <w:rsid w:val="00D63891"/>
    <w:rsid w:val="00D64A13"/>
    <w:rsid w:val="00D64F9C"/>
    <w:rsid w:val="00D6502A"/>
    <w:rsid w:val="00D6517F"/>
    <w:rsid w:val="00D65628"/>
    <w:rsid w:val="00D66D09"/>
    <w:rsid w:val="00D66FC3"/>
    <w:rsid w:val="00D6717A"/>
    <w:rsid w:val="00D67CB8"/>
    <w:rsid w:val="00D707EB"/>
    <w:rsid w:val="00D70840"/>
    <w:rsid w:val="00D70C2A"/>
    <w:rsid w:val="00D71131"/>
    <w:rsid w:val="00D71609"/>
    <w:rsid w:val="00D720A6"/>
    <w:rsid w:val="00D72E43"/>
    <w:rsid w:val="00D731BA"/>
    <w:rsid w:val="00D73B5F"/>
    <w:rsid w:val="00D747B1"/>
    <w:rsid w:val="00D747BD"/>
    <w:rsid w:val="00D74DAF"/>
    <w:rsid w:val="00D75213"/>
    <w:rsid w:val="00D76187"/>
    <w:rsid w:val="00D76712"/>
    <w:rsid w:val="00D76E6B"/>
    <w:rsid w:val="00D76F75"/>
    <w:rsid w:val="00D80144"/>
    <w:rsid w:val="00D80612"/>
    <w:rsid w:val="00D80E16"/>
    <w:rsid w:val="00D81552"/>
    <w:rsid w:val="00D8187C"/>
    <w:rsid w:val="00D81936"/>
    <w:rsid w:val="00D81EFE"/>
    <w:rsid w:val="00D8223A"/>
    <w:rsid w:val="00D82528"/>
    <w:rsid w:val="00D82919"/>
    <w:rsid w:val="00D82F6E"/>
    <w:rsid w:val="00D83798"/>
    <w:rsid w:val="00D83ED3"/>
    <w:rsid w:val="00D840C5"/>
    <w:rsid w:val="00D84645"/>
    <w:rsid w:val="00D84A65"/>
    <w:rsid w:val="00D84D04"/>
    <w:rsid w:val="00D8546A"/>
    <w:rsid w:val="00D85C2F"/>
    <w:rsid w:val="00D86784"/>
    <w:rsid w:val="00D87401"/>
    <w:rsid w:val="00D874A0"/>
    <w:rsid w:val="00D87BC6"/>
    <w:rsid w:val="00D87CF9"/>
    <w:rsid w:val="00D87E18"/>
    <w:rsid w:val="00D90589"/>
    <w:rsid w:val="00D9079E"/>
    <w:rsid w:val="00D90B14"/>
    <w:rsid w:val="00D91915"/>
    <w:rsid w:val="00D92184"/>
    <w:rsid w:val="00D92314"/>
    <w:rsid w:val="00D9472D"/>
    <w:rsid w:val="00D95C98"/>
    <w:rsid w:val="00D96963"/>
    <w:rsid w:val="00D96982"/>
    <w:rsid w:val="00D96B4B"/>
    <w:rsid w:val="00DA118F"/>
    <w:rsid w:val="00DA128A"/>
    <w:rsid w:val="00DA146D"/>
    <w:rsid w:val="00DA1D8E"/>
    <w:rsid w:val="00DA1EDE"/>
    <w:rsid w:val="00DA1F51"/>
    <w:rsid w:val="00DA2154"/>
    <w:rsid w:val="00DA219D"/>
    <w:rsid w:val="00DA23CD"/>
    <w:rsid w:val="00DA3018"/>
    <w:rsid w:val="00DA322F"/>
    <w:rsid w:val="00DA4242"/>
    <w:rsid w:val="00DA4714"/>
    <w:rsid w:val="00DA4894"/>
    <w:rsid w:val="00DA6213"/>
    <w:rsid w:val="00DA6ED2"/>
    <w:rsid w:val="00DA722F"/>
    <w:rsid w:val="00DB021A"/>
    <w:rsid w:val="00DB1CFE"/>
    <w:rsid w:val="00DB20D7"/>
    <w:rsid w:val="00DB3910"/>
    <w:rsid w:val="00DB3C1D"/>
    <w:rsid w:val="00DB402A"/>
    <w:rsid w:val="00DB4452"/>
    <w:rsid w:val="00DB4738"/>
    <w:rsid w:val="00DB4FF3"/>
    <w:rsid w:val="00DB530F"/>
    <w:rsid w:val="00DB53A7"/>
    <w:rsid w:val="00DB6146"/>
    <w:rsid w:val="00DB6520"/>
    <w:rsid w:val="00DB70A4"/>
    <w:rsid w:val="00DB754C"/>
    <w:rsid w:val="00DB7577"/>
    <w:rsid w:val="00DB7D44"/>
    <w:rsid w:val="00DC0446"/>
    <w:rsid w:val="00DC062C"/>
    <w:rsid w:val="00DC11E7"/>
    <w:rsid w:val="00DC284E"/>
    <w:rsid w:val="00DC36A3"/>
    <w:rsid w:val="00DC41B0"/>
    <w:rsid w:val="00DC6342"/>
    <w:rsid w:val="00DC7B4F"/>
    <w:rsid w:val="00DC7C25"/>
    <w:rsid w:val="00DD0FB8"/>
    <w:rsid w:val="00DD239F"/>
    <w:rsid w:val="00DD24CF"/>
    <w:rsid w:val="00DD34D4"/>
    <w:rsid w:val="00DD499B"/>
    <w:rsid w:val="00DD4BDA"/>
    <w:rsid w:val="00DD5130"/>
    <w:rsid w:val="00DD55AB"/>
    <w:rsid w:val="00DD5FE7"/>
    <w:rsid w:val="00DD63DC"/>
    <w:rsid w:val="00DD6460"/>
    <w:rsid w:val="00DD6471"/>
    <w:rsid w:val="00DD74C2"/>
    <w:rsid w:val="00DD784F"/>
    <w:rsid w:val="00DD7EB7"/>
    <w:rsid w:val="00DE0110"/>
    <w:rsid w:val="00DE01EA"/>
    <w:rsid w:val="00DE03A3"/>
    <w:rsid w:val="00DE0AAB"/>
    <w:rsid w:val="00DE2CFC"/>
    <w:rsid w:val="00DE2FC6"/>
    <w:rsid w:val="00DE304C"/>
    <w:rsid w:val="00DE3C7D"/>
    <w:rsid w:val="00DE3D19"/>
    <w:rsid w:val="00DE3D3B"/>
    <w:rsid w:val="00DE48FC"/>
    <w:rsid w:val="00DE612E"/>
    <w:rsid w:val="00DE616C"/>
    <w:rsid w:val="00DE6480"/>
    <w:rsid w:val="00DE70CA"/>
    <w:rsid w:val="00DE7884"/>
    <w:rsid w:val="00DF01BA"/>
    <w:rsid w:val="00DF08AD"/>
    <w:rsid w:val="00DF26B8"/>
    <w:rsid w:val="00DF28E8"/>
    <w:rsid w:val="00DF51D9"/>
    <w:rsid w:val="00DF53FD"/>
    <w:rsid w:val="00DF5FBE"/>
    <w:rsid w:val="00DF634F"/>
    <w:rsid w:val="00DF67B7"/>
    <w:rsid w:val="00DF6810"/>
    <w:rsid w:val="00DF6B29"/>
    <w:rsid w:val="00DF6B4D"/>
    <w:rsid w:val="00DF6DFC"/>
    <w:rsid w:val="00DF6E40"/>
    <w:rsid w:val="00DF70A9"/>
    <w:rsid w:val="00DF736E"/>
    <w:rsid w:val="00DF7B6A"/>
    <w:rsid w:val="00E00153"/>
    <w:rsid w:val="00E00403"/>
    <w:rsid w:val="00E0052D"/>
    <w:rsid w:val="00E00798"/>
    <w:rsid w:val="00E007BA"/>
    <w:rsid w:val="00E015AA"/>
    <w:rsid w:val="00E01CFA"/>
    <w:rsid w:val="00E0239B"/>
    <w:rsid w:val="00E02773"/>
    <w:rsid w:val="00E02EAD"/>
    <w:rsid w:val="00E03661"/>
    <w:rsid w:val="00E03B31"/>
    <w:rsid w:val="00E03F7B"/>
    <w:rsid w:val="00E04130"/>
    <w:rsid w:val="00E04487"/>
    <w:rsid w:val="00E049FB"/>
    <w:rsid w:val="00E0554A"/>
    <w:rsid w:val="00E0578F"/>
    <w:rsid w:val="00E05CD9"/>
    <w:rsid w:val="00E064C9"/>
    <w:rsid w:val="00E068B4"/>
    <w:rsid w:val="00E06F30"/>
    <w:rsid w:val="00E07DB9"/>
    <w:rsid w:val="00E10328"/>
    <w:rsid w:val="00E10926"/>
    <w:rsid w:val="00E11D69"/>
    <w:rsid w:val="00E11FBF"/>
    <w:rsid w:val="00E134A9"/>
    <w:rsid w:val="00E13BA4"/>
    <w:rsid w:val="00E1404F"/>
    <w:rsid w:val="00E147BD"/>
    <w:rsid w:val="00E14D4F"/>
    <w:rsid w:val="00E14EAF"/>
    <w:rsid w:val="00E1516E"/>
    <w:rsid w:val="00E15FD1"/>
    <w:rsid w:val="00E20F6E"/>
    <w:rsid w:val="00E21059"/>
    <w:rsid w:val="00E21123"/>
    <w:rsid w:val="00E2122C"/>
    <w:rsid w:val="00E2185C"/>
    <w:rsid w:val="00E221DA"/>
    <w:rsid w:val="00E23206"/>
    <w:rsid w:val="00E23536"/>
    <w:rsid w:val="00E24BEC"/>
    <w:rsid w:val="00E24DE0"/>
    <w:rsid w:val="00E256B8"/>
    <w:rsid w:val="00E26C1A"/>
    <w:rsid w:val="00E273DF"/>
    <w:rsid w:val="00E27CEC"/>
    <w:rsid w:val="00E3035C"/>
    <w:rsid w:val="00E30A07"/>
    <w:rsid w:val="00E30E54"/>
    <w:rsid w:val="00E31425"/>
    <w:rsid w:val="00E335B3"/>
    <w:rsid w:val="00E34553"/>
    <w:rsid w:val="00E34686"/>
    <w:rsid w:val="00E34BCF"/>
    <w:rsid w:val="00E360DE"/>
    <w:rsid w:val="00E362F7"/>
    <w:rsid w:val="00E3694F"/>
    <w:rsid w:val="00E36958"/>
    <w:rsid w:val="00E375E6"/>
    <w:rsid w:val="00E406A4"/>
    <w:rsid w:val="00E40812"/>
    <w:rsid w:val="00E40875"/>
    <w:rsid w:val="00E426B5"/>
    <w:rsid w:val="00E42BF5"/>
    <w:rsid w:val="00E42DCD"/>
    <w:rsid w:val="00E42FA1"/>
    <w:rsid w:val="00E431C9"/>
    <w:rsid w:val="00E4364A"/>
    <w:rsid w:val="00E438B4"/>
    <w:rsid w:val="00E43AA5"/>
    <w:rsid w:val="00E43B6A"/>
    <w:rsid w:val="00E44164"/>
    <w:rsid w:val="00E44BCF"/>
    <w:rsid w:val="00E44C2D"/>
    <w:rsid w:val="00E451EF"/>
    <w:rsid w:val="00E461BF"/>
    <w:rsid w:val="00E468AE"/>
    <w:rsid w:val="00E46A10"/>
    <w:rsid w:val="00E46A94"/>
    <w:rsid w:val="00E505AB"/>
    <w:rsid w:val="00E50DD2"/>
    <w:rsid w:val="00E51510"/>
    <w:rsid w:val="00E5154F"/>
    <w:rsid w:val="00E5204A"/>
    <w:rsid w:val="00E524D0"/>
    <w:rsid w:val="00E52676"/>
    <w:rsid w:val="00E528E7"/>
    <w:rsid w:val="00E53CA0"/>
    <w:rsid w:val="00E53F3E"/>
    <w:rsid w:val="00E54123"/>
    <w:rsid w:val="00E5419D"/>
    <w:rsid w:val="00E54753"/>
    <w:rsid w:val="00E5609B"/>
    <w:rsid w:val="00E567E1"/>
    <w:rsid w:val="00E56920"/>
    <w:rsid w:val="00E56B1A"/>
    <w:rsid w:val="00E56B85"/>
    <w:rsid w:val="00E56C55"/>
    <w:rsid w:val="00E56DA8"/>
    <w:rsid w:val="00E57175"/>
    <w:rsid w:val="00E572C6"/>
    <w:rsid w:val="00E57A6A"/>
    <w:rsid w:val="00E605F7"/>
    <w:rsid w:val="00E60851"/>
    <w:rsid w:val="00E6094C"/>
    <w:rsid w:val="00E611B0"/>
    <w:rsid w:val="00E62721"/>
    <w:rsid w:val="00E627F6"/>
    <w:rsid w:val="00E62A1F"/>
    <w:rsid w:val="00E6375A"/>
    <w:rsid w:val="00E6409C"/>
    <w:rsid w:val="00E640FA"/>
    <w:rsid w:val="00E644FF"/>
    <w:rsid w:val="00E64C39"/>
    <w:rsid w:val="00E66A59"/>
    <w:rsid w:val="00E66DCE"/>
    <w:rsid w:val="00E671EB"/>
    <w:rsid w:val="00E70545"/>
    <w:rsid w:val="00E707D0"/>
    <w:rsid w:val="00E7180A"/>
    <w:rsid w:val="00E7197A"/>
    <w:rsid w:val="00E71B52"/>
    <w:rsid w:val="00E720CC"/>
    <w:rsid w:val="00E73663"/>
    <w:rsid w:val="00E73EB8"/>
    <w:rsid w:val="00E74488"/>
    <w:rsid w:val="00E75643"/>
    <w:rsid w:val="00E757FF"/>
    <w:rsid w:val="00E75F1D"/>
    <w:rsid w:val="00E764C4"/>
    <w:rsid w:val="00E76DD9"/>
    <w:rsid w:val="00E772B6"/>
    <w:rsid w:val="00E77710"/>
    <w:rsid w:val="00E77740"/>
    <w:rsid w:val="00E77C5C"/>
    <w:rsid w:val="00E77E1C"/>
    <w:rsid w:val="00E77F4B"/>
    <w:rsid w:val="00E8016C"/>
    <w:rsid w:val="00E8050A"/>
    <w:rsid w:val="00E80CA2"/>
    <w:rsid w:val="00E81C4A"/>
    <w:rsid w:val="00E82E69"/>
    <w:rsid w:val="00E834AD"/>
    <w:rsid w:val="00E84333"/>
    <w:rsid w:val="00E84948"/>
    <w:rsid w:val="00E849FC"/>
    <w:rsid w:val="00E85542"/>
    <w:rsid w:val="00E86053"/>
    <w:rsid w:val="00E861DF"/>
    <w:rsid w:val="00E8653E"/>
    <w:rsid w:val="00E87345"/>
    <w:rsid w:val="00E87C60"/>
    <w:rsid w:val="00E90805"/>
    <w:rsid w:val="00E9084F"/>
    <w:rsid w:val="00E90CE6"/>
    <w:rsid w:val="00E9151A"/>
    <w:rsid w:val="00E91EB2"/>
    <w:rsid w:val="00E91F8A"/>
    <w:rsid w:val="00E92098"/>
    <w:rsid w:val="00E92B4A"/>
    <w:rsid w:val="00E92C2E"/>
    <w:rsid w:val="00E92ED2"/>
    <w:rsid w:val="00E92F0A"/>
    <w:rsid w:val="00E938D8"/>
    <w:rsid w:val="00E93CAB"/>
    <w:rsid w:val="00E9475A"/>
    <w:rsid w:val="00E94B56"/>
    <w:rsid w:val="00E95092"/>
    <w:rsid w:val="00E95A2A"/>
    <w:rsid w:val="00E96A68"/>
    <w:rsid w:val="00E96F6E"/>
    <w:rsid w:val="00E97877"/>
    <w:rsid w:val="00EA028F"/>
    <w:rsid w:val="00EA08AF"/>
    <w:rsid w:val="00EA0BEE"/>
    <w:rsid w:val="00EA1715"/>
    <w:rsid w:val="00EA18D0"/>
    <w:rsid w:val="00EA1A81"/>
    <w:rsid w:val="00EA1C11"/>
    <w:rsid w:val="00EA24BC"/>
    <w:rsid w:val="00EA26C7"/>
    <w:rsid w:val="00EA2C2E"/>
    <w:rsid w:val="00EA2F20"/>
    <w:rsid w:val="00EA34D1"/>
    <w:rsid w:val="00EA3720"/>
    <w:rsid w:val="00EA400C"/>
    <w:rsid w:val="00EA4442"/>
    <w:rsid w:val="00EA469A"/>
    <w:rsid w:val="00EA4FCF"/>
    <w:rsid w:val="00EA5963"/>
    <w:rsid w:val="00EA5BAC"/>
    <w:rsid w:val="00EA5DE8"/>
    <w:rsid w:val="00EA6265"/>
    <w:rsid w:val="00EA683B"/>
    <w:rsid w:val="00EA71BB"/>
    <w:rsid w:val="00EA7826"/>
    <w:rsid w:val="00EA7C2B"/>
    <w:rsid w:val="00EA7CF1"/>
    <w:rsid w:val="00EA7F65"/>
    <w:rsid w:val="00EB00B9"/>
    <w:rsid w:val="00EB056C"/>
    <w:rsid w:val="00EB06F8"/>
    <w:rsid w:val="00EB0782"/>
    <w:rsid w:val="00EB0A60"/>
    <w:rsid w:val="00EB0B91"/>
    <w:rsid w:val="00EB0EC5"/>
    <w:rsid w:val="00EB12A9"/>
    <w:rsid w:val="00EB28A8"/>
    <w:rsid w:val="00EB2F43"/>
    <w:rsid w:val="00EB44DD"/>
    <w:rsid w:val="00EB4AF5"/>
    <w:rsid w:val="00EB506A"/>
    <w:rsid w:val="00EB5644"/>
    <w:rsid w:val="00EB577D"/>
    <w:rsid w:val="00EB6C60"/>
    <w:rsid w:val="00EB766C"/>
    <w:rsid w:val="00EB78EC"/>
    <w:rsid w:val="00EB79B3"/>
    <w:rsid w:val="00EC00FA"/>
    <w:rsid w:val="00EC0876"/>
    <w:rsid w:val="00EC08A0"/>
    <w:rsid w:val="00EC1676"/>
    <w:rsid w:val="00EC20E7"/>
    <w:rsid w:val="00EC267D"/>
    <w:rsid w:val="00EC2BA2"/>
    <w:rsid w:val="00EC32E9"/>
    <w:rsid w:val="00EC3570"/>
    <w:rsid w:val="00EC379F"/>
    <w:rsid w:val="00EC3E2F"/>
    <w:rsid w:val="00EC405C"/>
    <w:rsid w:val="00EC4C1D"/>
    <w:rsid w:val="00EC5541"/>
    <w:rsid w:val="00EC5884"/>
    <w:rsid w:val="00EC5EF0"/>
    <w:rsid w:val="00EC78A2"/>
    <w:rsid w:val="00EC7BD3"/>
    <w:rsid w:val="00ED02FD"/>
    <w:rsid w:val="00ED080C"/>
    <w:rsid w:val="00ED0F01"/>
    <w:rsid w:val="00ED1828"/>
    <w:rsid w:val="00ED2187"/>
    <w:rsid w:val="00ED221D"/>
    <w:rsid w:val="00ED2948"/>
    <w:rsid w:val="00ED318C"/>
    <w:rsid w:val="00ED32EE"/>
    <w:rsid w:val="00ED365B"/>
    <w:rsid w:val="00ED38A6"/>
    <w:rsid w:val="00ED406D"/>
    <w:rsid w:val="00ED46F2"/>
    <w:rsid w:val="00ED52B3"/>
    <w:rsid w:val="00ED5676"/>
    <w:rsid w:val="00ED582D"/>
    <w:rsid w:val="00ED5B7C"/>
    <w:rsid w:val="00ED5DC2"/>
    <w:rsid w:val="00ED6818"/>
    <w:rsid w:val="00ED6A23"/>
    <w:rsid w:val="00ED6A30"/>
    <w:rsid w:val="00ED7354"/>
    <w:rsid w:val="00ED78EB"/>
    <w:rsid w:val="00ED7DD7"/>
    <w:rsid w:val="00EE0F0E"/>
    <w:rsid w:val="00EE2094"/>
    <w:rsid w:val="00EE2F28"/>
    <w:rsid w:val="00EE303B"/>
    <w:rsid w:val="00EE3155"/>
    <w:rsid w:val="00EE37F5"/>
    <w:rsid w:val="00EE3BC6"/>
    <w:rsid w:val="00EE3F7C"/>
    <w:rsid w:val="00EE4C86"/>
    <w:rsid w:val="00EE54A7"/>
    <w:rsid w:val="00EE5B2E"/>
    <w:rsid w:val="00EE6749"/>
    <w:rsid w:val="00EE69EB"/>
    <w:rsid w:val="00EE76D3"/>
    <w:rsid w:val="00EF0330"/>
    <w:rsid w:val="00EF0467"/>
    <w:rsid w:val="00EF0520"/>
    <w:rsid w:val="00EF145B"/>
    <w:rsid w:val="00EF1D82"/>
    <w:rsid w:val="00EF2555"/>
    <w:rsid w:val="00EF2712"/>
    <w:rsid w:val="00EF2B8B"/>
    <w:rsid w:val="00EF2BB0"/>
    <w:rsid w:val="00EF4137"/>
    <w:rsid w:val="00EF45C3"/>
    <w:rsid w:val="00EF49A9"/>
    <w:rsid w:val="00EF4AFF"/>
    <w:rsid w:val="00EF4DFF"/>
    <w:rsid w:val="00EF714D"/>
    <w:rsid w:val="00F00C8D"/>
    <w:rsid w:val="00F00ECB"/>
    <w:rsid w:val="00F010F3"/>
    <w:rsid w:val="00F01144"/>
    <w:rsid w:val="00F01486"/>
    <w:rsid w:val="00F01598"/>
    <w:rsid w:val="00F018B5"/>
    <w:rsid w:val="00F01A89"/>
    <w:rsid w:val="00F01E7A"/>
    <w:rsid w:val="00F01E97"/>
    <w:rsid w:val="00F02340"/>
    <w:rsid w:val="00F02C17"/>
    <w:rsid w:val="00F037F7"/>
    <w:rsid w:val="00F037FB"/>
    <w:rsid w:val="00F03ED6"/>
    <w:rsid w:val="00F046A8"/>
    <w:rsid w:val="00F048F8"/>
    <w:rsid w:val="00F04AA1"/>
    <w:rsid w:val="00F0545B"/>
    <w:rsid w:val="00F05530"/>
    <w:rsid w:val="00F056EF"/>
    <w:rsid w:val="00F05809"/>
    <w:rsid w:val="00F06CEA"/>
    <w:rsid w:val="00F07125"/>
    <w:rsid w:val="00F073BA"/>
    <w:rsid w:val="00F07D6F"/>
    <w:rsid w:val="00F10AF8"/>
    <w:rsid w:val="00F10B9C"/>
    <w:rsid w:val="00F12E81"/>
    <w:rsid w:val="00F12EC6"/>
    <w:rsid w:val="00F14252"/>
    <w:rsid w:val="00F1427D"/>
    <w:rsid w:val="00F145D1"/>
    <w:rsid w:val="00F157E4"/>
    <w:rsid w:val="00F16566"/>
    <w:rsid w:val="00F16A75"/>
    <w:rsid w:val="00F16D5E"/>
    <w:rsid w:val="00F17B30"/>
    <w:rsid w:val="00F20E2D"/>
    <w:rsid w:val="00F2111E"/>
    <w:rsid w:val="00F213C0"/>
    <w:rsid w:val="00F2193E"/>
    <w:rsid w:val="00F21F21"/>
    <w:rsid w:val="00F22409"/>
    <w:rsid w:val="00F22923"/>
    <w:rsid w:val="00F22C12"/>
    <w:rsid w:val="00F22EF5"/>
    <w:rsid w:val="00F23300"/>
    <w:rsid w:val="00F236C2"/>
    <w:rsid w:val="00F2387A"/>
    <w:rsid w:val="00F23B74"/>
    <w:rsid w:val="00F23ED2"/>
    <w:rsid w:val="00F2516A"/>
    <w:rsid w:val="00F25214"/>
    <w:rsid w:val="00F25252"/>
    <w:rsid w:val="00F25785"/>
    <w:rsid w:val="00F25B47"/>
    <w:rsid w:val="00F26430"/>
    <w:rsid w:val="00F264F9"/>
    <w:rsid w:val="00F275C8"/>
    <w:rsid w:val="00F27718"/>
    <w:rsid w:val="00F2795F"/>
    <w:rsid w:val="00F30857"/>
    <w:rsid w:val="00F30A42"/>
    <w:rsid w:val="00F31385"/>
    <w:rsid w:val="00F3145A"/>
    <w:rsid w:val="00F314E9"/>
    <w:rsid w:val="00F32147"/>
    <w:rsid w:val="00F33177"/>
    <w:rsid w:val="00F333BF"/>
    <w:rsid w:val="00F334B2"/>
    <w:rsid w:val="00F343B4"/>
    <w:rsid w:val="00F349BA"/>
    <w:rsid w:val="00F354C6"/>
    <w:rsid w:val="00F36C45"/>
    <w:rsid w:val="00F37042"/>
    <w:rsid w:val="00F37212"/>
    <w:rsid w:val="00F374D9"/>
    <w:rsid w:val="00F37C68"/>
    <w:rsid w:val="00F37CA5"/>
    <w:rsid w:val="00F401C2"/>
    <w:rsid w:val="00F411D7"/>
    <w:rsid w:val="00F4177B"/>
    <w:rsid w:val="00F41890"/>
    <w:rsid w:val="00F41B8D"/>
    <w:rsid w:val="00F422C2"/>
    <w:rsid w:val="00F426EE"/>
    <w:rsid w:val="00F428CC"/>
    <w:rsid w:val="00F43219"/>
    <w:rsid w:val="00F434E0"/>
    <w:rsid w:val="00F43742"/>
    <w:rsid w:val="00F43877"/>
    <w:rsid w:val="00F44265"/>
    <w:rsid w:val="00F445BE"/>
    <w:rsid w:val="00F4503E"/>
    <w:rsid w:val="00F45308"/>
    <w:rsid w:val="00F45DE6"/>
    <w:rsid w:val="00F47536"/>
    <w:rsid w:val="00F4798E"/>
    <w:rsid w:val="00F50473"/>
    <w:rsid w:val="00F50625"/>
    <w:rsid w:val="00F50AFF"/>
    <w:rsid w:val="00F50B11"/>
    <w:rsid w:val="00F50E8F"/>
    <w:rsid w:val="00F51A64"/>
    <w:rsid w:val="00F52572"/>
    <w:rsid w:val="00F5257D"/>
    <w:rsid w:val="00F52972"/>
    <w:rsid w:val="00F53E2A"/>
    <w:rsid w:val="00F5408C"/>
    <w:rsid w:val="00F54874"/>
    <w:rsid w:val="00F54884"/>
    <w:rsid w:val="00F557A6"/>
    <w:rsid w:val="00F55E4A"/>
    <w:rsid w:val="00F5640F"/>
    <w:rsid w:val="00F56F0D"/>
    <w:rsid w:val="00F5744B"/>
    <w:rsid w:val="00F57485"/>
    <w:rsid w:val="00F5788A"/>
    <w:rsid w:val="00F60C04"/>
    <w:rsid w:val="00F61890"/>
    <w:rsid w:val="00F6247A"/>
    <w:rsid w:val="00F6248D"/>
    <w:rsid w:val="00F62DDD"/>
    <w:rsid w:val="00F645D4"/>
    <w:rsid w:val="00F647B3"/>
    <w:rsid w:val="00F64A82"/>
    <w:rsid w:val="00F654AB"/>
    <w:rsid w:val="00F65AA6"/>
    <w:rsid w:val="00F66211"/>
    <w:rsid w:val="00F6768A"/>
    <w:rsid w:val="00F678E7"/>
    <w:rsid w:val="00F70120"/>
    <w:rsid w:val="00F70537"/>
    <w:rsid w:val="00F70876"/>
    <w:rsid w:val="00F70A7E"/>
    <w:rsid w:val="00F70C63"/>
    <w:rsid w:val="00F71490"/>
    <w:rsid w:val="00F71769"/>
    <w:rsid w:val="00F7184D"/>
    <w:rsid w:val="00F71A71"/>
    <w:rsid w:val="00F72D18"/>
    <w:rsid w:val="00F732AB"/>
    <w:rsid w:val="00F73C5F"/>
    <w:rsid w:val="00F73CB9"/>
    <w:rsid w:val="00F75667"/>
    <w:rsid w:val="00F75B67"/>
    <w:rsid w:val="00F75C04"/>
    <w:rsid w:val="00F75F61"/>
    <w:rsid w:val="00F761C4"/>
    <w:rsid w:val="00F7630F"/>
    <w:rsid w:val="00F76490"/>
    <w:rsid w:val="00F76563"/>
    <w:rsid w:val="00F7656D"/>
    <w:rsid w:val="00F767C1"/>
    <w:rsid w:val="00F769D7"/>
    <w:rsid w:val="00F77468"/>
    <w:rsid w:val="00F800C7"/>
    <w:rsid w:val="00F81201"/>
    <w:rsid w:val="00F81421"/>
    <w:rsid w:val="00F81EFC"/>
    <w:rsid w:val="00F827AF"/>
    <w:rsid w:val="00F82858"/>
    <w:rsid w:val="00F82AD4"/>
    <w:rsid w:val="00F83875"/>
    <w:rsid w:val="00F847AA"/>
    <w:rsid w:val="00F84927"/>
    <w:rsid w:val="00F84933"/>
    <w:rsid w:val="00F84EEC"/>
    <w:rsid w:val="00F850C0"/>
    <w:rsid w:val="00F862AD"/>
    <w:rsid w:val="00F8753D"/>
    <w:rsid w:val="00F87D79"/>
    <w:rsid w:val="00F900C0"/>
    <w:rsid w:val="00F90803"/>
    <w:rsid w:val="00F90CC6"/>
    <w:rsid w:val="00F9198A"/>
    <w:rsid w:val="00F93BFE"/>
    <w:rsid w:val="00F946A4"/>
    <w:rsid w:val="00F947BC"/>
    <w:rsid w:val="00F94959"/>
    <w:rsid w:val="00F9526E"/>
    <w:rsid w:val="00F95332"/>
    <w:rsid w:val="00F956E4"/>
    <w:rsid w:val="00F96164"/>
    <w:rsid w:val="00F977FE"/>
    <w:rsid w:val="00FA0E8A"/>
    <w:rsid w:val="00FA1D2B"/>
    <w:rsid w:val="00FA2517"/>
    <w:rsid w:val="00FA3C8A"/>
    <w:rsid w:val="00FA3DD3"/>
    <w:rsid w:val="00FA4107"/>
    <w:rsid w:val="00FA45A3"/>
    <w:rsid w:val="00FA45E2"/>
    <w:rsid w:val="00FA5642"/>
    <w:rsid w:val="00FA607F"/>
    <w:rsid w:val="00FA66C0"/>
    <w:rsid w:val="00FA6816"/>
    <w:rsid w:val="00FA6F39"/>
    <w:rsid w:val="00FA75D1"/>
    <w:rsid w:val="00FA7FDF"/>
    <w:rsid w:val="00FB1974"/>
    <w:rsid w:val="00FB22BC"/>
    <w:rsid w:val="00FB2488"/>
    <w:rsid w:val="00FB254D"/>
    <w:rsid w:val="00FB280B"/>
    <w:rsid w:val="00FB2E9D"/>
    <w:rsid w:val="00FB2F01"/>
    <w:rsid w:val="00FB3D95"/>
    <w:rsid w:val="00FB3F50"/>
    <w:rsid w:val="00FB472F"/>
    <w:rsid w:val="00FB6DAA"/>
    <w:rsid w:val="00FB6EA5"/>
    <w:rsid w:val="00FB759D"/>
    <w:rsid w:val="00FC0A14"/>
    <w:rsid w:val="00FC0D1F"/>
    <w:rsid w:val="00FC11CB"/>
    <w:rsid w:val="00FC1965"/>
    <w:rsid w:val="00FC1DD9"/>
    <w:rsid w:val="00FC2530"/>
    <w:rsid w:val="00FC2A79"/>
    <w:rsid w:val="00FC2AFF"/>
    <w:rsid w:val="00FC2F8A"/>
    <w:rsid w:val="00FC3E8B"/>
    <w:rsid w:val="00FC424B"/>
    <w:rsid w:val="00FC49AD"/>
    <w:rsid w:val="00FC4BED"/>
    <w:rsid w:val="00FC4E8D"/>
    <w:rsid w:val="00FC508E"/>
    <w:rsid w:val="00FC5221"/>
    <w:rsid w:val="00FC6B51"/>
    <w:rsid w:val="00FC7726"/>
    <w:rsid w:val="00FC777E"/>
    <w:rsid w:val="00FC7BFA"/>
    <w:rsid w:val="00FD007E"/>
    <w:rsid w:val="00FD0E41"/>
    <w:rsid w:val="00FD2314"/>
    <w:rsid w:val="00FD231D"/>
    <w:rsid w:val="00FD2B8F"/>
    <w:rsid w:val="00FD31CF"/>
    <w:rsid w:val="00FD3F48"/>
    <w:rsid w:val="00FD4292"/>
    <w:rsid w:val="00FD5540"/>
    <w:rsid w:val="00FD58DC"/>
    <w:rsid w:val="00FD61A2"/>
    <w:rsid w:val="00FD636B"/>
    <w:rsid w:val="00FD6418"/>
    <w:rsid w:val="00FD6625"/>
    <w:rsid w:val="00FD6ECF"/>
    <w:rsid w:val="00FD79C6"/>
    <w:rsid w:val="00FE0488"/>
    <w:rsid w:val="00FE0888"/>
    <w:rsid w:val="00FE0AB7"/>
    <w:rsid w:val="00FE0B5E"/>
    <w:rsid w:val="00FE0CDB"/>
    <w:rsid w:val="00FE12EA"/>
    <w:rsid w:val="00FE15BF"/>
    <w:rsid w:val="00FE26EB"/>
    <w:rsid w:val="00FE2839"/>
    <w:rsid w:val="00FE2ABE"/>
    <w:rsid w:val="00FE3259"/>
    <w:rsid w:val="00FE3276"/>
    <w:rsid w:val="00FE333D"/>
    <w:rsid w:val="00FE3757"/>
    <w:rsid w:val="00FE3768"/>
    <w:rsid w:val="00FE3ECE"/>
    <w:rsid w:val="00FE465C"/>
    <w:rsid w:val="00FE5199"/>
    <w:rsid w:val="00FE5EFF"/>
    <w:rsid w:val="00FE5FBB"/>
    <w:rsid w:val="00FE6318"/>
    <w:rsid w:val="00FE71C6"/>
    <w:rsid w:val="00FE71E5"/>
    <w:rsid w:val="00FE75A5"/>
    <w:rsid w:val="00FE7A1E"/>
    <w:rsid w:val="00FF0DC6"/>
    <w:rsid w:val="00FF2BFC"/>
    <w:rsid w:val="00FF30F4"/>
    <w:rsid w:val="00FF38B4"/>
    <w:rsid w:val="00FF3EB9"/>
    <w:rsid w:val="00FF4A0D"/>
    <w:rsid w:val="00FF4D78"/>
    <w:rsid w:val="00FF4EE9"/>
    <w:rsid w:val="00FF52A3"/>
    <w:rsid w:val="00FF5994"/>
    <w:rsid w:val="00FF7AF4"/>
    <w:rsid w:val="011659F8"/>
    <w:rsid w:val="015D04C7"/>
    <w:rsid w:val="01B44991"/>
    <w:rsid w:val="01DABA28"/>
    <w:rsid w:val="01EB0460"/>
    <w:rsid w:val="027B50B3"/>
    <w:rsid w:val="02C32A2C"/>
    <w:rsid w:val="05614FD1"/>
    <w:rsid w:val="079D693B"/>
    <w:rsid w:val="081AF781"/>
    <w:rsid w:val="08259EB0"/>
    <w:rsid w:val="08AA7A9D"/>
    <w:rsid w:val="08B33AA1"/>
    <w:rsid w:val="09EEBAC2"/>
    <w:rsid w:val="0A1C13DD"/>
    <w:rsid w:val="0A8B2475"/>
    <w:rsid w:val="0AC87BC6"/>
    <w:rsid w:val="0AC9187E"/>
    <w:rsid w:val="0AF4B0CA"/>
    <w:rsid w:val="0C2BA84C"/>
    <w:rsid w:val="0D63A000"/>
    <w:rsid w:val="0E4DE1BF"/>
    <w:rsid w:val="0FAFB54E"/>
    <w:rsid w:val="109F7ACD"/>
    <w:rsid w:val="10E57F66"/>
    <w:rsid w:val="129551D2"/>
    <w:rsid w:val="12D958FE"/>
    <w:rsid w:val="131F8E09"/>
    <w:rsid w:val="1357C902"/>
    <w:rsid w:val="13A87413"/>
    <w:rsid w:val="140D34A0"/>
    <w:rsid w:val="15BAE6FC"/>
    <w:rsid w:val="15BDA599"/>
    <w:rsid w:val="166524CC"/>
    <w:rsid w:val="17EBECAF"/>
    <w:rsid w:val="18110551"/>
    <w:rsid w:val="185B923F"/>
    <w:rsid w:val="1992DBB4"/>
    <w:rsid w:val="1AA9EBCA"/>
    <w:rsid w:val="1B116EFA"/>
    <w:rsid w:val="1CC8B5EB"/>
    <w:rsid w:val="1D9BCD28"/>
    <w:rsid w:val="1E8EDBE7"/>
    <w:rsid w:val="1F9562C3"/>
    <w:rsid w:val="220BC9F1"/>
    <w:rsid w:val="22B69AC6"/>
    <w:rsid w:val="231DC6B0"/>
    <w:rsid w:val="23EAA4CD"/>
    <w:rsid w:val="2440A44C"/>
    <w:rsid w:val="24976298"/>
    <w:rsid w:val="258433F3"/>
    <w:rsid w:val="25A93E3C"/>
    <w:rsid w:val="268E9285"/>
    <w:rsid w:val="26B8DA30"/>
    <w:rsid w:val="273B1630"/>
    <w:rsid w:val="27C5DE16"/>
    <w:rsid w:val="282D317F"/>
    <w:rsid w:val="29F76BAB"/>
    <w:rsid w:val="2A755474"/>
    <w:rsid w:val="2B48AACE"/>
    <w:rsid w:val="2B5D1E94"/>
    <w:rsid w:val="2BBD7A73"/>
    <w:rsid w:val="2BBE438E"/>
    <w:rsid w:val="2BC907ED"/>
    <w:rsid w:val="2CDBDF9A"/>
    <w:rsid w:val="2D03C965"/>
    <w:rsid w:val="2D35CC49"/>
    <w:rsid w:val="2DA6D740"/>
    <w:rsid w:val="2E114C5A"/>
    <w:rsid w:val="2E285E0F"/>
    <w:rsid w:val="2FFCAE19"/>
    <w:rsid w:val="3012B27A"/>
    <w:rsid w:val="3030E45D"/>
    <w:rsid w:val="319C2E29"/>
    <w:rsid w:val="323CBF41"/>
    <w:rsid w:val="334CD854"/>
    <w:rsid w:val="3391A30D"/>
    <w:rsid w:val="33BF3078"/>
    <w:rsid w:val="33BF6A92"/>
    <w:rsid w:val="3436B956"/>
    <w:rsid w:val="3503F7DD"/>
    <w:rsid w:val="3556D2CB"/>
    <w:rsid w:val="358CF57F"/>
    <w:rsid w:val="35940DBC"/>
    <w:rsid w:val="36051B29"/>
    <w:rsid w:val="36B2CA15"/>
    <w:rsid w:val="3715A2A8"/>
    <w:rsid w:val="37B5D6E4"/>
    <w:rsid w:val="39191161"/>
    <w:rsid w:val="397840BC"/>
    <w:rsid w:val="397997C8"/>
    <w:rsid w:val="39A3CA18"/>
    <w:rsid w:val="39A6D846"/>
    <w:rsid w:val="39CFF39C"/>
    <w:rsid w:val="3A3748FE"/>
    <w:rsid w:val="3A4B9E85"/>
    <w:rsid w:val="3A84447A"/>
    <w:rsid w:val="3ABB1208"/>
    <w:rsid w:val="3B4481B2"/>
    <w:rsid w:val="3BA8B1A8"/>
    <w:rsid w:val="3CA00CED"/>
    <w:rsid w:val="3D21CE5D"/>
    <w:rsid w:val="3DA60641"/>
    <w:rsid w:val="3E397066"/>
    <w:rsid w:val="3F2540DF"/>
    <w:rsid w:val="3F39A5D0"/>
    <w:rsid w:val="3F3DA3D1"/>
    <w:rsid w:val="3F828C43"/>
    <w:rsid w:val="3FC060A6"/>
    <w:rsid w:val="3FEF4AEB"/>
    <w:rsid w:val="3FF2F646"/>
    <w:rsid w:val="410B6C02"/>
    <w:rsid w:val="41D175C0"/>
    <w:rsid w:val="4290DC8F"/>
    <w:rsid w:val="4344408E"/>
    <w:rsid w:val="43941E47"/>
    <w:rsid w:val="47180168"/>
    <w:rsid w:val="47385312"/>
    <w:rsid w:val="473ABE2D"/>
    <w:rsid w:val="477B4F5A"/>
    <w:rsid w:val="47E359C9"/>
    <w:rsid w:val="48A3E213"/>
    <w:rsid w:val="48F6A2E0"/>
    <w:rsid w:val="49D5A436"/>
    <w:rsid w:val="49FC227E"/>
    <w:rsid w:val="4A1D5779"/>
    <w:rsid w:val="4A1D748A"/>
    <w:rsid w:val="4A9E7FD8"/>
    <w:rsid w:val="4D1CA47A"/>
    <w:rsid w:val="4D468D17"/>
    <w:rsid w:val="4DA4DB81"/>
    <w:rsid w:val="4E11A6CD"/>
    <w:rsid w:val="4E1EB3D7"/>
    <w:rsid w:val="4E5FF3AB"/>
    <w:rsid w:val="4F18692D"/>
    <w:rsid w:val="50B75320"/>
    <w:rsid w:val="50CAB3CF"/>
    <w:rsid w:val="50CED97A"/>
    <w:rsid w:val="5127F326"/>
    <w:rsid w:val="51EC5474"/>
    <w:rsid w:val="51FBBD53"/>
    <w:rsid w:val="523DA13B"/>
    <w:rsid w:val="52851834"/>
    <w:rsid w:val="52A08222"/>
    <w:rsid w:val="52A5E6DD"/>
    <w:rsid w:val="52C26A02"/>
    <w:rsid w:val="53BB64A7"/>
    <w:rsid w:val="5418B55F"/>
    <w:rsid w:val="5495CCC4"/>
    <w:rsid w:val="54DB6803"/>
    <w:rsid w:val="54E644CA"/>
    <w:rsid w:val="550D82DB"/>
    <w:rsid w:val="55608E62"/>
    <w:rsid w:val="55609ABD"/>
    <w:rsid w:val="5567E5C3"/>
    <w:rsid w:val="575BC544"/>
    <w:rsid w:val="583158F4"/>
    <w:rsid w:val="583EA102"/>
    <w:rsid w:val="58FDBA57"/>
    <w:rsid w:val="59B8FF8A"/>
    <w:rsid w:val="5A7575CB"/>
    <w:rsid w:val="5AFF9B6E"/>
    <w:rsid w:val="5B9B51C8"/>
    <w:rsid w:val="5BAA665E"/>
    <w:rsid w:val="5BE11A02"/>
    <w:rsid w:val="5BFCE960"/>
    <w:rsid w:val="5C77C167"/>
    <w:rsid w:val="5D23063A"/>
    <w:rsid w:val="5E62D7D7"/>
    <w:rsid w:val="5E6F09D5"/>
    <w:rsid w:val="5E9E6E15"/>
    <w:rsid w:val="60ECCC7F"/>
    <w:rsid w:val="612CBBEF"/>
    <w:rsid w:val="615AD1E0"/>
    <w:rsid w:val="61E4FDDF"/>
    <w:rsid w:val="6231BE33"/>
    <w:rsid w:val="6236D181"/>
    <w:rsid w:val="62400DA5"/>
    <w:rsid w:val="6250AF00"/>
    <w:rsid w:val="62704A8E"/>
    <w:rsid w:val="62C08DE4"/>
    <w:rsid w:val="62F50FF7"/>
    <w:rsid w:val="63EC4FC1"/>
    <w:rsid w:val="641A1F41"/>
    <w:rsid w:val="65066FEE"/>
    <w:rsid w:val="657226C2"/>
    <w:rsid w:val="6694387A"/>
    <w:rsid w:val="6712AE64"/>
    <w:rsid w:val="67F76B33"/>
    <w:rsid w:val="68ED0521"/>
    <w:rsid w:val="68F94BFE"/>
    <w:rsid w:val="6975C307"/>
    <w:rsid w:val="697E884C"/>
    <w:rsid w:val="6A61347E"/>
    <w:rsid w:val="6A681412"/>
    <w:rsid w:val="6A93329E"/>
    <w:rsid w:val="6AFBF81F"/>
    <w:rsid w:val="6B169F06"/>
    <w:rsid w:val="6B3EF9C7"/>
    <w:rsid w:val="6BCC8881"/>
    <w:rsid w:val="6C226E22"/>
    <w:rsid w:val="6C552416"/>
    <w:rsid w:val="6CFFE5C7"/>
    <w:rsid w:val="6DB41DED"/>
    <w:rsid w:val="6DBCD3BC"/>
    <w:rsid w:val="6E29265F"/>
    <w:rsid w:val="6E6A44D0"/>
    <w:rsid w:val="6E712768"/>
    <w:rsid w:val="6EDACE75"/>
    <w:rsid w:val="6EF32060"/>
    <w:rsid w:val="6F57C1A4"/>
    <w:rsid w:val="6FA69D1A"/>
    <w:rsid w:val="6FFC476B"/>
    <w:rsid w:val="7070D278"/>
    <w:rsid w:val="7078D02A"/>
    <w:rsid w:val="71E05EAB"/>
    <w:rsid w:val="71F56904"/>
    <w:rsid w:val="722BD141"/>
    <w:rsid w:val="7352C8ED"/>
    <w:rsid w:val="740E241A"/>
    <w:rsid w:val="74A62ED2"/>
    <w:rsid w:val="74ABFC4B"/>
    <w:rsid w:val="74C4470E"/>
    <w:rsid w:val="754E0231"/>
    <w:rsid w:val="759F8E59"/>
    <w:rsid w:val="765DC084"/>
    <w:rsid w:val="77B083F1"/>
    <w:rsid w:val="78875D09"/>
    <w:rsid w:val="79ED7CAF"/>
    <w:rsid w:val="7ADAFA14"/>
    <w:rsid w:val="7B18CBAB"/>
    <w:rsid w:val="7B3413EC"/>
    <w:rsid w:val="7B59AD90"/>
    <w:rsid w:val="7F1A7C34"/>
    <w:rsid w:val="7FC4ABE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8804CA"/>
  <w15:chartTrackingRefBased/>
  <w15:docId w15:val="{2DA98DFA-66C3-4027-8290-6D07DE06D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0E90"/>
    <w:pPr>
      <w:spacing w:after="120" w:line="269" w:lineRule="auto"/>
    </w:pPr>
    <w:rPr>
      <w:rFonts w:ascii="Arial" w:hAnsi="Arial"/>
    </w:rPr>
  </w:style>
  <w:style w:type="paragraph" w:styleId="Heading1">
    <w:name w:val="heading 1"/>
    <w:basedOn w:val="Normal"/>
    <w:next w:val="Normal"/>
    <w:link w:val="Heading1Char"/>
    <w:uiPriority w:val="9"/>
    <w:qFormat/>
    <w:rsid w:val="007D1849"/>
    <w:pPr>
      <w:keepNext/>
      <w:keepLines/>
      <w:numPr>
        <w:numId w:val="9"/>
      </w:numPr>
      <w:pBdr>
        <w:bottom w:val="single" w:sz="4" w:space="8" w:color="156082" w:themeColor="accent1"/>
      </w:pBdr>
      <w:spacing w:before="360" w:after="80" w:line="240" w:lineRule="auto"/>
      <w:ind w:left="431" w:hanging="431"/>
      <w:outlineLvl w:val="0"/>
    </w:pPr>
    <w:rPr>
      <w:rFonts w:ascii="Aptos SemiBold" w:eastAsiaTheme="majorEastAsia" w:hAnsi="Aptos SemiBold" w:cstheme="majorBidi"/>
      <w:color w:val="156082" w:themeColor="accent1"/>
      <w:sz w:val="52"/>
      <w:szCs w:val="40"/>
    </w:rPr>
  </w:style>
  <w:style w:type="paragraph" w:styleId="Heading2">
    <w:name w:val="heading 2"/>
    <w:basedOn w:val="Normal"/>
    <w:next w:val="Normal"/>
    <w:link w:val="Heading2Char"/>
    <w:uiPriority w:val="9"/>
    <w:unhideWhenUsed/>
    <w:qFormat/>
    <w:rsid w:val="007E0E85"/>
    <w:pPr>
      <w:keepNext/>
      <w:keepLines/>
      <w:numPr>
        <w:ilvl w:val="1"/>
        <w:numId w:val="9"/>
      </w:numPr>
      <w:spacing w:before="160" w:after="80"/>
      <w:outlineLvl w:val="1"/>
    </w:pPr>
    <w:rPr>
      <w:rFonts w:ascii="Aptos" w:eastAsiaTheme="majorEastAsia" w:hAnsi="Aptos"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FE0B5E"/>
    <w:pPr>
      <w:keepNext/>
      <w:keepLines/>
      <w:numPr>
        <w:ilvl w:val="2"/>
        <w:numId w:val="9"/>
      </w:numPr>
      <w:spacing w:before="160" w:after="80"/>
      <w:outlineLvl w:val="2"/>
    </w:pPr>
    <w:rPr>
      <w:rFonts w:eastAsiaTheme="majorEastAsia" w:cstheme="majorBidi"/>
      <w:color w:val="0F4761" w:themeColor="accent1" w:themeShade="BF"/>
      <w:szCs w:val="28"/>
    </w:rPr>
  </w:style>
  <w:style w:type="paragraph" w:styleId="Heading4">
    <w:name w:val="heading 4"/>
    <w:basedOn w:val="Normal"/>
    <w:next w:val="Normal"/>
    <w:link w:val="Heading4Char"/>
    <w:uiPriority w:val="9"/>
    <w:unhideWhenUsed/>
    <w:qFormat/>
    <w:rsid w:val="00831AC5"/>
    <w:pPr>
      <w:keepNext/>
      <w:keepLines/>
      <w:spacing w:before="80" w:after="40"/>
      <w:outlineLvl w:val="3"/>
    </w:pPr>
    <w:rPr>
      <w:rFonts w:eastAsiaTheme="majorEastAsia" w:cstheme="majorBidi"/>
      <w:i/>
      <w:iCs/>
      <w:color w:val="3188AE"/>
    </w:rPr>
  </w:style>
  <w:style w:type="paragraph" w:styleId="Heading5">
    <w:name w:val="heading 5"/>
    <w:basedOn w:val="Normal"/>
    <w:next w:val="Normal"/>
    <w:link w:val="Heading5Char"/>
    <w:uiPriority w:val="9"/>
    <w:unhideWhenUsed/>
    <w:qFormat/>
    <w:rsid w:val="00667F52"/>
    <w:pPr>
      <w:keepNext/>
      <w:keepLines/>
      <w:numPr>
        <w:ilvl w:val="4"/>
        <w:numId w:val="9"/>
      </w:numPr>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67F52"/>
    <w:pPr>
      <w:keepNext/>
      <w:keepLines/>
      <w:numPr>
        <w:ilvl w:val="5"/>
        <w:numId w:val="9"/>
      </w:numPr>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67F52"/>
    <w:pPr>
      <w:keepNext/>
      <w:keepLines/>
      <w:numPr>
        <w:ilvl w:val="6"/>
        <w:numId w:val="9"/>
      </w:numPr>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67F52"/>
    <w:pPr>
      <w:keepNext/>
      <w:keepLines/>
      <w:numPr>
        <w:ilvl w:val="7"/>
        <w:numId w:val="9"/>
      </w:numPr>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67F52"/>
    <w:pPr>
      <w:keepNext/>
      <w:keepLines/>
      <w:numPr>
        <w:ilvl w:val="8"/>
        <w:numId w:val="9"/>
      </w:numPr>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1849"/>
    <w:rPr>
      <w:rFonts w:ascii="Aptos SemiBold" w:eastAsiaTheme="majorEastAsia" w:hAnsi="Aptos SemiBold" w:cstheme="majorBidi"/>
      <w:color w:val="156082" w:themeColor="accent1"/>
      <w:sz w:val="52"/>
      <w:szCs w:val="40"/>
    </w:rPr>
  </w:style>
  <w:style w:type="character" w:customStyle="1" w:styleId="Heading2Char">
    <w:name w:val="Heading 2 Char"/>
    <w:basedOn w:val="DefaultParagraphFont"/>
    <w:link w:val="Heading2"/>
    <w:uiPriority w:val="9"/>
    <w:rsid w:val="007E0E85"/>
    <w:rPr>
      <w:rFonts w:ascii="Aptos" w:eastAsiaTheme="majorEastAsia" w:hAnsi="Aptos" w:cstheme="majorBidi"/>
      <w:color w:val="0F4761" w:themeColor="accent1" w:themeShade="BF"/>
      <w:sz w:val="32"/>
      <w:szCs w:val="32"/>
    </w:rPr>
  </w:style>
  <w:style w:type="character" w:customStyle="1" w:styleId="Heading3Char">
    <w:name w:val="Heading 3 Char"/>
    <w:basedOn w:val="DefaultParagraphFont"/>
    <w:link w:val="Heading3"/>
    <w:uiPriority w:val="9"/>
    <w:rsid w:val="00FE0B5E"/>
    <w:rPr>
      <w:rFonts w:ascii="Arial" w:eastAsiaTheme="majorEastAsia" w:hAnsi="Arial" w:cstheme="majorBidi"/>
      <w:color w:val="0F4761" w:themeColor="accent1" w:themeShade="BF"/>
      <w:szCs w:val="28"/>
    </w:rPr>
  </w:style>
  <w:style w:type="character" w:customStyle="1" w:styleId="Heading4Char">
    <w:name w:val="Heading 4 Char"/>
    <w:basedOn w:val="DefaultParagraphFont"/>
    <w:link w:val="Heading4"/>
    <w:uiPriority w:val="9"/>
    <w:rsid w:val="00831AC5"/>
    <w:rPr>
      <w:rFonts w:ascii="Arial" w:eastAsiaTheme="majorEastAsia" w:hAnsi="Arial" w:cstheme="majorBidi"/>
      <w:i/>
      <w:iCs/>
      <w:color w:val="3188AE"/>
    </w:rPr>
  </w:style>
  <w:style w:type="character" w:customStyle="1" w:styleId="Heading5Char">
    <w:name w:val="Heading 5 Char"/>
    <w:basedOn w:val="DefaultParagraphFont"/>
    <w:link w:val="Heading5"/>
    <w:uiPriority w:val="9"/>
    <w:rsid w:val="00667F52"/>
    <w:rPr>
      <w:rFonts w:ascii="Arial" w:eastAsiaTheme="majorEastAsia" w:hAnsi="Arial" w:cstheme="majorBidi"/>
      <w:color w:val="0F4761" w:themeColor="accent1" w:themeShade="BF"/>
    </w:rPr>
  </w:style>
  <w:style w:type="character" w:customStyle="1" w:styleId="Heading6Char">
    <w:name w:val="Heading 6 Char"/>
    <w:basedOn w:val="DefaultParagraphFont"/>
    <w:link w:val="Heading6"/>
    <w:uiPriority w:val="9"/>
    <w:semiHidden/>
    <w:rsid w:val="00667F52"/>
    <w:rPr>
      <w:rFonts w:ascii="Arial" w:eastAsiaTheme="majorEastAsia" w:hAnsi="Arial" w:cstheme="majorBidi"/>
      <w:i/>
      <w:iCs/>
      <w:color w:val="595959" w:themeColor="text1" w:themeTint="A6"/>
    </w:rPr>
  </w:style>
  <w:style w:type="character" w:customStyle="1" w:styleId="Heading7Char">
    <w:name w:val="Heading 7 Char"/>
    <w:basedOn w:val="DefaultParagraphFont"/>
    <w:link w:val="Heading7"/>
    <w:uiPriority w:val="9"/>
    <w:semiHidden/>
    <w:rsid w:val="00667F52"/>
    <w:rPr>
      <w:rFonts w:ascii="Arial" w:eastAsiaTheme="majorEastAsia" w:hAnsi="Arial" w:cstheme="majorBidi"/>
      <w:color w:val="595959" w:themeColor="text1" w:themeTint="A6"/>
    </w:rPr>
  </w:style>
  <w:style w:type="character" w:customStyle="1" w:styleId="Heading8Char">
    <w:name w:val="Heading 8 Char"/>
    <w:basedOn w:val="DefaultParagraphFont"/>
    <w:link w:val="Heading8"/>
    <w:uiPriority w:val="9"/>
    <w:semiHidden/>
    <w:rsid w:val="00667F52"/>
    <w:rPr>
      <w:rFonts w:ascii="Arial" w:eastAsiaTheme="majorEastAsia" w:hAnsi="Arial" w:cstheme="majorBidi"/>
      <w:i/>
      <w:iCs/>
      <w:color w:val="272727" w:themeColor="text1" w:themeTint="D8"/>
    </w:rPr>
  </w:style>
  <w:style w:type="character" w:customStyle="1" w:styleId="Heading9Char">
    <w:name w:val="Heading 9 Char"/>
    <w:basedOn w:val="DefaultParagraphFont"/>
    <w:link w:val="Heading9"/>
    <w:uiPriority w:val="9"/>
    <w:semiHidden/>
    <w:rsid w:val="00667F52"/>
    <w:rPr>
      <w:rFonts w:ascii="Arial" w:eastAsiaTheme="majorEastAsia" w:hAnsi="Arial" w:cstheme="majorBidi"/>
      <w:color w:val="272727" w:themeColor="text1" w:themeTint="D8"/>
    </w:rPr>
  </w:style>
  <w:style w:type="paragraph" w:styleId="Title">
    <w:name w:val="Title"/>
    <w:basedOn w:val="Normal"/>
    <w:next w:val="Normal"/>
    <w:link w:val="TitleChar"/>
    <w:uiPriority w:val="10"/>
    <w:qFormat/>
    <w:rsid w:val="00667F5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67F5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67F52"/>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67F5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67F5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67F52"/>
    <w:rPr>
      <w:i/>
      <w:iCs/>
      <w:color w:val="404040" w:themeColor="text1" w:themeTint="BF"/>
    </w:rPr>
  </w:style>
  <w:style w:type="paragraph" w:styleId="ListParagraph">
    <w:name w:val="List Paragraph"/>
    <w:basedOn w:val="Normal"/>
    <w:uiPriority w:val="34"/>
    <w:qFormat/>
    <w:rsid w:val="00667F52"/>
    <w:pPr>
      <w:ind w:left="720"/>
      <w:contextualSpacing/>
    </w:pPr>
  </w:style>
  <w:style w:type="character" w:styleId="IntenseEmphasis">
    <w:name w:val="Intense Emphasis"/>
    <w:basedOn w:val="DefaultParagraphFont"/>
    <w:uiPriority w:val="21"/>
    <w:qFormat/>
    <w:rsid w:val="00667F52"/>
    <w:rPr>
      <w:i/>
      <w:iCs/>
      <w:color w:val="0F4761" w:themeColor="accent1" w:themeShade="BF"/>
    </w:rPr>
  </w:style>
  <w:style w:type="paragraph" w:styleId="IntenseQuote">
    <w:name w:val="Intense Quote"/>
    <w:basedOn w:val="Normal"/>
    <w:next w:val="Normal"/>
    <w:link w:val="IntenseQuoteChar"/>
    <w:uiPriority w:val="30"/>
    <w:qFormat/>
    <w:rsid w:val="00667F5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67F52"/>
    <w:rPr>
      <w:i/>
      <w:iCs/>
      <w:color w:val="0F4761" w:themeColor="accent1" w:themeShade="BF"/>
    </w:rPr>
  </w:style>
  <w:style w:type="character" w:styleId="IntenseReference">
    <w:name w:val="Intense Reference"/>
    <w:basedOn w:val="DefaultParagraphFont"/>
    <w:uiPriority w:val="32"/>
    <w:qFormat/>
    <w:rsid w:val="00667F52"/>
    <w:rPr>
      <w:b/>
      <w:bCs/>
      <w:smallCaps/>
      <w:color w:val="0F4761" w:themeColor="accent1" w:themeShade="BF"/>
      <w:spacing w:val="5"/>
    </w:rPr>
  </w:style>
  <w:style w:type="table" w:styleId="TableGrid">
    <w:name w:val="Table Grid"/>
    <w:basedOn w:val="TableNormal"/>
    <w:uiPriority w:val="39"/>
    <w:rsid w:val="00930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1246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12468"/>
    <w:rPr>
      <w:rFonts w:ascii="Arial" w:hAnsi="Arial"/>
    </w:rPr>
  </w:style>
  <w:style w:type="paragraph" w:styleId="Footer">
    <w:name w:val="footer"/>
    <w:basedOn w:val="Normal"/>
    <w:link w:val="FooterChar"/>
    <w:uiPriority w:val="99"/>
    <w:unhideWhenUsed/>
    <w:rsid w:val="0051246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12468"/>
    <w:rPr>
      <w:rFonts w:ascii="Arial" w:hAnsi="Arial"/>
    </w:rPr>
  </w:style>
  <w:style w:type="character" w:styleId="CommentReference">
    <w:name w:val="annotation reference"/>
    <w:basedOn w:val="DefaultParagraphFont"/>
    <w:uiPriority w:val="99"/>
    <w:semiHidden/>
    <w:unhideWhenUsed/>
    <w:rsid w:val="00512468"/>
    <w:rPr>
      <w:sz w:val="16"/>
      <w:szCs w:val="16"/>
    </w:rPr>
  </w:style>
  <w:style w:type="paragraph" w:styleId="CommentText">
    <w:name w:val="annotation text"/>
    <w:basedOn w:val="Normal"/>
    <w:link w:val="CommentTextChar"/>
    <w:uiPriority w:val="99"/>
    <w:unhideWhenUsed/>
    <w:rsid w:val="00512468"/>
    <w:pPr>
      <w:spacing w:line="240" w:lineRule="auto"/>
    </w:pPr>
    <w:rPr>
      <w:sz w:val="20"/>
      <w:szCs w:val="20"/>
    </w:rPr>
  </w:style>
  <w:style w:type="character" w:customStyle="1" w:styleId="CommentTextChar">
    <w:name w:val="Comment Text Char"/>
    <w:basedOn w:val="DefaultParagraphFont"/>
    <w:link w:val="CommentText"/>
    <w:uiPriority w:val="99"/>
    <w:rsid w:val="00512468"/>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512468"/>
    <w:rPr>
      <w:b/>
      <w:bCs/>
    </w:rPr>
  </w:style>
  <w:style w:type="character" w:customStyle="1" w:styleId="CommentSubjectChar">
    <w:name w:val="Comment Subject Char"/>
    <w:basedOn w:val="CommentTextChar"/>
    <w:link w:val="CommentSubject"/>
    <w:uiPriority w:val="99"/>
    <w:semiHidden/>
    <w:rsid w:val="00512468"/>
    <w:rPr>
      <w:rFonts w:ascii="Arial" w:hAnsi="Arial"/>
      <w:b/>
      <w:bCs/>
      <w:sz w:val="20"/>
      <w:szCs w:val="20"/>
    </w:rPr>
  </w:style>
  <w:style w:type="character" w:styleId="Hyperlink">
    <w:name w:val="Hyperlink"/>
    <w:basedOn w:val="DefaultParagraphFont"/>
    <w:uiPriority w:val="99"/>
    <w:unhideWhenUsed/>
    <w:rsid w:val="00512468"/>
    <w:rPr>
      <w:color w:val="467886" w:themeColor="hyperlink"/>
      <w:u w:val="single"/>
    </w:rPr>
  </w:style>
  <w:style w:type="character" w:styleId="UnresolvedMention">
    <w:name w:val="Unresolved Mention"/>
    <w:basedOn w:val="DefaultParagraphFont"/>
    <w:uiPriority w:val="99"/>
    <w:semiHidden/>
    <w:unhideWhenUsed/>
    <w:rsid w:val="00512468"/>
    <w:rPr>
      <w:color w:val="605E5C"/>
      <w:shd w:val="clear" w:color="auto" w:fill="E1DFDD"/>
    </w:rPr>
  </w:style>
  <w:style w:type="paragraph" w:styleId="Caption">
    <w:name w:val="caption"/>
    <w:basedOn w:val="Normal"/>
    <w:next w:val="Normal"/>
    <w:uiPriority w:val="35"/>
    <w:unhideWhenUsed/>
    <w:qFormat/>
    <w:rsid w:val="00E56B85"/>
    <w:pPr>
      <w:spacing w:after="200" w:line="240" w:lineRule="auto"/>
    </w:pPr>
    <w:rPr>
      <w:i/>
      <w:iCs/>
      <w:color w:val="0F4761" w:themeColor="accent1" w:themeShade="BF"/>
      <w:sz w:val="22"/>
      <w:szCs w:val="18"/>
    </w:rPr>
  </w:style>
  <w:style w:type="character" w:styleId="PageNumber">
    <w:name w:val="page number"/>
    <w:basedOn w:val="DefaultParagraphFont"/>
    <w:uiPriority w:val="99"/>
    <w:semiHidden/>
    <w:unhideWhenUsed/>
    <w:rsid w:val="00512468"/>
  </w:style>
  <w:style w:type="character" w:customStyle="1" w:styleId="apple-converted-space">
    <w:name w:val="apple-converted-space"/>
    <w:basedOn w:val="DefaultParagraphFont"/>
    <w:rsid w:val="00512468"/>
  </w:style>
  <w:style w:type="character" w:styleId="FollowedHyperlink">
    <w:name w:val="FollowedHyperlink"/>
    <w:basedOn w:val="DefaultParagraphFont"/>
    <w:uiPriority w:val="99"/>
    <w:semiHidden/>
    <w:unhideWhenUsed/>
    <w:rsid w:val="00512468"/>
    <w:rPr>
      <w:color w:val="96607D" w:themeColor="followedHyperlink"/>
      <w:u w:val="single"/>
    </w:rPr>
  </w:style>
  <w:style w:type="paragraph" w:styleId="NoSpacing">
    <w:name w:val="No Spacing"/>
    <w:uiPriority w:val="1"/>
    <w:qFormat/>
    <w:rsid w:val="00512468"/>
    <w:rPr>
      <w:rFonts w:ascii="Arial" w:hAnsi="Arial"/>
    </w:rPr>
  </w:style>
  <w:style w:type="paragraph" w:styleId="TOC1">
    <w:name w:val="toc 1"/>
    <w:basedOn w:val="Normal"/>
    <w:next w:val="Normal"/>
    <w:autoRedefine/>
    <w:uiPriority w:val="39"/>
    <w:unhideWhenUsed/>
    <w:rsid w:val="00512468"/>
    <w:pPr>
      <w:spacing w:after="100"/>
    </w:pPr>
  </w:style>
  <w:style w:type="paragraph" w:styleId="TOC2">
    <w:name w:val="toc 2"/>
    <w:basedOn w:val="Normal"/>
    <w:next w:val="Normal"/>
    <w:autoRedefine/>
    <w:uiPriority w:val="39"/>
    <w:unhideWhenUsed/>
    <w:rsid w:val="00512468"/>
    <w:pPr>
      <w:spacing w:after="100"/>
      <w:ind w:left="240"/>
    </w:pPr>
  </w:style>
  <w:style w:type="paragraph" w:styleId="TOC3">
    <w:name w:val="toc 3"/>
    <w:basedOn w:val="Normal"/>
    <w:next w:val="Normal"/>
    <w:autoRedefine/>
    <w:uiPriority w:val="39"/>
    <w:unhideWhenUsed/>
    <w:rsid w:val="00512468"/>
    <w:pPr>
      <w:spacing w:after="100"/>
      <w:ind w:left="480"/>
    </w:pPr>
  </w:style>
  <w:style w:type="paragraph" w:styleId="TableofFigures">
    <w:name w:val="table of figures"/>
    <w:basedOn w:val="Normal"/>
    <w:next w:val="Normal"/>
    <w:uiPriority w:val="99"/>
    <w:unhideWhenUsed/>
    <w:rsid w:val="00512468"/>
    <w:pPr>
      <w:spacing w:after="0"/>
    </w:pPr>
  </w:style>
  <w:style w:type="paragraph" w:styleId="NormalWeb">
    <w:name w:val="Normal (Web)"/>
    <w:basedOn w:val="Normal"/>
    <w:uiPriority w:val="99"/>
    <w:unhideWhenUsed/>
    <w:rsid w:val="00512468"/>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numbering" w:customStyle="1" w:styleId="CurrentList1">
    <w:name w:val="Current List1"/>
    <w:uiPriority w:val="99"/>
    <w:rsid w:val="00F445BE"/>
    <w:pPr>
      <w:numPr>
        <w:numId w:val="10"/>
      </w:numPr>
    </w:pPr>
  </w:style>
  <w:style w:type="table" w:styleId="GridTable4-Accent5">
    <w:name w:val="Grid Table 4 Accent 5"/>
    <w:basedOn w:val="TableNormal"/>
    <w:uiPriority w:val="49"/>
    <w:rsid w:val="00330DC9"/>
    <w:rPr>
      <w:sz w:val="22"/>
      <w:szCs w:val="22"/>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paragraph" w:customStyle="1" w:styleId="EndNoteBibliographyTitle">
    <w:name w:val="EndNote Bibliography Title"/>
    <w:basedOn w:val="Normal"/>
    <w:link w:val="EndNoteBibliographyTitleChar"/>
    <w:rsid w:val="00452260"/>
    <w:pPr>
      <w:spacing w:after="0"/>
      <w:jc w:val="center"/>
    </w:pPr>
    <w:rPr>
      <w:rFonts w:cs="Arial"/>
      <w:noProof/>
      <w:lang w:val="en-US"/>
    </w:rPr>
  </w:style>
  <w:style w:type="character" w:customStyle="1" w:styleId="EndNoteBibliographyTitleChar">
    <w:name w:val="EndNote Bibliography Title Char"/>
    <w:basedOn w:val="DefaultParagraphFont"/>
    <w:link w:val="EndNoteBibliographyTitle"/>
    <w:rsid w:val="00452260"/>
    <w:rPr>
      <w:rFonts w:ascii="Arial" w:hAnsi="Arial" w:cs="Arial"/>
      <w:noProof/>
      <w:lang w:val="en-US"/>
    </w:rPr>
  </w:style>
  <w:style w:type="paragraph" w:customStyle="1" w:styleId="EndNoteBibliography">
    <w:name w:val="EndNote Bibliography"/>
    <w:basedOn w:val="Normal"/>
    <w:link w:val="EndNoteBibliographyChar"/>
    <w:rsid w:val="00452260"/>
    <w:pPr>
      <w:spacing w:line="240" w:lineRule="auto"/>
    </w:pPr>
    <w:rPr>
      <w:rFonts w:cs="Arial"/>
      <w:noProof/>
      <w:lang w:val="en-US"/>
    </w:rPr>
  </w:style>
  <w:style w:type="character" w:customStyle="1" w:styleId="EndNoteBibliographyChar">
    <w:name w:val="EndNote Bibliography Char"/>
    <w:basedOn w:val="DefaultParagraphFont"/>
    <w:link w:val="EndNoteBibliography"/>
    <w:rsid w:val="00452260"/>
    <w:rPr>
      <w:rFonts w:ascii="Arial" w:hAnsi="Arial" w:cs="Arial"/>
      <w:noProof/>
      <w:lang w:val="en-US"/>
    </w:rPr>
  </w:style>
  <w:style w:type="paragraph" w:styleId="Revision">
    <w:name w:val="Revision"/>
    <w:hidden/>
    <w:uiPriority w:val="99"/>
    <w:semiHidden/>
    <w:rsid w:val="00662834"/>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31388">
      <w:bodyDiv w:val="1"/>
      <w:marLeft w:val="0"/>
      <w:marRight w:val="0"/>
      <w:marTop w:val="0"/>
      <w:marBottom w:val="0"/>
      <w:divBdr>
        <w:top w:val="none" w:sz="0" w:space="0" w:color="auto"/>
        <w:left w:val="none" w:sz="0" w:space="0" w:color="auto"/>
        <w:bottom w:val="none" w:sz="0" w:space="0" w:color="auto"/>
        <w:right w:val="none" w:sz="0" w:space="0" w:color="auto"/>
      </w:divBdr>
      <w:divsChild>
        <w:div w:id="1622761368">
          <w:marLeft w:val="0"/>
          <w:marRight w:val="0"/>
          <w:marTop w:val="0"/>
          <w:marBottom w:val="0"/>
          <w:divBdr>
            <w:top w:val="none" w:sz="0" w:space="0" w:color="auto"/>
            <w:left w:val="none" w:sz="0" w:space="0" w:color="auto"/>
            <w:bottom w:val="none" w:sz="0" w:space="0" w:color="auto"/>
            <w:right w:val="none" w:sz="0" w:space="0" w:color="auto"/>
          </w:divBdr>
          <w:divsChild>
            <w:div w:id="1753158263">
              <w:marLeft w:val="0"/>
              <w:marRight w:val="0"/>
              <w:marTop w:val="0"/>
              <w:marBottom w:val="0"/>
              <w:divBdr>
                <w:top w:val="none" w:sz="0" w:space="0" w:color="auto"/>
                <w:left w:val="none" w:sz="0" w:space="0" w:color="auto"/>
                <w:bottom w:val="none" w:sz="0" w:space="0" w:color="auto"/>
                <w:right w:val="none" w:sz="0" w:space="0" w:color="auto"/>
              </w:divBdr>
              <w:divsChild>
                <w:div w:id="21983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11458">
      <w:bodyDiv w:val="1"/>
      <w:marLeft w:val="0"/>
      <w:marRight w:val="0"/>
      <w:marTop w:val="0"/>
      <w:marBottom w:val="0"/>
      <w:divBdr>
        <w:top w:val="none" w:sz="0" w:space="0" w:color="auto"/>
        <w:left w:val="none" w:sz="0" w:space="0" w:color="auto"/>
        <w:bottom w:val="none" w:sz="0" w:space="0" w:color="auto"/>
        <w:right w:val="none" w:sz="0" w:space="0" w:color="auto"/>
      </w:divBdr>
    </w:div>
    <w:div w:id="74716240">
      <w:bodyDiv w:val="1"/>
      <w:marLeft w:val="0"/>
      <w:marRight w:val="0"/>
      <w:marTop w:val="0"/>
      <w:marBottom w:val="0"/>
      <w:divBdr>
        <w:top w:val="none" w:sz="0" w:space="0" w:color="auto"/>
        <w:left w:val="none" w:sz="0" w:space="0" w:color="auto"/>
        <w:bottom w:val="none" w:sz="0" w:space="0" w:color="auto"/>
        <w:right w:val="none" w:sz="0" w:space="0" w:color="auto"/>
      </w:divBdr>
      <w:divsChild>
        <w:div w:id="229316523">
          <w:marLeft w:val="0"/>
          <w:marRight w:val="0"/>
          <w:marTop w:val="0"/>
          <w:marBottom w:val="0"/>
          <w:divBdr>
            <w:top w:val="none" w:sz="0" w:space="0" w:color="auto"/>
            <w:left w:val="none" w:sz="0" w:space="0" w:color="auto"/>
            <w:bottom w:val="none" w:sz="0" w:space="0" w:color="auto"/>
            <w:right w:val="none" w:sz="0" w:space="0" w:color="auto"/>
          </w:divBdr>
          <w:divsChild>
            <w:div w:id="1284115771">
              <w:marLeft w:val="0"/>
              <w:marRight w:val="0"/>
              <w:marTop w:val="0"/>
              <w:marBottom w:val="0"/>
              <w:divBdr>
                <w:top w:val="none" w:sz="0" w:space="0" w:color="auto"/>
                <w:left w:val="none" w:sz="0" w:space="0" w:color="auto"/>
                <w:bottom w:val="none" w:sz="0" w:space="0" w:color="auto"/>
                <w:right w:val="none" w:sz="0" w:space="0" w:color="auto"/>
              </w:divBdr>
              <w:divsChild>
                <w:div w:id="479007360">
                  <w:marLeft w:val="0"/>
                  <w:marRight w:val="0"/>
                  <w:marTop w:val="0"/>
                  <w:marBottom w:val="0"/>
                  <w:divBdr>
                    <w:top w:val="none" w:sz="0" w:space="0" w:color="auto"/>
                    <w:left w:val="none" w:sz="0" w:space="0" w:color="auto"/>
                    <w:bottom w:val="none" w:sz="0" w:space="0" w:color="auto"/>
                    <w:right w:val="none" w:sz="0" w:space="0" w:color="auto"/>
                  </w:divBdr>
                  <w:divsChild>
                    <w:div w:id="2026244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4353">
      <w:bodyDiv w:val="1"/>
      <w:marLeft w:val="0"/>
      <w:marRight w:val="0"/>
      <w:marTop w:val="0"/>
      <w:marBottom w:val="0"/>
      <w:divBdr>
        <w:top w:val="none" w:sz="0" w:space="0" w:color="auto"/>
        <w:left w:val="none" w:sz="0" w:space="0" w:color="auto"/>
        <w:bottom w:val="none" w:sz="0" w:space="0" w:color="auto"/>
        <w:right w:val="none" w:sz="0" w:space="0" w:color="auto"/>
      </w:divBdr>
      <w:divsChild>
        <w:div w:id="473370725">
          <w:marLeft w:val="0"/>
          <w:marRight w:val="0"/>
          <w:marTop w:val="0"/>
          <w:marBottom w:val="0"/>
          <w:divBdr>
            <w:top w:val="none" w:sz="0" w:space="0" w:color="auto"/>
            <w:left w:val="none" w:sz="0" w:space="0" w:color="auto"/>
            <w:bottom w:val="none" w:sz="0" w:space="0" w:color="auto"/>
            <w:right w:val="none" w:sz="0" w:space="0" w:color="auto"/>
          </w:divBdr>
          <w:divsChild>
            <w:div w:id="442502539">
              <w:marLeft w:val="0"/>
              <w:marRight w:val="0"/>
              <w:marTop w:val="0"/>
              <w:marBottom w:val="0"/>
              <w:divBdr>
                <w:top w:val="none" w:sz="0" w:space="0" w:color="auto"/>
                <w:left w:val="none" w:sz="0" w:space="0" w:color="auto"/>
                <w:bottom w:val="none" w:sz="0" w:space="0" w:color="auto"/>
                <w:right w:val="none" w:sz="0" w:space="0" w:color="auto"/>
              </w:divBdr>
              <w:divsChild>
                <w:div w:id="1945570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49379">
      <w:bodyDiv w:val="1"/>
      <w:marLeft w:val="0"/>
      <w:marRight w:val="0"/>
      <w:marTop w:val="0"/>
      <w:marBottom w:val="0"/>
      <w:divBdr>
        <w:top w:val="none" w:sz="0" w:space="0" w:color="auto"/>
        <w:left w:val="none" w:sz="0" w:space="0" w:color="auto"/>
        <w:bottom w:val="none" w:sz="0" w:space="0" w:color="auto"/>
        <w:right w:val="none" w:sz="0" w:space="0" w:color="auto"/>
      </w:divBdr>
      <w:divsChild>
        <w:div w:id="1907184119">
          <w:marLeft w:val="0"/>
          <w:marRight w:val="0"/>
          <w:marTop w:val="0"/>
          <w:marBottom w:val="0"/>
          <w:divBdr>
            <w:top w:val="none" w:sz="0" w:space="0" w:color="auto"/>
            <w:left w:val="none" w:sz="0" w:space="0" w:color="auto"/>
            <w:bottom w:val="none" w:sz="0" w:space="0" w:color="auto"/>
            <w:right w:val="none" w:sz="0" w:space="0" w:color="auto"/>
          </w:divBdr>
          <w:divsChild>
            <w:div w:id="1678457353">
              <w:marLeft w:val="0"/>
              <w:marRight w:val="0"/>
              <w:marTop w:val="0"/>
              <w:marBottom w:val="0"/>
              <w:divBdr>
                <w:top w:val="none" w:sz="0" w:space="0" w:color="auto"/>
                <w:left w:val="none" w:sz="0" w:space="0" w:color="auto"/>
                <w:bottom w:val="none" w:sz="0" w:space="0" w:color="auto"/>
                <w:right w:val="none" w:sz="0" w:space="0" w:color="auto"/>
              </w:divBdr>
              <w:divsChild>
                <w:div w:id="1719623719">
                  <w:marLeft w:val="0"/>
                  <w:marRight w:val="0"/>
                  <w:marTop w:val="0"/>
                  <w:marBottom w:val="0"/>
                  <w:divBdr>
                    <w:top w:val="none" w:sz="0" w:space="0" w:color="auto"/>
                    <w:left w:val="none" w:sz="0" w:space="0" w:color="auto"/>
                    <w:bottom w:val="none" w:sz="0" w:space="0" w:color="auto"/>
                    <w:right w:val="none" w:sz="0" w:space="0" w:color="auto"/>
                  </w:divBdr>
                  <w:divsChild>
                    <w:div w:id="159455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0903">
      <w:bodyDiv w:val="1"/>
      <w:marLeft w:val="0"/>
      <w:marRight w:val="0"/>
      <w:marTop w:val="0"/>
      <w:marBottom w:val="0"/>
      <w:divBdr>
        <w:top w:val="none" w:sz="0" w:space="0" w:color="auto"/>
        <w:left w:val="none" w:sz="0" w:space="0" w:color="auto"/>
        <w:bottom w:val="none" w:sz="0" w:space="0" w:color="auto"/>
        <w:right w:val="none" w:sz="0" w:space="0" w:color="auto"/>
      </w:divBdr>
      <w:divsChild>
        <w:div w:id="176239363">
          <w:marLeft w:val="0"/>
          <w:marRight w:val="0"/>
          <w:marTop w:val="0"/>
          <w:marBottom w:val="0"/>
          <w:divBdr>
            <w:top w:val="none" w:sz="0" w:space="0" w:color="auto"/>
            <w:left w:val="none" w:sz="0" w:space="0" w:color="auto"/>
            <w:bottom w:val="none" w:sz="0" w:space="0" w:color="auto"/>
            <w:right w:val="none" w:sz="0" w:space="0" w:color="auto"/>
          </w:divBdr>
          <w:divsChild>
            <w:div w:id="1385444836">
              <w:marLeft w:val="0"/>
              <w:marRight w:val="0"/>
              <w:marTop w:val="0"/>
              <w:marBottom w:val="0"/>
              <w:divBdr>
                <w:top w:val="none" w:sz="0" w:space="0" w:color="auto"/>
                <w:left w:val="none" w:sz="0" w:space="0" w:color="auto"/>
                <w:bottom w:val="none" w:sz="0" w:space="0" w:color="auto"/>
                <w:right w:val="none" w:sz="0" w:space="0" w:color="auto"/>
              </w:divBdr>
              <w:divsChild>
                <w:div w:id="686709652">
                  <w:marLeft w:val="0"/>
                  <w:marRight w:val="0"/>
                  <w:marTop w:val="0"/>
                  <w:marBottom w:val="0"/>
                  <w:divBdr>
                    <w:top w:val="none" w:sz="0" w:space="0" w:color="auto"/>
                    <w:left w:val="none" w:sz="0" w:space="0" w:color="auto"/>
                    <w:bottom w:val="none" w:sz="0" w:space="0" w:color="auto"/>
                    <w:right w:val="none" w:sz="0" w:space="0" w:color="auto"/>
                  </w:divBdr>
                  <w:divsChild>
                    <w:div w:id="117244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682524">
      <w:bodyDiv w:val="1"/>
      <w:marLeft w:val="0"/>
      <w:marRight w:val="0"/>
      <w:marTop w:val="0"/>
      <w:marBottom w:val="0"/>
      <w:divBdr>
        <w:top w:val="none" w:sz="0" w:space="0" w:color="auto"/>
        <w:left w:val="none" w:sz="0" w:space="0" w:color="auto"/>
        <w:bottom w:val="none" w:sz="0" w:space="0" w:color="auto"/>
        <w:right w:val="none" w:sz="0" w:space="0" w:color="auto"/>
      </w:divBdr>
      <w:divsChild>
        <w:div w:id="2136024087">
          <w:marLeft w:val="0"/>
          <w:marRight w:val="0"/>
          <w:marTop w:val="0"/>
          <w:marBottom w:val="0"/>
          <w:divBdr>
            <w:top w:val="none" w:sz="0" w:space="0" w:color="auto"/>
            <w:left w:val="none" w:sz="0" w:space="0" w:color="auto"/>
            <w:bottom w:val="none" w:sz="0" w:space="0" w:color="auto"/>
            <w:right w:val="none" w:sz="0" w:space="0" w:color="auto"/>
          </w:divBdr>
          <w:divsChild>
            <w:div w:id="291980369">
              <w:marLeft w:val="0"/>
              <w:marRight w:val="0"/>
              <w:marTop w:val="0"/>
              <w:marBottom w:val="0"/>
              <w:divBdr>
                <w:top w:val="none" w:sz="0" w:space="0" w:color="auto"/>
                <w:left w:val="none" w:sz="0" w:space="0" w:color="auto"/>
                <w:bottom w:val="none" w:sz="0" w:space="0" w:color="auto"/>
                <w:right w:val="none" w:sz="0" w:space="0" w:color="auto"/>
              </w:divBdr>
              <w:divsChild>
                <w:div w:id="1176845183">
                  <w:marLeft w:val="0"/>
                  <w:marRight w:val="0"/>
                  <w:marTop w:val="0"/>
                  <w:marBottom w:val="0"/>
                  <w:divBdr>
                    <w:top w:val="none" w:sz="0" w:space="0" w:color="auto"/>
                    <w:left w:val="none" w:sz="0" w:space="0" w:color="auto"/>
                    <w:bottom w:val="none" w:sz="0" w:space="0" w:color="auto"/>
                    <w:right w:val="none" w:sz="0" w:space="0" w:color="auto"/>
                  </w:divBdr>
                  <w:divsChild>
                    <w:div w:id="443961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964327">
      <w:bodyDiv w:val="1"/>
      <w:marLeft w:val="0"/>
      <w:marRight w:val="0"/>
      <w:marTop w:val="0"/>
      <w:marBottom w:val="0"/>
      <w:divBdr>
        <w:top w:val="none" w:sz="0" w:space="0" w:color="auto"/>
        <w:left w:val="none" w:sz="0" w:space="0" w:color="auto"/>
        <w:bottom w:val="none" w:sz="0" w:space="0" w:color="auto"/>
        <w:right w:val="none" w:sz="0" w:space="0" w:color="auto"/>
      </w:divBdr>
    </w:div>
    <w:div w:id="228805087">
      <w:bodyDiv w:val="1"/>
      <w:marLeft w:val="0"/>
      <w:marRight w:val="0"/>
      <w:marTop w:val="0"/>
      <w:marBottom w:val="0"/>
      <w:divBdr>
        <w:top w:val="none" w:sz="0" w:space="0" w:color="auto"/>
        <w:left w:val="none" w:sz="0" w:space="0" w:color="auto"/>
        <w:bottom w:val="none" w:sz="0" w:space="0" w:color="auto"/>
        <w:right w:val="none" w:sz="0" w:space="0" w:color="auto"/>
      </w:divBdr>
      <w:divsChild>
        <w:div w:id="20591743">
          <w:marLeft w:val="0"/>
          <w:marRight w:val="0"/>
          <w:marTop w:val="0"/>
          <w:marBottom w:val="0"/>
          <w:divBdr>
            <w:top w:val="none" w:sz="0" w:space="0" w:color="auto"/>
            <w:left w:val="none" w:sz="0" w:space="0" w:color="auto"/>
            <w:bottom w:val="none" w:sz="0" w:space="0" w:color="auto"/>
            <w:right w:val="none" w:sz="0" w:space="0" w:color="auto"/>
          </w:divBdr>
          <w:divsChild>
            <w:div w:id="777287932">
              <w:marLeft w:val="0"/>
              <w:marRight w:val="0"/>
              <w:marTop w:val="0"/>
              <w:marBottom w:val="0"/>
              <w:divBdr>
                <w:top w:val="none" w:sz="0" w:space="0" w:color="auto"/>
                <w:left w:val="none" w:sz="0" w:space="0" w:color="auto"/>
                <w:bottom w:val="none" w:sz="0" w:space="0" w:color="auto"/>
                <w:right w:val="none" w:sz="0" w:space="0" w:color="auto"/>
              </w:divBdr>
              <w:divsChild>
                <w:div w:id="1143814679">
                  <w:marLeft w:val="0"/>
                  <w:marRight w:val="0"/>
                  <w:marTop w:val="0"/>
                  <w:marBottom w:val="0"/>
                  <w:divBdr>
                    <w:top w:val="none" w:sz="0" w:space="0" w:color="auto"/>
                    <w:left w:val="none" w:sz="0" w:space="0" w:color="auto"/>
                    <w:bottom w:val="none" w:sz="0" w:space="0" w:color="auto"/>
                    <w:right w:val="none" w:sz="0" w:space="0" w:color="auto"/>
                  </w:divBdr>
                  <w:divsChild>
                    <w:div w:id="282923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3440229">
      <w:bodyDiv w:val="1"/>
      <w:marLeft w:val="0"/>
      <w:marRight w:val="0"/>
      <w:marTop w:val="0"/>
      <w:marBottom w:val="0"/>
      <w:divBdr>
        <w:top w:val="none" w:sz="0" w:space="0" w:color="auto"/>
        <w:left w:val="none" w:sz="0" w:space="0" w:color="auto"/>
        <w:bottom w:val="none" w:sz="0" w:space="0" w:color="auto"/>
        <w:right w:val="none" w:sz="0" w:space="0" w:color="auto"/>
      </w:divBdr>
      <w:divsChild>
        <w:div w:id="1083258490">
          <w:marLeft w:val="0"/>
          <w:marRight w:val="0"/>
          <w:marTop w:val="0"/>
          <w:marBottom w:val="0"/>
          <w:divBdr>
            <w:top w:val="none" w:sz="0" w:space="0" w:color="auto"/>
            <w:left w:val="none" w:sz="0" w:space="0" w:color="auto"/>
            <w:bottom w:val="none" w:sz="0" w:space="0" w:color="auto"/>
            <w:right w:val="none" w:sz="0" w:space="0" w:color="auto"/>
          </w:divBdr>
          <w:divsChild>
            <w:div w:id="298807022">
              <w:marLeft w:val="0"/>
              <w:marRight w:val="0"/>
              <w:marTop w:val="0"/>
              <w:marBottom w:val="0"/>
              <w:divBdr>
                <w:top w:val="none" w:sz="0" w:space="0" w:color="auto"/>
                <w:left w:val="none" w:sz="0" w:space="0" w:color="auto"/>
                <w:bottom w:val="none" w:sz="0" w:space="0" w:color="auto"/>
                <w:right w:val="none" w:sz="0" w:space="0" w:color="auto"/>
              </w:divBdr>
              <w:divsChild>
                <w:div w:id="88398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947625">
      <w:bodyDiv w:val="1"/>
      <w:marLeft w:val="0"/>
      <w:marRight w:val="0"/>
      <w:marTop w:val="0"/>
      <w:marBottom w:val="0"/>
      <w:divBdr>
        <w:top w:val="none" w:sz="0" w:space="0" w:color="auto"/>
        <w:left w:val="none" w:sz="0" w:space="0" w:color="auto"/>
        <w:bottom w:val="none" w:sz="0" w:space="0" w:color="auto"/>
        <w:right w:val="none" w:sz="0" w:space="0" w:color="auto"/>
      </w:divBdr>
      <w:divsChild>
        <w:div w:id="361786796">
          <w:marLeft w:val="0"/>
          <w:marRight w:val="0"/>
          <w:marTop w:val="0"/>
          <w:marBottom w:val="0"/>
          <w:divBdr>
            <w:top w:val="none" w:sz="0" w:space="0" w:color="auto"/>
            <w:left w:val="none" w:sz="0" w:space="0" w:color="auto"/>
            <w:bottom w:val="none" w:sz="0" w:space="0" w:color="auto"/>
            <w:right w:val="none" w:sz="0" w:space="0" w:color="auto"/>
          </w:divBdr>
          <w:divsChild>
            <w:div w:id="282928024">
              <w:marLeft w:val="0"/>
              <w:marRight w:val="0"/>
              <w:marTop w:val="0"/>
              <w:marBottom w:val="0"/>
              <w:divBdr>
                <w:top w:val="none" w:sz="0" w:space="0" w:color="auto"/>
                <w:left w:val="none" w:sz="0" w:space="0" w:color="auto"/>
                <w:bottom w:val="none" w:sz="0" w:space="0" w:color="auto"/>
                <w:right w:val="none" w:sz="0" w:space="0" w:color="auto"/>
              </w:divBdr>
              <w:divsChild>
                <w:div w:id="38430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318699">
      <w:bodyDiv w:val="1"/>
      <w:marLeft w:val="0"/>
      <w:marRight w:val="0"/>
      <w:marTop w:val="0"/>
      <w:marBottom w:val="0"/>
      <w:divBdr>
        <w:top w:val="none" w:sz="0" w:space="0" w:color="auto"/>
        <w:left w:val="none" w:sz="0" w:space="0" w:color="auto"/>
        <w:bottom w:val="none" w:sz="0" w:space="0" w:color="auto"/>
        <w:right w:val="none" w:sz="0" w:space="0" w:color="auto"/>
      </w:divBdr>
      <w:divsChild>
        <w:div w:id="1791971878">
          <w:marLeft w:val="0"/>
          <w:marRight w:val="0"/>
          <w:marTop w:val="0"/>
          <w:marBottom w:val="0"/>
          <w:divBdr>
            <w:top w:val="none" w:sz="0" w:space="0" w:color="auto"/>
            <w:left w:val="none" w:sz="0" w:space="0" w:color="auto"/>
            <w:bottom w:val="none" w:sz="0" w:space="0" w:color="auto"/>
            <w:right w:val="none" w:sz="0" w:space="0" w:color="auto"/>
          </w:divBdr>
          <w:divsChild>
            <w:div w:id="768425594">
              <w:marLeft w:val="0"/>
              <w:marRight w:val="0"/>
              <w:marTop w:val="0"/>
              <w:marBottom w:val="0"/>
              <w:divBdr>
                <w:top w:val="none" w:sz="0" w:space="0" w:color="auto"/>
                <w:left w:val="none" w:sz="0" w:space="0" w:color="auto"/>
                <w:bottom w:val="none" w:sz="0" w:space="0" w:color="auto"/>
                <w:right w:val="none" w:sz="0" w:space="0" w:color="auto"/>
              </w:divBdr>
              <w:divsChild>
                <w:div w:id="1987272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097025">
      <w:bodyDiv w:val="1"/>
      <w:marLeft w:val="0"/>
      <w:marRight w:val="0"/>
      <w:marTop w:val="0"/>
      <w:marBottom w:val="0"/>
      <w:divBdr>
        <w:top w:val="none" w:sz="0" w:space="0" w:color="auto"/>
        <w:left w:val="none" w:sz="0" w:space="0" w:color="auto"/>
        <w:bottom w:val="none" w:sz="0" w:space="0" w:color="auto"/>
        <w:right w:val="none" w:sz="0" w:space="0" w:color="auto"/>
      </w:divBdr>
      <w:divsChild>
        <w:div w:id="346448386">
          <w:marLeft w:val="0"/>
          <w:marRight w:val="0"/>
          <w:marTop w:val="0"/>
          <w:marBottom w:val="0"/>
          <w:divBdr>
            <w:top w:val="none" w:sz="0" w:space="0" w:color="auto"/>
            <w:left w:val="none" w:sz="0" w:space="0" w:color="auto"/>
            <w:bottom w:val="none" w:sz="0" w:space="0" w:color="auto"/>
            <w:right w:val="none" w:sz="0" w:space="0" w:color="auto"/>
          </w:divBdr>
          <w:divsChild>
            <w:div w:id="166601407">
              <w:marLeft w:val="0"/>
              <w:marRight w:val="0"/>
              <w:marTop w:val="0"/>
              <w:marBottom w:val="0"/>
              <w:divBdr>
                <w:top w:val="none" w:sz="0" w:space="0" w:color="auto"/>
                <w:left w:val="none" w:sz="0" w:space="0" w:color="auto"/>
                <w:bottom w:val="none" w:sz="0" w:space="0" w:color="auto"/>
                <w:right w:val="none" w:sz="0" w:space="0" w:color="auto"/>
              </w:divBdr>
              <w:divsChild>
                <w:div w:id="68833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909468">
      <w:bodyDiv w:val="1"/>
      <w:marLeft w:val="0"/>
      <w:marRight w:val="0"/>
      <w:marTop w:val="0"/>
      <w:marBottom w:val="0"/>
      <w:divBdr>
        <w:top w:val="none" w:sz="0" w:space="0" w:color="auto"/>
        <w:left w:val="none" w:sz="0" w:space="0" w:color="auto"/>
        <w:bottom w:val="none" w:sz="0" w:space="0" w:color="auto"/>
        <w:right w:val="none" w:sz="0" w:space="0" w:color="auto"/>
      </w:divBdr>
    </w:div>
    <w:div w:id="298075886">
      <w:bodyDiv w:val="1"/>
      <w:marLeft w:val="0"/>
      <w:marRight w:val="0"/>
      <w:marTop w:val="0"/>
      <w:marBottom w:val="0"/>
      <w:divBdr>
        <w:top w:val="none" w:sz="0" w:space="0" w:color="auto"/>
        <w:left w:val="none" w:sz="0" w:space="0" w:color="auto"/>
        <w:bottom w:val="none" w:sz="0" w:space="0" w:color="auto"/>
        <w:right w:val="none" w:sz="0" w:space="0" w:color="auto"/>
      </w:divBdr>
      <w:divsChild>
        <w:div w:id="2111048008">
          <w:marLeft w:val="0"/>
          <w:marRight w:val="0"/>
          <w:marTop w:val="0"/>
          <w:marBottom w:val="0"/>
          <w:divBdr>
            <w:top w:val="none" w:sz="0" w:space="0" w:color="auto"/>
            <w:left w:val="none" w:sz="0" w:space="0" w:color="auto"/>
            <w:bottom w:val="none" w:sz="0" w:space="0" w:color="auto"/>
            <w:right w:val="none" w:sz="0" w:space="0" w:color="auto"/>
          </w:divBdr>
          <w:divsChild>
            <w:div w:id="1947954971">
              <w:marLeft w:val="0"/>
              <w:marRight w:val="0"/>
              <w:marTop w:val="0"/>
              <w:marBottom w:val="0"/>
              <w:divBdr>
                <w:top w:val="none" w:sz="0" w:space="0" w:color="auto"/>
                <w:left w:val="none" w:sz="0" w:space="0" w:color="auto"/>
                <w:bottom w:val="none" w:sz="0" w:space="0" w:color="auto"/>
                <w:right w:val="none" w:sz="0" w:space="0" w:color="auto"/>
              </w:divBdr>
              <w:divsChild>
                <w:div w:id="1228615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4315344">
      <w:bodyDiv w:val="1"/>
      <w:marLeft w:val="0"/>
      <w:marRight w:val="0"/>
      <w:marTop w:val="0"/>
      <w:marBottom w:val="0"/>
      <w:divBdr>
        <w:top w:val="none" w:sz="0" w:space="0" w:color="auto"/>
        <w:left w:val="none" w:sz="0" w:space="0" w:color="auto"/>
        <w:bottom w:val="none" w:sz="0" w:space="0" w:color="auto"/>
        <w:right w:val="none" w:sz="0" w:space="0" w:color="auto"/>
      </w:divBdr>
      <w:divsChild>
        <w:div w:id="1704213508">
          <w:marLeft w:val="0"/>
          <w:marRight w:val="0"/>
          <w:marTop w:val="0"/>
          <w:marBottom w:val="0"/>
          <w:divBdr>
            <w:top w:val="none" w:sz="0" w:space="0" w:color="auto"/>
            <w:left w:val="none" w:sz="0" w:space="0" w:color="auto"/>
            <w:bottom w:val="none" w:sz="0" w:space="0" w:color="auto"/>
            <w:right w:val="none" w:sz="0" w:space="0" w:color="auto"/>
          </w:divBdr>
          <w:divsChild>
            <w:div w:id="1321738285">
              <w:marLeft w:val="0"/>
              <w:marRight w:val="0"/>
              <w:marTop w:val="0"/>
              <w:marBottom w:val="0"/>
              <w:divBdr>
                <w:top w:val="none" w:sz="0" w:space="0" w:color="auto"/>
                <w:left w:val="none" w:sz="0" w:space="0" w:color="auto"/>
                <w:bottom w:val="none" w:sz="0" w:space="0" w:color="auto"/>
                <w:right w:val="none" w:sz="0" w:space="0" w:color="auto"/>
              </w:divBdr>
              <w:divsChild>
                <w:div w:id="1789468593">
                  <w:marLeft w:val="0"/>
                  <w:marRight w:val="0"/>
                  <w:marTop w:val="0"/>
                  <w:marBottom w:val="0"/>
                  <w:divBdr>
                    <w:top w:val="none" w:sz="0" w:space="0" w:color="auto"/>
                    <w:left w:val="none" w:sz="0" w:space="0" w:color="auto"/>
                    <w:bottom w:val="none" w:sz="0" w:space="0" w:color="auto"/>
                    <w:right w:val="none" w:sz="0" w:space="0" w:color="auto"/>
                  </w:divBdr>
                  <w:divsChild>
                    <w:div w:id="18783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4066828">
      <w:bodyDiv w:val="1"/>
      <w:marLeft w:val="0"/>
      <w:marRight w:val="0"/>
      <w:marTop w:val="0"/>
      <w:marBottom w:val="0"/>
      <w:divBdr>
        <w:top w:val="none" w:sz="0" w:space="0" w:color="auto"/>
        <w:left w:val="none" w:sz="0" w:space="0" w:color="auto"/>
        <w:bottom w:val="none" w:sz="0" w:space="0" w:color="auto"/>
        <w:right w:val="none" w:sz="0" w:space="0" w:color="auto"/>
      </w:divBdr>
      <w:divsChild>
        <w:div w:id="1168473791">
          <w:marLeft w:val="0"/>
          <w:marRight w:val="0"/>
          <w:marTop w:val="0"/>
          <w:marBottom w:val="0"/>
          <w:divBdr>
            <w:top w:val="none" w:sz="0" w:space="0" w:color="auto"/>
            <w:left w:val="none" w:sz="0" w:space="0" w:color="auto"/>
            <w:bottom w:val="none" w:sz="0" w:space="0" w:color="auto"/>
            <w:right w:val="none" w:sz="0" w:space="0" w:color="auto"/>
          </w:divBdr>
          <w:divsChild>
            <w:div w:id="1629238724">
              <w:marLeft w:val="0"/>
              <w:marRight w:val="0"/>
              <w:marTop w:val="0"/>
              <w:marBottom w:val="0"/>
              <w:divBdr>
                <w:top w:val="none" w:sz="0" w:space="0" w:color="auto"/>
                <w:left w:val="none" w:sz="0" w:space="0" w:color="auto"/>
                <w:bottom w:val="none" w:sz="0" w:space="0" w:color="auto"/>
                <w:right w:val="none" w:sz="0" w:space="0" w:color="auto"/>
              </w:divBdr>
              <w:divsChild>
                <w:div w:id="1928266134">
                  <w:marLeft w:val="0"/>
                  <w:marRight w:val="0"/>
                  <w:marTop w:val="0"/>
                  <w:marBottom w:val="0"/>
                  <w:divBdr>
                    <w:top w:val="none" w:sz="0" w:space="0" w:color="auto"/>
                    <w:left w:val="none" w:sz="0" w:space="0" w:color="auto"/>
                    <w:bottom w:val="none" w:sz="0" w:space="0" w:color="auto"/>
                    <w:right w:val="none" w:sz="0" w:space="0" w:color="auto"/>
                  </w:divBdr>
                  <w:divsChild>
                    <w:div w:id="191045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7557966">
      <w:bodyDiv w:val="1"/>
      <w:marLeft w:val="0"/>
      <w:marRight w:val="0"/>
      <w:marTop w:val="0"/>
      <w:marBottom w:val="0"/>
      <w:divBdr>
        <w:top w:val="none" w:sz="0" w:space="0" w:color="auto"/>
        <w:left w:val="none" w:sz="0" w:space="0" w:color="auto"/>
        <w:bottom w:val="none" w:sz="0" w:space="0" w:color="auto"/>
        <w:right w:val="none" w:sz="0" w:space="0" w:color="auto"/>
      </w:divBdr>
    </w:div>
    <w:div w:id="356547377">
      <w:bodyDiv w:val="1"/>
      <w:marLeft w:val="0"/>
      <w:marRight w:val="0"/>
      <w:marTop w:val="0"/>
      <w:marBottom w:val="0"/>
      <w:divBdr>
        <w:top w:val="none" w:sz="0" w:space="0" w:color="auto"/>
        <w:left w:val="none" w:sz="0" w:space="0" w:color="auto"/>
        <w:bottom w:val="none" w:sz="0" w:space="0" w:color="auto"/>
        <w:right w:val="none" w:sz="0" w:space="0" w:color="auto"/>
      </w:divBdr>
    </w:div>
    <w:div w:id="424498109">
      <w:bodyDiv w:val="1"/>
      <w:marLeft w:val="0"/>
      <w:marRight w:val="0"/>
      <w:marTop w:val="0"/>
      <w:marBottom w:val="0"/>
      <w:divBdr>
        <w:top w:val="none" w:sz="0" w:space="0" w:color="auto"/>
        <w:left w:val="none" w:sz="0" w:space="0" w:color="auto"/>
        <w:bottom w:val="none" w:sz="0" w:space="0" w:color="auto"/>
        <w:right w:val="none" w:sz="0" w:space="0" w:color="auto"/>
      </w:divBdr>
      <w:divsChild>
        <w:div w:id="677468547">
          <w:marLeft w:val="0"/>
          <w:marRight w:val="0"/>
          <w:marTop w:val="0"/>
          <w:marBottom w:val="0"/>
          <w:divBdr>
            <w:top w:val="none" w:sz="0" w:space="0" w:color="auto"/>
            <w:left w:val="none" w:sz="0" w:space="0" w:color="auto"/>
            <w:bottom w:val="none" w:sz="0" w:space="0" w:color="auto"/>
            <w:right w:val="none" w:sz="0" w:space="0" w:color="auto"/>
          </w:divBdr>
          <w:divsChild>
            <w:div w:id="1086804355">
              <w:marLeft w:val="0"/>
              <w:marRight w:val="0"/>
              <w:marTop w:val="0"/>
              <w:marBottom w:val="0"/>
              <w:divBdr>
                <w:top w:val="none" w:sz="0" w:space="0" w:color="auto"/>
                <w:left w:val="none" w:sz="0" w:space="0" w:color="auto"/>
                <w:bottom w:val="none" w:sz="0" w:space="0" w:color="auto"/>
                <w:right w:val="none" w:sz="0" w:space="0" w:color="auto"/>
              </w:divBdr>
              <w:divsChild>
                <w:div w:id="115009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316929">
      <w:bodyDiv w:val="1"/>
      <w:marLeft w:val="0"/>
      <w:marRight w:val="0"/>
      <w:marTop w:val="0"/>
      <w:marBottom w:val="0"/>
      <w:divBdr>
        <w:top w:val="none" w:sz="0" w:space="0" w:color="auto"/>
        <w:left w:val="none" w:sz="0" w:space="0" w:color="auto"/>
        <w:bottom w:val="none" w:sz="0" w:space="0" w:color="auto"/>
        <w:right w:val="none" w:sz="0" w:space="0" w:color="auto"/>
      </w:divBdr>
      <w:divsChild>
        <w:div w:id="1576669332">
          <w:marLeft w:val="0"/>
          <w:marRight w:val="0"/>
          <w:marTop w:val="0"/>
          <w:marBottom w:val="0"/>
          <w:divBdr>
            <w:top w:val="none" w:sz="0" w:space="0" w:color="auto"/>
            <w:left w:val="none" w:sz="0" w:space="0" w:color="auto"/>
            <w:bottom w:val="none" w:sz="0" w:space="0" w:color="auto"/>
            <w:right w:val="none" w:sz="0" w:space="0" w:color="auto"/>
          </w:divBdr>
          <w:divsChild>
            <w:div w:id="432555485">
              <w:marLeft w:val="0"/>
              <w:marRight w:val="0"/>
              <w:marTop w:val="0"/>
              <w:marBottom w:val="0"/>
              <w:divBdr>
                <w:top w:val="none" w:sz="0" w:space="0" w:color="auto"/>
                <w:left w:val="none" w:sz="0" w:space="0" w:color="auto"/>
                <w:bottom w:val="none" w:sz="0" w:space="0" w:color="auto"/>
                <w:right w:val="none" w:sz="0" w:space="0" w:color="auto"/>
              </w:divBdr>
              <w:divsChild>
                <w:div w:id="87041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218795">
      <w:bodyDiv w:val="1"/>
      <w:marLeft w:val="0"/>
      <w:marRight w:val="0"/>
      <w:marTop w:val="0"/>
      <w:marBottom w:val="0"/>
      <w:divBdr>
        <w:top w:val="none" w:sz="0" w:space="0" w:color="auto"/>
        <w:left w:val="none" w:sz="0" w:space="0" w:color="auto"/>
        <w:bottom w:val="none" w:sz="0" w:space="0" w:color="auto"/>
        <w:right w:val="none" w:sz="0" w:space="0" w:color="auto"/>
      </w:divBdr>
      <w:divsChild>
        <w:div w:id="40909679">
          <w:marLeft w:val="0"/>
          <w:marRight w:val="0"/>
          <w:marTop w:val="0"/>
          <w:marBottom w:val="0"/>
          <w:divBdr>
            <w:top w:val="none" w:sz="0" w:space="0" w:color="auto"/>
            <w:left w:val="none" w:sz="0" w:space="0" w:color="auto"/>
            <w:bottom w:val="none" w:sz="0" w:space="0" w:color="auto"/>
            <w:right w:val="none" w:sz="0" w:space="0" w:color="auto"/>
          </w:divBdr>
          <w:divsChild>
            <w:div w:id="252906917">
              <w:marLeft w:val="0"/>
              <w:marRight w:val="0"/>
              <w:marTop w:val="0"/>
              <w:marBottom w:val="0"/>
              <w:divBdr>
                <w:top w:val="none" w:sz="0" w:space="0" w:color="auto"/>
                <w:left w:val="none" w:sz="0" w:space="0" w:color="auto"/>
                <w:bottom w:val="none" w:sz="0" w:space="0" w:color="auto"/>
                <w:right w:val="none" w:sz="0" w:space="0" w:color="auto"/>
              </w:divBdr>
              <w:divsChild>
                <w:div w:id="373578655">
                  <w:marLeft w:val="0"/>
                  <w:marRight w:val="0"/>
                  <w:marTop w:val="0"/>
                  <w:marBottom w:val="0"/>
                  <w:divBdr>
                    <w:top w:val="none" w:sz="0" w:space="0" w:color="auto"/>
                    <w:left w:val="none" w:sz="0" w:space="0" w:color="auto"/>
                    <w:bottom w:val="none" w:sz="0" w:space="0" w:color="auto"/>
                    <w:right w:val="none" w:sz="0" w:space="0" w:color="auto"/>
                  </w:divBdr>
                  <w:divsChild>
                    <w:div w:id="6422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7624347">
      <w:bodyDiv w:val="1"/>
      <w:marLeft w:val="0"/>
      <w:marRight w:val="0"/>
      <w:marTop w:val="0"/>
      <w:marBottom w:val="0"/>
      <w:divBdr>
        <w:top w:val="none" w:sz="0" w:space="0" w:color="auto"/>
        <w:left w:val="none" w:sz="0" w:space="0" w:color="auto"/>
        <w:bottom w:val="none" w:sz="0" w:space="0" w:color="auto"/>
        <w:right w:val="none" w:sz="0" w:space="0" w:color="auto"/>
      </w:divBdr>
      <w:divsChild>
        <w:div w:id="1784614193">
          <w:marLeft w:val="0"/>
          <w:marRight w:val="0"/>
          <w:marTop w:val="0"/>
          <w:marBottom w:val="0"/>
          <w:divBdr>
            <w:top w:val="none" w:sz="0" w:space="0" w:color="auto"/>
            <w:left w:val="none" w:sz="0" w:space="0" w:color="auto"/>
            <w:bottom w:val="none" w:sz="0" w:space="0" w:color="auto"/>
            <w:right w:val="none" w:sz="0" w:space="0" w:color="auto"/>
          </w:divBdr>
          <w:divsChild>
            <w:div w:id="1284651812">
              <w:marLeft w:val="0"/>
              <w:marRight w:val="0"/>
              <w:marTop w:val="0"/>
              <w:marBottom w:val="0"/>
              <w:divBdr>
                <w:top w:val="none" w:sz="0" w:space="0" w:color="auto"/>
                <w:left w:val="none" w:sz="0" w:space="0" w:color="auto"/>
                <w:bottom w:val="none" w:sz="0" w:space="0" w:color="auto"/>
                <w:right w:val="none" w:sz="0" w:space="0" w:color="auto"/>
              </w:divBdr>
              <w:divsChild>
                <w:div w:id="1675955937">
                  <w:marLeft w:val="0"/>
                  <w:marRight w:val="0"/>
                  <w:marTop w:val="0"/>
                  <w:marBottom w:val="0"/>
                  <w:divBdr>
                    <w:top w:val="none" w:sz="0" w:space="0" w:color="auto"/>
                    <w:left w:val="none" w:sz="0" w:space="0" w:color="auto"/>
                    <w:bottom w:val="none" w:sz="0" w:space="0" w:color="auto"/>
                    <w:right w:val="none" w:sz="0" w:space="0" w:color="auto"/>
                  </w:divBdr>
                  <w:divsChild>
                    <w:div w:id="746002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8012877">
      <w:bodyDiv w:val="1"/>
      <w:marLeft w:val="0"/>
      <w:marRight w:val="0"/>
      <w:marTop w:val="0"/>
      <w:marBottom w:val="0"/>
      <w:divBdr>
        <w:top w:val="none" w:sz="0" w:space="0" w:color="auto"/>
        <w:left w:val="none" w:sz="0" w:space="0" w:color="auto"/>
        <w:bottom w:val="none" w:sz="0" w:space="0" w:color="auto"/>
        <w:right w:val="none" w:sz="0" w:space="0" w:color="auto"/>
      </w:divBdr>
      <w:divsChild>
        <w:div w:id="67963121">
          <w:marLeft w:val="0"/>
          <w:marRight w:val="0"/>
          <w:marTop w:val="0"/>
          <w:marBottom w:val="0"/>
          <w:divBdr>
            <w:top w:val="none" w:sz="0" w:space="0" w:color="auto"/>
            <w:left w:val="none" w:sz="0" w:space="0" w:color="auto"/>
            <w:bottom w:val="none" w:sz="0" w:space="0" w:color="auto"/>
            <w:right w:val="none" w:sz="0" w:space="0" w:color="auto"/>
          </w:divBdr>
          <w:divsChild>
            <w:div w:id="401416288">
              <w:marLeft w:val="0"/>
              <w:marRight w:val="0"/>
              <w:marTop w:val="0"/>
              <w:marBottom w:val="0"/>
              <w:divBdr>
                <w:top w:val="none" w:sz="0" w:space="0" w:color="auto"/>
                <w:left w:val="none" w:sz="0" w:space="0" w:color="auto"/>
                <w:bottom w:val="none" w:sz="0" w:space="0" w:color="auto"/>
                <w:right w:val="none" w:sz="0" w:space="0" w:color="auto"/>
              </w:divBdr>
              <w:divsChild>
                <w:div w:id="693117431">
                  <w:marLeft w:val="0"/>
                  <w:marRight w:val="0"/>
                  <w:marTop w:val="0"/>
                  <w:marBottom w:val="0"/>
                  <w:divBdr>
                    <w:top w:val="none" w:sz="0" w:space="0" w:color="auto"/>
                    <w:left w:val="none" w:sz="0" w:space="0" w:color="auto"/>
                    <w:bottom w:val="none" w:sz="0" w:space="0" w:color="auto"/>
                    <w:right w:val="none" w:sz="0" w:space="0" w:color="auto"/>
                  </w:divBdr>
                  <w:divsChild>
                    <w:div w:id="132789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3828727">
      <w:bodyDiv w:val="1"/>
      <w:marLeft w:val="0"/>
      <w:marRight w:val="0"/>
      <w:marTop w:val="0"/>
      <w:marBottom w:val="0"/>
      <w:divBdr>
        <w:top w:val="none" w:sz="0" w:space="0" w:color="auto"/>
        <w:left w:val="none" w:sz="0" w:space="0" w:color="auto"/>
        <w:bottom w:val="none" w:sz="0" w:space="0" w:color="auto"/>
        <w:right w:val="none" w:sz="0" w:space="0" w:color="auto"/>
      </w:divBdr>
      <w:divsChild>
        <w:div w:id="59985559">
          <w:marLeft w:val="0"/>
          <w:marRight w:val="0"/>
          <w:marTop w:val="0"/>
          <w:marBottom w:val="0"/>
          <w:divBdr>
            <w:top w:val="none" w:sz="0" w:space="0" w:color="auto"/>
            <w:left w:val="none" w:sz="0" w:space="0" w:color="auto"/>
            <w:bottom w:val="none" w:sz="0" w:space="0" w:color="auto"/>
            <w:right w:val="none" w:sz="0" w:space="0" w:color="auto"/>
          </w:divBdr>
          <w:divsChild>
            <w:div w:id="1753971027">
              <w:marLeft w:val="0"/>
              <w:marRight w:val="0"/>
              <w:marTop w:val="0"/>
              <w:marBottom w:val="0"/>
              <w:divBdr>
                <w:top w:val="none" w:sz="0" w:space="0" w:color="auto"/>
                <w:left w:val="none" w:sz="0" w:space="0" w:color="auto"/>
                <w:bottom w:val="none" w:sz="0" w:space="0" w:color="auto"/>
                <w:right w:val="none" w:sz="0" w:space="0" w:color="auto"/>
              </w:divBdr>
              <w:divsChild>
                <w:div w:id="593319785">
                  <w:marLeft w:val="0"/>
                  <w:marRight w:val="0"/>
                  <w:marTop w:val="0"/>
                  <w:marBottom w:val="0"/>
                  <w:divBdr>
                    <w:top w:val="none" w:sz="0" w:space="0" w:color="auto"/>
                    <w:left w:val="none" w:sz="0" w:space="0" w:color="auto"/>
                    <w:bottom w:val="none" w:sz="0" w:space="0" w:color="auto"/>
                    <w:right w:val="none" w:sz="0" w:space="0" w:color="auto"/>
                  </w:divBdr>
                  <w:divsChild>
                    <w:div w:id="164967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2933995">
      <w:bodyDiv w:val="1"/>
      <w:marLeft w:val="0"/>
      <w:marRight w:val="0"/>
      <w:marTop w:val="0"/>
      <w:marBottom w:val="0"/>
      <w:divBdr>
        <w:top w:val="none" w:sz="0" w:space="0" w:color="auto"/>
        <w:left w:val="none" w:sz="0" w:space="0" w:color="auto"/>
        <w:bottom w:val="none" w:sz="0" w:space="0" w:color="auto"/>
        <w:right w:val="none" w:sz="0" w:space="0" w:color="auto"/>
      </w:divBdr>
      <w:divsChild>
        <w:div w:id="406731514">
          <w:marLeft w:val="0"/>
          <w:marRight w:val="0"/>
          <w:marTop w:val="0"/>
          <w:marBottom w:val="0"/>
          <w:divBdr>
            <w:top w:val="none" w:sz="0" w:space="0" w:color="auto"/>
            <w:left w:val="none" w:sz="0" w:space="0" w:color="auto"/>
            <w:bottom w:val="none" w:sz="0" w:space="0" w:color="auto"/>
            <w:right w:val="none" w:sz="0" w:space="0" w:color="auto"/>
          </w:divBdr>
          <w:divsChild>
            <w:div w:id="1024551450">
              <w:marLeft w:val="0"/>
              <w:marRight w:val="0"/>
              <w:marTop w:val="0"/>
              <w:marBottom w:val="0"/>
              <w:divBdr>
                <w:top w:val="none" w:sz="0" w:space="0" w:color="auto"/>
                <w:left w:val="none" w:sz="0" w:space="0" w:color="auto"/>
                <w:bottom w:val="none" w:sz="0" w:space="0" w:color="auto"/>
                <w:right w:val="none" w:sz="0" w:space="0" w:color="auto"/>
              </w:divBdr>
              <w:divsChild>
                <w:div w:id="201537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0211683">
      <w:bodyDiv w:val="1"/>
      <w:marLeft w:val="0"/>
      <w:marRight w:val="0"/>
      <w:marTop w:val="0"/>
      <w:marBottom w:val="0"/>
      <w:divBdr>
        <w:top w:val="none" w:sz="0" w:space="0" w:color="auto"/>
        <w:left w:val="none" w:sz="0" w:space="0" w:color="auto"/>
        <w:bottom w:val="none" w:sz="0" w:space="0" w:color="auto"/>
        <w:right w:val="none" w:sz="0" w:space="0" w:color="auto"/>
      </w:divBdr>
      <w:divsChild>
        <w:div w:id="1106929909">
          <w:marLeft w:val="0"/>
          <w:marRight w:val="0"/>
          <w:marTop w:val="0"/>
          <w:marBottom w:val="0"/>
          <w:divBdr>
            <w:top w:val="none" w:sz="0" w:space="0" w:color="auto"/>
            <w:left w:val="none" w:sz="0" w:space="0" w:color="auto"/>
            <w:bottom w:val="none" w:sz="0" w:space="0" w:color="auto"/>
            <w:right w:val="none" w:sz="0" w:space="0" w:color="auto"/>
          </w:divBdr>
          <w:divsChild>
            <w:div w:id="1621841841">
              <w:marLeft w:val="0"/>
              <w:marRight w:val="0"/>
              <w:marTop w:val="0"/>
              <w:marBottom w:val="0"/>
              <w:divBdr>
                <w:top w:val="none" w:sz="0" w:space="0" w:color="auto"/>
                <w:left w:val="none" w:sz="0" w:space="0" w:color="auto"/>
                <w:bottom w:val="none" w:sz="0" w:space="0" w:color="auto"/>
                <w:right w:val="none" w:sz="0" w:space="0" w:color="auto"/>
              </w:divBdr>
              <w:divsChild>
                <w:div w:id="1088188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699318">
      <w:bodyDiv w:val="1"/>
      <w:marLeft w:val="0"/>
      <w:marRight w:val="0"/>
      <w:marTop w:val="0"/>
      <w:marBottom w:val="0"/>
      <w:divBdr>
        <w:top w:val="none" w:sz="0" w:space="0" w:color="auto"/>
        <w:left w:val="none" w:sz="0" w:space="0" w:color="auto"/>
        <w:bottom w:val="none" w:sz="0" w:space="0" w:color="auto"/>
        <w:right w:val="none" w:sz="0" w:space="0" w:color="auto"/>
      </w:divBdr>
      <w:divsChild>
        <w:div w:id="809515536">
          <w:marLeft w:val="0"/>
          <w:marRight w:val="0"/>
          <w:marTop w:val="0"/>
          <w:marBottom w:val="0"/>
          <w:divBdr>
            <w:top w:val="none" w:sz="0" w:space="0" w:color="auto"/>
            <w:left w:val="none" w:sz="0" w:space="0" w:color="auto"/>
            <w:bottom w:val="none" w:sz="0" w:space="0" w:color="auto"/>
            <w:right w:val="none" w:sz="0" w:space="0" w:color="auto"/>
          </w:divBdr>
          <w:divsChild>
            <w:div w:id="369303512">
              <w:marLeft w:val="0"/>
              <w:marRight w:val="0"/>
              <w:marTop w:val="0"/>
              <w:marBottom w:val="0"/>
              <w:divBdr>
                <w:top w:val="none" w:sz="0" w:space="0" w:color="auto"/>
                <w:left w:val="none" w:sz="0" w:space="0" w:color="auto"/>
                <w:bottom w:val="none" w:sz="0" w:space="0" w:color="auto"/>
                <w:right w:val="none" w:sz="0" w:space="0" w:color="auto"/>
              </w:divBdr>
              <w:divsChild>
                <w:div w:id="642275211">
                  <w:marLeft w:val="0"/>
                  <w:marRight w:val="0"/>
                  <w:marTop w:val="0"/>
                  <w:marBottom w:val="0"/>
                  <w:divBdr>
                    <w:top w:val="none" w:sz="0" w:space="0" w:color="auto"/>
                    <w:left w:val="none" w:sz="0" w:space="0" w:color="auto"/>
                    <w:bottom w:val="none" w:sz="0" w:space="0" w:color="auto"/>
                    <w:right w:val="none" w:sz="0" w:space="0" w:color="auto"/>
                  </w:divBdr>
                  <w:divsChild>
                    <w:div w:id="1990400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0843585">
      <w:bodyDiv w:val="1"/>
      <w:marLeft w:val="0"/>
      <w:marRight w:val="0"/>
      <w:marTop w:val="0"/>
      <w:marBottom w:val="0"/>
      <w:divBdr>
        <w:top w:val="none" w:sz="0" w:space="0" w:color="auto"/>
        <w:left w:val="none" w:sz="0" w:space="0" w:color="auto"/>
        <w:bottom w:val="none" w:sz="0" w:space="0" w:color="auto"/>
        <w:right w:val="none" w:sz="0" w:space="0" w:color="auto"/>
      </w:divBdr>
      <w:divsChild>
        <w:div w:id="1409811247">
          <w:marLeft w:val="0"/>
          <w:marRight w:val="0"/>
          <w:marTop w:val="0"/>
          <w:marBottom w:val="0"/>
          <w:divBdr>
            <w:top w:val="none" w:sz="0" w:space="0" w:color="auto"/>
            <w:left w:val="none" w:sz="0" w:space="0" w:color="auto"/>
            <w:bottom w:val="none" w:sz="0" w:space="0" w:color="auto"/>
            <w:right w:val="none" w:sz="0" w:space="0" w:color="auto"/>
          </w:divBdr>
          <w:divsChild>
            <w:div w:id="1615288045">
              <w:marLeft w:val="0"/>
              <w:marRight w:val="0"/>
              <w:marTop w:val="0"/>
              <w:marBottom w:val="0"/>
              <w:divBdr>
                <w:top w:val="none" w:sz="0" w:space="0" w:color="auto"/>
                <w:left w:val="none" w:sz="0" w:space="0" w:color="auto"/>
                <w:bottom w:val="none" w:sz="0" w:space="0" w:color="auto"/>
                <w:right w:val="none" w:sz="0" w:space="0" w:color="auto"/>
              </w:divBdr>
              <w:divsChild>
                <w:div w:id="99303768">
                  <w:marLeft w:val="0"/>
                  <w:marRight w:val="0"/>
                  <w:marTop w:val="0"/>
                  <w:marBottom w:val="0"/>
                  <w:divBdr>
                    <w:top w:val="none" w:sz="0" w:space="0" w:color="auto"/>
                    <w:left w:val="none" w:sz="0" w:space="0" w:color="auto"/>
                    <w:bottom w:val="none" w:sz="0" w:space="0" w:color="auto"/>
                    <w:right w:val="none" w:sz="0" w:space="0" w:color="auto"/>
                  </w:divBdr>
                  <w:divsChild>
                    <w:div w:id="2053574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1271794">
      <w:bodyDiv w:val="1"/>
      <w:marLeft w:val="0"/>
      <w:marRight w:val="0"/>
      <w:marTop w:val="0"/>
      <w:marBottom w:val="0"/>
      <w:divBdr>
        <w:top w:val="none" w:sz="0" w:space="0" w:color="auto"/>
        <w:left w:val="none" w:sz="0" w:space="0" w:color="auto"/>
        <w:bottom w:val="none" w:sz="0" w:space="0" w:color="auto"/>
        <w:right w:val="none" w:sz="0" w:space="0" w:color="auto"/>
      </w:divBdr>
      <w:divsChild>
        <w:div w:id="300185886">
          <w:marLeft w:val="0"/>
          <w:marRight w:val="0"/>
          <w:marTop w:val="0"/>
          <w:marBottom w:val="0"/>
          <w:divBdr>
            <w:top w:val="none" w:sz="0" w:space="0" w:color="auto"/>
            <w:left w:val="none" w:sz="0" w:space="0" w:color="auto"/>
            <w:bottom w:val="none" w:sz="0" w:space="0" w:color="auto"/>
            <w:right w:val="none" w:sz="0" w:space="0" w:color="auto"/>
          </w:divBdr>
          <w:divsChild>
            <w:div w:id="108352868">
              <w:marLeft w:val="0"/>
              <w:marRight w:val="0"/>
              <w:marTop w:val="0"/>
              <w:marBottom w:val="0"/>
              <w:divBdr>
                <w:top w:val="none" w:sz="0" w:space="0" w:color="auto"/>
                <w:left w:val="none" w:sz="0" w:space="0" w:color="auto"/>
                <w:bottom w:val="none" w:sz="0" w:space="0" w:color="auto"/>
                <w:right w:val="none" w:sz="0" w:space="0" w:color="auto"/>
              </w:divBdr>
              <w:divsChild>
                <w:div w:id="1824589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160150">
      <w:bodyDiv w:val="1"/>
      <w:marLeft w:val="0"/>
      <w:marRight w:val="0"/>
      <w:marTop w:val="0"/>
      <w:marBottom w:val="0"/>
      <w:divBdr>
        <w:top w:val="none" w:sz="0" w:space="0" w:color="auto"/>
        <w:left w:val="none" w:sz="0" w:space="0" w:color="auto"/>
        <w:bottom w:val="none" w:sz="0" w:space="0" w:color="auto"/>
        <w:right w:val="none" w:sz="0" w:space="0" w:color="auto"/>
      </w:divBdr>
      <w:divsChild>
        <w:div w:id="226188102">
          <w:marLeft w:val="0"/>
          <w:marRight w:val="0"/>
          <w:marTop w:val="0"/>
          <w:marBottom w:val="0"/>
          <w:divBdr>
            <w:top w:val="none" w:sz="0" w:space="0" w:color="auto"/>
            <w:left w:val="none" w:sz="0" w:space="0" w:color="auto"/>
            <w:bottom w:val="none" w:sz="0" w:space="0" w:color="auto"/>
            <w:right w:val="none" w:sz="0" w:space="0" w:color="auto"/>
          </w:divBdr>
          <w:divsChild>
            <w:div w:id="935285032">
              <w:marLeft w:val="0"/>
              <w:marRight w:val="0"/>
              <w:marTop w:val="0"/>
              <w:marBottom w:val="0"/>
              <w:divBdr>
                <w:top w:val="none" w:sz="0" w:space="0" w:color="auto"/>
                <w:left w:val="none" w:sz="0" w:space="0" w:color="auto"/>
                <w:bottom w:val="none" w:sz="0" w:space="0" w:color="auto"/>
                <w:right w:val="none" w:sz="0" w:space="0" w:color="auto"/>
              </w:divBdr>
              <w:divsChild>
                <w:div w:id="88830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477436">
      <w:bodyDiv w:val="1"/>
      <w:marLeft w:val="0"/>
      <w:marRight w:val="0"/>
      <w:marTop w:val="0"/>
      <w:marBottom w:val="0"/>
      <w:divBdr>
        <w:top w:val="none" w:sz="0" w:space="0" w:color="auto"/>
        <w:left w:val="none" w:sz="0" w:space="0" w:color="auto"/>
        <w:bottom w:val="none" w:sz="0" w:space="0" w:color="auto"/>
        <w:right w:val="none" w:sz="0" w:space="0" w:color="auto"/>
      </w:divBdr>
    </w:div>
    <w:div w:id="715815079">
      <w:bodyDiv w:val="1"/>
      <w:marLeft w:val="0"/>
      <w:marRight w:val="0"/>
      <w:marTop w:val="0"/>
      <w:marBottom w:val="0"/>
      <w:divBdr>
        <w:top w:val="none" w:sz="0" w:space="0" w:color="auto"/>
        <w:left w:val="none" w:sz="0" w:space="0" w:color="auto"/>
        <w:bottom w:val="none" w:sz="0" w:space="0" w:color="auto"/>
        <w:right w:val="none" w:sz="0" w:space="0" w:color="auto"/>
      </w:divBdr>
      <w:divsChild>
        <w:div w:id="1228108445">
          <w:marLeft w:val="0"/>
          <w:marRight w:val="0"/>
          <w:marTop w:val="0"/>
          <w:marBottom w:val="0"/>
          <w:divBdr>
            <w:top w:val="none" w:sz="0" w:space="0" w:color="auto"/>
            <w:left w:val="none" w:sz="0" w:space="0" w:color="auto"/>
            <w:bottom w:val="none" w:sz="0" w:space="0" w:color="auto"/>
            <w:right w:val="none" w:sz="0" w:space="0" w:color="auto"/>
          </w:divBdr>
          <w:divsChild>
            <w:div w:id="176963840">
              <w:marLeft w:val="0"/>
              <w:marRight w:val="0"/>
              <w:marTop w:val="0"/>
              <w:marBottom w:val="0"/>
              <w:divBdr>
                <w:top w:val="none" w:sz="0" w:space="0" w:color="auto"/>
                <w:left w:val="none" w:sz="0" w:space="0" w:color="auto"/>
                <w:bottom w:val="none" w:sz="0" w:space="0" w:color="auto"/>
                <w:right w:val="none" w:sz="0" w:space="0" w:color="auto"/>
              </w:divBdr>
              <w:divsChild>
                <w:div w:id="1136874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787516">
      <w:bodyDiv w:val="1"/>
      <w:marLeft w:val="0"/>
      <w:marRight w:val="0"/>
      <w:marTop w:val="0"/>
      <w:marBottom w:val="0"/>
      <w:divBdr>
        <w:top w:val="none" w:sz="0" w:space="0" w:color="auto"/>
        <w:left w:val="none" w:sz="0" w:space="0" w:color="auto"/>
        <w:bottom w:val="none" w:sz="0" w:space="0" w:color="auto"/>
        <w:right w:val="none" w:sz="0" w:space="0" w:color="auto"/>
      </w:divBdr>
      <w:divsChild>
        <w:div w:id="2101296083">
          <w:marLeft w:val="0"/>
          <w:marRight w:val="0"/>
          <w:marTop w:val="0"/>
          <w:marBottom w:val="0"/>
          <w:divBdr>
            <w:top w:val="none" w:sz="0" w:space="0" w:color="auto"/>
            <w:left w:val="none" w:sz="0" w:space="0" w:color="auto"/>
            <w:bottom w:val="none" w:sz="0" w:space="0" w:color="auto"/>
            <w:right w:val="none" w:sz="0" w:space="0" w:color="auto"/>
          </w:divBdr>
          <w:divsChild>
            <w:div w:id="667950135">
              <w:marLeft w:val="0"/>
              <w:marRight w:val="0"/>
              <w:marTop w:val="0"/>
              <w:marBottom w:val="0"/>
              <w:divBdr>
                <w:top w:val="none" w:sz="0" w:space="0" w:color="auto"/>
                <w:left w:val="none" w:sz="0" w:space="0" w:color="auto"/>
                <w:bottom w:val="none" w:sz="0" w:space="0" w:color="auto"/>
                <w:right w:val="none" w:sz="0" w:space="0" w:color="auto"/>
              </w:divBdr>
              <w:divsChild>
                <w:div w:id="1294991831">
                  <w:marLeft w:val="0"/>
                  <w:marRight w:val="0"/>
                  <w:marTop w:val="0"/>
                  <w:marBottom w:val="0"/>
                  <w:divBdr>
                    <w:top w:val="none" w:sz="0" w:space="0" w:color="auto"/>
                    <w:left w:val="none" w:sz="0" w:space="0" w:color="auto"/>
                    <w:bottom w:val="none" w:sz="0" w:space="0" w:color="auto"/>
                    <w:right w:val="none" w:sz="0" w:space="0" w:color="auto"/>
                  </w:divBdr>
                  <w:divsChild>
                    <w:div w:id="121538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3308869">
      <w:bodyDiv w:val="1"/>
      <w:marLeft w:val="0"/>
      <w:marRight w:val="0"/>
      <w:marTop w:val="0"/>
      <w:marBottom w:val="0"/>
      <w:divBdr>
        <w:top w:val="none" w:sz="0" w:space="0" w:color="auto"/>
        <w:left w:val="none" w:sz="0" w:space="0" w:color="auto"/>
        <w:bottom w:val="none" w:sz="0" w:space="0" w:color="auto"/>
        <w:right w:val="none" w:sz="0" w:space="0" w:color="auto"/>
      </w:divBdr>
      <w:divsChild>
        <w:div w:id="1266577774">
          <w:marLeft w:val="0"/>
          <w:marRight w:val="0"/>
          <w:marTop w:val="0"/>
          <w:marBottom w:val="0"/>
          <w:divBdr>
            <w:top w:val="none" w:sz="0" w:space="0" w:color="auto"/>
            <w:left w:val="none" w:sz="0" w:space="0" w:color="auto"/>
            <w:bottom w:val="none" w:sz="0" w:space="0" w:color="auto"/>
            <w:right w:val="none" w:sz="0" w:space="0" w:color="auto"/>
          </w:divBdr>
          <w:divsChild>
            <w:div w:id="1934510477">
              <w:marLeft w:val="0"/>
              <w:marRight w:val="0"/>
              <w:marTop w:val="0"/>
              <w:marBottom w:val="0"/>
              <w:divBdr>
                <w:top w:val="none" w:sz="0" w:space="0" w:color="auto"/>
                <w:left w:val="none" w:sz="0" w:space="0" w:color="auto"/>
                <w:bottom w:val="none" w:sz="0" w:space="0" w:color="auto"/>
                <w:right w:val="none" w:sz="0" w:space="0" w:color="auto"/>
              </w:divBdr>
              <w:divsChild>
                <w:div w:id="1743328717">
                  <w:marLeft w:val="0"/>
                  <w:marRight w:val="0"/>
                  <w:marTop w:val="0"/>
                  <w:marBottom w:val="0"/>
                  <w:divBdr>
                    <w:top w:val="none" w:sz="0" w:space="0" w:color="auto"/>
                    <w:left w:val="none" w:sz="0" w:space="0" w:color="auto"/>
                    <w:bottom w:val="none" w:sz="0" w:space="0" w:color="auto"/>
                    <w:right w:val="none" w:sz="0" w:space="0" w:color="auto"/>
                  </w:divBdr>
                  <w:divsChild>
                    <w:div w:id="37462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2505915">
      <w:bodyDiv w:val="1"/>
      <w:marLeft w:val="0"/>
      <w:marRight w:val="0"/>
      <w:marTop w:val="0"/>
      <w:marBottom w:val="0"/>
      <w:divBdr>
        <w:top w:val="none" w:sz="0" w:space="0" w:color="auto"/>
        <w:left w:val="none" w:sz="0" w:space="0" w:color="auto"/>
        <w:bottom w:val="none" w:sz="0" w:space="0" w:color="auto"/>
        <w:right w:val="none" w:sz="0" w:space="0" w:color="auto"/>
      </w:divBdr>
      <w:divsChild>
        <w:div w:id="377046129">
          <w:marLeft w:val="0"/>
          <w:marRight w:val="0"/>
          <w:marTop w:val="0"/>
          <w:marBottom w:val="0"/>
          <w:divBdr>
            <w:top w:val="none" w:sz="0" w:space="0" w:color="auto"/>
            <w:left w:val="none" w:sz="0" w:space="0" w:color="auto"/>
            <w:bottom w:val="none" w:sz="0" w:space="0" w:color="auto"/>
            <w:right w:val="none" w:sz="0" w:space="0" w:color="auto"/>
          </w:divBdr>
        </w:div>
        <w:div w:id="1328901359">
          <w:marLeft w:val="0"/>
          <w:marRight w:val="0"/>
          <w:marTop w:val="0"/>
          <w:marBottom w:val="0"/>
          <w:divBdr>
            <w:top w:val="none" w:sz="0" w:space="0" w:color="auto"/>
            <w:left w:val="none" w:sz="0" w:space="0" w:color="auto"/>
            <w:bottom w:val="none" w:sz="0" w:space="0" w:color="auto"/>
            <w:right w:val="none" w:sz="0" w:space="0" w:color="auto"/>
          </w:divBdr>
        </w:div>
      </w:divsChild>
    </w:div>
    <w:div w:id="790048861">
      <w:bodyDiv w:val="1"/>
      <w:marLeft w:val="0"/>
      <w:marRight w:val="0"/>
      <w:marTop w:val="0"/>
      <w:marBottom w:val="0"/>
      <w:divBdr>
        <w:top w:val="none" w:sz="0" w:space="0" w:color="auto"/>
        <w:left w:val="none" w:sz="0" w:space="0" w:color="auto"/>
        <w:bottom w:val="none" w:sz="0" w:space="0" w:color="auto"/>
        <w:right w:val="none" w:sz="0" w:space="0" w:color="auto"/>
      </w:divBdr>
    </w:div>
    <w:div w:id="821654361">
      <w:bodyDiv w:val="1"/>
      <w:marLeft w:val="0"/>
      <w:marRight w:val="0"/>
      <w:marTop w:val="0"/>
      <w:marBottom w:val="0"/>
      <w:divBdr>
        <w:top w:val="none" w:sz="0" w:space="0" w:color="auto"/>
        <w:left w:val="none" w:sz="0" w:space="0" w:color="auto"/>
        <w:bottom w:val="none" w:sz="0" w:space="0" w:color="auto"/>
        <w:right w:val="none" w:sz="0" w:space="0" w:color="auto"/>
      </w:divBdr>
      <w:divsChild>
        <w:div w:id="1851214514">
          <w:marLeft w:val="0"/>
          <w:marRight w:val="0"/>
          <w:marTop w:val="0"/>
          <w:marBottom w:val="0"/>
          <w:divBdr>
            <w:top w:val="none" w:sz="0" w:space="0" w:color="auto"/>
            <w:left w:val="none" w:sz="0" w:space="0" w:color="auto"/>
            <w:bottom w:val="none" w:sz="0" w:space="0" w:color="auto"/>
            <w:right w:val="none" w:sz="0" w:space="0" w:color="auto"/>
          </w:divBdr>
          <w:divsChild>
            <w:div w:id="511072158">
              <w:marLeft w:val="0"/>
              <w:marRight w:val="0"/>
              <w:marTop w:val="0"/>
              <w:marBottom w:val="0"/>
              <w:divBdr>
                <w:top w:val="none" w:sz="0" w:space="0" w:color="auto"/>
                <w:left w:val="none" w:sz="0" w:space="0" w:color="auto"/>
                <w:bottom w:val="none" w:sz="0" w:space="0" w:color="auto"/>
                <w:right w:val="none" w:sz="0" w:space="0" w:color="auto"/>
              </w:divBdr>
              <w:divsChild>
                <w:div w:id="505676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668438">
      <w:bodyDiv w:val="1"/>
      <w:marLeft w:val="0"/>
      <w:marRight w:val="0"/>
      <w:marTop w:val="0"/>
      <w:marBottom w:val="0"/>
      <w:divBdr>
        <w:top w:val="none" w:sz="0" w:space="0" w:color="auto"/>
        <w:left w:val="none" w:sz="0" w:space="0" w:color="auto"/>
        <w:bottom w:val="none" w:sz="0" w:space="0" w:color="auto"/>
        <w:right w:val="none" w:sz="0" w:space="0" w:color="auto"/>
      </w:divBdr>
      <w:divsChild>
        <w:div w:id="350227401">
          <w:marLeft w:val="0"/>
          <w:marRight w:val="0"/>
          <w:marTop w:val="0"/>
          <w:marBottom w:val="0"/>
          <w:divBdr>
            <w:top w:val="none" w:sz="0" w:space="0" w:color="auto"/>
            <w:left w:val="none" w:sz="0" w:space="0" w:color="auto"/>
            <w:bottom w:val="none" w:sz="0" w:space="0" w:color="auto"/>
            <w:right w:val="none" w:sz="0" w:space="0" w:color="auto"/>
          </w:divBdr>
          <w:divsChild>
            <w:div w:id="397747270">
              <w:marLeft w:val="0"/>
              <w:marRight w:val="0"/>
              <w:marTop w:val="0"/>
              <w:marBottom w:val="0"/>
              <w:divBdr>
                <w:top w:val="none" w:sz="0" w:space="0" w:color="auto"/>
                <w:left w:val="none" w:sz="0" w:space="0" w:color="auto"/>
                <w:bottom w:val="none" w:sz="0" w:space="0" w:color="auto"/>
                <w:right w:val="none" w:sz="0" w:space="0" w:color="auto"/>
              </w:divBdr>
              <w:divsChild>
                <w:div w:id="1535846347">
                  <w:marLeft w:val="0"/>
                  <w:marRight w:val="0"/>
                  <w:marTop w:val="0"/>
                  <w:marBottom w:val="0"/>
                  <w:divBdr>
                    <w:top w:val="none" w:sz="0" w:space="0" w:color="auto"/>
                    <w:left w:val="none" w:sz="0" w:space="0" w:color="auto"/>
                    <w:bottom w:val="none" w:sz="0" w:space="0" w:color="auto"/>
                    <w:right w:val="none" w:sz="0" w:space="0" w:color="auto"/>
                  </w:divBdr>
                  <w:divsChild>
                    <w:div w:id="35175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2210566">
      <w:bodyDiv w:val="1"/>
      <w:marLeft w:val="0"/>
      <w:marRight w:val="0"/>
      <w:marTop w:val="0"/>
      <w:marBottom w:val="0"/>
      <w:divBdr>
        <w:top w:val="none" w:sz="0" w:space="0" w:color="auto"/>
        <w:left w:val="none" w:sz="0" w:space="0" w:color="auto"/>
        <w:bottom w:val="none" w:sz="0" w:space="0" w:color="auto"/>
        <w:right w:val="none" w:sz="0" w:space="0" w:color="auto"/>
      </w:divBdr>
      <w:divsChild>
        <w:div w:id="668291766">
          <w:marLeft w:val="0"/>
          <w:marRight w:val="0"/>
          <w:marTop w:val="0"/>
          <w:marBottom w:val="0"/>
          <w:divBdr>
            <w:top w:val="none" w:sz="0" w:space="0" w:color="auto"/>
            <w:left w:val="none" w:sz="0" w:space="0" w:color="auto"/>
            <w:bottom w:val="none" w:sz="0" w:space="0" w:color="auto"/>
            <w:right w:val="none" w:sz="0" w:space="0" w:color="auto"/>
          </w:divBdr>
          <w:divsChild>
            <w:div w:id="2009673572">
              <w:marLeft w:val="0"/>
              <w:marRight w:val="0"/>
              <w:marTop w:val="0"/>
              <w:marBottom w:val="0"/>
              <w:divBdr>
                <w:top w:val="none" w:sz="0" w:space="0" w:color="auto"/>
                <w:left w:val="none" w:sz="0" w:space="0" w:color="auto"/>
                <w:bottom w:val="none" w:sz="0" w:space="0" w:color="auto"/>
                <w:right w:val="none" w:sz="0" w:space="0" w:color="auto"/>
              </w:divBdr>
              <w:divsChild>
                <w:div w:id="328607399">
                  <w:marLeft w:val="0"/>
                  <w:marRight w:val="0"/>
                  <w:marTop w:val="0"/>
                  <w:marBottom w:val="0"/>
                  <w:divBdr>
                    <w:top w:val="none" w:sz="0" w:space="0" w:color="auto"/>
                    <w:left w:val="none" w:sz="0" w:space="0" w:color="auto"/>
                    <w:bottom w:val="none" w:sz="0" w:space="0" w:color="auto"/>
                    <w:right w:val="none" w:sz="0" w:space="0" w:color="auto"/>
                  </w:divBdr>
                  <w:divsChild>
                    <w:div w:id="16000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1530284">
      <w:bodyDiv w:val="1"/>
      <w:marLeft w:val="0"/>
      <w:marRight w:val="0"/>
      <w:marTop w:val="0"/>
      <w:marBottom w:val="0"/>
      <w:divBdr>
        <w:top w:val="none" w:sz="0" w:space="0" w:color="auto"/>
        <w:left w:val="none" w:sz="0" w:space="0" w:color="auto"/>
        <w:bottom w:val="none" w:sz="0" w:space="0" w:color="auto"/>
        <w:right w:val="none" w:sz="0" w:space="0" w:color="auto"/>
      </w:divBdr>
      <w:divsChild>
        <w:div w:id="1129975774">
          <w:marLeft w:val="0"/>
          <w:marRight w:val="0"/>
          <w:marTop w:val="0"/>
          <w:marBottom w:val="0"/>
          <w:divBdr>
            <w:top w:val="none" w:sz="0" w:space="0" w:color="auto"/>
            <w:left w:val="none" w:sz="0" w:space="0" w:color="auto"/>
            <w:bottom w:val="none" w:sz="0" w:space="0" w:color="auto"/>
            <w:right w:val="none" w:sz="0" w:space="0" w:color="auto"/>
          </w:divBdr>
          <w:divsChild>
            <w:div w:id="682899502">
              <w:marLeft w:val="0"/>
              <w:marRight w:val="0"/>
              <w:marTop w:val="0"/>
              <w:marBottom w:val="0"/>
              <w:divBdr>
                <w:top w:val="none" w:sz="0" w:space="0" w:color="auto"/>
                <w:left w:val="none" w:sz="0" w:space="0" w:color="auto"/>
                <w:bottom w:val="none" w:sz="0" w:space="0" w:color="auto"/>
                <w:right w:val="none" w:sz="0" w:space="0" w:color="auto"/>
              </w:divBdr>
              <w:divsChild>
                <w:div w:id="1861698052">
                  <w:marLeft w:val="0"/>
                  <w:marRight w:val="0"/>
                  <w:marTop w:val="0"/>
                  <w:marBottom w:val="0"/>
                  <w:divBdr>
                    <w:top w:val="none" w:sz="0" w:space="0" w:color="auto"/>
                    <w:left w:val="none" w:sz="0" w:space="0" w:color="auto"/>
                    <w:bottom w:val="none" w:sz="0" w:space="0" w:color="auto"/>
                    <w:right w:val="none" w:sz="0" w:space="0" w:color="auto"/>
                  </w:divBdr>
                  <w:divsChild>
                    <w:div w:id="76179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4776645">
      <w:bodyDiv w:val="1"/>
      <w:marLeft w:val="0"/>
      <w:marRight w:val="0"/>
      <w:marTop w:val="0"/>
      <w:marBottom w:val="0"/>
      <w:divBdr>
        <w:top w:val="none" w:sz="0" w:space="0" w:color="auto"/>
        <w:left w:val="none" w:sz="0" w:space="0" w:color="auto"/>
        <w:bottom w:val="none" w:sz="0" w:space="0" w:color="auto"/>
        <w:right w:val="none" w:sz="0" w:space="0" w:color="auto"/>
      </w:divBdr>
    </w:div>
    <w:div w:id="929235832">
      <w:bodyDiv w:val="1"/>
      <w:marLeft w:val="0"/>
      <w:marRight w:val="0"/>
      <w:marTop w:val="0"/>
      <w:marBottom w:val="0"/>
      <w:divBdr>
        <w:top w:val="none" w:sz="0" w:space="0" w:color="auto"/>
        <w:left w:val="none" w:sz="0" w:space="0" w:color="auto"/>
        <w:bottom w:val="none" w:sz="0" w:space="0" w:color="auto"/>
        <w:right w:val="none" w:sz="0" w:space="0" w:color="auto"/>
      </w:divBdr>
      <w:divsChild>
        <w:div w:id="1334914733">
          <w:marLeft w:val="0"/>
          <w:marRight w:val="0"/>
          <w:marTop w:val="0"/>
          <w:marBottom w:val="0"/>
          <w:divBdr>
            <w:top w:val="none" w:sz="0" w:space="0" w:color="auto"/>
            <w:left w:val="none" w:sz="0" w:space="0" w:color="auto"/>
            <w:bottom w:val="none" w:sz="0" w:space="0" w:color="auto"/>
            <w:right w:val="none" w:sz="0" w:space="0" w:color="auto"/>
          </w:divBdr>
          <w:divsChild>
            <w:div w:id="516582660">
              <w:marLeft w:val="0"/>
              <w:marRight w:val="0"/>
              <w:marTop w:val="0"/>
              <w:marBottom w:val="0"/>
              <w:divBdr>
                <w:top w:val="none" w:sz="0" w:space="0" w:color="auto"/>
                <w:left w:val="none" w:sz="0" w:space="0" w:color="auto"/>
                <w:bottom w:val="none" w:sz="0" w:space="0" w:color="auto"/>
                <w:right w:val="none" w:sz="0" w:space="0" w:color="auto"/>
              </w:divBdr>
              <w:divsChild>
                <w:div w:id="156900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394510">
      <w:bodyDiv w:val="1"/>
      <w:marLeft w:val="0"/>
      <w:marRight w:val="0"/>
      <w:marTop w:val="0"/>
      <w:marBottom w:val="0"/>
      <w:divBdr>
        <w:top w:val="none" w:sz="0" w:space="0" w:color="auto"/>
        <w:left w:val="none" w:sz="0" w:space="0" w:color="auto"/>
        <w:bottom w:val="none" w:sz="0" w:space="0" w:color="auto"/>
        <w:right w:val="none" w:sz="0" w:space="0" w:color="auto"/>
      </w:divBdr>
      <w:divsChild>
        <w:div w:id="1028991307">
          <w:marLeft w:val="0"/>
          <w:marRight w:val="0"/>
          <w:marTop w:val="0"/>
          <w:marBottom w:val="0"/>
          <w:divBdr>
            <w:top w:val="none" w:sz="0" w:space="0" w:color="auto"/>
            <w:left w:val="none" w:sz="0" w:space="0" w:color="auto"/>
            <w:bottom w:val="none" w:sz="0" w:space="0" w:color="auto"/>
            <w:right w:val="none" w:sz="0" w:space="0" w:color="auto"/>
          </w:divBdr>
          <w:divsChild>
            <w:div w:id="388453887">
              <w:marLeft w:val="0"/>
              <w:marRight w:val="0"/>
              <w:marTop w:val="0"/>
              <w:marBottom w:val="0"/>
              <w:divBdr>
                <w:top w:val="none" w:sz="0" w:space="0" w:color="auto"/>
                <w:left w:val="none" w:sz="0" w:space="0" w:color="auto"/>
                <w:bottom w:val="none" w:sz="0" w:space="0" w:color="auto"/>
                <w:right w:val="none" w:sz="0" w:space="0" w:color="auto"/>
              </w:divBdr>
              <w:divsChild>
                <w:div w:id="759915261">
                  <w:marLeft w:val="0"/>
                  <w:marRight w:val="0"/>
                  <w:marTop w:val="0"/>
                  <w:marBottom w:val="0"/>
                  <w:divBdr>
                    <w:top w:val="none" w:sz="0" w:space="0" w:color="auto"/>
                    <w:left w:val="none" w:sz="0" w:space="0" w:color="auto"/>
                    <w:bottom w:val="none" w:sz="0" w:space="0" w:color="auto"/>
                    <w:right w:val="none" w:sz="0" w:space="0" w:color="auto"/>
                  </w:divBdr>
                  <w:divsChild>
                    <w:div w:id="2138066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365497">
      <w:bodyDiv w:val="1"/>
      <w:marLeft w:val="0"/>
      <w:marRight w:val="0"/>
      <w:marTop w:val="0"/>
      <w:marBottom w:val="0"/>
      <w:divBdr>
        <w:top w:val="none" w:sz="0" w:space="0" w:color="auto"/>
        <w:left w:val="none" w:sz="0" w:space="0" w:color="auto"/>
        <w:bottom w:val="none" w:sz="0" w:space="0" w:color="auto"/>
        <w:right w:val="none" w:sz="0" w:space="0" w:color="auto"/>
      </w:divBdr>
      <w:divsChild>
        <w:div w:id="1225524219">
          <w:marLeft w:val="0"/>
          <w:marRight w:val="0"/>
          <w:marTop w:val="0"/>
          <w:marBottom w:val="0"/>
          <w:divBdr>
            <w:top w:val="none" w:sz="0" w:space="0" w:color="auto"/>
            <w:left w:val="none" w:sz="0" w:space="0" w:color="auto"/>
            <w:bottom w:val="none" w:sz="0" w:space="0" w:color="auto"/>
            <w:right w:val="none" w:sz="0" w:space="0" w:color="auto"/>
          </w:divBdr>
          <w:divsChild>
            <w:div w:id="1123497362">
              <w:marLeft w:val="0"/>
              <w:marRight w:val="0"/>
              <w:marTop w:val="0"/>
              <w:marBottom w:val="0"/>
              <w:divBdr>
                <w:top w:val="none" w:sz="0" w:space="0" w:color="auto"/>
                <w:left w:val="none" w:sz="0" w:space="0" w:color="auto"/>
                <w:bottom w:val="none" w:sz="0" w:space="0" w:color="auto"/>
                <w:right w:val="none" w:sz="0" w:space="0" w:color="auto"/>
              </w:divBdr>
              <w:divsChild>
                <w:div w:id="9608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838445">
      <w:bodyDiv w:val="1"/>
      <w:marLeft w:val="0"/>
      <w:marRight w:val="0"/>
      <w:marTop w:val="0"/>
      <w:marBottom w:val="0"/>
      <w:divBdr>
        <w:top w:val="none" w:sz="0" w:space="0" w:color="auto"/>
        <w:left w:val="none" w:sz="0" w:space="0" w:color="auto"/>
        <w:bottom w:val="none" w:sz="0" w:space="0" w:color="auto"/>
        <w:right w:val="none" w:sz="0" w:space="0" w:color="auto"/>
      </w:divBdr>
      <w:divsChild>
        <w:div w:id="1523863893">
          <w:marLeft w:val="0"/>
          <w:marRight w:val="0"/>
          <w:marTop w:val="0"/>
          <w:marBottom w:val="0"/>
          <w:divBdr>
            <w:top w:val="none" w:sz="0" w:space="0" w:color="auto"/>
            <w:left w:val="none" w:sz="0" w:space="0" w:color="auto"/>
            <w:bottom w:val="none" w:sz="0" w:space="0" w:color="auto"/>
            <w:right w:val="none" w:sz="0" w:space="0" w:color="auto"/>
          </w:divBdr>
          <w:divsChild>
            <w:div w:id="1689721667">
              <w:marLeft w:val="0"/>
              <w:marRight w:val="0"/>
              <w:marTop w:val="0"/>
              <w:marBottom w:val="0"/>
              <w:divBdr>
                <w:top w:val="none" w:sz="0" w:space="0" w:color="auto"/>
                <w:left w:val="none" w:sz="0" w:space="0" w:color="auto"/>
                <w:bottom w:val="none" w:sz="0" w:space="0" w:color="auto"/>
                <w:right w:val="none" w:sz="0" w:space="0" w:color="auto"/>
              </w:divBdr>
              <w:divsChild>
                <w:div w:id="253175076">
                  <w:marLeft w:val="0"/>
                  <w:marRight w:val="0"/>
                  <w:marTop w:val="0"/>
                  <w:marBottom w:val="0"/>
                  <w:divBdr>
                    <w:top w:val="none" w:sz="0" w:space="0" w:color="auto"/>
                    <w:left w:val="none" w:sz="0" w:space="0" w:color="auto"/>
                    <w:bottom w:val="none" w:sz="0" w:space="0" w:color="auto"/>
                    <w:right w:val="none" w:sz="0" w:space="0" w:color="auto"/>
                  </w:divBdr>
                  <w:divsChild>
                    <w:div w:id="1247378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801314">
      <w:bodyDiv w:val="1"/>
      <w:marLeft w:val="0"/>
      <w:marRight w:val="0"/>
      <w:marTop w:val="0"/>
      <w:marBottom w:val="0"/>
      <w:divBdr>
        <w:top w:val="none" w:sz="0" w:space="0" w:color="auto"/>
        <w:left w:val="none" w:sz="0" w:space="0" w:color="auto"/>
        <w:bottom w:val="none" w:sz="0" w:space="0" w:color="auto"/>
        <w:right w:val="none" w:sz="0" w:space="0" w:color="auto"/>
      </w:divBdr>
      <w:divsChild>
        <w:div w:id="1931280469">
          <w:marLeft w:val="0"/>
          <w:marRight w:val="0"/>
          <w:marTop w:val="0"/>
          <w:marBottom w:val="0"/>
          <w:divBdr>
            <w:top w:val="none" w:sz="0" w:space="0" w:color="auto"/>
            <w:left w:val="none" w:sz="0" w:space="0" w:color="auto"/>
            <w:bottom w:val="none" w:sz="0" w:space="0" w:color="auto"/>
            <w:right w:val="none" w:sz="0" w:space="0" w:color="auto"/>
          </w:divBdr>
          <w:divsChild>
            <w:div w:id="1596278732">
              <w:marLeft w:val="0"/>
              <w:marRight w:val="0"/>
              <w:marTop w:val="0"/>
              <w:marBottom w:val="0"/>
              <w:divBdr>
                <w:top w:val="none" w:sz="0" w:space="0" w:color="auto"/>
                <w:left w:val="none" w:sz="0" w:space="0" w:color="auto"/>
                <w:bottom w:val="none" w:sz="0" w:space="0" w:color="auto"/>
                <w:right w:val="none" w:sz="0" w:space="0" w:color="auto"/>
              </w:divBdr>
              <w:divsChild>
                <w:div w:id="117318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580329">
      <w:bodyDiv w:val="1"/>
      <w:marLeft w:val="0"/>
      <w:marRight w:val="0"/>
      <w:marTop w:val="0"/>
      <w:marBottom w:val="0"/>
      <w:divBdr>
        <w:top w:val="none" w:sz="0" w:space="0" w:color="auto"/>
        <w:left w:val="none" w:sz="0" w:space="0" w:color="auto"/>
        <w:bottom w:val="none" w:sz="0" w:space="0" w:color="auto"/>
        <w:right w:val="none" w:sz="0" w:space="0" w:color="auto"/>
      </w:divBdr>
      <w:divsChild>
        <w:div w:id="1723553246">
          <w:marLeft w:val="0"/>
          <w:marRight w:val="0"/>
          <w:marTop w:val="0"/>
          <w:marBottom w:val="0"/>
          <w:divBdr>
            <w:top w:val="none" w:sz="0" w:space="0" w:color="auto"/>
            <w:left w:val="none" w:sz="0" w:space="0" w:color="auto"/>
            <w:bottom w:val="none" w:sz="0" w:space="0" w:color="auto"/>
            <w:right w:val="none" w:sz="0" w:space="0" w:color="auto"/>
          </w:divBdr>
        </w:div>
      </w:divsChild>
    </w:div>
    <w:div w:id="1106003059">
      <w:bodyDiv w:val="1"/>
      <w:marLeft w:val="0"/>
      <w:marRight w:val="0"/>
      <w:marTop w:val="0"/>
      <w:marBottom w:val="0"/>
      <w:divBdr>
        <w:top w:val="none" w:sz="0" w:space="0" w:color="auto"/>
        <w:left w:val="none" w:sz="0" w:space="0" w:color="auto"/>
        <w:bottom w:val="none" w:sz="0" w:space="0" w:color="auto"/>
        <w:right w:val="none" w:sz="0" w:space="0" w:color="auto"/>
      </w:divBdr>
      <w:divsChild>
        <w:div w:id="681785166">
          <w:marLeft w:val="0"/>
          <w:marRight w:val="0"/>
          <w:marTop w:val="0"/>
          <w:marBottom w:val="0"/>
          <w:divBdr>
            <w:top w:val="none" w:sz="0" w:space="0" w:color="auto"/>
            <w:left w:val="none" w:sz="0" w:space="0" w:color="auto"/>
            <w:bottom w:val="none" w:sz="0" w:space="0" w:color="auto"/>
            <w:right w:val="none" w:sz="0" w:space="0" w:color="auto"/>
          </w:divBdr>
          <w:divsChild>
            <w:div w:id="693727114">
              <w:marLeft w:val="0"/>
              <w:marRight w:val="0"/>
              <w:marTop w:val="0"/>
              <w:marBottom w:val="0"/>
              <w:divBdr>
                <w:top w:val="none" w:sz="0" w:space="0" w:color="auto"/>
                <w:left w:val="none" w:sz="0" w:space="0" w:color="auto"/>
                <w:bottom w:val="none" w:sz="0" w:space="0" w:color="auto"/>
                <w:right w:val="none" w:sz="0" w:space="0" w:color="auto"/>
              </w:divBdr>
              <w:divsChild>
                <w:div w:id="62469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716164">
      <w:bodyDiv w:val="1"/>
      <w:marLeft w:val="0"/>
      <w:marRight w:val="0"/>
      <w:marTop w:val="0"/>
      <w:marBottom w:val="0"/>
      <w:divBdr>
        <w:top w:val="none" w:sz="0" w:space="0" w:color="auto"/>
        <w:left w:val="none" w:sz="0" w:space="0" w:color="auto"/>
        <w:bottom w:val="none" w:sz="0" w:space="0" w:color="auto"/>
        <w:right w:val="none" w:sz="0" w:space="0" w:color="auto"/>
      </w:divBdr>
    </w:div>
    <w:div w:id="1151823713">
      <w:bodyDiv w:val="1"/>
      <w:marLeft w:val="0"/>
      <w:marRight w:val="0"/>
      <w:marTop w:val="0"/>
      <w:marBottom w:val="0"/>
      <w:divBdr>
        <w:top w:val="none" w:sz="0" w:space="0" w:color="auto"/>
        <w:left w:val="none" w:sz="0" w:space="0" w:color="auto"/>
        <w:bottom w:val="none" w:sz="0" w:space="0" w:color="auto"/>
        <w:right w:val="none" w:sz="0" w:space="0" w:color="auto"/>
      </w:divBdr>
    </w:div>
    <w:div w:id="1175681700">
      <w:bodyDiv w:val="1"/>
      <w:marLeft w:val="0"/>
      <w:marRight w:val="0"/>
      <w:marTop w:val="0"/>
      <w:marBottom w:val="0"/>
      <w:divBdr>
        <w:top w:val="none" w:sz="0" w:space="0" w:color="auto"/>
        <w:left w:val="none" w:sz="0" w:space="0" w:color="auto"/>
        <w:bottom w:val="none" w:sz="0" w:space="0" w:color="auto"/>
        <w:right w:val="none" w:sz="0" w:space="0" w:color="auto"/>
      </w:divBdr>
      <w:divsChild>
        <w:div w:id="219051038">
          <w:marLeft w:val="0"/>
          <w:marRight w:val="0"/>
          <w:marTop w:val="0"/>
          <w:marBottom w:val="0"/>
          <w:divBdr>
            <w:top w:val="none" w:sz="0" w:space="0" w:color="auto"/>
            <w:left w:val="none" w:sz="0" w:space="0" w:color="auto"/>
            <w:bottom w:val="none" w:sz="0" w:space="0" w:color="auto"/>
            <w:right w:val="none" w:sz="0" w:space="0" w:color="auto"/>
          </w:divBdr>
        </w:div>
      </w:divsChild>
    </w:div>
    <w:div w:id="1177692984">
      <w:bodyDiv w:val="1"/>
      <w:marLeft w:val="0"/>
      <w:marRight w:val="0"/>
      <w:marTop w:val="0"/>
      <w:marBottom w:val="0"/>
      <w:divBdr>
        <w:top w:val="none" w:sz="0" w:space="0" w:color="auto"/>
        <w:left w:val="none" w:sz="0" w:space="0" w:color="auto"/>
        <w:bottom w:val="none" w:sz="0" w:space="0" w:color="auto"/>
        <w:right w:val="none" w:sz="0" w:space="0" w:color="auto"/>
      </w:divBdr>
      <w:divsChild>
        <w:div w:id="499665587">
          <w:marLeft w:val="0"/>
          <w:marRight w:val="0"/>
          <w:marTop w:val="0"/>
          <w:marBottom w:val="0"/>
          <w:divBdr>
            <w:top w:val="none" w:sz="0" w:space="0" w:color="auto"/>
            <w:left w:val="none" w:sz="0" w:space="0" w:color="auto"/>
            <w:bottom w:val="none" w:sz="0" w:space="0" w:color="auto"/>
            <w:right w:val="none" w:sz="0" w:space="0" w:color="auto"/>
          </w:divBdr>
          <w:divsChild>
            <w:div w:id="138964947">
              <w:marLeft w:val="0"/>
              <w:marRight w:val="0"/>
              <w:marTop w:val="0"/>
              <w:marBottom w:val="0"/>
              <w:divBdr>
                <w:top w:val="none" w:sz="0" w:space="0" w:color="auto"/>
                <w:left w:val="none" w:sz="0" w:space="0" w:color="auto"/>
                <w:bottom w:val="none" w:sz="0" w:space="0" w:color="auto"/>
                <w:right w:val="none" w:sz="0" w:space="0" w:color="auto"/>
              </w:divBdr>
              <w:divsChild>
                <w:div w:id="1864443480">
                  <w:marLeft w:val="0"/>
                  <w:marRight w:val="0"/>
                  <w:marTop w:val="0"/>
                  <w:marBottom w:val="0"/>
                  <w:divBdr>
                    <w:top w:val="none" w:sz="0" w:space="0" w:color="auto"/>
                    <w:left w:val="none" w:sz="0" w:space="0" w:color="auto"/>
                    <w:bottom w:val="none" w:sz="0" w:space="0" w:color="auto"/>
                    <w:right w:val="none" w:sz="0" w:space="0" w:color="auto"/>
                  </w:divBdr>
                  <w:divsChild>
                    <w:div w:id="118975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8002804">
      <w:bodyDiv w:val="1"/>
      <w:marLeft w:val="0"/>
      <w:marRight w:val="0"/>
      <w:marTop w:val="0"/>
      <w:marBottom w:val="0"/>
      <w:divBdr>
        <w:top w:val="none" w:sz="0" w:space="0" w:color="auto"/>
        <w:left w:val="none" w:sz="0" w:space="0" w:color="auto"/>
        <w:bottom w:val="none" w:sz="0" w:space="0" w:color="auto"/>
        <w:right w:val="none" w:sz="0" w:space="0" w:color="auto"/>
      </w:divBdr>
      <w:divsChild>
        <w:div w:id="1191651926">
          <w:marLeft w:val="0"/>
          <w:marRight w:val="0"/>
          <w:marTop w:val="0"/>
          <w:marBottom w:val="0"/>
          <w:divBdr>
            <w:top w:val="none" w:sz="0" w:space="0" w:color="auto"/>
            <w:left w:val="none" w:sz="0" w:space="0" w:color="auto"/>
            <w:bottom w:val="none" w:sz="0" w:space="0" w:color="auto"/>
            <w:right w:val="none" w:sz="0" w:space="0" w:color="auto"/>
          </w:divBdr>
          <w:divsChild>
            <w:div w:id="422069395">
              <w:marLeft w:val="0"/>
              <w:marRight w:val="0"/>
              <w:marTop w:val="0"/>
              <w:marBottom w:val="0"/>
              <w:divBdr>
                <w:top w:val="none" w:sz="0" w:space="0" w:color="auto"/>
                <w:left w:val="none" w:sz="0" w:space="0" w:color="auto"/>
                <w:bottom w:val="none" w:sz="0" w:space="0" w:color="auto"/>
                <w:right w:val="none" w:sz="0" w:space="0" w:color="auto"/>
              </w:divBdr>
              <w:divsChild>
                <w:div w:id="1335455682">
                  <w:marLeft w:val="0"/>
                  <w:marRight w:val="0"/>
                  <w:marTop w:val="0"/>
                  <w:marBottom w:val="0"/>
                  <w:divBdr>
                    <w:top w:val="none" w:sz="0" w:space="0" w:color="auto"/>
                    <w:left w:val="none" w:sz="0" w:space="0" w:color="auto"/>
                    <w:bottom w:val="none" w:sz="0" w:space="0" w:color="auto"/>
                    <w:right w:val="none" w:sz="0" w:space="0" w:color="auto"/>
                  </w:divBdr>
                  <w:divsChild>
                    <w:div w:id="1304239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2693856">
      <w:bodyDiv w:val="1"/>
      <w:marLeft w:val="0"/>
      <w:marRight w:val="0"/>
      <w:marTop w:val="0"/>
      <w:marBottom w:val="0"/>
      <w:divBdr>
        <w:top w:val="none" w:sz="0" w:space="0" w:color="auto"/>
        <w:left w:val="none" w:sz="0" w:space="0" w:color="auto"/>
        <w:bottom w:val="none" w:sz="0" w:space="0" w:color="auto"/>
        <w:right w:val="none" w:sz="0" w:space="0" w:color="auto"/>
      </w:divBdr>
    </w:div>
    <w:div w:id="1240366233">
      <w:bodyDiv w:val="1"/>
      <w:marLeft w:val="0"/>
      <w:marRight w:val="0"/>
      <w:marTop w:val="0"/>
      <w:marBottom w:val="0"/>
      <w:divBdr>
        <w:top w:val="none" w:sz="0" w:space="0" w:color="auto"/>
        <w:left w:val="none" w:sz="0" w:space="0" w:color="auto"/>
        <w:bottom w:val="none" w:sz="0" w:space="0" w:color="auto"/>
        <w:right w:val="none" w:sz="0" w:space="0" w:color="auto"/>
      </w:divBdr>
      <w:divsChild>
        <w:div w:id="2120752349">
          <w:marLeft w:val="0"/>
          <w:marRight w:val="0"/>
          <w:marTop w:val="0"/>
          <w:marBottom w:val="0"/>
          <w:divBdr>
            <w:top w:val="none" w:sz="0" w:space="0" w:color="auto"/>
            <w:left w:val="none" w:sz="0" w:space="0" w:color="auto"/>
            <w:bottom w:val="none" w:sz="0" w:space="0" w:color="auto"/>
            <w:right w:val="none" w:sz="0" w:space="0" w:color="auto"/>
          </w:divBdr>
          <w:divsChild>
            <w:div w:id="950548704">
              <w:marLeft w:val="0"/>
              <w:marRight w:val="0"/>
              <w:marTop w:val="0"/>
              <w:marBottom w:val="0"/>
              <w:divBdr>
                <w:top w:val="none" w:sz="0" w:space="0" w:color="auto"/>
                <w:left w:val="none" w:sz="0" w:space="0" w:color="auto"/>
                <w:bottom w:val="none" w:sz="0" w:space="0" w:color="auto"/>
                <w:right w:val="none" w:sz="0" w:space="0" w:color="auto"/>
              </w:divBdr>
              <w:divsChild>
                <w:div w:id="194160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493263">
      <w:bodyDiv w:val="1"/>
      <w:marLeft w:val="0"/>
      <w:marRight w:val="0"/>
      <w:marTop w:val="0"/>
      <w:marBottom w:val="0"/>
      <w:divBdr>
        <w:top w:val="none" w:sz="0" w:space="0" w:color="auto"/>
        <w:left w:val="none" w:sz="0" w:space="0" w:color="auto"/>
        <w:bottom w:val="none" w:sz="0" w:space="0" w:color="auto"/>
        <w:right w:val="none" w:sz="0" w:space="0" w:color="auto"/>
      </w:divBdr>
      <w:divsChild>
        <w:div w:id="1907378874">
          <w:marLeft w:val="0"/>
          <w:marRight w:val="0"/>
          <w:marTop w:val="0"/>
          <w:marBottom w:val="0"/>
          <w:divBdr>
            <w:top w:val="none" w:sz="0" w:space="0" w:color="auto"/>
            <w:left w:val="none" w:sz="0" w:space="0" w:color="auto"/>
            <w:bottom w:val="none" w:sz="0" w:space="0" w:color="auto"/>
            <w:right w:val="none" w:sz="0" w:space="0" w:color="auto"/>
          </w:divBdr>
          <w:divsChild>
            <w:div w:id="757142802">
              <w:marLeft w:val="0"/>
              <w:marRight w:val="0"/>
              <w:marTop w:val="0"/>
              <w:marBottom w:val="0"/>
              <w:divBdr>
                <w:top w:val="none" w:sz="0" w:space="0" w:color="auto"/>
                <w:left w:val="none" w:sz="0" w:space="0" w:color="auto"/>
                <w:bottom w:val="none" w:sz="0" w:space="0" w:color="auto"/>
                <w:right w:val="none" w:sz="0" w:space="0" w:color="auto"/>
              </w:divBdr>
              <w:divsChild>
                <w:div w:id="422457152">
                  <w:marLeft w:val="0"/>
                  <w:marRight w:val="0"/>
                  <w:marTop w:val="0"/>
                  <w:marBottom w:val="0"/>
                  <w:divBdr>
                    <w:top w:val="none" w:sz="0" w:space="0" w:color="auto"/>
                    <w:left w:val="none" w:sz="0" w:space="0" w:color="auto"/>
                    <w:bottom w:val="none" w:sz="0" w:space="0" w:color="auto"/>
                    <w:right w:val="none" w:sz="0" w:space="0" w:color="auto"/>
                  </w:divBdr>
                  <w:divsChild>
                    <w:div w:id="694189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426787">
      <w:bodyDiv w:val="1"/>
      <w:marLeft w:val="0"/>
      <w:marRight w:val="0"/>
      <w:marTop w:val="0"/>
      <w:marBottom w:val="0"/>
      <w:divBdr>
        <w:top w:val="none" w:sz="0" w:space="0" w:color="auto"/>
        <w:left w:val="none" w:sz="0" w:space="0" w:color="auto"/>
        <w:bottom w:val="none" w:sz="0" w:space="0" w:color="auto"/>
        <w:right w:val="none" w:sz="0" w:space="0" w:color="auto"/>
      </w:divBdr>
      <w:divsChild>
        <w:div w:id="1366247177">
          <w:marLeft w:val="0"/>
          <w:marRight w:val="0"/>
          <w:marTop w:val="0"/>
          <w:marBottom w:val="0"/>
          <w:divBdr>
            <w:top w:val="none" w:sz="0" w:space="0" w:color="auto"/>
            <w:left w:val="none" w:sz="0" w:space="0" w:color="auto"/>
            <w:bottom w:val="none" w:sz="0" w:space="0" w:color="auto"/>
            <w:right w:val="none" w:sz="0" w:space="0" w:color="auto"/>
          </w:divBdr>
          <w:divsChild>
            <w:div w:id="1771051322">
              <w:marLeft w:val="0"/>
              <w:marRight w:val="0"/>
              <w:marTop w:val="0"/>
              <w:marBottom w:val="0"/>
              <w:divBdr>
                <w:top w:val="none" w:sz="0" w:space="0" w:color="auto"/>
                <w:left w:val="none" w:sz="0" w:space="0" w:color="auto"/>
                <w:bottom w:val="none" w:sz="0" w:space="0" w:color="auto"/>
                <w:right w:val="none" w:sz="0" w:space="0" w:color="auto"/>
              </w:divBdr>
              <w:divsChild>
                <w:div w:id="1111122443">
                  <w:marLeft w:val="0"/>
                  <w:marRight w:val="0"/>
                  <w:marTop w:val="0"/>
                  <w:marBottom w:val="0"/>
                  <w:divBdr>
                    <w:top w:val="none" w:sz="0" w:space="0" w:color="auto"/>
                    <w:left w:val="none" w:sz="0" w:space="0" w:color="auto"/>
                    <w:bottom w:val="none" w:sz="0" w:space="0" w:color="auto"/>
                    <w:right w:val="none" w:sz="0" w:space="0" w:color="auto"/>
                  </w:divBdr>
                  <w:divsChild>
                    <w:div w:id="92302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662133">
      <w:bodyDiv w:val="1"/>
      <w:marLeft w:val="0"/>
      <w:marRight w:val="0"/>
      <w:marTop w:val="0"/>
      <w:marBottom w:val="0"/>
      <w:divBdr>
        <w:top w:val="none" w:sz="0" w:space="0" w:color="auto"/>
        <w:left w:val="none" w:sz="0" w:space="0" w:color="auto"/>
        <w:bottom w:val="none" w:sz="0" w:space="0" w:color="auto"/>
        <w:right w:val="none" w:sz="0" w:space="0" w:color="auto"/>
      </w:divBdr>
      <w:divsChild>
        <w:div w:id="1756396918">
          <w:marLeft w:val="0"/>
          <w:marRight w:val="0"/>
          <w:marTop w:val="0"/>
          <w:marBottom w:val="0"/>
          <w:divBdr>
            <w:top w:val="none" w:sz="0" w:space="0" w:color="auto"/>
            <w:left w:val="none" w:sz="0" w:space="0" w:color="auto"/>
            <w:bottom w:val="none" w:sz="0" w:space="0" w:color="auto"/>
            <w:right w:val="none" w:sz="0" w:space="0" w:color="auto"/>
          </w:divBdr>
          <w:divsChild>
            <w:div w:id="2086343814">
              <w:marLeft w:val="0"/>
              <w:marRight w:val="0"/>
              <w:marTop w:val="0"/>
              <w:marBottom w:val="0"/>
              <w:divBdr>
                <w:top w:val="none" w:sz="0" w:space="0" w:color="auto"/>
                <w:left w:val="none" w:sz="0" w:space="0" w:color="auto"/>
                <w:bottom w:val="none" w:sz="0" w:space="0" w:color="auto"/>
                <w:right w:val="none" w:sz="0" w:space="0" w:color="auto"/>
              </w:divBdr>
              <w:divsChild>
                <w:div w:id="1813909411">
                  <w:marLeft w:val="0"/>
                  <w:marRight w:val="0"/>
                  <w:marTop w:val="0"/>
                  <w:marBottom w:val="0"/>
                  <w:divBdr>
                    <w:top w:val="none" w:sz="0" w:space="0" w:color="auto"/>
                    <w:left w:val="none" w:sz="0" w:space="0" w:color="auto"/>
                    <w:bottom w:val="none" w:sz="0" w:space="0" w:color="auto"/>
                    <w:right w:val="none" w:sz="0" w:space="0" w:color="auto"/>
                  </w:divBdr>
                  <w:divsChild>
                    <w:div w:id="178607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6193258">
      <w:bodyDiv w:val="1"/>
      <w:marLeft w:val="0"/>
      <w:marRight w:val="0"/>
      <w:marTop w:val="0"/>
      <w:marBottom w:val="0"/>
      <w:divBdr>
        <w:top w:val="none" w:sz="0" w:space="0" w:color="auto"/>
        <w:left w:val="none" w:sz="0" w:space="0" w:color="auto"/>
        <w:bottom w:val="none" w:sz="0" w:space="0" w:color="auto"/>
        <w:right w:val="none" w:sz="0" w:space="0" w:color="auto"/>
      </w:divBdr>
      <w:divsChild>
        <w:div w:id="1860585125">
          <w:marLeft w:val="0"/>
          <w:marRight w:val="0"/>
          <w:marTop w:val="0"/>
          <w:marBottom w:val="0"/>
          <w:divBdr>
            <w:top w:val="none" w:sz="0" w:space="0" w:color="auto"/>
            <w:left w:val="none" w:sz="0" w:space="0" w:color="auto"/>
            <w:bottom w:val="none" w:sz="0" w:space="0" w:color="auto"/>
            <w:right w:val="none" w:sz="0" w:space="0" w:color="auto"/>
          </w:divBdr>
          <w:divsChild>
            <w:div w:id="2116175189">
              <w:marLeft w:val="0"/>
              <w:marRight w:val="0"/>
              <w:marTop w:val="0"/>
              <w:marBottom w:val="0"/>
              <w:divBdr>
                <w:top w:val="none" w:sz="0" w:space="0" w:color="auto"/>
                <w:left w:val="none" w:sz="0" w:space="0" w:color="auto"/>
                <w:bottom w:val="none" w:sz="0" w:space="0" w:color="auto"/>
                <w:right w:val="none" w:sz="0" w:space="0" w:color="auto"/>
              </w:divBdr>
              <w:divsChild>
                <w:div w:id="2027291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086334">
      <w:bodyDiv w:val="1"/>
      <w:marLeft w:val="0"/>
      <w:marRight w:val="0"/>
      <w:marTop w:val="0"/>
      <w:marBottom w:val="0"/>
      <w:divBdr>
        <w:top w:val="none" w:sz="0" w:space="0" w:color="auto"/>
        <w:left w:val="none" w:sz="0" w:space="0" w:color="auto"/>
        <w:bottom w:val="none" w:sz="0" w:space="0" w:color="auto"/>
        <w:right w:val="none" w:sz="0" w:space="0" w:color="auto"/>
      </w:divBdr>
      <w:divsChild>
        <w:div w:id="456677728">
          <w:marLeft w:val="0"/>
          <w:marRight w:val="0"/>
          <w:marTop w:val="0"/>
          <w:marBottom w:val="0"/>
          <w:divBdr>
            <w:top w:val="none" w:sz="0" w:space="0" w:color="auto"/>
            <w:left w:val="none" w:sz="0" w:space="0" w:color="auto"/>
            <w:bottom w:val="none" w:sz="0" w:space="0" w:color="auto"/>
            <w:right w:val="none" w:sz="0" w:space="0" w:color="auto"/>
          </w:divBdr>
          <w:divsChild>
            <w:div w:id="630092352">
              <w:marLeft w:val="0"/>
              <w:marRight w:val="0"/>
              <w:marTop w:val="0"/>
              <w:marBottom w:val="0"/>
              <w:divBdr>
                <w:top w:val="none" w:sz="0" w:space="0" w:color="auto"/>
                <w:left w:val="none" w:sz="0" w:space="0" w:color="auto"/>
                <w:bottom w:val="none" w:sz="0" w:space="0" w:color="auto"/>
                <w:right w:val="none" w:sz="0" w:space="0" w:color="auto"/>
              </w:divBdr>
              <w:divsChild>
                <w:div w:id="622267397">
                  <w:marLeft w:val="0"/>
                  <w:marRight w:val="0"/>
                  <w:marTop w:val="0"/>
                  <w:marBottom w:val="0"/>
                  <w:divBdr>
                    <w:top w:val="none" w:sz="0" w:space="0" w:color="auto"/>
                    <w:left w:val="none" w:sz="0" w:space="0" w:color="auto"/>
                    <w:bottom w:val="none" w:sz="0" w:space="0" w:color="auto"/>
                    <w:right w:val="none" w:sz="0" w:space="0" w:color="auto"/>
                  </w:divBdr>
                  <w:divsChild>
                    <w:div w:id="1024090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9541845">
      <w:bodyDiv w:val="1"/>
      <w:marLeft w:val="0"/>
      <w:marRight w:val="0"/>
      <w:marTop w:val="0"/>
      <w:marBottom w:val="0"/>
      <w:divBdr>
        <w:top w:val="none" w:sz="0" w:space="0" w:color="auto"/>
        <w:left w:val="none" w:sz="0" w:space="0" w:color="auto"/>
        <w:bottom w:val="none" w:sz="0" w:space="0" w:color="auto"/>
        <w:right w:val="none" w:sz="0" w:space="0" w:color="auto"/>
      </w:divBdr>
      <w:divsChild>
        <w:div w:id="1172574044">
          <w:marLeft w:val="0"/>
          <w:marRight w:val="0"/>
          <w:marTop w:val="0"/>
          <w:marBottom w:val="0"/>
          <w:divBdr>
            <w:top w:val="none" w:sz="0" w:space="0" w:color="auto"/>
            <w:left w:val="none" w:sz="0" w:space="0" w:color="auto"/>
            <w:bottom w:val="none" w:sz="0" w:space="0" w:color="auto"/>
            <w:right w:val="none" w:sz="0" w:space="0" w:color="auto"/>
          </w:divBdr>
          <w:divsChild>
            <w:div w:id="1456171681">
              <w:marLeft w:val="0"/>
              <w:marRight w:val="0"/>
              <w:marTop w:val="0"/>
              <w:marBottom w:val="0"/>
              <w:divBdr>
                <w:top w:val="none" w:sz="0" w:space="0" w:color="auto"/>
                <w:left w:val="none" w:sz="0" w:space="0" w:color="auto"/>
                <w:bottom w:val="none" w:sz="0" w:space="0" w:color="auto"/>
                <w:right w:val="none" w:sz="0" w:space="0" w:color="auto"/>
              </w:divBdr>
              <w:divsChild>
                <w:div w:id="1498573590">
                  <w:marLeft w:val="0"/>
                  <w:marRight w:val="0"/>
                  <w:marTop w:val="0"/>
                  <w:marBottom w:val="0"/>
                  <w:divBdr>
                    <w:top w:val="none" w:sz="0" w:space="0" w:color="auto"/>
                    <w:left w:val="none" w:sz="0" w:space="0" w:color="auto"/>
                    <w:bottom w:val="none" w:sz="0" w:space="0" w:color="auto"/>
                    <w:right w:val="none" w:sz="0" w:space="0" w:color="auto"/>
                  </w:divBdr>
                  <w:divsChild>
                    <w:div w:id="152602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1871470">
      <w:bodyDiv w:val="1"/>
      <w:marLeft w:val="0"/>
      <w:marRight w:val="0"/>
      <w:marTop w:val="0"/>
      <w:marBottom w:val="0"/>
      <w:divBdr>
        <w:top w:val="none" w:sz="0" w:space="0" w:color="auto"/>
        <w:left w:val="none" w:sz="0" w:space="0" w:color="auto"/>
        <w:bottom w:val="none" w:sz="0" w:space="0" w:color="auto"/>
        <w:right w:val="none" w:sz="0" w:space="0" w:color="auto"/>
      </w:divBdr>
    </w:div>
    <w:div w:id="1530334883">
      <w:bodyDiv w:val="1"/>
      <w:marLeft w:val="0"/>
      <w:marRight w:val="0"/>
      <w:marTop w:val="0"/>
      <w:marBottom w:val="0"/>
      <w:divBdr>
        <w:top w:val="none" w:sz="0" w:space="0" w:color="auto"/>
        <w:left w:val="none" w:sz="0" w:space="0" w:color="auto"/>
        <w:bottom w:val="none" w:sz="0" w:space="0" w:color="auto"/>
        <w:right w:val="none" w:sz="0" w:space="0" w:color="auto"/>
      </w:divBdr>
      <w:divsChild>
        <w:div w:id="277303094">
          <w:marLeft w:val="0"/>
          <w:marRight w:val="0"/>
          <w:marTop w:val="0"/>
          <w:marBottom w:val="0"/>
          <w:divBdr>
            <w:top w:val="none" w:sz="0" w:space="0" w:color="auto"/>
            <w:left w:val="none" w:sz="0" w:space="0" w:color="auto"/>
            <w:bottom w:val="none" w:sz="0" w:space="0" w:color="auto"/>
            <w:right w:val="none" w:sz="0" w:space="0" w:color="auto"/>
          </w:divBdr>
          <w:divsChild>
            <w:div w:id="1084495310">
              <w:marLeft w:val="0"/>
              <w:marRight w:val="0"/>
              <w:marTop w:val="0"/>
              <w:marBottom w:val="0"/>
              <w:divBdr>
                <w:top w:val="none" w:sz="0" w:space="0" w:color="auto"/>
                <w:left w:val="none" w:sz="0" w:space="0" w:color="auto"/>
                <w:bottom w:val="none" w:sz="0" w:space="0" w:color="auto"/>
                <w:right w:val="none" w:sz="0" w:space="0" w:color="auto"/>
              </w:divBdr>
              <w:divsChild>
                <w:div w:id="1617054186">
                  <w:marLeft w:val="0"/>
                  <w:marRight w:val="0"/>
                  <w:marTop w:val="0"/>
                  <w:marBottom w:val="0"/>
                  <w:divBdr>
                    <w:top w:val="none" w:sz="0" w:space="0" w:color="auto"/>
                    <w:left w:val="none" w:sz="0" w:space="0" w:color="auto"/>
                    <w:bottom w:val="none" w:sz="0" w:space="0" w:color="auto"/>
                    <w:right w:val="none" w:sz="0" w:space="0" w:color="auto"/>
                  </w:divBdr>
                  <w:divsChild>
                    <w:div w:id="779683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9942900">
      <w:bodyDiv w:val="1"/>
      <w:marLeft w:val="0"/>
      <w:marRight w:val="0"/>
      <w:marTop w:val="0"/>
      <w:marBottom w:val="0"/>
      <w:divBdr>
        <w:top w:val="none" w:sz="0" w:space="0" w:color="auto"/>
        <w:left w:val="none" w:sz="0" w:space="0" w:color="auto"/>
        <w:bottom w:val="none" w:sz="0" w:space="0" w:color="auto"/>
        <w:right w:val="none" w:sz="0" w:space="0" w:color="auto"/>
      </w:divBdr>
      <w:divsChild>
        <w:div w:id="344482739">
          <w:marLeft w:val="0"/>
          <w:marRight w:val="0"/>
          <w:marTop w:val="0"/>
          <w:marBottom w:val="0"/>
          <w:divBdr>
            <w:top w:val="none" w:sz="0" w:space="0" w:color="auto"/>
            <w:left w:val="none" w:sz="0" w:space="0" w:color="auto"/>
            <w:bottom w:val="none" w:sz="0" w:space="0" w:color="auto"/>
            <w:right w:val="none" w:sz="0" w:space="0" w:color="auto"/>
          </w:divBdr>
          <w:divsChild>
            <w:div w:id="2108502457">
              <w:marLeft w:val="0"/>
              <w:marRight w:val="0"/>
              <w:marTop w:val="0"/>
              <w:marBottom w:val="0"/>
              <w:divBdr>
                <w:top w:val="none" w:sz="0" w:space="0" w:color="auto"/>
                <w:left w:val="none" w:sz="0" w:space="0" w:color="auto"/>
                <w:bottom w:val="none" w:sz="0" w:space="0" w:color="auto"/>
                <w:right w:val="none" w:sz="0" w:space="0" w:color="auto"/>
              </w:divBdr>
              <w:divsChild>
                <w:div w:id="2055690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226439">
      <w:bodyDiv w:val="1"/>
      <w:marLeft w:val="0"/>
      <w:marRight w:val="0"/>
      <w:marTop w:val="0"/>
      <w:marBottom w:val="0"/>
      <w:divBdr>
        <w:top w:val="none" w:sz="0" w:space="0" w:color="auto"/>
        <w:left w:val="none" w:sz="0" w:space="0" w:color="auto"/>
        <w:bottom w:val="none" w:sz="0" w:space="0" w:color="auto"/>
        <w:right w:val="none" w:sz="0" w:space="0" w:color="auto"/>
      </w:divBdr>
      <w:divsChild>
        <w:div w:id="206181610">
          <w:marLeft w:val="0"/>
          <w:marRight w:val="0"/>
          <w:marTop w:val="0"/>
          <w:marBottom w:val="0"/>
          <w:divBdr>
            <w:top w:val="none" w:sz="0" w:space="0" w:color="auto"/>
            <w:left w:val="none" w:sz="0" w:space="0" w:color="auto"/>
            <w:bottom w:val="none" w:sz="0" w:space="0" w:color="auto"/>
            <w:right w:val="none" w:sz="0" w:space="0" w:color="auto"/>
          </w:divBdr>
          <w:divsChild>
            <w:div w:id="1186671085">
              <w:marLeft w:val="0"/>
              <w:marRight w:val="0"/>
              <w:marTop w:val="0"/>
              <w:marBottom w:val="0"/>
              <w:divBdr>
                <w:top w:val="none" w:sz="0" w:space="0" w:color="auto"/>
                <w:left w:val="none" w:sz="0" w:space="0" w:color="auto"/>
                <w:bottom w:val="none" w:sz="0" w:space="0" w:color="auto"/>
                <w:right w:val="none" w:sz="0" w:space="0" w:color="auto"/>
              </w:divBdr>
              <w:divsChild>
                <w:div w:id="247929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198440">
      <w:bodyDiv w:val="1"/>
      <w:marLeft w:val="0"/>
      <w:marRight w:val="0"/>
      <w:marTop w:val="0"/>
      <w:marBottom w:val="0"/>
      <w:divBdr>
        <w:top w:val="none" w:sz="0" w:space="0" w:color="auto"/>
        <w:left w:val="none" w:sz="0" w:space="0" w:color="auto"/>
        <w:bottom w:val="none" w:sz="0" w:space="0" w:color="auto"/>
        <w:right w:val="none" w:sz="0" w:space="0" w:color="auto"/>
      </w:divBdr>
      <w:divsChild>
        <w:div w:id="886144982">
          <w:marLeft w:val="0"/>
          <w:marRight w:val="0"/>
          <w:marTop w:val="0"/>
          <w:marBottom w:val="0"/>
          <w:divBdr>
            <w:top w:val="none" w:sz="0" w:space="0" w:color="auto"/>
            <w:left w:val="none" w:sz="0" w:space="0" w:color="auto"/>
            <w:bottom w:val="none" w:sz="0" w:space="0" w:color="auto"/>
            <w:right w:val="none" w:sz="0" w:space="0" w:color="auto"/>
          </w:divBdr>
          <w:divsChild>
            <w:div w:id="1911380242">
              <w:marLeft w:val="0"/>
              <w:marRight w:val="0"/>
              <w:marTop w:val="0"/>
              <w:marBottom w:val="0"/>
              <w:divBdr>
                <w:top w:val="none" w:sz="0" w:space="0" w:color="auto"/>
                <w:left w:val="none" w:sz="0" w:space="0" w:color="auto"/>
                <w:bottom w:val="none" w:sz="0" w:space="0" w:color="auto"/>
                <w:right w:val="none" w:sz="0" w:space="0" w:color="auto"/>
              </w:divBdr>
              <w:divsChild>
                <w:div w:id="148062953">
                  <w:marLeft w:val="0"/>
                  <w:marRight w:val="0"/>
                  <w:marTop w:val="0"/>
                  <w:marBottom w:val="0"/>
                  <w:divBdr>
                    <w:top w:val="none" w:sz="0" w:space="0" w:color="auto"/>
                    <w:left w:val="none" w:sz="0" w:space="0" w:color="auto"/>
                    <w:bottom w:val="none" w:sz="0" w:space="0" w:color="auto"/>
                    <w:right w:val="none" w:sz="0" w:space="0" w:color="auto"/>
                  </w:divBdr>
                  <w:divsChild>
                    <w:div w:id="1913654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135544">
      <w:bodyDiv w:val="1"/>
      <w:marLeft w:val="0"/>
      <w:marRight w:val="0"/>
      <w:marTop w:val="0"/>
      <w:marBottom w:val="0"/>
      <w:divBdr>
        <w:top w:val="none" w:sz="0" w:space="0" w:color="auto"/>
        <w:left w:val="none" w:sz="0" w:space="0" w:color="auto"/>
        <w:bottom w:val="none" w:sz="0" w:space="0" w:color="auto"/>
        <w:right w:val="none" w:sz="0" w:space="0" w:color="auto"/>
      </w:divBdr>
      <w:divsChild>
        <w:div w:id="268894227">
          <w:marLeft w:val="0"/>
          <w:marRight w:val="0"/>
          <w:marTop w:val="0"/>
          <w:marBottom w:val="0"/>
          <w:divBdr>
            <w:top w:val="none" w:sz="0" w:space="0" w:color="auto"/>
            <w:left w:val="none" w:sz="0" w:space="0" w:color="auto"/>
            <w:bottom w:val="none" w:sz="0" w:space="0" w:color="auto"/>
            <w:right w:val="none" w:sz="0" w:space="0" w:color="auto"/>
          </w:divBdr>
          <w:divsChild>
            <w:div w:id="557515463">
              <w:marLeft w:val="0"/>
              <w:marRight w:val="0"/>
              <w:marTop w:val="0"/>
              <w:marBottom w:val="0"/>
              <w:divBdr>
                <w:top w:val="none" w:sz="0" w:space="0" w:color="auto"/>
                <w:left w:val="none" w:sz="0" w:space="0" w:color="auto"/>
                <w:bottom w:val="none" w:sz="0" w:space="0" w:color="auto"/>
                <w:right w:val="none" w:sz="0" w:space="0" w:color="auto"/>
              </w:divBdr>
              <w:divsChild>
                <w:div w:id="974604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950354">
      <w:bodyDiv w:val="1"/>
      <w:marLeft w:val="0"/>
      <w:marRight w:val="0"/>
      <w:marTop w:val="0"/>
      <w:marBottom w:val="0"/>
      <w:divBdr>
        <w:top w:val="none" w:sz="0" w:space="0" w:color="auto"/>
        <w:left w:val="none" w:sz="0" w:space="0" w:color="auto"/>
        <w:bottom w:val="none" w:sz="0" w:space="0" w:color="auto"/>
        <w:right w:val="none" w:sz="0" w:space="0" w:color="auto"/>
      </w:divBdr>
    </w:div>
    <w:div w:id="1676566840">
      <w:bodyDiv w:val="1"/>
      <w:marLeft w:val="0"/>
      <w:marRight w:val="0"/>
      <w:marTop w:val="0"/>
      <w:marBottom w:val="0"/>
      <w:divBdr>
        <w:top w:val="none" w:sz="0" w:space="0" w:color="auto"/>
        <w:left w:val="none" w:sz="0" w:space="0" w:color="auto"/>
        <w:bottom w:val="none" w:sz="0" w:space="0" w:color="auto"/>
        <w:right w:val="none" w:sz="0" w:space="0" w:color="auto"/>
      </w:divBdr>
      <w:divsChild>
        <w:div w:id="1774856110">
          <w:marLeft w:val="0"/>
          <w:marRight w:val="0"/>
          <w:marTop w:val="0"/>
          <w:marBottom w:val="0"/>
          <w:divBdr>
            <w:top w:val="none" w:sz="0" w:space="0" w:color="auto"/>
            <w:left w:val="none" w:sz="0" w:space="0" w:color="auto"/>
            <w:bottom w:val="none" w:sz="0" w:space="0" w:color="auto"/>
            <w:right w:val="none" w:sz="0" w:space="0" w:color="auto"/>
          </w:divBdr>
          <w:divsChild>
            <w:div w:id="1980844010">
              <w:marLeft w:val="0"/>
              <w:marRight w:val="0"/>
              <w:marTop w:val="0"/>
              <w:marBottom w:val="0"/>
              <w:divBdr>
                <w:top w:val="none" w:sz="0" w:space="0" w:color="auto"/>
                <w:left w:val="none" w:sz="0" w:space="0" w:color="auto"/>
                <w:bottom w:val="none" w:sz="0" w:space="0" w:color="auto"/>
                <w:right w:val="none" w:sz="0" w:space="0" w:color="auto"/>
              </w:divBdr>
              <w:divsChild>
                <w:div w:id="795953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936201">
      <w:bodyDiv w:val="1"/>
      <w:marLeft w:val="0"/>
      <w:marRight w:val="0"/>
      <w:marTop w:val="0"/>
      <w:marBottom w:val="0"/>
      <w:divBdr>
        <w:top w:val="none" w:sz="0" w:space="0" w:color="auto"/>
        <w:left w:val="none" w:sz="0" w:space="0" w:color="auto"/>
        <w:bottom w:val="none" w:sz="0" w:space="0" w:color="auto"/>
        <w:right w:val="none" w:sz="0" w:space="0" w:color="auto"/>
      </w:divBdr>
      <w:divsChild>
        <w:div w:id="39715202">
          <w:marLeft w:val="0"/>
          <w:marRight w:val="0"/>
          <w:marTop w:val="0"/>
          <w:marBottom w:val="0"/>
          <w:divBdr>
            <w:top w:val="none" w:sz="0" w:space="0" w:color="auto"/>
            <w:left w:val="none" w:sz="0" w:space="0" w:color="auto"/>
            <w:bottom w:val="none" w:sz="0" w:space="0" w:color="auto"/>
            <w:right w:val="none" w:sz="0" w:space="0" w:color="auto"/>
          </w:divBdr>
          <w:divsChild>
            <w:div w:id="1048647335">
              <w:marLeft w:val="0"/>
              <w:marRight w:val="0"/>
              <w:marTop w:val="0"/>
              <w:marBottom w:val="0"/>
              <w:divBdr>
                <w:top w:val="none" w:sz="0" w:space="0" w:color="auto"/>
                <w:left w:val="none" w:sz="0" w:space="0" w:color="auto"/>
                <w:bottom w:val="none" w:sz="0" w:space="0" w:color="auto"/>
                <w:right w:val="none" w:sz="0" w:space="0" w:color="auto"/>
              </w:divBdr>
              <w:divsChild>
                <w:div w:id="337773159">
                  <w:marLeft w:val="0"/>
                  <w:marRight w:val="0"/>
                  <w:marTop w:val="0"/>
                  <w:marBottom w:val="0"/>
                  <w:divBdr>
                    <w:top w:val="none" w:sz="0" w:space="0" w:color="auto"/>
                    <w:left w:val="none" w:sz="0" w:space="0" w:color="auto"/>
                    <w:bottom w:val="none" w:sz="0" w:space="0" w:color="auto"/>
                    <w:right w:val="none" w:sz="0" w:space="0" w:color="auto"/>
                  </w:divBdr>
                  <w:divsChild>
                    <w:div w:id="591355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5835913">
      <w:bodyDiv w:val="1"/>
      <w:marLeft w:val="0"/>
      <w:marRight w:val="0"/>
      <w:marTop w:val="0"/>
      <w:marBottom w:val="0"/>
      <w:divBdr>
        <w:top w:val="none" w:sz="0" w:space="0" w:color="auto"/>
        <w:left w:val="none" w:sz="0" w:space="0" w:color="auto"/>
        <w:bottom w:val="none" w:sz="0" w:space="0" w:color="auto"/>
        <w:right w:val="none" w:sz="0" w:space="0" w:color="auto"/>
      </w:divBdr>
      <w:divsChild>
        <w:div w:id="651101701">
          <w:marLeft w:val="0"/>
          <w:marRight w:val="0"/>
          <w:marTop w:val="0"/>
          <w:marBottom w:val="0"/>
          <w:divBdr>
            <w:top w:val="none" w:sz="0" w:space="0" w:color="auto"/>
            <w:left w:val="none" w:sz="0" w:space="0" w:color="auto"/>
            <w:bottom w:val="none" w:sz="0" w:space="0" w:color="auto"/>
            <w:right w:val="none" w:sz="0" w:space="0" w:color="auto"/>
          </w:divBdr>
          <w:divsChild>
            <w:div w:id="1856922642">
              <w:marLeft w:val="0"/>
              <w:marRight w:val="0"/>
              <w:marTop w:val="0"/>
              <w:marBottom w:val="0"/>
              <w:divBdr>
                <w:top w:val="none" w:sz="0" w:space="0" w:color="auto"/>
                <w:left w:val="none" w:sz="0" w:space="0" w:color="auto"/>
                <w:bottom w:val="none" w:sz="0" w:space="0" w:color="auto"/>
                <w:right w:val="none" w:sz="0" w:space="0" w:color="auto"/>
              </w:divBdr>
              <w:divsChild>
                <w:div w:id="126052505">
                  <w:marLeft w:val="0"/>
                  <w:marRight w:val="0"/>
                  <w:marTop w:val="0"/>
                  <w:marBottom w:val="0"/>
                  <w:divBdr>
                    <w:top w:val="none" w:sz="0" w:space="0" w:color="auto"/>
                    <w:left w:val="none" w:sz="0" w:space="0" w:color="auto"/>
                    <w:bottom w:val="none" w:sz="0" w:space="0" w:color="auto"/>
                    <w:right w:val="none" w:sz="0" w:space="0" w:color="auto"/>
                  </w:divBdr>
                  <w:divsChild>
                    <w:div w:id="99202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3941456">
      <w:bodyDiv w:val="1"/>
      <w:marLeft w:val="0"/>
      <w:marRight w:val="0"/>
      <w:marTop w:val="0"/>
      <w:marBottom w:val="0"/>
      <w:divBdr>
        <w:top w:val="none" w:sz="0" w:space="0" w:color="auto"/>
        <w:left w:val="none" w:sz="0" w:space="0" w:color="auto"/>
        <w:bottom w:val="none" w:sz="0" w:space="0" w:color="auto"/>
        <w:right w:val="none" w:sz="0" w:space="0" w:color="auto"/>
      </w:divBdr>
      <w:divsChild>
        <w:div w:id="1449281400">
          <w:marLeft w:val="0"/>
          <w:marRight w:val="0"/>
          <w:marTop w:val="0"/>
          <w:marBottom w:val="0"/>
          <w:divBdr>
            <w:top w:val="none" w:sz="0" w:space="0" w:color="auto"/>
            <w:left w:val="none" w:sz="0" w:space="0" w:color="auto"/>
            <w:bottom w:val="none" w:sz="0" w:space="0" w:color="auto"/>
            <w:right w:val="none" w:sz="0" w:space="0" w:color="auto"/>
          </w:divBdr>
        </w:div>
      </w:divsChild>
    </w:div>
    <w:div w:id="1805469530">
      <w:bodyDiv w:val="1"/>
      <w:marLeft w:val="0"/>
      <w:marRight w:val="0"/>
      <w:marTop w:val="0"/>
      <w:marBottom w:val="0"/>
      <w:divBdr>
        <w:top w:val="none" w:sz="0" w:space="0" w:color="auto"/>
        <w:left w:val="none" w:sz="0" w:space="0" w:color="auto"/>
        <w:bottom w:val="none" w:sz="0" w:space="0" w:color="auto"/>
        <w:right w:val="none" w:sz="0" w:space="0" w:color="auto"/>
      </w:divBdr>
      <w:divsChild>
        <w:div w:id="380175406">
          <w:marLeft w:val="0"/>
          <w:marRight w:val="0"/>
          <w:marTop w:val="0"/>
          <w:marBottom w:val="0"/>
          <w:divBdr>
            <w:top w:val="none" w:sz="0" w:space="0" w:color="auto"/>
            <w:left w:val="none" w:sz="0" w:space="0" w:color="auto"/>
            <w:bottom w:val="none" w:sz="0" w:space="0" w:color="auto"/>
            <w:right w:val="none" w:sz="0" w:space="0" w:color="auto"/>
          </w:divBdr>
          <w:divsChild>
            <w:div w:id="643051560">
              <w:marLeft w:val="0"/>
              <w:marRight w:val="0"/>
              <w:marTop w:val="0"/>
              <w:marBottom w:val="0"/>
              <w:divBdr>
                <w:top w:val="none" w:sz="0" w:space="0" w:color="auto"/>
                <w:left w:val="none" w:sz="0" w:space="0" w:color="auto"/>
                <w:bottom w:val="none" w:sz="0" w:space="0" w:color="auto"/>
                <w:right w:val="none" w:sz="0" w:space="0" w:color="auto"/>
              </w:divBdr>
              <w:divsChild>
                <w:div w:id="24257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4105936">
      <w:bodyDiv w:val="1"/>
      <w:marLeft w:val="0"/>
      <w:marRight w:val="0"/>
      <w:marTop w:val="0"/>
      <w:marBottom w:val="0"/>
      <w:divBdr>
        <w:top w:val="none" w:sz="0" w:space="0" w:color="auto"/>
        <w:left w:val="none" w:sz="0" w:space="0" w:color="auto"/>
        <w:bottom w:val="none" w:sz="0" w:space="0" w:color="auto"/>
        <w:right w:val="none" w:sz="0" w:space="0" w:color="auto"/>
      </w:divBdr>
      <w:divsChild>
        <w:div w:id="1594894408">
          <w:marLeft w:val="0"/>
          <w:marRight w:val="0"/>
          <w:marTop w:val="0"/>
          <w:marBottom w:val="0"/>
          <w:divBdr>
            <w:top w:val="none" w:sz="0" w:space="0" w:color="auto"/>
            <w:left w:val="none" w:sz="0" w:space="0" w:color="auto"/>
            <w:bottom w:val="none" w:sz="0" w:space="0" w:color="auto"/>
            <w:right w:val="none" w:sz="0" w:space="0" w:color="auto"/>
          </w:divBdr>
          <w:divsChild>
            <w:div w:id="1912931294">
              <w:marLeft w:val="0"/>
              <w:marRight w:val="0"/>
              <w:marTop w:val="0"/>
              <w:marBottom w:val="0"/>
              <w:divBdr>
                <w:top w:val="none" w:sz="0" w:space="0" w:color="auto"/>
                <w:left w:val="none" w:sz="0" w:space="0" w:color="auto"/>
                <w:bottom w:val="none" w:sz="0" w:space="0" w:color="auto"/>
                <w:right w:val="none" w:sz="0" w:space="0" w:color="auto"/>
              </w:divBdr>
              <w:divsChild>
                <w:div w:id="2111777408">
                  <w:marLeft w:val="0"/>
                  <w:marRight w:val="0"/>
                  <w:marTop w:val="0"/>
                  <w:marBottom w:val="0"/>
                  <w:divBdr>
                    <w:top w:val="none" w:sz="0" w:space="0" w:color="auto"/>
                    <w:left w:val="none" w:sz="0" w:space="0" w:color="auto"/>
                    <w:bottom w:val="none" w:sz="0" w:space="0" w:color="auto"/>
                    <w:right w:val="none" w:sz="0" w:space="0" w:color="auto"/>
                  </w:divBdr>
                  <w:divsChild>
                    <w:div w:id="78211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1724335">
      <w:bodyDiv w:val="1"/>
      <w:marLeft w:val="0"/>
      <w:marRight w:val="0"/>
      <w:marTop w:val="0"/>
      <w:marBottom w:val="0"/>
      <w:divBdr>
        <w:top w:val="none" w:sz="0" w:space="0" w:color="auto"/>
        <w:left w:val="none" w:sz="0" w:space="0" w:color="auto"/>
        <w:bottom w:val="none" w:sz="0" w:space="0" w:color="auto"/>
        <w:right w:val="none" w:sz="0" w:space="0" w:color="auto"/>
      </w:divBdr>
    </w:div>
    <w:div w:id="1863780434">
      <w:bodyDiv w:val="1"/>
      <w:marLeft w:val="0"/>
      <w:marRight w:val="0"/>
      <w:marTop w:val="0"/>
      <w:marBottom w:val="0"/>
      <w:divBdr>
        <w:top w:val="none" w:sz="0" w:space="0" w:color="auto"/>
        <w:left w:val="none" w:sz="0" w:space="0" w:color="auto"/>
        <w:bottom w:val="none" w:sz="0" w:space="0" w:color="auto"/>
        <w:right w:val="none" w:sz="0" w:space="0" w:color="auto"/>
      </w:divBdr>
      <w:divsChild>
        <w:div w:id="135690028">
          <w:marLeft w:val="0"/>
          <w:marRight w:val="0"/>
          <w:marTop w:val="0"/>
          <w:marBottom w:val="0"/>
          <w:divBdr>
            <w:top w:val="none" w:sz="0" w:space="0" w:color="auto"/>
            <w:left w:val="none" w:sz="0" w:space="0" w:color="auto"/>
            <w:bottom w:val="none" w:sz="0" w:space="0" w:color="auto"/>
            <w:right w:val="none" w:sz="0" w:space="0" w:color="auto"/>
          </w:divBdr>
          <w:divsChild>
            <w:div w:id="743333551">
              <w:marLeft w:val="0"/>
              <w:marRight w:val="0"/>
              <w:marTop w:val="0"/>
              <w:marBottom w:val="0"/>
              <w:divBdr>
                <w:top w:val="none" w:sz="0" w:space="0" w:color="auto"/>
                <w:left w:val="none" w:sz="0" w:space="0" w:color="auto"/>
                <w:bottom w:val="none" w:sz="0" w:space="0" w:color="auto"/>
                <w:right w:val="none" w:sz="0" w:space="0" w:color="auto"/>
              </w:divBdr>
              <w:divsChild>
                <w:div w:id="975180355">
                  <w:marLeft w:val="0"/>
                  <w:marRight w:val="0"/>
                  <w:marTop w:val="0"/>
                  <w:marBottom w:val="0"/>
                  <w:divBdr>
                    <w:top w:val="none" w:sz="0" w:space="0" w:color="auto"/>
                    <w:left w:val="none" w:sz="0" w:space="0" w:color="auto"/>
                    <w:bottom w:val="none" w:sz="0" w:space="0" w:color="auto"/>
                    <w:right w:val="none" w:sz="0" w:space="0" w:color="auto"/>
                  </w:divBdr>
                  <w:divsChild>
                    <w:div w:id="209632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840776">
      <w:bodyDiv w:val="1"/>
      <w:marLeft w:val="0"/>
      <w:marRight w:val="0"/>
      <w:marTop w:val="0"/>
      <w:marBottom w:val="0"/>
      <w:divBdr>
        <w:top w:val="none" w:sz="0" w:space="0" w:color="auto"/>
        <w:left w:val="none" w:sz="0" w:space="0" w:color="auto"/>
        <w:bottom w:val="none" w:sz="0" w:space="0" w:color="auto"/>
        <w:right w:val="none" w:sz="0" w:space="0" w:color="auto"/>
      </w:divBdr>
    </w:div>
    <w:div w:id="1935740562">
      <w:bodyDiv w:val="1"/>
      <w:marLeft w:val="0"/>
      <w:marRight w:val="0"/>
      <w:marTop w:val="0"/>
      <w:marBottom w:val="0"/>
      <w:divBdr>
        <w:top w:val="none" w:sz="0" w:space="0" w:color="auto"/>
        <w:left w:val="none" w:sz="0" w:space="0" w:color="auto"/>
        <w:bottom w:val="none" w:sz="0" w:space="0" w:color="auto"/>
        <w:right w:val="none" w:sz="0" w:space="0" w:color="auto"/>
      </w:divBdr>
      <w:divsChild>
        <w:div w:id="529800817">
          <w:marLeft w:val="0"/>
          <w:marRight w:val="0"/>
          <w:marTop w:val="0"/>
          <w:marBottom w:val="0"/>
          <w:divBdr>
            <w:top w:val="none" w:sz="0" w:space="0" w:color="auto"/>
            <w:left w:val="none" w:sz="0" w:space="0" w:color="auto"/>
            <w:bottom w:val="none" w:sz="0" w:space="0" w:color="auto"/>
            <w:right w:val="none" w:sz="0" w:space="0" w:color="auto"/>
          </w:divBdr>
          <w:divsChild>
            <w:div w:id="1243684103">
              <w:marLeft w:val="0"/>
              <w:marRight w:val="0"/>
              <w:marTop w:val="0"/>
              <w:marBottom w:val="0"/>
              <w:divBdr>
                <w:top w:val="none" w:sz="0" w:space="0" w:color="auto"/>
                <w:left w:val="none" w:sz="0" w:space="0" w:color="auto"/>
                <w:bottom w:val="none" w:sz="0" w:space="0" w:color="auto"/>
                <w:right w:val="none" w:sz="0" w:space="0" w:color="auto"/>
              </w:divBdr>
              <w:divsChild>
                <w:div w:id="453133649">
                  <w:marLeft w:val="0"/>
                  <w:marRight w:val="0"/>
                  <w:marTop w:val="0"/>
                  <w:marBottom w:val="0"/>
                  <w:divBdr>
                    <w:top w:val="none" w:sz="0" w:space="0" w:color="auto"/>
                    <w:left w:val="none" w:sz="0" w:space="0" w:color="auto"/>
                    <w:bottom w:val="none" w:sz="0" w:space="0" w:color="auto"/>
                    <w:right w:val="none" w:sz="0" w:space="0" w:color="auto"/>
                  </w:divBdr>
                  <w:divsChild>
                    <w:div w:id="112099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478419">
      <w:bodyDiv w:val="1"/>
      <w:marLeft w:val="0"/>
      <w:marRight w:val="0"/>
      <w:marTop w:val="0"/>
      <w:marBottom w:val="0"/>
      <w:divBdr>
        <w:top w:val="none" w:sz="0" w:space="0" w:color="auto"/>
        <w:left w:val="none" w:sz="0" w:space="0" w:color="auto"/>
        <w:bottom w:val="none" w:sz="0" w:space="0" w:color="auto"/>
        <w:right w:val="none" w:sz="0" w:space="0" w:color="auto"/>
      </w:divBdr>
      <w:divsChild>
        <w:div w:id="1380593513">
          <w:marLeft w:val="0"/>
          <w:marRight w:val="0"/>
          <w:marTop w:val="0"/>
          <w:marBottom w:val="0"/>
          <w:divBdr>
            <w:top w:val="none" w:sz="0" w:space="0" w:color="auto"/>
            <w:left w:val="none" w:sz="0" w:space="0" w:color="auto"/>
            <w:bottom w:val="none" w:sz="0" w:space="0" w:color="auto"/>
            <w:right w:val="none" w:sz="0" w:space="0" w:color="auto"/>
          </w:divBdr>
          <w:divsChild>
            <w:div w:id="1909807362">
              <w:marLeft w:val="0"/>
              <w:marRight w:val="0"/>
              <w:marTop w:val="0"/>
              <w:marBottom w:val="0"/>
              <w:divBdr>
                <w:top w:val="none" w:sz="0" w:space="0" w:color="auto"/>
                <w:left w:val="none" w:sz="0" w:space="0" w:color="auto"/>
                <w:bottom w:val="none" w:sz="0" w:space="0" w:color="auto"/>
                <w:right w:val="none" w:sz="0" w:space="0" w:color="auto"/>
              </w:divBdr>
              <w:divsChild>
                <w:div w:id="100744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5495">
      <w:bodyDiv w:val="1"/>
      <w:marLeft w:val="0"/>
      <w:marRight w:val="0"/>
      <w:marTop w:val="0"/>
      <w:marBottom w:val="0"/>
      <w:divBdr>
        <w:top w:val="none" w:sz="0" w:space="0" w:color="auto"/>
        <w:left w:val="none" w:sz="0" w:space="0" w:color="auto"/>
        <w:bottom w:val="none" w:sz="0" w:space="0" w:color="auto"/>
        <w:right w:val="none" w:sz="0" w:space="0" w:color="auto"/>
      </w:divBdr>
      <w:divsChild>
        <w:div w:id="1620644508">
          <w:marLeft w:val="0"/>
          <w:marRight w:val="0"/>
          <w:marTop w:val="0"/>
          <w:marBottom w:val="0"/>
          <w:divBdr>
            <w:top w:val="none" w:sz="0" w:space="0" w:color="auto"/>
            <w:left w:val="none" w:sz="0" w:space="0" w:color="auto"/>
            <w:bottom w:val="none" w:sz="0" w:space="0" w:color="auto"/>
            <w:right w:val="none" w:sz="0" w:space="0" w:color="auto"/>
          </w:divBdr>
          <w:divsChild>
            <w:div w:id="766006357">
              <w:marLeft w:val="0"/>
              <w:marRight w:val="0"/>
              <w:marTop w:val="0"/>
              <w:marBottom w:val="0"/>
              <w:divBdr>
                <w:top w:val="none" w:sz="0" w:space="0" w:color="auto"/>
                <w:left w:val="none" w:sz="0" w:space="0" w:color="auto"/>
                <w:bottom w:val="none" w:sz="0" w:space="0" w:color="auto"/>
                <w:right w:val="none" w:sz="0" w:space="0" w:color="auto"/>
              </w:divBdr>
              <w:divsChild>
                <w:div w:id="345981157">
                  <w:marLeft w:val="0"/>
                  <w:marRight w:val="0"/>
                  <w:marTop w:val="0"/>
                  <w:marBottom w:val="0"/>
                  <w:divBdr>
                    <w:top w:val="none" w:sz="0" w:space="0" w:color="auto"/>
                    <w:left w:val="none" w:sz="0" w:space="0" w:color="auto"/>
                    <w:bottom w:val="none" w:sz="0" w:space="0" w:color="auto"/>
                    <w:right w:val="none" w:sz="0" w:space="0" w:color="auto"/>
                  </w:divBdr>
                  <w:divsChild>
                    <w:div w:id="824736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055254">
      <w:bodyDiv w:val="1"/>
      <w:marLeft w:val="0"/>
      <w:marRight w:val="0"/>
      <w:marTop w:val="0"/>
      <w:marBottom w:val="0"/>
      <w:divBdr>
        <w:top w:val="none" w:sz="0" w:space="0" w:color="auto"/>
        <w:left w:val="none" w:sz="0" w:space="0" w:color="auto"/>
        <w:bottom w:val="none" w:sz="0" w:space="0" w:color="auto"/>
        <w:right w:val="none" w:sz="0" w:space="0" w:color="auto"/>
      </w:divBdr>
      <w:divsChild>
        <w:div w:id="777721911">
          <w:marLeft w:val="0"/>
          <w:marRight w:val="0"/>
          <w:marTop w:val="0"/>
          <w:marBottom w:val="0"/>
          <w:divBdr>
            <w:top w:val="none" w:sz="0" w:space="0" w:color="auto"/>
            <w:left w:val="none" w:sz="0" w:space="0" w:color="auto"/>
            <w:bottom w:val="none" w:sz="0" w:space="0" w:color="auto"/>
            <w:right w:val="none" w:sz="0" w:space="0" w:color="auto"/>
          </w:divBdr>
          <w:divsChild>
            <w:div w:id="1912544042">
              <w:marLeft w:val="0"/>
              <w:marRight w:val="0"/>
              <w:marTop w:val="0"/>
              <w:marBottom w:val="0"/>
              <w:divBdr>
                <w:top w:val="none" w:sz="0" w:space="0" w:color="auto"/>
                <w:left w:val="none" w:sz="0" w:space="0" w:color="auto"/>
                <w:bottom w:val="none" w:sz="0" w:space="0" w:color="auto"/>
                <w:right w:val="none" w:sz="0" w:space="0" w:color="auto"/>
              </w:divBdr>
              <w:divsChild>
                <w:div w:id="785930583">
                  <w:marLeft w:val="0"/>
                  <w:marRight w:val="0"/>
                  <w:marTop w:val="0"/>
                  <w:marBottom w:val="0"/>
                  <w:divBdr>
                    <w:top w:val="none" w:sz="0" w:space="0" w:color="auto"/>
                    <w:left w:val="none" w:sz="0" w:space="0" w:color="auto"/>
                    <w:bottom w:val="none" w:sz="0" w:space="0" w:color="auto"/>
                    <w:right w:val="none" w:sz="0" w:space="0" w:color="auto"/>
                  </w:divBdr>
                  <w:divsChild>
                    <w:div w:id="1285501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8969671">
      <w:bodyDiv w:val="1"/>
      <w:marLeft w:val="0"/>
      <w:marRight w:val="0"/>
      <w:marTop w:val="0"/>
      <w:marBottom w:val="0"/>
      <w:divBdr>
        <w:top w:val="none" w:sz="0" w:space="0" w:color="auto"/>
        <w:left w:val="none" w:sz="0" w:space="0" w:color="auto"/>
        <w:bottom w:val="none" w:sz="0" w:space="0" w:color="auto"/>
        <w:right w:val="none" w:sz="0" w:space="0" w:color="auto"/>
      </w:divBdr>
      <w:divsChild>
        <w:div w:id="604002890">
          <w:marLeft w:val="0"/>
          <w:marRight w:val="0"/>
          <w:marTop w:val="0"/>
          <w:marBottom w:val="0"/>
          <w:divBdr>
            <w:top w:val="none" w:sz="0" w:space="0" w:color="auto"/>
            <w:left w:val="none" w:sz="0" w:space="0" w:color="auto"/>
            <w:bottom w:val="none" w:sz="0" w:space="0" w:color="auto"/>
            <w:right w:val="none" w:sz="0" w:space="0" w:color="auto"/>
          </w:divBdr>
          <w:divsChild>
            <w:div w:id="2131631951">
              <w:marLeft w:val="0"/>
              <w:marRight w:val="0"/>
              <w:marTop w:val="0"/>
              <w:marBottom w:val="0"/>
              <w:divBdr>
                <w:top w:val="none" w:sz="0" w:space="0" w:color="auto"/>
                <w:left w:val="none" w:sz="0" w:space="0" w:color="auto"/>
                <w:bottom w:val="none" w:sz="0" w:space="0" w:color="auto"/>
                <w:right w:val="none" w:sz="0" w:space="0" w:color="auto"/>
              </w:divBdr>
              <w:divsChild>
                <w:div w:id="1789278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733202">
      <w:bodyDiv w:val="1"/>
      <w:marLeft w:val="0"/>
      <w:marRight w:val="0"/>
      <w:marTop w:val="0"/>
      <w:marBottom w:val="0"/>
      <w:divBdr>
        <w:top w:val="none" w:sz="0" w:space="0" w:color="auto"/>
        <w:left w:val="none" w:sz="0" w:space="0" w:color="auto"/>
        <w:bottom w:val="none" w:sz="0" w:space="0" w:color="auto"/>
        <w:right w:val="none" w:sz="0" w:space="0" w:color="auto"/>
      </w:divBdr>
    </w:div>
    <w:div w:id="2010210107">
      <w:bodyDiv w:val="1"/>
      <w:marLeft w:val="0"/>
      <w:marRight w:val="0"/>
      <w:marTop w:val="0"/>
      <w:marBottom w:val="0"/>
      <w:divBdr>
        <w:top w:val="none" w:sz="0" w:space="0" w:color="auto"/>
        <w:left w:val="none" w:sz="0" w:space="0" w:color="auto"/>
        <w:bottom w:val="none" w:sz="0" w:space="0" w:color="auto"/>
        <w:right w:val="none" w:sz="0" w:space="0" w:color="auto"/>
      </w:divBdr>
      <w:divsChild>
        <w:div w:id="1597440347">
          <w:marLeft w:val="0"/>
          <w:marRight w:val="0"/>
          <w:marTop w:val="0"/>
          <w:marBottom w:val="0"/>
          <w:divBdr>
            <w:top w:val="none" w:sz="0" w:space="0" w:color="auto"/>
            <w:left w:val="none" w:sz="0" w:space="0" w:color="auto"/>
            <w:bottom w:val="none" w:sz="0" w:space="0" w:color="auto"/>
            <w:right w:val="none" w:sz="0" w:space="0" w:color="auto"/>
          </w:divBdr>
          <w:divsChild>
            <w:div w:id="299455249">
              <w:marLeft w:val="0"/>
              <w:marRight w:val="0"/>
              <w:marTop w:val="0"/>
              <w:marBottom w:val="0"/>
              <w:divBdr>
                <w:top w:val="none" w:sz="0" w:space="0" w:color="auto"/>
                <w:left w:val="none" w:sz="0" w:space="0" w:color="auto"/>
                <w:bottom w:val="none" w:sz="0" w:space="0" w:color="auto"/>
                <w:right w:val="none" w:sz="0" w:space="0" w:color="auto"/>
              </w:divBdr>
              <w:divsChild>
                <w:div w:id="2005547950">
                  <w:marLeft w:val="0"/>
                  <w:marRight w:val="0"/>
                  <w:marTop w:val="0"/>
                  <w:marBottom w:val="0"/>
                  <w:divBdr>
                    <w:top w:val="none" w:sz="0" w:space="0" w:color="auto"/>
                    <w:left w:val="none" w:sz="0" w:space="0" w:color="auto"/>
                    <w:bottom w:val="none" w:sz="0" w:space="0" w:color="auto"/>
                    <w:right w:val="none" w:sz="0" w:space="0" w:color="auto"/>
                  </w:divBdr>
                  <w:divsChild>
                    <w:div w:id="136139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5067862">
      <w:bodyDiv w:val="1"/>
      <w:marLeft w:val="0"/>
      <w:marRight w:val="0"/>
      <w:marTop w:val="0"/>
      <w:marBottom w:val="0"/>
      <w:divBdr>
        <w:top w:val="none" w:sz="0" w:space="0" w:color="auto"/>
        <w:left w:val="none" w:sz="0" w:space="0" w:color="auto"/>
        <w:bottom w:val="none" w:sz="0" w:space="0" w:color="auto"/>
        <w:right w:val="none" w:sz="0" w:space="0" w:color="auto"/>
      </w:divBdr>
      <w:divsChild>
        <w:div w:id="386417205">
          <w:marLeft w:val="0"/>
          <w:marRight w:val="0"/>
          <w:marTop w:val="0"/>
          <w:marBottom w:val="0"/>
          <w:divBdr>
            <w:top w:val="none" w:sz="0" w:space="0" w:color="auto"/>
            <w:left w:val="none" w:sz="0" w:space="0" w:color="auto"/>
            <w:bottom w:val="none" w:sz="0" w:space="0" w:color="auto"/>
            <w:right w:val="none" w:sz="0" w:space="0" w:color="auto"/>
          </w:divBdr>
          <w:divsChild>
            <w:div w:id="491675388">
              <w:marLeft w:val="0"/>
              <w:marRight w:val="0"/>
              <w:marTop w:val="0"/>
              <w:marBottom w:val="0"/>
              <w:divBdr>
                <w:top w:val="none" w:sz="0" w:space="0" w:color="auto"/>
                <w:left w:val="none" w:sz="0" w:space="0" w:color="auto"/>
                <w:bottom w:val="none" w:sz="0" w:space="0" w:color="auto"/>
                <w:right w:val="none" w:sz="0" w:space="0" w:color="auto"/>
              </w:divBdr>
              <w:divsChild>
                <w:div w:id="99807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6637878">
      <w:bodyDiv w:val="1"/>
      <w:marLeft w:val="0"/>
      <w:marRight w:val="0"/>
      <w:marTop w:val="0"/>
      <w:marBottom w:val="0"/>
      <w:divBdr>
        <w:top w:val="none" w:sz="0" w:space="0" w:color="auto"/>
        <w:left w:val="none" w:sz="0" w:space="0" w:color="auto"/>
        <w:bottom w:val="none" w:sz="0" w:space="0" w:color="auto"/>
        <w:right w:val="none" w:sz="0" w:space="0" w:color="auto"/>
      </w:divBdr>
      <w:divsChild>
        <w:div w:id="50427689">
          <w:marLeft w:val="0"/>
          <w:marRight w:val="0"/>
          <w:marTop w:val="0"/>
          <w:marBottom w:val="0"/>
          <w:divBdr>
            <w:top w:val="none" w:sz="0" w:space="0" w:color="auto"/>
            <w:left w:val="none" w:sz="0" w:space="0" w:color="auto"/>
            <w:bottom w:val="none" w:sz="0" w:space="0" w:color="auto"/>
            <w:right w:val="none" w:sz="0" w:space="0" w:color="auto"/>
          </w:divBdr>
          <w:divsChild>
            <w:div w:id="1319504767">
              <w:marLeft w:val="0"/>
              <w:marRight w:val="0"/>
              <w:marTop w:val="0"/>
              <w:marBottom w:val="0"/>
              <w:divBdr>
                <w:top w:val="none" w:sz="0" w:space="0" w:color="auto"/>
                <w:left w:val="none" w:sz="0" w:space="0" w:color="auto"/>
                <w:bottom w:val="none" w:sz="0" w:space="0" w:color="auto"/>
                <w:right w:val="none" w:sz="0" w:space="0" w:color="auto"/>
              </w:divBdr>
              <w:divsChild>
                <w:div w:id="283538636">
                  <w:marLeft w:val="0"/>
                  <w:marRight w:val="0"/>
                  <w:marTop w:val="0"/>
                  <w:marBottom w:val="0"/>
                  <w:divBdr>
                    <w:top w:val="none" w:sz="0" w:space="0" w:color="auto"/>
                    <w:left w:val="none" w:sz="0" w:space="0" w:color="auto"/>
                    <w:bottom w:val="none" w:sz="0" w:space="0" w:color="auto"/>
                    <w:right w:val="none" w:sz="0" w:space="0" w:color="auto"/>
                  </w:divBdr>
                  <w:divsChild>
                    <w:div w:id="5440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9720011">
      <w:bodyDiv w:val="1"/>
      <w:marLeft w:val="0"/>
      <w:marRight w:val="0"/>
      <w:marTop w:val="0"/>
      <w:marBottom w:val="0"/>
      <w:divBdr>
        <w:top w:val="none" w:sz="0" w:space="0" w:color="auto"/>
        <w:left w:val="none" w:sz="0" w:space="0" w:color="auto"/>
        <w:bottom w:val="none" w:sz="0" w:space="0" w:color="auto"/>
        <w:right w:val="none" w:sz="0" w:space="0" w:color="auto"/>
      </w:divBdr>
      <w:divsChild>
        <w:div w:id="500197964">
          <w:marLeft w:val="0"/>
          <w:marRight w:val="0"/>
          <w:marTop w:val="0"/>
          <w:marBottom w:val="0"/>
          <w:divBdr>
            <w:top w:val="none" w:sz="0" w:space="0" w:color="auto"/>
            <w:left w:val="none" w:sz="0" w:space="0" w:color="auto"/>
            <w:bottom w:val="none" w:sz="0" w:space="0" w:color="auto"/>
            <w:right w:val="none" w:sz="0" w:space="0" w:color="auto"/>
          </w:divBdr>
          <w:divsChild>
            <w:div w:id="1058824790">
              <w:marLeft w:val="0"/>
              <w:marRight w:val="0"/>
              <w:marTop w:val="0"/>
              <w:marBottom w:val="0"/>
              <w:divBdr>
                <w:top w:val="none" w:sz="0" w:space="0" w:color="auto"/>
                <w:left w:val="none" w:sz="0" w:space="0" w:color="auto"/>
                <w:bottom w:val="none" w:sz="0" w:space="0" w:color="auto"/>
                <w:right w:val="none" w:sz="0" w:space="0" w:color="auto"/>
              </w:divBdr>
              <w:divsChild>
                <w:div w:id="1828469993">
                  <w:marLeft w:val="0"/>
                  <w:marRight w:val="0"/>
                  <w:marTop w:val="0"/>
                  <w:marBottom w:val="0"/>
                  <w:divBdr>
                    <w:top w:val="none" w:sz="0" w:space="0" w:color="auto"/>
                    <w:left w:val="none" w:sz="0" w:space="0" w:color="auto"/>
                    <w:bottom w:val="none" w:sz="0" w:space="0" w:color="auto"/>
                    <w:right w:val="none" w:sz="0" w:space="0" w:color="auto"/>
                  </w:divBdr>
                  <w:divsChild>
                    <w:div w:id="131611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430665">
      <w:bodyDiv w:val="1"/>
      <w:marLeft w:val="0"/>
      <w:marRight w:val="0"/>
      <w:marTop w:val="0"/>
      <w:marBottom w:val="0"/>
      <w:divBdr>
        <w:top w:val="none" w:sz="0" w:space="0" w:color="auto"/>
        <w:left w:val="none" w:sz="0" w:space="0" w:color="auto"/>
        <w:bottom w:val="none" w:sz="0" w:space="0" w:color="auto"/>
        <w:right w:val="none" w:sz="0" w:space="0" w:color="auto"/>
      </w:divBdr>
      <w:divsChild>
        <w:div w:id="1310091828">
          <w:marLeft w:val="0"/>
          <w:marRight w:val="0"/>
          <w:marTop w:val="0"/>
          <w:marBottom w:val="0"/>
          <w:divBdr>
            <w:top w:val="none" w:sz="0" w:space="0" w:color="auto"/>
            <w:left w:val="none" w:sz="0" w:space="0" w:color="auto"/>
            <w:bottom w:val="none" w:sz="0" w:space="0" w:color="auto"/>
            <w:right w:val="none" w:sz="0" w:space="0" w:color="auto"/>
          </w:divBdr>
          <w:divsChild>
            <w:div w:id="97918329">
              <w:marLeft w:val="0"/>
              <w:marRight w:val="0"/>
              <w:marTop w:val="0"/>
              <w:marBottom w:val="0"/>
              <w:divBdr>
                <w:top w:val="none" w:sz="0" w:space="0" w:color="auto"/>
                <w:left w:val="none" w:sz="0" w:space="0" w:color="auto"/>
                <w:bottom w:val="none" w:sz="0" w:space="0" w:color="auto"/>
                <w:right w:val="none" w:sz="0" w:space="0" w:color="auto"/>
              </w:divBdr>
              <w:divsChild>
                <w:div w:id="1119571590">
                  <w:marLeft w:val="0"/>
                  <w:marRight w:val="0"/>
                  <w:marTop w:val="0"/>
                  <w:marBottom w:val="0"/>
                  <w:divBdr>
                    <w:top w:val="none" w:sz="0" w:space="0" w:color="auto"/>
                    <w:left w:val="none" w:sz="0" w:space="0" w:color="auto"/>
                    <w:bottom w:val="none" w:sz="0" w:space="0" w:color="auto"/>
                    <w:right w:val="none" w:sz="0" w:space="0" w:color="auto"/>
                  </w:divBdr>
                  <w:divsChild>
                    <w:div w:id="26477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ris.who.int/handle/10665/366279" TargetMode="External"/><Relationship Id="rId18" Type="http://schemas.openxmlformats.org/officeDocument/2006/relationships/hyperlink" Target="https://www.cymorthcymru.org.uk/wp-content/uploads/2024/08/HF-Principles-2024-Eng.pdf" TargetMode="External"/><Relationship Id="rId26" Type="http://schemas.openxmlformats.org/officeDocument/2006/relationships/hyperlink" Target="https://emedia1.nhs.wales/PublicHealthWales/assets/Shaping%20Places%20for%20Wellbeing%20Images/SPWW-Programme-briefing-&#8211;-March-V1.0.pdf" TargetMode="External"/><Relationship Id="rId39" Type="http://schemas.openxmlformats.org/officeDocument/2006/relationships/hyperlink" Target="https://onlineservices.glasgow.gov.uk/councillorsandcommittees/viewSelectedDocument.asp?c=P62AFQDNZ3DXNT81UT" TargetMode="External"/><Relationship Id="rId21" Type="http://schemas.openxmlformats.org/officeDocument/2006/relationships/hyperlink" Target="https://phw.nhs.wales/services-and-teams/healthy-working-wales/reports/the-rise-in-economic-inactivity-due-to-ill-health/" TargetMode="External"/><Relationship Id="rId34" Type="http://schemas.openxmlformats.org/officeDocument/2006/relationships/hyperlink" Target="https://www.gov.wales/sites/default/files/pdf-versions/2023/8/2/1690888276/health-and-social-care-quality-and-engagement-wales-act-summary.pdf"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gov.wales/fair-work-wales" TargetMode="External"/><Relationship Id="rId20" Type="http://schemas.openxmlformats.org/officeDocument/2006/relationships/hyperlink" Target="http://julkaisut.valtioneuvosto.fi/handle/10024/161361" TargetMode="External"/><Relationship Id="rId29" Type="http://schemas.openxmlformats.org/officeDocument/2006/relationships/hyperlink" Target="https://www.gov.wales/sites/default/files/publications/2021-11/ending-homelessness-high-level-action-plan-2021-2026_0.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hyperlink" Target="https://www.ons.gov.uk/peoplepopulationandcommunity/populationandmigration/populationestimates/bulletins/populationestimatesforenglandandwales/mid2023" TargetMode="External"/><Relationship Id="rId32" Type="http://schemas.openxmlformats.org/officeDocument/2006/relationships/hyperlink" Target="https://www.gov.wales/sites/default/files/publications/2022-05/stronger-fairer-greener-wales-plan-employability-and-skills0.pdf" TargetMode="External"/><Relationship Id="rId37" Type="http://schemas.openxmlformats.org/officeDocument/2006/relationships/hyperlink" Target="https://www.gov.wales/sites/default/files/pdf-versions/2024/3/5/1709916045/new-warm-homes-programme-integrated-impact-assessment.pdf" TargetMode="External"/><Relationship Id="rId40" Type="http://schemas.openxmlformats.org/officeDocument/2006/relationships/hyperlink" Target="https://iris.who.int/bitstream/handle/10665/366279/WHO-EURO-2023-7033-46799-68216-eng.pdf?sequence=3" TargetMode="External"/><Relationship Id="rId5" Type="http://schemas.openxmlformats.org/officeDocument/2006/relationships/numbering" Target="numbering.xml"/><Relationship Id="rId15" Type="http://schemas.openxmlformats.org/officeDocument/2006/relationships/hyperlink" Target="https://bevancommission.org/the-future-foundations-for-the-future-model-of-health-and-care-in-wales/" TargetMode="External"/><Relationship Id="rId23" Type="http://schemas.openxmlformats.org/officeDocument/2006/relationships/hyperlink" Target="https://fingertips.phe.org.uk/documents/Absolute%20and%20relative%20inequality%20explainer_OHID.pdf" TargetMode="External"/><Relationship Id="rId28" Type="http://schemas.openxmlformats.org/officeDocument/2006/relationships/hyperlink" Target="https://www.gov.wales/sites/default/files/publications/2021-03/a-more-equal-wales.pdf" TargetMode="External"/><Relationship Id="rId36" Type="http://schemas.openxmlformats.org/officeDocument/2006/relationships/hyperlink" Target="https://www.gov.wales/sites/default/files/pdf-versions/2023/8/4/1692865297/promote-prevent-and-prepare-planned-care.pdf" TargetMode="External"/><Relationship Id="rId10" Type="http://schemas.openxmlformats.org/officeDocument/2006/relationships/endnotes" Target="endnotes.xml"/><Relationship Id="rId19" Type="http://schemas.openxmlformats.org/officeDocument/2006/relationships/hyperlink" Target="http://phw.nhs.wales/FairWork" TargetMode="External"/><Relationship Id="rId31" Type="http://schemas.openxmlformats.org/officeDocument/2006/relationships/hyperlink" Target="https://gov.wales/basic-income-care-leavers-wales-pilot-announce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evanfoundation.org/publications/making-welfare-wales-benefits-people%20working-age-devolved/" TargetMode="External"/><Relationship Id="rId22" Type="http://schemas.openxmlformats.org/officeDocument/2006/relationships/hyperlink" Target="https://www.legislation.govt.nz/act/public/2022/0058/latest/LMS655984.html" TargetMode="External"/><Relationship Id="rId27" Type="http://schemas.openxmlformats.org/officeDocument/2006/relationships/hyperlink" Target="https://gov.wales/sites/default/files/publications/2019-06/national-indicators-for-wales.pdf" TargetMode="External"/><Relationship Id="rId30" Type="http://schemas.openxmlformats.org/officeDocument/2006/relationships/hyperlink" Target="https://www.gov.wales/sites/default/files/publications/2022-04/our-programme-for-transforming--and-modernising-planned-care-and-reducing-waiting-lists-in-wales.pdf" TargetMode="External"/><Relationship Id="rId35" Type="http://schemas.openxmlformats.org/officeDocument/2006/relationships/hyperlink" Target="https://www.gov.wales/health-impact-assessment-regulations"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2.xml"/><Relationship Id="rId17" Type="http://schemas.openxmlformats.org/officeDocument/2006/relationships/hyperlink" Target="https://www.futuregenerations.wales/news/housing-is-fundamental-to-well-being-in-wales" TargetMode="External"/><Relationship Id="rId25" Type="http://schemas.openxmlformats.org/officeDocument/2006/relationships/hyperlink" Target="https://phw.nhs.wales/about-us/working-together-for-a-healthier-wales/our-strategic-plan-2023-2026/" TargetMode="External"/><Relationship Id="rId33" Type="http://schemas.openxmlformats.org/officeDocument/2006/relationships/hyperlink" Target="https://www.gov.wales/sites/default/files/pdf-versions/2022/4/4/1649928662/expanding-childcare-support-cabinet-paper.pdf" TargetMode="External"/><Relationship Id="rId38" Type="http://schemas.openxmlformats.org/officeDocument/2006/relationships/hyperlink" Target="https://business.senedd.wales/documents/s132413/Research%20Brief.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2f58896-fdde-4ea5-b0be-b30a1b8fd6fc" xsi:nil="true"/>
    <lcf76f155ced4ddcb4097134ff3c332f xmlns="f2512f7f-c049-4f9b-9aac-2a44323c8c08">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7515D2150F0F84BA12C138755290BDA" ma:contentTypeVersion="12" ma:contentTypeDescription="Create a new document." ma:contentTypeScope="" ma:versionID="d6595e7a5730e081e893ba163cd47640">
  <xsd:schema xmlns:xsd="http://www.w3.org/2001/XMLSchema" xmlns:xs="http://www.w3.org/2001/XMLSchema" xmlns:p="http://schemas.microsoft.com/office/2006/metadata/properties" xmlns:ns2="f2512f7f-c049-4f9b-9aac-2a44323c8c08" xmlns:ns3="22f58896-fdde-4ea5-b0be-b30a1b8fd6fc" targetNamespace="http://schemas.microsoft.com/office/2006/metadata/properties" ma:root="true" ma:fieldsID="e8eb71999ee0d2a2cba6662231bda763" ns2:_="" ns3:_="">
    <xsd:import namespace="f2512f7f-c049-4f9b-9aac-2a44323c8c08"/>
    <xsd:import namespace="22f58896-fdde-4ea5-b0be-b30a1b8fd6f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DateTake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512f7f-c049-4f9b-9aac-2a44323c8c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13fea976-0fb7-4036-bc8a-08177e9f5879"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2f58896-fdde-4ea5-b0be-b30a1b8fd6fc"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6440634c-58f2-4bce-979a-7dc6de37847e}" ma:internalName="TaxCatchAll" ma:showField="CatchAllData" ma:web="22f58896-fdde-4ea5-b0be-b30a1b8fd6f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BC94FF9-6AE5-4D26-8C3F-BC1810F24BF6}">
  <ds:schemaRefs>
    <ds:schemaRef ds:uri="http://schemas.microsoft.com/office/2006/metadata/properties"/>
    <ds:schemaRef ds:uri="http://schemas.microsoft.com/office/infopath/2007/PartnerControls"/>
    <ds:schemaRef ds:uri="22f58896-fdde-4ea5-b0be-b30a1b8fd6fc"/>
    <ds:schemaRef ds:uri="f2512f7f-c049-4f9b-9aac-2a44323c8c08"/>
  </ds:schemaRefs>
</ds:datastoreItem>
</file>

<file path=customXml/itemProps2.xml><?xml version="1.0" encoding="utf-8"?>
<ds:datastoreItem xmlns:ds="http://schemas.openxmlformats.org/officeDocument/2006/customXml" ds:itemID="{729A3801-7E99-4941-B792-FC8DA8747C7C}">
  <ds:schemaRefs>
    <ds:schemaRef ds:uri="http://schemas.openxmlformats.org/officeDocument/2006/bibliography"/>
  </ds:schemaRefs>
</ds:datastoreItem>
</file>

<file path=customXml/itemProps3.xml><?xml version="1.0" encoding="utf-8"?>
<ds:datastoreItem xmlns:ds="http://schemas.openxmlformats.org/officeDocument/2006/customXml" ds:itemID="{20134AC0-92EB-4318-9B35-178FE18270A6}">
  <ds:schemaRefs>
    <ds:schemaRef ds:uri="http://schemas.microsoft.com/sharepoint/v3/contenttype/forms"/>
  </ds:schemaRefs>
</ds:datastoreItem>
</file>

<file path=customXml/itemProps4.xml><?xml version="1.0" encoding="utf-8"?>
<ds:datastoreItem xmlns:ds="http://schemas.openxmlformats.org/officeDocument/2006/customXml" ds:itemID="{63E18A36-EF8F-4BA3-9C54-885A889174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512f7f-c049-4f9b-9aac-2a44323c8c08"/>
    <ds:schemaRef ds:uri="22f58896-fdde-4ea5-b0be-b30a1b8fd6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667</TotalTime>
  <Pages>55</Pages>
  <Words>18853</Words>
  <Characters>107465</Characters>
  <Application>Microsoft Office Word</Application>
  <DocSecurity>0</DocSecurity>
  <Lines>895</Lines>
  <Paragraphs>252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126066</CharactersWithSpaces>
  <SharedDoc>false</SharedDoc>
  <HLinks>
    <vt:vector size="270" baseType="variant">
      <vt:variant>
        <vt:i4>1245268</vt:i4>
      </vt:variant>
      <vt:variant>
        <vt:i4>198</vt:i4>
      </vt:variant>
      <vt:variant>
        <vt:i4>0</vt:i4>
      </vt:variant>
      <vt:variant>
        <vt:i4>5</vt:i4>
      </vt:variant>
      <vt:variant>
        <vt:lpwstr>https://iris.who.int/bitstream/handle/10665/366279/WHO-EURO-2023-7033-46799-68216-eng.pdf?sequence=3</vt:lpwstr>
      </vt:variant>
      <vt:variant>
        <vt:lpwstr/>
      </vt:variant>
      <vt:variant>
        <vt:i4>6094914</vt:i4>
      </vt:variant>
      <vt:variant>
        <vt:i4>195</vt:i4>
      </vt:variant>
      <vt:variant>
        <vt:i4>0</vt:i4>
      </vt:variant>
      <vt:variant>
        <vt:i4>5</vt:i4>
      </vt:variant>
      <vt:variant>
        <vt:lpwstr>https://onlineservices.glasgow.gov.uk/councillorsandcommittees/viewSelectedDocument.asp?c=P62AFQDNZ3DXNT81UT</vt:lpwstr>
      </vt:variant>
      <vt:variant>
        <vt:lpwstr/>
      </vt:variant>
      <vt:variant>
        <vt:i4>4128800</vt:i4>
      </vt:variant>
      <vt:variant>
        <vt:i4>192</vt:i4>
      </vt:variant>
      <vt:variant>
        <vt:i4>0</vt:i4>
      </vt:variant>
      <vt:variant>
        <vt:i4>5</vt:i4>
      </vt:variant>
      <vt:variant>
        <vt:lpwstr>https://business.senedd.wales/documents/s132413/Research Brief.pdf</vt:lpwstr>
      </vt:variant>
      <vt:variant>
        <vt:lpwstr/>
      </vt:variant>
      <vt:variant>
        <vt:i4>5046350</vt:i4>
      </vt:variant>
      <vt:variant>
        <vt:i4>189</vt:i4>
      </vt:variant>
      <vt:variant>
        <vt:i4>0</vt:i4>
      </vt:variant>
      <vt:variant>
        <vt:i4>5</vt:i4>
      </vt:variant>
      <vt:variant>
        <vt:lpwstr>https://www.gov.wales/sites/default/files/pdf-versions/2024/3/5/1709916045/new-warm-homes-programme-integrated-impact-assessment.pdf</vt:lpwstr>
      </vt:variant>
      <vt:variant>
        <vt:lpwstr/>
      </vt:variant>
      <vt:variant>
        <vt:i4>8060976</vt:i4>
      </vt:variant>
      <vt:variant>
        <vt:i4>186</vt:i4>
      </vt:variant>
      <vt:variant>
        <vt:i4>0</vt:i4>
      </vt:variant>
      <vt:variant>
        <vt:i4>5</vt:i4>
      </vt:variant>
      <vt:variant>
        <vt:lpwstr>https://www.gov.wales/sites/default/files/pdf-versions/2023/8/4/1692865297/promote-prevent-and-prepare-planned-care.pdf</vt:lpwstr>
      </vt:variant>
      <vt:variant>
        <vt:lpwstr/>
      </vt:variant>
      <vt:variant>
        <vt:i4>7405608</vt:i4>
      </vt:variant>
      <vt:variant>
        <vt:i4>183</vt:i4>
      </vt:variant>
      <vt:variant>
        <vt:i4>0</vt:i4>
      </vt:variant>
      <vt:variant>
        <vt:i4>5</vt:i4>
      </vt:variant>
      <vt:variant>
        <vt:lpwstr>https://www.gov.wales/health-impact-assessment-regulations</vt:lpwstr>
      </vt:variant>
      <vt:variant>
        <vt:lpwstr/>
      </vt:variant>
      <vt:variant>
        <vt:i4>6488097</vt:i4>
      </vt:variant>
      <vt:variant>
        <vt:i4>180</vt:i4>
      </vt:variant>
      <vt:variant>
        <vt:i4>0</vt:i4>
      </vt:variant>
      <vt:variant>
        <vt:i4>5</vt:i4>
      </vt:variant>
      <vt:variant>
        <vt:lpwstr>https://www.gov.wales/sites/default/files/pdf-versions/2023/8/2/1690888276/health-and-social-care-quality-and-engagement-wales-act-summary.pdf</vt:lpwstr>
      </vt:variant>
      <vt:variant>
        <vt:lpwstr/>
      </vt:variant>
      <vt:variant>
        <vt:i4>4718656</vt:i4>
      </vt:variant>
      <vt:variant>
        <vt:i4>177</vt:i4>
      </vt:variant>
      <vt:variant>
        <vt:i4>0</vt:i4>
      </vt:variant>
      <vt:variant>
        <vt:i4>5</vt:i4>
      </vt:variant>
      <vt:variant>
        <vt:lpwstr>https://www.gov.wales/sites/default/files/pdf-versions/2022/4/4/1649928662/expanding-childcare-support-cabinet-paper.pdf</vt:lpwstr>
      </vt:variant>
      <vt:variant>
        <vt:lpwstr/>
      </vt:variant>
      <vt:variant>
        <vt:i4>3211380</vt:i4>
      </vt:variant>
      <vt:variant>
        <vt:i4>174</vt:i4>
      </vt:variant>
      <vt:variant>
        <vt:i4>0</vt:i4>
      </vt:variant>
      <vt:variant>
        <vt:i4>5</vt:i4>
      </vt:variant>
      <vt:variant>
        <vt:lpwstr>https://www.gov.wales/sites/default/files/publications/2022-05/stronger-fairer-greener-wales-plan-employability-and-skills0.pdf</vt:lpwstr>
      </vt:variant>
      <vt:variant>
        <vt:lpwstr/>
      </vt:variant>
      <vt:variant>
        <vt:i4>4325383</vt:i4>
      </vt:variant>
      <vt:variant>
        <vt:i4>171</vt:i4>
      </vt:variant>
      <vt:variant>
        <vt:i4>0</vt:i4>
      </vt:variant>
      <vt:variant>
        <vt:i4>5</vt:i4>
      </vt:variant>
      <vt:variant>
        <vt:lpwstr>https://gov.wales/basic-income-care-leavers-wales-pilot-announced</vt:lpwstr>
      </vt:variant>
      <vt:variant>
        <vt:lpwstr/>
      </vt:variant>
      <vt:variant>
        <vt:i4>3145831</vt:i4>
      </vt:variant>
      <vt:variant>
        <vt:i4>168</vt:i4>
      </vt:variant>
      <vt:variant>
        <vt:i4>0</vt:i4>
      </vt:variant>
      <vt:variant>
        <vt:i4>5</vt:i4>
      </vt:variant>
      <vt:variant>
        <vt:lpwstr>https://www.gov.wales/sites/default/files/publications/2022-04/our-programme-for-transforming--and-modernising-planned-care-and-reducing-waiting-lists-in-wales.pdf</vt:lpwstr>
      </vt:variant>
      <vt:variant>
        <vt:lpwstr/>
      </vt:variant>
      <vt:variant>
        <vt:i4>6291481</vt:i4>
      </vt:variant>
      <vt:variant>
        <vt:i4>165</vt:i4>
      </vt:variant>
      <vt:variant>
        <vt:i4>0</vt:i4>
      </vt:variant>
      <vt:variant>
        <vt:i4>5</vt:i4>
      </vt:variant>
      <vt:variant>
        <vt:lpwstr>https://www.gov.wales/sites/default/files/publications/2021-11/ending-homelessness-high-level-action-plan-2021-2026_0.pdf</vt:lpwstr>
      </vt:variant>
      <vt:variant>
        <vt:lpwstr/>
      </vt:variant>
      <vt:variant>
        <vt:i4>4784216</vt:i4>
      </vt:variant>
      <vt:variant>
        <vt:i4>162</vt:i4>
      </vt:variant>
      <vt:variant>
        <vt:i4>0</vt:i4>
      </vt:variant>
      <vt:variant>
        <vt:i4>5</vt:i4>
      </vt:variant>
      <vt:variant>
        <vt:lpwstr>https://www.gov.wales/sites/default/files/publications/2021-03/a-more-equal-wales.pdf</vt:lpwstr>
      </vt:variant>
      <vt:variant>
        <vt:lpwstr/>
      </vt:variant>
      <vt:variant>
        <vt:i4>2031696</vt:i4>
      </vt:variant>
      <vt:variant>
        <vt:i4>159</vt:i4>
      </vt:variant>
      <vt:variant>
        <vt:i4>0</vt:i4>
      </vt:variant>
      <vt:variant>
        <vt:i4>5</vt:i4>
      </vt:variant>
      <vt:variant>
        <vt:lpwstr>https://gov.wales/sites/default/files/publications/2019-06/national-indicators-for-wales.pdf</vt:lpwstr>
      </vt:variant>
      <vt:variant>
        <vt:lpwstr/>
      </vt:variant>
      <vt:variant>
        <vt:i4>541130878</vt:i4>
      </vt:variant>
      <vt:variant>
        <vt:i4>156</vt:i4>
      </vt:variant>
      <vt:variant>
        <vt:i4>0</vt:i4>
      </vt:variant>
      <vt:variant>
        <vt:i4>5</vt:i4>
      </vt:variant>
      <vt:variant>
        <vt:lpwstr>https://emedia1.nhs.wales/PublicHealthWales/assets/Shaping Places for Wellbeing Images/SPWW-Programme-briefing-–-March-V1.0.pdf</vt:lpwstr>
      </vt:variant>
      <vt:variant>
        <vt:lpwstr/>
      </vt:variant>
      <vt:variant>
        <vt:i4>8323181</vt:i4>
      </vt:variant>
      <vt:variant>
        <vt:i4>153</vt:i4>
      </vt:variant>
      <vt:variant>
        <vt:i4>0</vt:i4>
      </vt:variant>
      <vt:variant>
        <vt:i4>5</vt:i4>
      </vt:variant>
      <vt:variant>
        <vt:lpwstr>https://phw.nhs.wales/about-us/working-together-for-a-healthier-wales/our-strategic-plan-2023-2026/</vt:lpwstr>
      </vt:variant>
      <vt:variant>
        <vt:lpwstr/>
      </vt:variant>
      <vt:variant>
        <vt:i4>8323199</vt:i4>
      </vt:variant>
      <vt:variant>
        <vt:i4>150</vt:i4>
      </vt:variant>
      <vt:variant>
        <vt:i4>0</vt:i4>
      </vt:variant>
      <vt:variant>
        <vt:i4>5</vt:i4>
      </vt:variant>
      <vt:variant>
        <vt:lpwstr>https://www.ons.gov.uk/peoplepopulationandcommunity/populationandmigration/populationestimates/bulletins/populationestimatesforenglandandwales/mid2023</vt:lpwstr>
      </vt:variant>
      <vt:variant>
        <vt:lpwstr/>
      </vt:variant>
      <vt:variant>
        <vt:i4>7995415</vt:i4>
      </vt:variant>
      <vt:variant>
        <vt:i4>147</vt:i4>
      </vt:variant>
      <vt:variant>
        <vt:i4>0</vt:i4>
      </vt:variant>
      <vt:variant>
        <vt:i4>5</vt:i4>
      </vt:variant>
      <vt:variant>
        <vt:lpwstr>https://fingertips.phe.org.uk/documents/Absolute and relative inequality explainer_OHID.pdf</vt:lpwstr>
      </vt:variant>
      <vt:variant>
        <vt:lpwstr/>
      </vt:variant>
      <vt:variant>
        <vt:i4>7471136</vt:i4>
      </vt:variant>
      <vt:variant>
        <vt:i4>144</vt:i4>
      </vt:variant>
      <vt:variant>
        <vt:i4>0</vt:i4>
      </vt:variant>
      <vt:variant>
        <vt:i4>5</vt:i4>
      </vt:variant>
      <vt:variant>
        <vt:lpwstr>https://www.legislation.govt.nz/act/public/2022/0058/latest/LMS655984.html</vt:lpwstr>
      </vt:variant>
      <vt:variant>
        <vt:lpwstr/>
      </vt:variant>
      <vt:variant>
        <vt:i4>4194325</vt:i4>
      </vt:variant>
      <vt:variant>
        <vt:i4>141</vt:i4>
      </vt:variant>
      <vt:variant>
        <vt:i4>0</vt:i4>
      </vt:variant>
      <vt:variant>
        <vt:i4>5</vt:i4>
      </vt:variant>
      <vt:variant>
        <vt:lpwstr>https://phw.nhs.wales/services-and-teams/healthy-working-wales/reports/the-rise-in-economic-inactivity-due-to-ill-health/</vt:lpwstr>
      </vt:variant>
      <vt:variant>
        <vt:lpwstr/>
      </vt:variant>
      <vt:variant>
        <vt:i4>2293882</vt:i4>
      </vt:variant>
      <vt:variant>
        <vt:i4>138</vt:i4>
      </vt:variant>
      <vt:variant>
        <vt:i4>0</vt:i4>
      </vt:variant>
      <vt:variant>
        <vt:i4>5</vt:i4>
      </vt:variant>
      <vt:variant>
        <vt:lpwstr>http://julkaisut.valtioneuvosto.fi/handle/10024/161361</vt:lpwstr>
      </vt:variant>
      <vt:variant>
        <vt:lpwstr/>
      </vt:variant>
      <vt:variant>
        <vt:i4>5439582</vt:i4>
      </vt:variant>
      <vt:variant>
        <vt:i4>135</vt:i4>
      </vt:variant>
      <vt:variant>
        <vt:i4>0</vt:i4>
      </vt:variant>
      <vt:variant>
        <vt:i4>5</vt:i4>
      </vt:variant>
      <vt:variant>
        <vt:lpwstr>http://phw.nhs.wales/FairWork</vt:lpwstr>
      </vt:variant>
      <vt:variant>
        <vt:lpwstr/>
      </vt:variant>
      <vt:variant>
        <vt:i4>5570651</vt:i4>
      </vt:variant>
      <vt:variant>
        <vt:i4>132</vt:i4>
      </vt:variant>
      <vt:variant>
        <vt:i4>0</vt:i4>
      </vt:variant>
      <vt:variant>
        <vt:i4>5</vt:i4>
      </vt:variant>
      <vt:variant>
        <vt:lpwstr>https://www.cymorthcymru.org.uk/wp-content/uploads/2024/08/HF-Principles-2024-Eng.pdf</vt:lpwstr>
      </vt:variant>
      <vt:variant>
        <vt:lpwstr/>
      </vt:variant>
      <vt:variant>
        <vt:i4>2621481</vt:i4>
      </vt:variant>
      <vt:variant>
        <vt:i4>129</vt:i4>
      </vt:variant>
      <vt:variant>
        <vt:i4>0</vt:i4>
      </vt:variant>
      <vt:variant>
        <vt:i4>5</vt:i4>
      </vt:variant>
      <vt:variant>
        <vt:lpwstr>https://www.futuregenerations.wales/news/housing-is-fundamental-to-well-being-in-wales</vt:lpwstr>
      </vt:variant>
      <vt:variant>
        <vt:lpwstr/>
      </vt:variant>
      <vt:variant>
        <vt:i4>4456452</vt:i4>
      </vt:variant>
      <vt:variant>
        <vt:i4>126</vt:i4>
      </vt:variant>
      <vt:variant>
        <vt:i4>0</vt:i4>
      </vt:variant>
      <vt:variant>
        <vt:i4>5</vt:i4>
      </vt:variant>
      <vt:variant>
        <vt:lpwstr>https://gov.wales/fair-work-wales</vt:lpwstr>
      </vt:variant>
      <vt:variant>
        <vt:lpwstr/>
      </vt:variant>
      <vt:variant>
        <vt:i4>5439561</vt:i4>
      </vt:variant>
      <vt:variant>
        <vt:i4>123</vt:i4>
      </vt:variant>
      <vt:variant>
        <vt:i4>0</vt:i4>
      </vt:variant>
      <vt:variant>
        <vt:i4>5</vt:i4>
      </vt:variant>
      <vt:variant>
        <vt:lpwstr>https://bevancommission.org/the-future-foundations-for-the-future-model-of-health-and-care-in-wales/</vt:lpwstr>
      </vt:variant>
      <vt:variant>
        <vt:lpwstr/>
      </vt:variant>
      <vt:variant>
        <vt:i4>2949160</vt:i4>
      </vt:variant>
      <vt:variant>
        <vt:i4>120</vt:i4>
      </vt:variant>
      <vt:variant>
        <vt:i4>0</vt:i4>
      </vt:variant>
      <vt:variant>
        <vt:i4>5</vt:i4>
      </vt:variant>
      <vt:variant>
        <vt:lpwstr>https://www.bevanfoundation.org/publications/making-welfare-wales-benefits-people working-age-devolved/</vt:lpwstr>
      </vt:variant>
      <vt:variant>
        <vt:lpwstr/>
      </vt:variant>
      <vt:variant>
        <vt:i4>4456457</vt:i4>
      </vt:variant>
      <vt:variant>
        <vt:i4>117</vt:i4>
      </vt:variant>
      <vt:variant>
        <vt:i4>0</vt:i4>
      </vt:variant>
      <vt:variant>
        <vt:i4>5</vt:i4>
      </vt:variant>
      <vt:variant>
        <vt:lpwstr>https://iris.who.int/handle/10665/366279</vt:lpwstr>
      </vt:variant>
      <vt:variant>
        <vt:lpwstr/>
      </vt:variant>
      <vt:variant>
        <vt:i4>1376317</vt:i4>
      </vt:variant>
      <vt:variant>
        <vt:i4>101</vt:i4>
      </vt:variant>
      <vt:variant>
        <vt:i4>0</vt:i4>
      </vt:variant>
      <vt:variant>
        <vt:i4>5</vt:i4>
      </vt:variant>
      <vt:variant>
        <vt:lpwstr/>
      </vt:variant>
      <vt:variant>
        <vt:lpwstr>_Toc185516890</vt:lpwstr>
      </vt:variant>
      <vt:variant>
        <vt:i4>1310781</vt:i4>
      </vt:variant>
      <vt:variant>
        <vt:i4>95</vt:i4>
      </vt:variant>
      <vt:variant>
        <vt:i4>0</vt:i4>
      </vt:variant>
      <vt:variant>
        <vt:i4>5</vt:i4>
      </vt:variant>
      <vt:variant>
        <vt:lpwstr/>
      </vt:variant>
      <vt:variant>
        <vt:lpwstr>_Toc185516889</vt:lpwstr>
      </vt:variant>
      <vt:variant>
        <vt:i4>1310781</vt:i4>
      </vt:variant>
      <vt:variant>
        <vt:i4>89</vt:i4>
      </vt:variant>
      <vt:variant>
        <vt:i4>0</vt:i4>
      </vt:variant>
      <vt:variant>
        <vt:i4>5</vt:i4>
      </vt:variant>
      <vt:variant>
        <vt:lpwstr/>
      </vt:variant>
      <vt:variant>
        <vt:lpwstr>_Toc185516888</vt:lpwstr>
      </vt:variant>
      <vt:variant>
        <vt:i4>1310781</vt:i4>
      </vt:variant>
      <vt:variant>
        <vt:i4>83</vt:i4>
      </vt:variant>
      <vt:variant>
        <vt:i4>0</vt:i4>
      </vt:variant>
      <vt:variant>
        <vt:i4>5</vt:i4>
      </vt:variant>
      <vt:variant>
        <vt:lpwstr/>
      </vt:variant>
      <vt:variant>
        <vt:lpwstr>_Toc185516887</vt:lpwstr>
      </vt:variant>
      <vt:variant>
        <vt:i4>1310781</vt:i4>
      </vt:variant>
      <vt:variant>
        <vt:i4>77</vt:i4>
      </vt:variant>
      <vt:variant>
        <vt:i4>0</vt:i4>
      </vt:variant>
      <vt:variant>
        <vt:i4>5</vt:i4>
      </vt:variant>
      <vt:variant>
        <vt:lpwstr/>
      </vt:variant>
      <vt:variant>
        <vt:lpwstr>_Toc185516886</vt:lpwstr>
      </vt:variant>
      <vt:variant>
        <vt:i4>1310781</vt:i4>
      </vt:variant>
      <vt:variant>
        <vt:i4>71</vt:i4>
      </vt:variant>
      <vt:variant>
        <vt:i4>0</vt:i4>
      </vt:variant>
      <vt:variant>
        <vt:i4>5</vt:i4>
      </vt:variant>
      <vt:variant>
        <vt:lpwstr/>
      </vt:variant>
      <vt:variant>
        <vt:lpwstr>_Toc185516885</vt:lpwstr>
      </vt:variant>
      <vt:variant>
        <vt:i4>1310781</vt:i4>
      </vt:variant>
      <vt:variant>
        <vt:i4>65</vt:i4>
      </vt:variant>
      <vt:variant>
        <vt:i4>0</vt:i4>
      </vt:variant>
      <vt:variant>
        <vt:i4>5</vt:i4>
      </vt:variant>
      <vt:variant>
        <vt:lpwstr/>
      </vt:variant>
      <vt:variant>
        <vt:lpwstr>_Toc185516884</vt:lpwstr>
      </vt:variant>
      <vt:variant>
        <vt:i4>1703989</vt:i4>
      </vt:variant>
      <vt:variant>
        <vt:i4>56</vt:i4>
      </vt:variant>
      <vt:variant>
        <vt:i4>0</vt:i4>
      </vt:variant>
      <vt:variant>
        <vt:i4>5</vt:i4>
      </vt:variant>
      <vt:variant>
        <vt:lpwstr/>
      </vt:variant>
      <vt:variant>
        <vt:lpwstr>_Toc187410212</vt:lpwstr>
      </vt:variant>
      <vt:variant>
        <vt:i4>1703989</vt:i4>
      </vt:variant>
      <vt:variant>
        <vt:i4>50</vt:i4>
      </vt:variant>
      <vt:variant>
        <vt:i4>0</vt:i4>
      </vt:variant>
      <vt:variant>
        <vt:i4>5</vt:i4>
      </vt:variant>
      <vt:variant>
        <vt:lpwstr/>
      </vt:variant>
      <vt:variant>
        <vt:lpwstr>_Toc187410211</vt:lpwstr>
      </vt:variant>
      <vt:variant>
        <vt:i4>1703989</vt:i4>
      </vt:variant>
      <vt:variant>
        <vt:i4>44</vt:i4>
      </vt:variant>
      <vt:variant>
        <vt:i4>0</vt:i4>
      </vt:variant>
      <vt:variant>
        <vt:i4>5</vt:i4>
      </vt:variant>
      <vt:variant>
        <vt:lpwstr/>
      </vt:variant>
      <vt:variant>
        <vt:lpwstr>_Toc187410210</vt:lpwstr>
      </vt:variant>
      <vt:variant>
        <vt:i4>1769525</vt:i4>
      </vt:variant>
      <vt:variant>
        <vt:i4>38</vt:i4>
      </vt:variant>
      <vt:variant>
        <vt:i4>0</vt:i4>
      </vt:variant>
      <vt:variant>
        <vt:i4>5</vt:i4>
      </vt:variant>
      <vt:variant>
        <vt:lpwstr/>
      </vt:variant>
      <vt:variant>
        <vt:lpwstr>_Toc187410209</vt:lpwstr>
      </vt:variant>
      <vt:variant>
        <vt:i4>1769525</vt:i4>
      </vt:variant>
      <vt:variant>
        <vt:i4>32</vt:i4>
      </vt:variant>
      <vt:variant>
        <vt:i4>0</vt:i4>
      </vt:variant>
      <vt:variant>
        <vt:i4>5</vt:i4>
      </vt:variant>
      <vt:variant>
        <vt:lpwstr/>
      </vt:variant>
      <vt:variant>
        <vt:lpwstr>_Toc187410208</vt:lpwstr>
      </vt:variant>
      <vt:variant>
        <vt:i4>1769525</vt:i4>
      </vt:variant>
      <vt:variant>
        <vt:i4>26</vt:i4>
      </vt:variant>
      <vt:variant>
        <vt:i4>0</vt:i4>
      </vt:variant>
      <vt:variant>
        <vt:i4>5</vt:i4>
      </vt:variant>
      <vt:variant>
        <vt:lpwstr/>
      </vt:variant>
      <vt:variant>
        <vt:lpwstr>_Toc187410207</vt:lpwstr>
      </vt:variant>
      <vt:variant>
        <vt:i4>1769525</vt:i4>
      </vt:variant>
      <vt:variant>
        <vt:i4>20</vt:i4>
      </vt:variant>
      <vt:variant>
        <vt:i4>0</vt:i4>
      </vt:variant>
      <vt:variant>
        <vt:i4>5</vt:i4>
      </vt:variant>
      <vt:variant>
        <vt:lpwstr/>
      </vt:variant>
      <vt:variant>
        <vt:lpwstr>_Toc187410206</vt:lpwstr>
      </vt:variant>
      <vt:variant>
        <vt:i4>1769525</vt:i4>
      </vt:variant>
      <vt:variant>
        <vt:i4>14</vt:i4>
      </vt:variant>
      <vt:variant>
        <vt:i4>0</vt:i4>
      </vt:variant>
      <vt:variant>
        <vt:i4>5</vt:i4>
      </vt:variant>
      <vt:variant>
        <vt:lpwstr/>
      </vt:variant>
      <vt:variant>
        <vt:lpwstr>_Toc187410205</vt:lpwstr>
      </vt:variant>
      <vt:variant>
        <vt:i4>1769525</vt:i4>
      </vt:variant>
      <vt:variant>
        <vt:i4>8</vt:i4>
      </vt:variant>
      <vt:variant>
        <vt:i4>0</vt:i4>
      </vt:variant>
      <vt:variant>
        <vt:i4>5</vt:i4>
      </vt:variant>
      <vt:variant>
        <vt:lpwstr/>
      </vt:variant>
      <vt:variant>
        <vt:lpwstr>_Toc187410204</vt:lpwstr>
      </vt:variant>
      <vt:variant>
        <vt:i4>1769525</vt:i4>
      </vt:variant>
      <vt:variant>
        <vt:i4>2</vt:i4>
      </vt:variant>
      <vt:variant>
        <vt:i4>0</vt:i4>
      </vt:variant>
      <vt:variant>
        <vt:i4>5</vt:i4>
      </vt:variant>
      <vt:variant>
        <vt:lpwstr/>
      </vt:variant>
      <vt:variant>
        <vt:lpwstr>_Toc187410203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Lisa</dc:creator>
  <cp:keywords/>
  <dc:description/>
  <cp:lastModifiedBy>Jones, Lisa</cp:lastModifiedBy>
  <cp:revision>201</cp:revision>
  <dcterms:created xsi:type="dcterms:W3CDTF">2025-01-10T09:57:00Z</dcterms:created>
  <dcterms:modified xsi:type="dcterms:W3CDTF">2025-02-04T12:05:00Z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0x01010027515D2150F0F84BA12C138755290BDA</vt:lpwstr>
  </property>
  <property fmtid="{D5CDD505-2E9C-101B-9397-08002B2CF9AE}" pid="3" name="MediaServiceImageTags">
    <vt:lpwstr/>
  </property>
</Properties>
</file>