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200C" w:rsidRDefault="007E200C" w:rsidP="007E200C">
      <w:pPr>
        <w:rPr>
          <w:rFonts w:ascii="Calibri" w:hAnsi="Calibri" w:cs="Calibri"/>
          <w:b/>
          <w:color w:val="D60093"/>
          <w:sz w:val="56"/>
        </w:rPr>
      </w:pPr>
      <w:bookmarkStart w:id="0" w:name="Glossary"/>
    </w:p>
    <w:p w:rsidR="007E200C" w:rsidRDefault="007E200C" w:rsidP="007E200C">
      <w:pPr>
        <w:rPr>
          <w:rFonts w:asciiTheme="majorHAnsi" w:hAnsiTheme="majorHAnsi" w:cstheme="majorHAnsi"/>
          <w:b/>
          <w:color w:val="D60093"/>
          <w:sz w:val="44"/>
          <w:szCs w:val="24"/>
        </w:rPr>
      </w:pPr>
      <w:bookmarkStart w:id="1" w:name="_GoBack"/>
      <w:r w:rsidRPr="00BA4182">
        <w:rPr>
          <w:b/>
          <w:noProof/>
          <w:color w:val="D60093"/>
          <w:lang w:eastAsia="en-GB"/>
        </w:rPr>
        <w:drawing>
          <wp:anchor distT="0" distB="0" distL="114300" distR="114300" simplePos="0" relativeHeight="251659264" behindDoc="0" locked="0" layoutInCell="1" allowOverlap="1" wp14:anchorId="777B6F31" wp14:editId="55659DF7">
            <wp:simplePos x="0" y="0"/>
            <wp:positionH relativeFrom="margin">
              <wp:posOffset>3355340</wp:posOffset>
            </wp:positionH>
            <wp:positionV relativeFrom="margin">
              <wp:posOffset>-140970</wp:posOffset>
            </wp:positionV>
            <wp:extent cx="2924175" cy="751205"/>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924175" cy="751205"/>
                    </a:xfrm>
                    <a:prstGeom prst="rect">
                      <a:avLst/>
                    </a:prstGeom>
                    <a:noFill/>
                  </pic:spPr>
                </pic:pic>
              </a:graphicData>
            </a:graphic>
            <wp14:sizeRelH relativeFrom="margin">
              <wp14:pctWidth>0</wp14:pctWidth>
            </wp14:sizeRelH>
            <wp14:sizeRelV relativeFrom="margin">
              <wp14:pctHeight>0</wp14:pctHeight>
            </wp14:sizeRelV>
          </wp:anchor>
        </w:drawing>
      </w:r>
      <w:r w:rsidRPr="00BA4182">
        <w:rPr>
          <w:rFonts w:asciiTheme="majorHAnsi" w:hAnsiTheme="majorHAnsi" w:cstheme="majorHAnsi"/>
          <w:b/>
          <w:color w:val="D60093"/>
          <w:sz w:val="44"/>
          <w:szCs w:val="24"/>
        </w:rPr>
        <w:t>G</w:t>
      </w:r>
      <w:r>
        <w:rPr>
          <w:rFonts w:asciiTheme="majorHAnsi" w:hAnsiTheme="majorHAnsi" w:cstheme="majorHAnsi"/>
          <w:b/>
          <w:color w:val="D60093"/>
          <w:sz w:val="44"/>
          <w:szCs w:val="24"/>
        </w:rPr>
        <w:t>lossary of LGBT+ Terms</w:t>
      </w:r>
      <w:bookmarkEnd w:id="1"/>
    </w:p>
    <w:p w:rsidR="007E200C" w:rsidRPr="00BA4182" w:rsidRDefault="007E200C" w:rsidP="007E200C">
      <w:pPr>
        <w:rPr>
          <w:rFonts w:asciiTheme="majorHAnsi" w:hAnsiTheme="majorHAnsi" w:cstheme="majorHAnsi"/>
          <w:b/>
          <w:color w:val="D60093"/>
          <w:sz w:val="32"/>
          <w:szCs w:val="24"/>
        </w:rPr>
      </w:pPr>
      <w:r w:rsidRPr="00BA4182">
        <w:rPr>
          <w:rFonts w:asciiTheme="majorHAnsi" w:hAnsiTheme="majorHAnsi" w:cstheme="majorHAnsi"/>
          <w:b/>
          <w:color w:val="D60093"/>
          <w:sz w:val="44"/>
          <w:szCs w:val="24"/>
        </w:rPr>
        <w:t xml:space="preserve"> </w:t>
      </w:r>
    </w:p>
    <w:bookmarkEnd w:id="0"/>
    <w:p w:rsidR="00FB78C4" w:rsidRPr="007E200C" w:rsidRDefault="00FB78C4" w:rsidP="00FB78C4">
      <w:pPr>
        <w:rPr>
          <w:rFonts w:asciiTheme="majorHAnsi" w:hAnsiTheme="majorHAnsi" w:cstheme="majorHAnsi"/>
          <w:b/>
          <w:color w:val="D60093"/>
          <w:sz w:val="28"/>
          <w:szCs w:val="24"/>
        </w:rPr>
      </w:pPr>
      <w:r w:rsidRPr="007E200C">
        <w:rPr>
          <w:rFonts w:asciiTheme="majorHAnsi" w:hAnsiTheme="majorHAnsi" w:cstheme="majorHAnsi"/>
          <w:b/>
          <w:color w:val="D60093"/>
          <w:sz w:val="28"/>
          <w:szCs w:val="24"/>
        </w:rPr>
        <w:t xml:space="preserve">Gender dysphoria  </w:t>
      </w:r>
    </w:p>
    <w:p w:rsidR="00FB78C4" w:rsidRDefault="00FB78C4" w:rsidP="00FB78C4">
      <w:pPr>
        <w:rPr>
          <w:rFonts w:asciiTheme="majorHAnsi" w:hAnsiTheme="majorHAnsi" w:cstheme="majorHAnsi"/>
          <w:sz w:val="24"/>
          <w:szCs w:val="24"/>
        </w:rPr>
      </w:pPr>
      <w:r>
        <w:rPr>
          <w:rFonts w:asciiTheme="majorHAnsi" w:hAnsiTheme="majorHAnsi" w:cstheme="majorHAnsi"/>
          <w:sz w:val="24"/>
          <w:szCs w:val="24"/>
        </w:rPr>
        <w:t>Used to describe when a person experiences discomfort or distress because there is a mismatch between their sex assigned at birth and their gender identity. This is also the clinical diagnosis for someone who doesn’t feel comfortable with the gender they were assigned at birth.</w:t>
      </w:r>
    </w:p>
    <w:p w:rsidR="00FB78C4" w:rsidRPr="007E200C" w:rsidRDefault="00FB78C4" w:rsidP="00FB78C4">
      <w:pPr>
        <w:rPr>
          <w:rFonts w:asciiTheme="majorHAnsi" w:hAnsiTheme="majorHAnsi" w:cstheme="majorHAnsi"/>
          <w:b/>
          <w:color w:val="D60093"/>
          <w:sz w:val="28"/>
          <w:szCs w:val="24"/>
        </w:rPr>
      </w:pPr>
      <w:r w:rsidRPr="007E200C">
        <w:rPr>
          <w:rFonts w:asciiTheme="majorHAnsi" w:hAnsiTheme="majorHAnsi" w:cstheme="majorHAnsi"/>
          <w:b/>
          <w:color w:val="D60093"/>
          <w:sz w:val="28"/>
          <w:szCs w:val="24"/>
        </w:rPr>
        <w:t xml:space="preserve">Gender expression </w:t>
      </w:r>
    </w:p>
    <w:p w:rsidR="00FB78C4" w:rsidRDefault="00FB78C4" w:rsidP="00FB78C4">
      <w:pPr>
        <w:rPr>
          <w:rFonts w:asciiTheme="majorHAnsi" w:hAnsiTheme="majorHAnsi" w:cstheme="majorHAnsi"/>
          <w:sz w:val="24"/>
          <w:szCs w:val="24"/>
        </w:rPr>
      </w:pPr>
      <w:r>
        <w:rPr>
          <w:rFonts w:asciiTheme="majorHAnsi" w:hAnsiTheme="majorHAnsi" w:cstheme="majorHAnsi"/>
          <w:sz w:val="24"/>
          <w:szCs w:val="24"/>
        </w:rPr>
        <w:t xml:space="preserve">How a person chooses to outwardly express their gender, within the context of societal expectations of gender. A person who does not conform to societal expectations of gender may not always, however, identify as </w:t>
      </w:r>
      <w:proofErr w:type="gramStart"/>
      <w:r>
        <w:rPr>
          <w:rFonts w:asciiTheme="majorHAnsi" w:hAnsiTheme="majorHAnsi" w:cstheme="majorHAnsi"/>
          <w:sz w:val="24"/>
          <w:szCs w:val="24"/>
        </w:rPr>
        <w:t>trans</w:t>
      </w:r>
      <w:proofErr w:type="gramEnd"/>
      <w:r>
        <w:rPr>
          <w:rFonts w:asciiTheme="majorHAnsi" w:hAnsiTheme="majorHAnsi" w:cstheme="majorHAnsi"/>
          <w:sz w:val="24"/>
          <w:szCs w:val="24"/>
        </w:rPr>
        <w:t xml:space="preserve">. </w:t>
      </w:r>
    </w:p>
    <w:p w:rsidR="00FB78C4" w:rsidRPr="007E200C" w:rsidRDefault="00FB78C4" w:rsidP="00FB78C4">
      <w:pPr>
        <w:rPr>
          <w:rFonts w:asciiTheme="majorHAnsi" w:hAnsiTheme="majorHAnsi" w:cstheme="majorHAnsi"/>
          <w:b/>
          <w:color w:val="D60093"/>
          <w:sz w:val="28"/>
          <w:szCs w:val="24"/>
        </w:rPr>
      </w:pPr>
      <w:r w:rsidRPr="007E200C">
        <w:rPr>
          <w:rFonts w:asciiTheme="majorHAnsi" w:hAnsiTheme="majorHAnsi" w:cstheme="majorHAnsi"/>
          <w:b/>
          <w:color w:val="D60093"/>
          <w:sz w:val="28"/>
          <w:szCs w:val="24"/>
        </w:rPr>
        <w:t xml:space="preserve">Gender identity </w:t>
      </w:r>
    </w:p>
    <w:p w:rsidR="00FB78C4" w:rsidRDefault="00FB78C4" w:rsidP="00FB78C4">
      <w:pPr>
        <w:rPr>
          <w:rFonts w:asciiTheme="majorHAnsi" w:hAnsiTheme="majorHAnsi" w:cstheme="majorHAnsi"/>
          <w:sz w:val="24"/>
          <w:szCs w:val="24"/>
        </w:rPr>
      </w:pPr>
      <w:r>
        <w:rPr>
          <w:rFonts w:asciiTheme="majorHAnsi" w:hAnsiTheme="majorHAnsi" w:cstheme="majorHAnsi"/>
          <w:sz w:val="24"/>
          <w:szCs w:val="24"/>
        </w:rPr>
        <w:t>A person’s internal sense of their own gender, whether male, female or something else (see non-binary, below), which may or may not correspond to the sex assigned at birth.</w:t>
      </w:r>
    </w:p>
    <w:p w:rsidR="00FB78C4" w:rsidRPr="007E200C" w:rsidRDefault="00FB78C4" w:rsidP="00FB78C4">
      <w:pPr>
        <w:rPr>
          <w:rFonts w:asciiTheme="majorHAnsi" w:hAnsiTheme="majorHAnsi" w:cstheme="majorHAnsi"/>
          <w:b/>
          <w:color w:val="D60093"/>
          <w:sz w:val="28"/>
          <w:szCs w:val="24"/>
        </w:rPr>
      </w:pPr>
      <w:r w:rsidRPr="007E200C">
        <w:rPr>
          <w:rFonts w:asciiTheme="majorHAnsi" w:hAnsiTheme="majorHAnsi" w:cstheme="majorHAnsi"/>
          <w:b/>
          <w:color w:val="D60093"/>
          <w:sz w:val="28"/>
          <w:szCs w:val="24"/>
        </w:rPr>
        <w:t xml:space="preserve">Gender variant </w:t>
      </w:r>
    </w:p>
    <w:p w:rsidR="00FB78C4" w:rsidRDefault="00FB78C4" w:rsidP="00FB78C4">
      <w:pPr>
        <w:rPr>
          <w:rFonts w:asciiTheme="majorHAnsi" w:hAnsiTheme="majorHAnsi" w:cstheme="majorHAnsi"/>
          <w:sz w:val="24"/>
          <w:szCs w:val="24"/>
        </w:rPr>
      </w:pPr>
      <w:r>
        <w:rPr>
          <w:rFonts w:asciiTheme="majorHAnsi" w:hAnsiTheme="majorHAnsi" w:cstheme="majorHAnsi"/>
          <w:sz w:val="24"/>
          <w:szCs w:val="24"/>
        </w:rPr>
        <w:t xml:space="preserve">Someone who does not conform to the gender roles and behaviours that society expects of them based on the gender assigned to them at birth. This is often used in relation to children or young people. </w:t>
      </w:r>
    </w:p>
    <w:p w:rsidR="00FB78C4" w:rsidRPr="007E200C" w:rsidRDefault="00FB78C4" w:rsidP="00FB78C4">
      <w:pPr>
        <w:rPr>
          <w:rFonts w:asciiTheme="majorHAnsi" w:hAnsiTheme="majorHAnsi" w:cstheme="majorHAnsi"/>
          <w:b/>
          <w:color w:val="D60093"/>
          <w:sz w:val="28"/>
          <w:szCs w:val="24"/>
        </w:rPr>
      </w:pPr>
      <w:proofErr w:type="spellStart"/>
      <w:r w:rsidRPr="007E200C">
        <w:rPr>
          <w:rFonts w:asciiTheme="majorHAnsi" w:hAnsiTheme="majorHAnsi" w:cstheme="majorHAnsi"/>
          <w:b/>
          <w:color w:val="D60093"/>
          <w:sz w:val="28"/>
          <w:szCs w:val="24"/>
        </w:rPr>
        <w:t>Mis</w:t>
      </w:r>
      <w:proofErr w:type="spellEnd"/>
      <w:r w:rsidRPr="007E200C">
        <w:rPr>
          <w:rFonts w:asciiTheme="majorHAnsi" w:hAnsiTheme="majorHAnsi" w:cstheme="majorHAnsi"/>
          <w:b/>
          <w:color w:val="D60093"/>
          <w:sz w:val="28"/>
          <w:szCs w:val="24"/>
        </w:rPr>
        <w:t xml:space="preserve">-gendering  </w:t>
      </w:r>
    </w:p>
    <w:p w:rsidR="00FB78C4" w:rsidRDefault="00FB78C4" w:rsidP="00FB78C4">
      <w:pPr>
        <w:rPr>
          <w:rFonts w:asciiTheme="majorHAnsi" w:hAnsiTheme="majorHAnsi" w:cstheme="majorHAnsi"/>
          <w:sz w:val="24"/>
          <w:szCs w:val="24"/>
        </w:rPr>
      </w:pPr>
      <w:r>
        <w:rPr>
          <w:rFonts w:asciiTheme="majorHAnsi" w:hAnsiTheme="majorHAnsi" w:cstheme="majorHAnsi"/>
          <w:sz w:val="24"/>
          <w:szCs w:val="24"/>
        </w:rPr>
        <w:t xml:space="preserve">You </w:t>
      </w:r>
      <w:proofErr w:type="spellStart"/>
      <w:r>
        <w:rPr>
          <w:rFonts w:asciiTheme="majorHAnsi" w:hAnsiTheme="majorHAnsi" w:cstheme="majorHAnsi"/>
          <w:sz w:val="24"/>
          <w:szCs w:val="24"/>
        </w:rPr>
        <w:t>mis</w:t>
      </w:r>
      <w:proofErr w:type="spellEnd"/>
      <w:r>
        <w:rPr>
          <w:rFonts w:asciiTheme="majorHAnsi" w:hAnsiTheme="majorHAnsi" w:cstheme="majorHAnsi"/>
          <w:sz w:val="24"/>
          <w:szCs w:val="24"/>
        </w:rPr>
        <w:t xml:space="preserve">-gender someone when you refer to them using a word, especially a pronoun or a form of address, which does not correctly reflect the gender with which they identify. </w:t>
      </w:r>
    </w:p>
    <w:p w:rsidR="00FB78C4" w:rsidRPr="007E200C" w:rsidRDefault="00FB78C4" w:rsidP="00FB78C4">
      <w:pPr>
        <w:rPr>
          <w:rFonts w:asciiTheme="majorHAnsi" w:hAnsiTheme="majorHAnsi" w:cstheme="majorHAnsi"/>
          <w:b/>
          <w:color w:val="D60093"/>
          <w:sz w:val="28"/>
          <w:szCs w:val="24"/>
        </w:rPr>
      </w:pPr>
      <w:r w:rsidRPr="007E200C">
        <w:rPr>
          <w:rFonts w:asciiTheme="majorHAnsi" w:hAnsiTheme="majorHAnsi" w:cstheme="majorHAnsi"/>
          <w:b/>
          <w:color w:val="D60093"/>
          <w:sz w:val="28"/>
          <w:szCs w:val="24"/>
        </w:rPr>
        <w:t xml:space="preserve">Non-binary </w:t>
      </w:r>
    </w:p>
    <w:p w:rsidR="00FB78C4" w:rsidRDefault="00FB78C4" w:rsidP="00FB78C4">
      <w:pPr>
        <w:rPr>
          <w:rFonts w:asciiTheme="majorHAnsi" w:hAnsiTheme="majorHAnsi" w:cstheme="majorHAnsi"/>
          <w:sz w:val="24"/>
          <w:szCs w:val="24"/>
        </w:rPr>
      </w:pPr>
      <w:r>
        <w:rPr>
          <w:rFonts w:asciiTheme="majorHAnsi" w:hAnsiTheme="majorHAnsi" w:cstheme="majorHAnsi"/>
          <w:sz w:val="24"/>
          <w:szCs w:val="24"/>
        </w:rPr>
        <w:t>An umbrella term for a person who does not identify as only male or female, or who may identify as both.</w:t>
      </w:r>
    </w:p>
    <w:p w:rsidR="00FB78C4" w:rsidRPr="007E200C" w:rsidRDefault="00FB78C4" w:rsidP="00FB78C4">
      <w:pPr>
        <w:rPr>
          <w:rFonts w:asciiTheme="majorHAnsi" w:hAnsiTheme="majorHAnsi" w:cstheme="majorHAnsi"/>
          <w:b/>
          <w:color w:val="D60093"/>
          <w:sz w:val="28"/>
          <w:szCs w:val="24"/>
        </w:rPr>
      </w:pPr>
      <w:r w:rsidRPr="007E200C">
        <w:rPr>
          <w:rFonts w:asciiTheme="majorHAnsi" w:hAnsiTheme="majorHAnsi" w:cstheme="majorHAnsi"/>
          <w:b/>
          <w:color w:val="D60093"/>
          <w:sz w:val="28"/>
          <w:szCs w:val="24"/>
        </w:rPr>
        <w:t>Queer</w:t>
      </w:r>
    </w:p>
    <w:p w:rsidR="00FB78C4" w:rsidRDefault="00FB78C4" w:rsidP="00FB78C4">
      <w:pPr>
        <w:rPr>
          <w:rFonts w:asciiTheme="majorHAnsi" w:hAnsiTheme="majorHAnsi" w:cstheme="majorHAnsi"/>
          <w:sz w:val="24"/>
          <w:szCs w:val="24"/>
        </w:rPr>
      </w:pPr>
      <w:r>
        <w:rPr>
          <w:rFonts w:asciiTheme="majorHAnsi" w:hAnsiTheme="majorHAnsi" w:cstheme="majorHAnsi"/>
          <w:sz w:val="24"/>
          <w:szCs w:val="24"/>
        </w:rPr>
        <w:t>In the past a derogatory term for LGBTQ+ individuals. The term has now been reclaimed by LGBTQ+ young people in particular who do not identify with traditional categories around gender identity and sexual orientation, but it is still viewed to be derogatory by some.</w:t>
      </w:r>
    </w:p>
    <w:p w:rsidR="00FB78C4" w:rsidRPr="007E200C" w:rsidRDefault="00FB78C4" w:rsidP="00FB78C4">
      <w:pPr>
        <w:rPr>
          <w:rFonts w:asciiTheme="majorHAnsi" w:hAnsiTheme="majorHAnsi" w:cstheme="majorHAnsi"/>
          <w:b/>
          <w:color w:val="D60093"/>
          <w:sz w:val="28"/>
          <w:szCs w:val="24"/>
        </w:rPr>
      </w:pPr>
      <w:r w:rsidRPr="007E200C">
        <w:rPr>
          <w:rFonts w:asciiTheme="majorHAnsi" w:hAnsiTheme="majorHAnsi" w:cstheme="majorHAnsi"/>
          <w:b/>
          <w:color w:val="D60093"/>
          <w:sz w:val="28"/>
          <w:szCs w:val="24"/>
        </w:rPr>
        <w:t xml:space="preserve">Sexual orientation </w:t>
      </w:r>
    </w:p>
    <w:p w:rsidR="00FB78C4" w:rsidRDefault="00FB78C4" w:rsidP="00FB78C4">
      <w:pPr>
        <w:rPr>
          <w:rFonts w:asciiTheme="majorHAnsi" w:hAnsiTheme="majorHAnsi" w:cstheme="majorHAnsi"/>
          <w:sz w:val="24"/>
          <w:szCs w:val="24"/>
        </w:rPr>
      </w:pPr>
      <w:r>
        <w:rPr>
          <w:rFonts w:asciiTheme="majorHAnsi" w:hAnsiTheme="majorHAnsi" w:cstheme="majorHAnsi"/>
          <w:sz w:val="24"/>
          <w:szCs w:val="24"/>
        </w:rPr>
        <w:t>A person’s emotional, romantic and/or sexual attraction to another person.</w:t>
      </w:r>
    </w:p>
    <w:p w:rsidR="00FB78C4" w:rsidRPr="007E200C" w:rsidRDefault="00FB78C4" w:rsidP="00FB78C4">
      <w:pPr>
        <w:rPr>
          <w:rFonts w:asciiTheme="majorHAnsi" w:hAnsiTheme="majorHAnsi" w:cstheme="majorHAnsi"/>
          <w:b/>
          <w:color w:val="D60093"/>
          <w:sz w:val="28"/>
          <w:szCs w:val="24"/>
        </w:rPr>
      </w:pPr>
      <w:r w:rsidRPr="007E200C">
        <w:rPr>
          <w:rFonts w:asciiTheme="majorHAnsi" w:hAnsiTheme="majorHAnsi" w:cstheme="majorHAnsi"/>
          <w:b/>
          <w:color w:val="D60093"/>
          <w:sz w:val="28"/>
          <w:szCs w:val="24"/>
        </w:rPr>
        <w:lastRenderedPageBreak/>
        <w:t xml:space="preserve">Trans </w:t>
      </w:r>
    </w:p>
    <w:p w:rsidR="00FB78C4" w:rsidRDefault="00FB78C4" w:rsidP="00FB78C4">
      <w:pPr>
        <w:rPr>
          <w:rFonts w:asciiTheme="majorHAnsi" w:hAnsiTheme="majorHAnsi" w:cstheme="majorHAnsi"/>
          <w:sz w:val="24"/>
          <w:szCs w:val="24"/>
        </w:rPr>
      </w:pPr>
      <w:r>
        <w:rPr>
          <w:rFonts w:asciiTheme="majorHAnsi" w:hAnsiTheme="majorHAnsi" w:cstheme="majorHAnsi"/>
          <w:sz w:val="24"/>
          <w:szCs w:val="24"/>
        </w:rPr>
        <w:t xml:space="preserve">An umbrella term to describe people whose gender is not the same as, or does not sit comfortably with, the sex they were assigned at birth. Trans people may describe themselves using one or more of a wide variety of terms, including (but not limited to) Transgender, Transsexual, Gender-queer (GQ), Gender-fluid, Non-binary, Gender-variant, Cross-dresser, Genderless, </w:t>
      </w:r>
      <w:proofErr w:type="spellStart"/>
      <w:r>
        <w:rPr>
          <w:rFonts w:asciiTheme="majorHAnsi" w:hAnsiTheme="majorHAnsi" w:cstheme="majorHAnsi"/>
          <w:sz w:val="24"/>
          <w:szCs w:val="24"/>
        </w:rPr>
        <w:t>Agender</w:t>
      </w:r>
      <w:proofErr w:type="spellEnd"/>
      <w:r>
        <w:rPr>
          <w:rFonts w:asciiTheme="majorHAnsi" w:hAnsiTheme="majorHAnsi" w:cstheme="majorHAnsi"/>
          <w:sz w:val="24"/>
          <w:szCs w:val="24"/>
        </w:rPr>
        <w:t xml:space="preserve">, Non-gender, Third gender, Two-spirit, Bi-gender, Trans man, Trans woman, Trans masculine, Trans feminine and </w:t>
      </w:r>
      <w:proofErr w:type="spellStart"/>
      <w:r>
        <w:rPr>
          <w:rFonts w:asciiTheme="majorHAnsi" w:hAnsiTheme="majorHAnsi" w:cstheme="majorHAnsi"/>
          <w:sz w:val="24"/>
          <w:szCs w:val="24"/>
        </w:rPr>
        <w:t>Neutrois</w:t>
      </w:r>
      <w:proofErr w:type="spellEnd"/>
      <w:r>
        <w:rPr>
          <w:rFonts w:asciiTheme="majorHAnsi" w:hAnsiTheme="majorHAnsi" w:cstheme="majorHAnsi"/>
          <w:sz w:val="24"/>
          <w:szCs w:val="24"/>
        </w:rPr>
        <w:t>.</w:t>
      </w:r>
    </w:p>
    <w:p w:rsidR="00FB78C4" w:rsidRPr="007E200C" w:rsidRDefault="00FB78C4" w:rsidP="00FB78C4">
      <w:pPr>
        <w:rPr>
          <w:rFonts w:asciiTheme="majorHAnsi" w:hAnsiTheme="majorHAnsi" w:cstheme="majorHAnsi"/>
          <w:b/>
          <w:color w:val="D60093"/>
          <w:sz w:val="28"/>
          <w:szCs w:val="24"/>
        </w:rPr>
      </w:pPr>
      <w:r w:rsidRPr="007E200C">
        <w:rPr>
          <w:rFonts w:asciiTheme="majorHAnsi" w:hAnsiTheme="majorHAnsi" w:cstheme="majorHAnsi"/>
          <w:b/>
          <w:color w:val="D60093"/>
          <w:sz w:val="28"/>
          <w:szCs w:val="24"/>
        </w:rPr>
        <w:t xml:space="preserve">Transition </w:t>
      </w:r>
    </w:p>
    <w:p w:rsidR="00FB78C4" w:rsidRDefault="00FB78C4" w:rsidP="00FB78C4">
      <w:pPr>
        <w:rPr>
          <w:rFonts w:asciiTheme="majorHAnsi" w:hAnsiTheme="majorHAnsi" w:cstheme="majorHAnsi"/>
          <w:b/>
          <w:sz w:val="28"/>
          <w:szCs w:val="24"/>
        </w:rPr>
      </w:pPr>
      <w:r>
        <w:rPr>
          <w:rFonts w:asciiTheme="majorHAnsi" w:hAnsiTheme="majorHAnsi" w:cstheme="majorHAnsi"/>
          <w:sz w:val="24"/>
          <w:szCs w:val="24"/>
        </w:rPr>
        <w:t xml:space="preserve">The steps a </w:t>
      </w:r>
      <w:proofErr w:type="gramStart"/>
      <w:r>
        <w:rPr>
          <w:rFonts w:asciiTheme="majorHAnsi" w:hAnsiTheme="majorHAnsi" w:cstheme="majorHAnsi"/>
          <w:sz w:val="24"/>
          <w:szCs w:val="24"/>
        </w:rPr>
        <w:t>trans</w:t>
      </w:r>
      <w:proofErr w:type="gramEnd"/>
      <w:r>
        <w:rPr>
          <w:rFonts w:asciiTheme="majorHAnsi" w:hAnsiTheme="majorHAnsi" w:cstheme="majorHAnsi"/>
          <w:sz w:val="24"/>
          <w:szCs w:val="24"/>
        </w:rPr>
        <w:t xml:space="preserve"> person may take to live in the gender with which they identify. Each person’s transition will involve different things. For some this involves medical intervention, such as hormone therapy and surgeries, but not all </w:t>
      </w:r>
      <w:proofErr w:type="gramStart"/>
      <w:r>
        <w:rPr>
          <w:rFonts w:asciiTheme="majorHAnsi" w:hAnsiTheme="majorHAnsi" w:cstheme="majorHAnsi"/>
          <w:sz w:val="24"/>
          <w:szCs w:val="24"/>
        </w:rPr>
        <w:t>trans</w:t>
      </w:r>
      <w:proofErr w:type="gramEnd"/>
      <w:r>
        <w:rPr>
          <w:rFonts w:asciiTheme="majorHAnsi" w:hAnsiTheme="majorHAnsi" w:cstheme="majorHAnsi"/>
          <w:sz w:val="24"/>
          <w:szCs w:val="24"/>
        </w:rPr>
        <w:t xml:space="preserve"> people want or are able to have this. Transitioning also might involve things such as telling friends and family, dressing differently and changing official documents.  Under the Gender Recognition Act a certificate is issued which enables </w:t>
      </w:r>
      <w:proofErr w:type="gramStart"/>
      <w:r>
        <w:rPr>
          <w:rFonts w:asciiTheme="majorHAnsi" w:hAnsiTheme="majorHAnsi" w:cstheme="majorHAnsi"/>
          <w:sz w:val="24"/>
          <w:szCs w:val="24"/>
        </w:rPr>
        <w:t>trans</w:t>
      </w:r>
      <w:proofErr w:type="gramEnd"/>
      <w:r>
        <w:rPr>
          <w:rFonts w:asciiTheme="majorHAnsi" w:hAnsiTheme="majorHAnsi" w:cstheme="majorHAnsi"/>
          <w:sz w:val="24"/>
          <w:szCs w:val="24"/>
        </w:rPr>
        <w:t xml:space="preserve"> people to be legally recognised in their acquired gender. </w:t>
      </w:r>
    </w:p>
    <w:p w:rsidR="00FB78C4" w:rsidRPr="007E200C" w:rsidRDefault="00FB78C4" w:rsidP="00FB78C4">
      <w:pPr>
        <w:rPr>
          <w:rFonts w:asciiTheme="majorHAnsi" w:hAnsiTheme="majorHAnsi" w:cstheme="majorHAnsi"/>
          <w:b/>
          <w:color w:val="D60093"/>
          <w:sz w:val="28"/>
          <w:szCs w:val="24"/>
        </w:rPr>
      </w:pPr>
      <w:r w:rsidRPr="007E200C">
        <w:rPr>
          <w:rFonts w:asciiTheme="majorHAnsi" w:hAnsiTheme="majorHAnsi" w:cstheme="majorHAnsi"/>
          <w:b/>
          <w:color w:val="D60093"/>
          <w:sz w:val="28"/>
          <w:szCs w:val="24"/>
        </w:rPr>
        <w:t xml:space="preserve">Transsexual </w:t>
      </w:r>
    </w:p>
    <w:p w:rsidR="00FB78C4" w:rsidRDefault="00FB78C4" w:rsidP="00FB78C4">
      <w:pPr>
        <w:rPr>
          <w:rFonts w:asciiTheme="majorHAnsi" w:hAnsiTheme="majorHAnsi" w:cstheme="majorHAnsi"/>
          <w:sz w:val="24"/>
          <w:szCs w:val="24"/>
        </w:rPr>
      </w:pPr>
      <w:r>
        <w:rPr>
          <w:rFonts w:asciiTheme="majorHAnsi" w:hAnsiTheme="majorHAnsi" w:cstheme="majorHAnsi"/>
          <w:sz w:val="24"/>
          <w:szCs w:val="24"/>
        </w:rPr>
        <w:t xml:space="preserve">This was used in the past as a more medical term (similarly to homosexual) to refer to someone who transitioned to live in the “opposite” gender to the one assigned at birth. This term is still used by some although many people prefer the term </w:t>
      </w:r>
      <w:proofErr w:type="gramStart"/>
      <w:r>
        <w:rPr>
          <w:rFonts w:asciiTheme="majorHAnsi" w:hAnsiTheme="majorHAnsi" w:cstheme="majorHAnsi"/>
          <w:sz w:val="24"/>
          <w:szCs w:val="24"/>
        </w:rPr>
        <w:t>trans</w:t>
      </w:r>
      <w:proofErr w:type="gramEnd"/>
      <w:r>
        <w:rPr>
          <w:rFonts w:asciiTheme="majorHAnsi" w:hAnsiTheme="majorHAnsi" w:cstheme="majorHAnsi"/>
          <w:sz w:val="24"/>
          <w:szCs w:val="24"/>
        </w:rPr>
        <w:t xml:space="preserve"> or transgender. </w:t>
      </w:r>
    </w:p>
    <w:p w:rsidR="006C749A" w:rsidRDefault="00790E5B"/>
    <w:sectPr w:rsidR="006C749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78C4"/>
    <w:rsid w:val="000B47ED"/>
    <w:rsid w:val="00790E5B"/>
    <w:rsid w:val="007E200C"/>
    <w:rsid w:val="00806D29"/>
    <w:rsid w:val="00FB78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BE96EF8-60FB-49D8-8135-4A1BE197C6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78C4"/>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446</Words>
  <Characters>2543</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2984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Lewis Owen (Public Health Wales - No. 2 Capital Quarter)</dc:creator>
  <cp:keywords/>
  <dc:description/>
  <cp:lastModifiedBy>Michael O'Connor (Public Health Wales - No. 2 Capital Quarter)</cp:lastModifiedBy>
  <cp:revision>2</cp:revision>
  <dcterms:created xsi:type="dcterms:W3CDTF">2020-10-12T11:34:00Z</dcterms:created>
  <dcterms:modified xsi:type="dcterms:W3CDTF">2020-10-12T11:34:00Z</dcterms:modified>
</cp:coreProperties>
</file>