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32" w:rsidRPr="000E7432" w:rsidRDefault="00BD3A58" w:rsidP="000E7432">
      <w:pPr>
        <w:spacing w:after="0" w:line="320" w:lineRule="exact"/>
        <w:contextualSpacing/>
        <w:jc w:val="both"/>
        <w:rPr>
          <w:rFonts w:ascii="Verdana" w:hAnsi="Verdana"/>
          <w:sz w:val="28"/>
          <w:szCs w:val="28"/>
        </w:rPr>
      </w:pPr>
      <w:bookmarkStart w:id="0" w:name="_GoBack"/>
      <w:bookmarkEnd w:id="0"/>
      <w:r>
        <w:rPr>
          <w:rFonts w:ascii="Verdana" w:hAnsi="Verdana"/>
          <w:b/>
          <w:sz w:val="28"/>
          <w:szCs w:val="28"/>
        </w:rPr>
        <w:t>TECHNICAL APPENDIX 2</w:t>
      </w:r>
      <w:r w:rsidR="000E7432" w:rsidRPr="000E7432">
        <w:rPr>
          <w:rFonts w:ascii="Verdana" w:hAnsi="Verdana"/>
          <w:b/>
          <w:sz w:val="28"/>
          <w:szCs w:val="28"/>
        </w:rPr>
        <w:t xml:space="preserve">: </w:t>
      </w:r>
      <w:r w:rsidR="000E7432" w:rsidRPr="000E7432">
        <w:rPr>
          <w:rFonts w:ascii="Verdana" w:hAnsi="Verdana"/>
          <w:b/>
          <w:bCs/>
          <w:sz w:val="28"/>
          <w:szCs w:val="28"/>
        </w:rPr>
        <w:t xml:space="preserve">template </w:t>
      </w:r>
      <w:r>
        <w:rPr>
          <w:rFonts w:ascii="Verdana" w:hAnsi="Verdana"/>
          <w:b/>
          <w:bCs/>
          <w:sz w:val="28"/>
          <w:szCs w:val="28"/>
        </w:rPr>
        <w:t>minimum datasets (MDS)</w:t>
      </w:r>
      <w:r w:rsidR="00786559">
        <w:rPr>
          <w:rFonts w:ascii="Verdana" w:hAnsi="Verdana"/>
          <w:b/>
          <w:bCs/>
          <w:sz w:val="28"/>
          <w:szCs w:val="28"/>
        </w:rPr>
        <w:t xml:space="preserve"> for collecting data about cases of COVID-19 in educational and childcare settings</w:t>
      </w:r>
    </w:p>
    <w:p w:rsidR="000E7432" w:rsidRPr="00DC66F6" w:rsidRDefault="000E7432" w:rsidP="000E7432">
      <w:pPr>
        <w:pStyle w:val="Heading1"/>
        <w:spacing w:before="0" w:line="320" w:lineRule="exact"/>
        <w:contextualSpacing/>
        <w:rPr>
          <w:rFonts w:ascii="Verdana" w:hAnsi="Verdana"/>
          <w:b/>
          <w:color w:val="auto"/>
          <w:sz w:val="28"/>
          <w:szCs w:val="28"/>
        </w:rPr>
      </w:pPr>
    </w:p>
    <w:p w:rsidR="000E7432" w:rsidRDefault="000E7432" w:rsidP="000E7432">
      <w:pPr>
        <w:spacing w:after="0" w:line="320" w:lineRule="exact"/>
        <w:contextualSpacing/>
        <w:rPr>
          <w:rFonts w:ascii="Verdana" w:eastAsiaTheme="minorEastAsia" w:hAnsi="Verdana"/>
          <w:b/>
          <w:bCs/>
          <w:color w:val="FF0000"/>
          <w:kern w:val="24"/>
          <w:sz w:val="24"/>
          <w:szCs w:val="24"/>
        </w:rPr>
      </w:pPr>
      <w:r w:rsidRPr="000E7432">
        <w:rPr>
          <w:rFonts w:ascii="Verdana" w:hAnsi="Verdana"/>
          <w:b/>
          <w:sz w:val="24"/>
          <w:szCs w:val="24"/>
        </w:rPr>
        <w:t>Notes</w:t>
      </w:r>
      <w:r w:rsidRPr="000E7432">
        <w:rPr>
          <w:rFonts w:ascii="Verdana" w:eastAsiaTheme="minorEastAsia" w:hAnsi="Verdana"/>
          <w:b/>
          <w:bCs/>
          <w:color w:val="FF0000"/>
          <w:kern w:val="24"/>
          <w:sz w:val="24"/>
          <w:szCs w:val="24"/>
        </w:rPr>
        <w:t xml:space="preserve"> </w:t>
      </w:r>
    </w:p>
    <w:p w:rsidR="000E7432" w:rsidRPr="000E7432" w:rsidRDefault="000E7432" w:rsidP="000E7432">
      <w:pPr>
        <w:spacing w:after="0" w:line="320" w:lineRule="exact"/>
        <w:contextualSpacing/>
        <w:rPr>
          <w:rFonts w:ascii="Verdana" w:eastAsiaTheme="minorEastAsia" w:hAnsi="Verdana"/>
          <w:b/>
          <w:bCs/>
          <w:color w:val="FF0000"/>
          <w:kern w:val="24"/>
          <w:sz w:val="24"/>
          <w:szCs w:val="24"/>
        </w:rPr>
      </w:pPr>
    </w:p>
    <w:p w:rsidR="000E7432" w:rsidRPr="00190BE9" w:rsidRDefault="00786559" w:rsidP="000E7432">
      <w:pPr>
        <w:pStyle w:val="ListParagraph"/>
        <w:numPr>
          <w:ilvl w:val="0"/>
          <w:numId w:val="1"/>
        </w:numPr>
        <w:spacing w:after="0" w:line="320" w:lineRule="exact"/>
        <w:jc w:val="both"/>
        <w:rPr>
          <w:rFonts w:ascii="Verdana" w:hAnsi="Verdana" w:cs="Arial"/>
          <w:sz w:val="24"/>
          <w:szCs w:val="24"/>
        </w:rPr>
      </w:pPr>
      <w:r>
        <w:rPr>
          <w:rFonts w:ascii="Verdana" w:eastAsia="Times New Roman" w:hAnsi="Verdana"/>
          <w:color w:val="000000" w:themeColor="text1"/>
          <w:sz w:val="24"/>
          <w:szCs w:val="24"/>
        </w:rPr>
        <w:t xml:space="preserve">These MDS </w:t>
      </w:r>
      <w:r w:rsidR="000E7432">
        <w:rPr>
          <w:rFonts w:ascii="Verdana" w:eastAsia="Times New Roman" w:hAnsi="Verdana"/>
          <w:color w:val="000000" w:themeColor="text1"/>
          <w:sz w:val="24"/>
          <w:szCs w:val="24"/>
        </w:rPr>
        <w:t xml:space="preserve">should be read in conjunction with </w:t>
      </w:r>
      <w:r w:rsidR="000E7432" w:rsidRPr="00190BE9">
        <w:rPr>
          <w:rFonts w:ascii="Verdana" w:eastAsia="Times New Roman" w:hAnsi="Verdana"/>
          <w:color w:val="000000" w:themeColor="text1"/>
          <w:sz w:val="24"/>
          <w:szCs w:val="24"/>
        </w:rPr>
        <w:t xml:space="preserve">the </w:t>
      </w:r>
      <w:r w:rsidR="000E7432" w:rsidRPr="00190BE9">
        <w:rPr>
          <w:rFonts w:ascii="Verdana" w:hAnsi="Verdana" w:cs="Arial"/>
          <w:sz w:val="24"/>
          <w:szCs w:val="24"/>
        </w:rPr>
        <w:t>Operational Public Health Advice Note for Welsh Government and Key Partners on the Investigation and Management of Clusters and Incidents of COVID-19 in Educational and Childcare Settings</w:t>
      </w:r>
      <w:r w:rsidR="000E7432">
        <w:rPr>
          <w:rFonts w:ascii="Verdana" w:hAnsi="Verdana" w:cs="Arial"/>
          <w:sz w:val="24"/>
          <w:szCs w:val="24"/>
        </w:rPr>
        <w:t xml:space="preserve"> (17/07/20)</w:t>
      </w:r>
      <w:r w:rsidR="00E45403">
        <w:rPr>
          <w:rFonts w:ascii="Verdana" w:hAnsi="Verdana" w:cs="Arial"/>
          <w:sz w:val="24"/>
          <w:szCs w:val="24"/>
        </w:rPr>
        <w:t>.</w:t>
      </w:r>
    </w:p>
    <w:p w:rsidR="000E7432" w:rsidRDefault="000E7432" w:rsidP="000E7432">
      <w:pPr>
        <w:pStyle w:val="ListParagraph"/>
        <w:spacing w:after="0" w:line="320" w:lineRule="exact"/>
        <w:jc w:val="both"/>
        <w:rPr>
          <w:rFonts w:ascii="Verdana" w:hAnsi="Verdana"/>
          <w:bCs/>
          <w:sz w:val="24"/>
          <w:szCs w:val="24"/>
        </w:rPr>
      </w:pPr>
    </w:p>
    <w:p w:rsidR="000E7432" w:rsidRDefault="00786559" w:rsidP="0097583E">
      <w:pPr>
        <w:pStyle w:val="ListParagraph"/>
        <w:numPr>
          <w:ilvl w:val="0"/>
          <w:numId w:val="1"/>
        </w:numPr>
        <w:spacing w:after="0" w:line="320" w:lineRule="exact"/>
        <w:jc w:val="both"/>
        <w:rPr>
          <w:rFonts w:ascii="Verdana" w:hAnsi="Verdana"/>
          <w:bCs/>
          <w:sz w:val="24"/>
          <w:szCs w:val="24"/>
        </w:rPr>
      </w:pPr>
      <w:r>
        <w:rPr>
          <w:rFonts w:ascii="Verdana" w:hAnsi="Verdana"/>
          <w:bCs/>
          <w:sz w:val="24"/>
          <w:szCs w:val="24"/>
        </w:rPr>
        <w:t>These MDS</w:t>
      </w:r>
      <w:r w:rsidR="000E7432" w:rsidRPr="000E7432">
        <w:rPr>
          <w:rFonts w:ascii="Verdana" w:hAnsi="Verdana"/>
          <w:bCs/>
          <w:sz w:val="24"/>
          <w:szCs w:val="24"/>
        </w:rPr>
        <w:t xml:space="preserve"> </w:t>
      </w:r>
      <w:r>
        <w:rPr>
          <w:rFonts w:ascii="Verdana" w:hAnsi="Verdana"/>
          <w:bCs/>
          <w:sz w:val="24"/>
          <w:szCs w:val="24"/>
        </w:rPr>
        <w:t>should be</w:t>
      </w:r>
      <w:r w:rsidR="000E7432" w:rsidRPr="000E7432">
        <w:rPr>
          <w:rFonts w:ascii="Verdana" w:hAnsi="Verdana"/>
          <w:bCs/>
          <w:sz w:val="24"/>
          <w:szCs w:val="24"/>
        </w:rPr>
        <w:t xml:space="preserve"> </w:t>
      </w:r>
      <w:r>
        <w:rPr>
          <w:rFonts w:ascii="Verdana" w:hAnsi="Verdana"/>
          <w:bCs/>
          <w:sz w:val="24"/>
          <w:szCs w:val="24"/>
        </w:rPr>
        <w:t xml:space="preserve">used as </w:t>
      </w:r>
      <w:r w:rsidR="000E7432" w:rsidRPr="000E7432">
        <w:rPr>
          <w:rFonts w:ascii="Verdana" w:hAnsi="Verdana"/>
          <w:bCs/>
          <w:sz w:val="24"/>
          <w:szCs w:val="24"/>
        </w:rPr>
        <w:t>TEMPLATE document</w:t>
      </w:r>
      <w:r>
        <w:rPr>
          <w:rFonts w:ascii="Verdana" w:hAnsi="Verdana"/>
          <w:bCs/>
          <w:sz w:val="24"/>
          <w:szCs w:val="24"/>
        </w:rPr>
        <w:t xml:space="preserve">s for collecting information related to cases and the educational and childcare setting they attend. Depending on the nature of the setting, more or less information may need to be collected and these MDS should be adapted as necessary. </w:t>
      </w:r>
    </w:p>
    <w:p w:rsidR="001B5711" w:rsidRPr="001B5711" w:rsidRDefault="001B5711" w:rsidP="001B5711">
      <w:pPr>
        <w:pStyle w:val="ListParagraph"/>
        <w:rPr>
          <w:rFonts w:ascii="Verdana" w:hAnsi="Verdana"/>
          <w:bCs/>
          <w:sz w:val="24"/>
          <w:szCs w:val="24"/>
        </w:rPr>
      </w:pPr>
    </w:p>
    <w:p w:rsidR="001B5711" w:rsidRPr="001B5711" w:rsidRDefault="001B5711" w:rsidP="001B5711">
      <w:pPr>
        <w:pStyle w:val="ListParagraph"/>
        <w:numPr>
          <w:ilvl w:val="0"/>
          <w:numId w:val="1"/>
        </w:numPr>
        <w:spacing w:after="0" w:line="320" w:lineRule="exact"/>
        <w:jc w:val="both"/>
        <w:rPr>
          <w:rFonts w:ascii="Verdana" w:hAnsi="Verdana"/>
          <w:bCs/>
          <w:sz w:val="24"/>
          <w:szCs w:val="24"/>
        </w:rPr>
      </w:pPr>
      <w:r>
        <w:rPr>
          <w:rFonts w:ascii="Verdana" w:hAnsi="Verdana"/>
          <w:bCs/>
          <w:sz w:val="24"/>
          <w:szCs w:val="24"/>
        </w:rPr>
        <w:t xml:space="preserve">Completed MDS should </w:t>
      </w:r>
      <w:r w:rsidRPr="001B5711">
        <w:rPr>
          <w:rFonts w:ascii="Verdana" w:hAnsi="Verdana"/>
          <w:bCs/>
          <w:sz w:val="24"/>
          <w:szCs w:val="24"/>
        </w:rPr>
        <w:t xml:space="preserve">also be </w:t>
      </w:r>
      <w:r>
        <w:rPr>
          <w:rFonts w:ascii="Verdana" w:hAnsi="Verdana"/>
          <w:bCs/>
          <w:sz w:val="24"/>
          <w:szCs w:val="24"/>
        </w:rPr>
        <w:t>attached when emailing</w:t>
      </w:r>
      <w:r w:rsidRPr="001B5711">
        <w:rPr>
          <w:rFonts w:ascii="Verdana" w:hAnsi="Verdana"/>
          <w:bCs/>
          <w:sz w:val="24"/>
          <w:szCs w:val="24"/>
        </w:rPr>
        <w:t xml:space="preserve"> CDSC </w:t>
      </w:r>
      <w:r>
        <w:rPr>
          <w:rFonts w:ascii="Verdana" w:hAnsi="Verdana"/>
          <w:bCs/>
          <w:sz w:val="24"/>
          <w:szCs w:val="24"/>
        </w:rPr>
        <w:t xml:space="preserve">about </w:t>
      </w:r>
      <w:r w:rsidRPr="001B5711">
        <w:rPr>
          <w:rFonts w:ascii="Verdana" w:hAnsi="Verdana"/>
          <w:bCs/>
          <w:sz w:val="24"/>
          <w:szCs w:val="24"/>
        </w:rPr>
        <w:t xml:space="preserve">a possible cluster/incident of cases. </w:t>
      </w:r>
      <w:r>
        <w:rPr>
          <w:rFonts w:ascii="Verdana" w:hAnsi="Verdana"/>
          <w:bCs/>
          <w:sz w:val="24"/>
          <w:szCs w:val="24"/>
        </w:rPr>
        <w:t>E</w:t>
      </w:r>
      <w:r w:rsidRPr="001B5711">
        <w:rPr>
          <w:rFonts w:ascii="Verdana" w:hAnsi="Verdana"/>
          <w:bCs/>
          <w:sz w:val="24"/>
          <w:szCs w:val="24"/>
        </w:rPr>
        <w:t>mail</w:t>
      </w:r>
      <w:r>
        <w:rPr>
          <w:rFonts w:ascii="Verdana" w:hAnsi="Verdana"/>
          <w:bCs/>
          <w:sz w:val="24"/>
          <w:szCs w:val="24"/>
        </w:rPr>
        <w:t>,</w:t>
      </w:r>
      <w:r w:rsidRPr="001B5711">
        <w:rPr>
          <w:rFonts w:ascii="Verdana" w:hAnsi="Verdana"/>
          <w:bCs/>
          <w:sz w:val="24"/>
          <w:szCs w:val="24"/>
        </w:rPr>
        <w:t xml:space="preserve"> </w:t>
      </w:r>
      <w:r w:rsidRPr="001B5711">
        <w:rPr>
          <w:rFonts w:ascii="Verdana" w:hAnsi="Verdana"/>
          <w:bCs/>
          <w:sz w:val="24"/>
          <w:szCs w:val="24"/>
          <w:lang w:val="en-US"/>
        </w:rPr>
        <w:t xml:space="preserve">using </w:t>
      </w:r>
      <w:r>
        <w:rPr>
          <w:rFonts w:ascii="Verdana" w:hAnsi="Verdana"/>
          <w:bCs/>
          <w:sz w:val="24"/>
          <w:szCs w:val="24"/>
        </w:rPr>
        <w:t>the subject line</w:t>
      </w:r>
      <w:r w:rsidRPr="001B5711">
        <w:rPr>
          <w:rFonts w:ascii="Verdana" w:hAnsi="Verdana"/>
          <w:bCs/>
          <w:sz w:val="24"/>
          <w:szCs w:val="24"/>
        </w:rPr>
        <w:t xml:space="preserve"> ‘</w:t>
      </w:r>
      <w:r w:rsidRPr="001B5711">
        <w:rPr>
          <w:rFonts w:ascii="Verdana" w:hAnsi="Verdana"/>
          <w:bCs/>
          <w:i/>
          <w:sz w:val="24"/>
          <w:szCs w:val="24"/>
        </w:rPr>
        <w:t>COVID-19 in educational/childcare setting’</w:t>
      </w:r>
      <w:r>
        <w:rPr>
          <w:rFonts w:ascii="Verdana" w:hAnsi="Verdana"/>
          <w:bCs/>
          <w:sz w:val="24"/>
          <w:szCs w:val="24"/>
        </w:rPr>
        <w:t xml:space="preserve">, to:  </w:t>
      </w:r>
      <w:hyperlink r:id="rId5" w:history="1">
        <w:r w:rsidRPr="001B5711">
          <w:rPr>
            <w:rStyle w:val="Hyperlink"/>
            <w:rFonts w:ascii="Verdana" w:hAnsi="Verdana"/>
            <w:bCs/>
            <w:sz w:val="24"/>
            <w:szCs w:val="24"/>
            <w:lang w:val="en-US"/>
          </w:rPr>
          <w:t>PHW_surveillance.respiratory@wales.nhs.uk</w:t>
        </w:r>
      </w:hyperlink>
    </w:p>
    <w:p w:rsidR="001B5711" w:rsidRPr="001B5711" w:rsidRDefault="001B5711" w:rsidP="001B5711">
      <w:pPr>
        <w:pStyle w:val="ListParagraph"/>
        <w:rPr>
          <w:rFonts w:ascii="Verdana" w:hAnsi="Verdana"/>
          <w:bCs/>
          <w:sz w:val="24"/>
          <w:szCs w:val="24"/>
        </w:rPr>
      </w:pPr>
    </w:p>
    <w:p w:rsidR="00786559" w:rsidRPr="00786559" w:rsidRDefault="00786559" w:rsidP="005A3C28">
      <w:pPr>
        <w:pStyle w:val="ListParagraph"/>
        <w:numPr>
          <w:ilvl w:val="0"/>
          <w:numId w:val="1"/>
        </w:numPr>
        <w:spacing w:after="0" w:line="320" w:lineRule="exact"/>
        <w:jc w:val="both"/>
        <w:rPr>
          <w:rFonts w:ascii="Verdana" w:hAnsi="Verdana" w:cs="Arial"/>
          <w:sz w:val="24"/>
          <w:szCs w:val="24"/>
        </w:rPr>
      </w:pPr>
      <w:r w:rsidRPr="00786559">
        <w:rPr>
          <w:rFonts w:ascii="Verdana" w:hAnsi="Verdana"/>
          <w:b/>
          <w:bCs/>
          <w:sz w:val="24"/>
          <w:szCs w:val="24"/>
        </w:rPr>
        <w:t>MDS 1:</w:t>
      </w:r>
      <w:r>
        <w:rPr>
          <w:rFonts w:ascii="Verdana" w:hAnsi="Verdana"/>
          <w:bCs/>
          <w:sz w:val="24"/>
          <w:szCs w:val="24"/>
        </w:rPr>
        <w:t xml:space="preserve"> has been designed so that it can be sent directly to the educational or childcare setting for them to complete. This may be particularly helpful for them to use when there is more than one case</w:t>
      </w:r>
      <w:r w:rsidR="00A92365">
        <w:rPr>
          <w:rFonts w:ascii="Verdana" w:hAnsi="Verdana"/>
          <w:bCs/>
          <w:sz w:val="24"/>
          <w:szCs w:val="24"/>
        </w:rPr>
        <w:t xml:space="preserve"> in a setting, although the setting should be reminded of the need to maintain confidentiality about cases in their setting.</w:t>
      </w:r>
    </w:p>
    <w:p w:rsidR="00786559" w:rsidRPr="00786559" w:rsidRDefault="00786559" w:rsidP="00786559">
      <w:pPr>
        <w:pStyle w:val="ListParagraph"/>
        <w:rPr>
          <w:rFonts w:ascii="Verdana" w:hAnsi="Verdana"/>
          <w:bCs/>
          <w:sz w:val="24"/>
          <w:szCs w:val="24"/>
        </w:rPr>
      </w:pPr>
    </w:p>
    <w:p w:rsidR="000E7432" w:rsidRDefault="00786559" w:rsidP="00BF16F9">
      <w:pPr>
        <w:pStyle w:val="ListParagraph"/>
        <w:numPr>
          <w:ilvl w:val="0"/>
          <w:numId w:val="1"/>
        </w:numPr>
        <w:spacing w:after="0" w:line="320" w:lineRule="exact"/>
        <w:jc w:val="both"/>
      </w:pPr>
      <w:r w:rsidRPr="00912DA7">
        <w:rPr>
          <w:rFonts w:ascii="Verdana" w:hAnsi="Verdana"/>
          <w:b/>
          <w:bCs/>
          <w:sz w:val="24"/>
          <w:szCs w:val="24"/>
        </w:rPr>
        <w:t>MDS 2:</w:t>
      </w:r>
      <w:r w:rsidRPr="00912DA7">
        <w:rPr>
          <w:rFonts w:ascii="Verdana" w:hAnsi="Verdana"/>
          <w:bCs/>
          <w:sz w:val="24"/>
          <w:szCs w:val="24"/>
        </w:rPr>
        <w:t xml:space="preserve"> has been designed for use by the regional </w:t>
      </w:r>
      <w:r w:rsidR="00A92365" w:rsidRPr="00912DA7">
        <w:rPr>
          <w:rFonts w:ascii="Verdana" w:hAnsi="Verdana"/>
          <w:bCs/>
          <w:sz w:val="24"/>
          <w:szCs w:val="24"/>
        </w:rPr>
        <w:t xml:space="preserve">multi-agency </w:t>
      </w:r>
      <w:r w:rsidRPr="00912DA7">
        <w:rPr>
          <w:rFonts w:ascii="Verdana" w:hAnsi="Verdana"/>
          <w:bCs/>
          <w:sz w:val="24"/>
          <w:szCs w:val="24"/>
        </w:rPr>
        <w:t>TTP team (and/or local teams depending on the structure of the TTP team in that area) as a tool for collecting information related to cases in a setting</w:t>
      </w:r>
      <w:r w:rsidR="00680AED">
        <w:rPr>
          <w:rFonts w:ascii="Verdana" w:hAnsi="Verdana"/>
          <w:bCs/>
          <w:sz w:val="24"/>
          <w:szCs w:val="24"/>
        </w:rPr>
        <w:t>,</w:t>
      </w:r>
      <w:r w:rsidRPr="00912DA7">
        <w:rPr>
          <w:rFonts w:ascii="Verdana" w:hAnsi="Verdana"/>
          <w:bCs/>
          <w:sz w:val="24"/>
          <w:szCs w:val="24"/>
        </w:rPr>
        <w:t xml:space="preserve"> as well as information about the setting itse</w:t>
      </w:r>
      <w:r w:rsidR="00A92365" w:rsidRPr="00912DA7">
        <w:rPr>
          <w:rFonts w:ascii="Verdana" w:hAnsi="Verdana"/>
          <w:bCs/>
          <w:sz w:val="24"/>
          <w:szCs w:val="24"/>
        </w:rPr>
        <w:t xml:space="preserve">lf. </w:t>
      </w:r>
    </w:p>
    <w:sectPr w:rsidR="000E7432" w:rsidSect="00912DA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22F99"/>
    <w:multiLevelType w:val="hybridMultilevel"/>
    <w:tmpl w:val="8CC04D0A"/>
    <w:lvl w:ilvl="0" w:tplc="FC46D442">
      <w:start w:val="1"/>
      <w:numFmt w:val="bullet"/>
      <w:lvlText w:val="•"/>
      <w:lvlJc w:val="left"/>
      <w:pPr>
        <w:tabs>
          <w:tab w:val="num" w:pos="720"/>
        </w:tabs>
        <w:ind w:left="720" w:hanging="360"/>
      </w:pPr>
      <w:rPr>
        <w:rFonts w:ascii="Arial" w:hAnsi="Arial" w:hint="default"/>
      </w:rPr>
    </w:lvl>
    <w:lvl w:ilvl="1" w:tplc="889A0DA4" w:tentative="1">
      <w:start w:val="1"/>
      <w:numFmt w:val="bullet"/>
      <w:lvlText w:val="•"/>
      <w:lvlJc w:val="left"/>
      <w:pPr>
        <w:tabs>
          <w:tab w:val="num" w:pos="1440"/>
        </w:tabs>
        <w:ind w:left="1440" w:hanging="360"/>
      </w:pPr>
      <w:rPr>
        <w:rFonts w:ascii="Arial" w:hAnsi="Arial" w:hint="default"/>
      </w:rPr>
    </w:lvl>
    <w:lvl w:ilvl="2" w:tplc="C45CA216" w:tentative="1">
      <w:start w:val="1"/>
      <w:numFmt w:val="bullet"/>
      <w:lvlText w:val="•"/>
      <w:lvlJc w:val="left"/>
      <w:pPr>
        <w:tabs>
          <w:tab w:val="num" w:pos="2160"/>
        </w:tabs>
        <w:ind w:left="2160" w:hanging="360"/>
      </w:pPr>
      <w:rPr>
        <w:rFonts w:ascii="Arial" w:hAnsi="Arial" w:hint="default"/>
      </w:rPr>
    </w:lvl>
    <w:lvl w:ilvl="3" w:tplc="907EA334" w:tentative="1">
      <w:start w:val="1"/>
      <w:numFmt w:val="bullet"/>
      <w:lvlText w:val="•"/>
      <w:lvlJc w:val="left"/>
      <w:pPr>
        <w:tabs>
          <w:tab w:val="num" w:pos="2880"/>
        </w:tabs>
        <w:ind w:left="2880" w:hanging="360"/>
      </w:pPr>
      <w:rPr>
        <w:rFonts w:ascii="Arial" w:hAnsi="Arial" w:hint="default"/>
      </w:rPr>
    </w:lvl>
    <w:lvl w:ilvl="4" w:tplc="73A4FEF4" w:tentative="1">
      <w:start w:val="1"/>
      <w:numFmt w:val="bullet"/>
      <w:lvlText w:val="•"/>
      <w:lvlJc w:val="left"/>
      <w:pPr>
        <w:tabs>
          <w:tab w:val="num" w:pos="3600"/>
        </w:tabs>
        <w:ind w:left="3600" w:hanging="360"/>
      </w:pPr>
      <w:rPr>
        <w:rFonts w:ascii="Arial" w:hAnsi="Arial" w:hint="default"/>
      </w:rPr>
    </w:lvl>
    <w:lvl w:ilvl="5" w:tplc="8BEC824C" w:tentative="1">
      <w:start w:val="1"/>
      <w:numFmt w:val="bullet"/>
      <w:lvlText w:val="•"/>
      <w:lvlJc w:val="left"/>
      <w:pPr>
        <w:tabs>
          <w:tab w:val="num" w:pos="4320"/>
        </w:tabs>
        <w:ind w:left="4320" w:hanging="360"/>
      </w:pPr>
      <w:rPr>
        <w:rFonts w:ascii="Arial" w:hAnsi="Arial" w:hint="default"/>
      </w:rPr>
    </w:lvl>
    <w:lvl w:ilvl="6" w:tplc="17104932" w:tentative="1">
      <w:start w:val="1"/>
      <w:numFmt w:val="bullet"/>
      <w:lvlText w:val="•"/>
      <w:lvlJc w:val="left"/>
      <w:pPr>
        <w:tabs>
          <w:tab w:val="num" w:pos="5040"/>
        </w:tabs>
        <w:ind w:left="5040" w:hanging="360"/>
      </w:pPr>
      <w:rPr>
        <w:rFonts w:ascii="Arial" w:hAnsi="Arial" w:hint="default"/>
      </w:rPr>
    </w:lvl>
    <w:lvl w:ilvl="7" w:tplc="52AE2ED0" w:tentative="1">
      <w:start w:val="1"/>
      <w:numFmt w:val="bullet"/>
      <w:lvlText w:val="•"/>
      <w:lvlJc w:val="left"/>
      <w:pPr>
        <w:tabs>
          <w:tab w:val="num" w:pos="5760"/>
        </w:tabs>
        <w:ind w:left="5760" w:hanging="360"/>
      </w:pPr>
      <w:rPr>
        <w:rFonts w:ascii="Arial" w:hAnsi="Arial" w:hint="default"/>
      </w:rPr>
    </w:lvl>
    <w:lvl w:ilvl="8" w:tplc="3AAE87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46836B8"/>
    <w:multiLevelType w:val="hybridMultilevel"/>
    <w:tmpl w:val="6F80F002"/>
    <w:lvl w:ilvl="0" w:tplc="2150785E">
      <w:start w:val="1"/>
      <w:numFmt w:val="decimal"/>
      <w:lvlText w:val="%1."/>
      <w:lvlJc w:val="left"/>
      <w:pPr>
        <w:ind w:left="720" w:hanging="360"/>
      </w:pPr>
      <w:rPr>
        <w:rFonts w:ascii="Verdana" w:eastAsia="Times New Roman" w:hAnsi="Verdana"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C2DD7"/>
    <w:multiLevelType w:val="hybridMultilevel"/>
    <w:tmpl w:val="12521B76"/>
    <w:lvl w:ilvl="0" w:tplc="FFDAE584">
      <w:start w:val="1"/>
      <w:numFmt w:val="decimal"/>
      <w:lvlText w:val="%1."/>
      <w:lvlJc w:val="left"/>
      <w:pPr>
        <w:ind w:left="720" w:hanging="360"/>
      </w:pPr>
      <w:rPr>
        <w:rFonts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32"/>
    <w:rsid w:val="000E7432"/>
    <w:rsid w:val="00183DC2"/>
    <w:rsid w:val="001B5711"/>
    <w:rsid w:val="002D658F"/>
    <w:rsid w:val="0037105C"/>
    <w:rsid w:val="00402216"/>
    <w:rsid w:val="005A3C28"/>
    <w:rsid w:val="00621624"/>
    <w:rsid w:val="006623D8"/>
    <w:rsid w:val="00680AED"/>
    <w:rsid w:val="00786559"/>
    <w:rsid w:val="00912DA7"/>
    <w:rsid w:val="0097583E"/>
    <w:rsid w:val="00A633C9"/>
    <w:rsid w:val="00A92365"/>
    <w:rsid w:val="00BD3A58"/>
    <w:rsid w:val="00CC15C9"/>
    <w:rsid w:val="00E4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20622-1760-42D8-BEC4-01B0F639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74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43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99"/>
    <w:qFormat/>
    <w:rsid w:val="000E7432"/>
    <w:pPr>
      <w:ind w:left="720"/>
      <w:contextualSpacing/>
    </w:pPr>
  </w:style>
  <w:style w:type="character" w:customStyle="1" w:styleId="ListParagraphChar">
    <w:name w:val="List Paragraph Char"/>
    <w:basedOn w:val="DefaultParagraphFont"/>
    <w:link w:val="ListParagraph"/>
    <w:uiPriority w:val="99"/>
    <w:rsid w:val="000E7432"/>
  </w:style>
  <w:style w:type="character" w:styleId="Hyperlink">
    <w:name w:val="Hyperlink"/>
    <w:basedOn w:val="DefaultParagraphFont"/>
    <w:uiPriority w:val="99"/>
    <w:unhideWhenUsed/>
    <w:rsid w:val="001B5711"/>
    <w:rPr>
      <w:color w:val="0563C1" w:themeColor="hyperlink"/>
      <w:u w:val="single"/>
    </w:rPr>
  </w:style>
  <w:style w:type="character" w:styleId="FollowedHyperlink">
    <w:name w:val="FollowedHyperlink"/>
    <w:basedOn w:val="DefaultParagraphFont"/>
    <w:uiPriority w:val="99"/>
    <w:semiHidden/>
    <w:unhideWhenUsed/>
    <w:rsid w:val="006623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864831">
      <w:bodyDiv w:val="1"/>
      <w:marLeft w:val="0"/>
      <w:marRight w:val="0"/>
      <w:marTop w:val="0"/>
      <w:marBottom w:val="0"/>
      <w:divBdr>
        <w:top w:val="none" w:sz="0" w:space="0" w:color="auto"/>
        <w:left w:val="none" w:sz="0" w:space="0" w:color="auto"/>
        <w:bottom w:val="none" w:sz="0" w:space="0" w:color="auto"/>
        <w:right w:val="none" w:sz="0" w:space="0" w:color="auto"/>
      </w:divBdr>
      <w:divsChild>
        <w:div w:id="167313890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W_surveillance.respiratory@wale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Louise Elizabeth Schwappach (PHW - Public health medicine)</dc:creator>
  <cp:keywords/>
  <dc:description/>
  <cp:lastModifiedBy>Gwen Lowe (Public Health Wales - No. 2 Capital Quarter)</cp:lastModifiedBy>
  <cp:revision>2</cp:revision>
  <dcterms:created xsi:type="dcterms:W3CDTF">2020-07-23T12:49:00Z</dcterms:created>
  <dcterms:modified xsi:type="dcterms:W3CDTF">2020-07-23T12:49:00Z</dcterms:modified>
</cp:coreProperties>
</file>