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143C79" w14:textId="4927C3F2" w:rsidR="00077CBA" w:rsidRDefault="006B1E00" w:rsidP="00077CBA">
      <w:pPr>
        <w:pStyle w:val="Heading1"/>
        <w:spacing w:before="150" w:after="240"/>
        <w:rPr>
          <w:rFonts w:ascii="Arial" w:hAnsi="Arial" w:cs="Arial"/>
          <w:color w:val="075098"/>
          <w:sz w:val="31"/>
          <w:szCs w:val="31"/>
        </w:rPr>
      </w:pPr>
      <w:r>
        <w:rPr>
          <w:rFonts w:ascii="Arial" w:hAnsi="Arial" w:cs="Arial"/>
          <w:color w:val="075098"/>
          <w:sz w:val="31"/>
          <w:szCs w:val="31"/>
        </w:rPr>
        <w:t>Cardiff and Vale</w:t>
      </w:r>
      <w:r w:rsidR="00077CBA">
        <w:rPr>
          <w:rFonts w:ascii="Arial" w:hAnsi="Arial" w:cs="Arial"/>
          <w:color w:val="075098"/>
          <w:sz w:val="31"/>
          <w:szCs w:val="31"/>
        </w:rPr>
        <w:t xml:space="preserve"> Health Board: Childhood Immunisation Uptake</w:t>
      </w:r>
    </w:p>
    <w:p w14:paraId="4660F248" w14:textId="77777777" w:rsidR="00077CBA" w:rsidRDefault="00077CBA" w:rsidP="00077CBA">
      <w:pPr>
        <w:pStyle w:val="Heading2"/>
        <w:spacing w:before="150" w:after="150"/>
        <w:rPr>
          <w:rFonts w:ascii="Arial" w:hAnsi="Arial" w:cs="Arial"/>
          <w:color w:val="075098"/>
          <w:sz w:val="26"/>
        </w:rPr>
      </w:pPr>
      <w:r>
        <w:rPr>
          <w:rFonts w:ascii="Arial" w:hAnsi="Arial" w:cs="Arial"/>
          <w:color w:val="075098"/>
          <w:sz w:val="26"/>
        </w:rPr>
        <w:t>Childhood immunisation summary chart</w:t>
      </w:r>
    </w:p>
    <w:p w14:paraId="66F0E2B7" w14:textId="77777777" w:rsidR="002C0CBA" w:rsidRPr="000C0821" w:rsidRDefault="002C0CBA" w:rsidP="002C0CBA">
      <w:pPr>
        <w:rPr>
          <w:rFonts w:ascii="Verdana" w:hAnsi="Verdana" w:cs="Times New Roman"/>
          <w:color w:val="000000"/>
          <w:sz w:val="20"/>
          <w:szCs w:val="20"/>
        </w:rPr>
      </w:pPr>
      <w:r w:rsidRPr="000C0821">
        <w:rPr>
          <w:rFonts w:ascii="Verdana" w:hAnsi="Verdana"/>
          <w:color w:val="000000"/>
          <w:sz w:val="20"/>
          <w:szCs w:val="20"/>
        </w:rPr>
        <w:t>The chart below summarises uptake rates for Health Board resident children for selected routine childhood immunisations. Please see All Wales Chart below for comparison. The statistics for these charts are taken from the latest </w:t>
      </w:r>
      <w:hyperlink r:id="rId10" w:history="1">
        <w:r w:rsidRPr="00BA53FC">
          <w:rPr>
            <w:rStyle w:val="Hyperlink"/>
            <w:rFonts w:ascii="Verdana" w:hAnsi="Verdana"/>
            <w:sz w:val="20"/>
            <w:szCs w:val="20"/>
          </w:rPr>
          <w:t>Vaccine Uptake in Children in Wales (COVER) Report</w:t>
        </w:r>
      </w:hyperlink>
      <w:r w:rsidRPr="000C0821">
        <w:rPr>
          <w:rFonts w:ascii="Verdana" w:hAnsi="Verdana"/>
          <w:color w:val="000000"/>
          <w:sz w:val="20"/>
          <w:szCs w:val="20"/>
        </w:rPr>
        <w:t>.</w:t>
      </w:r>
    </w:p>
    <w:p w14:paraId="1382D919" w14:textId="77777777" w:rsidR="003A4B4C" w:rsidRPr="000C0821" w:rsidRDefault="003A4B4C" w:rsidP="003A4B4C">
      <w:pPr>
        <w:rPr>
          <w:rFonts w:ascii="Verdana" w:hAnsi="Verdana"/>
          <w:color w:val="000000"/>
          <w:sz w:val="20"/>
          <w:szCs w:val="20"/>
        </w:rPr>
      </w:pPr>
      <w:r w:rsidRPr="000C0821">
        <w:rPr>
          <w:rFonts w:ascii="Verdana" w:hAnsi="Verdana"/>
          <w:color w:val="000000"/>
          <w:sz w:val="20"/>
          <w:szCs w:val="20"/>
        </w:rPr>
        <w:t> </w:t>
      </w:r>
    </w:p>
    <w:p w14:paraId="1DCF5E43" w14:textId="196EB3F2" w:rsidR="003A4B4C" w:rsidRDefault="003A4B4C" w:rsidP="003A4B4C">
      <w:pPr>
        <w:rPr>
          <w:rFonts w:ascii="Verdana" w:hAnsi="Verdana"/>
          <w:color w:val="000000"/>
          <w:sz w:val="20"/>
          <w:szCs w:val="20"/>
        </w:rPr>
      </w:pPr>
      <w:r w:rsidRPr="0085290D">
        <w:rPr>
          <w:rFonts w:ascii="Verdana" w:hAnsi="Verdana"/>
          <w:color w:val="000000"/>
          <w:sz w:val="20"/>
          <w:szCs w:val="20"/>
        </w:rPr>
        <w:t xml:space="preserve">These results are for children living in the Health Board area in </w:t>
      </w:r>
      <w:r w:rsidR="00584AF5">
        <w:rPr>
          <w:rFonts w:ascii="Verdana" w:hAnsi="Verdana"/>
          <w:color w:val="000000"/>
          <w:sz w:val="20"/>
          <w:szCs w:val="20"/>
        </w:rPr>
        <w:t>September</w:t>
      </w:r>
      <w:r w:rsidR="00923B7D">
        <w:rPr>
          <w:rFonts w:ascii="Verdana" w:hAnsi="Verdana"/>
          <w:color w:val="000000"/>
          <w:sz w:val="20"/>
          <w:szCs w:val="20"/>
        </w:rPr>
        <w:t xml:space="preserve"> 2023</w:t>
      </w:r>
      <w:r w:rsidRPr="0085290D">
        <w:rPr>
          <w:rFonts w:ascii="Verdana" w:hAnsi="Verdana"/>
          <w:color w:val="000000"/>
          <w:sz w:val="20"/>
          <w:szCs w:val="20"/>
        </w:rPr>
        <w:t xml:space="preserve"> and who reached their first, second, fifth, 15th and 16th birthdays during the quarter </w:t>
      </w:r>
      <w:r w:rsidR="0079772C">
        <w:rPr>
          <w:rFonts w:ascii="Verdana" w:hAnsi="Verdana"/>
          <w:color w:val="000000"/>
          <w:sz w:val="20"/>
          <w:szCs w:val="20"/>
        </w:rPr>
        <w:t>July – September</w:t>
      </w:r>
      <w:r w:rsidR="00923B7D">
        <w:rPr>
          <w:rFonts w:ascii="Verdana" w:hAnsi="Verdana"/>
          <w:color w:val="000000"/>
          <w:sz w:val="20"/>
          <w:szCs w:val="20"/>
        </w:rPr>
        <w:t xml:space="preserve"> 2023.</w:t>
      </w:r>
    </w:p>
    <w:p w14:paraId="3A1022DF" w14:textId="60DC066B" w:rsidR="006E153B" w:rsidRDefault="006F381F" w:rsidP="001E7061">
      <w:r>
        <w:rPr>
          <w:noProof/>
        </w:rPr>
        <w:drawing>
          <wp:inline distT="0" distB="0" distL="0" distR="0" wp14:anchorId="31B838DC" wp14:editId="3680B958">
            <wp:extent cx="5919807" cy="256222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0965" cy="2567054"/>
                    </a:xfrm>
                    <a:prstGeom prst="rect">
                      <a:avLst/>
                    </a:prstGeom>
                    <a:noFill/>
                  </pic:spPr>
                </pic:pic>
              </a:graphicData>
            </a:graphic>
          </wp:inline>
        </w:drawing>
      </w:r>
    </w:p>
    <w:p w14:paraId="37886603" w14:textId="77777777" w:rsidR="00DB72C6" w:rsidRDefault="00DB72C6" w:rsidP="00DB72C6">
      <w:pPr>
        <w:pStyle w:val="Heading2"/>
        <w:spacing w:before="150" w:after="150"/>
        <w:rPr>
          <w:rFonts w:ascii="Arial" w:hAnsi="Arial" w:cs="Arial"/>
          <w:color w:val="075098"/>
          <w:sz w:val="26"/>
        </w:rPr>
      </w:pPr>
      <w:r>
        <w:rPr>
          <w:rFonts w:ascii="Arial" w:hAnsi="Arial" w:cs="Arial"/>
          <w:color w:val="075098"/>
          <w:sz w:val="26"/>
        </w:rPr>
        <w:t>All Wales: Childhood immunisation summary chart</w:t>
      </w:r>
    </w:p>
    <w:p w14:paraId="0917663B" w14:textId="2252ABB6" w:rsidR="00DB72C6" w:rsidRDefault="006F381F">
      <w:r>
        <w:rPr>
          <w:noProof/>
        </w:rPr>
        <w:drawing>
          <wp:inline distT="0" distB="0" distL="0" distR="0" wp14:anchorId="266A43EF" wp14:editId="11E1E674">
            <wp:extent cx="5793548" cy="25050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02937" cy="2509135"/>
                    </a:xfrm>
                    <a:prstGeom prst="rect">
                      <a:avLst/>
                    </a:prstGeom>
                    <a:noFill/>
                  </pic:spPr>
                </pic:pic>
              </a:graphicData>
            </a:graphic>
          </wp:inline>
        </w:drawing>
      </w:r>
    </w:p>
    <w:p w14:paraId="5892281A" w14:textId="77777777" w:rsidR="006F381F" w:rsidRDefault="006F381F"/>
    <w:p w14:paraId="18169B8F" w14:textId="47C3E9DB" w:rsidR="00D2030B" w:rsidRDefault="00D2030B" w:rsidP="00D2030B">
      <w:pPr>
        <w:pStyle w:val="Heading2"/>
        <w:spacing w:before="150" w:after="150"/>
        <w:rPr>
          <w:rFonts w:ascii="Arial" w:hAnsi="Arial" w:cs="Arial"/>
          <w:color w:val="075098"/>
          <w:sz w:val="26"/>
        </w:rPr>
      </w:pPr>
      <w:r>
        <w:rPr>
          <w:rFonts w:ascii="Arial" w:hAnsi="Arial" w:cs="Arial"/>
          <w:color w:val="075098"/>
          <w:sz w:val="26"/>
        </w:rPr>
        <w:lastRenderedPageBreak/>
        <w:t>Childhood immunisation uptake trend</w:t>
      </w:r>
    </w:p>
    <w:p w14:paraId="29950AA0" w14:textId="77777777" w:rsidR="002C0CBA" w:rsidRPr="000C0821" w:rsidRDefault="002C0CBA" w:rsidP="002C0CBA">
      <w:pPr>
        <w:rPr>
          <w:rFonts w:ascii="Verdana" w:hAnsi="Verdana" w:cs="Times New Roman"/>
          <w:color w:val="000000"/>
          <w:sz w:val="20"/>
          <w:szCs w:val="20"/>
        </w:rPr>
      </w:pPr>
      <w:r w:rsidRPr="000C0821">
        <w:rPr>
          <w:rFonts w:ascii="Verdana" w:hAnsi="Verdana"/>
          <w:color w:val="000000"/>
          <w:sz w:val="20"/>
          <w:szCs w:val="20"/>
        </w:rPr>
        <w:t>The chart below shows trends in the uptake of selected routine immunisations for Health Board resident children.  Please see All Wales Chart below for comparison. The chart uses data from the Public Health Wales </w:t>
      </w:r>
      <w:hyperlink r:id="rId13" w:history="1">
        <w:r w:rsidRPr="000C0821">
          <w:rPr>
            <w:rStyle w:val="Hyperlink"/>
            <w:rFonts w:ascii="Verdana" w:hAnsi="Verdana"/>
            <w:color w:val="8D1B79"/>
            <w:sz w:val="20"/>
            <w:szCs w:val="20"/>
          </w:rPr>
          <w:t>quarterly COVER reports</w:t>
        </w:r>
      </w:hyperlink>
      <w:r w:rsidRPr="000C0821">
        <w:rPr>
          <w:rFonts w:ascii="Verdana" w:hAnsi="Verdana"/>
          <w:color w:val="000000"/>
          <w:sz w:val="20"/>
          <w:szCs w:val="20"/>
        </w:rPr>
        <w:t>, from 2004 to the latest report.</w:t>
      </w:r>
    </w:p>
    <w:p w14:paraId="456A04D9" w14:textId="67B84E79" w:rsidR="00D2030B" w:rsidRDefault="00D17B23" w:rsidP="001E7061">
      <w:r w:rsidRPr="00D17B23">
        <w:drawing>
          <wp:inline distT="0" distB="0" distL="0" distR="0" wp14:anchorId="47A64AED" wp14:editId="2E14ECF6">
            <wp:extent cx="5716988" cy="368153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19821" cy="3683357"/>
                    </a:xfrm>
                    <a:prstGeom prst="rect">
                      <a:avLst/>
                    </a:prstGeom>
                    <a:noFill/>
                    <a:ln>
                      <a:noFill/>
                    </a:ln>
                  </pic:spPr>
                </pic:pic>
              </a:graphicData>
            </a:graphic>
          </wp:inline>
        </w:drawing>
      </w:r>
    </w:p>
    <w:p w14:paraId="3F24826A" w14:textId="4BC126C6" w:rsidR="002B2386" w:rsidRPr="00DB72C6" w:rsidRDefault="002B2386" w:rsidP="00DB72C6">
      <w:pPr>
        <w:pStyle w:val="Heading2"/>
        <w:spacing w:before="150" w:after="150"/>
        <w:rPr>
          <w:rFonts w:ascii="Arial" w:hAnsi="Arial" w:cs="Arial"/>
          <w:color w:val="075098"/>
          <w:sz w:val="26"/>
        </w:rPr>
      </w:pPr>
      <w:r>
        <w:rPr>
          <w:rFonts w:ascii="Arial" w:hAnsi="Arial" w:cs="Arial"/>
          <w:color w:val="075098"/>
          <w:sz w:val="26"/>
        </w:rPr>
        <w:t>All Wales: Childhood immunisation uptake trend</w:t>
      </w:r>
    </w:p>
    <w:p w14:paraId="3D30905A" w14:textId="67729C16" w:rsidR="006E153B" w:rsidRPr="001E7061" w:rsidRDefault="00D17B23" w:rsidP="001E7061">
      <w:r w:rsidRPr="00D17B23">
        <w:drawing>
          <wp:inline distT="0" distB="0" distL="0" distR="0" wp14:anchorId="24A55098" wp14:editId="39795C18">
            <wp:extent cx="5820355" cy="3748098"/>
            <wp:effectExtent l="0" t="0" r="952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22438" cy="3749439"/>
                    </a:xfrm>
                    <a:prstGeom prst="rect">
                      <a:avLst/>
                    </a:prstGeom>
                    <a:noFill/>
                    <a:ln>
                      <a:noFill/>
                    </a:ln>
                  </pic:spPr>
                </pic:pic>
              </a:graphicData>
            </a:graphic>
          </wp:inline>
        </w:drawing>
      </w:r>
    </w:p>
    <w:sectPr w:rsidR="006E153B" w:rsidRPr="001E7061" w:rsidSect="009B686D">
      <w:headerReference w:type="default" r:id="rId16"/>
      <w:footerReference w:type="default" r:id="rId17"/>
      <w:pgSz w:w="11906" w:h="16838"/>
      <w:pgMar w:top="1440" w:right="849"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093E1E" w14:textId="77777777" w:rsidR="00281E9A" w:rsidRDefault="001E7061">
      <w:pPr>
        <w:spacing w:after="0" w:line="240" w:lineRule="auto"/>
      </w:pPr>
      <w:r>
        <w:separator/>
      </w:r>
    </w:p>
  </w:endnote>
  <w:endnote w:type="continuationSeparator" w:id="0">
    <w:p w14:paraId="492F1A1C" w14:textId="77777777" w:rsidR="00281E9A" w:rsidRDefault="001E70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7804577"/>
      <w:docPartObj>
        <w:docPartGallery w:val="Page Numbers (Bottom of Page)"/>
        <w:docPartUnique/>
      </w:docPartObj>
    </w:sdtPr>
    <w:sdtEndPr>
      <w:rPr>
        <w:noProof/>
      </w:rPr>
    </w:sdtEndPr>
    <w:sdtContent>
      <w:p w14:paraId="4A971364" w14:textId="59E3CC37" w:rsidR="000C0212" w:rsidRDefault="001E7061">
        <w:pPr>
          <w:pStyle w:val="Footer"/>
          <w:jc w:val="center"/>
        </w:pPr>
        <w:r>
          <w:fldChar w:fldCharType="begin"/>
        </w:r>
        <w:r>
          <w:instrText xml:space="preserve"> PAGE   \* MERGEFORMAT </w:instrText>
        </w:r>
        <w:r>
          <w:fldChar w:fldCharType="separate"/>
        </w:r>
        <w:r w:rsidR="00BD250D">
          <w:rPr>
            <w:noProof/>
          </w:rPr>
          <w:t>2</w:t>
        </w:r>
        <w:r>
          <w:rPr>
            <w:noProof/>
          </w:rPr>
          <w:fldChar w:fldCharType="end"/>
        </w:r>
      </w:p>
    </w:sdtContent>
  </w:sdt>
  <w:p w14:paraId="20CFC5DC" w14:textId="77777777" w:rsidR="000C0212" w:rsidRDefault="00D17B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4396F8" w14:textId="77777777" w:rsidR="009C7EF5" w:rsidRDefault="001E7061">
      <w:r>
        <w:separator/>
      </w:r>
    </w:p>
  </w:footnote>
  <w:footnote w:type="continuationSeparator" w:id="0">
    <w:p w14:paraId="186E2A8C" w14:textId="77777777" w:rsidR="009C7EF5" w:rsidRDefault="001E70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E048F" w14:textId="77777777" w:rsidR="000C0212" w:rsidRDefault="001E7061" w:rsidP="00287037">
    <w:pPr>
      <w:pStyle w:val="Header"/>
      <w:tabs>
        <w:tab w:val="clear" w:pos="4513"/>
        <w:tab w:val="clear" w:pos="9026"/>
        <w:tab w:val="left" w:pos="5916"/>
      </w:tabs>
    </w:pPr>
    <w:r>
      <w:rPr>
        <w:noProof/>
        <w:lang w:eastAsia="en-GB"/>
      </w:rPr>
      <w:drawing>
        <wp:inline distT="0" distB="0" distL="0" distR="0" wp14:anchorId="330ADCF6" wp14:editId="42CBA29B">
          <wp:extent cx="1511927" cy="3886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Logo Blue.png"/>
                  <pic:cNvPicPr/>
                </pic:nvPicPr>
                <pic:blipFill>
                  <a:blip r:embed="rId1">
                    <a:extLst>
                      <a:ext uri="{28A0092B-C50C-407E-A947-70E740481C1C}">
                        <a14:useLocalDpi xmlns:a14="http://schemas.microsoft.com/office/drawing/2010/main" val="0"/>
                      </a:ext>
                    </a:extLst>
                  </a:blip>
                  <a:stretch>
                    <a:fillRect/>
                  </a:stretch>
                </pic:blipFill>
                <pic:spPr>
                  <a:xfrm>
                    <a:off x="0" y="0"/>
                    <a:ext cx="1716270" cy="441143"/>
                  </a:xfrm>
                  <a:prstGeom prst="rect">
                    <a:avLst/>
                  </a:prstGeom>
                </pic:spPr>
              </pic:pic>
            </a:graphicData>
          </a:graphic>
        </wp:inline>
      </w:drawing>
    </w:r>
    <w:r>
      <w:tab/>
    </w:r>
    <w:r>
      <w:rPr>
        <w:noProof/>
        <w:lang w:eastAsia="en-GB"/>
      </w:rPr>
      <w:drawing>
        <wp:inline distT="0" distB="0" distL="0" distR="0" wp14:anchorId="1929FAF7" wp14:editId="7A8D835C">
          <wp:extent cx="1752600" cy="436224"/>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new logo.jpg"/>
                  <pic:cNvPicPr/>
                </pic:nvPicPr>
                <pic:blipFill>
                  <a:blip r:embed="rId2">
                    <a:extLst>
                      <a:ext uri="{28A0092B-C50C-407E-A947-70E740481C1C}">
                        <a14:useLocalDpi xmlns:a14="http://schemas.microsoft.com/office/drawing/2010/main" val="0"/>
                      </a:ext>
                    </a:extLst>
                  </a:blip>
                  <a:stretch>
                    <a:fillRect/>
                  </a:stretch>
                </pic:blipFill>
                <pic:spPr>
                  <a:xfrm>
                    <a:off x="0" y="0"/>
                    <a:ext cx="1997017" cy="4970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830D0D"/>
    <w:multiLevelType w:val="hybridMultilevel"/>
    <w:tmpl w:val="5A1A0DAE"/>
    <w:lvl w:ilvl="0" w:tplc="C5E47134">
      <w:start w:val="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136149"/>
    <w:multiLevelType w:val="hybridMultilevel"/>
    <w:tmpl w:val="A5C85656"/>
    <w:lvl w:ilvl="0" w:tplc="7568868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1AE401"/>
    <w:multiLevelType w:val="multilevel"/>
    <w:tmpl w:val="168E97C8"/>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abstractNum w:abstractNumId="3" w15:restartNumberingAfterBreak="0">
    <w:nsid w:val="3CF53F8F"/>
    <w:multiLevelType w:val="hybridMultilevel"/>
    <w:tmpl w:val="BBBC92B2"/>
    <w:lvl w:ilvl="0" w:tplc="8B4E985E">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A364EE7"/>
    <w:multiLevelType w:val="hybridMultilevel"/>
    <w:tmpl w:val="A74EDE8E"/>
    <w:lvl w:ilvl="0" w:tplc="57EA2A2E">
      <w:start w:val="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E043F54"/>
    <w:multiLevelType w:val="hybridMultilevel"/>
    <w:tmpl w:val="91C83F06"/>
    <w:lvl w:ilvl="0" w:tplc="D8B8ABF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3E6372F"/>
    <w:multiLevelType w:val="hybridMultilevel"/>
    <w:tmpl w:val="93DCE5D8"/>
    <w:lvl w:ilvl="0" w:tplc="7EA6159E">
      <w:start w:val="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C80066B"/>
    <w:multiLevelType w:val="hybridMultilevel"/>
    <w:tmpl w:val="8CB4553C"/>
    <w:lvl w:ilvl="0" w:tplc="DBA4E53A">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77530249">
    <w:abstractNumId w:val="6"/>
  </w:num>
  <w:num w:numId="2" w16cid:durableId="743795053">
    <w:abstractNumId w:val="0"/>
  </w:num>
  <w:num w:numId="3" w16cid:durableId="829366221">
    <w:abstractNumId w:val="4"/>
  </w:num>
  <w:num w:numId="4" w16cid:durableId="622616552">
    <w:abstractNumId w:val="3"/>
  </w:num>
  <w:num w:numId="5" w16cid:durableId="1741831589">
    <w:abstractNumId w:val="7"/>
  </w:num>
  <w:num w:numId="6" w16cid:durableId="1656688471">
    <w:abstractNumId w:val="1"/>
  </w:num>
  <w:num w:numId="7" w16cid:durableId="1352996519">
    <w:abstractNumId w:val="5"/>
  </w:num>
  <w:num w:numId="8" w16cid:durableId="188123616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0D07"/>
    <w:rsid w:val="0000320C"/>
    <w:rsid w:val="00011C8B"/>
    <w:rsid w:val="00021761"/>
    <w:rsid w:val="00077CBA"/>
    <w:rsid w:val="000C0821"/>
    <w:rsid w:val="001C377A"/>
    <w:rsid w:val="001E7061"/>
    <w:rsid w:val="00281E9A"/>
    <w:rsid w:val="002A70B3"/>
    <w:rsid w:val="002B2386"/>
    <w:rsid w:val="002C0CBA"/>
    <w:rsid w:val="002E280D"/>
    <w:rsid w:val="003262FB"/>
    <w:rsid w:val="00355A0D"/>
    <w:rsid w:val="003A486B"/>
    <w:rsid w:val="003A4B4C"/>
    <w:rsid w:val="00492C59"/>
    <w:rsid w:val="004E29B3"/>
    <w:rsid w:val="00584AF5"/>
    <w:rsid w:val="00590D07"/>
    <w:rsid w:val="005C08CA"/>
    <w:rsid w:val="005D5C7F"/>
    <w:rsid w:val="006B1E00"/>
    <w:rsid w:val="006B571B"/>
    <w:rsid w:val="006E153B"/>
    <w:rsid w:val="006F381F"/>
    <w:rsid w:val="006F5D08"/>
    <w:rsid w:val="0071554F"/>
    <w:rsid w:val="0075387B"/>
    <w:rsid w:val="00784D58"/>
    <w:rsid w:val="0079772C"/>
    <w:rsid w:val="00823635"/>
    <w:rsid w:val="008537E2"/>
    <w:rsid w:val="008D6863"/>
    <w:rsid w:val="00923B7D"/>
    <w:rsid w:val="009C7EF5"/>
    <w:rsid w:val="00A506B1"/>
    <w:rsid w:val="00A61E17"/>
    <w:rsid w:val="00B37554"/>
    <w:rsid w:val="00B86B75"/>
    <w:rsid w:val="00BC48D5"/>
    <w:rsid w:val="00BD250D"/>
    <w:rsid w:val="00BF69EE"/>
    <w:rsid w:val="00C36279"/>
    <w:rsid w:val="00C712C2"/>
    <w:rsid w:val="00CA6E1A"/>
    <w:rsid w:val="00CC02B0"/>
    <w:rsid w:val="00CC0432"/>
    <w:rsid w:val="00D17B23"/>
    <w:rsid w:val="00D2030B"/>
    <w:rsid w:val="00DB72C6"/>
    <w:rsid w:val="00E11616"/>
    <w:rsid w:val="00E1496E"/>
    <w:rsid w:val="00E315A3"/>
    <w:rsid w:val="00E446FC"/>
    <w:rsid w:val="00EA161D"/>
    <w:rsid w:val="00F108F7"/>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82504"/>
  <w15:docId w15:val="{D54C1D4A-6F5C-44E9-8E67-E54651B72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361BC"/>
    <w:pPr>
      <w:keepNext/>
      <w:keepLines/>
      <w:spacing w:before="240" w:after="0"/>
      <w:outlineLvl w:val="0"/>
    </w:pPr>
    <w:rPr>
      <w:rFonts w:eastAsiaTheme="majorEastAsia" w:cstheme="majorBidi"/>
      <w:b/>
      <w:color w:val="2E74B5" w:themeColor="accent1" w:themeShade="BF"/>
      <w:sz w:val="24"/>
      <w:szCs w:val="32"/>
    </w:rPr>
  </w:style>
  <w:style w:type="paragraph" w:styleId="Heading2">
    <w:name w:val="heading 2"/>
    <w:basedOn w:val="Normal"/>
    <w:next w:val="Normal"/>
    <w:link w:val="Heading2Char"/>
    <w:uiPriority w:val="9"/>
    <w:unhideWhenUsed/>
    <w:qFormat/>
    <w:rsid w:val="002E099A"/>
    <w:pPr>
      <w:keepNext/>
      <w:keepLines/>
      <w:spacing w:before="40" w:after="0"/>
      <w:outlineLvl w:val="1"/>
    </w:pPr>
    <w:rPr>
      <w:rFonts w:eastAsiaTheme="majorEastAsia" w:cstheme="majorBidi"/>
      <w:b/>
      <w:color w:val="FF0000"/>
      <w:szCs w:val="26"/>
    </w:rPr>
  </w:style>
  <w:style w:type="paragraph" w:styleId="Heading3">
    <w:name w:val="heading 3"/>
    <w:basedOn w:val="Normal"/>
    <w:next w:val="Normal"/>
    <w:link w:val="Heading3Char"/>
    <w:uiPriority w:val="9"/>
    <w:unhideWhenUsed/>
    <w:qFormat/>
    <w:rsid w:val="00C361BC"/>
    <w:pPr>
      <w:keepNext/>
      <w:keepLines/>
      <w:spacing w:before="40" w:after="0"/>
      <w:outlineLvl w:val="2"/>
    </w:pPr>
    <w:rPr>
      <w:rFonts w:eastAsiaTheme="majorEastAsia" w:cstheme="majorBidi"/>
      <w:b/>
      <w:color w:val="2E74B5" w:themeColor="accent1" w:themeShade="BF"/>
      <w:sz w:val="28"/>
      <w:szCs w:val="24"/>
    </w:rPr>
  </w:style>
  <w:style w:type="paragraph" w:styleId="Heading4">
    <w:name w:val="heading 4"/>
    <w:basedOn w:val="Normal"/>
    <w:next w:val="Normal"/>
    <w:link w:val="Heading4Char"/>
    <w:uiPriority w:val="9"/>
    <w:unhideWhenUsed/>
    <w:qFormat/>
    <w:rsid w:val="00C361BC"/>
    <w:pPr>
      <w:keepNext/>
      <w:keepLines/>
      <w:spacing w:before="40" w:after="0"/>
      <w:outlineLvl w:val="3"/>
    </w:pPr>
    <w:rPr>
      <w:rFonts w:eastAsiaTheme="majorEastAsia" w:cstheme="majorBidi"/>
      <w:iCs/>
      <w:color w:val="2E74B5" w:themeColor="accent1" w:themeShade="BF"/>
      <w:sz w:val="24"/>
    </w:rPr>
  </w:style>
  <w:style w:type="paragraph" w:styleId="Heading5">
    <w:name w:val="heading 5"/>
    <w:basedOn w:val="Normal"/>
    <w:next w:val="Normal"/>
    <w:link w:val="Heading5Char"/>
    <w:uiPriority w:val="9"/>
    <w:unhideWhenUsed/>
    <w:qFormat/>
    <w:rsid w:val="00137ABF"/>
    <w:pPr>
      <w:keepNext/>
      <w:keepLines/>
      <w:spacing w:before="40" w:after="0"/>
      <w:outlineLvl w:val="4"/>
    </w:pPr>
    <w:rPr>
      <w:rFonts w:eastAsiaTheme="majorEastAsia" w:cstheme="majorBidi"/>
      <w:color w:val="FF0000"/>
    </w:rPr>
  </w:style>
  <w:style w:type="paragraph" w:styleId="Heading6">
    <w:name w:val="heading 6"/>
    <w:basedOn w:val="Normal"/>
    <w:next w:val="Normal"/>
    <w:link w:val="Heading6Char"/>
    <w:uiPriority w:val="9"/>
    <w:unhideWhenUsed/>
    <w:qFormat/>
    <w:rsid w:val="00EF5D85"/>
    <w:pPr>
      <w:keepLines/>
      <w:pageBreakBefore/>
      <w:spacing w:before="40" w:after="0" w:line="20" w:lineRule="exact"/>
      <w:outlineLvl w:val="5"/>
    </w:pPr>
    <w:rPr>
      <w:rFonts w:asciiTheme="majorHAnsi" w:eastAsiaTheme="majorEastAsia" w:hAnsiTheme="majorHAnsi" w:cstheme="majorBidi"/>
      <w:color w:val="FFFFFF" w:themeColor="background1"/>
      <w:sz w:val="16"/>
    </w:rPr>
  </w:style>
  <w:style w:type="paragraph" w:styleId="Heading7">
    <w:name w:val="heading 7"/>
    <w:basedOn w:val="Normal"/>
    <w:next w:val="Normal"/>
    <w:link w:val="Heading7Char"/>
    <w:uiPriority w:val="9"/>
    <w:unhideWhenUsed/>
    <w:qFormat/>
    <w:rsid w:val="00563E53"/>
    <w:pPr>
      <w:keepNext/>
      <w:keepLines/>
      <w:spacing w:before="40" w:after="0"/>
      <w:outlineLvl w:val="6"/>
    </w:pPr>
    <w:rPr>
      <w:rFonts w:asciiTheme="majorHAnsi" w:eastAsiaTheme="majorEastAsia" w:hAnsiTheme="majorHAnsi" w:cstheme="majorBidi"/>
      <w:b/>
      <w:iCs/>
      <w:color w:val="FF0000"/>
      <w:sz w:val="20"/>
      <w:u w:val="single"/>
    </w:rPr>
  </w:style>
  <w:style w:type="paragraph" w:styleId="Heading8">
    <w:name w:val="heading 8"/>
    <w:basedOn w:val="Normal"/>
    <w:next w:val="Normal"/>
    <w:link w:val="Heading8Char"/>
    <w:uiPriority w:val="9"/>
    <w:unhideWhenUsed/>
    <w:qFormat/>
    <w:rsid w:val="005F3306"/>
    <w:pPr>
      <w:keepNext/>
      <w:keepLines/>
      <w:spacing w:before="40" w:after="0"/>
      <w:outlineLvl w:val="7"/>
    </w:pPr>
    <w:rPr>
      <w:rFonts w:eastAsiaTheme="majorEastAsia" w:cstheme="majorBidi"/>
      <w:color w:val="000000" w:themeColor="text1"/>
      <w:sz w:val="52"/>
      <w:szCs w:val="21"/>
    </w:rPr>
  </w:style>
  <w:style w:type="paragraph" w:styleId="Heading9">
    <w:name w:val="heading 9"/>
    <w:basedOn w:val="Normal"/>
    <w:next w:val="Normal"/>
    <w:link w:val="Heading9Char"/>
    <w:uiPriority w:val="9"/>
    <w:unhideWhenUsed/>
    <w:qFormat/>
    <w:rsid w:val="00563E53"/>
    <w:pPr>
      <w:keepNext/>
      <w:keepLines/>
      <w:spacing w:before="40" w:after="0"/>
      <w:outlineLvl w:val="8"/>
    </w:pPr>
    <w:rPr>
      <w:rFonts w:asciiTheme="majorHAnsi" w:eastAsiaTheme="majorEastAsia" w:hAnsiTheme="majorHAnsi" w:cstheme="majorBidi"/>
      <w:i/>
      <w:iCs/>
      <w:color w:val="272727" w:themeColor="text1" w:themeTint="D8"/>
      <w:sz w:val="1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8703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87037"/>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C361BC"/>
    <w:rPr>
      <w:rFonts w:eastAsiaTheme="majorEastAsia" w:cstheme="majorBidi"/>
      <w:b/>
      <w:color w:val="2E74B5" w:themeColor="accent1" w:themeShade="BF"/>
      <w:sz w:val="24"/>
      <w:szCs w:val="32"/>
    </w:rPr>
  </w:style>
  <w:style w:type="paragraph" w:styleId="Header">
    <w:name w:val="header"/>
    <w:basedOn w:val="Normal"/>
    <w:link w:val="HeaderChar"/>
    <w:uiPriority w:val="99"/>
    <w:unhideWhenUsed/>
    <w:rsid w:val="002870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7037"/>
  </w:style>
  <w:style w:type="paragraph" w:styleId="Footer">
    <w:name w:val="footer"/>
    <w:basedOn w:val="Normal"/>
    <w:link w:val="FooterChar"/>
    <w:uiPriority w:val="99"/>
    <w:unhideWhenUsed/>
    <w:rsid w:val="002870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7037"/>
  </w:style>
  <w:style w:type="character" w:customStyle="1" w:styleId="Heading2Char">
    <w:name w:val="Heading 2 Char"/>
    <w:basedOn w:val="DefaultParagraphFont"/>
    <w:link w:val="Heading2"/>
    <w:uiPriority w:val="9"/>
    <w:rsid w:val="002E099A"/>
    <w:rPr>
      <w:rFonts w:eastAsiaTheme="majorEastAsia" w:cstheme="majorBidi"/>
      <w:b/>
      <w:color w:val="FF0000"/>
      <w:szCs w:val="26"/>
    </w:rPr>
  </w:style>
  <w:style w:type="paragraph" w:styleId="Subtitle">
    <w:name w:val="Subtitle"/>
    <w:basedOn w:val="Normal"/>
    <w:next w:val="Normal"/>
    <w:link w:val="SubtitleChar"/>
    <w:uiPriority w:val="11"/>
    <w:qFormat/>
    <w:rsid w:val="00287037"/>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287037"/>
    <w:rPr>
      <w:rFonts w:eastAsiaTheme="minorEastAsia"/>
      <w:color w:val="5A5A5A" w:themeColor="text1" w:themeTint="A5"/>
      <w:spacing w:val="15"/>
    </w:rPr>
  </w:style>
  <w:style w:type="character" w:styleId="CommentReference">
    <w:name w:val="annotation reference"/>
    <w:basedOn w:val="DefaultParagraphFont"/>
    <w:uiPriority w:val="99"/>
    <w:semiHidden/>
    <w:unhideWhenUsed/>
    <w:rsid w:val="001C1E70"/>
    <w:rPr>
      <w:sz w:val="16"/>
      <w:szCs w:val="16"/>
    </w:rPr>
  </w:style>
  <w:style w:type="paragraph" w:styleId="CommentText">
    <w:name w:val="annotation text"/>
    <w:basedOn w:val="Normal"/>
    <w:link w:val="CommentTextChar"/>
    <w:uiPriority w:val="99"/>
    <w:semiHidden/>
    <w:unhideWhenUsed/>
    <w:rsid w:val="001C1E70"/>
    <w:pPr>
      <w:spacing w:line="240" w:lineRule="auto"/>
    </w:pPr>
    <w:rPr>
      <w:sz w:val="20"/>
      <w:szCs w:val="20"/>
    </w:rPr>
  </w:style>
  <w:style w:type="character" w:customStyle="1" w:styleId="CommentTextChar">
    <w:name w:val="Comment Text Char"/>
    <w:basedOn w:val="DefaultParagraphFont"/>
    <w:link w:val="CommentText"/>
    <w:uiPriority w:val="99"/>
    <w:semiHidden/>
    <w:rsid w:val="001C1E70"/>
    <w:rPr>
      <w:sz w:val="20"/>
      <w:szCs w:val="20"/>
    </w:rPr>
  </w:style>
  <w:style w:type="paragraph" w:styleId="CommentSubject">
    <w:name w:val="annotation subject"/>
    <w:basedOn w:val="CommentText"/>
    <w:next w:val="CommentText"/>
    <w:link w:val="CommentSubjectChar"/>
    <w:uiPriority w:val="99"/>
    <w:semiHidden/>
    <w:unhideWhenUsed/>
    <w:rsid w:val="001C1E70"/>
    <w:rPr>
      <w:b/>
      <w:bCs/>
    </w:rPr>
  </w:style>
  <w:style w:type="character" w:customStyle="1" w:styleId="CommentSubjectChar">
    <w:name w:val="Comment Subject Char"/>
    <w:basedOn w:val="CommentTextChar"/>
    <w:link w:val="CommentSubject"/>
    <w:uiPriority w:val="99"/>
    <w:semiHidden/>
    <w:rsid w:val="001C1E70"/>
    <w:rPr>
      <w:b/>
      <w:bCs/>
      <w:sz w:val="20"/>
      <w:szCs w:val="20"/>
    </w:rPr>
  </w:style>
  <w:style w:type="paragraph" w:styleId="BalloonText">
    <w:name w:val="Balloon Text"/>
    <w:basedOn w:val="Normal"/>
    <w:link w:val="BalloonTextChar"/>
    <w:uiPriority w:val="99"/>
    <w:semiHidden/>
    <w:unhideWhenUsed/>
    <w:rsid w:val="001C1E7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C1E70"/>
    <w:rPr>
      <w:rFonts w:ascii="Segoe UI" w:hAnsi="Segoe UI" w:cs="Segoe UI"/>
      <w:sz w:val="18"/>
      <w:szCs w:val="18"/>
    </w:rPr>
  </w:style>
  <w:style w:type="paragraph" w:styleId="ListParagraph">
    <w:name w:val="List Paragraph"/>
    <w:basedOn w:val="Normal"/>
    <w:uiPriority w:val="34"/>
    <w:qFormat/>
    <w:rsid w:val="00C52505"/>
    <w:pPr>
      <w:ind w:left="720"/>
      <w:contextualSpacing/>
    </w:pPr>
  </w:style>
  <w:style w:type="paragraph" w:styleId="Revision">
    <w:name w:val="Revision"/>
    <w:hidden/>
    <w:uiPriority w:val="99"/>
    <w:semiHidden/>
    <w:rsid w:val="006F2421"/>
    <w:pPr>
      <w:spacing w:after="0" w:line="240" w:lineRule="auto"/>
    </w:pPr>
  </w:style>
  <w:style w:type="character" w:customStyle="1" w:styleId="Heading3Char">
    <w:name w:val="Heading 3 Char"/>
    <w:basedOn w:val="DefaultParagraphFont"/>
    <w:link w:val="Heading3"/>
    <w:uiPriority w:val="9"/>
    <w:rsid w:val="00C361BC"/>
    <w:rPr>
      <w:rFonts w:eastAsiaTheme="majorEastAsia" w:cstheme="majorBidi"/>
      <w:b/>
      <w:color w:val="2E74B5" w:themeColor="accent1" w:themeShade="BF"/>
      <w:sz w:val="28"/>
      <w:szCs w:val="24"/>
    </w:rPr>
  </w:style>
  <w:style w:type="character" w:customStyle="1" w:styleId="Heading4Char">
    <w:name w:val="Heading 4 Char"/>
    <w:basedOn w:val="DefaultParagraphFont"/>
    <w:link w:val="Heading4"/>
    <w:uiPriority w:val="9"/>
    <w:rsid w:val="00C361BC"/>
    <w:rPr>
      <w:rFonts w:eastAsiaTheme="majorEastAsia" w:cstheme="majorBidi"/>
      <w:iCs/>
      <w:color w:val="2E74B5" w:themeColor="accent1" w:themeShade="BF"/>
      <w:sz w:val="24"/>
    </w:rPr>
  </w:style>
  <w:style w:type="character" w:customStyle="1" w:styleId="Heading5Char">
    <w:name w:val="Heading 5 Char"/>
    <w:basedOn w:val="DefaultParagraphFont"/>
    <w:link w:val="Heading5"/>
    <w:uiPriority w:val="9"/>
    <w:rsid w:val="00137ABF"/>
    <w:rPr>
      <w:rFonts w:eastAsiaTheme="majorEastAsia" w:cstheme="majorBidi"/>
      <w:color w:val="FF0000"/>
    </w:rPr>
  </w:style>
  <w:style w:type="character" w:customStyle="1" w:styleId="Heading6Char">
    <w:name w:val="Heading 6 Char"/>
    <w:basedOn w:val="DefaultParagraphFont"/>
    <w:link w:val="Heading6"/>
    <w:uiPriority w:val="9"/>
    <w:rsid w:val="00EF5D85"/>
    <w:rPr>
      <w:rFonts w:asciiTheme="majorHAnsi" w:eastAsiaTheme="majorEastAsia" w:hAnsiTheme="majorHAnsi" w:cstheme="majorBidi"/>
      <w:color w:val="FFFFFF" w:themeColor="background1"/>
      <w:sz w:val="16"/>
    </w:rPr>
  </w:style>
  <w:style w:type="character" w:customStyle="1" w:styleId="Heading7Char">
    <w:name w:val="Heading 7 Char"/>
    <w:basedOn w:val="DefaultParagraphFont"/>
    <w:link w:val="Heading7"/>
    <w:uiPriority w:val="9"/>
    <w:rsid w:val="00563E53"/>
    <w:rPr>
      <w:rFonts w:asciiTheme="majorHAnsi" w:eastAsiaTheme="majorEastAsia" w:hAnsiTheme="majorHAnsi" w:cstheme="majorBidi"/>
      <w:b/>
      <w:iCs/>
      <w:color w:val="FF0000"/>
      <w:sz w:val="20"/>
      <w:u w:val="single"/>
    </w:rPr>
  </w:style>
  <w:style w:type="character" w:customStyle="1" w:styleId="Heading8Char">
    <w:name w:val="Heading 8 Char"/>
    <w:basedOn w:val="DefaultParagraphFont"/>
    <w:link w:val="Heading8"/>
    <w:uiPriority w:val="9"/>
    <w:rsid w:val="005F3306"/>
    <w:rPr>
      <w:rFonts w:eastAsiaTheme="majorEastAsia" w:cstheme="majorBidi"/>
      <w:color w:val="000000" w:themeColor="text1"/>
      <w:sz w:val="52"/>
      <w:szCs w:val="21"/>
    </w:rPr>
  </w:style>
  <w:style w:type="character" w:customStyle="1" w:styleId="Heading9Char">
    <w:name w:val="Heading 9 Char"/>
    <w:basedOn w:val="DefaultParagraphFont"/>
    <w:link w:val="Heading9"/>
    <w:uiPriority w:val="9"/>
    <w:rsid w:val="00563E53"/>
    <w:rPr>
      <w:rFonts w:asciiTheme="majorHAnsi" w:eastAsiaTheme="majorEastAsia" w:hAnsiTheme="majorHAnsi" w:cstheme="majorBidi"/>
      <w:i/>
      <w:iCs/>
      <w:color w:val="272727" w:themeColor="text1" w:themeTint="D8"/>
      <w:sz w:val="18"/>
      <w:szCs w:val="21"/>
    </w:rPr>
  </w:style>
  <w:style w:type="paragraph" w:customStyle="1" w:styleId="SourceCode">
    <w:name w:val="Source Code"/>
    <w:basedOn w:val="Normal"/>
    <w:pPr>
      <w:shd w:val="clear" w:color="auto" w:fill="F8F8F8"/>
      <w:wordWrap w:val="0"/>
    </w:pPr>
  </w:style>
  <w:style w:type="character" w:customStyle="1" w:styleId="KeywordTok">
    <w:name w:val="KeywordTok"/>
    <w:rPr>
      <w:b/>
      <w:color w:val="204A87"/>
      <w:shd w:val="clear" w:color="auto" w:fill="F8F8F8"/>
    </w:rPr>
  </w:style>
  <w:style w:type="character" w:customStyle="1" w:styleId="DataTypeTok">
    <w:name w:val="DataTypeTok"/>
    <w:rPr>
      <w:color w:val="204A87"/>
      <w:shd w:val="clear" w:color="auto" w:fill="F8F8F8"/>
    </w:rPr>
  </w:style>
  <w:style w:type="character" w:customStyle="1" w:styleId="DecValTok">
    <w:name w:val="DecValTok"/>
    <w:rPr>
      <w:color w:val="0000CF"/>
      <w:shd w:val="clear" w:color="auto" w:fill="F8F8F8"/>
    </w:rPr>
  </w:style>
  <w:style w:type="character" w:customStyle="1" w:styleId="BaseNTok">
    <w:name w:val="BaseNTok"/>
    <w:rPr>
      <w:color w:val="0000CF"/>
      <w:shd w:val="clear" w:color="auto" w:fill="F8F8F8"/>
    </w:rPr>
  </w:style>
  <w:style w:type="character" w:customStyle="1" w:styleId="FloatTok">
    <w:name w:val="FloatTok"/>
    <w:rPr>
      <w:color w:val="0000CF"/>
      <w:shd w:val="clear" w:color="auto" w:fill="F8F8F8"/>
    </w:rPr>
  </w:style>
  <w:style w:type="character" w:customStyle="1" w:styleId="ConstantTok">
    <w:name w:val="ConstantTok"/>
    <w:rPr>
      <w:color w:val="000000"/>
      <w:shd w:val="clear" w:color="auto" w:fill="F8F8F8"/>
    </w:rPr>
  </w:style>
  <w:style w:type="character" w:customStyle="1" w:styleId="CharTok">
    <w:name w:val="CharTok"/>
    <w:rPr>
      <w:color w:val="4E9A06"/>
      <w:shd w:val="clear" w:color="auto" w:fill="F8F8F8"/>
    </w:rPr>
  </w:style>
  <w:style w:type="character" w:customStyle="1" w:styleId="SpecialCharTok">
    <w:name w:val="SpecialCharTok"/>
    <w:rPr>
      <w:color w:val="000000"/>
      <w:shd w:val="clear" w:color="auto" w:fill="F8F8F8"/>
    </w:rPr>
  </w:style>
  <w:style w:type="character" w:customStyle="1" w:styleId="StringTok">
    <w:name w:val="StringTok"/>
    <w:rPr>
      <w:color w:val="4E9A06"/>
      <w:shd w:val="clear" w:color="auto" w:fill="F8F8F8"/>
    </w:rPr>
  </w:style>
  <w:style w:type="character" w:customStyle="1" w:styleId="VerbatimStringTok">
    <w:name w:val="VerbatimStringTok"/>
    <w:rPr>
      <w:color w:val="4E9A06"/>
      <w:shd w:val="clear" w:color="auto" w:fill="F8F8F8"/>
    </w:rPr>
  </w:style>
  <w:style w:type="character" w:customStyle="1" w:styleId="SpecialStringTok">
    <w:name w:val="SpecialStringTok"/>
    <w:rPr>
      <w:color w:val="4E9A06"/>
      <w:shd w:val="clear" w:color="auto" w:fill="F8F8F8"/>
    </w:rPr>
  </w:style>
  <w:style w:type="character" w:customStyle="1" w:styleId="ImportTok">
    <w:name w:val="ImportTok"/>
    <w:rPr>
      <w:shd w:val="clear" w:color="auto" w:fill="F8F8F8"/>
    </w:rPr>
  </w:style>
  <w:style w:type="character" w:customStyle="1" w:styleId="CommentTok">
    <w:name w:val="CommentTok"/>
    <w:rPr>
      <w:i/>
      <w:color w:val="8F5902"/>
      <w:shd w:val="clear" w:color="auto" w:fill="F8F8F8"/>
    </w:rPr>
  </w:style>
  <w:style w:type="character" w:customStyle="1" w:styleId="DocumentationTok">
    <w:name w:val="DocumentationTok"/>
    <w:rPr>
      <w:b/>
      <w:i/>
      <w:color w:val="8F5902"/>
      <w:shd w:val="clear" w:color="auto" w:fill="F8F8F8"/>
    </w:rPr>
  </w:style>
  <w:style w:type="character" w:customStyle="1" w:styleId="AnnotationTok">
    <w:name w:val="AnnotationTok"/>
    <w:rPr>
      <w:b/>
      <w:i/>
      <w:color w:val="8F5902"/>
      <w:shd w:val="clear" w:color="auto" w:fill="F8F8F8"/>
    </w:rPr>
  </w:style>
  <w:style w:type="character" w:customStyle="1" w:styleId="CommentVarTok">
    <w:name w:val="CommentVarTok"/>
    <w:rPr>
      <w:b/>
      <w:i/>
      <w:color w:val="8F5902"/>
      <w:shd w:val="clear" w:color="auto" w:fill="F8F8F8"/>
    </w:rPr>
  </w:style>
  <w:style w:type="character" w:customStyle="1" w:styleId="OtherTok">
    <w:name w:val="OtherTok"/>
    <w:rPr>
      <w:color w:val="8F5902"/>
      <w:shd w:val="clear" w:color="auto" w:fill="F8F8F8"/>
    </w:rPr>
  </w:style>
  <w:style w:type="character" w:customStyle="1" w:styleId="FunctionTok">
    <w:name w:val="FunctionTok"/>
    <w:rPr>
      <w:color w:val="000000"/>
      <w:shd w:val="clear" w:color="auto" w:fill="F8F8F8"/>
    </w:rPr>
  </w:style>
  <w:style w:type="character" w:customStyle="1" w:styleId="VariableTok">
    <w:name w:val="VariableTok"/>
    <w:rPr>
      <w:color w:val="000000"/>
      <w:shd w:val="clear" w:color="auto" w:fill="F8F8F8"/>
    </w:rPr>
  </w:style>
  <w:style w:type="character" w:customStyle="1" w:styleId="ControlFlowTok">
    <w:name w:val="ControlFlowTok"/>
    <w:rPr>
      <w:b/>
      <w:color w:val="204A87"/>
      <w:shd w:val="clear" w:color="auto" w:fill="F8F8F8"/>
    </w:rPr>
  </w:style>
  <w:style w:type="character" w:customStyle="1" w:styleId="OperatorTok">
    <w:name w:val="OperatorTok"/>
    <w:rPr>
      <w:b/>
      <w:color w:val="CE5C00"/>
      <w:shd w:val="clear" w:color="auto" w:fill="F8F8F8"/>
    </w:rPr>
  </w:style>
  <w:style w:type="character" w:customStyle="1" w:styleId="BuiltInTok">
    <w:name w:val="BuiltInTok"/>
    <w:rPr>
      <w:shd w:val="clear" w:color="auto" w:fill="F8F8F8"/>
    </w:rPr>
  </w:style>
  <w:style w:type="character" w:customStyle="1" w:styleId="ExtensionTok">
    <w:name w:val="ExtensionTok"/>
    <w:rPr>
      <w:shd w:val="clear" w:color="auto" w:fill="F8F8F8"/>
    </w:rPr>
  </w:style>
  <w:style w:type="character" w:customStyle="1" w:styleId="PreprocessorTok">
    <w:name w:val="PreprocessorTok"/>
    <w:rPr>
      <w:i/>
      <w:color w:val="8F5902"/>
      <w:shd w:val="clear" w:color="auto" w:fill="F8F8F8"/>
    </w:rPr>
  </w:style>
  <w:style w:type="character" w:customStyle="1" w:styleId="AttributeTok">
    <w:name w:val="AttributeTok"/>
    <w:rPr>
      <w:color w:val="C4A000"/>
      <w:shd w:val="clear" w:color="auto" w:fill="F8F8F8"/>
    </w:rPr>
  </w:style>
  <w:style w:type="character" w:customStyle="1" w:styleId="RegionMarkerTok">
    <w:name w:val="RegionMarkerTok"/>
    <w:rPr>
      <w:shd w:val="clear" w:color="auto" w:fill="F8F8F8"/>
    </w:rPr>
  </w:style>
  <w:style w:type="character" w:customStyle="1" w:styleId="InformationTok">
    <w:name w:val="InformationTok"/>
    <w:rPr>
      <w:b/>
      <w:i/>
      <w:color w:val="8F5902"/>
      <w:shd w:val="clear" w:color="auto" w:fill="F8F8F8"/>
    </w:rPr>
  </w:style>
  <w:style w:type="character" w:customStyle="1" w:styleId="WarningTok">
    <w:name w:val="WarningTok"/>
    <w:rPr>
      <w:b/>
      <w:i/>
      <w:color w:val="8F5902"/>
      <w:shd w:val="clear" w:color="auto" w:fill="F8F8F8"/>
    </w:rPr>
  </w:style>
  <w:style w:type="character" w:customStyle="1" w:styleId="AlertTok">
    <w:name w:val="AlertTok"/>
    <w:rPr>
      <w:color w:val="EF2929"/>
      <w:shd w:val="clear" w:color="auto" w:fill="F8F8F8"/>
    </w:rPr>
  </w:style>
  <w:style w:type="character" w:customStyle="1" w:styleId="ErrorTok">
    <w:name w:val="ErrorTok"/>
    <w:rPr>
      <w:b/>
      <w:color w:val="A40000"/>
      <w:shd w:val="clear" w:color="auto" w:fill="F8F8F8"/>
    </w:rPr>
  </w:style>
  <w:style w:type="character" w:customStyle="1" w:styleId="NormalTok">
    <w:name w:val="NormalTok"/>
    <w:rPr>
      <w:shd w:val="clear" w:color="auto" w:fill="F8F8F8"/>
    </w:rPr>
  </w:style>
  <w:style w:type="character" w:styleId="Hyperlink">
    <w:name w:val="Hyperlink"/>
    <w:basedOn w:val="DefaultParagraphFont"/>
    <w:uiPriority w:val="99"/>
    <w:semiHidden/>
    <w:unhideWhenUsed/>
    <w:rsid w:val="00077CBA"/>
    <w:rPr>
      <w:color w:val="0000FF"/>
      <w:u w:val="single"/>
    </w:rPr>
  </w:style>
  <w:style w:type="character" w:styleId="FollowedHyperlink">
    <w:name w:val="FollowedHyperlink"/>
    <w:basedOn w:val="DefaultParagraphFont"/>
    <w:uiPriority w:val="99"/>
    <w:semiHidden/>
    <w:unhideWhenUsed/>
    <w:rsid w:val="00E446F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30499">
      <w:bodyDiv w:val="1"/>
      <w:marLeft w:val="0"/>
      <w:marRight w:val="0"/>
      <w:marTop w:val="0"/>
      <w:marBottom w:val="0"/>
      <w:divBdr>
        <w:top w:val="none" w:sz="0" w:space="0" w:color="auto"/>
        <w:left w:val="none" w:sz="0" w:space="0" w:color="auto"/>
        <w:bottom w:val="none" w:sz="0" w:space="0" w:color="auto"/>
        <w:right w:val="none" w:sz="0" w:space="0" w:color="auto"/>
      </w:divBdr>
    </w:div>
    <w:div w:id="25106761">
      <w:bodyDiv w:val="1"/>
      <w:marLeft w:val="0"/>
      <w:marRight w:val="0"/>
      <w:marTop w:val="0"/>
      <w:marBottom w:val="0"/>
      <w:divBdr>
        <w:top w:val="none" w:sz="0" w:space="0" w:color="auto"/>
        <w:left w:val="none" w:sz="0" w:space="0" w:color="auto"/>
        <w:bottom w:val="none" w:sz="0" w:space="0" w:color="auto"/>
        <w:right w:val="none" w:sz="0" w:space="0" w:color="auto"/>
      </w:divBdr>
    </w:div>
    <w:div w:id="78799528">
      <w:bodyDiv w:val="1"/>
      <w:marLeft w:val="0"/>
      <w:marRight w:val="0"/>
      <w:marTop w:val="0"/>
      <w:marBottom w:val="0"/>
      <w:divBdr>
        <w:top w:val="none" w:sz="0" w:space="0" w:color="auto"/>
        <w:left w:val="none" w:sz="0" w:space="0" w:color="auto"/>
        <w:bottom w:val="none" w:sz="0" w:space="0" w:color="auto"/>
        <w:right w:val="none" w:sz="0" w:space="0" w:color="auto"/>
      </w:divBdr>
    </w:div>
    <w:div w:id="209457580">
      <w:bodyDiv w:val="1"/>
      <w:marLeft w:val="0"/>
      <w:marRight w:val="0"/>
      <w:marTop w:val="0"/>
      <w:marBottom w:val="0"/>
      <w:divBdr>
        <w:top w:val="none" w:sz="0" w:space="0" w:color="auto"/>
        <w:left w:val="none" w:sz="0" w:space="0" w:color="auto"/>
        <w:bottom w:val="none" w:sz="0" w:space="0" w:color="auto"/>
        <w:right w:val="none" w:sz="0" w:space="0" w:color="auto"/>
      </w:divBdr>
    </w:div>
    <w:div w:id="346294721">
      <w:bodyDiv w:val="1"/>
      <w:marLeft w:val="0"/>
      <w:marRight w:val="0"/>
      <w:marTop w:val="0"/>
      <w:marBottom w:val="0"/>
      <w:divBdr>
        <w:top w:val="none" w:sz="0" w:space="0" w:color="auto"/>
        <w:left w:val="none" w:sz="0" w:space="0" w:color="auto"/>
        <w:bottom w:val="none" w:sz="0" w:space="0" w:color="auto"/>
        <w:right w:val="none" w:sz="0" w:space="0" w:color="auto"/>
      </w:divBdr>
    </w:div>
    <w:div w:id="347098451">
      <w:bodyDiv w:val="1"/>
      <w:marLeft w:val="0"/>
      <w:marRight w:val="0"/>
      <w:marTop w:val="0"/>
      <w:marBottom w:val="0"/>
      <w:divBdr>
        <w:top w:val="none" w:sz="0" w:space="0" w:color="auto"/>
        <w:left w:val="none" w:sz="0" w:space="0" w:color="auto"/>
        <w:bottom w:val="none" w:sz="0" w:space="0" w:color="auto"/>
        <w:right w:val="none" w:sz="0" w:space="0" w:color="auto"/>
      </w:divBdr>
    </w:div>
    <w:div w:id="394667412">
      <w:bodyDiv w:val="1"/>
      <w:marLeft w:val="0"/>
      <w:marRight w:val="0"/>
      <w:marTop w:val="0"/>
      <w:marBottom w:val="0"/>
      <w:divBdr>
        <w:top w:val="none" w:sz="0" w:space="0" w:color="auto"/>
        <w:left w:val="none" w:sz="0" w:space="0" w:color="auto"/>
        <w:bottom w:val="none" w:sz="0" w:space="0" w:color="auto"/>
        <w:right w:val="none" w:sz="0" w:space="0" w:color="auto"/>
      </w:divBdr>
    </w:div>
    <w:div w:id="416554927">
      <w:bodyDiv w:val="1"/>
      <w:marLeft w:val="0"/>
      <w:marRight w:val="0"/>
      <w:marTop w:val="0"/>
      <w:marBottom w:val="0"/>
      <w:divBdr>
        <w:top w:val="none" w:sz="0" w:space="0" w:color="auto"/>
        <w:left w:val="none" w:sz="0" w:space="0" w:color="auto"/>
        <w:bottom w:val="none" w:sz="0" w:space="0" w:color="auto"/>
        <w:right w:val="none" w:sz="0" w:space="0" w:color="auto"/>
      </w:divBdr>
    </w:div>
    <w:div w:id="421148165">
      <w:bodyDiv w:val="1"/>
      <w:marLeft w:val="0"/>
      <w:marRight w:val="0"/>
      <w:marTop w:val="0"/>
      <w:marBottom w:val="0"/>
      <w:divBdr>
        <w:top w:val="none" w:sz="0" w:space="0" w:color="auto"/>
        <w:left w:val="none" w:sz="0" w:space="0" w:color="auto"/>
        <w:bottom w:val="none" w:sz="0" w:space="0" w:color="auto"/>
        <w:right w:val="none" w:sz="0" w:space="0" w:color="auto"/>
      </w:divBdr>
    </w:div>
    <w:div w:id="579951425">
      <w:bodyDiv w:val="1"/>
      <w:marLeft w:val="0"/>
      <w:marRight w:val="0"/>
      <w:marTop w:val="0"/>
      <w:marBottom w:val="0"/>
      <w:divBdr>
        <w:top w:val="none" w:sz="0" w:space="0" w:color="auto"/>
        <w:left w:val="none" w:sz="0" w:space="0" w:color="auto"/>
        <w:bottom w:val="none" w:sz="0" w:space="0" w:color="auto"/>
        <w:right w:val="none" w:sz="0" w:space="0" w:color="auto"/>
      </w:divBdr>
    </w:div>
    <w:div w:id="689142601">
      <w:bodyDiv w:val="1"/>
      <w:marLeft w:val="0"/>
      <w:marRight w:val="0"/>
      <w:marTop w:val="0"/>
      <w:marBottom w:val="0"/>
      <w:divBdr>
        <w:top w:val="none" w:sz="0" w:space="0" w:color="auto"/>
        <w:left w:val="none" w:sz="0" w:space="0" w:color="auto"/>
        <w:bottom w:val="none" w:sz="0" w:space="0" w:color="auto"/>
        <w:right w:val="none" w:sz="0" w:space="0" w:color="auto"/>
      </w:divBdr>
    </w:div>
    <w:div w:id="738207051">
      <w:bodyDiv w:val="1"/>
      <w:marLeft w:val="0"/>
      <w:marRight w:val="0"/>
      <w:marTop w:val="0"/>
      <w:marBottom w:val="0"/>
      <w:divBdr>
        <w:top w:val="none" w:sz="0" w:space="0" w:color="auto"/>
        <w:left w:val="none" w:sz="0" w:space="0" w:color="auto"/>
        <w:bottom w:val="none" w:sz="0" w:space="0" w:color="auto"/>
        <w:right w:val="none" w:sz="0" w:space="0" w:color="auto"/>
      </w:divBdr>
    </w:div>
    <w:div w:id="767849351">
      <w:bodyDiv w:val="1"/>
      <w:marLeft w:val="0"/>
      <w:marRight w:val="0"/>
      <w:marTop w:val="0"/>
      <w:marBottom w:val="0"/>
      <w:divBdr>
        <w:top w:val="none" w:sz="0" w:space="0" w:color="auto"/>
        <w:left w:val="none" w:sz="0" w:space="0" w:color="auto"/>
        <w:bottom w:val="none" w:sz="0" w:space="0" w:color="auto"/>
        <w:right w:val="none" w:sz="0" w:space="0" w:color="auto"/>
      </w:divBdr>
    </w:div>
    <w:div w:id="780758680">
      <w:bodyDiv w:val="1"/>
      <w:marLeft w:val="0"/>
      <w:marRight w:val="0"/>
      <w:marTop w:val="0"/>
      <w:marBottom w:val="0"/>
      <w:divBdr>
        <w:top w:val="none" w:sz="0" w:space="0" w:color="auto"/>
        <w:left w:val="none" w:sz="0" w:space="0" w:color="auto"/>
        <w:bottom w:val="none" w:sz="0" w:space="0" w:color="auto"/>
        <w:right w:val="none" w:sz="0" w:space="0" w:color="auto"/>
      </w:divBdr>
    </w:div>
    <w:div w:id="823160393">
      <w:bodyDiv w:val="1"/>
      <w:marLeft w:val="0"/>
      <w:marRight w:val="0"/>
      <w:marTop w:val="0"/>
      <w:marBottom w:val="0"/>
      <w:divBdr>
        <w:top w:val="none" w:sz="0" w:space="0" w:color="auto"/>
        <w:left w:val="none" w:sz="0" w:space="0" w:color="auto"/>
        <w:bottom w:val="none" w:sz="0" w:space="0" w:color="auto"/>
        <w:right w:val="none" w:sz="0" w:space="0" w:color="auto"/>
      </w:divBdr>
    </w:div>
    <w:div w:id="857744147">
      <w:bodyDiv w:val="1"/>
      <w:marLeft w:val="0"/>
      <w:marRight w:val="0"/>
      <w:marTop w:val="0"/>
      <w:marBottom w:val="0"/>
      <w:divBdr>
        <w:top w:val="none" w:sz="0" w:space="0" w:color="auto"/>
        <w:left w:val="none" w:sz="0" w:space="0" w:color="auto"/>
        <w:bottom w:val="none" w:sz="0" w:space="0" w:color="auto"/>
        <w:right w:val="none" w:sz="0" w:space="0" w:color="auto"/>
      </w:divBdr>
    </w:div>
    <w:div w:id="980573178">
      <w:bodyDiv w:val="1"/>
      <w:marLeft w:val="0"/>
      <w:marRight w:val="0"/>
      <w:marTop w:val="0"/>
      <w:marBottom w:val="0"/>
      <w:divBdr>
        <w:top w:val="none" w:sz="0" w:space="0" w:color="auto"/>
        <w:left w:val="none" w:sz="0" w:space="0" w:color="auto"/>
        <w:bottom w:val="none" w:sz="0" w:space="0" w:color="auto"/>
        <w:right w:val="none" w:sz="0" w:space="0" w:color="auto"/>
      </w:divBdr>
    </w:div>
    <w:div w:id="1043600591">
      <w:bodyDiv w:val="1"/>
      <w:marLeft w:val="0"/>
      <w:marRight w:val="0"/>
      <w:marTop w:val="0"/>
      <w:marBottom w:val="0"/>
      <w:divBdr>
        <w:top w:val="none" w:sz="0" w:space="0" w:color="auto"/>
        <w:left w:val="none" w:sz="0" w:space="0" w:color="auto"/>
        <w:bottom w:val="none" w:sz="0" w:space="0" w:color="auto"/>
        <w:right w:val="none" w:sz="0" w:space="0" w:color="auto"/>
      </w:divBdr>
    </w:div>
    <w:div w:id="1093360666">
      <w:bodyDiv w:val="1"/>
      <w:marLeft w:val="0"/>
      <w:marRight w:val="0"/>
      <w:marTop w:val="0"/>
      <w:marBottom w:val="0"/>
      <w:divBdr>
        <w:top w:val="none" w:sz="0" w:space="0" w:color="auto"/>
        <w:left w:val="none" w:sz="0" w:space="0" w:color="auto"/>
        <w:bottom w:val="none" w:sz="0" w:space="0" w:color="auto"/>
        <w:right w:val="none" w:sz="0" w:space="0" w:color="auto"/>
      </w:divBdr>
    </w:div>
    <w:div w:id="1099259877">
      <w:bodyDiv w:val="1"/>
      <w:marLeft w:val="0"/>
      <w:marRight w:val="0"/>
      <w:marTop w:val="0"/>
      <w:marBottom w:val="0"/>
      <w:divBdr>
        <w:top w:val="none" w:sz="0" w:space="0" w:color="auto"/>
        <w:left w:val="none" w:sz="0" w:space="0" w:color="auto"/>
        <w:bottom w:val="none" w:sz="0" w:space="0" w:color="auto"/>
        <w:right w:val="none" w:sz="0" w:space="0" w:color="auto"/>
      </w:divBdr>
    </w:div>
    <w:div w:id="1157113843">
      <w:bodyDiv w:val="1"/>
      <w:marLeft w:val="0"/>
      <w:marRight w:val="0"/>
      <w:marTop w:val="0"/>
      <w:marBottom w:val="0"/>
      <w:divBdr>
        <w:top w:val="none" w:sz="0" w:space="0" w:color="auto"/>
        <w:left w:val="none" w:sz="0" w:space="0" w:color="auto"/>
        <w:bottom w:val="none" w:sz="0" w:space="0" w:color="auto"/>
        <w:right w:val="none" w:sz="0" w:space="0" w:color="auto"/>
      </w:divBdr>
    </w:div>
    <w:div w:id="1186560591">
      <w:bodyDiv w:val="1"/>
      <w:marLeft w:val="0"/>
      <w:marRight w:val="0"/>
      <w:marTop w:val="0"/>
      <w:marBottom w:val="0"/>
      <w:divBdr>
        <w:top w:val="none" w:sz="0" w:space="0" w:color="auto"/>
        <w:left w:val="none" w:sz="0" w:space="0" w:color="auto"/>
        <w:bottom w:val="none" w:sz="0" w:space="0" w:color="auto"/>
        <w:right w:val="none" w:sz="0" w:space="0" w:color="auto"/>
      </w:divBdr>
    </w:div>
    <w:div w:id="1261256411">
      <w:bodyDiv w:val="1"/>
      <w:marLeft w:val="0"/>
      <w:marRight w:val="0"/>
      <w:marTop w:val="0"/>
      <w:marBottom w:val="0"/>
      <w:divBdr>
        <w:top w:val="none" w:sz="0" w:space="0" w:color="auto"/>
        <w:left w:val="none" w:sz="0" w:space="0" w:color="auto"/>
        <w:bottom w:val="none" w:sz="0" w:space="0" w:color="auto"/>
        <w:right w:val="none" w:sz="0" w:space="0" w:color="auto"/>
      </w:divBdr>
    </w:div>
    <w:div w:id="1275212534">
      <w:bodyDiv w:val="1"/>
      <w:marLeft w:val="0"/>
      <w:marRight w:val="0"/>
      <w:marTop w:val="0"/>
      <w:marBottom w:val="0"/>
      <w:divBdr>
        <w:top w:val="none" w:sz="0" w:space="0" w:color="auto"/>
        <w:left w:val="none" w:sz="0" w:space="0" w:color="auto"/>
        <w:bottom w:val="none" w:sz="0" w:space="0" w:color="auto"/>
        <w:right w:val="none" w:sz="0" w:space="0" w:color="auto"/>
      </w:divBdr>
    </w:div>
    <w:div w:id="1409767599">
      <w:bodyDiv w:val="1"/>
      <w:marLeft w:val="0"/>
      <w:marRight w:val="0"/>
      <w:marTop w:val="0"/>
      <w:marBottom w:val="0"/>
      <w:divBdr>
        <w:top w:val="none" w:sz="0" w:space="0" w:color="auto"/>
        <w:left w:val="none" w:sz="0" w:space="0" w:color="auto"/>
        <w:bottom w:val="none" w:sz="0" w:space="0" w:color="auto"/>
        <w:right w:val="none" w:sz="0" w:space="0" w:color="auto"/>
      </w:divBdr>
    </w:div>
    <w:div w:id="1426026916">
      <w:bodyDiv w:val="1"/>
      <w:marLeft w:val="0"/>
      <w:marRight w:val="0"/>
      <w:marTop w:val="0"/>
      <w:marBottom w:val="0"/>
      <w:divBdr>
        <w:top w:val="none" w:sz="0" w:space="0" w:color="auto"/>
        <w:left w:val="none" w:sz="0" w:space="0" w:color="auto"/>
        <w:bottom w:val="none" w:sz="0" w:space="0" w:color="auto"/>
        <w:right w:val="none" w:sz="0" w:space="0" w:color="auto"/>
      </w:divBdr>
    </w:div>
    <w:div w:id="1442918958">
      <w:bodyDiv w:val="1"/>
      <w:marLeft w:val="0"/>
      <w:marRight w:val="0"/>
      <w:marTop w:val="0"/>
      <w:marBottom w:val="0"/>
      <w:divBdr>
        <w:top w:val="none" w:sz="0" w:space="0" w:color="auto"/>
        <w:left w:val="none" w:sz="0" w:space="0" w:color="auto"/>
        <w:bottom w:val="none" w:sz="0" w:space="0" w:color="auto"/>
        <w:right w:val="none" w:sz="0" w:space="0" w:color="auto"/>
      </w:divBdr>
    </w:div>
    <w:div w:id="1454591561">
      <w:bodyDiv w:val="1"/>
      <w:marLeft w:val="0"/>
      <w:marRight w:val="0"/>
      <w:marTop w:val="0"/>
      <w:marBottom w:val="0"/>
      <w:divBdr>
        <w:top w:val="none" w:sz="0" w:space="0" w:color="auto"/>
        <w:left w:val="none" w:sz="0" w:space="0" w:color="auto"/>
        <w:bottom w:val="none" w:sz="0" w:space="0" w:color="auto"/>
        <w:right w:val="none" w:sz="0" w:space="0" w:color="auto"/>
      </w:divBdr>
      <w:divsChild>
        <w:div w:id="833034898">
          <w:marLeft w:val="0"/>
          <w:marRight w:val="0"/>
          <w:marTop w:val="0"/>
          <w:marBottom w:val="0"/>
          <w:divBdr>
            <w:top w:val="none" w:sz="0" w:space="0" w:color="auto"/>
            <w:left w:val="none" w:sz="0" w:space="0" w:color="auto"/>
            <w:bottom w:val="none" w:sz="0" w:space="0" w:color="auto"/>
            <w:right w:val="none" w:sz="0" w:space="0" w:color="auto"/>
          </w:divBdr>
        </w:div>
      </w:divsChild>
    </w:div>
    <w:div w:id="1483695452">
      <w:bodyDiv w:val="1"/>
      <w:marLeft w:val="0"/>
      <w:marRight w:val="0"/>
      <w:marTop w:val="0"/>
      <w:marBottom w:val="0"/>
      <w:divBdr>
        <w:top w:val="none" w:sz="0" w:space="0" w:color="auto"/>
        <w:left w:val="none" w:sz="0" w:space="0" w:color="auto"/>
        <w:bottom w:val="none" w:sz="0" w:space="0" w:color="auto"/>
        <w:right w:val="none" w:sz="0" w:space="0" w:color="auto"/>
      </w:divBdr>
    </w:div>
    <w:div w:id="1515725981">
      <w:bodyDiv w:val="1"/>
      <w:marLeft w:val="0"/>
      <w:marRight w:val="0"/>
      <w:marTop w:val="0"/>
      <w:marBottom w:val="0"/>
      <w:divBdr>
        <w:top w:val="none" w:sz="0" w:space="0" w:color="auto"/>
        <w:left w:val="none" w:sz="0" w:space="0" w:color="auto"/>
        <w:bottom w:val="none" w:sz="0" w:space="0" w:color="auto"/>
        <w:right w:val="none" w:sz="0" w:space="0" w:color="auto"/>
      </w:divBdr>
    </w:div>
    <w:div w:id="1576669299">
      <w:bodyDiv w:val="1"/>
      <w:marLeft w:val="0"/>
      <w:marRight w:val="0"/>
      <w:marTop w:val="0"/>
      <w:marBottom w:val="0"/>
      <w:divBdr>
        <w:top w:val="none" w:sz="0" w:space="0" w:color="auto"/>
        <w:left w:val="none" w:sz="0" w:space="0" w:color="auto"/>
        <w:bottom w:val="none" w:sz="0" w:space="0" w:color="auto"/>
        <w:right w:val="none" w:sz="0" w:space="0" w:color="auto"/>
      </w:divBdr>
    </w:div>
    <w:div w:id="1590044773">
      <w:bodyDiv w:val="1"/>
      <w:marLeft w:val="0"/>
      <w:marRight w:val="0"/>
      <w:marTop w:val="0"/>
      <w:marBottom w:val="0"/>
      <w:divBdr>
        <w:top w:val="none" w:sz="0" w:space="0" w:color="auto"/>
        <w:left w:val="none" w:sz="0" w:space="0" w:color="auto"/>
        <w:bottom w:val="none" w:sz="0" w:space="0" w:color="auto"/>
        <w:right w:val="none" w:sz="0" w:space="0" w:color="auto"/>
      </w:divBdr>
    </w:div>
    <w:div w:id="1596553267">
      <w:bodyDiv w:val="1"/>
      <w:marLeft w:val="0"/>
      <w:marRight w:val="0"/>
      <w:marTop w:val="0"/>
      <w:marBottom w:val="0"/>
      <w:divBdr>
        <w:top w:val="none" w:sz="0" w:space="0" w:color="auto"/>
        <w:left w:val="none" w:sz="0" w:space="0" w:color="auto"/>
        <w:bottom w:val="none" w:sz="0" w:space="0" w:color="auto"/>
        <w:right w:val="none" w:sz="0" w:space="0" w:color="auto"/>
      </w:divBdr>
    </w:div>
    <w:div w:id="1651592456">
      <w:bodyDiv w:val="1"/>
      <w:marLeft w:val="0"/>
      <w:marRight w:val="0"/>
      <w:marTop w:val="0"/>
      <w:marBottom w:val="0"/>
      <w:divBdr>
        <w:top w:val="none" w:sz="0" w:space="0" w:color="auto"/>
        <w:left w:val="none" w:sz="0" w:space="0" w:color="auto"/>
        <w:bottom w:val="none" w:sz="0" w:space="0" w:color="auto"/>
        <w:right w:val="none" w:sz="0" w:space="0" w:color="auto"/>
      </w:divBdr>
    </w:div>
    <w:div w:id="1667973334">
      <w:bodyDiv w:val="1"/>
      <w:marLeft w:val="0"/>
      <w:marRight w:val="0"/>
      <w:marTop w:val="0"/>
      <w:marBottom w:val="0"/>
      <w:divBdr>
        <w:top w:val="none" w:sz="0" w:space="0" w:color="auto"/>
        <w:left w:val="none" w:sz="0" w:space="0" w:color="auto"/>
        <w:bottom w:val="none" w:sz="0" w:space="0" w:color="auto"/>
        <w:right w:val="none" w:sz="0" w:space="0" w:color="auto"/>
      </w:divBdr>
    </w:div>
    <w:div w:id="1719696725">
      <w:bodyDiv w:val="1"/>
      <w:marLeft w:val="0"/>
      <w:marRight w:val="0"/>
      <w:marTop w:val="0"/>
      <w:marBottom w:val="0"/>
      <w:divBdr>
        <w:top w:val="none" w:sz="0" w:space="0" w:color="auto"/>
        <w:left w:val="none" w:sz="0" w:space="0" w:color="auto"/>
        <w:bottom w:val="none" w:sz="0" w:space="0" w:color="auto"/>
        <w:right w:val="none" w:sz="0" w:space="0" w:color="auto"/>
      </w:divBdr>
    </w:div>
    <w:div w:id="1767656552">
      <w:bodyDiv w:val="1"/>
      <w:marLeft w:val="0"/>
      <w:marRight w:val="0"/>
      <w:marTop w:val="0"/>
      <w:marBottom w:val="0"/>
      <w:divBdr>
        <w:top w:val="none" w:sz="0" w:space="0" w:color="auto"/>
        <w:left w:val="none" w:sz="0" w:space="0" w:color="auto"/>
        <w:bottom w:val="none" w:sz="0" w:space="0" w:color="auto"/>
        <w:right w:val="none" w:sz="0" w:space="0" w:color="auto"/>
      </w:divBdr>
    </w:div>
    <w:div w:id="1818107699">
      <w:bodyDiv w:val="1"/>
      <w:marLeft w:val="0"/>
      <w:marRight w:val="0"/>
      <w:marTop w:val="0"/>
      <w:marBottom w:val="0"/>
      <w:divBdr>
        <w:top w:val="none" w:sz="0" w:space="0" w:color="auto"/>
        <w:left w:val="none" w:sz="0" w:space="0" w:color="auto"/>
        <w:bottom w:val="none" w:sz="0" w:space="0" w:color="auto"/>
        <w:right w:val="none" w:sz="0" w:space="0" w:color="auto"/>
      </w:divBdr>
    </w:div>
    <w:div w:id="1848714195">
      <w:bodyDiv w:val="1"/>
      <w:marLeft w:val="0"/>
      <w:marRight w:val="0"/>
      <w:marTop w:val="0"/>
      <w:marBottom w:val="0"/>
      <w:divBdr>
        <w:top w:val="none" w:sz="0" w:space="0" w:color="auto"/>
        <w:left w:val="none" w:sz="0" w:space="0" w:color="auto"/>
        <w:bottom w:val="none" w:sz="0" w:space="0" w:color="auto"/>
        <w:right w:val="none" w:sz="0" w:space="0" w:color="auto"/>
      </w:divBdr>
    </w:div>
    <w:div w:id="1902405782">
      <w:bodyDiv w:val="1"/>
      <w:marLeft w:val="0"/>
      <w:marRight w:val="0"/>
      <w:marTop w:val="0"/>
      <w:marBottom w:val="0"/>
      <w:divBdr>
        <w:top w:val="none" w:sz="0" w:space="0" w:color="auto"/>
        <w:left w:val="none" w:sz="0" w:space="0" w:color="auto"/>
        <w:bottom w:val="none" w:sz="0" w:space="0" w:color="auto"/>
        <w:right w:val="none" w:sz="0" w:space="0" w:color="auto"/>
      </w:divBdr>
      <w:divsChild>
        <w:div w:id="1747453238">
          <w:marLeft w:val="0"/>
          <w:marRight w:val="0"/>
          <w:marTop w:val="0"/>
          <w:marBottom w:val="0"/>
          <w:divBdr>
            <w:top w:val="none" w:sz="0" w:space="0" w:color="auto"/>
            <w:left w:val="none" w:sz="0" w:space="0" w:color="auto"/>
            <w:bottom w:val="none" w:sz="0" w:space="0" w:color="auto"/>
            <w:right w:val="none" w:sz="0" w:space="0" w:color="auto"/>
          </w:divBdr>
        </w:div>
        <w:div w:id="76753499">
          <w:marLeft w:val="0"/>
          <w:marRight w:val="0"/>
          <w:marTop w:val="0"/>
          <w:marBottom w:val="0"/>
          <w:divBdr>
            <w:top w:val="none" w:sz="0" w:space="0" w:color="auto"/>
            <w:left w:val="none" w:sz="0" w:space="0" w:color="auto"/>
            <w:bottom w:val="none" w:sz="0" w:space="0" w:color="auto"/>
            <w:right w:val="none" w:sz="0" w:space="0" w:color="auto"/>
          </w:divBdr>
        </w:div>
        <w:div w:id="1582444627">
          <w:marLeft w:val="0"/>
          <w:marRight w:val="0"/>
          <w:marTop w:val="0"/>
          <w:marBottom w:val="0"/>
          <w:divBdr>
            <w:top w:val="none" w:sz="0" w:space="0" w:color="auto"/>
            <w:left w:val="none" w:sz="0" w:space="0" w:color="auto"/>
            <w:bottom w:val="none" w:sz="0" w:space="0" w:color="auto"/>
            <w:right w:val="none" w:sz="0" w:space="0" w:color="auto"/>
          </w:divBdr>
          <w:divsChild>
            <w:div w:id="193143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396129">
      <w:bodyDiv w:val="1"/>
      <w:marLeft w:val="0"/>
      <w:marRight w:val="0"/>
      <w:marTop w:val="0"/>
      <w:marBottom w:val="0"/>
      <w:divBdr>
        <w:top w:val="none" w:sz="0" w:space="0" w:color="auto"/>
        <w:left w:val="none" w:sz="0" w:space="0" w:color="auto"/>
        <w:bottom w:val="none" w:sz="0" w:space="0" w:color="auto"/>
        <w:right w:val="none" w:sz="0" w:space="0" w:color="auto"/>
      </w:divBdr>
    </w:div>
    <w:div w:id="1970669021">
      <w:bodyDiv w:val="1"/>
      <w:marLeft w:val="0"/>
      <w:marRight w:val="0"/>
      <w:marTop w:val="0"/>
      <w:marBottom w:val="0"/>
      <w:divBdr>
        <w:top w:val="none" w:sz="0" w:space="0" w:color="auto"/>
        <w:left w:val="none" w:sz="0" w:space="0" w:color="auto"/>
        <w:bottom w:val="none" w:sz="0" w:space="0" w:color="auto"/>
        <w:right w:val="none" w:sz="0" w:space="0" w:color="auto"/>
      </w:divBdr>
    </w:div>
    <w:div w:id="1988777322">
      <w:bodyDiv w:val="1"/>
      <w:marLeft w:val="0"/>
      <w:marRight w:val="0"/>
      <w:marTop w:val="0"/>
      <w:marBottom w:val="0"/>
      <w:divBdr>
        <w:top w:val="none" w:sz="0" w:space="0" w:color="auto"/>
        <w:left w:val="none" w:sz="0" w:space="0" w:color="auto"/>
        <w:bottom w:val="none" w:sz="0" w:space="0" w:color="auto"/>
        <w:right w:val="none" w:sz="0" w:space="0" w:color="auto"/>
      </w:divBdr>
    </w:div>
    <w:div w:id="1992444688">
      <w:bodyDiv w:val="1"/>
      <w:marLeft w:val="0"/>
      <w:marRight w:val="0"/>
      <w:marTop w:val="0"/>
      <w:marBottom w:val="0"/>
      <w:divBdr>
        <w:top w:val="none" w:sz="0" w:space="0" w:color="auto"/>
        <w:left w:val="none" w:sz="0" w:space="0" w:color="auto"/>
        <w:bottom w:val="none" w:sz="0" w:space="0" w:color="auto"/>
        <w:right w:val="none" w:sz="0" w:space="0" w:color="auto"/>
      </w:divBdr>
    </w:div>
    <w:div w:id="2096045996">
      <w:bodyDiv w:val="1"/>
      <w:marLeft w:val="0"/>
      <w:marRight w:val="0"/>
      <w:marTop w:val="0"/>
      <w:marBottom w:val="0"/>
      <w:divBdr>
        <w:top w:val="none" w:sz="0" w:space="0" w:color="auto"/>
        <w:left w:val="none" w:sz="0" w:space="0" w:color="auto"/>
        <w:bottom w:val="none" w:sz="0" w:space="0" w:color="auto"/>
        <w:right w:val="none" w:sz="0" w:space="0" w:color="auto"/>
      </w:divBdr>
    </w:div>
    <w:div w:id="2130933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phw.nhs.wales/topics/immunisation-and-vaccines/cover-national-childhood-immunisation-uptake-data/"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image" Target="media/image4.emf"/><Relationship Id="rId10" Type="http://schemas.openxmlformats.org/officeDocument/2006/relationships/hyperlink" Target="https://phw.nhs.wales/topics/immunisation-and-vaccines/cover-national-childhood-immunisation-uptake-data/" TargetMode="Externa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emf"/></Relationships>
</file>

<file path=word/_rels/header1.xml.rels><?xml version="1.0" encoding="UTF-8" standalone="yes"?>
<Relationships xmlns="http://schemas.openxmlformats.org/package/2006/relationships"><Relationship Id="rId2" Type="http://schemas.openxmlformats.org/officeDocument/2006/relationships/image" Target="media/image6.jpg"/><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83A9F2B273503478AAF584B7E9112D1" ma:contentTypeVersion="9" ma:contentTypeDescription="Create a new document." ma:contentTypeScope="" ma:versionID="1b032e066a2f1ceca115700a7c9c5ca4">
  <xsd:schema xmlns:xsd="http://www.w3.org/2001/XMLSchema" xmlns:xs="http://www.w3.org/2001/XMLSchema" xmlns:p="http://schemas.microsoft.com/office/2006/metadata/properties" xmlns:ns3="16fbaeb2-0b9f-4517-89b9-3301e78d2384" targetNamespace="http://schemas.microsoft.com/office/2006/metadata/properties" ma:root="true" ma:fieldsID="606ed987e6db292d46b9ab98e0fefb02" ns3:_="">
    <xsd:import namespace="16fbaeb2-0b9f-4517-89b9-3301e78d238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fbaeb2-0b9f-4517-89b9-3301e78d23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A3B761-DEF7-467F-9878-80EEBFC7F86D}">
  <ds:schemaRefs>
    <ds:schemaRef ds:uri="http://schemas.microsoft.com/office/infopath/2007/PartnerControls"/>
    <ds:schemaRef ds:uri="http://purl.org/dc/elements/1.1/"/>
    <ds:schemaRef ds:uri="http://schemas.microsoft.com/office/2006/metadata/properties"/>
    <ds:schemaRef ds:uri="http://purl.org/dc/terms/"/>
    <ds:schemaRef ds:uri="16fbaeb2-0b9f-4517-89b9-3301e78d2384"/>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19C29943-CC36-4E67-9C4C-3ABBFD7CDEB3}">
  <ds:schemaRefs>
    <ds:schemaRef ds:uri="http://schemas.microsoft.com/sharepoint/v3/contenttype/forms"/>
  </ds:schemaRefs>
</ds:datastoreItem>
</file>

<file path=customXml/itemProps3.xml><?xml version="1.0" encoding="utf-8"?>
<ds:datastoreItem xmlns:ds="http://schemas.openxmlformats.org/officeDocument/2006/customXml" ds:itemID="{376DEBBA-0885-449B-A979-93D86A7AFA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fbaeb2-0b9f-4517-89b9-3301e78d23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Pages>
  <Words>182</Words>
  <Characters>1040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 Harris (Public Health Wales - No. 2 Capital Quarter)</dc:creator>
  <cp:keywords/>
  <cp:lastModifiedBy>Charlotte McDermott (Public Health Wales - No. 2 Capital Quarter)</cp:lastModifiedBy>
  <cp:revision>20</cp:revision>
  <dcterms:created xsi:type="dcterms:W3CDTF">2021-09-09T14:32:00Z</dcterms:created>
  <dcterms:modified xsi:type="dcterms:W3CDTF">2023-11-24T15:36:00Z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utput">
    <vt:lpwstr/>
  </property>
  <property fmtid="{D5CDD505-2E9C-101B-9397-08002B2CF9AE}" pid="3" name="ContentTypeId">
    <vt:lpwstr>0x010100183A9F2B273503478AAF584B7E9112D1</vt:lpwstr>
  </property>
</Properties>
</file>