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A3AEBD" w14:textId="4E90FB86" w:rsidR="00D837FA" w:rsidRDefault="00AD348A" w:rsidP="00317A89">
      <w:pPr>
        <w:jc w:val="both"/>
      </w:pPr>
      <w:bookmarkStart w:id="0" w:name="_Hlk137809580"/>
      <w:r>
        <w:rPr>
          <w:noProof/>
          <w:lang w:eastAsia="en-GB"/>
        </w:rPr>
        <w:drawing>
          <wp:anchor distT="0" distB="0" distL="114300" distR="114300" simplePos="0" relativeHeight="251672576" behindDoc="0" locked="0" layoutInCell="1" allowOverlap="1" wp14:anchorId="0B3E49B8" wp14:editId="2995D690">
            <wp:simplePos x="0" y="0"/>
            <wp:positionH relativeFrom="column">
              <wp:posOffset>-207645</wp:posOffset>
            </wp:positionH>
            <wp:positionV relativeFrom="paragraph">
              <wp:posOffset>223797</wp:posOffset>
            </wp:positionV>
            <wp:extent cx="3362960" cy="7874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62960" cy="7874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74624" behindDoc="1" locked="0" layoutInCell="1" allowOverlap="1" wp14:anchorId="352039A9" wp14:editId="4A590B0F">
            <wp:simplePos x="0" y="0"/>
            <wp:positionH relativeFrom="column">
              <wp:posOffset>-365760</wp:posOffset>
            </wp:positionH>
            <wp:positionV relativeFrom="paragraph">
              <wp:posOffset>-206734</wp:posOffset>
            </wp:positionV>
            <wp:extent cx="6713855" cy="1653871"/>
            <wp:effectExtent l="0" t="0" r="0" b="3810"/>
            <wp:wrapNone/>
            <wp:docPr id="35" name="docshape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720303" cy="165545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060E7F2" w14:textId="3556C67F" w:rsidR="007102E8" w:rsidRDefault="000D5A00" w:rsidP="00317A89">
      <w:pPr>
        <w:jc w:val="both"/>
      </w:pPr>
      <w:bookmarkStart w:id="1" w:name="_top"/>
      <w:bookmarkStart w:id="2" w:name="_Hlk124510074"/>
      <w:bookmarkEnd w:id="0"/>
      <w:bookmarkEnd w:id="1"/>
      <w:r>
        <w:rPr>
          <w:noProof/>
          <w:lang w:eastAsia="en-GB"/>
        </w:rPr>
        <w:drawing>
          <wp:anchor distT="0" distB="0" distL="114300" distR="114300" simplePos="0" relativeHeight="251676672" behindDoc="1" locked="0" layoutInCell="1" allowOverlap="1" wp14:anchorId="5E6A75F6" wp14:editId="59717E8A">
            <wp:simplePos x="0" y="0"/>
            <wp:positionH relativeFrom="column">
              <wp:posOffset>-278296</wp:posOffset>
            </wp:positionH>
            <wp:positionV relativeFrom="paragraph">
              <wp:posOffset>3848928</wp:posOffset>
            </wp:positionV>
            <wp:extent cx="6472224" cy="5000625"/>
            <wp:effectExtent l="0" t="0" r="5080" b="0"/>
            <wp:wrapNone/>
            <wp:docPr id="11" name="docshape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24519" cy="50410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A6327">
        <w:rPr>
          <w:noProof/>
          <w:lang w:eastAsia="en-GB"/>
        </w:rPr>
        <mc:AlternateContent>
          <mc:Choice Requires="wps">
            <w:drawing>
              <wp:anchor distT="0" distB="0" distL="114300" distR="114300" simplePos="0" relativeHeight="251665408" behindDoc="0" locked="0" layoutInCell="1" allowOverlap="1" wp14:anchorId="2EB2CA66" wp14:editId="43C19581">
                <wp:simplePos x="0" y="0"/>
                <wp:positionH relativeFrom="column">
                  <wp:posOffset>-491073</wp:posOffset>
                </wp:positionH>
                <wp:positionV relativeFrom="paragraph">
                  <wp:posOffset>1706245</wp:posOffset>
                </wp:positionV>
                <wp:extent cx="6837528" cy="1446530"/>
                <wp:effectExtent l="0" t="0" r="1905" b="1270"/>
                <wp:wrapNone/>
                <wp:docPr id="8" name="Text Box 8"/>
                <wp:cNvGraphicFramePr/>
                <a:graphic xmlns:a="http://schemas.openxmlformats.org/drawingml/2006/main">
                  <a:graphicData uri="http://schemas.microsoft.com/office/word/2010/wordprocessingShape">
                    <wps:wsp>
                      <wps:cNvSpPr txBox="1"/>
                      <wps:spPr>
                        <a:xfrm>
                          <a:off x="0" y="0"/>
                          <a:ext cx="6837528" cy="1446530"/>
                        </a:xfrm>
                        <a:prstGeom prst="rect">
                          <a:avLst/>
                        </a:prstGeom>
                        <a:solidFill>
                          <a:schemeClr val="lt1"/>
                        </a:solidFill>
                        <a:ln w="6350">
                          <a:noFill/>
                        </a:ln>
                      </wps:spPr>
                      <wps:txbx>
                        <w:txbxContent>
                          <w:p w14:paraId="50AA1C18" w14:textId="18B8794D" w:rsidR="009B4CD1" w:rsidRPr="000D5A00" w:rsidRDefault="009B4CD1" w:rsidP="00D837FA">
                            <w:pPr>
                              <w:jc w:val="center"/>
                              <w:rPr>
                                <w:rFonts w:ascii="Ubuntu" w:hAnsi="Ubuntu"/>
                                <w:b/>
                                <w:bCs/>
                                <w:color w:val="336699"/>
                                <w:sz w:val="92"/>
                                <w:szCs w:val="92"/>
                              </w:rPr>
                            </w:pPr>
                            <w:r w:rsidRPr="000D5A00">
                              <w:rPr>
                                <w:rFonts w:ascii="Ubuntu" w:hAnsi="Ubuntu"/>
                                <w:b/>
                                <w:bCs/>
                                <w:color w:val="336699"/>
                                <w:sz w:val="92"/>
                                <w:szCs w:val="92"/>
                              </w:rPr>
                              <w:t>Cancer Reporting Tool</w:t>
                            </w:r>
                          </w:p>
                          <w:p w14:paraId="4FA21FD8" w14:textId="711FC9AA" w:rsidR="009B4CD1" w:rsidRPr="00F96F12" w:rsidRDefault="009B4CD1" w:rsidP="00D837FA">
                            <w:pPr>
                              <w:jc w:val="center"/>
                              <w:rPr>
                                <w:rFonts w:ascii="Ubuntu" w:hAnsi="Ubuntu"/>
                                <w:color w:val="E03882"/>
                                <w:sz w:val="72"/>
                                <w:szCs w:val="72"/>
                              </w:rPr>
                            </w:pPr>
                            <w:r w:rsidRPr="00F96F12">
                              <w:rPr>
                                <w:rFonts w:ascii="Ubuntu" w:hAnsi="Ubuntu"/>
                                <w:color w:val="E03882"/>
                                <w:sz w:val="72"/>
                                <w:szCs w:val="72"/>
                              </w:rPr>
                              <w:t>Technical Guide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B2CA66" id="_x0000_t202" coordsize="21600,21600" o:spt="202" path="m,l,21600r21600,l21600,xe">
                <v:stroke joinstyle="miter"/>
                <v:path gradientshapeok="t" o:connecttype="rect"/>
              </v:shapetype>
              <v:shape id="Text Box 8" o:spid="_x0000_s1026" type="#_x0000_t202" style="position:absolute;left:0;text-align:left;margin-left:-38.65pt;margin-top:134.35pt;width:538.4pt;height:113.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" fillcolor="white [3201]" stroked="f" strokeweight=".5pt">
                <v:textbox>
                  <w:txbxContent>
                    <w:p w14:paraId="50AA1C18" w14:textId="18B8794D" w:rsidR="009B4CD1" w:rsidRPr="000D5A00" w:rsidRDefault="009B4CD1" w:rsidP="00D837FA">
                      <w:pPr>
                        <w:jc w:val="center"/>
                        <w:rPr>
                          <w:rFonts w:ascii="Ubuntu" w:hAnsi="Ubuntu"/>
                          <w:b/>
                          <w:bCs/>
                          <w:color w:val="336699"/>
                          <w:sz w:val="92"/>
                          <w:szCs w:val="92"/>
                        </w:rPr>
                      </w:pPr>
                      <w:r w:rsidRPr="000D5A00">
                        <w:rPr>
                          <w:rFonts w:ascii="Ubuntu" w:hAnsi="Ubuntu"/>
                          <w:b/>
                          <w:bCs/>
                          <w:color w:val="336699"/>
                          <w:sz w:val="92"/>
                          <w:szCs w:val="92"/>
                        </w:rPr>
                        <w:t>Cancer Reporting Tool</w:t>
                      </w:r>
                    </w:p>
                    <w:p w14:paraId="4FA21FD8" w14:textId="711FC9AA" w:rsidR="009B4CD1" w:rsidRPr="00F96F12" w:rsidRDefault="009B4CD1" w:rsidP="00D837FA">
                      <w:pPr>
                        <w:jc w:val="center"/>
                        <w:rPr>
                          <w:rFonts w:ascii="Ubuntu" w:hAnsi="Ubuntu"/>
                          <w:color w:val="E03882"/>
                          <w:sz w:val="72"/>
                          <w:szCs w:val="72"/>
                        </w:rPr>
                      </w:pPr>
                      <w:r w:rsidRPr="00F96F12">
                        <w:rPr>
                          <w:rFonts w:ascii="Ubuntu" w:hAnsi="Ubuntu"/>
                          <w:color w:val="E03882"/>
                          <w:sz w:val="72"/>
                          <w:szCs w:val="72"/>
                        </w:rPr>
                        <w:t>Technical Guide</w:t>
                      </w:r>
                    </w:p>
                  </w:txbxContent>
                </v:textbox>
              </v:shape>
            </w:pict>
          </mc:Fallback>
        </mc:AlternateContent>
      </w:r>
      <w:r w:rsidR="00D837FA">
        <w:br w:type="page"/>
      </w:r>
      <w:bookmarkEnd w:id="2"/>
    </w:p>
    <w:p w14:paraId="0B4ED286" w14:textId="3E7AD225" w:rsidR="007102E8" w:rsidRPr="007F6FC4" w:rsidRDefault="007102E8" w:rsidP="00317A89">
      <w:pPr>
        <w:jc w:val="both"/>
        <w:rPr>
          <w:szCs w:val="24"/>
        </w:rPr>
      </w:pPr>
      <w:r w:rsidRPr="007F6FC4">
        <w:rPr>
          <w:szCs w:val="24"/>
        </w:rPr>
        <w:lastRenderedPageBreak/>
        <w:t xml:space="preserve">This document is part of the Cancer </w:t>
      </w:r>
      <w:r w:rsidR="003A7755" w:rsidRPr="007F6FC4">
        <w:rPr>
          <w:szCs w:val="24"/>
        </w:rPr>
        <w:t>Reporting</w:t>
      </w:r>
      <w:r w:rsidRPr="007F6FC4">
        <w:rPr>
          <w:szCs w:val="24"/>
        </w:rPr>
        <w:t xml:space="preserve"> Tool Official Statistics publication.</w:t>
      </w:r>
    </w:p>
    <w:p w14:paraId="69EF214A" w14:textId="77777777" w:rsidR="007102E8" w:rsidRPr="007F6FC4" w:rsidRDefault="007102E8" w:rsidP="00317A89">
      <w:pPr>
        <w:jc w:val="both"/>
        <w:rPr>
          <w:szCs w:val="24"/>
        </w:rPr>
      </w:pPr>
      <w:r w:rsidRPr="007F6FC4">
        <w:rPr>
          <w:szCs w:val="24"/>
        </w:rPr>
        <w:t xml:space="preserve">The full publication is available at: </w:t>
      </w:r>
    </w:p>
    <w:p w14:paraId="7BF3A5A0" w14:textId="77777777" w:rsidR="005F683D" w:rsidRDefault="00DC0C51" w:rsidP="005F683D">
      <w:pPr>
        <w:rPr>
          <w:rFonts w:ascii="Calibri" w:hAnsi="Calibri"/>
          <w:sz w:val="22"/>
        </w:rPr>
      </w:pPr>
      <w:hyperlink r:id="rId10" w:history="1">
        <w:r w:rsidR="005F683D">
          <w:rPr>
            <w:rStyle w:val="Hyperlink"/>
          </w:rPr>
          <w:t>https://phw.nhs.wales/services-and-teams/welsh-cancer-intelligence-and-surveillance-unit-wcisu/cancer-reporting-tool/</w:t>
        </w:r>
      </w:hyperlink>
    </w:p>
    <w:p w14:paraId="1337565F" w14:textId="77777777" w:rsidR="007F6FC4" w:rsidRPr="007F6FC4" w:rsidRDefault="007F6FC4" w:rsidP="00317A89">
      <w:pPr>
        <w:jc w:val="both"/>
        <w:rPr>
          <w:szCs w:val="24"/>
        </w:rPr>
      </w:pPr>
    </w:p>
    <w:p w14:paraId="1F371F58" w14:textId="77777777" w:rsidR="007102E8" w:rsidRPr="007F6FC4" w:rsidRDefault="007102E8" w:rsidP="00317A89">
      <w:pPr>
        <w:jc w:val="both"/>
        <w:rPr>
          <w:szCs w:val="24"/>
        </w:rPr>
      </w:pPr>
      <w:r w:rsidRPr="007F6FC4">
        <w:rPr>
          <w:szCs w:val="24"/>
        </w:rPr>
        <w:t>For further information, or to provide feedback on this document, please contact us:</w:t>
      </w:r>
    </w:p>
    <w:p w14:paraId="20BA29E5" w14:textId="77777777" w:rsidR="007102E8" w:rsidRPr="007F6FC4" w:rsidRDefault="007102E8" w:rsidP="00317A89">
      <w:pPr>
        <w:jc w:val="both"/>
        <w:rPr>
          <w:szCs w:val="24"/>
        </w:rPr>
      </w:pPr>
      <w:r w:rsidRPr="007F6FC4">
        <w:rPr>
          <w:szCs w:val="24"/>
        </w:rPr>
        <w:t>Welsh Cancer Intelligence and Surveillance Unit</w:t>
      </w:r>
    </w:p>
    <w:p w14:paraId="20E5EF24" w14:textId="77777777" w:rsidR="007102E8" w:rsidRPr="007F6FC4" w:rsidRDefault="007102E8" w:rsidP="00317A89">
      <w:pPr>
        <w:jc w:val="both"/>
        <w:rPr>
          <w:szCs w:val="24"/>
        </w:rPr>
      </w:pPr>
      <w:r w:rsidRPr="007F6FC4">
        <w:rPr>
          <w:szCs w:val="24"/>
        </w:rPr>
        <w:t>2 Capital Quarter</w:t>
      </w:r>
    </w:p>
    <w:p w14:paraId="3013ED5A" w14:textId="77777777" w:rsidR="007102E8" w:rsidRPr="007F6FC4" w:rsidRDefault="007102E8" w:rsidP="00317A89">
      <w:pPr>
        <w:jc w:val="both"/>
        <w:rPr>
          <w:szCs w:val="24"/>
        </w:rPr>
      </w:pPr>
      <w:r w:rsidRPr="007F6FC4">
        <w:rPr>
          <w:szCs w:val="24"/>
        </w:rPr>
        <w:t>Tyndall Street</w:t>
      </w:r>
    </w:p>
    <w:p w14:paraId="07857528" w14:textId="77777777" w:rsidR="007102E8" w:rsidRPr="007F6FC4" w:rsidRDefault="007102E8" w:rsidP="00317A89">
      <w:pPr>
        <w:jc w:val="both"/>
        <w:rPr>
          <w:szCs w:val="24"/>
        </w:rPr>
      </w:pPr>
      <w:r w:rsidRPr="007F6FC4">
        <w:rPr>
          <w:szCs w:val="24"/>
        </w:rPr>
        <w:t xml:space="preserve">Cardiff </w:t>
      </w:r>
    </w:p>
    <w:p w14:paraId="25EC42BE" w14:textId="77777777" w:rsidR="007102E8" w:rsidRPr="007F6FC4" w:rsidRDefault="007102E8" w:rsidP="00317A89">
      <w:pPr>
        <w:jc w:val="both"/>
        <w:rPr>
          <w:szCs w:val="24"/>
        </w:rPr>
      </w:pPr>
      <w:r w:rsidRPr="007F6FC4">
        <w:rPr>
          <w:szCs w:val="24"/>
        </w:rPr>
        <w:t>CF10 4BZ</w:t>
      </w:r>
    </w:p>
    <w:p w14:paraId="73C94A3D" w14:textId="77777777" w:rsidR="007102E8" w:rsidRPr="007F6FC4" w:rsidRDefault="007102E8" w:rsidP="00317A89">
      <w:pPr>
        <w:jc w:val="both"/>
        <w:rPr>
          <w:szCs w:val="24"/>
        </w:rPr>
      </w:pPr>
    </w:p>
    <w:p w14:paraId="0C31F07D" w14:textId="77777777" w:rsidR="007102E8" w:rsidRPr="007F6FC4" w:rsidRDefault="007102E8" w:rsidP="00317A89">
      <w:pPr>
        <w:jc w:val="both"/>
        <w:rPr>
          <w:szCs w:val="24"/>
        </w:rPr>
      </w:pPr>
      <w:r w:rsidRPr="007F6FC4">
        <w:rPr>
          <w:szCs w:val="24"/>
        </w:rPr>
        <w:t xml:space="preserve">Email: </w:t>
      </w:r>
      <w:hyperlink r:id="rId11" w:history="1">
        <w:r w:rsidRPr="007F6FC4">
          <w:rPr>
            <w:rStyle w:val="Hyperlink"/>
            <w:szCs w:val="24"/>
          </w:rPr>
          <w:t>WCU.Stats@wales.nhs.uk</w:t>
        </w:r>
      </w:hyperlink>
    </w:p>
    <w:p w14:paraId="72E3954B" w14:textId="53C1C3DD" w:rsidR="007102E8" w:rsidRPr="007F6FC4" w:rsidRDefault="007102E8" w:rsidP="00D8147D">
      <w:pPr>
        <w:rPr>
          <w:szCs w:val="24"/>
        </w:rPr>
      </w:pPr>
      <w:r w:rsidRPr="007F6FC4">
        <w:rPr>
          <w:szCs w:val="24"/>
        </w:rPr>
        <w:t>Website</w:t>
      </w:r>
      <w:r w:rsidR="00D8147D" w:rsidRPr="007F6FC4">
        <w:rPr>
          <w:szCs w:val="24"/>
        </w:rPr>
        <w:t xml:space="preserve">: </w:t>
      </w:r>
      <w:hyperlink r:id="rId12" w:history="1">
        <w:r w:rsidR="00D8147D" w:rsidRPr="007F6FC4">
          <w:rPr>
            <w:rStyle w:val="Hyperlink"/>
            <w:szCs w:val="24"/>
          </w:rPr>
          <w:t>https://phw.nhs.wales/services-and-teams/welsh-cancer-intelligence-and-surveillance-unit-wcisu/</w:t>
        </w:r>
      </w:hyperlink>
    </w:p>
    <w:p w14:paraId="1FE34CB1" w14:textId="77777777" w:rsidR="007102E8" w:rsidRDefault="007102E8" w:rsidP="00317A89">
      <w:pPr>
        <w:jc w:val="both"/>
        <w:rPr>
          <w:rFonts w:ascii="Verdana" w:hAnsi="Verdana"/>
          <w:sz w:val="20"/>
          <w:szCs w:val="20"/>
        </w:rPr>
      </w:pPr>
    </w:p>
    <w:p w14:paraId="6E01F23F" w14:textId="77777777" w:rsidR="007102E8" w:rsidRDefault="007102E8" w:rsidP="00317A89">
      <w:pPr>
        <w:jc w:val="both"/>
        <w:rPr>
          <w:rFonts w:ascii="Verdana" w:hAnsi="Verdana"/>
          <w:sz w:val="20"/>
          <w:szCs w:val="20"/>
        </w:rPr>
      </w:pPr>
    </w:p>
    <w:p w14:paraId="5BB753D2" w14:textId="77777777" w:rsidR="007102E8" w:rsidRDefault="007102E8" w:rsidP="00317A89">
      <w:pPr>
        <w:jc w:val="both"/>
        <w:rPr>
          <w:rFonts w:ascii="Verdana" w:hAnsi="Verdana"/>
          <w:sz w:val="20"/>
          <w:szCs w:val="20"/>
        </w:rPr>
      </w:pPr>
    </w:p>
    <w:p w14:paraId="23177FB9" w14:textId="77777777" w:rsidR="007102E8" w:rsidRDefault="007102E8" w:rsidP="00317A89">
      <w:pPr>
        <w:jc w:val="both"/>
        <w:rPr>
          <w:rFonts w:ascii="Verdana" w:hAnsi="Verdana"/>
          <w:sz w:val="20"/>
          <w:szCs w:val="20"/>
        </w:rPr>
      </w:pPr>
    </w:p>
    <w:p w14:paraId="578BAD47" w14:textId="77777777" w:rsidR="007102E8" w:rsidRDefault="007102E8" w:rsidP="00317A89">
      <w:pPr>
        <w:jc w:val="both"/>
        <w:rPr>
          <w:rFonts w:ascii="Verdana" w:hAnsi="Verdana"/>
          <w:sz w:val="20"/>
          <w:szCs w:val="20"/>
        </w:rPr>
      </w:pPr>
    </w:p>
    <w:p w14:paraId="2FA05453" w14:textId="6ACD0148" w:rsidR="007102E8" w:rsidRDefault="007102E8" w:rsidP="00317A89">
      <w:pPr>
        <w:jc w:val="both"/>
        <w:rPr>
          <w:rFonts w:ascii="Verdana" w:hAnsi="Verdana"/>
          <w:sz w:val="20"/>
          <w:szCs w:val="20"/>
        </w:rPr>
      </w:pPr>
    </w:p>
    <w:p w14:paraId="2021BD59" w14:textId="77777777" w:rsidR="007102E8" w:rsidRPr="007F6FC4" w:rsidRDefault="007102E8" w:rsidP="00317A89">
      <w:pPr>
        <w:jc w:val="both"/>
        <w:rPr>
          <w:szCs w:val="24"/>
        </w:rPr>
      </w:pPr>
    </w:p>
    <w:p w14:paraId="4969C863" w14:textId="604A4FC3" w:rsidR="007102E8" w:rsidRPr="007F6FC4" w:rsidRDefault="007102E8" w:rsidP="00317A89">
      <w:pPr>
        <w:jc w:val="both"/>
        <w:rPr>
          <w:szCs w:val="24"/>
        </w:rPr>
      </w:pPr>
      <w:r w:rsidRPr="007F6FC4">
        <w:rPr>
          <w:szCs w:val="24"/>
        </w:rPr>
        <w:t xml:space="preserve">Date: </w:t>
      </w:r>
      <w:r w:rsidR="00026B97">
        <w:rPr>
          <w:szCs w:val="24"/>
        </w:rPr>
        <w:t>September</w:t>
      </w:r>
      <w:r w:rsidR="00D8147D" w:rsidRPr="007F6FC4">
        <w:rPr>
          <w:szCs w:val="24"/>
        </w:rPr>
        <w:t xml:space="preserve"> 2023</w:t>
      </w:r>
    </w:p>
    <w:p w14:paraId="7A395B9F" w14:textId="730FC4AC" w:rsidR="007102E8" w:rsidRPr="007F6FC4" w:rsidRDefault="007102E8" w:rsidP="00317A89">
      <w:pPr>
        <w:jc w:val="both"/>
        <w:rPr>
          <w:szCs w:val="24"/>
        </w:rPr>
      </w:pPr>
      <w:r w:rsidRPr="007F6FC4">
        <w:rPr>
          <w:szCs w:val="24"/>
        </w:rPr>
        <w:t>© 2023 Public Health Wales NHS Trust</w:t>
      </w:r>
    </w:p>
    <w:p w14:paraId="057CE4EB" w14:textId="77777777" w:rsidR="007102E8" w:rsidRPr="007F6FC4" w:rsidRDefault="007102E8" w:rsidP="00317A89">
      <w:pPr>
        <w:jc w:val="both"/>
        <w:rPr>
          <w:szCs w:val="24"/>
        </w:rPr>
      </w:pPr>
    </w:p>
    <w:p w14:paraId="2366AC1E" w14:textId="77777777" w:rsidR="007102E8" w:rsidRPr="007F6FC4" w:rsidRDefault="007102E8" w:rsidP="00317A89">
      <w:pPr>
        <w:jc w:val="both"/>
        <w:rPr>
          <w:b/>
          <w:color w:val="806000" w:themeColor="accent4" w:themeShade="80"/>
          <w:szCs w:val="24"/>
        </w:rPr>
      </w:pPr>
      <w:r w:rsidRPr="007F6FC4">
        <w:rPr>
          <w:szCs w:val="24"/>
        </w:rPr>
        <w:t xml:space="preserve">Material contained in this document and accompanying outputs may be reproduced under the terms of the Open Government Licence (OGL) </w:t>
      </w:r>
      <w:hyperlink r:id="rId13" w:history="1">
        <w:r w:rsidRPr="007F6FC4">
          <w:rPr>
            <w:rStyle w:val="Hyperlink"/>
            <w:szCs w:val="24"/>
          </w:rPr>
          <w:t>www.nationalarchives.gov.uk/doc/open-government-licence/version/3/</w:t>
        </w:r>
      </w:hyperlink>
      <w:r w:rsidRPr="007F6FC4">
        <w:rPr>
          <w:szCs w:val="24"/>
        </w:rPr>
        <w:t xml:space="preserve"> provided it is done so accurately and is not used in a misleading context. Acknowledgement to Public Health Wales NHS Trust to be stated. Copyright in the typographical arrangement, design and layout belongs to Public Health Wales NHS Trust.</w:t>
      </w:r>
    </w:p>
    <w:sdt>
      <w:sdtPr>
        <w:rPr>
          <w:rFonts w:asciiTheme="minorHAnsi" w:eastAsiaTheme="minorHAnsi" w:hAnsiTheme="minorHAnsi" w:cstheme="minorBidi"/>
          <w:b w:val="0"/>
          <w:color w:val="auto"/>
          <w:sz w:val="22"/>
          <w:szCs w:val="22"/>
          <w:lang w:val="en-GB"/>
        </w:rPr>
        <w:id w:val="-630701803"/>
        <w:docPartObj>
          <w:docPartGallery w:val="Table of Contents"/>
          <w:docPartUnique/>
        </w:docPartObj>
      </w:sdtPr>
      <w:sdtEndPr>
        <w:rPr>
          <w:rFonts w:ascii="Ubuntu Light" w:hAnsi="Ubuntu Light"/>
          <w:bCs/>
          <w:noProof/>
          <w:sz w:val="24"/>
        </w:rPr>
      </w:sdtEndPr>
      <w:sdtContent>
        <w:p w14:paraId="521BF891" w14:textId="77777777" w:rsidR="00EE1AC5" w:rsidRDefault="00EE1AC5" w:rsidP="00F96F12">
          <w:pPr>
            <w:pStyle w:val="TOCHeading"/>
            <w:rPr>
              <w:rFonts w:asciiTheme="minorHAnsi" w:eastAsiaTheme="minorHAnsi" w:hAnsiTheme="minorHAnsi" w:cstheme="minorBidi"/>
              <w:b w:val="0"/>
              <w:color w:val="auto"/>
              <w:sz w:val="22"/>
              <w:szCs w:val="22"/>
              <w:lang w:val="en-GB"/>
            </w:rPr>
          </w:pPr>
        </w:p>
        <w:p w14:paraId="400C263C" w14:textId="77777777" w:rsidR="00EE1AC5" w:rsidRDefault="00EE1AC5">
          <w:pPr>
            <w:rPr>
              <w:rFonts w:asciiTheme="minorHAnsi" w:hAnsiTheme="minorHAnsi"/>
              <w:sz w:val="22"/>
            </w:rPr>
          </w:pPr>
          <w:r>
            <w:rPr>
              <w:rFonts w:asciiTheme="minorHAnsi" w:hAnsiTheme="minorHAnsi"/>
              <w:b/>
              <w:sz w:val="22"/>
            </w:rPr>
            <w:br w:type="page"/>
          </w:r>
        </w:p>
        <w:p w14:paraId="0F62658C" w14:textId="161BB56F" w:rsidR="007102E8" w:rsidRPr="00F96F12" w:rsidRDefault="007102E8" w:rsidP="00F96F12">
          <w:pPr>
            <w:pStyle w:val="TOCHeading"/>
            <w:rPr>
              <w:rStyle w:val="Heading1Char"/>
              <w:b/>
              <w:bCs/>
            </w:rPr>
          </w:pPr>
          <w:bookmarkStart w:id="3" w:name="_Toc143505413"/>
          <w:r w:rsidRPr="00F96F12">
            <w:rPr>
              <w:rStyle w:val="Heading1Char"/>
              <w:b/>
              <w:bCs/>
            </w:rPr>
            <w:lastRenderedPageBreak/>
            <w:t>Contents</w:t>
          </w:r>
          <w:bookmarkEnd w:id="3"/>
        </w:p>
        <w:p w14:paraId="43D3E14A" w14:textId="46CAE934" w:rsidR="00DC0C51" w:rsidRDefault="007102E8">
          <w:pPr>
            <w:pStyle w:val="TOC1"/>
            <w:tabs>
              <w:tab w:val="right" w:leader="dot" w:pos="9016"/>
            </w:tabs>
            <w:rPr>
              <w:rFonts w:asciiTheme="minorHAnsi" w:eastAsiaTheme="minorEastAsia" w:hAnsiTheme="minorHAnsi"/>
              <w:noProof/>
              <w:sz w:val="22"/>
              <w:lang w:eastAsia="en-GB"/>
            </w:rPr>
          </w:pPr>
          <w:r>
            <w:fldChar w:fldCharType="begin"/>
          </w:r>
          <w:r>
            <w:instrText xml:space="preserve"> TOC \o "1-3" \h \z \u </w:instrText>
          </w:r>
          <w:r>
            <w:fldChar w:fldCharType="separate"/>
          </w:r>
          <w:hyperlink w:anchor="_Toc143505413" w:history="1">
            <w:r w:rsidR="00DC0C51" w:rsidRPr="00396877">
              <w:rPr>
                <w:rStyle w:val="Hyperlink"/>
                <w:bCs/>
                <w:noProof/>
                <w:lang w:val="en-US"/>
              </w:rPr>
              <w:t>Contents</w:t>
            </w:r>
            <w:r w:rsidR="00DC0C51">
              <w:rPr>
                <w:noProof/>
                <w:webHidden/>
              </w:rPr>
              <w:tab/>
            </w:r>
            <w:r w:rsidR="00DC0C51">
              <w:rPr>
                <w:noProof/>
                <w:webHidden/>
              </w:rPr>
              <w:fldChar w:fldCharType="begin"/>
            </w:r>
            <w:r w:rsidR="00DC0C51">
              <w:rPr>
                <w:noProof/>
                <w:webHidden/>
              </w:rPr>
              <w:instrText xml:space="preserve"> PAGEREF _Toc143505413 \h </w:instrText>
            </w:r>
            <w:r w:rsidR="00DC0C51">
              <w:rPr>
                <w:noProof/>
                <w:webHidden/>
              </w:rPr>
            </w:r>
            <w:r w:rsidR="00DC0C51">
              <w:rPr>
                <w:noProof/>
                <w:webHidden/>
              </w:rPr>
              <w:fldChar w:fldCharType="separate"/>
            </w:r>
            <w:r w:rsidR="00DC0C51">
              <w:rPr>
                <w:noProof/>
                <w:webHidden/>
              </w:rPr>
              <w:t>3</w:t>
            </w:r>
            <w:r w:rsidR="00DC0C51">
              <w:rPr>
                <w:noProof/>
                <w:webHidden/>
              </w:rPr>
              <w:fldChar w:fldCharType="end"/>
            </w:r>
          </w:hyperlink>
        </w:p>
        <w:p w14:paraId="3276B7D7" w14:textId="7998AAD1" w:rsidR="00DC0C51" w:rsidRDefault="00DC0C51">
          <w:pPr>
            <w:pStyle w:val="TOC1"/>
            <w:tabs>
              <w:tab w:val="right" w:leader="dot" w:pos="9016"/>
            </w:tabs>
            <w:rPr>
              <w:rFonts w:asciiTheme="minorHAnsi" w:eastAsiaTheme="minorEastAsia" w:hAnsiTheme="minorHAnsi"/>
              <w:noProof/>
              <w:sz w:val="22"/>
              <w:lang w:eastAsia="en-GB"/>
            </w:rPr>
          </w:pPr>
          <w:hyperlink w:anchor="_Toc143505414" w:history="1">
            <w:r w:rsidRPr="00396877">
              <w:rPr>
                <w:rStyle w:val="Hyperlink"/>
                <w:noProof/>
              </w:rPr>
              <w:t>1 Introduction</w:t>
            </w:r>
            <w:r>
              <w:rPr>
                <w:noProof/>
                <w:webHidden/>
              </w:rPr>
              <w:tab/>
            </w:r>
            <w:r>
              <w:rPr>
                <w:noProof/>
                <w:webHidden/>
              </w:rPr>
              <w:fldChar w:fldCharType="begin"/>
            </w:r>
            <w:r>
              <w:rPr>
                <w:noProof/>
                <w:webHidden/>
              </w:rPr>
              <w:instrText xml:space="preserve"> PAGEREF _Toc143505414 \h </w:instrText>
            </w:r>
            <w:r>
              <w:rPr>
                <w:noProof/>
                <w:webHidden/>
              </w:rPr>
            </w:r>
            <w:r>
              <w:rPr>
                <w:noProof/>
                <w:webHidden/>
              </w:rPr>
              <w:fldChar w:fldCharType="separate"/>
            </w:r>
            <w:r>
              <w:rPr>
                <w:noProof/>
                <w:webHidden/>
              </w:rPr>
              <w:t>5</w:t>
            </w:r>
            <w:r>
              <w:rPr>
                <w:noProof/>
                <w:webHidden/>
              </w:rPr>
              <w:fldChar w:fldCharType="end"/>
            </w:r>
          </w:hyperlink>
        </w:p>
        <w:p w14:paraId="0F77726C" w14:textId="04C1E9E2" w:rsidR="00DC0C51" w:rsidRDefault="00DC0C51">
          <w:pPr>
            <w:pStyle w:val="TOC1"/>
            <w:tabs>
              <w:tab w:val="right" w:leader="dot" w:pos="9016"/>
            </w:tabs>
            <w:rPr>
              <w:rFonts w:asciiTheme="minorHAnsi" w:eastAsiaTheme="minorEastAsia" w:hAnsiTheme="minorHAnsi"/>
              <w:noProof/>
              <w:sz w:val="22"/>
              <w:lang w:eastAsia="en-GB"/>
            </w:rPr>
          </w:pPr>
          <w:hyperlink w:anchor="_Toc143505415" w:history="1">
            <w:r w:rsidRPr="00396877">
              <w:rPr>
                <w:rStyle w:val="Hyperlink"/>
                <w:noProof/>
              </w:rPr>
              <w:t>2 Methodology</w:t>
            </w:r>
            <w:r>
              <w:rPr>
                <w:noProof/>
                <w:webHidden/>
              </w:rPr>
              <w:tab/>
            </w:r>
            <w:r>
              <w:rPr>
                <w:noProof/>
                <w:webHidden/>
              </w:rPr>
              <w:fldChar w:fldCharType="begin"/>
            </w:r>
            <w:r>
              <w:rPr>
                <w:noProof/>
                <w:webHidden/>
              </w:rPr>
              <w:instrText xml:space="preserve"> PAGEREF _Toc143505415 \h </w:instrText>
            </w:r>
            <w:r>
              <w:rPr>
                <w:noProof/>
                <w:webHidden/>
              </w:rPr>
            </w:r>
            <w:r>
              <w:rPr>
                <w:noProof/>
                <w:webHidden/>
              </w:rPr>
              <w:fldChar w:fldCharType="separate"/>
            </w:r>
            <w:r>
              <w:rPr>
                <w:noProof/>
                <w:webHidden/>
              </w:rPr>
              <w:t>6</w:t>
            </w:r>
            <w:r>
              <w:rPr>
                <w:noProof/>
                <w:webHidden/>
              </w:rPr>
              <w:fldChar w:fldCharType="end"/>
            </w:r>
          </w:hyperlink>
        </w:p>
        <w:p w14:paraId="746D5F5D" w14:textId="29A037EE" w:rsidR="00DC0C51" w:rsidRDefault="00DC0C51">
          <w:pPr>
            <w:pStyle w:val="TOC2"/>
            <w:tabs>
              <w:tab w:val="right" w:leader="dot" w:pos="9016"/>
            </w:tabs>
            <w:rPr>
              <w:rFonts w:asciiTheme="minorHAnsi" w:eastAsiaTheme="minorEastAsia" w:hAnsiTheme="minorHAnsi"/>
              <w:noProof/>
              <w:sz w:val="22"/>
              <w:lang w:eastAsia="en-GB"/>
            </w:rPr>
          </w:pPr>
          <w:hyperlink w:anchor="_Toc143505416" w:history="1">
            <w:r w:rsidRPr="00396877">
              <w:rPr>
                <w:rStyle w:val="Hyperlink"/>
                <w:noProof/>
              </w:rPr>
              <w:t>2.1 Incidence outputs</w:t>
            </w:r>
            <w:r>
              <w:rPr>
                <w:noProof/>
                <w:webHidden/>
              </w:rPr>
              <w:tab/>
            </w:r>
            <w:r>
              <w:rPr>
                <w:noProof/>
                <w:webHidden/>
              </w:rPr>
              <w:fldChar w:fldCharType="begin"/>
            </w:r>
            <w:r>
              <w:rPr>
                <w:noProof/>
                <w:webHidden/>
              </w:rPr>
              <w:instrText xml:space="preserve"> PAGEREF _Toc143505416 \h </w:instrText>
            </w:r>
            <w:r>
              <w:rPr>
                <w:noProof/>
                <w:webHidden/>
              </w:rPr>
            </w:r>
            <w:r>
              <w:rPr>
                <w:noProof/>
                <w:webHidden/>
              </w:rPr>
              <w:fldChar w:fldCharType="separate"/>
            </w:r>
            <w:r>
              <w:rPr>
                <w:noProof/>
                <w:webHidden/>
              </w:rPr>
              <w:t>6</w:t>
            </w:r>
            <w:r>
              <w:rPr>
                <w:noProof/>
                <w:webHidden/>
              </w:rPr>
              <w:fldChar w:fldCharType="end"/>
            </w:r>
          </w:hyperlink>
        </w:p>
        <w:p w14:paraId="22F07397" w14:textId="36BC8C94" w:rsidR="00DC0C51" w:rsidRDefault="00DC0C51">
          <w:pPr>
            <w:pStyle w:val="TOC2"/>
            <w:tabs>
              <w:tab w:val="right" w:leader="dot" w:pos="9016"/>
            </w:tabs>
            <w:rPr>
              <w:rFonts w:asciiTheme="minorHAnsi" w:eastAsiaTheme="minorEastAsia" w:hAnsiTheme="minorHAnsi"/>
              <w:noProof/>
              <w:sz w:val="22"/>
              <w:lang w:eastAsia="en-GB"/>
            </w:rPr>
          </w:pPr>
          <w:hyperlink w:anchor="_Toc143505417" w:history="1">
            <w:r w:rsidRPr="00396877">
              <w:rPr>
                <w:rStyle w:val="Hyperlink"/>
                <w:noProof/>
              </w:rPr>
              <w:t>2.2 Mortality outputs</w:t>
            </w:r>
            <w:r>
              <w:rPr>
                <w:noProof/>
                <w:webHidden/>
              </w:rPr>
              <w:tab/>
            </w:r>
            <w:r>
              <w:rPr>
                <w:noProof/>
                <w:webHidden/>
              </w:rPr>
              <w:fldChar w:fldCharType="begin"/>
            </w:r>
            <w:r>
              <w:rPr>
                <w:noProof/>
                <w:webHidden/>
              </w:rPr>
              <w:instrText xml:space="preserve"> PAGEREF _Toc143505417 \h </w:instrText>
            </w:r>
            <w:r>
              <w:rPr>
                <w:noProof/>
                <w:webHidden/>
              </w:rPr>
            </w:r>
            <w:r>
              <w:rPr>
                <w:noProof/>
                <w:webHidden/>
              </w:rPr>
              <w:fldChar w:fldCharType="separate"/>
            </w:r>
            <w:r>
              <w:rPr>
                <w:noProof/>
                <w:webHidden/>
              </w:rPr>
              <w:t>7</w:t>
            </w:r>
            <w:r>
              <w:rPr>
                <w:noProof/>
                <w:webHidden/>
              </w:rPr>
              <w:fldChar w:fldCharType="end"/>
            </w:r>
          </w:hyperlink>
        </w:p>
        <w:p w14:paraId="7D8F249E" w14:textId="6C3D5856" w:rsidR="00DC0C51" w:rsidRDefault="00DC0C51">
          <w:pPr>
            <w:pStyle w:val="TOC2"/>
            <w:tabs>
              <w:tab w:val="right" w:leader="dot" w:pos="9016"/>
            </w:tabs>
            <w:rPr>
              <w:rFonts w:asciiTheme="minorHAnsi" w:eastAsiaTheme="minorEastAsia" w:hAnsiTheme="minorHAnsi"/>
              <w:noProof/>
              <w:sz w:val="22"/>
              <w:lang w:eastAsia="en-GB"/>
            </w:rPr>
          </w:pPr>
          <w:hyperlink w:anchor="_Toc143505418" w:history="1">
            <w:r w:rsidRPr="00396877">
              <w:rPr>
                <w:rStyle w:val="Hyperlink"/>
                <w:noProof/>
              </w:rPr>
              <w:t>2.3 Survival outputs</w:t>
            </w:r>
            <w:r>
              <w:rPr>
                <w:noProof/>
                <w:webHidden/>
              </w:rPr>
              <w:tab/>
            </w:r>
            <w:r>
              <w:rPr>
                <w:noProof/>
                <w:webHidden/>
              </w:rPr>
              <w:fldChar w:fldCharType="begin"/>
            </w:r>
            <w:r>
              <w:rPr>
                <w:noProof/>
                <w:webHidden/>
              </w:rPr>
              <w:instrText xml:space="preserve"> PAGEREF _Toc143505418 \h </w:instrText>
            </w:r>
            <w:r>
              <w:rPr>
                <w:noProof/>
                <w:webHidden/>
              </w:rPr>
            </w:r>
            <w:r>
              <w:rPr>
                <w:noProof/>
                <w:webHidden/>
              </w:rPr>
              <w:fldChar w:fldCharType="separate"/>
            </w:r>
            <w:r>
              <w:rPr>
                <w:noProof/>
                <w:webHidden/>
              </w:rPr>
              <w:t>7</w:t>
            </w:r>
            <w:r>
              <w:rPr>
                <w:noProof/>
                <w:webHidden/>
              </w:rPr>
              <w:fldChar w:fldCharType="end"/>
            </w:r>
          </w:hyperlink>
        </w:p>
        <w:p w14:paraId="777CCD83" w14:textId="73396BDB" w:rsidR="00DC0C51" w:rsidRDefault="00DC0C51">
          <w:pPr>
            <w:pStyle w:val="TOC2"/>
            <w:tabs>
              <w:tab w:val="right" w:leader="dot" w:pos="9016"/>
            </w:tabs>
            <w:rPr>
              <w:rFonts w:asciiTheme="minorHAnsi" w:eastAsiaTheme="minorEastAsia" w:hAnsiTheme="minorHAnsi"/>
              <w:noProof/>
              <w:sz w:val="22"/>
              <w:lang w:eastAsia="en-GB"/>
            </w:rPr>
          </w:pPr>
          <w:hyperlink w:anchor="_Toc143505419" w:history="1">
            <w:r w:rsidRPr="00396877">
              <w:rPr>
                <w:rStyle w:val="Hyperlink"/>
                <w:noProof/>
              </w:rPr>
              <w:t>2.4 Cancer pathology outputs</w:t>
            </w:r>
            <w:r>
              <w:rPr>
                <w:noProof/>
                <w:webHidden/>
              </w:rPr>
              <w:tab/>
            </w:r>
            <w:r>
              <w:rPr>
                <w:noProof/>
                <w:webHidden/>
              </w:rPr>
              <w:fldChar w:fldCharType="begin"/>
            </w:r>
            <w:r>
              <w:rPr>
                <w:noProof/>
                <w:webHidden/>
              </w:rPr>
              <w:instrText xml:space="preserve"> PAGEREF _Toc143505419 \h </w:instrText>
            </w:r>
            <w:r>
              <w:rPr>
                <w:noProof/>
                <w:webHidden/>
              </w:rPr>
            </w:r>
            <w:r>
              <w:rPr>
                <w:noProof/>
                <w:webHidden/>
              </w:rPr>
              <w:fldChar w:fldCharType="separate"/>
            </w:r>
            <w:r>
              <w:rPr>
                <w:noProof/>
                <w:webHidden/>
              </w:rPr>
              <w:t>9</w:t>
            </w:r>
            <w:r>
              <w:rPr>
                <w:noProof/>
                <w:webHidden/>
              </w:rPr>
              <w:fldChar w:fldCharType="end"/>
            </w:r>
          </w:hyperlink>
        </w:p>
        <w:p w14:paraId="09E50E35" w14:textId="1D9CDB92" w:rsidR="00DC0C51" w:rsidRDefault="00DC0C51">
          <w:pPr>
            <w:pStyle w:val="TOC3"/>
            <w:tabs>
              <w:tab w:val="right" w:leader="dot" w:pos="9016"/>
            </w:tabs>
            <w:rPr>
              <w:rFonts w:asciiTheme="minorHAnsi" w:eastAsiaTheme="minorEastAsia" w:hAnsiTheme="minorHAnsi"/>
              <w:noProof/>
              <w:sz w:val="22"/>
              <w:lang w:eastAsia="en-GB"/>
            </w:rPr>
          </w:pPr>
          <w:hyperlink w:anchor="_Toc143505420" w:history="1">
            <w:r w:rsidRPr="00396877">
              <w:rPr>
                <w:rStyle w:val="Hyperlink"/>
                <w:noProof/>
              </w:rPr>
              <w:t>2.4.1 Data sources</w:t>
            </w:r>
            <w:r>
              <w:rPr>
                <w:noProof/>
                <w:webHidden/>
              </w:rPr>
              <w:tab/>
            </w:r>
            <w:r>
              <w:rPr>
                <w:noProof/>
                <w:webHidden/>
              </w:rPr>
              <w:fldChar w:fldCharType="begin"/>
            </w:r>
            <w:r>
              <w:rPr>
                <w:noProof/>
                <w:webHidden/>
              </w:rPr>
              <w:instrText xml:space="preserve"> PAGEREF _Toc143505420 \h </w:instrText>
            </w:r>
            <w:r>
              <w:rPr>
                <w:noProof/>
                <w:webHidden/>
              </w:rPr>
            </w:r>
            <w:r>
              <w:rPr>
                <w:noProof/>
                <w:webHidden/>
              </w:rPr>
              <w:fldChar w:fldCharType="separate"/>
            </w:r>
            <w:r>
              <w:rPr>
                <w:noProof/>
                <w:webHidden/>
              </w:rPr>
              <w:t>9</w:t>
            </w:r>
            <w:r>
              <w:rPr>
                <w:noProof/>
                <w:webHidden/>
              </w:rPr>
              <w:fldChar w:fldCharType="end"/>
            </w:r>
          </w:hyperlink>
        </w:p>
        <w:p w14:paraId="335EC539" w14:textId="6D51717B" w:rsidR="00DC0C51" w:rsidRDefault="00DC0C51">
          <w:pPr>
            <w:pStyle w:val="TOC3"/>
            <w:tabs>
              <w:tab w:val="right" w:leader="dot" w:pos="9016"/>
            </w:tabs>
            <w:rPr>
              <w:rFonts w:asciiTheme="minorHAnsi" w:eastAsiaTheme="minorEastAsia" w:hAnsiTheme="minorHAnsi"/>
              <w:noProof/>
              <w:sz w:val="22"/>
              <w:lang w:eastAsia="en-GB"/>
            </w:rPr>
          </w:pPr>
          <w:hyperlink w:anchor="_Toc143505421" w:history="1">
            <w:r w:rsidRPr="00396877">
              <w:rPr>
                <w:rStyle w:val="Hyperlink"/>
                <w:noProof/>
              </w:rPr>
              <w:t>2.4.2 Methodology</w:t>
            </w:r>
            <w:r>
              <w:rPr>
                <w:noProof/>
                <w:webHidden/>
              </w:rPr>
              <w:tab/>
            </w:r>
            <w:r>
              <w:rPr>
                <w:noProof/>
                <w:webHidden/>
              </w:rPr>
              <w:fldChar w:fldCharType="begin"/>
            </w:r>
            <w:r>
              <w:rPr>
                <w:noProof/>
                <w:webHidden/>
              </w:rPr>
              <w:instrText xml:space="preserve"> PAGEREF _Toc143505421 \h </w:instrText>
            </w:r>
            <w:r>
              <w:rPr>
                <w:noProof/>
                <w:webHidden/>
              </w:rPr>
            </w:r>
            <w:r>
              <w:rPr>
                <w:noProof/>
                <w:webHidden/>
              </w:rPr>
              <w:fldChar w:fldCharType="separate"/>
            </w:r>
            <w:r>
              <w:rPr>
                <w:noProof/>
                <w:webHidden/>
              </w:rPr>
              <w:t>10</w:t>
            </w:r>
            <w:r>
              <w:rPr>
                <w:noProof/>
                <w:webHidden/>
              </w:rPr>
              <w:fldChar w:fldCharType="end"/>
            </w:r>
          </w:hyperlink>
        </w:p>
        <w:p w14:paraId="55C0D780" w14:textId="5D3ED1A2" w:rsidR="00DC0C51" w:rsidRDefault="00DC0C51">
          <w:pPr>
            <w:pStyle w:val="TOC3"/>
            <w:tabs>
              <w:tab w:val="right" w:leader="dot" w:pos="9016"/>
            </w:tabs>
            <w:rPr>
              <w:rFonts w:asciiTheme="minorHAnsi" w:eastAsiaTheme="minorEastAsia" w:hAnsiTheme="minorHAnsi"/>
              <w:noProof/>
              <w:sz w:val="22"/>
              <w:lang w:eastAsia="en-GB"/>
            </w:rPr>
          </w:pPr>
          <w:hyperlink w:anchor="_Toc143505422" w:history="1">
            <w:r w:rsidRPr="00396877">
              <w:rPr>
                <w:rStyle w:val="Hyperlink"/>
                <w:noProof/>
              </w:rPr>
              <w:t>2.4.3 Caveats</w:t>
            </w:r>
            <w:r>
              <w:rPr>
                <w:noProof/>
                <w:webHidden/>
              </w:rPr>
              <w:tab/>
            </w:r>
            <w:r>
              <w:rPr>
                <w:noProof/>
                <w:webHidden/>
              </w:rPr>
              <w:fldChar w:fldCharType="begin"/>
            </w:r>
            <w:r>
              <w:rPr>
                <w:noProof/>
                <w:webHidden/>
              </w:rPr>
              <w:instrText xml:space="preserve"> PAGEREF _Toc143505422 \h </w:instrText>
            </w:r>
            <w:r>
              <w:rPr>
                <w:noProof/>
                <w:webHidden/>
              </w:rPr>
            </w:r>
            <w:r>
              <w:rPr>
                <w:noProof/>
                <w:webHidden/>
              </w:rPr>
              <w:fldChar w:fldCharType="separate"/>
            </w:r>
            <w:r>
              <w:rPr>
                <w:noProof/>
                <w:webHidden/>
              </w:rPr>
              <w:t>11</w:t>
            </w:r>
            <w:r>
              <w:rPr>
                <w:noProof/>
                <w:webHidden/>
              </w:rPr>
              <w:fldChar w:fldCharType="end"/>
            </w:r>
          </w:hyperlink>
        </w:p>
        <w:p w14:paraId="62182164" w14:textId="615600D1" w:rsidR="00DC0C51" w:rsidRDefault="00DC0C51">
          <w:pPr>
            <w:pStyle w:val="TOC2"/>
            <w:tabs>
              <w:tab w:val="right" w:leader="dot" w:pos="9016"/>
            </w:tabs>
            <w:rPr>
              <w:rFonts w:asciiTheme="minorHAnsi" w:eastAsiaTheme="minorEastAsia" w:hAnsiTheme="minorHAnsi"/>
              <w:noProof/>
              <w:sz w:val="22"/>
              <w:lang w:eastAsia="en-GB"/>
            </w:rPr>
          </w:pPr>
          <w:hyperlink w:anchor="_Toc143505423" w:history="1">
            <w:r w:rsidRPr="00396877">
              <w:rPr>
                <w:rStyle w:val="Hyperlink"/>
                <w:noProof/>
              </w:rPr>
              <w:t>2.5 Reported Characteristics</w:t>
            </w:r>
            <w:r>
              <w:rPr>
                <w:noProof/>
                <w:webHidden/>
              </w:rPr>
              <w:tab/>
            </w:r>
            <w:r>
              <w:rPr>
                <w:noProof/>
                <w:webHidden/>
              </w:rPr>
              <w:fldChar w:fldCharType="begin"/>
            </w:r>
            <w:r>
              <w:rPr>
                <w:noProof/>
                <w:webHidden/>
              </w:rPr>
              <w:instrText xml:space="preserve"> PAGEREF _Toc143505423 \h </w:instrText>
            </w:r>
            <w:r>
              <w:rPr>
                <w:noProof/>
                <w:webHidden/>
              </w:rPr>
            </w:r>
            <w:r>
              <w:rPr>
                <w:noProof/>
                <w:webHidden/>
              </w:rPr>
              <w:fldChar w:fldCharType="separate"/>
            </w:r>
            <w:r>
              <w:rPr>
                <w:noProof/>
                <w:webHidden/>
              </w:rPr>
              <w:t>12</w:t>
            </w:r>
            <w:r>
              <w:rPr>
                <w:noProof/>
                <w:webHidden/>
              </w:rPr>
              <w:fldChar w:fldCharType="end"/>
            </w:r>
          </w:hyperlink>
        </w:p>
        <w:p w14:paraId="52C5D5A4" w14:textId="2A156FC7" w:rsidR="00DC0C51" w:rsidRDefault="00DC0C51">
          <w:pPr>
            <w:pStyle w:val="TOC3"/>
            <w:tabs>
              <w:tab w:val="right" w:leader="dot" w:pos="9016"/>
            </w:tabs>
            <w:rPr>
              <w:rFonts w:asciiTheme="minorHAnsi" w:eastAsiaTheme="minorEastAsia" w:hAnsiTheme="minorHAnsi"/>
              <w:noProof/>
              <w:sz w:val="22"/>
              <w:lang w:eastAsia="en-GB"/>
            </w:rPr>
          </w:pPr>
          <w:hyperlink w:anchor="_Toc143505424" w:history="1">
            <w:r w:rsidRPr="00396877">
              <w:rPr>
                <w:rStyle w:val="Hyperlink"/>
                <w:rFonts w:cstheme="minorHAnsi"/>
                <w:noProof/>
              </w:rPr>
              <w:t>2.5.1 Geographical area</w:t>
            </w:r>
            <w:r>
              <w:rPr>
                <w:noProof/>
                <w:webHidden/>
              </w:rPr>
              <w:tab/>
            </w:r>
            <w:r>
              <w:rPr>
                <w:noProof/>
                <w:webHidden/>
              </w:rPr>
              <w:fldChar w:fldCharType="begin"/>
            </w:r>
            <w:r>
              <w:rPr>
                <w:noProof/>
                <w:webHidden/>
              </w:rPr>
              <w:instrText xml:space="preserve"> PAGEREF _Toc143505424 \h </w:instrText>
            </w:r>
            <w:r>
              <w:rPr>
                <w:noProof/>
                <w:webHidden/>
              </w:rPr>
            </w:r>
            <w:r>
              <w:rPr>
                <w:noProof/>
                <w:webHidden/>
              </w:rPr>
              <w:fldChar w:fldCharType="separate"/>
            </w:r>
            <w:r>
              <w:rPr>
                <w:noProof/>
                <w:webHidden/>
              </w:rPr>
              <w:t>12</w:t>
            </w:r>
            <w:r>
              <w:rPr>
                <w:noProof/>
                <w:webHidden/>
              </w:rPr>
              <w:fldChar w:fldCharType="end"/>
            </w:r>
          </w:hyperlink>
        </w:p>
        <w:p w14:paraId="0AA1C607" w14:textId="745F24C9" w:rsidR="00DC0C51" w:rsidRDefault="00DC0C51">
          <w:pPr>
            <w:pStyle w:val="TOC3"/>
            <w:tabs>
              <w:tab w:val="right" w:leader="dot" w:pos="9016"/>
            </w:tabs>
            <w:rPr>
              <w:rFonts w:asciiTheme="minorHAnsi" w:eastAsiaTheme="minorEastAsia" w:hAnsiTheme="minorHAnsi"/>
              <w:noProof/>
              <w:sz w:val="22"/>
              <w:lang w:eastAsia="en-GB"/>
            </w:rPr>
          </w:pPr>
          <w:hyperlink w:anchor="_Toc143505425" w:history="1">
            <w:r w:rsidRPr="00396877">
              <w:rPr>
                <w:rStyle w:val="Hyperlink"/>
                <w:rFonts w:cstheme="minorHAnsi"/>
                <w:noProof/>
              </w:rPr>
              <w:t>2.5.2 Area Deprivation</w:t>
            </w:r>
            <w:r>
              <w:rPr>
                <w:noProof/>
                <w:webHidden/>
              </w:rPr>
              <w:tab/>
            </w:r>
            <w:r>
              <w:rPr>
                <w:noProof/>
                <w:webHidden/>
              </w:rPr>
              <w:fldChar w:fldCharType="begin"/>
            </w:r>
            <w:r>
              <w:rPr>
                <w:noProof/>
                <w:webHidden/>
              </w:rPr>
              <w:instrText xml:space="preserve"> PAGEREF _Toc143505425 \h </w:instrText>
            </w:r>
            <w:r>
              <w:rPr>
                <w:noProof/>
                <w:webHidden/>
              </w:rPr>
            </w:r>
            <w:r>
              <w:rPr>
                <w:noProof/>
                <w:webHidden/>
              </w:rPr>
              <w:fldChar w:fldCharType="separate"/>
            </w:r>
            <w:r>
              <w:rPr>
                <w:noProof/>
                <w:webHidden/>
              </w:rPr>
              <w:t>13</w:t>
            </w:r>
            <w:r>
              <w:rPr>
                <w:noProof/>
                <w:webHidden/>
              </w:rPr>
              <w:fldChar w:fldCharType="end"/>
            </w:r>
          </w:hyperlink>
        </w:p>
        <w:p w14:paraId="7B36BF06" w14:textId="0A26E36F" w:rsidR="00DC0C51" w:rsidRDefault="00DC0C51">
          <w:pPr>
            <w:pStyle w:val="TOC3"/>
            <w:tabs>
              <w:tab w:val="right" w:leader="dot" w:pos="9016"/>
            </w:tabs>
            <w:rPr>
              <w:rFonts w:asciiTheme="minorHAnsi" w:eastAsiaTheme="minorEastAsia" w:hAnsiTheme="minorHAnsi"/>
              <w:noProof/>
              <w:sz w:val="22"/>
              <w:lang w:eastAsia="en-GB"/>
            </w:rPr>
          </w:pPr>
          <w:hyperlink w:anchor="_Toc143505426" w:history="1">
            <w:r w:rsidRPr="00396877">
              <w:rPr>
                <w:rStyle w:val="Hyperlink"/>
                <w:rFonts w:cstheme="minorHAnsi"/>
                <w:noProof/>
              </w:rPr>
              <w:t>2.5.3 Staging</w:t>
            </w:r>
            <w:r>
              <w:rPr>
                <w:noProof/>
                <w:webHidden/>
              </w:rPr>
              <w:tab/>
            </w:r>
            <w:r>
              <w:rPr>
                <w:noProof/>
                <w:webHidden/>
              </w:rPr>
              <w:fldChar w:fldCharType="begin"/>
            </w:r>
            <w:r>
              <w:rPr>
                <w:noProof/>
                <w:webHidden/>
              </w:rPr>
              <w:instrText xml:space="preserve"> PAGEREF _Toc143505426 \h </w:instrText>
            </w:r>
            <w:r>
              <w:rPr>
                <w:noProof/>
                <w:webHidden/>
              </w:rPr>
            </w:r>
            <w:r>
              <w:rPr>
                <w:noProof/>
                <w:webHidden/>
              </w:rPr>
              <w:fldChar w:fldCharType="separate"/>
            </w:r>
            <w:r>
              <w:rPr>
                <w:noProof/>
                <w:webHidden/>
              </w:rPr>
              <w:t>13</w:t>
            </w:r>
            <w:r>
              <w:rPr>
                <w:noProof/>
                <w:webHidden/>
              </w:rPr>
              <w:fldChar w:fldCharType="end"/>
            </w:r>
          </w:hyperlink>
        </w:p>
        <w:p w14:paraId="7E4B4A21" w14:textId="4CB180C2" w:rsidR="00DC0C51" w:rsidRDefault="00DC0C51">
          <w:pPr>
            <w:pStyle w:val="TOC3"/>
            <w:tabs>
              <w:tab w:val="right" w:leader="dot" w:pos="9016"/>
            </w:tabs>
            <w:rPr>
              <w:rFonts w:asciiTheme="minorHAnsi" w:eastAsiaTheme="minorEastAsia" w:hAnsiTheme="minorHAnsi"/>
              <w:noProof/>
              <w:sz w:val="22"/>
              <w:lang w:eastAsia="en-GB"/>
            </w:rPr>
          </w:pPr>
          <w:hyperlink w:anchor="_Toc143505427" w:history="1">
            <w:r w:rsidRPr="00396877">
              <w:rPr>
                <w:rStyle w:val="Hyperlink"/>
                <w:rFonts w:cstheme="minorHAnsi"/>
                <w:noProof/>
              </w:rPr>
              <w:t>2.5.4 Impact of COVID-19</w:t>
            </w:r>
            <w:r>
              <w:rPr>
                <w:noProof/>
                <w:webHidden/>
              </w:rPr>
              <w:tab/>
            </w:r>
            <w:r>
              <w:rPr>
                <w:noProof/>
                <w:webHidden/>
              </w:rPr>
              <w:fldChar w:fldCharType="begin"/>
            </w:r>
            <w:r>
              <w:rPr>
                <w:noProof/>
                <w:webHidden/>
              </w:rPr>
              <w:instrText xml:space="preserve"> PAGEREF _Toc143505427 \h </w:instrText>
            </w:r>
            <w:r>
              <w:rPr>
                <w:noProof/>
                <w:webHidden/>
              </w:rPr>
            </w:r>
            <w:r>
              <w:rPr>
                <w:noProof/>
                <w:webHidden/>
              </w:rPr>
              <w:fldChar w:fldCharType="separate"/>
            </w:r>
            <w:r>
              <w:rPr>
                <w:noProof/>
                <w:webHidden/>
              </w:rPr>
              <w:t>14</w:t>
            </w:r>
            <w:r>
              <w:rPr>
                <w:noProof/>
                <w:webHidden/>
              </w:rPr>
              <w:fldChar w:fldCharType="end"/>
            </w:r>
          </w:hyperlink>
        </w:p>
        <w:p w14:paraId="2967C50F" w14:textId="78D18609" w:rsidR="00DC0C51" w:rsidRDefault="00DC0C51">
          <w:pPr>
            <w:pStyle w:val="TOC2"/>
            <w:tabs>
              <w:tab w:val="right" w:leader="dot" w:pos="9016"/>
            </w:tabs>
            <w:rPr>
              <w:rFonts w:asciiTheme="minorHAnsi" w:eastAsiaTheme="minorEastAsia" w:hAnsiTheme="minorHAnsi"/>
              <w:noProof/>
              <w:sz w:val="22"/>
              <w:lang w:eastAsia="en-GB"/>
            </w:rPr>
          </w:pPr>
          <w:hyperlink w:anchor="_Toc143505428" w:history="1">
            <w:r w:rsidRPr="00396877">
              <w:rPr>
                <w:rStyle w:val="Hyperlink"/>
                <w:noProof/>
              </w:rPr>
              <w:t>2.6 Reported Measures</w:t>
            </w:r>
            <w:r>
              <w:rPr>
                <w:noProof/>
                <w:webHidden/>
              </w:rPr>
              <w:tab/>
            </w:r>
            <w:r>
              <w:rPr>
                <w:noProof/>
                <w:webHidden/>
              </w:rPr>
              <w:fldChar w:fldCharType="begin"/>
            </w:r>
            <w:r>
              <w:rPr>
                <w:noProof/>
                <w:webHidden/>
              </w:rPr>
              <w:instrText xml:space="preserve"> PAGEREF _Toc143505428 \h </w:instrText>
            </w:r>
            <w:r>
              <w:rPr>
                <w:noProof/>
                <w:webHidden/>
              </w:rPr>
            </w:r>
            <w:r>
              <w:rPr>
                <w:noProof/>
                <w:webHidden/>
              </w:rPr>
              <w:fldChar w:fldCharType="separate"/>
            </w:r>
            <w:r>
              <w:rPr>
                <w:noProof/>
                <w:webHidden/>
              </w:rPr>
              <w:t>15</w:t>
            </w:r>
            <w:r>
              <w:rPr>
                <w:noProof/>
                <w:webHidden/>
              </w:rPr>
              <w:fldChar w:fldCharType="end"/>
            </w:r>
          </w:hyperlink>
        </w:p>
        <w:p w14:paraId="0CFF87AD" w14:textId="5B8DC764" w:rsidR="00DC0C51" w:rsidRDefault="00DC0C51">
          <w:pPr>
            <w:pStyle w:val="TOC3"/>
            <w:tabs>
              <w:tab w:val="right" w:leader="dot" w:pos="9016"/>
            </w:tabs>
            <w:rPr>
              <w:rFonts w:asciiTheme="minorHAnsi" w:eastAsiaTheme="minorEastAsia" w:hAnsiTheme="minorHAnsi"/>
              <w:noProof/>
              <w:sz w:val="22"/>
              <w:lang w:eastAsia="en-GB"/>
            </w:rPr>
          </w:pPr>
          <w:hyperlink w:anchor="_Toc143505429" w:history="1">
            <w:r w:rsidRPr="00396877">
              <w:rPr>
                <w:rStyle w:val="Hyperlink"/>
                <w:rFonts w:cstheme="minorHAnsi"/>
                <w:noProof/>
              </w:rPr>
              <w:t>2.6.1 Count</w:t>
            </w:r>
            <w:r>
              <w:rPr>
                <w:noProof/>
                <w:webHidden/>
              </w:rPr>
              <w:tab/>
            </w:r>
            <w:r>
              <w:rPr>
                <w:noProof/>
                <w:webHidden/>
              </w:rPr>
              <w:fldChar w:fldCharType="begin"/>
            </w:r>
            <w:r>
              <w:rPr>
                <w:noProof/>
                <w:webHidden/>
              </w:rPr>
              <w:instrText xml:space="preserve"> PAGEREF _Toc143505429 \h </w:instrText>
            </w:r>
            <w:r>
              <w:rPr>
                <w:noProof/>
                <w:webHidden/>
              </w:rPr>
            </w:r>
            <w:r>
              <w:rPr>
                <w:noProof/>
                <w:webHidden/>
              </w:rPr>
              <w:fldChar w:fldCharType="separate"/>
            </w:r>
            <w:r>
              <w:rPr>
                <w:noProof/>
                <w:webHidden/>
              </w:rPr>
              <w:t>15</w:t>
            </w:r>
            <w:r>
              <w:rPr>
                <w:noProof/>
                <w:webHidden/>
              </w:rPr>
              <w:fldChar w:fldCharType="end"/>
            </w:r>
          </w:hyperlink>
        </w:p>
        <w:p w14:paraId="4204A64E" w14:textId="78555FE4" w:rsidR="00DC0C51" w:rsidRDefault="00DC0C51">
          <w:pPr>
            <w:pStyle w:val="TOC3"/>
            <w:tabs>
              <w:tab w:val="right" w:leader="dot" w:pos="9016"/>
            </w:tabs>
            <w:rPr>
              <w:rFonts w:asciiTheme="minorHAnsi" w:eastAsiaTheme="minorEastAsia" w:hAnsiTheme="minorHAnsi"/>
              <w:noProof/>
              <w:sz w:val="22"/>
              <w:lang w:eastAsia="en-GB"/>
            </w:rPr>
          </w:pPr>
          <w:hyperlink w:anchor="_Toc143505430" w:history="1">
            <w:r w:rsidRPr="00396877">
              <w:rPr>
                <w:rStyle w:val="Hyperlink"/>
                <w:rFonts w:cstheme="minorHAnsi"/>
                <w:noProof/>
              </w:rPr>
              <w:t>2.6.2 Crude rates</w:t>
            </w:r>
            <w:r>
              <w:rPr>
                <w:noProof/>
                <w:webHidden/>
              </w:rPr>
              <w:tab/>
            </w:r>
            <w:r>
              <w:rPr>
                <w:noProof/>
                <w:webHidden/>
              </w:rPr>
              <w:fldChar w:fldCharType="begin"/>
            </w:r>
            <w:r>
              <w:rPr>
                <w:noProof/>
                <w:webHidden/>
              </w:rPr>
              <w:instrText xml:space="preserve"> PAGEREF _Toc143505430 \h </w:instrText>
            </w:r>
            <w:r>
              <w:rPr>
                <w:noProof/>
                <w:webHidden/>
              </w:rPr>
            </w:r>
            <w:r>
              <w:rPr>
                <w:noProof/>
                <w:webHidden/>
              </w:rPr>
              <w:fldChar w:fldCharType="separate"/>
            </w:r>
            <w:r>
              <w:rPr>
                <w:noProof/>
                <w:webHidden/>
              </w:rPr>
              <w:t>15</w:t>
            </w:r>
            <w:r>
              <w:rPr>
                <w:noProof/>
                <w:webHidden/>
              </w:rPr>
              <w:fldChar w:fldCharType="end"/>
            </w:r>
          </w:hyperlink>
        </w:p>
        <w:p w14:paraId="476CC97D" w14:textId="3C419A6E" w:rsidR="00DC0C51" w:rsidRDefault="00DC0C51">
          <w:pPr>
            <w:pStyle w:val="TOC3"/>
            <w:tabs>
              <w:tab w:val="right" w:leader="dot" w:pos="9016"/>
            </w:tabs>
            <w:rPr>
              <w:rFonts w:asciiTheme="minorHAnsi" w:eastAsiaTheme="minorEastAsia" w:hAnsiTheme="minorHAnsi"/>
              <w:noProof/>
              <w:sz w:val="22"/>
              <w:lang w:eastAsia="en-GB"/>
            </w:rPr>
          </w:pPr>
          <w:hyperlink w:anchor="_Toc143505431" w:history="1">
            <w:r w:rsidRPr="00396877">
              <w:rPr>
                <w:rStyle w:val="Hyperlink"/>
                <w:noProof/>
              </w:rPr>
              <w:t>2.6.3 Age-standardised rates</w:t>
            </w:r>
            <w:r>
              <w:rPr>
                <w:noProof/>
                <w:webHidden/>
              </w:rPr>
              <w:tab/>
            </w:r>
            <w:r>
              <w:rPr>
                <w:noProof/>
                <w:webHidden/>
              </w:rPr>
              <w:fldChar w:fldCharType="begin"/>
            </w:r>
            <w:r>
              <w:rPr>
                <w:noProof/>
                <w:webHidden/>
              </w:rPr>
              <w:instrText xml:space="preserve"> PAGEREF _Toc143505431 \h </w:instrText>
            </w:r>
            <w:r>
              <w:rPr>
                <w:noProof/>
                <w:webHidden/>
              </w:rPr>
            </w:r>
            <w:r>
              <w:rPr>
                <w:noProof/>
                <w:webHidden/>
              </w:rPr>
              <w:fldChar w:fldCharType="separate"/>
            </w:r>
            <w:r>
              <w:rPr>
                <w:noProof/>
                <w:webHidden/>
              </w:rPr>
              <w:t>15</w:t>
            </w:r>
            <w:r>
              <w:rPr>
                <w:noProof/>
                <w:webHidden/>
              </w:rPr>
              <w:fldChar w:fldCharType="end"/>
            </w:r>
          </w:hyperlink>
        </w:p>
        <w:p w14:paraId="337AA15E" w14:textId="1F5CEE9F" w:rsidR="00DC0C51" w:rsidRDefault="00DC0C51">
          <w:pPr>
            <w:pStyle w:val="TOC3"/>
            <w:tabs>
              <w:tab w:val="right" w:leader="dot" w:pos="9016"/>
            </w:tabs>
            <w:rPr>
              <w:rFonts w:asciiTheme="minorHAnsi" w:eastAsiaTheme="minorEastAsia" w:hAnsiTheme="minorHAnsi"/>
              <w:noProof/>
              <w:sz w:val="22"/>
              <w:lang w:eastAsia="en-GB"/>
            </w:rPr>
          </w:pPr>
          <w:hyperlink w:anchor="_Toc143505432" w:history="1">
            <w:r w:rsidRPr="00396877">
              <w:rPr>
                <w:rStyle w:val="Hyperlink"/>
                <w:noProof/>
              </w:rPr>
              <w:t>2.6.4 Age-specific rates</w:t>
            </w:r>
            <w:r>
              <w:rPr>
                <w:noProof/>
                <w:webHidden/>
              </w:rPr>
              <w:tab/>
            </w:r>
            <w:r>
              <w:rPr>
                <w:noProof/>
                <w:webHidden/>
              </w:rPr>
              <w:fldChar w:fldCharType="begin"/>
            </w:r>
            <w:r>
              <w:rPr>
                <w:noProof/>
                <w:webHidden/>
              </w:rPr>
              <w:instrText xml:space="preserve"> PAGEREF _Toc143505432 \h </w:instrText>
            </w:r>
            <w:r>
              <w:rPr>
                <w:noProof/>
                <w:webHidden/>
              </w:rPr>
            </w:r>
            <w:r>
              <w:rPr>
                <w:noProof/>
                <w:webHidden/>
              </w:rPr>
              <w:fldChar w:fldCharType="separate"/>
            </w:r>
            <w:r>
              <w:rPr>
                <w:noProof/>
                <w:webHidden/>
              </w:rPr>
              <w:t>16</w:t>
            </w:r>
            <w:r>
              <w:rPr>
                <w:noProof/>
                <w:webHidden/>
              </w:rPr>
              <w:fldChar w:fldCharType="end"/>
            </w:r>
          </w:hyperlink>
        </w:p>
        <w:p w14:paraId="028D6EA4" w14:textId="4886F1B6" w:rsidR="00DC0C51" w:rsidRDefault="00DC0C51">
          <w:pPr>
            <w:pStyle w:val="TOC3"/>
            <w:tabs>
              <w:tab w:val="right" w:leader="dot" w:pos="9016"/>
            </w:tabs>
            <w:rPr>
              <w:rFonts w:asciiTheme="minorHAnsi" w:eastAsiaTheme="minorEastAsia" w:hAnsiTheme="minorHAnsi"/>
              <w:noProof/>
              <w:sz w:val="22"/>
              <w:lang w:eastAsia="en-GB"/>
            </w:rPr>
          </w:pPr>
          <w:hyperlink w:anchor="_Toc143505433" w:history="1">
            <w:r w:rsidRPr="00396877">
              <w:rPr>
                <w:rStyle w:val="Hyperlink"/>
                <w:noProof/>
              </w:rPr>
              <w:t>2.6.5 Proportions</w:t>
            </w:r>
            <w:r>
              <w:rPr>
                <w:noProof/>
                <w:webHidden/>
              </w:rPr>
              <w:tab/>
            </w:r>
            <w:r>
              <w:rPr>
                <w:noProof/>
                <w:webHidden/>
              </w:rPr>
              <w:fldChar w:fldCharType="begin"/>
            </w:r>
            <w:r>
              <w:rPr>
                <w:noProof/>
                <w:webHidden/>
              </w:rPr>
              <w:instrText xml:space="preserve"> PAGEREF _Toc143505433 \h </w:instrText>
            </w:r>
            <w:r>
              <w:rPr>
                <w:noProof/>
                <w:webHidden/>
              </w:rPr>
            </w:r>
            <w:r>
              <w:rPr>
                <w:noProof/>
                <w:webHidden/>
              </w:rPr>
              <w:fldChar w:fldCharType="separate"/>
            </w:r>
            <w:r>
              <w:rPr>
                <w:noProof/>
                <w:webHidden/>
              </w:rPr>
              <w:t>16</w:t>
            </w:r>
            <w:r>
              <w:rPr>
                <w:noProof/>
                <w:webHidden/>
              </w:rPr>
              <w:fldChar w:fldCharType="end"/>
            </w:r>
          </w:hyperlink>
        </w:p>
        <w:p w14:paraId="06DA34BE" w14:textId="0FB7F7F6" w:rsidR="00DC0C51" w:rsidRDefault="00DC0C51">
          <w:pPr>
            <w:pStyle w:val="TOC3"/>
            <w:tabs>
              <w:tab w:val="right" w:leader="dot" w:pos="9016"/>
            </w:tabs>
            <w:rPr>
              <w:rFonts w:asciiTheme="minorHAnsi" w:eastAsiaTheme="minorEastAsia" w:hAnsiTheme="minorHAnsi"/>
              <w:noProof/>
              <w:sz w:val="22"/>
              <w:lang w:eastAsia="en-GB"/>
            </w:rPr>
          </w:pPr>
          <w:hyperlink w:anchor="_Toc143505434" w:history="1">
            <w:r w:rsidRPr="00396877">
              <w:rPr>
                <w:rStyle w:val="Hyperlink"/>
                <w:noProof/>
              </w:rPr>
              <w:t>2.6.6 Net survival (unstandardised net survival)</w:t>
            </w:r>
            <w:r>
              <w:rPr>
                <w:noProof/>
                <w:webHidden/>
              </w:rPr>
              <w:tab/>
            </w:r>
            <w:r>
              <w:rPr>
                <w:noProof/>
                <w:webHidden/>
              </w:rPr>
              <w:fldChar w:fldCharType="begin"/>
            </w:r>
            <w:r>
              <w:rPr>
                <w:noProof/>
                <w:webHidden/>
              </w:rPr>
              <w:instrText xml:space="preserve"> PAGEREF _Toc143505434 \h </w:instrText>
            </w:r>
            <w:r>
              <w:rPr>
                <w:noProof/>
                <w:webHidden/>
              </w:rPr>
            </w:r>
            <w:r>
              <w:rPr>
                <w:noProof/>
                <w:webHidden/>
              </w:rPr>
              <w:fldChar w:fldCharType="separate"/>
            </w:r>
            <w:r>
              <w:rPr>
                <w:noProof/>
                <w:webHidden/>
              </w:rPr>
              <w:t>17</w:t>
            </w:r>
            <w:r>
              <w:rPr>
                <w:noProof/>
                <w:webHidden/>
              </w:rPr>
              <w:fldChar w:fldCharType="end"/>
            </w:r>
          </w:hyperlink>
        </w:p>
        <w:p w14:paraId="7C26021D" w14:textId="4CECD873" w:rsidR="00DC0C51" w:rsidRDefault="00DC0C51">
          <w:pPr>
            <w:pStyle w:val="TOC3"/>
            <w:tabs>
              <w:tab w:val="right" w:leader="dot" w:pos="9016"/>
            </w:tabs>
            <w:rPr>
              <w:rFonts w:asciiTheme="minorHAnsi" w:eastAsiaTheme="minorEastAsia" w:hAnsiTheme="minorHAnsi"/>
              <w:noProof/>
              <w:sz w:val="22"/>
              <w:lang w:eastAsia="en-GB"/>
            </w:rPr>
          </w:pPr>
          <w:hyperlink w:anchor="_Toc143505435" w:history="1">
            <w:r w:rsidRPr="00396877">
              <w:rPr>
                <w:rStyle w:val="Hyperlink"/>
                <w:noProof/>
              </w:rPr>
              <w:t>2.6.7 Age specific net survival</w:t>
            </w:r>
            <w:r>
              <w:rPr>
                <w:noProof/>
                <w:webHidden/>
              </w:rPr>
              <w:tab/>
            </w:r>
            <w:r>
              <w:rPr>
                <w:noProof/>
                <w:webHidden/>
              </w:rPr>
              <w:fldChar w:fldCharType="begin"/>
            </w:r>
            <w:r>
              <w:rPr>
                <w:noProof/>
                <w:webHidden/>
              </w:rPr>
              <w:instrText xml:space="preserve"> PAGEREF _Toc143505435 \h </w:instrText>
            </w:r>
            <w:r>
              <w:rPr>
                <w:noProof/>
                <w:webHidden/>
              </w:rPr>
            </w:r>
            <w:r>
              <w:rPr>
                <w:noProof/>
                <w:webHidden/>
              </w:rPr>
              <w:fldChar w:fldCharType="separate"/>
            </w:r>
            <w:r>
              <w:rPr>
                <w:noProof/>
                <w:webHidden/>
              </w:rPr>
              <w:t>17</w:t>
            </w:r>
            <w:r>
              <w:rPr>
                <w:noProof/>
                <w:webHidden/>
              </w:rPr>
              <w:fldChar w:fldCharType="end"/>
            </w:r>
          </w:hyperlink>
        </w:p>
        <w:p w14:paraId="592BFFFF" w14:textId="047C71D2" w:rsidR="00DC0C51" w:rsidRDefault="00DC0C51">
          <w:pPr>
            <w:pStyle w:val="TOC3"/>
            <w:tabs>
              <w:tab w:val="right" w:leader="dot" w:pos="9016"/>
            </w:tabs>
            <w:rPr>
              <w:rFonts w:asciiTheme="minorHAnsi" w:eastAsiaTheme="minorEastAsia" w:hAnsiTheme="minorHAnsi"/>
              <w:noProof/>
              <w:sz w:val="22"/>
              <w:lang w:eastAsia="en-GB"/>
            </w:rPr>
          </w:pPr>
          <w:hyperlink w:anchor="_Toc143505436" w:history="1">
            <w:r w:rsidRPr="00396877">
              <w:rPr>
                <w:rStyle w:val="Hyperlink"/>
                <w:noProof/>
              </w:rPr>
              <w:t>2.6.8 Age-standardised net survival</w:t>
            </w:r>
            <w:r>
              <w:rPr>
                <w:noProof/>
                <w:webHidden/>
              </w:rPr>
              <w:tab/>
            </w:r>
            <w:r>
              <w:rPr>
                <w:noProof/>
                <w:webHidden/>
              </w:rPr>
              <w:fldChar w:fldCharType="begin"/>
            </w:r>
            <w:r>
              <w:rPr>
                <w:noProof/>
                <w:webHidden/>
              </w:rPr>
              <w:instrText xml:space="preserve"> PAGEREF _Toc143505436 \h </w:instrText>
            </w:r>
            <w:r>
              <w:rPr>
                <w:noProof/>
                <w:webHidden/>
              </w:rPr>
            </w:r>
            <w:r>
              <w:rPr>
                <w:noProof/>
                <w:webHidden/>
              </w:rPr>
              <w:fldChar w:fldCharType="separate"/>
            </w:r>
            <w:r>
              <w:rPr>
                <w:noProof/>
                <w:webHidden/>
              </w:rPr>
              <w:t>17</w:t>
            </w:r>
            <w:r>
              <w:rPr>
                <w:noProof/>
                <w:webHidden/>
              </w:rPr>
              <w:fldChar w:fldCharType="end"/>
            </w:r>
          </w:hyperlink>
        </w:p>
        <w:p w14:paraId="0808B2BB" w14:textId="46BCA316" w:rsidR="00DC0C51" w:rsidRDefault="00DC0C51">
          <w:pPr>
            <w:pStyle w:val="TOC3"/>
            <w:tabs>
              <w:tab w:val="right" w:leader="dot" w:pos="9016"/>
            </w:tabs>
            <w:rPr>
              <w:rFonts w:asciiTheme="minorHAnsi" w:eastAsiaTheme="minorEastAsia" w:hAnsiTheme="minorHAnsi"/>
              <w:noProof/>
              <w:sz w:val="22"/>
              <w:lang w:eastAsia="en-GB"/>
            </w:rPr>
          </w:pPr>
          <w:hyperlink w:anchor="_Toc143505437" w:history="1">
            <w:r w:rsidRPr="00396877">
              <w:rPr>
                <w:rStyle w:val="Hyperlink"/>
                <w:noProof/>
              </w:rPr>
              <w:t>2.6.9 Confidence intervals</w:t>
            </w:r>
            <w:r>
              <w:rPr>
                <w:noProof/>
                <w:webHidden/>
              </w:rPr>
              <w:tab/>
            </w:r>
            <w:r>
              <w:rPr>
                <w:noProof/>
                <w:webHidden/>
              </w:rPr>
              <w:fldChar w:fldCharType="begin"/>
            </w:r>
            <w:r>
              <w:rPr>
                <w:noProof/>
                <w:webHidden/>
              </w:rPr>
              <w:instrText xml:space="preserve"> PAGEREF _Toc143505437 \h </w:instrText>
            </w:r>
            <w:r>
              <w:rPr>
                <w:noProof/>
                <w:webHidden/>
              </w:rPr>
            </w:r>
            <w:r>
              <w:rPr>
                <w:noProof/>
                <w:webHidden/>
              </w:rPr>
              <w:fldChar w:fldCharType="separate"/>
            </w:r>
            <w:r>
              <w:rPr>
                <w:noProof/>
                <w:webHidden/>
              </w:rPr>
              <w:t>17</w:t>
            </w:r>
            <w:r>
              <w:rPr>
                <w:noProof/>
                <w:webHidden/>
              </w:rPr>
              <w:fldChar w:fldCharType="end"/>
            </w:r>
          </w:hyperlink>
        </w:p>
        <w:p w14:paraId="50BD6249" w14:textId="2D3F35B7" w:rsidR="00DC0C51" w:rsidRDefault="00DC0C51">
          <w:pPr>
            <w:pStyle w:val="TOC3"/>
            <w:tabs>
              <w:tab w:val="right" w:leader="dot" w:pos="9016"/>
            </w:tabs>
            <w:rPr>
              <w:rFonts w:asciiTheme="minorHAnsi" w:eastAsiaTheme="minorEastAsia" w:hAnsiTheme="minorHAnsi"/>
              <w:noProof/>
              <w:sz w:val="22"/>
              <w:lang w:eastAsia="en-GB"/>
            </w:rPr>
          </w:pPr>
          <w:hyperlink w:anchor="_Toc143505438" w:history="1">
            <w:r w:rsidRPr="00396877">
              <w:rPr>
                <w:rStyle w:val="Hyperlink"/>
                <w:noProof/>
              </w:rPr>
              <w:t>2.6.10 Populations</w:t>
            </w:r>
            <w:r>
              <w:rPr>
                <w:noProof/>
                <w:webHidden/>
              </w:rPr>
              <w:tab/>
            </w:r>
            <w:r>
              <w:rPr>
                <w:noProof/>
                <w:webHidden/>
              </w:rPr>
              <w:fldChar w:fldCharType="begin"/>
            </w:r>
            <w:r>
              <w:rPr>
                <w:noProof/>
                <w:webHidden/>
              </w:rPr>
              <w:instrText xml:space="preserve"> PAGEREF _Toc143505438 \h </w:instrText>
            </w:r>
            <w:r>
              <w:rPr>
                <w:noProof/>
                <w:webHidden/>
              </w:rPr>
            </w:r>
            <w:r>
              <w:rPr>
                <w:noProof/>
                <w:webHidden/>
              </w:rPr>
              <w:fldChar w:fldCharType="separate"/>
            </w:r>
            <w:r>
              <w:rPr>
                <w:noProof/>
                <w:webHidden/>
              </w:rPr>
              <w:t>19</w:t>
            </w:r>
            <w:r>
              <w:rPr>
                <w:noProof/>
                <w:webHidden/>
              </w:rPr>
              <w:fldChar w:fldCharType="end"/>
            </w:r>
          </w:hyperlink>
        </w:p>
        <w:p w14:paraId="0C7066C2" w14:textId="7435403F" w:rsidR="00DC0C51" w:rsidRDefault="00DC0C51">
          <w:pPr>
            <w:pStyle w:val="TOC2"/>
            <w:tabs>
              <w:tab w:val="right" w:leader="dot" w:pos="9016"/>
            </w:tabs>
            <w:rPr>
              <w:rFonts w:asciiTheme="minorHAnsi" w:eastAsiaTheme="minorEastAsia" w:hAnsiTheme="minorHAnsi"/>
              <w:noProof/>
              <w:sz w:val="22"/>
              <w:lang w:eastAsia="en-GB"/>
            </w:rPr>
          </w:pPr>
          <w:hyperlink w:anchor="_Toc143505439" w:history="1">
            <w:r w:rsidRPr="00396877">
              <w:rPr>
                <w:rStyle w:val="Hyperlink"/>
                <w:noProof/>
              </w:rPr>
              <w:t>2.7 Datasets and analysis</w:t>
            </w:r>
            <w:r>
              <w:rPr>
                <w:noProof/>
                <w:webHidden/>
              </w:rPr>
              <w:tab/>
            </w:r>
            <w:r>
              <w:rPr>
                <w:noProof/>
                <w:webHidden/>
              </w:rPr>
              <w:fldChar w:fldCharType="begin"/>
            </w:r>
            <w:r>
              <w:rPr>
                <w:noProof/>
                <w:webHidden/>
              </w:rPr>
              <w:instrText xml:space="preserve"> PAGEREF _Toc143505439 \h </w:instrText>
            </w:r>
            <w:r>
              <w:rPr>
                <w:noProof/>
                <w:webHidden/>
              </w:rPr>
            </w:r>
            <w:r>
              <w:rPr>
                <w:noProof/>
                <w:webHidden/>
              </w:rPr>
              <w:fldChar w:fldCharType="separate"/>
            </w:r>
            <w:r>
              <w:rPr>
                <w:noProof/>
                <w:webHidden/>
              </w:rPr>
              <w:t>19</w:t>
            </w:r>
            <w:r>
              <w:rPr>
                <w:noProof/>
                <w:webHidden/>
              </w:rPr>
              <w:fldChar w:fldCharType="end"/>
            </w:r>
          </w:hyperlink>
        </w:p>
        <w:p w14:paraId="4F22EAF4" w14:textId="32034752" w:rsidR="00DC0C51" w:rsidRDefault="00DC0C51">
          <w:pPr>
            <w:pStyle w:val="TOC1"/>
            <w:tabs>
              <w:tab w:val="right" w:leader="dot" w:pos="9016"/>
            </w:tabs>
            <w:rPr>
              <w:rFonts w:asciiTheme="minorHAnsi" w:eastAsiaTheme="minorEastAsia" w:hAnsiTheme="minorHAnsi"/>
              <w:noProof/>
              <w:sz w:val="22"/>
              <w:lang w:eastAsia="en-GB"/>
            </w:rPr>
          </w:pPr>
          <w:hyperlink w:anchor="_Toc143505440" w:history="1">
            <w:r w:rsidRPr="00396877">
              <w:rPr>
                <w:rStyle w:val="Hyperlink"/>
                <w:noProof/>
              </w:rPr>
              <w:t>3 Relevance</w:t>
            </w:r>
            <w:r>
              <w:rPr>
                <w:noProof/>
                <w:webHidden/>
              </w:rPr>
              <w:tab/>
            </w:r>
            <w:r>
              <w:rPr>
                <w:noProof/>
                <w:webHidden/>
              </w:rPr>
              <w:fldChar w:fldCharType="begin"/>
            </w:r>
            <w:r>
              <w:rPr>
                <w:noProof/>
                <w:webHidden/>
              </w:rPr>
              <w:instrText xml:space="preserve"> PAGEREF _Toc143505440 \h </w:instrText>
            </w:r>
            <w:r>
              <w:rPr>
                <w:noProof/>
                <w:webHidden/>
              </w:rPr>
            </w:r>
            <w:r>
              <w:rPr>
                <w:noProof/>
                <w:webHidden/>
              </w:rPr>
              <w:fldChar w:fldCharType="separate"/>
            </w:r>
            <w:r>
              <w:rPr>
                <w:noProof/>
                <w:webHidden/>
              </w:rPr>
              <w:t>20</w:t>
            </w:r>
            <w:r>
              <w:rPr>
                <w:noProof/>
                <w:webHidden/>
              </w:rPr>
              <w:fldChar w:fldCharType="end"/>
            </w:r>
          </w:hyperlink>
        </w:p>
        <w:p w14:paraId="099C819D" w14:textId="2011F730" w:rsidR="00DC0C51" w:rsidRDefault="00DC0C51">
          <w:pPr>
            <w:pStyle w:val="TOC1"/>
            <w:tabs>
              <w:tab w:val="right" w:leader="dot" w:pos="9016"/>
            </w:tabs>
            <w:rPr>
              <w:rFonts w:asciiTheme="minorHAnsi" w:eastAsiaTheme="minorEastAsia" w:hAnsiTheme="minorHAnsi"/>
              <w:noProof/>
              <w:sz w:val="22"/>
              <w:lang w:eastAsia="en-GB"/>
            </w:rPr>
          </w:pPr>
          <w:hyperlink w:anchor="_Toc143505441" w:history="1">
            <w:r w:rsidRPr="00396877">
              <w:rPr>
                <w:rStyle w:val="Hyperlink"/>
                <w:noProof/>
              </w:rPr>
              <w:t>4 Accuracy</w:t>
            </w:r>
            <w:r>
              <w:rPr>
                <w:noProof/>
                <w:webHidden/>
              </w:rPr>
              <w:tab/>
            </w:r>
            <w:r>
              <w:rPr>
                <w:noProof/>
                <w:webHidden/>
              </w:rPr>
              <w:fldChar w:fldCharType="begin"/>
            </w:r>
            <w:r>
              <w:rPr>
                <w:noProof/>
                <w:webHidden/>
              </w:rPr>
              <w:instrText xml:space="preserve"> PAGEREF _Toc143505441 \h </w:instrText>
            </w:r>
            <w:r>
              <w:rPr>
                <w:noProof/>
                <w:webHidden/>
              </w:rPr>
            </w:r>
            <w:r>
              <w:rPr>
                <w:noProof/>
                <w:webHidden/>
              </w:rPr>
              <w:fldChar w:fldCharType="separate"/>
            </w:r>
            <w:r>
              <w:rPr>
                <w:noProof/>
                <w:webHidden/>
              </w:rPr>
              <w:t>21</w:t>
            </w:r>
            <w:r>
              <w:rPr>
                <w:noProof/>
                <w:webHidden/>
              </w:rPr>
              <w:fldChar w:fldCharType="end"/>
            </w:r>
          </w:hyperlink>
        </w:p>
        <w:p w14:paraId="542517E2" w14:textId="1219452C" w:rsidR="00DC0C51" w:rsidRDefault="00DC0C51">
          <w:pPr>
            <w:pStyle w:val="TOC2"/>
            <w:tabs>
              <w:tab w:val="right" w:leader="dot" w:pos="9016"/>
            </w:tabs>
            <w:rPr>
              <w:rFonts w:asciiTheme="minorHAnsi" w:eastAsiaTheme="minorEastAsia" w:hAnsiTheme="minorHAnsi"/>
              <w:noProof/>
              <w:sz w:val="22"/>
              <w:lang w:eastAsia="en-GB"/>
            </w:rPr>
          </w:pPr>
          <w:hyperlink w:anchor="_Toc143505442" w:history="1">
            <w:r w:rsidRPr="00396877">
              <w:rPr>
                <w:rStyle w:val="Hyperlink"/>
                <w:noProof/>
              </w:rPr>
              <w:t>4.1. Cancer registration</w:t>
            </w:r>
            <w:r>
              <w:rPr>
                <w:noProof/>
                <w:webHidden/>
              </w:rPr>
              <w:tab/>
            </w:r>
            <w:r>
              <w:rPr>
                <w:noProof/>
                <w:webHidden/>
              </w:rPr>
              <w:fldChar w:fldCharType="begin"/>
            </w:r>
            <w:r>
              <w:rPr>
                <w:noProof/>
                <w:webHidden/>
              </w:rPr>
              <w:instrText xml:space="preserve"> PAGEREF _Toc143505442 \h </w:instrText>
            </w:r>
            <w:r>
              <w:rPr>
                <w:noProof/>
                <w:webHidden/>
              </w:rPr>
            </w:r>
            <w:r>
              <w:rPr>
                <w:noProof/>
                <w:webHidden/>
              </w:rPr>
              <w:fldChar w:fldCharType="separate"/>
            </w:r>
            <w:r>
              <w:rPr>
                <w:noProof/>
                <w:webHidden/>
              </w:rPr>
              <w:t>21</w:t>
            </w:r>
            <w:r>
              <w:rPr>
                <w:noProof/>
                <w:webHidden/>
              </w:rPr>
              <w:fldChar w:fldCharType="end"/>
            </w:r>
          </w:hyperlink>
        </w:p>
        <w:p w14:paraId="2E122D9E" w14:textId="041F13D1" w:rsidR="00DC0C51" w:rsidRDefault="00DC0C51">
          <w:pPr>
            <w:pStyle w:val="TOC3"/>
            <w:tabs>
              <w:tab w:val="right" w:leader="dot" w:pos="9016"/>
            </w:tabs>
            <w:rPr>
              <w:rFonts w:asciiTheme="minorHAnsi" w:eastAsiaTheme="minorEastAsia" w:hAnsiTheme="minorHAnsi"/>
              <w:noProof/>
              <w:sz w:val="22"/>
              <w:lang w:eastAsia="en-GB"/>
            </w:rPr>
          </w:pPr>
          <w:hyperlink w:anchor="_Toc143505443" w:history="1">
            <w:r w:rsidRPr="00396877">
              <w:rPr>
                <w:rStyle w:val="Hyperlink"/>
                <w:noProof/>
              </w:rPr>
              <w:t>4.1.1 ICD-10 coding system changes</w:t>
            </w:r>
            <w:r>
              <w:rPr>
                <w:noProof/>
                <w:webHidden/>
              </w:rPr>
              <w:tab/>
            </w:r>
            <w:r>
              <w:rPr>
                <w:noProof/>
                <w:webHidden/>
              </w:rPr>
              <w:fldChar w:fldCharType="begin"/>
            </w:r>
            <w:r>
              <w:rPr>
                <w:noProof/>
                <w:webHidden/>
              </w:rPr>
              <w:instrText xml:space="preserve"> PAGEREF _Toc143505443 \h </w:instrText>
            </w:r>
            <w:r>
              <w:rPr>
                <w:noProof/>
                <w:webHidden/>
              </w:rPr>
            </w:r>
            <w:r>
              <w:rPr>
                <w:noProof/>
                <w:webHidden/>
              </w:rPr>
              <w:fldChar w:fldCharType="separate"/>
            </w:r>
            <w:r>
              <w:rPr>
                <w:noProof/>
                <w:webHidden/>
              </w:rPr>
              <w:t>22</w:t>
            </w:r>
            <w:r>
              <w:rPr>
                <w:noProof/>
                <w:webHidden/>
              </w:rPr>
              <w:fldChar w:fldCharType="end"/>
            </w:r>
          </w:hyperlink>
        </w:p>
        <w:p w14:paraId="0A6CCB30" w14:textId="661A488A" w:rsidR="00DC0C51" w:rsidRDefault="00DC0C51">
          <w:pPr>
            <w:pStyle w:val="TOC3"/>
            <w:tabs>
              <w:tab w:val="right" w:leader="dot" w:pos="9016"/>
            </w:tabs>
            <w:rPr>
              <w:rFonts w:asciiTheme="minorHAnsi" w:eastAsiaTheme="minorEastAsia" w:hAnsiTheme="minorHAnsi"/>
              <w:noProof/>
              <w:sz w:val="22"/>
              <w:lang w:eastAsia="en-GB"/>
            </w:rPr>
          </w:pPr>
          <w:hyperlink w:anchor="_Toc143505444" w:history="1">
            <w:r w:rsidRPr="00396877">
              <w:rPr>
                <w:rStyle w:val="Hyperlink"/>
                <w:noProof/>
              </w:rPr>
              <w:t>4.1.2 ONS Data</w:t>
            </w:r>
            <w:r>
              <w:rPr>
                <w:noProof/>
                <w:webHidden/>
              </w:rPr>
              <w:tab/>
            </w:r>
            <w:r>
              <w:rPr>
                <w:noProof/>
                <w:webHidden/>
              </w:rPr>
              <w:fldChar w:fldCharType="begin"/>
            </w:r>
            <w:r>
              <w:rPr>
                <w:noProof/>
                <w:webHidden/>
              </w:rPr>
              <w:instrText xml:space="preserve"> PAGEREF _Toc143505444 \h </w:instrText>
            </w:r>
            <w:r>
              <w:rPr>
                <w:noProof/>
                <w:webHidden/>
              </w:rPr>
            </w:r>
            <w:r>
              <w:rPr>
                <w:noProof/>
                <w:webHidden/>
              </w:rPr>
              <w:fldChar w:fldCharType="separate"/>
            </w:r>
            <w:r>
              <w:rPr>
                <w:noProof/>
                <w:webHidden/>
              </w:rPr>
              <w:t>22</w:t>
            </w:r>
            <w:r>
              <w:rPr>
                <w:noProof/>
                <w:webHidden/>
              </w:rPr>
              <w:fldChar w:fldCharType="end"/>
            </w:r>
          </w:hyperlink>
        </w:p>
        <w:p w14:paraId="0ABB9A2D" w14:textId="34639A52" w:rsidR="00DC0C51" w:rsidRDefault="00DC0C51">
          <w:pPr>
            <w:pStyle w:val="TOC2"/>
            <w:tabs>
              <w:tab w:val="right" w:leader="dot" w:pos="9016"/>
            </w:tabs>
            <w:rPr>
              <w:rFonts w:asciiTheme="minorHAnsi" w:eastAsiaTheme="minorEastAsia" w:hAnsiTheme="minorHAnsi"/>
              <w:noProof/>
              <w:sz w:val="22"/>
              <w:lang w:eastAsia="en-GB"/>
            </w:rPr>
          </w:pPr>
          <w:hyperlink w:anchor="_Toc143505445" w:history="1">
            <w:r w:rsidRPr="00396877">
              <w:rPr>
                <w:rStyle w:val="Hyperlink"/>
                <w:noProof/>
              </w:rPr>
              <w:t>4.2 Life tables</w:t>
            </w:r>
            <w:r>
              <w:rPr>
                <w:noProof/>
                <w:webHidden/>
              </w:rPr>
              <w:tab/>
            </w:r>
            <w:r>
              <w:rPr>
                <w:noProof/>
                <w:webHidden/>
              </w:rPr>
              <w:fldChar w:fldCharType="begin"/>
            </w:r>
            <w:r>
              <w:rPr>
                <w:noProof/>
                <w:webHidden/>
              </w:rPr>
              <w:instrText xml:space="preserve"> PAGEREF _Toc143505445 \h </w:instrText>
            </w:r>
            <w:r>
              <w:rPr>
                <w:noProof/>
                <w:webHidden/>
              </w:rPr>
            </w:r>
            <w:r>
              <w:rPr>
                <w:noProof/>
                <w:webHidden/>
              </w:rPr>
              <w:fldChar w:fldCharType="separate"/>
            </w:r>
            <w:r>
              <w:rPr>
                <w:noProof/>
                <w:webHidden/>
              </w:rPr>
              <w:t>23</w:t>
            </w:r>
            <w:r>
              <w:rPr>
                <w:noProof/>
                <w:webHidden/>
              </w:rPr>
              <w:fldChar w:fldCharType="end"/>
            </w:r>
          </w:hyperlink>
        </w:p>
        <w:p w14:paraId="5A166A7E" w14:textId="7F50C5FD" w:rsidR="00DC0C51" w:rsidRDefault="00DC0C51">
          <w:pPr>
            <w:pStyle w:val="TOC1"/>
            <w:tabs>
              <w:tab w:val="right" w:leader="dot" w:pos="9016"/>
            </w:tabs>
            <w:rPr>
              <w:rFonts w:asciiTheme="minorHAnsi" w:eastAsiaTheme="minorEastAsia" w:hAnsiTheme="minorHAnsi"/>
              <w:noProof/>
              <w:sz w:val="22"/>
              <w:lang w:eastAsia="en-GB"/>
            </w:rPr>
          </w:pPr>
          <w:hyperlink w:anchor="_Toc143505446" w:history="1">
            <w:r w:rsidRPr="00396877">
              <w:rPr>
                <w:rStyle w:val="Hyperlink"/>
                <w:noProof/>
              </w:rPr>
              <w:t>5 Timeliness and punctuality</w:t>
            </w:r>
            <w:r>
              <w:rPr>
                <w:noProof/>
                <w:webHidden/>
              </w:rPr>
              <w:tab/>
            </w:r>
            <w:r>
              <w:rPr>
                <w:noProof/>
                <w:webHidden/>
              </w:rPr>
              <w:fldChar w:fldCharType="begin"/>
            </w:r>
            <w:r>
              <w:rPr>
                <w:noProof/>
                <w:webHidden/>
              </w:rPr>
              <w:instrText xml:space="preserve"> PAGEREF _Toc143505446 \h </w:instrText>
            </w:r>
            <w:r>
              <w:rPr>
                <w:noProof/>
                <w:webHidden/>
              </w:rPr>
            </w:r>
            <w:r>
              <w:rPr>
                <w:noProof/>
                <w:webHidden/>
              </w:rPr>
              <w:fldChar w:fldCharType="separate"/>
            </w:r>
            <w:r>
              <w:rPr>
                <w:noProof/>
                <w:webHidden/>
              </w:rPr>
              <w:t>24</w:t>
            </w:r>
            <w:r>
              <w:rPr>
                <w:noProof/>
                <w:webHidden/>
              </w:rPr>
              <w:fldChar w:fldCharType="end"/>
            </w:r>
          </w:hyperlink>
        </w:p>
        <w:p w14:paraId="29003BD1" w14:textId="07B62D5F" w:rsidR="00DC0C51" w:rsidRDefault="00DC0C51">
          <w:pPr>
            <w:pStyle w:val="TOC2"/>
            <w:tabs>
              <w:tab w:val="right" w:leader="dot" w:pos="9016"/>
            </w:tabs>
            <w:rPr>
              <w:rFonts w:asciiTheme="minorHAnsi" w:eastAsiaTheme="minorEastAsia" w:hAnsiTheme="minorHAnsi"/>
              <w:noProof/>
              <w:sz w:val="22"/>
              <w:lang w:eastAsia="en-GB"/>
            </w:rPr>
          </w:pPr>
          <w:hyperlink w:anchor="_Toc143505447" w:history="1">
            <w:r w:rsidRPr="00396877">
              <w:rPr>
                <w:rStyle w:val="Hyperlink"/>
                <w:noProof/>
              </w:rPr>
              <w:t>5.1 Incidence and survival</w:t>
            </w:r>
            <w:r>
              <w:rPr>
                <w:noProof/>
                <w:webHidden/>
              </w:rPr>
              <w:tab/>
            </w:r>
            <w:r>
              <w:rPr>
                <w:noProof/>
                <w:webHidden/>
              </w:rPr>
              <w:fldChar w:fldCharType="begin"/>
            </w:r>
            <w:r>
              <w:rPr>
                <w:noProof/>
                <w:webHidden/>
              </w:rPr>
              <w:instrText xml:space="preserve"> PAGEREF _Toc143505447 \h </w:instrText>
            </w:r>
            <w:r>
              <w:rPr>
                <w:noProof/>
                <w:webHidden/>
              </w:rPr>
            </w:r>
            <w:r>
              <w:rPr>
                <w:noProof/>
                <w:webHidden/>
              </w:rPr>
              <w:fldChar w:fldCharType="separate"/>
            </w:r>
            <w:r>
              <w:rPr>
                <w:noProof/>
                <w:webHidden/>
              </w:rPr>
              <w:t>24</w:t>
            </w:r>
            <w:r>
              <w:rPr>
                <w:noProof/>
                <w:webHidden/>
              </w:rPr>
              <w:fldChar w:fldCharType="end"/>
            </w:r>
          </w:hyperlink>
        </w:p>
        <w:p w14:paraId="090384D1" w14:textId="3C2DD56C" w:rsidR="00DC0C51" w:rsidRDefault="00DC0C51">
          <w:pPr>
            <w:pStyle w:val="TOC2"/>
            <w:tabs>
              <w:tab w:val="right" w:leader="dot" w:pos="9016"/>
            </w:tabs>
            <w:rPr>
              <w:rFonts w:asciiTheme="minorHAnsi" w:eastAsiaTheme="minorEastAsia" w:hAnsiTheme="minorHAnsi"/>
              <w:noProof/>
              <w:sz w:val="22"/>
              <w:lang w:eastAsia="en-GB"/>
            </w:rPr>
          </w:pPr>
          <w:hyperlink w:anchor="_Toc143505448" w:history="1">
            <w:r w:rsidRPr="00396877">
              <w:rPr>
                <w:rStyle w:val="Hyperlink"/>
                <w:noProof/>
              </w:rPr>
              <w:t>5.2 Mortality</w:t>
            </w:r>
            <w:r>
              <w:rPr>
                <w:noProof/>
                <w:webHidden/>
              </w:rPr>
              <w:tab/>
            </w:r>
            <w:r>
              <w:rPr>
                <w:noProof/>
                <w:webHidden/>
              </w:rPr>
              <w:fldChar w:fldCharType="begin"/>
            </w:r>
            <w:r>
              <w:rPr>
                <w:noProof/>
                <w:webHidden/>
              </w:rPr>
              <w:instrText xml:space="preserve"> PAGEREF _Toc143505448 \h </w:instrText>
            </w:r>
            <w:r>
              <w:rPr>
                <w:noProof/>
                <w:webHidden/>
              </w:rPr>
            </w:r>
            <w:r>
              <w:rPr>
                <w:noProof/>
                <w:webHidden/>
              </w:rPr>
              <w:fldChar w:fldCharType="separate"/>
            </w:r>
            <w:r>
              <w:rPr>
                <w:noProof/>
                <w:webHidden/>
              </w:rPr>
              <w:t>24</w:t>
            </w:r>
            <w:r>
              <w:rPr>
                <w:noProof/>
                <w:webHidden/>
              </w:rPr>
              <w:fldChar w:fldCharType="end"/>
            </w:r>
          </w:hyperlink>
        </w:p>
        <w:p w14:paraId="670AE8C4" w14:textId="5FB77C44" w:rsidR="00DC0C51" w:rsidRDefault="00DC0C51">
          <w:pPr>
            <w:pStyle w:val="TOC1"/>
            <w:tabs>
              <w:tab w:val="right" w:leader="dot" w:pos="9016"/>
            </w:tabs>
            <w:rPr>
              <w:rFonts w:asciiTheme="minorHAnsi" w:eastAsiaTheme="minorEastAsia" w:hAnsiTheme="minorHAnsi"/>
              <w:noProof/>
              <w:sz w:val="22"/>
              <w:lang w:eastAsia="en-GB"/>
            </w:rPr>
          </w:pPr>
          <w:hyperlink w:anchor="_Toc143505449" w:history="1">
            <w:r w:rsidRPr="00396877">
              <w:rPr>
                <w:rStyle w:val="Hyperlink"/>
                <w:noProof/>
              </w:rPr>
              <w:t>6 Accessibility and clarity</w:t>
            </w:r>
            <w:r>
              <w:rPr>
                <w:noProof/>
                <w:webHidden/>
              </w:rPr>
              <w:tab/>
            </w:r>
            <w:r>
              <w:rPr>
                <w:noProof/>
                <w:webHidden/>
              </w:rPr>
              <w:fldChar w:fldCharType="begin"/>
            </w:r>
            <w:r>
              <w:rPr>
                <w:noProof/>
                <w:webHidden/>
              </w:rPr>
              <w:instrText xml:space="preserve"> PAGEREF _Toc143505449 \h </w:instrText>
            </w:r>
            <w:r>
              <w:rPr>
                <w:noProof/>
                <w:webHidden/>
              </w:rPr>
            </w:r>
            <w:r>
              <w:rPr>
                <w:noProof/>
                <w:webHidden/>
              </w:rPr>
              <w:fldChar w:fldCharType="separate"/>
            </w:r>
            <w:r>
              <w:rPr>
                <w:noProof/>
                <w:webHidden/>
              </w:rPr>
              <w:t>24</w:t>
            </w:r>
            <w:r>
              <w:rPr>
                <w:noProof/>
                <w:webHidden/>
              </w:rPr>
              <w:fldChar w:fldCharType="end"/>
            </w:r>
          </w:hyperlink>
        </w:p>
        <w:p w14:paraId="289092CD" w14:textId="29483765" w:rsidR="00DC0C51" w:rsidRDefault="00DC0C51">
          <w:pPr>
            <w:pStyle w:val="TOC1"/>
            <w:tabs>
              <w:tab w:val="right" w:leader="dot" w:pos="9016"/>
            </w:tabs>
            <w:rPr>
              <w:rFonts w:asciiTheme="minorHAnsi" w:eastAsiaTheme="minorEastAsia" w:hAnsiTheme="minorHAnsi"/>
              <w:noProof/>
              <w:sz w:val="22"/>
              <w:lang w:eastAsia="en-GB"/>
            </w:rPr>
          </w:pPr>
          <w:hyperlink w:anchor="_Toc143505450" w:history="1">
            <w:r w:rsidRPr="00396877">
              <w:rPr>
                <w:rStyle w:val="Hyperlink"/>
                <w:noProof/>
              </w:rPr>
              <w:t>7 Comparability and coherence</w:t>
            </w:r>
            <w:r>
              <w:rPr>
                <w:noProof/>
                <w:webHidden/>
              </w:rPr>
              <w:tab/>
            </w:r>
            <w:r>
              <w:rPr>
                <w:noProof/>
                <w:webHidden/>
              </w:rPr>
              <w:fldChar w:fldCharType="begin"/>
            </w:r>
            <w:r>
              <w:rPr>
                <w:noProof/>
                <w:webHidden/>
              </w:rPr>
              <w:instrText xml:space="preserve"> PAGEREF _Toc143505450 \h </w:instrText>
            </w:r>
            <w:r>
              <w:rPr>
                <w:noProof/>
                <w:webHidden/>
              </w:rPr>
            </w:r>
            <w:r>
              <w:rPr>
                <w:noProof/>
                <w:webHidden/>
              </w:rPr>
              <w:fldChar w:fldCharType="separate"/>
            </w:r>
            <w:r>
              <w:rPr>
                <w:noProof/>
                <w:webHidden/>
              </w:rPr>
              <w:t>25</w:t>
            </w:r>
            <w:r>
              <w:rPr>
                <w:noProof/>
                <w:webHidden/>
              </w:rPr>
              <w:fldChar w:fldCharType="end"/>
            </w:r>
          </w:hyperlink>
        </w:p>
        <w:p w14:paraId="4D5C9604" w14:textId="464ED3C7" w:rsidR="00DC0C51" w:rsidRDefault="00DC0C51">
          <w:pPr>
            <w:pStyle w:val="TOC1"/>
            <w:tabs>
              <w:tab w:val="right" w:leader="dot" w:pos="9016"/>
            </w:tabs>
            <w:rPr>
              <w:rFonts w:asciiTheme="minorHAnsi" w:eastAsiaTheme="minorEastAsia" w:hAnsiTheme="minorHAnsi"/>
              <w:noProof/>
              <w:sz w:val="22"/>
              <w:lang w:eastAsia="en-GB"/>
            </w:rPr>
          </w:pPr>
          <w:hyperlink w:anchor="_Toc143505451" w:history="1">
            <w:r w:rsidRPr="00396877">
              <w:rPr>
                <w:rStyle w:val="Hyperlink"/>
                <w:noProof/>
              </w:rPr>
              <w:t>8 Legislation</w:t>
            </w:r>
            <w:r>
              <w:rPr>
                <w:noProof/>
                <w:webHidden/>
              </w:rPr>
              <w:tab/>
            </w:r>
            <w:r>
              <w:rPr>
                <w:noProof/>
                <w:webHidden/>
              </w:rPr>
              <w:fldChar w:fldCharType="begin"/>
            </w:r>
            <w:r>
              <w:rPr>
                <w:noProof/>
                <w:webHidden/>
              </w:rPr>
              <w:instrText xml:space="preserve"> PAGEREF _Toc143505451 \h </w:instrText>
            </w:r>
            <w:r>
              <w:rPr>
                <w:noProof/>
                <w:webHidden/>
              </w:rPr>
            </w:r>
            <w:r>
              <w:rPr>
                <w:noProof/>
                <w:webHidden/>
              </w:rPr>
              <w:fldChar w:fldCharType="separate"/>
            </w:r>
            <w:r>
              <w:rPr>
                <w:noProof/>
                <w:webHidden/>
              </w:rPr>
              <w:t>26</w:t>
            </w:r>
            <w:r>
              <w:rPr>
                <w:noProof/>
                <w:webHidden/>
              </w:rPr>
              <w:fldChar w:fldCharType="end"/>
            </w:r>
          </w:hyperlink>
        </w:p>
        <w:p w14:paraId="73F40598" w14:textId="6B3C6474" w:rsidR="00DC0C51" w:rsidRDefault="00DC0C51">
          <w:pPr>
            <w:pStyle w:val="TOC1"/>
            <w:tabs>
              <w:tab w:val="right" w:leader="dot" w:pos="9016"/>
            </w:tabs>
            <w:rPr>
              <w:rFonts w:asciiTheme="minorHAnsi" w:eastAsiaTheme="minorEastAsia" w:hAnsiTheme="minorHAnsi"/>
              <w:noProof/>
              <w:sz w:val="22"/>
              <w:lang w:eastAsia="en-GB"/>
            </w:rPr>
          </w:pPr>
          <w:hyperlink w:anchor="_Toc143505452" w:history="1">
            <w:r w:rsidRPr="00396877">
              <w:rPr>
                <w:rStyle w:val="Hyperlink"/>
                <w:noProof/>
              </w:rPr>
              <w:t>9 Glossary</w:t>
            </w:r>
            <w:r>
              <w:rPr>
                <w:noProof/>
                <w:webHidden/>
              </w:rPr>
              <w:tab/>
            </w:r>
            <w:r>
              <w:rPr>
                <w:noProof/>
                <w:webHidden/>
              </w:rPr>
              <w:fldChar w:fldCharType="begin"/>
            </w:r>
            <w:r>
              <w:rPr>
                <w:noProof/>
                <w:webHidden/>
              </w:rPr>
              <w:instrText xml:space="preserve"> PAGEREF _Toc143505452 \h </w:instrText>
            </w:r>
            <w:r>
              <w:rPr>
                <w:noProof/>
                <w:webHidden/>
              </w:rPr>
            </w:r>
            <w:r>
              <w:rPr>
                <w:noProof/>
                <w:webHidden/>
              </w:rPr>
              <w:fldChar w:fldCharType="separate"/>
            </w:r>
            <w:r>
              <w:rPr>
                <w:noProof/>
                <w:webHidden/>
              </w:rPr>
              <w:t>28</w:t>
            </w:r>
            <w:r>
              <w:rPr>
                <w:noProof/>
                <w:webHidden/>
              </w:rPr>
              <w:fldChar w:fldCharType="end"/>
            </w:r>
          </w:hyperlink>
        </w:p>
        <w:p w14:paraId="738798DE" w14:textId="18CC923D" w:rsidR="00DC0C51" w:rsidRDefault="00DC0C51">
          <w:pPr>
            <w:pStyle w:val="TOC1"/>
            <w:tabs>
              <w:tab w:val="right" w:leader="dot" w:pos="9016"/>
            </w:tabs>
            <w:rPr>
              <w:rFonts w:asciiTheme="minorHAnsi" w:eastAsiaTheme="minorEastAsia" w:hAnsiTheme="minorHAnsi"/>
              <w:noProof/>
              <w:sz w:val="22"/>
              <w:lang w:eastAsia="en-GB"/>
            </w:rPr>
          </w:pPr>
          <w:hyperlink w:anchor="_Toc143505453" w:history="1">
            <w:r w:rsidRPr="00396877">
              <w:rPr>
                <w:rStyle w:val="Hyperlink"/>
                <w:noProof/>
              </w:rPr>
              <w:t>10 Appendix A</w:t>
            </w:r>
            <w:r>
              <w:rPr>
                <w:noProof/>
                <w:webHidden/>
              </w:rPr>
              <w:tab/>
            </w:r>
            <w:r>
              <w:rPr>
                <w:noProof/>
                <w:webHidden/>
              </w:rPr>
              <w:fldChar w:fldCharType="begin"/>
            </w:r>
            <w:r>
              <w:rPr>
                <w:noProof/>
                <w:webHidden/>
              </w:rPr>
              <w:instrText xml:space="preserve"> PAGEREF _Toc143505453 \h </w:instrText>
            </w:r>
            <w:r>
              <w:rPr>
                <w:noProof/>
                <w:webHidden/>
              </w:rPr>
            </w:r>
            <w:r>
              <w:rPr>
                <w:noProof/>
                <w:webHidden/>
              </w:rPr>
              <w:fldChar w:fldCharType="separate"/>
            </w:r>
            <w:r>
              <w:rPr>
                <w:noProof/>
                <w:webHidden/>
              </w:rPr>
              <w:t>29</w:t>
            </w:r>
            <w:r>
              <w:rPr>
                <w:noProof/>
                <w:webHidden/>
              </w:rPr>
              <w:fldChar w:fldCharType="end"/>
            </w:r>
          </w:hyperlink>
        </w:p>
        <w:p w14:paraId="34007835" w14:textId="5E3F9400" w:rsidR="00DC0C51" w:rsidRDefault="00DC0C51">
          <w:pPr>
            <w:pStyle w:val="TOC2"/>
            <w:tabs>
              <w:tab w:val="right" w:leader="dot" w:pos="9016"/>
            </w:tabs>
            <w:rPr>
              <w:rFonts w:asciiTheme="minorHAnsi" w:eastAsiaTheme="minorEastAsia" w:hAnsiTheme="minorHAnsi"/>
              <w:noProof/>
              <w:sz w:val="22"/>
              <w:lang w:eastAsia="en-GB"/>
            </w:rPr>
          </w:pPr>
          <w:hyperlink w:anchor="_Toc143505454" w:history="1">
            <w:r w:rsidRPr="00396877">
              <w:rPr>
                <w:rStyle w:val="Hyperlink"/>
                <w:noProof/>
              </w:rPr>
              <w:t>10.1 Cancer type map</w:t>
            </w:r>
            <w:r>
              <w:rPr>
                <w:noProof/>
                <w:webHidden/>
              </w:rPr>
              <w:tab/>
            </w:r>
            <w:r>
              <w:rPr>
                <w:noProof/>
                <w:webHidden/>
              </w:rPr>
              <w:fldChar w:fldCharType="begin"/>
            </w:r>
            <w:r>
              <w:rPr>
                <w:noProof/>
                <w:webHidden/>
              </w:rPr>
              <w:instrText xml:space="preserve"> PAGEREF _Toc143505454 \h </w:instrText>
            </w:r>
            <w:r>
              <w:rPr>
                <w:noProof/>
                <w:webHidden/>
              </w:rPr>
            </w:r>
            <w:r>
              <w:rPr>
                <w:noProof/>
                <w:webHidden/>
              </w:rPr>
              <w:fldChar w:fldCharType="separate"/>
            </w:r>
            <w:r>
              <w:rPr>
                <w:noProof/>
                <w:webHidden/>
              </w:rPr>
              <w:t>29</w:t>
            </w:r>
            <w:r>
              <w:rPr>
                <w:noProof/>
                <w:webHidden/>
              </w:rPr>
              <w:fldChar w:fldCharType="end"/>
            </w:r>
          </w:hyperlink>
        </w:p>
        <w:p w14:paraId="111050F7" w14:textId="585C734D" w:rsidR="00DC0C51" w:rsidRDefault="00DC0C51">
          <w:pPr>
            <w:pStyle w:val="TOC1"/>
            <w:tabs>
              <w:tab w:val="right" w:leader="dot" w:pos="9016"/>
            </w:tabs>
            <w:rPr>
              <w:rFonts w:asciiTheme="minorHAnsi" w:eastAsiaTheme="minorEastAsia" w:hAnsiTheme="minorHAnsi"/>
              <w:noProof/>
              <w:sz w:val="22"/>
              <w:lang w:eastAsia="en-GB"/>
            </w:rPr>
          </w:pPr>
          <w:hyperlink w:anchor="_Toc143505455" w:history="1">
            <w:r w:rsidRPr="00396877">
              <w:rPr>
                <w:rStyle w:val="Hyperlink"/>
                <w:noProof/>
              </w:rPr>
              <w:t>11 Appendix B</w:t>
            </w:r>
            <w:r>
              <w:rPr>
                <w:noProof/>
                <w:webHidden/>
              </w:rPr>
              <w:tab/>
            </w:r>
            <w:r>
              <w:rPr>
                <w:noProof/>
                <w:webHidden/>
              </w:rPr>
              <w:fldChar w:fldCharType="begin"/>
            </w:r>
            <w:r>
              <w:rPr>
                <w:noProof/>
                <w:webHidden/>
              </w:rPr>
              <w:instrText xml:space="preserve"> PAGEREF _Toc143505455 \h </w:instrText>
            </w:r>
            <w:r>
              <w:rPr>
                <w:noProof/>
                <w:webHidden/>
              </w:rPr>
            </w:r>
            <w:r>
              <w:rPr>
                <w:noProof/>
                <w:webHidden/>
              </w:rPr>
              <w:fldChar w:fldCharType="separate"/>
            </w:r>
            <w:r>
              <w:rPr>
                <w:noProof/>
                <w:webHidden/>
              </w:rPr>
              <w:t>30</w:t>
            </w:r>
            <w:r>
              <w:rPr>
                <w:noProof/>
                <w:webHidden/>
              </w:rPr>
              <w:fldChar w:fldCharType="end"/>
            </w:r>
          </w:hyperlink>
        </w:p>
        <w:p w14:paraId="39FEC0B0" w14:textId="50E74155" w:rsidR="00DC0C51" w:rsidRDefault="00DC0C51">
          <w:pPr>
            <w:pStyle w:val="TOC2"/>
            <w:tabs>
              <w:tab w:val="right" w:leader="dot" w:pos="9016"/>
            </w:tabs>
            <w:rPr>
              <w:rFonts w:asciiTheme="minorHAnsi" w:eastAsiaTheme="minorEastAsia" w:hAnsiTheme="minorHAnsi"/>
              <w:noProof/>
              <w:sz w:val="22"/>
              <w:lang w:eastAsia="en-GB"/>
            </w:rPr>
          </w:pPr>
          <w:hyperlink w:anchor="_Toc143505456" w:history="1">
            <w:r w:rsidRPr="00396877">
              <w:rPr>
                <w:rStyle w:val="Hyperlink"/>
                <w:noProof/>
              </w:rPr>
              <w:t>11.1 International Classification of Standard Weights (ICSS)</w:t>
            </w:r>
            <w:r>
              <w:rPr>
                <w:noProof/>
                <w:webHidden/>
              </w:rPr>
              <w:tab/>
            </w:r>
            <w:r>
              <w:rPr>
                <w:noProof/>
                <w:webHidden/>
              </w:rPr>
              <w:fldChar w:fldCharType="begin"/>
            </w:r>
            <w:r>
              <w:rPr>
                <w:noProof/>
                <w:webHidden/>
              </w:rPr>
              <w:instrText xml:space="preserve"> PAGEREF _Toc143505456 \h </w:instrText>
            </w:r>
            <w:r>
              <w:rPr>
                <w:noProof/>
                <w:webHidden/>
              </w:rPr>
            </w:r>
            <w:r>
              <w:rPr>
                <w:noProof/>
                <w:webHidden/>
              </w:rPr>
              <w:fldChar w:fldCharType="separate"/>
            </w:r>
            <w:r>
              <w:rPr>
                <w:noProof/>
                <w:webHidden/>
              </w:rPr>
              <w:t>30</w:t>
            </w:r>
            <w:r>
              <w:rPr>
                <w:noProof/>
                <w:webHidden/>
              </w:rPr>
              <w:fldChar w:fldCharType="end"/>
            </w:r>
          </w:hyperlink>
        </w:p>
        <w:p w14:paraId="7D32F92C" w14:textId="5C62A7DA" w:rsidR="00DC0C51" w:rsidRDefault="00DC0C51">
          <w:pPr>
            <w:pStyle w:val="TOC1"/>
            <w:tabs>
              <w:tab w:val="right" w:leader="dot" w:pos="9016"/>
            </w:tabs>
            <w:rPr>
              <w:rFonts w:asciiTheme="minorHAnsi" w:eastAsiaTheme="minorEastAsia" w:hAnsiTheme="minorHAnsi"/>
              <w:noProof/>
              <w:sz w:val="22"/>
              <w:lang w:eastAsia="en-GB"/>
            </w:rPr>
          </w:pPr>
          <w:hyperlink w:anchor="_Toc143505457" w:history="1">
            <w:r w:rsidRPr="00396877">
              <w:rPr>
                <w:rStyle w:val="Hyperlink"/>
                <w:noProof/>
              </w:rPr>
              <w:t>12 Appendix C</w:t>
            </w:r>
            <w:r>
              <w:rPr>
                <w:noProof/>
                <w:webHidden/>
              </w:rPr>
              <w:tab/>
            </w:r>
            <w:r>
              <w:rPr>
                <w:noProof/>
                <w:webHidden/>
              </w:rPr>
              <w:fldChar w:fldCharType="begin"/>
            </w:r>
            <w:r>
              <w:rPr>
                <w:noProof/>
                <w:webHidden/>
              </w:rPr>
              <w:instrText xml:space="preserve"> PAGEREF _Toc143505457 \h </w:instrText>
            </w:r>
            <w:r>
              <w:rPr>
                <w:noProof/>
                <w:webHidden/>
              </w:rPr>
            </w:r>
            <w:r>
              <w:rPr>
                <w:noProof/>
                <w:webHidden/>
              </w:rPr>
              <w:fldChar w:fldCharType="separate"/>
            </w:r>
            <w:r>
              <w:rPr>
                <w:noProof/>
                <w:webHidden/>
              </w:rPr>
              <w:t>31</w:t>
            </w:r>
            <w:r>
              <w:rPr>
                <w:noProof/>
                <w:webHidden/>
              </w:rPr>
              <w:fldChar w:fldCharType="end"/>
            </w:r>
          </w:hyperlink>
        </w:p>
        <w:p w14:paraId="278E1A00" w14:textId="551DF9B0" w:rsidR="00DC0C51" w:rsidRDefault="00DC0C51">
          <w:pPr>
            <w:pStyle w:val="TOC2"/>
            <w:tabs>
              <w:tab w:val="right" w:leader="dot" w:pos="9016"/>
            </w:tabs>
            <w:rPr>
              <w:rFonts w:asciiTheme="minorHAnsi" w:eastAsiaTheme="minorEastAsia" w:hAnsiTheme="minorHAnsi"/>
              <w:noProof/>
              <w:sz w:val="22"/>
              <w:lang w:eastAsia="en-GB"/>
            </w:rPr>
          </w:pPr>
          <w:hyperlink w:anchor="_Toc143505458" w:history="1">
            <w:r w:rsidRPr="00396877">
              <w:rPr>
                <w:rStyle w:val="Hyperlink"/>
                <w:noProof/>
              </w:rPr>
              <w:t>12.1 List of cancer groups used for de-duplication of pathology data</w:t>
            </w:r>
            <w:r>
              <w:rPr>
                <w:noProof/>
                <w:webHidden/>
              </w:rPr>
              <w:tab/>
            </w:r>
            <w:r>
              <w:rPr>
                <w:noProof/>
                <w:webHidden/>
              </w:rPr>
              <w:fldChar w:fldCharType="begin"/>
            </w:r>
            <w:r>
              <w:rPr>
                <w:noProof/>
                <w:webHidden/>
              </w:rPr>
              <w:instrText xml:space="preserve"> PAGEREF _Toc143505458 \h </w:instrText>
            </w:r>
            <w:r>
              <w:rPr>
                <w:noProof/>
                <w:webHidden/>
              </w:rPr>
            </w:r>
            <w:r>
              <w:rPr>
                <w:noProof/>
                <w:webHidden/>
              </w:rPr>
              <w:fldChar w:fldCharType="separate"/>
            </w:r>
            <w:r>
              <w:rPr>
                <w:noProof/>
                <w:webHidden/>
              </w:rPr>
              <w:t>31</w:t>
            </w:r>
            <w:r>
              <w:rPr>
                <w:noProof/>
                <w:webHidden/>
              </w:rPr>
              <w:fldChar w:fldCharType="end"/>
            </w:r>
          </w:hyperlink>
        </w:p>
        <w:p w14:paraId="11884626" w14:textId="5CF3E436" w:rsidR="00DC0C51" w:rsidRDefault="00DC0C51">
          <w:pPr>
            <w:pStyle w:val="TOC1"/>
            <w:tabs>
              <w:tab w:val="right" w:leader="dot" w:pos="9016"/>
            </w:tabs>
            <w:rPr>
              <w:rFonts w:asciiTheme="minorHAnsi" w:eastAsiaTheme="minorEastAsia" w:hAnsiTheme="minorHAnsi"/>
              <w:noProof/>
              <w:sz w:val="22"/>
              <w:lang w:eastAsia="en-GB"/>
            </w:rPr>
          </w:pPr>
          <w:hyperlink w:anchor="_Toc143505459" w:history="1">
            <w:r w:rsidRPr="00396877">
              <w:rPr>
                <w:rStyle w:val="Hyperlink"/>
                <w:noProof/>
              </w:rPr>
              <w:t>13 Appendix D</w:t>
            </w:r>
            <w:r>
              <w:rPr>
                <w:noProof/>
                <w:webHidden/>
              </w:rPr>
              <w:tab/>
            </w:r>
            <w:r>
              <w:rPr>
                <w:noProof/>
                <w:webHidden/>
              </w:rPr>
              <w:fldChar w:fldCharType="begin"/>
            </w:r>
            <w:r>
              <w:rPr>
                <w:noProof/>
                <w:webHidden/>
              </w:rPr>
              <w:instrText xml:space="preserve"> PAGEREF _Toc143505459 \h </w:instrText>
            </w:r>
            <w:r>
              <w:rPr>
                <w:noProof/>
                <w:webHidden/>
              </w:rPr>
            </w:r>
            <w:r>
              <w:rPr>
                <w:noProof/>
                <w:webHidden/>
              </w:rPr>
              <w:fldChar w:fldCharType="separate"/>
            </w:r>
            <w:r>
              <w:rPr>
                <w:noProof/>
                <w:webHidden/>
              </w:rPr>
              <w:t>32</w:t>
            </w:r>
            <w:r>
              <w:rPr>
                <w:noProof/>
                <w:webHidden/>
              </w:rPr>
              <w:fldChar w:fldCharType="end"/>
            </w:r>
          </w:hyperlink>
        </w:p>
        <w:p w14:paraId="33F7D29B" w14:textId="4B0F4B9C" w:rsidR="00DC0C51" w:rsidRDefault="00DC0C51">
          <w:pPr>
            <w:pStyle w:val="TOC2"/>
            <w:tabs>
              <w:tab w:val="right" w:leader="dot" w:pos="9016"/>
            </w:tabs>
            <w:rPr>
              <w:rFonts w:asciiTheme="minorHAnsi" w:eastAsiaTheme="minorEastAsia" w:hAnsiTheme="minorHAnsi"/>
              <w:noProof/>
              <w:sz w:val="22"/>
              <w:lang w:eastAsia="en-GB"/>
            </w:rPr>
          </w:pPr>
          <w:hyperlink w:anchor="_Toc143505460" w:history="1">
            <w:r w:rsidRPr="00396877">
              <w:rPr>
                <w:rStyle w:val="Hyperlink"/>
                <w:noProof/>
              </w:rPr>
              <w:t>13.1 Monthly pathology samples vs cancer registration data</w:t>
            </w:r>
            <w:r>
              <w:rPr>
                <w:noProof/>
                <w:webHidden/>
              </w:rPr>
              <w:tab/>
            </w:r>
            <w:r>
              <w:rPr>
                <w:noProof/>
                <w:webHidden/>
              </w:rPr>
              <w:fldChar w:fldCharType="begin"/>
            </w:r>
            <w:r>
              <w:rPr>
                <w:noProof/>
                <w:webHidden/>
              </w:rPr>
              <w:instrText xml:space="preserve"> PAGEREF _Toc143505460 \h </w:instrText>
            </w:r>
            <w:r>
              <w:rPr>
                <w:noProof/>
                <w:webHidden/>
              </w:rPr>
            </w:r>
            <w:r>
              <w:rPr>
                <w:noProof/>
                <w:webHidden/>
              </w:rPr>
              <w:fldChar w:fldCharType="separate"/>
            </w:r>
            <w:r>
              <w:rPr>
                <w:noProof/>
                <w:webHidden/>
              </w:rPr>
              <w:t>32</w:t>
            </w:r>
            <w:r>
              <w:rPr>
                <w:noProof/>
                <w:webHidden/>
              </w:rPr>
              <w:fldChar w:fldCharType="end"/>
            </w:r>
          </w:hyperlink>
        </w:p>
        <w:p w14:paraId="455763FE" w14:textId="05B1DEFA" w:rsidR="00DC0C51" w:rsidRDefault="00DC0C51">
          <w:pPr>
            <w:pStyle w:val="TOC1"/>
            <w:tabs>
              <w:tab w:val="right" w:leader="dot" w:pos="9016"/>
            </w:tabs>
            <w:rPr>
              <w:rFonts w:asciiTheme="minorHAnsi" w:eastAsiaTheme="minorEastAsia" w:hAnsiTheme="minorHAnsi"/>
              <w:noProof/>
              <w:sz w:val="22"/>
              <w:lang w:eastAsia="en-GB"/>
            </w:rPr>
          </w:pPr>
          <w:hyperlink w:anchor="_Toc143505461" w:history="1">
            <w:r w:rsidRPr="00396877">
              <w:rPr>
                <w:rStyle w:val="Hyperlink"/>
                <w:noProof/>
              </w:rPr>
              <w:t>14 Appendix E</w:t>
            </w:r>
            <w:r>
              <w:rPr>
                <w:noProof/>
                <w:webHidden/>
              </w:rPr>
              <w:tab/>
            </w:r>
            <w:r>
              <w:rPr>
                <w:noProof/>
                <w:webHidden/>
              </w:rPr>
              <w:fldChar w:fldCharType="begin"/>
            </w:r>
            <w:r>
              <w:rPr>
                <w:noProof/>
                <w:webHidden/>
              </w:rPr>
              <w:instrText xml:space="preserve"> PAGEREF _Toc143505461 \h </w:instrText>
            </w:r>
            <w:r>
              <w:rPr>
                <w:noProof/>
                <w:webHidden/>
              </w:rPr>
            </w:r>
            <w:r>
              <w:rPr>
                <w:noProof/>
                <w:webHidden/>
              </w:rPr>
              <w:fldChar w:fldCharType="separate"/>
            </w:r>
            <w:r>
              <w:rPr>
                <w:noProof/>
                <w:webHidden/>
              </w:rPr>
              <w:t>35</w:t>
            </w:r>
            <w:r>
              <w:rPr>
                <w:noProof/>
                <w:webHidden/>
              </w:rPr>
              <w:fldChar w:fldCharType="end"/>
            </w:r>
          </w:hyperlink>
        </w:p>
        <w:p w14:paraId="44A3DF64" w14:textId="1308A7C0" w:rsidR="00DC0C51" w:rsidRDefault="00DC0C51">
          <w:pPr>
            <w:pStyle w:val="TOC2"/>
            <w:tabs>
              <w:tab w:val="right" w:leader="dot" w:pos="9016"/>
            </w:tabs>
            <w:rPr>
              <w:rFonts w:asciiTheme="minorHAnsi" w:eastAsiaTheme="minorEastAsia" w:hAnsiTheme="minorHAnsi"/>
              <w:noProof/>
              <w:sz w:val="22"/>
              <w:lang w:eastAsia="en-GB"/>
            </w:rPr>
          </w:pPr>
          <w:hyperlink w:anchor="_Toc143505462" w:history="1">
            <w:r w:rsidRPr="00396877">
              <w:rPr>
                <w:rStyle w:val="Hyperlink"/>
                <w:noProof/>
              </w:rPr>
              <w:t>14.1 2013 European Standard Population</w:t>
            </w:r>
            <w:r>
              <w:rPr>
                <w:noProof/>
                <w:webHidden/>
              </w:rPr>
              <w:tab/>
            </w:r>
            <w:r>
              <w:rPr>
                <w:noProof/>
                <w:webHidden/>
              </w:rPr>
              <w:fldChar w:fldCharType="begin"/>
            </w:r>
            <w:r>
              <w:rPr>
                <w:noProof/>
                <w:webHidden/>
              </w:rPr>
              <w:instrText xml:space="preserve"> PAGEREF _Toc143505462 \h </w:instrText>
            </w:r>
            <w:r>
              <w:rPr>
                <w:noProof/>
                <w:webHidden/>
              </w:rPr>
            </w:r>
            <w:r>
              <w:rPr>
                <w:noProof/>
                <w:webHidden/>
              </w:rPr>
              <w:fldChar w:fldCharType="separate"/>
            </w:r>
            <w:r>
              <w:rPr>
                <w:noProof/>
                <w:webHidden/>
              </w:rPr>
              <w:t>35</w:t>
            </w:r>
            <w:r>
              <w:rPr>
                <w:noProof/>
                <w:webHidden/>
              </w:rPr>
              <w:fldChar w:fldCharType="end"/>
            </w:r>
          </w:hyperlink>
        </w:p>
        <w:p w14:paraId="2BD51F39" w14:textId="5DBDCA2E" w:rsidR="00317A89" w:rsidRDefault="007102E8" w:rsidP="00317A89">
          <w:pPr>
            <w:jc w:val="both"/>
          </w:pPr>
          <w:r>
            <w:rPr>
              <w:b/>
              <w:bCs/>
              <w:noProof/>
            </w:rPr>
            <w:fldChar w:fldCharType="end"/>
          </w:r>
        </w:p>
      </w:sdtContent>
    </w:sdt>
    <w:p w14:paraId="51535C39" w14:textId="153E5B31" w:rsidR="00D8147D" w:rsidRDefault="00D8147D" w:rsidP="00D8147D"/>
    <w:p w14:paraId="143D2F09" w14:textId="0A4223A5" w:rsidR="00106CE5" w:rsidRDefault="00106CE5" w:rsidP="00D8147D"/>
    <w:p w14:paraId="265E2D56" w14:textId="3321D1D2" w:rsidR="00106CE5" w:rsidRDefault="00106CE5" w:rsidP="00D8147D"/>
    <w:p w14:paraId="337B340A" w14:textId="4CFBE13C" w:rsidR="00106CE5" w:rsidRDefault="00106CE5" w:rsidP="00D8147D"/>
    <w:p w14:paraId="75FC9D06" w14:textId="0FFD5150" w:rsidR="00106CE5" w:rsidRDefault="00106CE5" w:rsidP="00D8147D"/>
    <w:p w14:paraId="042529C1" w14:textId="544FB058" w:rsidR="00106CE5" w:rsidRDefault="00106CE5" w:rsidP="00D8147D"/>
    <w:p w14:paraId="102D1396" w14:textId="52609A65" w:rsidR="00106CE5" w:rsidRDefault="00106CE5" w:rsidP="00D8147D"/>
    <w:p w14:paraId="5F0FF0A0" w14:textId="7A47E9EF" w:rsidR="00106CE5" w:rsidRDefault="00106CE5" w:rsidP="00D8147D"/>
    <w:p w14:paraId="33E65D9A" w14:textId="3CC04987" w:rsidR="00106CE5" w:rsidRDefault="00106CE5" w:rsidP="00D8147D"/>
    <w:p w14:paraId="37D18966" w14:textId="452EE07B" w:rsidR="00106CE5" w:rsidRDefault="00106CE5" w:rsidP="00D8147D"/>
    <w:p w14:paraId="3266A8E6" w14:textId="44C6C73B" w:rsidR="00106CE5" w:rsidRDefault="00106CE5" w:rsidP="00D8147D"/>
    <w:p w14:paraId="18D602F2" w14:textId="5AABBB03" w:rsidR="00106CE5" w:rsidRDefault="00106CE5" w:rsidP="00D8147D"/>
    <w:p w14:paraId="09324DB1" w14:textId="5DCA974D" w:rsidR="00106CE5" w:rsidRDefault="00106CE5" w:rsidP="00D8147D"/>
    <w:p w14:paraId="4EF7C2EE" w14:textId="0FA534F1" w:rsidR="00932846" w:rsidRDefault="00932846">
      <w:r>
        <w:br w:type="page"/>
      </w:r>
    </w:p>
    <w:p w14:paraId="45B2D346" w14:textId="6134E0AF" w:rsidR="007102E8" w:rsidRPr="00F96F12" w:rsidRDefault="007102E8" w:rsidP="00F96F12">
      <w:pPr>
        <w:pStyle w:val="Heading1"/>
      </w:pPr>
      <w:bookmarkStart w:id="4" w:name="_Toc143505414"/>
      <w:r w:rsidRPr="00F96F12">
        <w:lastRenderedPageBreak/>
        <w:t xml:space="preserve">1 </w:t>
      </w:r>
      <w:r w:rsidR="00416633" w:rsidRPr="00F96F12">
        <w:t>Introduction</w:t>
      </w:r>
      <w:bookmarkEnd w:id="4"/>
    </w:p>
    <w:p w14:paraId="01E40BA2" w14:textId="196B12BB" w:rsidR="00152A7F" w:rsidRDefault="00152A7F" w:rsidP="00317A89">
      <w:pPr>
        <w:jc w:val="both"/>
      </w:pPr>
      <w:r>
        <w:t xml:space="preserve">This document provides an overview of the data collection process, data quality and the methodology applied in developing the cancer </w:t>
      </w:r>
      <w:r w:rsidR="003A7755">
        <w:t>reporting</w:t>
      </w:r>
      <w:r>
        <w:t xml:space="preserve"> tool. It also provides definitions, notes for interpretation, and details of where to find further information on cancer statistics in Wales.</w:t>
      </w:r>
    </w:p>
    <w:p w14:paraId="17052DB3" w14:textId="22AC1485" w:rsidR="005168AB" w:rsidRDefault="005168AB" w:rsidP="005168AB">
      <w:pPr>
        <w:jc w:val="both"/>
      </w:pPr>
      <w:r w:rsidRPr="005168AB">
        <w:t xml:space="preserve">In 2009, </w:t>
      </w:r>
      <w:r w:rsidR="00026B97">
        <w:t>t</w:t>
      </w:r>
      <w:r>
        <w:t>he Welsh Cancer Intelligence and Surveillance Unit (</w:t>
      </w:r>
      <w:r w:rsidRPr="005168AB">
        <w:t>WCISU</w:t>
      </w:r>
      <w:r>
        <w:t>)</w:t>
      </w:r>
      <w:r w:rsidRPr="005168AB">
        <w:t xml:space="preserve"> became part of the Health Intelligence Division of the newly created Public Health Wales (PHW), and more recently, the Health Intelligence Division became part of the new Knowledge and Research Directorate within PHW (1st April 2019).</w:t>
      </w:r>
      <w:r>
        <w:t xml:space="preserve"> The WCISU has been responsible for publishing cancer incidence, mortality, and survival statistics in Wales since 1997.</w:t>
      </w:r>
      <w:r w:rsidRPr="00351CAC">
        <w:t xml:space="preserve"> </w:t>
      </w:r>
      <w:r>
        <w:t xml:space="preserve">Prior to this, such figures were published by the Office for National Statistics (ONS) for both England and Wales. </w:t>
      </w:r>
    </w:p>
    <w:p w14:paraId="2B574AA2" w14:textId="46FACA25" w:rsidR="00351CAC" w:rsidRDefault="00AB14CA" w:rsidP="00317A89">
      <w:pPr>
        <w:jc w:val="both"/>
      </w:pPr>
      <w:r>
        <w:t>In accordance with one of the statutory duties of Public Health Wales, t</w:t>
      </w:r>
      <w:r w:rsidR="00351CAC">
        <w:t xml:space="preserve">he </w:t>
      </w:r>
      <w:r w:rsidR="007102E8">
        <w:t>WCISU</w:t>
      </w:r>
      <w:r w:rsidR="00351CAC">
        <w:t xml:space="preserve">’s </w:t>
      </w:r>
      <w:r w:rsidR="007102E8">
        <w:t>core function is</w:t>
      </w:r>
      <w:r>
        <w:t xml:space="preserve"> ‘to </w:t>
      </w:r>
      <w:r w:rsidR="007102E8">
        <w:t>undertake the systematic collection, analysis and dissemination of information about the health of the people of Wales, in particular cancer incidence, mortality, and survival</w:t>
      </w:r>
      <w:r>
        <w:t xml:space="preserve">’. </w:t>
      </w:r>
      <w:r w:rsidR="007102E8">
        <w:t xml:space="preserve">Critical to this duty is the continuous compilation of the </w:t>
      </w:r>
      <w:r w:rsidR="007102E8" w:rsidRPr="00363EA0">
        <w:t>national cancer registry</w:t>
      </w:r>
      <w:r w:rsidR="007102E8">
        <w:t xml:space="preserve"> of Wales and the production of annual official statistics on cancer incidence, </w:t>
      </w:r>
      <w:proofErr w:type="gramStart"/>
      <w:r w:rsidR="007102E8">
        <w:t>mortality</w:t>
      </w:r>
      <w:proofErr w:type="gramEnd"/>
      <w:r w:rsidR="007102E8">
        <w:t xml:space="preserve"> and survival in the resident population of Wales. </w:t>
      </w:r>
    </w:p>
    <w:p w14:paraId="145CAB7C" w14:textId="156EBA05" w:rsidR="00152A7F" w:rsidRDefault="007102E8" w:rsidP="00317A89">
      <w:pPr>
        <w:jc w:val="both"/>
      </w:pPr>
      <w:r>
        <w:t>Th</w:t>
      </w:r>
      <w:r w:rsidR="00363EA0">
        <w:t xml:space="preserve">e </w:t>
      </w:r>
      <w:r w:rsidR="00363EA0" w:rsidRPr="00363EA0">
        <w:t>national</w:t>
      </w:r>
      <w:r w:rsidR="005C64A7" w:rsidRPr="00363EA0">
        <w:t xml:space="preserve"> </w:t>
      </w:r>
      <w:r w:rsidRPr="00363EA0">
        <w:t>cancer registr</w:t>
      </w:r>
      <w:r w:rsidR="007834E8" w:rsidRPr="00363EA0">
        <w:t>y</w:t>
      </w:r>
      <w:r w:rsidR="00363EA0">
        <w:t xml:space="preserve"> is</w:t>
      </w:r>
      <w:r>
        <w:t xml:space="preserve"> </w:t>
      </w:r>
      <w:r w:rsidR="00351CAC">
        <w:t>a live and dynamic database</w:t>
      </w:r>
      <w:r w:rsidR="007834E8">
        <w:t xml:space="preserve"> where data is submitted to the WCISU from a range of health care providers and</w:t>
      </w:r>
      <w:r w:rsidR="00363EA0">
        <w:t xml:space="preserve"> associated services</w:t>
      </w:r>
      <w:r w:rsidR="00351CAC">
        <w:t>.</w:t>
      </w:r>
      <w:r w:rsidR="00152A7F" w:rsidRPr="00152A7F">
        <w:t xml:space="preserve"> </w:t>
      </w:r>
      <w:r w:rsidR="00152A7F">
        <w:t>The WCISU collate and validate the data for each patient, defined as the cancer registration minimum dataset.</w:t>
      </w:r>
    </w:p>
    <w:p w14:paraId="45E4109B" w14:textId="581669A8" w:rsidR="007102E8" w:rsidRDefault="007102E8" w:rsidP="00317A89">
      <w:pPr>
        <w:jc w:val="both"/>
      </w:pPr>
      <w:r>
        <w:t xml:space="preserve">Our statistics are produced </w:t>
      </w:r>
      <w:r w:rsidR="00317A89">
        <w:t xml:space="preserve">in accordance with the </w:t>
      </w:r>
      <w:r>
        <w:t xml:space="preserve">high professional standards set out in the Code of Practice for Official Statistics. They undergo regular quality assurance reviews to ensure that they meet customer </w:t>
      </w:r>
      <w:r w:rsidR="00317A89">
        <w:t>needs and</w:t>
      </w:r>
      <w:r w:rsidR="00363EA0">
        <w:t xml:space="preserve"> are produced</w:t>
      </w:r>
      <w:r>
        <w:t xml:space="preserve"> free from any political interference. </w:t>
      </w:r>
    </w:p>
    <w:p w14:paraId="60DA0292" w14:textId="240A0CB4" w:rsidR="00034BFB" w:rsidRDefault="00034BFB" w:rsidP="00317A89">
      <w:pPr>
        <w:jc w:val="both"/>
      </w:pPr>
      <w:r>
        <w:t xml:space="preserve">A list of the cancer types, with accompanying ICD-10 codes, used in this publication along with the breakdowns can be found in </w:t>
      </w:r>
      <w:hyperlink w:anchor="_Appendix_A_-" w:history="1">
        <w:r w:rsidRPr="0099453C">
          <w:rPr>
            <w:rStyle w:val="Hyperlink"/>
          </w:rPr>
          <w:t>Appendix A</w:t>
        </w:r>
      </w:hyperlink>
      <w:r w:rsidRPr="0099453C">
        <w:t>.</w:t>
      </w:r>
    </w:p>
    <w:p w14:paraId="1814A4BB" w14:textId="26A196BF" w:rsidR="00034BFB" w:rsidRDefault="00034BFB" w:rsidP="00317A89">
      <w:pPr>
        <w:jc w:val="both"/>
      </w:pPr>
      <w:r>
        <w:br w:type="page"/>
      </w:r>
    </w:p>
    <w:p w14:paraId="063EDFF7" w14:textId="6547575C" w:rsidR="007102E8" w:rsidRPr="00F96F12" w:rsidRDefault="007102E8" w:rsidP="00F96F12">
      <w:pPr>
        <w:pStyle w:val="Heading1"/>
      </w:pPr>
      <w:bookmarkStart w:id="5" w:name="_Toc143505415"/>
      <w:r w:rsidRPr="00F96F12">
        <w:lastRenderedPageBreak/>
        <w:t>2 Methodology</w:t>
      </w:r>
      <w:bookmarkEnd w:id="5"/>
    </w:p>
    <w:p w14:paraId="35DC0CA8" w14:textId="10F74AA5" w:rsidR="007102E8" w:rsidRPr="00F96F12" w:rsidRDefault="007102E8" w:rsidP="00031D1B">
      <w:pPr>
        <w:pStyle w:val="Heading2"/>
      </w:pPr>
      <w:bookmarkStart w:id="6" w:name="_Toc143505416"/>
      <w:r w:rsidRPr="00F96F12">
        <w:t xml:space="preserve">2.1 </w:t>
      </w:r>
      <w:r w:rsidR="00351CAC" w:rsidRPr="00F96F12">
        <w:t>Incidence</w:t>
      </w:r>
      <w:r w:rsidR="007436BC" w:rsidRPr="00F96F12">
        <w:t xml:space="preserve"> outputs</w:t>
      </w:r>
      <w:bookmarkEnd w:id="6"/>
    </w:p>
    <w:p w14:paraId="7E0B6219" w14:textId="6EE035D5" w:rsidR="00207020" w:rsidRDefault="00207020" w:rsidP="00317A89">
      <w:pPr>
        <w:jc w:val="both"/>
      </w:pPr>
      <w:r>
        <w:t>An incident case of cancer is a newly diagnosed case of</w:t>
      </w:r>
      <w:r w:rsidR="00317A89">
        <w:t>:</w:t>
      </w:r>
    </w:p>
    <w:p w14:paraId="15BF6188" w14:textId="77777777" w:rsidR="00207020" w:rsidRDefault="00207020" w:rsidP="00317A89">
      <w:pPr>
        <w:pStyle w:val="ListParagraph"/>
        <w:numPr>
          <w:ilvl w:val="0"/>
          <w:numId w:val="2"/>
        </w:numPr>
        <w:jc w:val="both"/>
      </w:pPr>
      <w:r>
        <w:t>A malignant neoplasm: Cancers as described by the World Health Organisation (WHO) International Classification of Diseases as ICD-10 codes C00 to C97 excluding C44</w:t>
      </w:r>
    </w:p>
    <w:p w14:paraId="6A0D490A" w14:textId="58176198" w:rsidR="00207020" w:rsidRDefault="00207020" w:rsidP="00317A89">
      <w:pPr>
        <w:pStyle w:val="ListParagraph"/>
        <w:numPr>
          <w:ilvl w:val="0"/>
          <w:numId w:val="2"/>
        </w:numPr>
        <w:jc w:val="both"/>
      </w:pPr>
      <w:r>
        <w:t xml:space="preserve">An </w:t>
      </w:r>
      <w:r w:rsidRPr="00CE310E">
        <w:rPr>
          <w:i/>
          <w:iCs/>
        </w:rPr>
        <w:t>in-situ</w:t>
      </w:r>
      <w:r>
        <w:t xml:space="preserve"> neoplasm: ICD-10 codes D05-D06</w:t>
      </w:r>
      <w:r w:rsidR="00D27AF0">
        <w:t>, D090-D091</w:t>
      </w:r>
    </w:p>
    <w:p w14:paraId="1AB7EC09" w14:textId="1407F1B1" w:rsidR="00207020" w:rsidRDefault="00207020" w:rsidP="00317A89">
      <w:pPr>
        <w:pStyle w:val="ListParagraph"/>
        <w:numPr>
          <w:ilvl w:val="0"/>
          <w:numId w:val="2"/>
        </w:numPr>
        <w:jc w:val="both"/>
      </w:pPr>
      <w:r>
        <w:t>A benign neoplasm: ICD-10 codes D32-D33, D35.2-D35.4</w:t>
      </w:r>
    </w:p>
    <w:p w14:paraId="1CE6E239" w14:textId="554496E6" w:rsidR="00207020" w:rsidRDefault="00207020" w:rsidP="00317A89">
      <w:pPr>
        <w:pStyle w:val="ListParagraph"/>
        <w:numPr>
          <w:ilvl w:val="0"/>
          <w:numId w:val="2"/>
        </w:numPr>
        <w:jc w:val="both"/>
      </w:pPr>
      <w:r>
        <w:t xml:space="preserve">A neoplasm of uncertain or unknown behaviour: ICD-10 codes </w:t>
      </w:r>
      <w:r w:rsidR="00D27AF0">
        <w:t xml:space="preserve">D411, </w:t>
      </w:r>
      <w:r w:rsidR="005E003E">
        <w:t xml:space="preserve">D414, </w:t>
      </w:r>
      <w:r>
        <w:t>D42-D43, D44.3- D44.5</w:t>
      </w:r>
    </w:p>
    <w:p w14:paraId="60816D16" w14:textId="77777777" w:rsidR="00207020" w:rsidRDefault="00207020" w:rsidP="00317A89">
      <w:pPr>
        <w:jc w:val="both"/>
      </w:pPr>
      <w:r w:rsidRPr="00034BFB">
        <w:rPr>
          <w:i/>
          <w:iCs/>
        </w:rPr>
        <w:t>Note</w:t>
      </w:r>
      <w:r>
        <w:t>: Secondary tumours and recurrences of a previous cancer are not counted as new incident cases.</w:t>
      </w:r>
    </w:p>
    <w:p w14:paraId="34FCFD7A" w14:textId="31234158" w:rsidR="001A21BE" w:rsidRDefault="001A21BE" w:rsidP="001A21BE">
      <w:pPr>
        <w:spacing w:after="0" w:line="240" w:lineRule="auto"/>
        <w:jc w:val="both"/>
        <w:rPr>
          <w:rFonts w:eastAsia="Times New Roman" w:cs="Calibri"/>
          <w:color w:val="000000"/>
          <w:szCs w:val="24"/>
          <w:lang w:eastAsia="en-GB"/>
        </w:rPr>
      </w:pPr>
      <w:r w:rsidRPr="001A21BE">
        <w:rPr>
          <w:rFonts w:eastAsia="Times New Roman" w:cs="Calibri"/>
          <w:color w:val="000000"/>
          <w:szCs w:val="24"/>
          <w:lang w:eastAsia="en-GB"/>
        </w:rPr>
        <w:t>Outputs are presented by single and three-year rolling periods for men, women and persons diagnosed between 2002 and 2020 for all malignancies excluding non-melanoma skin cancer (NMSC) for:</w:t>
      </w:r>
    </w:p>
    <w:p w14:paraId="308E913B" w14:textId="77777777" w:rsidR="001A21BE" w:rsidRPr="001A21BE" w:rsidRDefault="001A21BE" w:rsidP="001A21BE">
      <w:pPr>
        <w:spacing w:after="0" w:line="240" w:lineRule="auto"/>
        <w:jc w:val="both"/>
        <w:rPr>
          <w:rFonts w:eastAsia="Times New Roman" w:cs="Calibri"/>
          <w:color w:val="000000"/>
          <w:szCs w:val="24"/>
          <w:lang w:eastAsia="en-GB"/>
        </w:rPr>
      </w:pPr>
    </w:p>
    <w:p w14:paraId="45FFAC4A" w14:textId="77777777" w:rsidR="00926516" w:rsidRDefault="00926516" w:rsidP="00317A89">
      <w:pPr>
        <w:pStyle w:val="ListParagraph"/>
        <w:numPr>
          <w:ilvl w:val="0"/>
          <w:numId w:val="3"/>
        </w:numPr>
        <w:jc w:val="both"/>
      </w:pPr>
      <w:r>
        <w:t>Wales</w:t>
      </w:r>
    </w:p>
    <w:p w14:paraId="7C816DB1" w14:textId="65739767" w:rsidR="00926516" w:rsidRDefault="00926516" w:rsidP="00317A89">
      <w:pPr>
        <w:pStyle w:val="ListParagraph"/>
        <w:numPr>
          <w:ilvl w:val="0"/>
          <w:numId w:val="3"/>
        </w:numPr>
        <w:jc w:val="both"/>
      </w:pPr>
      <w:r>
        <w:t>Health Boards</w:t>
      </w:r>
    </w:p>
    <w:p w14:paraId="0C5A2533" w14:textId="091471CD" w:rsidR="00926516" w:rsidRDefault="00926516" w:rsidP="00317A89">
      <w:pPr>
        <w:pStyle w:val="ListParagraph"/>
        <w:numPr>
          <w:ilvl w:val="0"/>
          <w:numId w:val="3"/>
        </w:numPr>
        <w:jc w:val="both"/>
      </w:pPr>
      <w:r>
        <w:t>Local Authorities</w:t>
      </w:r>
    </w:p>
    <w:p w14:paraId="5BD77FFD" w14:textId="42DC34BB" w:rsidR="005168AB" w:rsidRDefault="00926516" w:rsidP="00317A89">
      <w:pPr>
        <w:pStyle w:val="ListParagraph"/>
        <w:numPr>
          <w:ilvl w:val="0"/>
          <w:numId w:val="3"/>
        </w:numPr>
        <w:jc w:val="both"/>
      </w:pPr>
      <w:r>
        <w:t xml:space="preserve">Area deprivation fifths </w:t>
      </w:r>
      <w:r w:rsidR="001A21BE" w:rsidRPr="005168AB">
        <w:t>(one-year and three-year periods)</w:t>
      </w:r>
    </w:p>
    <w:p w14:paraId="6696C733" w14:textId="6EF5D8C4" w:rsidR="001A21BE" w:rsidRDefault="001A21BE" w:rsidP="001A21BE">
      <w:pPr>
        <w:jc w:val="both"/>
      </w:pPr>
      <w:r>
        <w:t xml:space="preserve">A list of the cancer types, with accompanying ICD-10 codes, reported on in this publication can be found in </w:t>
      </w:r>
      <w:hyperlink w:anchor="_Appendix_A_-" w:history="1">
        <w:r w:rsidRPr="0099453C">
          <w:rPr>
            <w:rStyle w:val="Hyperlink"/>
          </w:rPr>
          <w:t>Appendix A</w:t>
        </w:r>
      </w:hyperlink>
      <w:r w:rsidRPr="0099453C">
        <w:t>.</w:t>
      </w:r>
    </w:p>
    <w:p w14:paraId="75A603DA" w14:textId="622047D3" w:rsidR="007436BC" w:rsidRDefault="00926516" w:rsidP="00317A89">
      <w:pPr>
        <w:jc w:val="both"/>
      </w:pPr>
      <w:r>
        <w:t xml:space="preserve">Counts, crude rates and European age-standardised rates (EASR) are presented for each of the above breakdowns for all malignancies excluding non-melanoma skin cancer (NMSC), along with </w:t>
      </w:r>
      <w:r w:rsidR="00597BF9">
        <w:t>46</w:t>
      </w:r>
      <w:r>
        <w:t xml:space="preserve"> other cancer sites classed under malignant neoplasms. </w:t>
      </w:r>
    </w:p>
    <w:p w14:paraId="1A19D358" w14:textId="77777777" w:rsidR="00D64B67" w:rsidRDefault="00926516" w:rsidP="001A21BE">
      <w:pPr>
        <w:jc w:val="both"/>
      </w:pPr>
      <w:r>
        <w:t xml:space="preserve">Only counts are provided for </w:t>
      </w:r>
      <w:r w:rsidRPr="00CE310E">
        <w:rPr>
          <w:i/>
          <w:iCs/>
        </w:rPr>
        <w:t>in situ</w:t>
      </w:r>
      <w:r>
        <w:t xml:space="preserve"> neoplasms, benign </w:t>
      </w:r>
      <w:r w:rsidR="00CE310E">
        <w:t>neoplasms,</w:t>
      </w:r>
      <w:r>
        <w:t xml:space="preserve"> and neoplasms of uncertain or unknown behaviour. </w:t>
      </w:r>
    </w:p>
    <w:p w14:paraId="79A6B7D6" w14:textId="46788F2F" w:rsidR="001A21BE" w:rsidRDefault="001A21BE" w:rsidP="001A21BE">
      <w:pPr>
        <w:jc w:val="both"/>
      </w:pPr>
      <w:r w:rsidRPr="001A21BE">
        <w:t>Cancer incidence by stage at diagnosis is presented for diagnoses between 2011 to 2020 for all stageable cancer sites for:</w:t>
      </w:r>
    </w:p>
    <w:p w14:paraId="3DA40A7D" w14:textId="060C6BF5" w:rsidR="00083989" w:rsidRDefault="007436BC" w:rsidP="00317A89">
      <w:pPr>
        <w:pStyle w:val="ListParagraph"/>
        <w:numPr>
          <w:ilvl w:val="0"/>
          <w:numId w:val="4"/>
        </w:numPr>
        <w:jc w:val="both"/>
      </w:pPr>
      <w:r>
        <w:t xml:space="preserve">Wales level for men, </w:t>
      </w:r>
      <w:r w:rsidR="00F74728">
        <w:t>women,</w:t>
      </w:r>
      <w:r>
        <w:t xml:space="preserve"> and persons by</w:t>
      </w:r>
      <w:r w:rsidR="00083989">
        <w:t xml:space="preserve"> single and three-year rolling periods </w:t>
      </w:r>
    </w:p>
    <w:p w14:paraId="59333E97" w14:textId="37FDD498" w:rsidR="00083989" w:rsidRDefault="00083989" w:rsidP="00317A89">
      <w:pPr>
        <w:pStyle w:val="ListParagraph"/>
        <w:numPr>
          <w:ilvl w:val="0"/>
          <w:numId w:val="4"/>
        </w:numPr>
        <w:jc w:val="both"/>
      </w:pPr>
      <w:r>
        <w:t>Health Board</w:t>
      </w:r>
      <w:r w:rsidR="007436BC">
        <w:t xml:space="preserve"> level</w:t>
      </w:r>
      <w:r>
        <w:t xml:space="preserve"> for persons</w:t>
      </w:r>
      <w:r w:rsidR="007436BC">
        <w:t xml:space="preserve"> </w:t>
      </w:r>
      <w:r>
        <w:t>by three-year rolling periods</w:t>
      </w:r>
      <w:r w:rsidR="007436BC">
        <w:t xml:space="preserve"> only</w:t>
      </w:r>
    </w:p>
    <w:p w14:paraId="644E03B8" w14:textId="2B59A363" w:rsidR="00083989" w:rsidRDefault="00083989" w:rsidP="00317A89">
      <w:pPr>
        <w:jc w:val="both"/>
      </w:pPr>
      <w:r>
        <w:t xml:space="preserve">Counts and proportion of cancer diagnosed by stage are presented for the above for </w:t>
      </w:r>
      <w:r w:rsidRPr="00F3447F">
        <w:t>3</w:t>
      </w:r>
      <w:r w:rsidR="00597BF9">
        <w:t xml:space="preserve">7 </w:t>
      </w:r>
      <w:r>
        <w:t xml:space="preserve">cancer sites. Staging analysis for leukaemia and brain &amp; central nervous system cancers are not available due to limited information, with analysis for Hodgkin lymphoma, </w:t>
      </w:r>
      <w:r w:rsidR="00EB4F0D">
        <w:t>non-Hodgkin</w:t>
      </w:r>
      <w:r>
        <w:t xml:space="preserve"> lymphoma and </w:t>
      </w:r>
      <w:r w:rsidR="00EB4F0D">
        <w:t>m</w:t>
      </w:r>
      <w:r>
        <w:t xml:space="preserve">yeloma only shown for 2016 onwards due to improvement in staging for these sites in recent years. Consequently, staging analysis for </w:t>
      </w:r>
      <w:r w:rsidR="00EB4F0D">
        <w:t>‘</w:t>
      </w:r>
      <w:r>
        <w:t>all malignancies excluding NMSC</w:t>
      </w:r>
      <w:r w:rsidR="00EB4F0D">
        <w:t>’</w:t>
      </w:r>
      <w:r>
        <w:t xml:space="preserve"> is not provided. </w:t>
      </w:r>
    </w:p>
    <w:p w14:paraId="545E89CA" w14:textId="77777777" w:rsidR="007436BC" w:rsidRDefault="007436BC" w:rsidP="00317A89">
      <w:pPr>
        <w:jc w:val="both"/>
      </w:pPr>
    </w:p>
    <w:p w14:paraId="5F5AE108" w14:textId="7E952E4F" w:rsidR="00351CAC" w:rsidRPr="00F96F12" w:rsidRDefault="00351CAC" w:rsidP="00031D1B">
      <w:pPr>
        <w:pStyle w:val="Heading2"/>
      </w:pPr>
      <w:bookmarkStart w:id="7" w:name="_Toc143505417"/>
      <w:r w:rsidRPr="00F96F12">
        <w:lastRenderedPageBreak/>
        <w:t>2.2 Mortality</w:t>
      </w:r>
      <w:r w:rsidR="00207020" w:rsidRPr="00F96F12">
        <w:t xml:space="preserve"> outputs</w:t>
      </w:r>
      <w:bookmarkEnd w:id="7"/>
    </w:p>
    <w:p w14:paraId="3312EE18" w14:textId="77777777" w:rsidR="00207020" w:rsidRDefault="00207020" w:rsidP="00317A89">
      <w:pPr>
        <w:jc w:val="both"/>
      </w:pPr>
      <w:r>
        <w:t xml:space="preserve">A mortality case of cancer is a death where cancer is recorded as the underlying cause. </w:t>
      </w:r>
    </w:p>
    <w:p w14:paraId="2600C701" w14:textId="38D969EA" w:rsidR="00004822" w:rsidRDefault="00004822" w:rsidP="00317A89">
      <w:pPr>
        <w:jc w:val="both"/>
      </w:pPr>
      <w:r>
        <w:t xml:space="preserve">An annual dataset containing deaths registered in Wales residents are supplied from the Office for National Statistics (ONS) for the mortality analysis, where Digital Health &amp; Care Wales (DHCW) provide an annual snapshot of the data, currently available for deaths registered in 2020. A ‘live’ monthly data set is made available and used to produce statistics for deaths registered in 2021 to allow for production of timelier </w:t>
      </w:r>
      <w:r w:rsidR="00EB4F0D">
        <w:t>analyses but</w:t>
      </w:r>
      <w:r>
        <w:t xml:space="preserve"> may be susceptible to known data lags.</w:t>
      </w:r>
    </w:p>
    <w:p w14:paraId="4884B794" w14:textId="77777777" w:rsidR="00004822" w:rsidRDefault="00351CAC" w:rsidP="00317A89">
      <w:pPr>
        <w:jc w:val="both"/>
      </w:pPr>
      <w:r>
        <w:t>This publication reports on deaths registered between 2002 and 2021</w:t>
      </w:r>
      <w:r w:rsidR="00004822">
        <w:t xml:space="preserve"> with outputs presented by single and three-year rolling periods for men, </w:t>
      </w:r>
      <w:proofErr w:type="gramStart"/>
      <w:r w:rsidR="00004822">
        <w:t>women</w:t>
      </w:r>
      <w:proofErr w:type="gramEnd"/>
      <w:r w:rsidR="00004822">
        <w:t xml:space="preserve"> and persons for:</w:t>
      </w:r>
    </w:p>
    <w:p w14:paraId="543C448E" w14:textId="77777777" w:rsidR="00004822" w:rsidRDefault="00004822" w:rsidP="00317A89">
      <w:pPr>
        <w:pStyle w:val="ListParagraph"/>
        <w:numPr>
          <w:ilvl w:val="0"/>
          <w:numId w:val="7"/>
        </w:numPr>
        <w:jc w:val="both"/>
      </w:pPr>
      <w:r>
        <w:t>Wales</w:t>
      </w:r>
    </w:p>
    <w:p w14:paraId="0C433333" w14:textId="77777777" w:rsidR="00004822" w:rsidRDefault="00004822" w:rsidP="00317A89">
      <w:pPr>
        <w:pStyle w:val="ListParagraph"/>
        <w:numPr>
          <w:ilvl w:val="0"/>
          <w:numId w:val="7"/>
        </w:numPr>
        <w:jc w:val="both"/>
      </w:pPr>
      <w:r>
        <w:t>Health Boards</w:t>
      </w:r>
    </w:p>
    <w:p w14:paraId="17DE8248" w14:textId="77777777" w:rsidR="00004822" w:rsidRDefault="00004822" w:rsidP="00317A89">
      <w:pPr>
        <w:pStyle w:val="ListParagraph"/>
        <w:numPr>
          <w:ilvl w:val="0"/>
          <w:numId w:val="7"/>
        </w:numPr>
        <w:jc w:val="both"/>
      </w:pPr>
      <w:r>
        <w:t>Local Authorities</w:t>
      </w:r>
    </w:p>
    <w:p w14:paraId="7222E56D" w14:textId="77777777" w:rsidR="00004822" w:rsidRDefault="00004822" w:rsidP="00317A89">
      <w:pPr>
        <w:pStyle w:val="ListParagraph"/>
        <w:numPr>
          <w:ilvl w:val="0"/>
          <w:numId w:val="7"/>
        </w:numPr>
        <w:jc w:val="both"/>
      </w:pPr>
      <w:r>
        <w:t xml:space="preserve">Area deprivation fifths </w:t>
      </w:r>
    </w:p>
    <w:p w14:paraId="432759C0" w14:textId="5287F6F9" w:rsidR="00351CAC" w:rsidRDefault="00004822" w:rsidP="00317A89">
      <w:pPr>
        <w:jc w:val="both"/>
      </w:pPr>
      <w:r>
        <w:t xml:space="preserve">Counts, crude </w:t>
      </w:r>
      <w:r w:rsidR="005B668C">
        <w:t>rates,</w:t>
      </w:r>
      <w:r>
        <w:t xml:space="preserve"> and </w:t>
      </w:r>
      <w:r w:rsidR="00C042E1">
        <w:t>EASRs</w:t>
      </w:r>
      <w:r>
        <w:t xml:space="preserve"> are presented for each of the above breakdowns for all </w:t>
      </w:r>
      <w:r w:rsidR="00EB4F0D">
        <w:t>m</w:t>
      </w:r>
      <w:r>
        <w:t xml:space="preserve">alignancies excluding </w:t>
      </w:r>
      <w:r w:rsidR="005608B9">
        <w:t>NMSC,</w:t>
      </w:r>
      <w:r>
        <w:t xml:space="preserve"> along with </w:t>
      </w:r>
      <w:r w:rsidRPr="00F3447F">
        <w:t>37</w:t>
      </w:r>
      <w:r>
        <w:t xml:space="preserve"> other cancer sites. A list of the cancer sites, with accompanying ICD-10 codes, used in this publication can be found in </w:t>
      </w:r>
      <w:hyperlink w:anchor="_Appendix_A_-" w:history="1">
        <w:r w:rsidRPr="00EB4F0D">
          <w:rPr>
            <w:rStyle w:val="Hyperlink"/>
          </w:rPr>
          <w:t>Appendix A</w:t>
        </w:r>
      </w:hyperlink>
      <w:r>
        <w:t>.</w:t>
      </w:r>
    </w:p>
    <w:p w14:paraId="3FE3D018" w14:textId="77777777" w:rsidR="00C43AAF" w:rsidRDefault="00C43AAF" w:rsidP="00317A89">
      <w:pPr>
        <w:jc w:val="both"/>
      </w:pPr>
    </w:p>
    <w:p w14:paraId="56A3BD70" w14:textId="66354A8D" w:rsidR="00351CAC" w:rsidRPr="00CE310E" w:rsidRDefault="00351CAC" w:rsidP="00031D1B">
      <w:pPr>
        <w:pStyle w:val="Heading2"/>
      </w:pPr>
      <w:bookmarkStart w:id="8" w:name="_Toc143505418"/>
      <w:r w:rsidRPr="00CE310E">
        <w:t>2.3 Survival</w:t>
      </w:r>
      <w:r w:rsidR="00207020" w:rsidRPr="00CE310E">
        <w:t xml:space="preserve"> outputs</w:t>
      </w:r>
      <w:bookmarkEnd w:id="8"/>
    </w:p>
    <w:p w14:paraId="3650E502" w14:textId="3B21DCD5" w:rsidR="00207020" w:rsidRDefault="00207020" w:rsidP="00317A89">
      <w:pPr>
        <w:jc w:val="both"/>
      </w:pPr>
      <w:r>
        <w:t>Survival analysis includes malignant neoplasms (cancers as described by the WHO International Classification of Diseases: ICD-10 codes C00</w:t>
      </w:r>
      <w:r w:rsidR="007820A9">
        <w:t>-</w:t>
      </w:r>
      <w:r>
        <w:t>C97 excluding C44) that were successfully mapped across from older versions of ICD</w:t>
      </w:r>
      <w:r w:rsidR="00EB4F0D">
        <w:t>-</w:t>
      </w:r>
      <w:r>
        <w:t>10, and a patient’s first malignant primary cancer.</w:t>
      </w:r>
    </w:p>
    <w:p w14:paraId="43540680" w14:textId="44FC5FAA" w:rsidR="0085148C" w:rsidRDefault="00207020" w:rsidP="00317A89">
      <w:pPr>
        <w:jc w:val="both"/>
      </w:pPr>
      <w:r>
        <w:t>O</w:t>
      </w:r>
      <w:r w:rsidR="0085148C">
        <w:t xml:space="preserve">utputs </w:t>
      </w:r>
      <w:r w:rsidR="001416A1">
        <w:t xml:space="preserve">are </w:t>
      </w:r>
      <w:r w:rsidR="0085148C">
        <w:t xml:space="preserve">presented as one-year and five-year net survival (%) (along with 95% confidence intervals (CIs)) by five-year rolling periods for men, women and persons aged 15-99 (20-99 for bone cancer patients), diagnosed from 2002 to 2019 for: </w:t>
      </w:r>
    </w:p>
    <w:p w14:paraId="23C40776" w14:textId="77777777" w:rsidR="0085148C" w:rsidRDefault="0085148C" w:rsidP="00317A89">
      <w:pPr>
        <w:pStyle w:val="ListParagraph"/>
        <w:numPr>
          <w:ilvl w:val="0"/>
          <w:numId w:val="5"/>
        </w:numPr>
        <w:jc w:val="both"/>
      </w:pPr>
      <w:r>
        <w:t>Wales</w:t>
      </w:r>
    </w:p>
    <w:p w14:paraId="7A97D6B7" w14:textId="77777777" w:rsidR="0085148C" w:rsidRDefault="0085148C" w:rsidP="00317A89">
      <w:pPr>
        <w:pStyle w:val="ListParagraph"/>
        <w:numPr>
          <w:ilvl w:val="0"/>
          <w:numId w:val="5"/>
        </w:numPr>
        <w:jc w:val="both"/>
      </w:pPr>
      <w:r>
        <w:t>Health Boards</w:t>
      </w:r>
    </w:p>
    <w:p w14:paraId="76F3C510" w14:textId="42A7DFC6" w:rsidR="001416A1" w:rsidRDefault="0085148C" w:rsidP="00317A89">
      <w:pPr>
        <w:pStyle w:val="ListParagraph"/>
        <w:numPr>
          <w:ilvl w:val="0"/>
          <w:numId w:val="5"/>
        </w:numPr>
        <w:jc w:val="both"/>
      </w:pPr>
      <w:r>
        <w:t xml:space="preserve">Stage </w:t>
      </w:r>
      <w:r w:rsidR="001416A1">
        <w:t xml:space="preserve">(from </w:t>
      </w:r>
      <w:r>
        <w:t xml:space="preserve">2011 </w:t>
      </w:r>
      <w:r w:rsidR="001416A1">
        <w:t>onwards) *</w:t>
      </w:r>
    </w:p>
    <w:p w14:paraId="7C1658B3" w14:textId="71DC796F" w:rsidR="0085148C" w:rsidRDefault="001416A1" w:rsidP="001416A1">
      <w:pPr>
        <w:jc w:val="both"/>
      </w:pPr>
      <w:r>
        <w:t>*</w:t>
      </w:r>
      <w:r w:rsidR="0085148C">
        <w:t xml:space="preserve">Staging analysis for leukaemia, brain &amp; central nervous system cancers, Hodgkin lymphoma, </w:t>
      </w:r>
      <w:r>
        <w:t>non-Hodgkin</w:t>
      </w:r>
      <w:r w:rsidR="0085148C">
        <w:t xml:space="preserve"> lymphoma and </w:t>
      </w:r>
      <w:r>
        <w:t>m</w:t>
      </w:r>
      <w:r w:rsidR="0085148C">
        <w:t>yeloma are not available due to limited information prior to 2016.</w:t>
      </w:r>
    </w:p>
    <w:p w14:paraId="581B0926" w14:textId="758B678D" w:rsidR="0085148C" w:rsidRDefault="0085148C" w:rsidP="00317A89">
      <w:pPr>
        <w:jc w:val="both"/>
      </w:pPr>
      <w:r>
        <w:t xml:space="preserve">Results are shown for </w:t>
      </w:r>
      <w:r w:rsidRPr="00F3447F">
        <w:t>36</w:t>
      </w:r>
      <w:r>
        <w:t xml:space="preserve"> cancer sites where possible. (Please note that bladder cancer is only provided for 2007 onwards due to a coding change</w:t>
      </w:r>
      <w:r w:rsidR="001416A1">
        <w:t>).</w:t>
      </w:r>
    </w:p>
    <w:p w14:paraId="02D13783" w14:textId="442A3E47" w:rsidR="0085148C" w:rsidRDefault="0085148C" w:rsidP="00317A89">
      <w:pPr>
        <w:jc w:val="both"/>
      </w:pPr>
      <w:r>
        <w:lastRenderedPageBreak/>
        <w:t xml:space="preserve">Survival was estimated using the </w:t>
      </w:r>
      <w:proofErr w:type="spellStart"/>
      <w:r>
        <w:t>Pohar-Perme</w:t>
      </w:r>
      <w:proofErr w:type="spellEnd"/>
      <w:r>
        <w:t xml:space="preserve"> (2012)</w:t>
      </w:r>
      <w:r w:rsidR="00F3447F" w:rsidRPr="00F3447F">
        <w:rPr>
          <w:rFonts w:ascii="Verdana" w:hAnsi="Verdana"/>
          <w:sz w:val="20"/>
          <w:szCs w:val="20"/>
        </w:rPr>
        <w:t xml:space="preserve"> </w:t>
      </w:r>
      <w:r w:rsidR="00F3447F">
        <w:rPr>
          <w:rStyle w:val="FootnoteReference"/>
          <w:rFonts w:ascii="Verdana" w:hAnsi="Verdana"/>
          <w:sz w:val="20"/>
          <w:szCs w:val="20"/>
        </w:rPr>
        <w:footnoteReference w:id="1"/>
      </w:r>
      <w:r>
        <w:t xml:space="preserve"> estimator, which provides unbiased estimates of net survival at all ages. The publicly available </w:t>
      </w:r>
      <w:proofErr w:type="spellStart"/>
      <w:r>
        <w:t>stns</w:t>
      </w:r>
      <w:proofErr w:type="spellEnd"/>
      <w:r>
        <w:t xml:space="preserve"> algorithm (Clerc-</w:t>
      </w:r>
      <w:proofErr w:type="spellStart"/>
      <w:r>
        <w:t>Urmès</w:t>
      </w:r>
      <w:proofErr w:type="spellEnd"/>
      <w:r>
        <w:t xml:space="preserve"> I et al, 2014)</w:t>
      </w:r>
      <w:r w:rsidR="00F3447F" w:rsidRPr="00F3447F">
        <w:rPr>
          <w:rFonts w:ascii="Verdana" w:hAnsi="Verdana"/>
          <w:sz w:val="20"/>
          <w:szCs w:val="20"/>
        </w:rPr>
        <w:t xml:space="preserve"> </w:t>
      </w:r>
      <w:r w:rsidR="00F3447F">
        <w:rPr>
          <w:rStyle w:val="FootnoteReference"/>
          <w:rFonts w:ascii="Verdana" w:hAnsi="Verdana"/>
          <w:sz w:val="20"/>
          <w:szCs w:val="20"/>
        </w:rPr>
        <w:footnoteReference w:id="2"/>
      </w:r>
      <w:r>
        <w:t xml:space="preserve"> in STATA 14.2 software was used and the complete approach to estimating survival was applied. 95% CIs for net survival were estimated using a normal approximation on the survival scale (</w:t>
      </w:r>
      <w:r w:rsidR="007C0184">
        <w:t>i.e.,</w:t>
      </w:r>
      <w:r>
        <w:t xml:space="preserve"> the plain method), and were capped between 0 and 100. </w:t>
      </w:r>
    </w:p>
    <w:p w14:paraId="75EECBCC" w14:textId="2C985A76" w:rsidR="0085148C" w:rsidRDefault="0085148C" w:rsidP="00317A89">
      <w:pPr>
        <w:jc w:val="both"/>
      </w:pPr>
      <w:r>
        <w:t>Population life tables were obtained from the</w:t>
      </w:r>
      <w:r w:rsidR="001015B5">
        <w:t xml:space="preserve"> ONS </w:t>
      </w:r>
      <w:r>
        <w:t xml:space="preserve">by age and sex. Each national life table is based on population estimates, </w:t>
      </w:r>
      <w:proofErr w:type="gramStart"/>
      <w:r>
        <w:t>births</w:t>
      </w:r>
      <w:proofErr w:type="gramEnd"/>
      <w:r>
        <w:t xml:space="preserve"> and deaths for a period of three consecutive years. We used the mid-year of each life table for our background mortality as an approximation to the non-cancer related death rates among cancer patients. </w:t>
      </w:r>
    </w:p>
    <w:p w14:paraId="5ECED6ED" w14:textId="77777777" w:rsidR="0085148C" w:rsidRDefault="0085148C" w:rsidP="00317A89">
      <w:pPr>
        <w:jc w:val="both"/>
      </w:pPr>
      <w:r>
        <w:t xml:space="preserve">The analysis adopted the following post-estimation robustness criteria for each combination of stratifying factors: </w:t>
      </w:r>
    </w:p>
    <w:p w14:paraId="108E78C1" w14:textId="01E28E41" w:rsidR="0085148C" w:rsidRDefault="0085148C" w:rsidP="00317A89">
      <w:pPr>
        <w:pStyle w:val="ListParagraph"/>
        <w:numPr>
          <w:ilvl w:val="0"/>
          <w:numId w:val="6"/>
        </w:numPr>
        <w:jc w:val="both"/>
      </w:pPr>
      <w:r>
        <w:t>A minimum of 10 patients should be alive at the estimation point being reported (</w:t>
      </w:r>
      <w:r w:rsidR="001416A1">
        <w:t>i.e.,</w:t>
      </w:r>
      <w:r>
        <w:t xml:space="preserve"> 10 or more alive one year after diagnosis for one-year survival, 10 or more alive five year after diagnosis for five-year survival)</w:t>
      </w:r>
    </w:p>
    <w:p w14:paraId="3016C6F9" w14:textId="6649565A" w:rsidR="0085148C" w:rsidRDefault="0085148C" w:rsidP="00317A89">
      <w:pPr>
        <w:pStyle w:val="ListParagraph"/>
        <w:numPr>
          <w:ilvl w:val="0"/>
          <w:numId w:val="6"/>
        </w:numPr>
        <w:jc w:val="both"/>
      </w:pPr>
      <w:r>
        <w:t>A minimum of two deaths should be observed one year either side of the estimation point (</w:t>
      </w:r>
      <w:r w:rsidR="001416A1">
        <w:t>i.e.,</w:t>
      </w:r>
      <w:r>
        <w:t xml:space="preserve"> two or more deaths between zero and two years for one-year survival, two or more deaths between four and six years for five-year survival)</w:t>
      </w:r>
    </w:p>
    <w:p w14:paraId="0BCE8F3C" w14:textId="77777777" w:rsidR="0085148C" w:rsidRDefault="0085148C" w:rsidP="00317A89">
      <w:pPr>
        <w:pStyle w:val="ListParagraph"/>
        <w:numPr>
          <w:ilvl w:val="0"/>
          <w:numId w:val="6"/>
        </w:numPr>
        <w:jc w:val="both"/>
      </w:pPr>
      <w:r>
        <w:t>The standard error at the estimation point should be 20% or less</w:t>
      </w:r>
    </w:p>
    <w:p w14:paraId="464CADAB" w14:textId="4559E1A4" w:rsidR="0085148C" w:rsidRDefault="0085148C" w:rsidP="00317A89">
      <w:pPr>
        <w:pStyle w:val="ListParagraph"/>
        <w:numPr>
          <w:ilvl w:val="0"/>
          <w:numId w:val="6"/>
        </w:numPr>
        <w:jc w:val="both"/>
      </w:pPr>
      <w:r>
        <w:t>The survival estimates should decrease over time (</w:t>
      </w:r>
      <w:r w:rsidR="001416A1">
        <w:t>i.e.,</w:t>
      </w:r>
      <w:r>
        <w:t xml:space="preserve"> five-year survival should be less than one-year survival), otherwise censor five-year survival figures</w:t>
      </w:r>
    </w:p>
    <w:p w14:paraId="0CC9D32B" w14:textId="77777777" w:rsidR="0085148C" w:rsidRDefault="0085148C" w:rsidP="00317A89">
      <w:pPr>
        <w:pStyle w:val="ListParagraph"/>
        <w:numPr>
          <w:ilvl w:val="0"/>
          <w:numId w:val="6"/>
        </w:numPr>
        <w:jc w:val="both"/>
      </w:pPr>
      <w:r>
        <w:t xml:space="preserve">One-year survival must be present and meet the criteria in order to show five-year </w:t>
      </w:r>
      <w:proofErr w:type="gramStart"/>
      <w:r>
        <w:t>survival</w:t>
      </w:r>
      <w:proofErr w:type="gramEnd"/>
      <w:r>
        <w:t xml:space="preserve"> </w:t>
      </w:r>
    </w:p>
    <w:p w14:paraId="78862DF9" w14:textId="071F9FAD" w:rsidR="0085148C" w:rsidRDefault="0085148C" w:rsidP="00317A89">
      <w:pPr>
        <w:jc w:val="both"/>
      </w:pPr>
      <w:r>
        <w:t xml:space="preserve">If the above criteria </w:t>
      </w:r>
      <w:r w:rsidR="001416A1">
        <w:t>were</w:t>
      </w:r>
      <w:r>
        <w:t xml:space="preserve"> not met, unstandardised net survival was censored for that particular cancer type, period, sex, age group, stage/geography level, and survival estimate point (one-year or five-year). </w:t>
      </w:r>
    </w:p>
    <w:p w14:paraId="76191B1B" w14:textId="716ECCFD" w:rsidR="0085148C" w:rsidRDefault="0085148C" w:rsidP="00317A89">
      <w:pPr>
        <w:jc w:val="both"/>
      </w:pPr>
      <w:r>
        <w:t xml:space="preserve">One-year and five-year age-standardised net survival (along with 95% CIs) were also presented where possible for patients aged 15-99 years by five-year rolling periods, by cancer type and sex at an all-Wales level, using a weighted mean of age-group estimates obtained from the International Cancer Survival Standards (ICSS; </w:t>
      </w:r>
      <w:proofErr w:type="spellStart"/>
      <w:r>
        <w:t>Corazziari</w:t>
      </w:r>
      <w:proofErr w:type="spellEnd"/>
      <w:r>
        <w:t xml:space="preserve"> et al., 2004)</w:t>
      </w:r>
      <w:r w:rsidR="00F3447F" w:rsidRPr="00F3447F">
        <w:rPr>
          <w:rFonts w:ascii="Verdana" w:hAnsi="Verdana"/>
          <w:sz w:val="20"/>
          <w:szCs w:val="20"/>
        </w:rPr>
        <w:t xml:space="preserve"> </w:t>
      </w:r>
      <w:r w:rsidR="00F3447F">
        <w:rPr>
          <w:rStyle w:val="FootnoteReference"/>
          <w:rFonts w:ascii="Verdana" w:hAnsi="Verdana"/>
          <w:sz w:val="20"/>
          <w:szCs w:val="20"/>
        </w:rPr>
        <w:footnoteReference w:id="3"/>
      </w:r>
      <w:r>
        <w:t xml:space="preserve">, </w:t>
      </w:r>
      <w:hyperlink w:anchor="_11.1_International_Classification" w:history="1">
        <w:r w:rsidRPr="00FF6808">
          <w:rPr>
            <w:rStyle w:val="Hyperlink"/>
          </w:rPr>
          <w:t xml:space="preserve">Appendix </w:t>
        </w:r>
        <w:r w:rsidR="00C43AAF" w:rsidRPr="00FF6808">
          <w:rPr>
            <w:rStyle w:val="Hyperlink"/>
          </w:rPr>
          <w:t>B</w:t>
        </w:r>
      </w:hyperlink>
      <w:r>
        <w:t xml:space="preserve">. </w:t>
      </w:r>
    </w:p>
    <w:p w14:paraId="5D502EFE" w14:textId="7824E7A7" w:rsidR="0085148C" w:rsidRDefault="0085148C" w:rsidP="00317A89">
      <w:pPr>
        <w:jc w:val="both"/>
      </w:pPr>
      <w:r>
        <w:lastRenderedPageBreak/>
        <w:t xml:space="preserve">If the robustness criteria mentioned above for unstandardised net survival was not met for each age group, then the two lower age groups (15-44 and 45-54) were combined (15- 54, </w:t>
      </w:r>
      <w:hyperlink w:anchor="_11.2_ICSS_combined" w:history="1">
        <w:r w:rsidRPr="00FF6808">
          <w:rPr>
            <w:rStyle w:val="Hyperlink"/>
          </w:rPr>
          <w:t>Appendix B</w:t>
        </w:r>
      </w:hyperlink>
      <w:r>
        <w:t xml:space="preserve">) and re-examined. Age-standardised net survival were only provided if every age group met the criteria, and these age specific survival figures were also presented. </w:t>
      </w:r>
    </w:p>
    <w:p w14:paraId="4B075199" w14:textId="2596400A" w:rsidR="00C43AAF" w:rsidRDefault="0085148C" w:rsidP="00317A89">
      <w:pPr>
        <w:jc w:val="both"/>
      </w:pPr>
      <w:r>
        <w:t xml:space="preserve">A list of the cancer types </w:t>
      </w:r>
      <w:r w:rsidR="00C43AAF">
        <w:t xml:space="preserve">along with respective ICD-10 codes </w:t>
      </w:r>
      <w:r>
        <w:t xml:space="preserve">used in this publication can be found in </w:t>
      </w:r>
      <w:hyperlink w:anchor="_Appendix_A_-" w:history="1">
        <w:r w:rsidRPr="00C43AAF">
          <w:rPr>
            <w:rStyle w:val="Hyperlink"/>
          </w:rPr>
          <w:t xml:space="preserve">Appendix </w:t>
        </w:r>
        <w:r w:rsidR="00C43AAF" w:rsidRPr="00C43AAF">
          <w:rPr>
            <w:rStyle w:val="Hyperlink"/>
          </w:rPr>
          <w:t>A</w:t>
        </w:r>
      </w:hyperlink>
      <w:r>
        <w:t>.</w:t>
      </w:r>
    </w:p>
    <w:p w14:paraId="102395A7" w14:textId="77777777" w:rsidR="00F74728" w:rsidRDefault="00F74728" w:rsidP="00317A89">
      <w:pPr>
        <w:jc w:val="both"/>
      </w:pPr>
    </w:p>
    <w:p w14:paraId="19385145" w14:textId="6B5DE16D" w:rsidR="00026B97" w:rsidRDefault="00026B97" w:rsidP="00031D1B">
      <w:pPr>
        <w:pStyle w:val="Heading2"/>
      </w:pPr>
      <w:bookmarkStart w:id="9" w:name="_2.4_Data_snapshots"/>
      <w:bookmarkStart w:id="10" w:name="_Toc143505419"/>
      <w:bookmarkEnd w:id="9"/>
      <w:r w:rsidRPr="00CE310E">
        <w:t>2.</w:t>
      </w:r>
      <w:r w:rsidR="00C31D9E">
        <w:t xml:space="preserve">4 </w:t>
      </w:r>
      <w:r>
        <w:t xml:space="preserve">Cancer pathology </w:t>
      </w:r>
      <w:r w:rsidR="00597BF9">
        <w:t>outputs</w:t>
      </w:r>
      <w:bookmarkEnd w:id="10"/>
    </w:p>
    <w:p w14:paraId="0677E565" w14:textId="36005577" w:rsidR="00D66260" w:rsidRDefault="00D66260" w:rsidP="00103FD8">
      <w:pPr>
        <w:jc w:val="both"/>
      </w:pPr>
      <w:r>
        <w:t xml:space="preserve">This </w:t>
      </w:r>
      <w:r w:rsidR="00027121">
        <w:t xml:space="preserve">experimental </w:t>
      </w:r>
      <w:r>
        <w:t xml:space="preserve">analysis examines the monthly count of individual patients with a pathology sample indicating a primary </w:t>
      </w:r>
      <w:r w:rsidR="00103FD8">
        <w:t>malignant tumour</w:t>
      </w:r>
      <w:r>
        <w:t xml:space="preserve"> (excluding NMSC)</w:t>
      </w:r>
      <w:r w:rsidR="00DA0270">
        <w:t xml:space="preserve"> in Wales</w:t>
      </w:r>
      <w:r>
        <w:t xml:space="preserve"> for the cancer sites: All malignancies, Prostate, Breast, Lung</w:t>
      </w:r>
      <w:r w:rsidR="00DA0270">
        <w:t xml:space="preserve">, </w:t>
      </w:r>
      <w:r>
        <w:t>Colorectal</w:t>
      </w:r>
      <w:r w:rsidR="00DA0270">
        <w:t xml:space="preserve"> and Ovary</w:t>
      </w:r>
      <w:r>
        <w:t xml:space="preserve">. </w:t>
      </w:r>
    </w:p>
    <w:p w14:paraId="7DA86B12" w14:textId="3EFE4135" w:rsidR="00597BF9" w:rsidRDefault="00597BF9" w:rsidP="00103FD8">
      <w:pPr>
        <w:jc w:val="both"/>
      </w:pPr>
      <w:r>
        <w:t xml:space="preserve">Examining monthly cancer pathology samples allows for </w:t>
      </w:r>
      <w:r w:rsidR="00D66260">
        <w:t xml:space="preserve">more timely </w:t>
      </w:r>
      <w:r w:rsidR="00027121">
        <w:t>estimates</w:t>
      </w:r>
      <w:r w:rsidR="00D66260">
        <w:t xml:space="preserve"> of cancer incidence in Wales. These new, experimental statistics provide a rapid insight into the impact of the COVID-19 pandemic on pathology-confirmed cases of new cancers, how this impact differed between the cancer types analysed, and a better understanding of post-pandemic recovery of cancer diagnoses. </w:t>
      </w:r>
    </w:p>
    <w:p w14:paraId="2CAE999A" w14:textId="078814E7" w:rsidR="00D66260" w:rsidRDefault="00D66260" w:rsidP="00103FD8">
      <w:pPr>
        <w:jc w:val="both"/>
      </w:pPr>
      <w:r>
        <w:t xml:space="preserve">Cancer registration remains the most authoritative source of data for cancer incidence. However, the time taken to process and validate data by expert cancer registration officers means there is routinely a delay of 18 months before publication (see </w:t>
      </w:r>
      <w:hyperlink w:anchor="_5_Timeliness_and" w:history="1">
        <w:r w:rsidRPr="00D66260">
          <w:rPr>
            <w:rStyle w:val="Hyperlink"/>
          </w:rPr>
          <w:t>Section 5</w:t>
        </w:r>
      </w:hyperlink>
      <w:r>
        <w:t xml:space="preserve">). A large proportion of cancer diagnoses are registered using pathology databases, so counts of pathology samples can offer a more timely estimate of cancer incidence. </w:t>
      </w:r>
    </w:p>
    <w:p w14:paraId="0A968F7A" w14:textId="7820C166" w:rsidR="00DA0270" w:rsidRDefault="00DA0270" w:rsidP="00103FD8">
      <w:pPr>
        <w:jc w:val="both"/>
      </w:pPr>
      <w:r>
        <w:t xml:space="preserve">It is important to note that not all new cases of cancer are verified through pathology and relying solely on pathology information can lead to an underestimation of true cancer incidence compared to cancer registration data. Furthermore, the various methods of cancer detection can be dependent on cancer type, so pathology data may offer more comparable estimates to registration data for certain cancer types compared to other </w:t>
      </w:r>
      <w:r w:rsidR="007022DD">
        <w:t>sites</w:t>
      </w:r>
      <w:r>
        <w:t xml:space="preserve">. </w:t>
      </w:r>
      <w:r w:rsidR="00F74728">
        <w:t>Therefore,</w:t>
      </w:r>
      <w:r w:rsidR="007022DD">
        <w:t xml:space="preserve"> </w:t>
      </w:r>
      <w:r>
        <w:t xml:space="preserve">caution should be taken when interpreting pathology data. </w:t>
      </w:r>
    </w:p>
    <w:p w14:paraId="1BA86789" w14:textId="77777777" w:rsidR="00DC0C51" w:rsidRDefault="00DC0C51" w:rsidP="00103FD8">
      <w:pPr>
        <w:jc w:val="both"/>
      </w:pPr>
    </w:p>
    <w:p w14:paraId="1E654538" w14:textId="2823D6A5" w:rsidR="00C31D9E" w:rsidRDefault="00C31D9E" w:rsidP="00C31D9E">
      <w:pPr>
        <w:pStyle w:val="Heading3"/>
      </w:pPr>
      <w:bookmarkStart w:id="11" w:name="_Toc143505420"/>
      <w:r>
        <w:t>2.4.1 Data sources</w:t>
      </w:r>
      <w:bookmarkEnd w:id="11"/>
    </w:p>
    <w:p w14:paraId="01EE31CA" w14:textId="1990E12E" w:rsidR="00C31D9E" w:rsidRDefault="00C31D9E" w:rsidP="00173F6B">
      <w:pPr>
        <w:jc w:val="both"/>
      </w:pPr>
      <w:r>
        <w:t>Public Health Wales receives pathology data from the sources listed below:</w:t>
      </w:r>
    </w:p>
    <w:p w14:paraId="6C64BD0D" w14:textId="06DB428B" w:rsidR="00C31D9E" w:rsidRDefault="00C31D9E" w:rsidP="00173F6B">
      <w:pPr>
        <w:pStyle w:val="ListParagraph"/>
        <w:numPr>
          <w:ilvl w:val="0"/>
          <w:numId w:val="23"/>
        </w:numPr>
        <w:jc w:val="both"/>
      </w:pPr>
      <w:r>
        <w:t>Welsh Laboratory Information Management System (WLIMS), hosted by Digital Health and Care Wales (DHCW): For all health boards except Cardiff and Vale UHB</w:t>
      </w:r>
    </w:p>
    <w:p w14:paraId="24948F9C" w14:textId="6316A3E3" w:rsidR="00C31D9E" w:rsidRPr="00C31D9E" w:rsidRDefault="00C31D9E" w:rsidP="00173F6B">
      <w:pPr>
        <w:pStyle w:val="ListParagraph"/>
        <w:numPr>
          <w:ilvl w:val="0"/>
          <w:numId w:val="23"/>
        </w:numPr>
        <w:jc w:val="both"/>
      </w:pPr>
      <w:r>
        <w:t>Telepath database: For Cardiff and Vale UHB</w:t>
      </w:r>
    </w:p>
    <w:p w14:paraId="20072BE6" w14:textId="6317966E" w:rsidR="007E5409" w:rsidRDefault="00AE3119" w:rsidP="00AE3119">
      <w:pPr>
        <w:pStyle w:val="Heading3"/>
      </w:pPr>
      <w:bookmarkStart w:id="12" w:name="_Toc143505421"/>
      <w:r>
        <w:lastRenderedPageBreak/>
        <w:t>2.4.2 Methodology</w:t>
      </w:r>
      <w:bookmarkEnd w:id="12"/>
    </w:p>
    <w:p w14:paraId="32FF780C" w14:textId="09A413A3" w:rsidR="00AE3119" w:rsidRDefault="009729DF" w:rsidP="00173F6B">
      <w:pPr>
        <w:jc w:val="both"/>
      </w:pPr>
      <w:r>
        <w:t xml:space="preserve">Table 1 </w:t>
      </w:r>
      <w:r w:rsidR="00AE3119">
        <w:t xml:space="preserve">summarises the steps used to process the pathology data, transforming from raw extracts to the final monthly datasets. This demonstrates the percentage of records that are filtered out </w:t>
      </w:r>
      <w:r w:rsidR="00027121">
        <w:t>at different stages of analysis</w:t>
      </w:r>
      <w:r w:rsidR="00173F6B">
        <w:t>. Note, the percentages shown will vary month by month</w:t>
      </w:r>
      <w:r w:rsidR="008A0831">
        <w:t xml:space="preserve"> as the dataset is updated</w:t>
      </w:r>
      <w:r w:rsidR="00173F6B">
        <w:t xml:space="preserve">. </w:t>
      </w:r>
      <w:r w:rsidR="00C07AB0">
        <w:t>Table 1</w:t>
      </w:r>
      <w:r w:rsidR="00173F6B">
        <w:t xml:space="preserve"> shows that a large proportion of records are filtered out due to factors such as duplicate records </w:t>
      </w:r>
      <w:proofErr w:type="gramStart"/>
      <w:r w:rsidR="008A0831">
        <w:t>i.e.</w:t>
      </w:r>
      <w:proofErr w:type="gramEnd"/>
      <w:r w:rsidR="008A0831">
        <w:t xml:space="preserve"> </w:t>
      </w:r>
      <w:r w:rsidR="00173F6B">
        <w:t xml:space="preserve">where multiple samples are taken from one patient, and samples that do not match the required definition i.e. non-malignant or non-primary tumours. </w:t>
      </w:r>
    </w:p>
    <w:p w14:paraId="4B572304" w14:textId="7C9F7654" w:rsidR="006B2253" w:rsidRDefault="00E60AD8" w:rsidP="006B2253">
      <w:pPr>
        <w:jc w:val="both"/>
      </w:pPr>
      <w:r>
        <w:t>T</w:t>
      </w:r>
      <w:r w:rsidR="006B2253">
        <w:t>he</w:t>
      </w:r>
      <w:r>
        <w:t xml:space="preserve"> pathology</w:t>
      </w:r>
      <w:r w:rsidR="006B2253">
        <w:t xml:space="preserve"> data includes the following information about the tumour in coded form: </w:t>
      </w:r>
    </w:p>
    <w:p w14:paraId="68E72053" w14:textId="77777777" w:rsidR="006B2253" w:rsidRDefault="006B2253" w:rsidP="006B2253">
      <w:pPr>
        <w:pStyle w:val="ListParagraph"/>
        <w:numPr>
          <w:ilvl w:val="0"/>
          <w:numId w:val="24"/>
        </w:numPr>
        <w:jc w:val="both"/>
      </w:pPr>
      <w:r>
        <w:t>Topography: the site of origin</w:t>
      </w:r>
    </w:p>
    <w:p w14:paraId="05D0021F" w14:textId="77777777" w:rsidR="006B2253" w:rsidRDefault="006B2253" w:rsidP="006B2253">
      <w:pPr>
        <w:pStyle w:val="ListParagraph"/>
        <w:numPr>
          <w:ilvl w:val="0"/>
          <w:numId w:val="24"/>
        </w:numPr>
        <w:jc w:val="both"/>
      </w:pPr>
      <w:r>
        <w:t xml:space="preserve">Morphology: tumour behaviour </w:t>
      </w:r>
    </w:p>
    <w:p w14:paraId="17EE1D4E" w14:textId="77777777" w:rsidR="006B2253" w:rsidRPr="00AE3119" w:rsidRDefault="006B2253" w:rsidP="006B2253">
      <w:pPr>
        <w:jc w:val="both"/>
      </w:pPr>
      <w:r>
        <w:t xml:space="preserve">Lookup tables provided by colleagues in Northern Ireland and Scotland cancer registries were used to match topography and morphology codes to ICD-10 codes. Where a match could not be found for a pathology record, that record was excluded. </w:t>
      </w:r>
    </w:p>
    <w:p w14:paraId="4B3D1905" w14:textId="51BF6032" w:rsidR="006B2253" w:rsidRDefault="008A0831" w:rsidP="00173F6B">
      <w:pPr>
        <w:jc w:val="both"/>
      </w:pPr>
      <w:r>
        <w:rPr>
          <w:noProof/>
          <w:lang w:eastAsia="en-GB"/>
        </w:rPr>
        <mc:AlternateContent>
          <mc:Choice Requires="wps">
            <w:drawing>
              <wp:anchor distT="45720" distB="45720" distL="114300" distR="114300" simplePos="0" relativeHeight="251678720" behindDoc="0" locked="0" layoutInCell="1" allowOverlap="1" wp14:anchorId="38FC9F81" wp14:editId="6F537E96">
                <wp:simplePos x="0" y="0"/>
                <wp:positionH relativeFrom="margin">
                  <wp:posOffset>-21590</wp:posOffset>
                </wp:positionH>
                <wp:positionV relativeFrom="paragraph">
                  <wp:posOffset>2191385</wp:posOffset>
                </wp:positionV>
                <wp:extent cx="5657850" cy="25717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7850" cy="257175"/>
                        </a:xfrm>
                        <a:prstGeom prst="rect">
                          <a:avLst/>
                        </a:prstGeom>
                        <a:noFill/>
                        <a:ln w="9525">
                          <a:noFill/>
                          <a:miter lim="800000"/>
                          <a:headEnd/>
                          <a:tailEnd/>
                        </a:ln>
                      </wps:spPr>
                      <wps:txbx>
                        <w:txbxContent>
                          <w:p w14:paraId="1A317B80" w14:textId="57D71F60" w:rsidR="009B4CD1" w:rsidRPr="008A0831" w:rsidRDefault="009B4CD1">
                            <w:pPr>
                              <w:rPr>
                                <w:sz w:val="20"/>
                                <w:szCs w:val="18"/>
                              </w:rPr>
                            </w:pPr>
                            <w:r w:rsidRPr="008A0831">
                              <w:rPr>
                                <w:sz w:val="20"/>
                                <w:szCs w:val="18"/>
                              </w:rPr>
                              <w:t>Table 1: Summary of the steps used to process cancer pathology data.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FC9F81" id="Text Box 2" o:spid="_x0000_s1027" type="#_x0000_t202" style="position:absolute;left:0;text-align:left;margin-left:-1.7pt;margin-top:172.55pt;width:445.5pt;height:20.25pt;z-index:2516787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" filled="f" stroked="f">
                <v:textbox>
                  <w:txbxContent>
                    <w:p w14:paraId="1A317B80" w14:textId="57D71F60" w:rsidR="009B4CD1" w:rsidRPr="008A0831" w:rsidRDefault="009B4CD1">
                      <w:pPr>
                        <w:rPr>
                          <w:sz w:val="20"/>
                          <w:szCs w:val="18"/>
                        </w:rPr>
                      </w:pPr>
                      <w:r w:rsidRPr="008A0831">
                        <w:rPr>
                          <w:sz w:val="20"/>
                          <w:szCs w:val="18"/>
                        </w:rPr>
                        <w:t>Table 1: Summary of the steps used to process cancer pathology data.</w:t>
                      </w:r>
                    </w:p>
                  </w:txbxContent>
                </v:textbox>
                <w10:wrap type="square" anchorx="margin"/>
              </v:shape>
            </w:pict>
          </mc:Fallback>
        </mc:AlternateContent>
      </w:r>
      <w:r w:rsidR="006B2253">
        <w:t xml:space="preserve">Individual patients may have more than one pathology sample. A cancer diagnosis may require more than one procedure to indicate cancer; for example, a positive biopsy of the breast and a separate positive dissection of lymph nodes may be the route to diagnose a breast cancer case. Individual patients are therefore only counted once in a two-year period within a specific cancer group (see </w:t>
      </w:r>
      <w:hyperlink w:anchor="_11.2_ICSS_combined" w:history="1">
        <w:r w:rsidR="006B2253" w:rsidRPr="00C50BA2">
          <w:rPr>
            <w:rStyle w:val="Hyperlink"/>
          </w:rPr>
          <w:t>Appendix C</w:t>
        </w:r>
      </w:hyperlink>
      <w:r w:rsidR="006B2253">
        <w:t>). If a sample is taken that indicates a malignant tumour, the individual cannot be counted again for a sample indicating the same cancer type within two years. However, the same individual can be counted again during this period should a sample indicate a different cancer group. It should be noted that these counting rules differ to those used for cancer registration</w:t>
      </w:r>
      <w:r w:rsidR="00027121">
        <w:t>; cancer registration data only includes primary cancers and does not include recurrences or secondary tumours</w:t>
      </w:r>
      <w:r w:rsidR="006B2253">
        <w:t xml:space="preserve">. </w:t>
      </w:r>
    </w:p>
    <w:tbl>
      <w:tblPr>
        <w:tblStyle w:val="PlainTable2"/>
        <w:tblW w:w="0" w:type="auto"/>
        <w:tblLook w:val="04A0" w:firstRow="1" w:lastRow="0" w:firstColumn="1" w:lastColumn="0" w:noHBand="0" w:noVBand="1"/>
      </w:tblPr>
      <w:tblGrid>
        <w:gridCol w:w="6941"/>
        <w:gridCol w:w="2075"/>
      </w:tblGrid>
      <w:tr w:rsidR="00173F6B" w14:paraId="5E25B308" w14:textId="77777777" w:rsidTr="00173F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2CCF8582" w14:textId="3E42C35E" w:rsidR="00173F6B" w:rsidRPr="00173F6B" w:rsidRDefault="00173F6B" w:rsidP="00173F6B">
            <w:pPr>
              <w:spacing w:line="360" w:lineRule="auto"/>
              <w:jc w:val="both"/>
              <w:rPr>
                <w:b w:val="0"/>
                <w:bCs w:val="0"/>
                <w:sz w:val="18"/>
                <w:szCs w:val="16"/>
              </w:rPr>
            </w:pPr>
          </w:p>
        </w:tc>
        <w:tc>
          <w:tcPr>
            <w:tcW w:w="2075" w:type="dxa"/>
          </w:tcPr>
          <w:p w14:paraId="30418F5D" w14:textId="6D2A661D" w:rsidR="00173F6B" w:rsidRPr="00173F6B" w:rsidRDefault="00173F6B" w:rsidP="00F4691A">
            <w:pPr>
              <w:spacing w:line="360" w:lineRule="auto"/>
              <w:jc w:val="right"/>
              <w:cnfStyle w:val="100000000000" w:firstRow="1" w:lastRow="0" w:firstColumn="0" w:lastColumn="0" w:oddVBand="0" w:evenVBand="0" w:oddHBand="0" w:evenHBand="0" w:firstRowFirstColumn="0" w:firstRowLastColumn="0" w:lastRowFirstColumn="0" w:lastRowLastColumn="0"/>
              <w:rPr>
                <w:sz w:val="18"/>
                <w:szCs w:val="16"/>
              </w:rPr>
            </w:pPr>
            <w:r w:rsidRPr="00173F6B">
              <w:rPr>
                <w:sz w:val="18"/>
                <w:szCs w:val="16"/>
              </w:rPr>
              <w:t>% records remaining</w:t>
            </w:r>
          </w:p>
        </w:tc>
      </w:tr>
      <w:tr w:rsidR="00173F6B" w14:paraId="3F75F15A" w14:textId="77777777" w:rsidTr="00173F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3BE8C3F7" w14:textId="59B60EBB" w:rsidR="00173F6B" w:rsidRPr="00173F6B" w:rsidRDefault="00173F6B" w:rsidP="00173F6B">
            <w:pPr>
              <w:spacing w:line="360" w:lineRule="auto"/>
              <w:jc w:val="both"/>
              <w:rPr>
                <w:b w:val="0"/>
                <w:bCs w:val="0"/>
                <w:sz w:val="18"/>
                <w:szCs w:val="16"/>
              </w:rPr>
            </w:pPr>
            <w:r w:rsidRPr="00173F6B">
              <w:rPr>
                <w:b w:val="0"/>
                <w:bCs w:val="0"/>
                <w:sz w:val="18"/>
                <w:szCs w:val="16"/>
              </w:rPr>
              <w:t>Extract data from WLIMS and Telepath</w:t>
            </w:r>
          </w:p>
        </w:tc>
        <w:tc>
          <w:tcPr>
            <w:tcW w:w="2075" w:type="dxa"/>
          </w:tcPr>
          <w:p w14:paraId="6BB2A522" w14:textId="78A9D11B" w:rsidR="00173F6B" w:rsidRPr="00F4691A" w:rsidRDefault="00F4691A" w:rsidP="00F4691A">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100%</w:t>
            </w:r>
          </w:p>
        </w:tc>
      </w:tr>
      <w:tr w:rsidR="00173F6B" w14:paraId="29B329E2" w14:textId="77777777" w:rsidTr="00173F6B">
        <w:tc>
          <w:tcPr>
            <w:cnfStyle w:val="001000000000" w:firstRow="0" w:lastRow="0" w:firstColumn="1" w:lastColumn="0" w:oddVBand="0" w:evenVBand="0" w:oddHBand="0" w:evenHBand="0" w:firstRowFirstColumn="0" w:firstRowLastColumn="0" w:lastRowFirstColumn="0" w:lastRowLastColumn="0"/>
            <w:tcW w:w="6941" w:type="dxa"/>
          </w:tcPr>
          <w:p w14:paraId="2AB8E808" w14:textId="6A7A84F8" w:rsidR="00173F6B" w:rsidRPr="00173F6B" w:rsidRDefault="00173F6B" w:rsidP="00173F6B">
            <w:pPr>
              <w:spacing w:line="360" w:lineRule="auto"/>
              <w:jc w:val="both"/>
              <w:rPr>
                <w:b w:val="0"/>
                <w:bCs w:val="0"/>
                <w:sz w:val="18"/>
                <w:szCs w:val="16"/>
              </w:rPr>
            </w:pPr>
            <w:r w:rsidRPr="00173F6B">
              <w:rPr>
                <w:b w:val="0"/>
                <w:bCs w:val="0"/>
                <w:sz w:val="18"/>
                <w:szCs w:val="16"/>
              </w:rPr>
              <w:t xml:space="preserve">Initial cleaning </w:t>
            </w:r>
            <w:proofErr w:type="gramStart"/>
            <w:r w:rsidRPr="00173F6B">
              <w:rPr>
                <w:b w:val="0"/>
                <w:bCs w:val="0"/>
                <w:sz w:val="18"/>
                <w:szCs w:val="16"/>
              </w:rPr>
              <w:t>e.g.</w:t>
            </w:r>
            <w:proofErr w:type="gramEnd"/>
            <w:r w:rsidRPr="00173F6B">
              <w:rPr>
                <w:b w:val="0"/>
                <w:bCs w:val="0"/>
                <w:sz w:val="18"/>
                <w:szCs w:val="16"/>
              </w:rPr>
              <w:t xml:space="preserve"> removing rows with missing data</w:t>
            </w:r>
          </w:p>
        </w:tc>
        <w:tc>
          <w:tcPr>
            <w:tcW w:w="2075" w:type="dxa"/>
          </w:tcPr>
          <w:p w14:paraId="12AA48AF" w14:textId="7CF70823" w:rsidR="00173F6B" w:rsidRPr="00F4691A" w:rsidRDefault="00F4691A" w:rsidP="00F4691A">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99%</w:t>
            </w:r>
          </w:p>
        </w:tc>
      </w:tr>
      <w:tr w:rsidR="00173F6B" w14:paraId="19B4E53A" w14:textId="77777777" w:rsidTr="00173F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595A8171" w14:textId="0B074836" w:rsidR="00173F6B" w:rsidRPr="00173F6B" w:rsidRDefault="00173F6B" w:rsidP="00173F6B">
            <w:pPr>
              <w:spacing w:line="360" w:lineRule="auto"/>
              <w:jc w:val="both"/>
              <w:rPr>
                <w:b w:val="0"/>
                <w:bCs w:val="0"/>
                <w:sz w:val="18"/>
                <w:szCs w:val="16"/>
              </w:rPr>
            </w:pPr>
            <w:r>
              <w:rPr>
                <w:b w:val="0"/>
                <w:bCs w:val="0"/>
                <w:sz w:val="18"/>
                <w:szCs w:val="16"/>
              </w:rPr>
              <w:t>Filter out non-primary malignant tumours (Behaviour code not 3)</w:t>
            </w:r>
          </w:p>
        </w:tc>
        <w:tc>
          <w:tcPr>
            <w:tcW w:w="2075" w:type="dxa"/>
          </w:tcPr>
          <w:p w14:paraId="0024AAB0" w14:textId="12844389" w:rsidR="00173F6B" w:rsidRPr="00F4691A" w:rsidRDefault="00F4691A" w:rsidP="00F4691A">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74%</w:t>
            </w:r>
          </w:p>
        </w:tc>
      </w:tr>
      <w:tr w:rsidR="00173F6B" w14:paraId="35DB80AD" w14:textId="77777777" w:rsidTr="00173F6B">
        <w:tc>
          <w:tcPr>
            <w:cnfStyle w:val="001000000000" w:firstRow="0" w:lastRow="0" w:firstColumn="1" w:lastColumn="0" w:oddVBand="0" w:evenVBand="0" w:oddHBand="0" w:evenHBand="0" w:firstRowFirstColumn="0" w:firstRowLastColumn="0" w:lastRowFirstColumn="0" w:lastRowLastColumn="0"/>
            <w:tcW w:w="6941" w:type="dxa"/>
          </w:tcPr>
          <w:p w14:paraId="4BCA99E5" w14:textId="3C8BBFB7" w:rsidR="00173F6B" w:rsidRPr="00173F6B" w:rsidRDefault="00173F6B" w:rsidP="00173F6B">
            <w:pPr>
              <w:spacing w:line="360" w:lineRule="auto"/>
              <w:jc w:val="both"/>
              <w:rPr>
                <w:sz w:val="18"/>
                <w:szCs w:val="16"/>
              </w:rPr>
            </w:pPr>
            <w:r>
              <w:rPr>
                <w:b w:val="0"/>
                <w:bCs w:val="0"/>
                <w:sz w:val="18"/>
                <w:szCs w:val="16"/>
              </w:rPr>
              <w:t>Match topography and morphology codes to ICD-10 codes. Remove all records that could not be matched</w:t>
            </w:r>
          </w:p>
        </w:tc>
        <w:tc>
          <w:tcPr>
            <w:tcW w:w="2075" w:type="dxa"/>
          </w:tcPr>
          <w:p w14:paraId="367EB466" w14:textId="206F7F4E" w:rsidR="00173F6B" w:rsidRPr="00F4691A" w:rsidRDefault="00F4691A" w:rsidP="00F4691A">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65%</w:t>
            </w:r>
          </w:p>
        </w:tc>
      </w:tr>
      <w:tr w:rsidR="00173F6B" w14:paraId="3DDAC53E" w14:textId="77777777" w:rsidTr="00173F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40E43B99" w14:textId="31D1BD45" w:rsidR="00173F6B" w:rsidRPr="00173F6B" w:rsidRDefault="00173F6B" w:rsidP="00173F6B">
            <w:pPr>
              <w:spacing w:line="360" w:lineRule="auto"/>
              <w:jc w:val="both"/>
              <w:rPr>
                <w:b w:val="0"/>
                <w:bCs w:val="0"/>
                <w:sz w:val="18"/>
                <w:szCs w:val="16"/>
              </w:rPr>
            </w:pPr>
            <w:bookmarkStart w:id="13" w:name="OLE_LINK1"/>
            <w:r>
              <w:rPr>
                <w:b w:val="0"/>
                <w:bCs w:val="0"/>
                <w:sz w:val="18"/>
                <w:szCs w:val="16"/>
              </w:rPr>
              <w:t>Filter out records with an ICD-10 code not beginning with C (These are not malignant tumours)</w:t>
            </w:r>
            <w:bookmarkEnd w:id="13"/>
          </w:p>
        </w:tc>
        <w:tc>
          <w:tcPr>
            <w:tcW w:w="2075" w:type="dxa"/>
          </w:tcPr>
          <w:p w14:paraId="0ECF32C1" w14:textId="707C7510" w:rsidR="00173F6B" w:rsidRPr="00F4691A" w:rsidRDefault="00F4691A" w:rsidP="00F4691A">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61%</w:t>
            </w:r>
          </w:p>
        </w:tc>
      </w:tr>
      <w:tr w:rsidR="00173F6B" w14:paraId="751BF7C9" w14:textId="77777777" w:rsidTr="00173F6B">
        <w:tc>
          <w:tcPr>
            <w:cnfStyle w:val="001000000000" w:firstRow="0" w:lastRow="0" w:firstColumn="1" w:lastColumn="0" w:oddVBand="0" w:evenVBand="0" w:oddHBand="0" w:evenHBand="0" w:firstRowFirstColumn="0" w:firstRowLastColumn="0" w:lastRowFirstColumn="0" w:lastRowLastColumn="0"/>
            <w:tcW w:w="6941" w:type="dxa"/>
          </w:tcPr>
          <w:p w14:paraId="0CCDBF08" w14:textId="0DB41FA5" w:rsidR="00173F6B" w:rsidRPr="00173F6B" w:rsidRDefault="00173F6B" w:rsidP="00173F6B">
            <w:pPr>
              <w:spacing w:line="360" w:lineRule="auto"/>
              <w:jc w:val="both"/>
              <w:rPr>
                <w:b w:val="0"/>
                <w:bCs w:val="0"/>
                <w:sz w:val="18"/>
                <w:szCs w:val="16"/>
              </w:rPr>
            </w:pPr>
            <w:r>
              <w:rPr>
                <w:b w:val="0"/>
                <w:bCs w:val="0"/>
                <w:sz w:val="18"/>
                <w:szCs w:val="16"/>
              </w:rPr>
              <w:t>De-duplicate the dataset</w:t>
            </w:r>
          </w:p>
        </w:tc>
        <w:tc>
          <w:tcPr>
            <w:tcW w:w="2075" w:type="dxa"/>
          </w:tcPr>
          <w:p w14:paraId="4C2651C6" w14:textId="138327D8" w:rsidR="00173F6B" w:rsidRPr="00F4691A" w:rsidRDefault="00F4691A" w:rsidP="00F4691A">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46%</w:t>
            </w:r>
          </w:p>
        </w:tc>
      </w:tr>
      <w:tr w:rsidR="00173F6B" w14:paraId="26BDBEE8" w14:textId="77777777" w:rsidTr="00173F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4CFDD893" w14:textId="76DBCFF9" w:rsidR="00173F6B" w:rsidRPr="00173F6B" w:rsidRDefault="00173F6B" w:rsidP="00173F6B">
            <w:pPr>
              <w:spacing w:line="360" w:lineRule="auto"/>
              <w:jc w:val="both"/>
              <w:rPr>
                <w:b w:val="0"/>
                <w:bCs w:val="0"/>
                <w:sz w:val="18"/>
                <w:szCs w:val="16"/>
              </w:rPr>
            </w:pPr>
            <w:r>
              <w:rPr>
                <w:b w:val="0"/>
                <w:bCs w:val="0"/>
                <w:sz w:val="18"/>
                <w:szCs w:val="16"/>
              </w:rPr>
              <w:t>Remove C44 (Non-melanoma skin cancer)</w:t>
            </w:r>
          </w:p>
        </w:tc>
        <w:tc>
          <w:tcPr>
            <w:tcW w:w="2075" w:type="dxa"/>
          </w:tcPr>
          <w:p w14:paraId="416A514D" w14:textId="6793E37D" w:rsidR="00173F6B" w:rsidRPr="00F4691A" w:rsidRDefault="00F4691A" w:rsidP="00F4691A">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27%</w:t>
            </w:r>
          </w:p>
        </w:tc>
      </w:tr>
      <w:tr w:rsidR="00173F6B" w14:paraId="01B607B9" w14:textId="77777777" w:rsidTr="00173F6B">
        <w:tc>
          <w:tcPr>
            <w:cnfStyle w:val="001000000000" w:firstRow="0" w:lastRow="0" w:firstColumn="1" w:lastColumn="0" w:oddVBand="0" w:evenVBand="0" w:oddHBand="0" w:evenHBand="0" w:firstRowFirstColumn="0" w:firstRowLastColumn="0" w:lastRowFirstColumn="0" w:lastRowLastColumn="0"/>
            <w:tcW w:w="6941" w:type="dxa"/>
          </w:tcPr>
          <w:p w14:paraId="72266751" w14:textId="165E54F1" w:rsidR="00173F6B" w:rsidRPr="00F4691A" w:rsidRDefault="00173F6B" w:rsidP="00173F6B">
            <w:pPr>
              <w:spacing w:line="360" w:lineRule="auto"/>
              <w:jc w:val="both"/>
              <w:rPr>
                <w:b w:val="0"/>
                <w:bCs w:val="0"/>
                <w:i/>
                <w:iCs/>
                <w:sz w:val="18"/>
                <w:szCs w:val="16"/>
              </w:rPr>
            </w:pPr>
            <w:r w:rsidRPr="00F4691A">
              <w:rPr>
                <w:b w:val="0"/>
                <w:bCs w:val="0"/>
                <w:i/>
                <w:iCs/>
                <w:sz w:val="18"/>
                <w:szCs w:val="16"/>
              </w:rPr>
              <w:t xml:space="preserve">Figures as at 09/06/23, covering all data extracted (January 2018 </w:t>
            </w:r>
            <w:r w:rsidR="00F4691A" w:rsidRPr="00F4691A">
              <w:rPr>
                <w:b w:val="0"/>
                <w:bCs w:val="0"/>
                <w:i/>
                <w:iCs/>
                <w:sz w:val="18"/>
                <w:szCs w:val="16"/>
              </w:rPr>
              <w:t>–</w:t>
            </w:r>
            <w:r w:rsidRPr="00F4691A">
              <w:rPr>
                <w:b w:val="0"/>
                <w:bCs w:val="0"/>
                <w:i/>
                <w:iCs/>
                <w:sz w:val="18"/>
                <w:szCs w:val="16"/>
              </w:rPr>
              <w:t xml:space="preserve"> </w:t>
            </w:r>
            <w:r w:rsidR="00F4691A" w:rsidRPr="00F4691A">
              <w:rPr>
                <w:b w:val="0"/>
                <w:bCs w:val="0"/>
                <w:i/>
                <w:iCs/>
                <w:sz w:val="18"/>
                <w:szCs w:val="16"/>
              </w:rPr>
              <w:t>June 2023)</w:t>
            </w:r>
          </w:p>
        </w:tc>
        <w:tc>
          <w:tcPr>
            <w:tcW w:w="2075" w:type="dxa"/>
          </w:tcPr>
          <w:p w14:paraId="46568EEE" w14:textId="77777777" w:rsidR="00173F6B" w:rsidRPr="00F4691A" w:rsidRDefault="00173F6B" w:rsidP="00F4691A">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p>
        </w:tc>
      </w:tr>
    </w:tbl>
    <w:p w14:paraId="17056765" w14:textId="77777777" w:rsidR="00DC0C51" w:rsidRDefault="00DC0C51" w:rsidP="006B2253">
      <w:pPr>
        <w:pStyle w:val="Heading3"/>
      </w:pPr>
    </w:p>
    <w:p w14:paraId="6BD37732" w14:textId="35018984" w:rsidR="006B2253" w:rsidRDefault="006B2253" w:rsidP="006B2253">
      <w:pPr>
        <w:pStyle w:val="Heading3"/>
      </w:pPr>
      <w:bookmarkStart w:id="14" w:name="_Toc143505422"/>
      <w:r>
        <w:t>2.4.3 Caveats</w:t>
      </w:r>
      <w:bookmarkEnd w:id="14"/>
    </w:p>
    <w:p w14:paraId="7243D1A2" w14:textId="7851DED3" w:rsidR="00DA0270" w:rsidRDefault="00DA0270" w:rsidP="00DA0270">
      <w:pPr>
        <w:jc w:val="both"/>
      </w:pPr>
      <w:r>
        <w:t>Cancer pathology is not a substitute for registry data, which remains the most authoritative source of data on new cancers. Pathology data cannot provide a full picture of new cancers because not all new cancers are detected via pathology samples and a sample is not always taken when cancer is diagnosed.</w:t>
      </w:r>
    </w:p>
    <w:p w14:paraId="6BDBEDAC" w14:textId="439AEA71" w:rsidR="004F7413" w:rsidRDefault="00F74728" w:rsidP="00DA0270">
      <w:pPr>
        <w:jc w:val="both"/>
      </w:pPr>
      <w:r>
        <w:rPr>
          <w:noProof/>
          <w:lang w:eastAsia="en-GB"/>
        </w:rPr>
        <mc:AlternateContent>
          <mc:Choice Requires="wps">
            <w:drawing>
              <wp:anchor distT="45720" distB="45720" distL="114300" distR="114300" simplePos="0" relativeHeight="251680768" behindDoc="0" locked="0" layoutInCell="1" allowOverlap="1" wp14:anchorId="4FBD7812" wp14:editId="46B6853B">
                <wp:simplePos x="0" y="0"/>
                <wp:positionH relativeFrom="margin">
                  <wp:align>left</wp:align>
                </wp:positionH>
                <wp:positionV relativeFrom="paragraph">
                  <wp:posOffset>1079013</wp:posOffset>
                </wp:positionV>
                <wp:extent cx="5657850" cy="609600"/>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7850" cy="609600"/>
                        </a:xfrm>
                        <a:prstGeom prst="rect">
                          <a:avLst/>
                        </a:prstGeom>
                        <a:noFill/>
                        <a:ln w="9525">
                          <a:noFill/>
                          <a:miter lim="800000"/>
                          <a:headEnd/>
                          <a:tailEnd/>
                        </a:ln>
                      </wps:spPr>
                      <wps:txbx>
                        <w:txbxContent>
                          <w:p w14:paraId="2CFF4636" w14:textId="5D09E6B9" w:rsidR="009B4CD1" w:rsidRPr="008A0831" w:rsidRDefault="009B4CD1" w:rsidP="00500AB2">
                            <w:pPr>
                              <w:jc w:val="both"/>
                              <w:rPr>
                                <w:sz w:val="20"/>
                                <w:szCs w:val="18"/>
                              </w:rPr>
                            </w:pPr>
                            <w:r w:rsidRPr="008A0831">
                              <w:rPr>
                                <w:sz w:val="20"/>
                                <w:szCs w:val="18"/>
                              </w:rPr>
                              <w:t xml:space="preserve">Table </w:t>
                            </w:r>
                            <w:r>
                              <w:rPr>
                                <w:sz w:val="20"/>
                                <w:szCs w:val="18"/>
                              </w:rPr>
                              <w:t>2</w:t>
                            </w:r>
                            <w:r w:rsidRPr="008A0831">
                              <w:rPr>
                                <w:sz w:val="20"/>
                                <w:szCs w:val="18"/>
                              </w:rPr>
                              <w:t xml:space="preserve">: </w:t>
                            </w:r>
                            <w:r>
                              <w:rPr>
                                <w:sz w:val="20"/>
                                <w:szCs w:val="18"/>
                              </w:rPr>
                              <w:t xml:space="preserve">Summary comparison of pathology samples vs WCISU cancer registration incidence data, showing the pathology count as a percentage of the registration count. Total counts for the period January 2018 to May 2023.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FBD7812" id="_x0000_t202" coordsize="21600,21600" o:spt="202" path="m,l,21600r21600,l21600,xe">
                <v:stroke joinstyle="miter"/>
                <v:path gradientshapeok="t" o:connecttype="rect"/>
              </v:shapetype>
              <v:shape id="_x0000_s1028" type="#_x0000_t202" style="position:absolute;left:0;text-align:left;margin-left:0;margin-top:84.95pt;width:445.5pt;height:48pt;z-index:25168076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" filled="f" stroked="f">
                <v:textbox>
                  <w:txbxContent>
                    <w:p w14:paraId="2CFF4636" w14:textId="5D09E6B9" w:rsidR="009B4CD1" w:rsidRPr="008A0831" w:rsidRDefault="009B4CD1" w:rsidP="00500AB2">
                      <w:pPr>
                        <w:jc w:val="both"/>
                        <w:rPr>
                          <w:sz w:val="20"/>
                          <w:szCs w:val="18"/>
                        </w:rPr>
                      </w:pPr>
                      <w:r w:rsidRPr="008A0831">
                        <w:rPr>
                          <w:sz w:val="20"/>
                          <w:szCs w:val="18"/>
                        </w:rPr>
                        <w:t xml:space="preserve">Table </w:t>
                      </w:r>
                      <w:r>
                        <w:rPr>
                          <w:sz w:val="20"/>
                          <w:szCs w:val="18"/>
                        </w:rPr>
                        <w:t>2</w:t>
                      </w:r>
                      <w:r w:rsidRPr="008A0831">
                        <w:rPr>
                          <w:sz w:val="20"/>
                          <w:szCs w:val="18"/>
                        </w:rPr>
                        <w:t xml:space="preserve">: </w:t>
                      </w:r>
                      <w:r>
                        <w:rPr>
                          <w:sz w:val="20"/>
                          <w:szCs w:val="18"/>
                        </w:rPr>
                        <w:t xml:space="preserve">Summary comparison of pathology samples vs WCISU cancer registration incidence data, showing the pathology count as a percentage of the registration count. Total counts for the period January 2018 to May 2023. </w:t>
                      </w:r>
                    </w:p>
                  </w:txbxContent>
                </v:textbox>
                <w10:wrap type="square" anchorx="margin"/>
              </v:shape>
            </w:pict>
          </mc:Fallback>
        </mc:AlternateContent>
      </w:r>
      <w:r w:rsidR="00DA0270">
        <w:t xml:space="preserve">Pathology data therefore provides a more accurate estimate of incidence for some cancers compared to others. The greater the proportion of new cancers detected early by pathology sampling, the more accurate the estimate of incidence will be. </w:t>
      </w:r>
      <w:r w:rsidR="004F7413">
        <w:t>Table 2 provides a summary of how pathology data for the cancer sites analysed compare</w:t>
      </w:r>
      <w:r w:rsidR="00F8616A">
        <w:t>d</w:t>
      </w:r>
      <w:r w:rsidR="004F7413">
        <w:t xml:space="preserve"> to cancer registration data.</w:t>
      </w:r>
    </w:p>
    <w:tbl>
      <w:tblPr>
        <w:tblStyle w:val="PlainTable2"/>
        <w:tblW w:w="0" w:type="auto"/>
        <w:tblLook w:val="04A0" w:firstRow="1" w:lastRow="0" w:firstColumn="1" w:lastColumn="0" w:noHBand="0" w:noVBand="1"/>
      </w:tblPr>
      <w:tblGrid>
        <w:gridCol w:w="4531"/>
        <w:gridCol w:w="1495"/>
        <w:gridCol w:w="1495"/>
        <w:gridCol w:w="1495"/>
      </w:tblGrid>
      <w:tr w:rsidR="004F7413" w14:paraId="6486455C" w14:textId="77777777" w:rsidTr="004F74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2DFBFB10" w14:textId="77A3E15A" w:rsidR="004F7413" w:rsidRPr="004F7413" w:rsidRDefault="004F7413" w:rsidP="004F7413">
            <w:pPr>
              <w:spacing w:line="360" w:lineRule="auto"/>
              <w:jc w:val="both"/>
              <w:rPr>
                <w:sz w:val="18"/>
                <w:szCs w:val="16"/>
              </w:rPr>
            </w:pPr>
            <w:r>
              <w:rPr>
                <w:sz w:val="18"/>
                <w:szCs w:val="16"/>
              </w:rPr>
              <w:t>Cancer type</w:t>
            </w:r>
          </w:p>
        </w:tc>
        <w:tc>
          <w:tcPr>
            <w:tcW w:w="1495" w:type="dxa"/>
          </w:tcPr>
          <w:p w14:paraId="36DB6BE1" w14:textId="71334EFB" w:rsidR="004F7413" w:rsidRPr="004F7413" w:rsidRDefault="004F7413" w:rsidP="004F7413">
            <w:pPr>
              <w:spacing w:line="360" w:lineRule="auto"/>
              <w:jc w:val="right"/>
              <w:cnfStyle w:val="100000000000" w:firstRow="1" w:lastRow="0" w:firstColumn="0" w:lastColumn="0" w:oddVBand="0" w:evenVBand="0" w:oddHBand="0" w:evenHBand="0" w:firstRowFirstColumn="0" w:firstRowLastColumn="0" w:lastRowFirstColumn="0" w:lastRowLastColumn="0"/>
              <w:rPr>
                <w:sz w:val="18"/>
                <w:szCs w:val="16"/>
              </w:rPr>
            </w:pPr>
            <w:r>
              <w:rPr>
                <w:sz w:val="18"/>
                <w:szCs w:val="16"/>
              </w:rPr>
              <w:t>Pathology samples</w:t>
            </w:r>
          </w:p>
        </w:tc>
        <w:tc>
          <w:tcPr>
            <w:tcW w:w="1495" w:type="dxa"/>
          </w:tcPr>
          <w:p w14:paraId="1AC67321" w14:textId="376B2623" w:rsidR="004F7413" w:rsidRPr="004F7413" w:rsidRDefault="004F7413" w:rsidP="004F7413">
            <w:pPr>
              <w:spacing w:line="360" w:lineRule="auto"/>
              <w:jc w:val="right"/>
              <w:cnfStyle w:val="100000000000" w:firstRow="1" w:lastRow="0" w:firstColumn="0" w:lastColumn="0" w:oddVBand="0" w:evenVBand="0" w:oddHBand="0" w:evenHBand="0" w:firstRowFirstColumn="0" w:firstRowLastColumn="0" w:lastRowFirstColumn="0" w:lastRowLastColumn="0"/>
              <w:rPr>
                <w:sz w:val="18"/>
                <w:szCs w:val="16"/>
              </w:rPr>
            </w:pPr>
            <w:r>
              <w:rPr>
                <w:sz w:val="18"/>
                <w:szCs w:val="16"/>
              </w:rPr>
              <w:t>WCISU Registration</w:t>
            </w:r>
            <w:r w:rsidR="00F74728">
              <w:rPr>
                <w:sz w:val="18"/>
                <w:szCs w:val="16"/>
              </w:rPr>
              <w:t>s</w:t>
            </w:r>
          </w:p>
        </w:tc>
        <w:tc>
          <w:tcPr>
            <w:tcW w:w="1495" w:type="dxa"/>
          </w:tcPr>
          <w:p w14:paraId="4A3B6B0A" w14:textId="02030B67" w:rsidR="004F7413" w:rsidRPr="004F7413" w:rsidRDefault="004F7413" w:rsidP="004F7413">
            <w:pPr>
              <w:spacing w:line="360" w:lineRule="auto"/>
              <w:jc w:val="right"/>
              <w:cnfStyle w:val="100000000000" w:firstRow="1" w:lastRow="0" w:firstColumn="0" w:lastColumn="0" w:oddVBand="0" w:evenVBand="0" w:oddHBand="0" w:evenHBand="0" w:firstRowFirstColumn="0" w:firstRowLastColumn="0" w:lastRowFirstColumn="0" w:lastRowLastColumn="0"/>
              <w:rPr>
                <w:sz w:val="18"/>
                <w:szCs w:val="16"/>
              </w:rPr>
            </w:pPr>
            <w:r>
              <w:rPr>
                <w:sz w:val="18"/>
                <w:szCs w:val="16"/>
              </w:rPr>
              <w:t>Percentage (%)</w:t>
            </w:r>
          </w:p>
        </w:tc>
      </w:tr>
      <w:tr w:rsidR="004F7413" w14:paraId="3F0A0CEF" w14:textId="77777777" w:rsidTr="004F74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0E1FB563" w14:textId="365499FC" w:rsidR="004F7413" w:rsidRPr="004F7413" w:rsidRDefault="004F7413" w:rsidP="004F7413">
            <w:pPr>
              <w:spacing w:line="360" w:lineRule="auto"/>
              <w:jc w:val="both"/>
              <w:rPr>
                <w:b w:val="0"/>
                <w:bCs w:val="0"/>
                <w:sz w:val="18"/>
                <w:szCs w:val="16"/>
              </w:rPr>
            </w:pPr>
            <w:r w:rsidRPr="004F7413">
              <w:rPr>
                <w:b w:val="0"/>
                <w:bCs w:val="0"/>
                <w:sz w:val="18"/>
                <w:szCs w:val="16"/>
              </w:rPr>
              <w:t>All malignancies excluding NMSC</w:t>
            </w:r>
          </w:p>
        </w:tc>
        <w:tc>
          <w:tcPr>
            <w:tcW w:w="1495" w:type="dxa"/>
          </w:tcPr>
          <w:p w14:paraId="717E5E12" w14:textId="527D7F12" w:rsidR="004F7413" w:rsidRPr="004F7413" w:rsidRDefault="004F7413" w:rsidP="004F7413">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40362</w:t>
            </w:r>
          </w:p>
        </w:tc>
        <w:tc>
          <w:tcPr>
            <w:tcW w:w="1495" w:type="dxa"/>
          </w:tcPr>
          <w:p w14:paraId="17EBC0D8" w14:textId="3A947332" w:rsidR="004F7413" w:rsidRPr="004F7413" w:rsidRDefault="004F7413" w:rsidP="004F7413">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58201</w:t>
            </w:r>
          </w:p>
        </w:tc>
        <w:tc>
          <w:tcPr>
            <w:tcW w:w="1495" w:type="dxa"/>
          </w:tcPr>
          <w:p w14:paraId="4A51CBF3" w14:textId="28C67BE5" w:rsidR="004F7413" w:rsidRPr="004F7413" w:rsidRDefault="004F7413" w:rsidP="004F7413">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69.3</w:t>
            </w:r>
          </w:p>
        </w:tc>
      </w:tr>
      <w:tr w:rsidR="004F7413" w14:paraId="5CA31C85" w14:textId="77777777" w:rsidTr="004F7413">
        <w:tc>
          <w:tcPr>
            <w:cnfStyle w:val="001000000000" w:firstRow="0" w:lastRow="0" w:firstColumn="1" w:lastColumn="0" w:oddVBand="0" w:evenVBand="0" w:oddHBand="0" w:evenHBand="0" w:firstRowFirstColumn="0" w:firstRowLastColumn="0" w:lastRowFirstColumn="0" w:lastRowLastColumn="0"/>
            <w:tcW w:w="4531" w:type="dxa"/>
          </w:tcPr>
          <w:p w14:paraId="7F9EF6A0" w14:textId="068A23B3" w:rsidR="004F7413" w:rsidRPr="004F7413" w:rsidRDefault="004F7413" w:rsidP="004F7413">
            <w:pPr>
              <w:spacing w:line="360" w:lineRule="auto"/>
              <w:jc w:val="both"/>
              <w:rPr>
                <w:b w:val="0"/>
                <w:bCs w:val="0"/>
                <w:sz w:val="18"/>
                <w:szCs w:val="16"/>
              </w:rPr>
            </w:pPr>
            <w:r w:rsidRPr="004F7413">
              <w:rPr>
                <w:b w:val="0"/>
                <w:bCs w:val="0"/>
                <w:sz w:val="18"/>
                <w:szCs w:val="16"/>
              </w:rPr>
              <w:t>Breast cancer</w:t>
            </w:r>
          </w:p>
        </w:tc>
        <w:tc>
          <w:tcPr>
            <w:tcW w:w="1495" w:type="dxa"/>
          </w:tcPr>
          <w:p w14:paraId="1068551C" w14:textId="5CAA7946" w:rsidR="004F7413" w:rsidRPr="004F7413" w:rsidRDefault="004F7413" w:rsidP="004F7413">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7462</w:t>
            </w:r>
          </w:p>
        </w:tc>
        <w:tc>
          <w:tcPr>
            <w:tcW w:w="1495" w:type="dxa"/>
          </w:tcPr>
          <w:p w14:paraId="0D95C5C0" w14:textId="4FB703C9" w:rsidR="004F7413" w:rsidRPr="004F7413" w:rsidRDefault="004F7413" w:rsidP="004F7413">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7944</w:t>
            </w:r>
          </w:p>
        </w:tc>
        <w:tc>
          <w:tcPr>
            <w:tcW w:w="1495" w:type="dxa"/>
          </w:tcPr>
          <w:p w14:paraId="45D02187" w14:textId="46A5E220" w:rsidR="004F7413" w:rsidRPr="004F7413" w:rsidRDefault="004F7413" w:rsidP="004F7413">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93.9</w:t>
            </w:r>
          </w:p>
        </w:tc>
      </w:tr>
      <w:tr w:rsidR="004F7413" w14:paraId="021101D7" w14:textId="77777777" w:rsidTr="004F74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788A0A68" w14:textId="6EC4BA4F" w:rsidR="004F7413" w:rsidRPr="004F7413" w:rsidRDefault="004F7413" w:rsidP="004F7413">
            <w:pPr>
              <w:spacing w:line="360" w:lineRule="auto"/>
              <w:jc w:val="both"/>
              <w:rPr>
                <w:b w:val="0"/>
                <w:bCs w:val="0"/>
                <w:sz w:val="18"/>
                <w:szCs w:val="16"/>
              </w:rPr>
            </w:pPr>
            <w:r w:rsidRPr="004F7413">
              <w:rPr>
                <w:b w:val="0"/>
                <w:bCs w:val="0"/>
                <w:sz w:val="18"/>
                <w:szCs w:val="16"/>
              </w:rPr>
              <w:t>Prostate cancer</w:t>
            </w:r>
          </w:p>
        </w:tc>
        <w:tc>
          <w:tcPr>
            <w:tcW w:w="1495" w:type="dxa"/>
          </w:tcPr>
          <w:p w14:paraId="62BE2DCB" w14:textId="3F722EFD" w:rsidR="004F7413" w:rsidRPr="004F7413" w:rsidRDefault="004F7413" w:rsidP="004F7413">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5129</w:t>
            </w:r>
          </w:p>
        </w:tc>
        <w:tc>
          <w:tcPr>
            <w:tcW w:w="1495" w:type="dxa"/>
          </w:tcPr>
          <w:p w14:paraId="34EFA1E2" w14:textId="49C99AD7" w:rsidR="004F7413" w:rsidRPr="004F7413" w:rsidRDefault="004F7413" w:rsidP="004F7413">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8553</w:t>
            </w:r>
          </w:p>
        </w:tc>
        <w:tc>
          <w:tcPr>
            <w:tcW w:w="1495" w:type="dxa"/>
          </w:tcPr>
          <w:p w14:paraId="68222C79" w14:textId="265A3D9F" w:rsidR="004F7413" w:rsidRPr="004F7413" w:rsidRDefault="004F7413" w:rsidP="004F7413">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60.0</w:t>
            </w:r>
          </w:p>
        </w:tc>
      </w:tr>
      <w:tr w:rsidR="004F7413" w14:paraId="19AB2EC3" w14:textId="77777777" w:rsidTr="004F7413">
        <w:tc>
          <w:tcPr>
            <w:cnfStyle w:val="001000000000" w:firstRow="0" w:lastRow="0" w:firstColumn="1" w:lastColumn="0" w:oddVBand="0" w:evenVBand="0" w:oddHBand="0" w:evenHBand="0" w:firstRowFirstColumn="0" w:firstRowLastColumn="0" w:lastRowFirstColumn="0" w:lastRowLastColumn="0"/>
            <w:tcW w:w="4531" w:type="dxa"/>
          </w:tcPr>
          <w:p w14:paraId="61804D73" w14:textId="02404822" w:rsidR="004F7413" w:rsidRPr="004F7413" w:rsidRDefault="004F7413" w:rsidP="004F7413">
            <w:pPr>
              <w:spacing w:line="360" w:lineRule="auto"/>
              <w:jc w:val="both"/>
              <w:rPr>
                <w:b w:val="0"/>
                <w:bCs w:val="0"/>
                <w:sz w:val="18"/>
                <w:szCs w:val="16"/>
              </w:rPr>
            </w:pPr>
            <w:r w:rsidRPr="004F7413">
              <w:rPr>
                <w:b w:val="0"/>
                <w:bCs w:val="0"/>
                <w:sz w:val="18"/>
                <w:szCs w:val="16"/>
              </w:rPr>
              <w:t>Lung cancer</w:t>
            </w:r>
          </w:p>
        </w:tc>
        <w:tc>
          <w:tcPr>
            <w:tcW w:w="1495" w:type="dxa"/>
          </w:tcPr>
          <w:p w14:paraId="12282566" w14:textId="203DE432" w:rsidR="004F7413" w:rsidRPr="004F7413" w:rsidRDefault="004F7413" w:rsidP="004F7413">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3125</w:t>
            </w:r>
          </w:p>
        </w:tc>
        <w:tc>
          <w:tcPr>
            <w:tcW w:w="1495" w:type="dxa"/>
          </w:tcPr>
          <w:p w14:paraId="292F84C3" w14:textId="4D5E6FEA" w:rsidR="004F7413" w:rsidRPr="004F7413" w:rsidRDefault="004F7413" w:rsidP="004F7413">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7443</w:t>
            </w:r>
          </w:p>
        </w:tc>
        <w:tc>
          <w:tcPr>
            <w:tcW w:w="1495" w:type="dxa"/>
          </w:tcPr>
          <w:p w14:paraId="1F04E3FD" w14:textId="21402F01" w:rsidR="004F7413" w:rsidRPr="004F7413" w:rsidRDefault="004F7413" w:rsidP="004F7413">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42.0</w:t>
            </w:r>
          </w:p>
        </w:tc>
      </w:tr>
      <w:tr w:rsidR="004F7413" w14:paraId="4E9C87CC" w14:textId="77777777" w:rsidTr="004F74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572DBE1D" w14:textId="2E6CA1B0" w:rsidR="004F7413" w:rsidRPr="004F7413" w:rsidRDefault="004F7413" w:rsidP="004F7413">
            <w:pPr>
              <w:spacing w:line="360" w:lineRule="auto"/>
              <w:jc w:val="both"/>
              <w:rPr>
                <w:b w:val="0"/>
                <w:bCs w:val="0"/>
                <w:sz w:val="18"/>
                <w:szCs w:val="16"/>
              </w:rPr>
            </w:pPr>
            <w:r w:rsidRPr="004F7413">
              <w:rPr>
                <w:b w:val="0"/>
                <w:bCs w:val="0"/>
                <w:sz w:val="18"/>
                <w:szCs w:val="16"/>
              </w:rPr>
              <w:t>Colorectal cancer</w:t>
            </w:r>
          </w:p>
        </w:tc>
        <w:tc>
          <w:tcPr>
            <w:tcW w:w="1495" w:type="dxa"/>
          </w:tcPr>
          <w:p w14:paraId="10E33F1F" w14:textId="6079D5FB" w:rsidR="004F7413" w:rsidRPr="004F7413" w:rsidRDefault="004F7413" w:rsidP="004F7413">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5011</w:t>
            </w:r>
          </w:p>
        </w:tc>
        <w:tc>
          <w:tcPr>
            <w:tcW w:w="1495" w:type="dxa"/>
          </w:tcPr>
          <w:p w14:paraId="78F940E8" w14:textId="3431655C" w:rsidR="004F7413" w:rsidRPr="004F7413" w:rsidRDefault="004F7413" w:rsidP="004F7413">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6973</w:t>
            </w:r>
          </w:p>
        </w:tc>
        <w:tc>
          <w:tcPr>
            <w:tcW w:w="1495" w:type="dxa"/>
          </w:tcPr>
          <w:p w14:paraId="0D3BEA69" w14:textId="70E92B77" w:rsidR="004F7413" w:rsidRPr="004F7413" w:rsidRDefault="004F7413" w:rsidP="004F7413">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71.9</w:t>
            </w:r>
          </w:p>
        </w:tc>
      </w:tr>
      <w:tr w:rsidR="004F7413" w14:paraId="56F14583" w14:textId="77777777" w:rsidTr="004F7413">
        <w:tc>
          <w:tcPr>
            <w:cnfStyle w:val="001000000000" w:firstRow="0" w:lastRow="0" w:firstColumn="1" w:lastColumn="0" w:oddVBand="0" w:evenVBand="0" w:oddHBand="0" w:evenHBand="0" w:firstRowFirstColumn="0" w:firstRowLastColumn="0" w:lastRowFirstColumn="0" w:lastRowLastColumn="0"/>
            <w:tcW w:w="4531" w:type="dxa"/>
          </w:tcPr>
          <w:p w14:paraId="66128C27" w14:textId="389E275C" w:rsidR="004F7413" w:rsidRPr="004F7413" w:rsidRDefault="004F7413" w:rsidP="004F7413">
            <w:pPr>
              <w:spacing w:line="360" w:lineRule="auto"/>
              <w:jc w:val="both"/>
              <w:rPr>
                <w:b w:val="0"/>
                <w:bCs w:val="0"/>
                <w:sz w:val="18"/>
                <w:szCs w:val="16"/>
              </w:rPr>
            </w:pPr>
            <w:r w:rsidRPr="004F7413">
              <w:rPr>
                <w:b w:val="0"/>
                <w:bCs w:val="0"/>
                <w:sz w:val="18"/>
                <w:szCs w:val="16"/>
              </w:rPr>
              <w:t>Ovarian cancer</w:t>
            </w:r>
          </w:p>
        </w:tc>
        <w:tc>
          <w:tcPr>
            <w:tcW w:w="1495" w:type="dxa"/>
          </w:tcPr>
          <w:p w14:paraId="70979559" w14:textId="37A0B829" w:rsidR="004F7413" w:rsidRPr="004F7413" w:rsidRDefault="004F7413" w:rsidP="004F7413">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399</w:t>
            </w:r>
          </w:p>
        </w:tc>
        <w:tc>
          <w:tcPr>
            <w:tcW w:w="1495" w:type="dxa"/>
          </w:tcPr>
          <w:p w14:paraId="024967BB" w14:textId="4B701FDF" w:rsidR="004F7413" w:rsidRPr="004F7413" w:rsidRDefault="004F7413" w:rsidP="004F7413">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956</w:t>
            </w:r>
          </w:p>
        </w:tc>
        <w:tc>
          <w:tcPr>
            <w:tcW w:w="1495" w:type="dxa"/>
          </w:tcPr>
          <w:p w14:paraId="551D0FBA" w14:textId="7CD19A30" w:rsidR="004F7413" w:rsidRPr="004F7413" w:rsidRDefault="004F7413" w:rsidP="004F7413">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41.7</w:t>
            </w:r>
          </w:p>
        </w:tc>
      </w:tr>
    </w:tbl>
    <w:p w14:paraId="39BBF6EC" w14:textId="57FD4D1C" w:rsidR="00440492" w:rsidRDefault="00440492" w:rsidP="00DA0270">
      <w:pPr>
        <w:jc w:val="both"/>
      </w:pPr>
    </w:p>
    <w:p w14:paraId="5D5C81CA" w14:textId="395D53E8" w:rsidR="00440492" w:rsidRDefault="00DC0C51" w:rsidP="00DA0270">
      <w:pPr>
        <w:jc w:val="both"/>
      </w:pPr>
      <w:r>
        <w:t>Figure 1</w:t>
      </w:r>
      <w:r w:rsidR="005764F6">
        <w:t xml:space="preserve"> illustrate</w:t>
      </w:r>
      <w:r w:rsidR="0042566E">
        <w:t>s</w:t>
      </w:r>
      <w:r w:rsidR="005764F6">
        <w:t xml:space="preserve"> </w:t>
      </w:r>
      <w:r w:rsidR="0042566E">
        <w:t xml:space="preserve">the monthly </w:t>
      </w:r>
      <w:r w:rsidR="005764F6">
        <w:t xml:space="preserve">pathology data alongside registry data for </w:t>
      </w:r>
      <w:r w:rsidR="0042566E">
        <w:t>all malignancies excluding NMSC</w:t>
      </w:r>
      <w:r w:rsidR="005A5EC8">
        <w:t xml:space="preserve">. </w:t>
      </w:r>
      <w:r w:rsidR="00440492">
        <w:t xml:space="preserve">Pathology samples accounted for around 70% of WCISU cancer registration incident cases for all malignancies excluding NMSC. </w:t>
      </w:r>
      <w:r w:rsidR="00027121">
        <w:t>Cancer diagnoses are not always confirmed via pathology tests, so comparability of pathology data to cancer registration data may vary for different cancer sites.</w:t>
      </w:r>
      <w:r w:rsidR="00AD1CDF">
        <w:t xml:space="preserve"> See </w:t>
      </w:r>
      <w:hyperlink w:anchor="_13_Appendix_D" w:history="1">
        <w:r w:rsidR="00AD1CDF" w:rsidRPr="009B5BE2">
          <w:rPr>
            <w:rStyle w:val="Hyperlink"/>
          </w:rPr>
          <w:t>Appendix D</w:t>
        </w:r>
      </w:hyperlink>
      <w:r w:rsidR="00AD1CDF">
        <w:t xml:space="preserve"> for charts illustrating the monthly pathology data alongside registry data for the other cancer sites analysed.</w:t>
      </w:r>
    </w:p>
    <w:p w14:paraId="2C065675" w14:textId="77777777" w:rsidR="00DC0C51" w:rsidRDefault="00DC0C51" w:rsidP="00DC0C51">
      <w:pPr>
        <w:jc w:val="both"/>
      </w:pPr>
      <w:r>
        <w:t xml:space="preserve">As described above, topography and morphology codes from the pathology data are converted into ICD-10 codes </w:t>
      </w:r>
      <w:proofErr w:type="gramStart"/>
      <w:r>
        <w:t>in order to</w:t>
      </w:r>
      <w:proofErr w:type="gramEnd"/>
      <w:r>
        <w:t xml:space="preserve"> present summarised statistics. There is no single, established lookup table for this conversion process; a bespoke, three-step process was developed using lookup tables provided by colleagues from other UK nations. This process may be adjusted in the future as the method is refined.</w:t>
      </w:r>
    </w:p>
    <w:p w14:paraId="0A2F8599" w14:textId="77777777" w:rsidR="00DC0C51" w:rsidRDefault="00DC0C51" w:rsidP="00DC0C51">
      <w:pPr>
        <w:jc w:val="both"/>
      </w:pPr>
      <w:r>
        <w:t xml:space="preserve">On average, of all pathology records with morphology indicating a primary malignant tumour, around 12% each year could not be matched to an ICD-10 code. </w:t>
      </w:r>
    </w:p>
    <w:p w14:paraId="5C24EFCF" w14:textId="77777777" w:rsidR="00DC0C51" w:rsidRDefault="00DC0C51" w:rsidP="00DC0C51">
      <w:pPr>
        <w:jc w:val="both"/>
      </w:pPr>
      <w:r>
        <w:t>The most recent points shown in the chart above are subject to minor changes as the data is updated due to data lags.</w:t>
      </w:r>
    </w:p>
    <w:p w14:paraId="4F9541B3" w14:textId="77777777" w:rsidR="00DC0C51" w:rsidRDefault="00DC0C51" w:rsidP="00DA0270">
      <w:pPr>
        <w:jc w:val="both"/>
      </w:pPr>
    </w:p>
    <w:p w14:paraId="20F09318" w14:textId="7C6C905D" w:rsidR="00D27AF0" w:rsidRDefault="00DC0C51" w:rsidP="00C74405">
      <w:pPr>
        <w:jc w:val="center"/>
      </w:pPr>
      <w:r>
        <w:rPr>
          <w:noProof/>
          <w:lang w:eastAsia="en-GB"/>
        </w:rPr>
        <w:lastRenderedPageBreak/>
        <mc:AlternateContent>
          <mc:Choice Requires="wps">
            <w:drawing>
              <wp:anchor distT="45720" distB="45720" distL="114300" distR="114300" simplePos="0" relativeHeight="251682816" behindDoc="0" locked="0" layoutInCell="1" allowOverlap="1" wp14:anchorId="119CD682" wp14:editId="244BE45B">
                <wp:simplePos x="0" y="0"/>
                <wp:positionH relativeFrom="margin">
                  <wp:align>left</wp:align>
                </wp:positionH>
                <wp:positionV relativeFrom="paragraph">
                  <wp:posOffset>5035</wp:posOffset>
                </wp:positionV>
                <wp:extent cx="5879465" cy="400050"/>
                <wp:effectExtent l="0" t="0" r="0" b="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79465" cy="400050"/>
                        </a:xfrm>
                        <a:prstGeom prst="rect">
                          <a:avLst/>
                        </a:prstGeom>
                        <a:noFill/>
                        <a:ln w="9525">
                          <a:noFill/>
                          <a:miter lim="800000"/>
                          <a:headEnd/>
                          <a:tailEnd/>
                        </a:ln>
                      </wps:spPr>
                      <wps:txbx>
                        <w:txbxContent>
                          <w:p w14:paraId="5CC1374B" w14:textId="5115405C" w:rsidR="009B4CD1" w:rsidRPr="008A0831" w:rsidRDefault="009B4CD1" w:rsidP="00500AB2">
                            <w:pPr>
                              <w:jc w:val="both"/>
                              <w:rPr>
                                <w:sz w:val="20"/>
                                <w:szCs w:val="18"/>
                              </w:rPr>
                            </w:pPr>
                            <w:r>
                              <w:rPr>
                                <w:sz w:val="20"/>
                                <w:szCs w:val="18"/>
                              </w:rPr>
                              <w:t xml:space="preserve">Figure 1: </w:t>
                            </w:r>
                            <w:r w:rsidRPr="008A0831">
                              <w:rPr>
                                <w:sz w:val="20"/>
                                <w:szCs w:val="18"/>
                              </w:rPr>
                              <w:t xml:space="preserve"> </w:t>
                            </w:r>
                            <w:r>
                              <w:rPr>
                                <w:sz w:val="20"/>
                                <w:szCs w:val="18"/>
                              </w:rPr>
                              <w:t xml:space="preserve">Monthly pathology samples vs monthly cancer registration data in Wales for all malignancies excluding NMSC, January 2018 to December 2020.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19CD682" id="_x0000_t202" coordsize="21600,21600" o:spt="202" path="m,l,21600r21600,l21600,xe">
                <v:stroke joinstyle="miter"/>
                <v:path gradientshapeok="t" o:connecttype="rect"/>
              </v:shapetype>
              <v:shape id="_x0000_s1029" type="#_x0000_t202" style="position:absolute;left:0;text-align:left;margin-left:0;margin-top:.4pt;width:462.95pt;height:31.5pt;z-index:25168281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" filled="f" stroked="f">
                <v:textbox>
                  <w:txbxContent>
                    <w:p w14:paraId="5CC1374B" w14:textId="5115405C" w:rsidR="009B4CD1" w:rsidRPr="008A0831" w:rsidRDefault="009B4CD1" w:rsidP="00500AB2">
                      <w:pPr>
                        <w:jc w:val="both"/>
                        <w:rPr>
                          <w:sz w:val="20"/>
                          <w:szCs w:val="18"/>
                        </w:rPr>
                      </w:pPr>
                      <w:r>
                        <w:rPr>
                          <w:sz w:val="20"/>
                          <w:szCs w:val="18"/>
                        </w:rPr>
                        <w:t xml:space="preserve">Figure 1: </w:t>
                      </w:r>
                      <w:r w:rsidRPr="008A0831">
                        <w:rPr>
                          <w:sz w:val="20"/>
                          <w:szCs w:val="18"/>
                        </w:rPr>
                        <w:t xml:space="preserve"> </w:t>
                      </w:r>
                      <w:r>
                        <w:rPr>
                          <w:sz w:val="20"/>
                          <w:szCs w:val="18"/>
                        </w:rPr>
                        <w:t xml:space="preserve">Monthly pathology samples vs monthly cancer registration data in Wales for all malignancies excluding NMSC, January 2018 to December 2020.  </w:t>
                      </w:r>
                    </w:p>
                  </w:txbxContent>
                </v:textbox>
                <w10:wrap type="square" anchorx="margin"/>
              </v:shape>
            </w:pict>
          </mc:Fallback>
        </mc:AlternateContent>
      </w:r>
      <w:r w:rsidR="008174EF">
        <w:rPr>
          <w:noProof/>
        </w:rPr>
        <w:drawing>
          <wp:inline distT="0" distB="0" distL="0" distR="0" wp14:anchorId="3AEFAF48" wp14:editId="5A97BA4B">
            <wp:extent cx="5858510" cy="2820047"/>
            <wp:effectExtent l="0" t="0" r="889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858510" cy="2820047"/>
                    </a:xfrm>
                    <a:prstGeom prst="rect">
                      <a:avLst/>
                    </a:prstGeom>
                    <a:noFill/>
                  </pic:spPr>
                </pic:pic>
              </a:graphicData>
            </a:graphic>
          </wp:inline>
        </w:drawing>
      </w:r>
    </w:p>
    <w:p w14:paraId="4171F1C3" w14:textId="77777777" w:rsidR="00500AB2" w:rsidRPr="006B2253" w:rsidRDefault="00500AB2" w:rsidP="00D27AF0">
      <w:pPr>
        <w:jc w:val="both"/>
      </w:pPr>
    </w:p>
    <w:p w14:paraId="06FBAB8A" w14:textId="48B1A653" w:rsidR="00026B97" w:rsidRPr="00026B97" w:rsidRDefault="00004822" w:rsidP="00031D1B">
      <w:pPr>
        <w:pStyle w:val="Heading2"/>
      </w:pPr>
      <w:bookmarkStart w:id="15" w:name="_Toc143505423"/>
      <w:r w:rsidRPr="00CE310E">
        <w:t>2.</w:t>
      </w:r>
      <w:r w:rsidR="00C31D9E">
        <w:t>5</w:t>
      </w:r>
      <w:r w:rsidRPr="00CE310E">
        <w:t xml:space="preserve"> Reported Characteristics</w:t>
      </w:r>
      <w:bookmarkEnd w:id="15"/>
    </w:p>
    <w:p w14:paraId="1B7B12F8" w14:textId="3FB72A4B" w:rsidR="00004822" w:rsidRPr="00F10586" w:rsidRDefault="00004822" w:rsidP="00317A89">
      <w:pPr>
        <w:pStyle w:val="Heading3"/>
        <w:jc w:val="both"/>
        <w:rPr>
          <w:rFonts w:cstheme="minorHAnsi"/>
          <w:szCs w:val="28"/>
        </w:rPr>
      </w:pPr>
      <w:bookmarkStart w:id="16" w:name="_Toc143505424"/>
      <w:r w:rsidRPr="00F10586">
        <w:rPr>
          <w:rFonts w:cstheme="minorHAnsi"/>
          <w:szCs w:val="28"/>
        </w:rPr>
        <w:t>2.</w:t>
      </w:r>
      <w:r w:rsidR="00C31D9E">
        <w:rPr>
          <w:rFonts w:cstheme="minorHAnsi"/>
          <w:szCs w:val="28"/>
        </w:rPr>
        <w:t>5.</w:t>
      </w:r>
      <w:r w:rsidRPr="00F10586">
        <w:rPr>
          <w:rFonts w:cstheme="minorHAnsi"/>
          <w:szCs w:val="28"/>
        </w:rPr>
        <w:t>1 Geographical area</w:t>
      </w:r>
      <w:bookmarkEnd w:id="16"/>
    </w:p>
    <w:p w14:paraId="5D5C7F77" w14:textId="407F50C8" w:rsidR="00004822" w:rsidRDefault="00004822" w:rsidP="00317A89">
      <w:pPr>
        <w:jc w:val="both"/>
      </w:pPr>
      <w:r>
        <w:t>Analysis presented by geographical area</w:t>
      </w:r>
      <w:r w:rsidR="00C43AAF">
        <w:t>;</w:t>
      </w:r>
      <w:r>
        <w:t xml:space="preserve"> namely local authority, health board and at an all-Wales level, is based on an individual’s usual area of residence at time of diagnosis for incidence and survival, and at time of death for mortality. </w:t>
      </w:r>
    </w:p>
    <w:p w14:paraId="28BD1E58" w14:textId="77777777" w:rsidR="00C43AAF" w:rsidRDefault="00004822" w:rsidP="00317A89">
      <w:pPr>
        <w:jc w:val="both"/>
      </w:pPr>
      <w:r>
        <w:t xml:space="preserve">There are seven health boards within Wales. As of 1st April 2019, these are: </w:t>
      </w:r>
    </w:p>
    <w:p w14:paraId="39AAF46A" w14:textId="1440EC4D" w:rsidR="00C43AAF" w:rsidRDefault="00004822" w:rsidP="00C43AAF">
      <w:pPr>
        <w:pStyle w:val="ListParagraph"/>
        <w:numPr>
          <w:ilvl w:val="0"/>
          <w:numId w:val="16"/>
        </w:numPr>
        <w:jc w:val="both"/>
      </w:pPr>
      <w:r>
        <w:t>Aneurin Bevan University Health Board</w:t>
      </w:r>
      <w:r w:rsidR="005C757B">
        <w:t xml:space="preserve"> (UHB)</w:t>
      </w:r>
    </w:p>
    <w:p w14:paraId="368A1EE3" w14:textId="77777777" w:rsidR="00C43AAF" w:rsidRDefault="00004822" w:rsidP="00C43AAF">
      <w:pPr>
        <w:pStyle w:val="ListParagraph"/>
        <w:numPr>
          <w:ilvl w:val="0"/>
          <w:numId w:val="16"/>
        </w:numPr>
        <w:jc w:val="both"/>
      </w:pPr>
      <w:r>
        <w:t>Betsi Cadwaladr University Health Board</w:t>
      </w:r>
    </w:p>
    <w:p w14:paraId="2705A805" w14:textId="77777777" w:rsidR="00C43AAF" w:rsidRDefault="00004822" w:rsidP="00C43AAF">
      <w:pPr>
        <w:pStyle w:val="ListParagraph"/>
        <w:numPr>
          <w:ilvl w:val="0"/>
          <w:numId w:val="16"/>
        </w:numPr>
        <w:jc w:val="both"/>
      </w:pPr>
      <w:r>
        <w:t xml:space="preserve">Cwm </w:t>
      </w:r>
      <w:proofErr w:type="spellStart"/>
      <w:r>
        <w:t>Taf</w:t>
      </w:r>
      <w:proofErr w:type="spellEnd"/>
      <w:r>
        <w:t xml:space="preserve"> Morgannwg University Health Board</w:t>
      </w:r>
    </w:p>
    <w:p w14:paraId="0BDCCF69" w14:textId="77777777" w:rsidR="00C43AAF" w:rsidRDefault="00004822" w:rsidP="00C43AAF">
      <w:pPr>
        <w:pStyle w:val="ListParagraph"/>
        <w:numPr>
          <w:ilvl w:val="0"/>
          <w:numId w:val="16"/>
        </w:numPr>
        <w:jc w:val="both"/>
      </w:pPr>
      <w:r>
        <w:t>Cardiff and Vale University Health Board</w:t>
      </w:r>
    </w:p>
    <w:p w14:paraId="57A21F7C" w14:textId="77777777" w:rsidR="00C43AAF" w:rsidRDefault="00004822" w:rsidP="00C43AAF">
      <w:pPr>
        <w:pStyle w:val="ListParagraph"/>
        <w:numPr>
          <w:ilvl w:val="0"/>
          <w:numId w:val="16"/>
        </w:numPr>
        <w:jc w:val="both"/>
      </w:pPr>
      <w:r>
        <w:t xml:space="preserve">Hywel </w:t>
      </w:r>
      <w:proofErr w:type="spellStart"/>
      <w:r>
        <w:t>Dda</w:t>
      </w:r>
      <w:proofErr w:type="spellEnd"/>
      <w:r>
        <w:t xml:space="preserve"> University Health Board</w:t>
      </w:r>
    </w:p>
    <w:p w14:paraId="4DD93CA7" w14:textId="77777777" w:rsidR="00C43AAF" w:rsidRDefault="00004822" w:rsidP="00C43AAF">
      <w:pPr>
        <w:pStyle w:val="ListParagraph"/>
        <w:numPr>
          <w:ilvl w:val="0"/>
          <w:numId w:val="16"/>
        </w:numPr>
        <w:jc w:val="both"/>
      </w:pPr>
      <w:r>
        <w:t>Powys Teaching Health Board</w:t>
      </w:r>
    </w:p>
    <w:p w14:paraId="726B3953" w14:textId="1F7E5D97" w:rsidR="00004822" w:rsidRDefault="00004822" w:rsidP="00C43AAF">
      <w:pPr>
        <w:pStyle w:val="ListParagraph"/>
        <w:numPr>
          <w:ilvl w:val="0"/>
          <w:numId w:val="16"/>
        </w:numPr>
        <w:jc w:val="both"/>
      </w:pPr>
      <w:r>
        <w:t xml:space="preserve">Swansea Bay University Health Board. </w:t>
      </w:r>
    </w:p>
    <w:p w14:paraId="5A583BE8" w14:textId="77777777" w:rsidR="00C43AAF" w:rsidRDefault="00004822" w:rsidP="00317A89">
      <w:pPr>
        <w:jc w:val="both"/>
      </w:pPr>
      <w:r>
        <w:t xml:space="preserve">Prior to 1st April 2019, the seven health boards were: </w:t>
      </w:r>
    </w:p>
    <w:p w14:paraId="48622AB3" w14:textId="6FFD98FB" w:rsidR="00C43AAF" w:rsidRDefault="00004822" w:rsidP="00C43AAF">
      <w:pPr>
        <w:pStyle w:val="ListParagraph"/>
        <w:numPr>
          <w:ilvl w:val="0"/>
          <w:numId w:val="17"/>
        </w:numPr>
        <w:jc w:val="both"/>
      </w:pPr>
      <w:r>
        <w:t xml:space="preserve">Abertawe Bro Morgannwg </w:t>
      </w:r>
      <w:r w:rsidR="005C757B">
        <w:t>UHB</w:t>
      </w:r>
    </w:p>
    <w:p w14:paraId="6B8ACB35" w14:textId="68412EF5" w:rsidR="00C43AAF" w:rsidRDefault="00004822" w:rsidP="00C43AAF">
      <w:pPr>
        <w:pStyle w:val="ListParagraph"/>
        <w:numPr>
          <w:ilvl w:val="0"/>
          <w:numId w:val="17"/>
        </w:numPr>
        <w:jc w:val="both"/>
      </w:pPr>
      <w:r>
        <w:t xml:space="preserve">Aneurin Bevan </w:t>
      </w:r>
      <w:r w:rsidR="005C757B">
        <w:t>UHB</w:t>
      </w:r>
    </w:p>
    <w:p w14:paraId="77815893" w14:textId="36508CE6" w:rsidR="00C43AAF" w:rsidRDefault="00004822" w:rsidP="00C43AAF">
      <w:pPr>
        <w:pStyle w:val="ListParagraph"/>
        <w:numPr>
          <w:ilvl w:val="0"/>
          <w:numId w:val="17"/>
        </w:numPr>
        <w:jc w:val="both"/>
      </w:pPr>
      <w:r>
        <w:t xml:space="preserve">Betsi Cadwaladr </w:t>
      </w:r>
      <w:r w:rsidR="005C757B">
        <w:t>UHB</w:t>
      </w:r>
    </w:p>
    <w:p w14:paraId="28BE6DFF" w14:textId="52FBB58A" w:rsidR="00C43AAF" w:rsidRDefault="00004822" w:rsidP="00C43AAF">
      <w:pPr>
        <w:pStyle w:val="ListParagraph"/>
        <w:numPr>
          <w:ilvl w:val="0"/>
          <w:numId w:val="17"/>
        </w:numPr>
        <w:jc w:val="both"/>
      </w:pPr>
      <w:r>
        <w:t xml:space="preserve">Cwm </w:t>
      </w:r>
      <w:proofErr w:type="spellStart"/>
      <w:r>
        <w:t>Taf</w:t>
      </w:r>
      <w:proofErr w:type="spellEnd"/>
      <w:r>
        <w:t xml:space="preserve"> </w:t>
      </w:r>
      <w:r w:rsidR="005C757B">
        <w:t>UHB</w:t>
      </w:r>
    </w:p>
    <w:p w14:paraId="48FD2E94" w14:textId="76845095" w:rsidR="00C43AAF" w:rsidRDefault="00004822" w:rsidP="00C43AAF">
      <w:pPr>
        <w:pStyle w:val="ListParagraph"/>
        <w:numPr>
          <w:ilvl w:val="0"/>
          <w:numId w:val="17"/>
        </w:numPr>
        <w:jc w:val="both"/>
      </w:pPr>
      <w:r>
        <w:t xml:space="preserve">Cardiff and Vale </w:t>
      </w:r>
      <w:r w:rsidR="005C757B">
        <w:t>UHB</w:t>
      </w:r>
    </w:p>
    <w:p w14:paraId="14FDDED4" w14:textId="6E670CCF" w:rsidR="00C43AAF" w:rsidRDefault="00004822" w:rsidP="00C43AAF">
      <w:pPr>
        <w:pStyle w:val="ListParagraph"/>
        <w:numPr>
          <w:ilvl w:val="0"/>
          <w:numId w:val="17"/>
        </w:numPr>
        <w:jc w:val="both"/>
      </w:pPr>
      <w:r>
        <w:t xml:space="preserve">Hywel </w:t>
      </w:r>
      <w:proofErr w:type="spellStart"/>
      <w:r>
        <w:t>Dda</w:t>
      </w:r>
      <w:proofErr w:type="spellEnd"/>
      <w:r>
        <w:t xml:space="preserve"> </w:t>
      </w:r>
      <w:r w:rsidR="005C757B">
        <w:t>UHB</w:t>
      </w:r>
    </w:p>
    <w:p w14:paraId="3D62C6A8" w14:textId="7D7547D2" w:rsidR="00004822" w:rsidRDefault="00004822" w:rsidP="00C43AAF">
      <w:pPr>
        <w:pStyle w:val="ListParagraph"/>
        <w:numPr>
          <w:ilvl w:val="0"/>
          <w:numId w:val="17"/>
        </w:numPr>
        <w:jc w:val="both"/>
      </w:pPr>
      <w:r>
        <w:t xml:space="preserve">Powys Teaching </w:t>
      </w:r>
      <w:r w:rsidR="005C757B">
        <w:t>HB</w:t>
      </w:r>
      <w:r>
        <w:t xml:space="preserve">. </w:t>
      </w:r>
    </w:p>
    <w:p w14:paraId="727BE4C3" w14:textId="5D7AFB50" w:rsidR="00004822" w:rsidRDefault="00004822" w:rsidP="00317A89">
      <w:pPr>
        <w:jc w:val="both"/>
      </w:pPr>
      <w:r>
        <w:lastRenderedPageBreak/>
        <w:t xml:space="preserve">On 1st April 2019 the responsibility for healthcare services in Bridgend County Borough Council area transferred to Cwm </w:t>
      </w:r>
      <w:proofErr w:type="spellStart"/>
      <w:r>
        <w:t>Taf</w:t>
      </w:r>
      <w:proofErr w:type="spellEnd"/>
      <w:r>
        <w:t xml:space="preserve"> </w:t>
      </w:r>
      <w:r w:rsidR="005C757B">
        <w:t>UHB</w:t>
      </w:r>
      <w:r>
        <w:t xml:space="preserve"> (now Cwm </w:t>
      </w:r>
      <w:proofErr w:type="spellStart"/>
      <w:r>
        <w:t>Taf</w:t>
      </w:r>
      <w:proofErr w:type="spellEnd"/>
      <w:r>
        <w:t xml:space="preserve"> Morgannwg </w:t>
      </w:r>
      <w:r w:rsidR="005C757B">
        <w:t>UHB</w:t>
      </w:r>
      <w:r>
        <w:t xml:space="preserve">) from Abertawe Bro Morgannwg </w:t>
      </w:r>
      <w:r w:rsidR="005C757B">
        <w:t>UHB</w:t>
      </w:r>
      <w:r>
        <w:t xml:space="preserve"> (now Swansea Bay </w:t>
      </w:r>
      <w:r w:rsidR="005C757B">
        <w:t>UHB</w:t>
      </w:r>
      <w:r>
        <w:t xml:space="preserve">), with the </w:t>
      </w:r>
      <w:r w:rsidR="005C757B">
        <w:t>health board</w:t>
      </w:r>
      <w:r>
        <w:t xml:space="preserve"> boundary moving accordingly. As such, the names of the </w:t>
      </w:r>
      <w:r w:rsidR="005C757B">
        <w:t>health boards</w:t>
      </w:r>
      <w:r>
        <w:t xml:space="preserve"> changed to reflect the new geographical boundaries. </w:t>
      </w:r>
    </w:p>
    <w:p w14:paraId="0AB20E8A" w14:textId="64D3C2C5" w:rsidR="00500AB2" w:rsidRDefault="00004822" w:rsidP="00317A89">
      <w:pPr>
        <w:jc w:val="both"/>
      </w:pPr>
      <w:r>
        <w:t>All analys</w:t>
      </w:r>
      <w:r w:rsidR="00C43AAF">
        <w:t>es</w:t>
      </w:r>
      <w:r>
        <w:t xml:space="preserve"> in this publication are reported using the current health board boundaries, including years prior to 1st April 2019. There are 22 local authority areas in Wales. They were established in 1996 and are nested within the health board areas. </w:t>
      </w:r>
    </w:p>
    <w:p w14:paraId="2AE3DB81" w14:textId="77777777" w:rsidR="00DC0C51" w:rsidRDefault="00DC0C51" w:rsidP="00317A89">
      <w:pPr>
        <w:jc w:val="both"/>
      </w:pPr>
    </w:p>
    <w:p w14:paraId="411315C2" w14:textId="1BBC21CC" w:rsidR="00004822" w:rsidRPr="00F10586" w:rsidRDefault="00004822" w:rsidP="00317A89">
      <w:pPr>
        <w:pStyle w:val="Heading3"/>
        <w:jc w:val="both"/>
        <w:rPr>
          <w:rFonts w:cstheme="minorHAnsi"/>
          <w:szCs w:val="28"/>
        </w:rPr>
      </w:pPr>
      <w:bookmarkStart w:id="17" w:name="_Toc143505425"/>
      <w:r w:rsidRPr="00F10586">
        <w:rPr>
          <w:rFonts w:cstheme="minorHAnsi"/>
          <w:szCs w:val="28"/>
        </w:rPr>
        <w:t>2.</w:t>
      </w:r>
      <w:r w:rsidR="00C31D9E">
        <w:rPr>
          <w:rFonts w:cstheme="minorHAnsi"/>
          <w:szCs w:val="28"/>
        </w:rPr>
        <w:t>5</w:t>
      </w:r>
      <w:r w:rsidRPr="00F10586">
        <w:rPr>
          <w:rFonts w:cstheme="minorHAnsi"/>
          <w:szCs w:val="28"/>
        </w:rPr>
        <w:t>.2 Area Deprivation</w:t>
      </w:r>
      <w:bookmarkEnd w:id="17"/>
    </w:p>
    <w:p w14:paraId="63CA1166" w14:textId="678B9774" w:rsidR="00004822" w:rsidRDefault="00004822" w:rsidP="00317A89">
      <w:pPr>
        <w:jc w:val="both"/>
      </w:pPr>
      <w:r>
        <w:t>Analysis by deprivation is presented by deprivation fifths. The Welsh Index of Multiple Deprivation (WIMD) is the official measure of relative deprivation at small area level in Wales. WIMD is made up of eight separate domains of deprivation: income</w:t>
      </w:r>
      <w:r w:rsidR="007E5409">
        <w:t xml:space="preserve">, </w:t>
      </w:r>
      <w:r>
        <w:t>employment</w:t>
      </w:r>
      <w:r w:rsidR="007E5409">
        <w:t xml:space="preserve">, </w:t>
      </w:r>
      <w:r>
        <w:t>health</w:t>
      </w:r>
      <w:r w:rsidR="007E5409">
        <w:t xml:space="preserve">, </w:t>
      </w:r>
      <w:r>
        <w:t>education</w:t>
      </w:r>
      <w:r w:rsidR="007E5409">
        <w:t xml:space="preserve">, </w:t>
      </w:r>
      <w:r>
        <w:t>housing</w:t>
      </w:r>
      <w:r w:rsidR="007E5409">
        <w:t xml:space="preserve">, </w:t>
      </w:r>
      <w:r>
        <w:t>access to services</w:t>
      </w:r>
      <w:r w:rsidR="007E5409">
        <w:t xml:space="preserve">, </w:t>
      </w:r>
      <w:r>
        <w:t>environment</w:t>
      </w:r>
      <w:r w:rsidR="007E5409">
        <w:t xml:space="preserve">, </w:t>
      </w:r>
      <w:r>
        <w:t xml:space="preserve">and community safety. </w:t>
      </w:r>
    </w:p>
    <w:p w14:paraId="239DCDA9" w14:textId="388792E4" w:rsidR="0023536D" w:rsidRDefault="00004822" w:rsidP="00317A89">
      <w:pPr>
        <w:jc w:val="both"/>
      </w:pPr>
      <w:r>
        <w:t xml:space="preserve">WIMD is used to give an overall deprivation rank for each of the 1,909 Lower Super Output Areas (LSOA) in Wales and to </w:t>
      </w:r>
      <w:r w:rsidR="007E5409">
        <w:t>provide</w:t>
      </w:r>
      <w:r>
        <w:t xml:space="preserve"> ranks for the separate deprivation domains for each of the LSOAs. </w:t>
      </w:r>
    </w:p>
    <w:p w14:paraId="07551D5C" w14:textId="6559CD7E" w:rsidR="0023536D" w:rsidRDefault="00004822" w:rsidP="00317A89">
      <w:pPr>
        <w:jc w:val="both"/>
      </w:pPr>
      <w:r>
        <w:t xml:space="preserve">Deprivation ranks are calculated for each LSOA in Wales. One area has a higher deprivation rank than another if the proportion of people living there that are classed as deprived is higher. The most deprived area is ranked as </w:t>
      </w:r>
      <w:r w:rsidR="007E5409">
        <w:t>1</w:t>
      </w:r>
      <w:r>
        <w:t xml:space="preserve"> and the least deprived area is ranked as 1,909. WIMD is an ecological measure whereas individuals within an area (LSOA in this instance) may vary. Not everyone living in a deprived area is deprived and not all deprived people live in deprived areas. An area itself is not deprived, it is the circumstances and lifestyle of people who are living there that affects its deprivation ranks. </w:t>
      </w:r>
    </w:p>
    <w:p w14:paraId="1DC3969C" w14:textId="77777777" w:rsidR="0023536D" w:rsidRDefault="00004822" w:rsidP="00317A89">
      <w:pPr>
        <w:jc w:val="both"/>
      </w:pPr>
      <w:r>
        <w:t xml:space="preserve">Each of the eight domains are based on a range of different indicators. The domain indices are weighted and combined into an overall index of multiple deprivation. </w:t>
      </w:r>
    </w:p>
    <w:p w14:paraId="0DFDA452" w14:textId="0268B8D6" w:rsidR="0023536D" w:rsidRDefault="00004822" w:rsidP="00317A89">
      <w:pPr>
        <w:jc w:val="both"/>
        <w:rPr>
          <w:rFonts w:cstheme="minorHAnsi"/>
        </w:rPr>
      </w:pPr>
      <w:r>
        <w:t>The income domain is used for all the WCISU’s Official Statistics publications. The deprivation fifths (1 = least deprived; 5 = most deprived) are based on the population, with an equal number of residents in each fifth, rather than equal number of LSOAs in each fifth. This publication uses 2014 mid-year population estimates</w:t>
      </w:r>
      <w:r w:rsidR="007E5409">
        <w:t xml:space="preserve"> (MYE)</w:t>
      </w:r>
      <w:r>
        <w:t xml:space="preserve"> to assign an equal number of residents in each fifth, with LSOA deprivation ranks from WIMD 2019. Further details on WIMD can be found </w:t>
      </w:r>
      <w:hyperlink r:id="rId15" w:history="1">
        <w:r w:rsidR="00F3447F" w:rsidRPr="00F3447F">
          <w:rPr>
            <w:rStyle w:val="Hyperlink"/>
            <w:rFonts w:cstheme="minorHAnsi"/>
          </w:rPr>
          <w:t>here</w:t>
        </w:r>
      </w:hyperlink>
      <w:r w:rsidRPr="00F3447F">
        <w:rPr>
          <w:rFonts w:cstheme="minorHAnsi"/>
        </w:rPr>
        <w:t xml:space="preserve">. </w:t>
      </w:r>
    </w:p>
    <w:p w14:paraId="06879C79" w14:textId="77777777" w:rsidR="00DC0C51" w:rsidRDefault="00DC0C51" w:rsidP="00317A89">
      <w:pPr>
        <w:jc w:val="both"/>
        <w:rPr>
          <w:rFonts w:cstheme="minorHAnsi"/>
        </w:rPr>
      </w:pPr>
    </w:p>
    <w:p w14:paraId="5353E3DE" w14:textId="3362612E" w:rsidR="0023536D" w:rsidRPr="00F10586" w:rsidRDefault="0023536D" w:rsidP="00317A89">
      <w:pPr>
        <w:pStyle w:val="Heading3"/>
        <w:jc w:val="both"/>
        <w:rPr>
          <w:rFonts w:cstheme="minorHAnsi"/>
          <w:szCs w:val="28"/>
        </w:rPr>
      </w:pPr>
      <w:bookmarkStart w:id="18" w:name="_Toc143505426"/>
      <w:r w:rsidRPr="00F10586">
        <w:rPr>
          <w:rFonts w:cstheme="minorHAnsi"/>
          <w:szCs w:val="28"/>
        </w:rPr>
        <w:t>2.</w:t>
      </w:r>
      <w:r w:rsidR="00C31D9E">
        <w:rPr>
          <w:rFonts w:cstheme="minorHAnsi"/>
          <w:szCs w:val="28"/>
        </w:rPr>
        <w:t>5</w:t>
      </w:r>
      <w:r w:rsidRPr="00F10586">
        <w:rPr>
          <w:rFonts w:cstheme="minorHAnsi"/>
          <w:szCs w:val="28"/>
        </w:rPr>
        <w:t>.3 Staging</w:t>
      </w:r>
      <w:bookmarkEnd w:id="18"/>
    </w:p>
    <w:p w14:paraId="2579941C" w14:textId="4F13B6F2" w:rsidR="0023536D" w:rsidRDefault="0023536D" w:rsidP="00317A89">
      <w:pPr>
        <w:jc w:val="both"/>
      </w:pPr>
      <w:r>
        <w:t>Great strides have been made to improve the completeness of cancer staging data, allowing cancer survival by stage in Wales to be presented from 2011</w:t>
      </w:r>
      <w:r w:rsidR="00207020">
        <w:t xml:space="preserve"> for incidence and survival analysis</w:t>
      </w:r>
      <w:r>
        <w:t xml:space="preserve">. </w:t>
      </w:r>
    </w:p>
    <w:p w14:paraId="4D9D70FD" w14:textId="77777777" w:rsidR="00207020" w:rsidRDefault="0023536D" w:rsidP="00317A89">
      <w:pPr>
        <w:jc w:val="both"/>
      </w:pPr>
      <w:r>
        <w:lastRenderedPageBreak/>
        <w:t xml:space="preserve">Stage at diagnosis refers to the size of a tumour and how far it has spread from where it originated. Stage is measured from 1 to 4; stage 1 indicates that the cancer is small and has not spread anywhere, whereas stage 4 indicates the cancer has spread to at least one other body organ. Stage 1 and stage 2 are usually referred to as early stage, whereas stage 3 and stage 4 are referred to as late stage at diagnosis. </w:t>
      </w:r>
      <w:r w:rsidR="00207020">
        <w:t>Cases of cancer recorded on the cancer registry may have an unknown stage for many reasons. Firstly, not all types of cancers can be staged (a minority). Of those cancer sites that can be staged, then the stage at diagnosis may be unknown for some of the following reasons: patients might be too ill or turn down diagnostic tests to allow clinical staging. In addition, there might be insufficient clinical data received to be able to derive cancer registry stage.</w:t>
      </w:r>
    </w:p>
    <w:p w14:paraId="4B865B71" w14:textId="014607FE" w:rsidR="00F96F12" w:rsidRDefault="0023536D" w:rsidP="00317A89">
      <w:pPr>
        <w:jc w:val="both"/>
      </w:pPr>
      <w:r>
        <w:t>Stage grouping in this report refers to overall TNM</w:t>
      </w:r>
      <w:r w:rsidR="00BE6425">
        <w:rPr>
          <w:rStyle w:val="FootnoteReference"/>
          <w:rFonts w:ascii="Verdana" w:hAnsi="Verdana"/>
          <w:sz w:val="20"/>
          <w:szCs w:val="20"/>
        </w:rPr>
        <w:footnoteReference w:id="4"/>
      </w:r>
      <w:r>
        <w:t xml:space="preserve"> stage grouping. From 2018, </w:t>
      </w:r>
      <w:proofErr w:type="gramStart"/>
      <w:r>
        <w:t>the majority of</w:t>
      </w:r>
      <w:proofErr w:type="gramEnd"/>
      <w:r>
        <w:t xml:space="preserve"> cancer types are staged in TNM version 8. Female genital tract </w:t>
      </w:r>
      <w:r w:rsidR="00D71330">
        <w:t xml:space="preserve">cancer </w:t>
      </w:r>
      <w:r>
        <w:t>also use</w:t>
      </w:r>
      <w:r w:rsidR="00D71330">
        <w:t>s</w:t>
      </w:r>
      <w:r>
        <w:t xml:space="preserve"> FIGO staging which can usually be mapped directly to TNM stage. A change in TNM version can result in a noticeable redistribution between stage groups for some tumour sites, for example, TNM version 7 was introduced in 2016 which resulted in an increase in stage 1 and a reduction </w:t>
      </w:r>
      <w:r w:rsidR="00D71330">
        <w:t>in</w:t>
      </w:r>
      <w:r>
        <w:t xml:space="preserve"> stage 2 for prostate cancers. </w:t>
      </w:r>
    </w:p>
    <w:p w14:paraId="76AD52E8" w14:textId="77777777" w:rsidR="00DC0C51" w:rsidRDefault="00DC0C51" w:rsidP="00317A89">
      <w:pPr>
        <w:jc w:val="both"/>
      </w:pPr>
    </w:p>
    <w:p w14:paraId="4C3B7A6D" w14:textId="34245286" w:rsidR="00B64137" w:rsidRPr="00F10586" w:rsidRDefault="00B64137" w:rsidP="00317A89">
      <w:pPr>
        <w:pStyle w:val="Heading3"/>
        <w:jc w:val="both"/>
        <w:rPr>
          <w:rFonts w:cstheme="minorHAnsi"/>
          <w:szCs w:val="28"/>
        </w:rPr>
      </w:pPr>
      <w:bookmarkStart w:id="19" w:name="_Toc143505427"/>
      <w:r w:rsidRPr="00F10586">
        <w:rPr>
          <w:rFonts w:cstheme="minorHAnsi"/>
          <w:szCs w:val="28"/>
        </w:rPr>
        <w:t>2.</w:t>
      </w:r>
      <w:r w:rsidR="00C31D9E">
        <w:rPr>
          <w:rFonts w:cstheme="minorHAnsi"/>
          <w:szCs w:val="28"/>
        </w:rPr>
        <w:t>5</w:t>
      </w:r>
      <w:r w:rsidRPr="00F10586">
        <w:rPr>
          <w:rFonts w:cstheme="minorHAnsi"/>
          <w:szCs w:val="28"/>
        </w:rPr>
        <w:t>.</w:t>
      </w:r>
      <w:r w:rsidR="00361588" w:rsidRPr="00F10586">
        <w:rPr>
          <w:rFonts w:cstheme="minorHAnsi"/>
          <w:szCs w:val="28"/>
        </w:rPr>
        <w:t>4</w:t>
      </w:r>
      <w:r w:rsidRPr="00F10586">
        <w:rPr>
          <w:rFonts w:cstheme="minorHAnsi"/>
          <w:szCs w:val="28"/>
        </w:rPr>
        <w:t xml:space="preserve"> Impact of COVID-19</w:t>
      </w:r>
      <w:bookmarkEnd w:id="19"/>
    </w:p>
    <w:p w14:paraId="3D3B7DC0" w14:textId="458B68B2" w:rsidR="00207020" w:rsidRDefault="00C36144" w:rsidP="00317A89">
      <w:pPr>
        <w:jc w:val="both"/>
      </w:pPr>
      <w:r w:rsidRPr="00C36144">
        <w:t xml:space="preserve">Due to the Covid-19 pandemic, which began in 2020, additional </w:t>
      </w:r>
      <w:r>
        <w:t>analys</w:t>
      </w:r>
      <w:r w:rsidR="00681141">
        <w:t>i</w:t>
      </w:r>
      <w:r w:rsidR="00D71330">
        <w:t>s</w:t>
      </w:r>
      <w:r w:rsidRPr="00C36144">
        <w:t xml:space="preserve"> has been compiled</w:t>
      </w:r>
      <w:r w:rsidR="001D3AE3">
        <w:t>,</w:t>
      </w:r>
      <w:r w:rsidRPr="00C36144">
        <w:t xml:space="preserve"> </w:t>
      </w:r>
      <w:r w:rsidR="001D3AE3">
        <w:t xml:space="preserve">for all cancers reported on in this publication, </w:t>
      </w:r>
      <w:r w:rsidRPr="00C36144">
        <w:t xml:space="preserve">detailing how incidence </w:t>
      </w:r>
      <w:r w:rsidR="004E4F67">
        <w:t>of</w:t>
      </w:r>
      <w:r w:rsidRPr="00C36144">
        <w:t xml:space="preserve"> cancer has changed between 2018-2019 and 2020</w:t>
      </w:r>
      <w:r>
        <w:t xml:space="preserve">. </w:t>
      </w:r>
    </w:p>
    <w:p w14:paraId="693B8A88" w14:textId="4CD9425E" w:rsidR="00CD3EC8" w:rsidRPr="00A33043" w:rsidRDefault="001D3AE3" w:rsidP="00317A89">
      <w:pPr>
        <w:jc w:val="both"/>
      </w:pPr>
      <w:r w:rsidRPr="001D3AE3">
        <w:t>This analysis compares the monthly counts of cancer incidence from January to December of 2020 for all cancers analysed to an average of the monthly counts for the years 2018 and 2019.</w:t>
      </w:r>
      <w:r>
        <w:t xml:space="preserve"> </w:t>
      </w:r>
      <w:r w:rsidR="00046B00" w:rsidRPr="00A33043">
        <w:t xml:space="preserve">Average counts for the months April to December of 2018 to 2019 and April to December of 2020 are also available; this allows comparison of the period </w:t>
      </w:r>
      <w:r w:rsidR="00650CD8" w:rsidRPr="00A33043">
        <w:t xml:space="preserve">in 2020 after the first introduction of Covid-19 restrictions, where normal healthcare services were interrupted, to pre-pandemic cancer incidence levels. </w:t>
      </w:r>
    </w:p>
    <w:p w14:paraId="50418B27" w14:textId="54BF5DF1" w:rsidR="00C36144" w:rsidRDefault="00C36144" w:rsidP="00317A89">
      <w:pPr>
        <w:jc w:val="both"/>
      </w:pPr>
      <w:r>
        <w:t>Pre-pandemic levels are specified as the average incidence of 2018 and 2019, with the pandemic levels being specified as the incidence during 2020. Comparing these figures provide us with an</w:t>
      </w:r>
      <w:r w:rsidRPr="00C36144">
        <w:t xml:space="preserve"> overview of the impact of the </w:t>
      </w:r>
      <w:r>
        <w:t xml:space="preserve">Covid-19 </w:t>
      </w:r>
      <w:r w:rsidRPr="00C36144">
        <w:t>pandemic on cancer patients and cancer services in general.</w:t>
      </w:r>
    </w:p>
    <w:p w14:paraId="4FC2E0E9" w14:textId="77777777" w:rsidR="00D71330" w:rsidRDefault="00D71330" w:rsidP="00317A89">
      <w:pPr>
        <w:jc w:val="both"/>
      </w:pPr>
    </w:p>
    <w:p w14:paraId="609881E3" w14:textId="44E7811D" w:rsidR="0023536D" w:rsidRPr="00CE310E" w:rsidRDefault="0023536D" w:rsidP="00031D1B">
      <w:pPr>
        <w:pStyle w:val="Heading2"/>
      </w:pPr>
      <w:bookmarkStart w:id="20" w:name="_Toc143505428"/>
      <w:r w:rsidRPr="00CE310E">
        <w:lastRenderedPageBreak/>
        <w:t>2.</w:t>
      </w:r>
      <w:r w:rsidR="00C31D9E">
        <w:t>6</w:t>
      </w:r>
      <w:r w:rsidRPr="00CE310E">
        <w:t xml:space="preserve"> Reported Measures</w:t>
      </w:r>
      <w:bookmarkEnd w:id="20"/>
    </w:p>
    <w:p w14:paraId="28B0100F" w14:textId="41A21DB8" w:rsidR="0023536D" w:rsidRPr="00F10586" w:rsidRDefault="0023536D" w:rsidP="00317A89">
      <w:pPr>
        <w:pStyle w:val="Heading3"/>
        <w:jc w:val="both"/>
        <w:rPr>
          <w:rFonts w:cstheme="minorHAnsi"/>
          <w:szCs w:val="28"/>
        </w:rPr>
      </w:pPr>
      <w:bookmarkStart w:id="21" w:name="_Toc143505429"/>
      <w:r w:rsidRPr="00F10586">
        <w:rPr>
          <w:rFonts w:cstheme="minorHAnsi"/>
          <w:szCs w:val="28"/>
        </w:rPr>
        <w:t>2.</w:t>
      </w:r>
      <w:r w:rsidR="00C31D9E">
        <w:rPr>
          <w:rFonts w:cstheme="minorHAnsi"/>
          <w:szCs w:val="28"/>
        </w:rPr>
        <w:t>6</w:t>
      </w:r>
      <w:r w:rsidRPr="00F10586">
        <w:rPr>
          <w:rFonts w:cstheme="minorHAnsi"/>
          <w:szCs w:val="28"/>
        </w:rPr>
        <w:t>.1 Count</w:t>
      </w:r>
      <w:bookmarkEnd w:id="21"/>
    </w:p>
    <w:p w14:paraId="1D67A3EC" w14:textId="6E1D44B2" w:rsidR="0023536D" w:rsidRDefault="0023536D" w:rsidP="00317A89">
      <w:pPr>
        <w:jc w:val="both"/>
      </w:pPr>
      <w:r>
        <w:t xml:space="preserve">The incidence count is the number of cancers diagnosed over a particular </w:t>
      </w:r>
      <w:proofErr w:type="gramStart"/>
      <w:r>
        <w:t>period of time</w:t>
      </w:r>
      <w:proofErr w:type="gramEnd"/>
      <w:r>
        <w:t xml:space="preserve">. The mortality count is the number of registered deaths with cancer reported as the underlying cause over a particular </w:t>
      </w:r>
      <w:proofErr w:type="gramStart"/>
      <w:r>
        <w:t>period of time</w:t>
      </w:r>
      <w:proofErr w:type="gramEnd"/>
      <w:r>
        <w:t>.</w:t>
      </w:r>
    </w:p>
    <w:p w14:paraId="73E15267" w14:textId="77777777" w:rsidR="00DC0C51" w:rsidRDefault="00DC0C51" w:rsidP="00317A89">
      <w:pPr>
        <w:jc w:val="both"/>
      </w:pPr>
    </w:p>
    <w:p w14:paraId="45CE8C5D" w14:textId="528D6645" w:rsidR="0023536D" w:rsidRPr="00F10586" w:rsidRDefault="0023536D" w:rsidP="00317A89">
      <w:pPr>
        <w:pStyle w:val="Heading3"/>
        <w:jc w:val="both"/>
        <w:rPr>
          <w:rFonts w:cstheme="minorHAnsi"/>
          <w:szCs w:val="28"/>
        </w:rPr>
      </w:pPr>
      <w:bookmarkStart w:id="22" w:name="_Toc143505430"/>
      <w:r w:rsidRPr="00F10586">
        <w:rPr>
          <w:rFonts w:cstheme="minorHAnsi"/>
          <w:szCs w:val="28"/>
        </w:rPr>
        <w:t>2.</w:t>
      </w:r>
      <w:r w:rsidR="00C31D9E">
        <w:rPr>
          <w:rFonts w:cstheme="minorHAnsi"/>
          <w:szCs w:val="28"/>
        </w:rPr>
        <w:t>6</w:t>
      </w:r>
      <w:r w:rsidRPr="00F10586">
        <w:rPr>
          <w:rFonts w:cstheme="minorHAnsi"/>
          <w:szCs w:val="28"/>
        </w:rPr>
        <w:t>.2 Crude rates</w:t>
      </w:r>
      <w:bookmarkEnd w:id="22"/>
    </w:p>
    <w:p w14:paraId="4DD9A99F" w14:textId="77777777" w:rsidR="0023536D" w:rsidRPr="0023536D" w:rsidRDefault="0023536D" w:rsidP="00317A89">
      <w:pPr>
        <w:jc w:val="both"/>
        <w:rPr>
          <w:rFonts w:cstheme="minorHAnsi"/>
        </w:rPr>
      </w:pPr>
      <w:r w:rsidRPr="0023536D">
        <w:rPr>
          <w:rFonts w:cstheme="minorHAnsi"/>
        </w:rPr>
        <w:t xml:space="preserve">A crude rate is the number of events occurring in a population over a specific </w:t>
      </w:r>
      <w:proofErr w:type="gramStart"/>
      <w:r w:rsidRPr="0023536D">
        <w:rPr>
          <w:rFonts w:cstheme="minorHAnsi"/>
        </w:rPr>
        <w:t>time period</w:t>
      </w:r>
      <w:proofErr w:type="gramEnd"/>
      <w:r w:rsidRPr="0023536D">
        <w:rPr>
          <w:rFonts w:cstheme="minorHAnsi"/>
        </w:rPr>
        <w:t xml:space="preserve">, often expressed as the number of events per 100,000 of the population.  Both the numerator (number of events) and denominator (mid-year population estimate) are based on the same geographical area and </w:t>
      </w:r>
      <w:proofErr w:type="gramStart"/>
      <w:r w:rsidRPr="0023536D">
        <w:rPr>
          <w:rFonts w:cstheme="minorHAnsi"/>
        </w:rPr>
        <w:t>time period</w:t>
      </w:r>
      <w:proofErr w:type="gramEnd"/>
      <w:r w:rsidRPr="0023536D">
        <w:rPr>
          <w:rFonts w:cstheme="minorHAnsi"/>
        </w:rPr>
        <w:t>.</w:t>
      </w:r>
    </w:p>
    <w:p w14:paraId="04A95642" w14:textId="75E24A96" w:rsidR="002803A6" w:rsidRDefault="0023536D" w:rsidP="00317A89">
      <w:pPr>
        <w:jc w:val="both"/>
        <w:rPr>
          <w:rFonts w:cstheme="minorHAnsi"/>
        </w:rPr>
      </w:pPr>
      <w:r w:rsidRPr="0023536D">
        <w:rPr>
          <w:rFonts w:cstheme="minorHAnsi"/>
        </w:rPr>
        <w:t>The crude rate is defined as total registrations per 100,000 population, or:</w:t>
      </w:r>
    </w:p>
    <w:p w14:paraId="22554A27" w14:textId="055465C4" w:rsidR="002803A6" w:rsidRPr="002803A6" w:rsidRDefault="0023536D" w:rsidP="002803A6">
      <w:pPr>
        <w:rPr>
          <w:rFonts w:cstheme="minorHAnsi"/>
        </w:rPr>
      </w:pPr>
      <w:r w:rsidRPr="002803A6">
        <w:rPr>
          <w:rFonts w:cstheme="minorHAnsi"/>
        </w:rPr>
        <w:t>(Total registrations / Total population) x 100,000</w:t>
      </w:r>
    </w:p>
    <w:p w14:paraId="40F09194" w14:textId="4C42CC74" w:rsidR="0023536D" w:rsidRDefault="0023536D" w:rsidP="00317A89">
      <w:pPr>
        <w:jc w:val="both"/>
        <w:rPr>
          <w:rFonts w:cstheme="minorHAnsi"/>
        </w:rPr>
      </w:pPr>
      <w:r w:rsidRPr="0023536D">
        <w:rPr>
          <w:rFonts w:cstheme="minorHAnsi"/>
        </w:rPr>
        <w:t>Crude rates were supressed where there were fewer than three events.</w:t>
      </w:r>
    </w:p>
    <w:p w14:paraId="39AA6205" w14:textId="77777777" w:rsidR="00DC0C51" w:rsidRDefault="00DC0C51" w:rsidP="00317A89">
      <w:pPr>
        <w:jc w:val="both"/>
        <w:rPr>
          <w:rFonts w:cstheme="minorHAnsi"/>
        </w:rPr>
      </w:pPr>
    </w:p>
    <w:p w14:paraId="4099CCD4" w14:textId="361CF8C7" w:rsidR="007A0F4A" w:rsidRPr="00F10586" w:rsidRDefault="007A0F4A" w:rsidP="00F10586">
      <w:pPr>
        <w:pStyle w:val="Heading3"/>
      </w:pPr>
      <w:bookmarkStart w:id="23" w:name="_Toc143505431"/>
      <w:r w:rsidRPr="00F10586">
        <w:t>2.</w:t>
      </w:r>
      <w:r w:rsidR="00C31D9E">
        <w:t>6</w:t>
      </w:r>
      <w:r w:rsidRPr="00F10586">
        <w:t>.3 Age-standardised rates</w:t>
      </w:r>
      <w:bookmarkEnd w:id="23"/>
    </w:p>
    <w:p w14:paraId="6BDE5373" w14:textId="15403EC4" w:rsidR="0023536D" w:rsidRPr="007A0F4A" w:rsidRDefault="007A0F4A" w:rsidP="00317A89">
      <w:pPr>
        <w:jc w:val="both"/>
        <w:rPr>
          <w:rFonts w:cstheme="minorHAnsi"/>
        </w:rPr>
      </w:pPr>
      <w:r w:rsidRPr="007A0F4A">
        <w:rPr>
          <w:rFonts w:cstheme="minorHAnsi"/>
        </w:rPr>
        <w:t>The incidence and mortality of cancer differs greatly with age. Differences in the age structure of populations between geographical areas or over time therefore need to be controlled to give unbiased comparisons. Age-standardisation allows comparison of rates across different populations while taking account of the different age structures of those populations.</w:t>
      </w:r>
    </w:p>
    <w:p w14:paraId="18A26DC1" w14:textId="794747EB" w:rsidR="007A0F4A" w:rsidRPr="007A0F4A" w:rsidRDefault="007A0F4A" w:rsidP="00317A89">
      <w:pPr>
        <w:jc w:val="both"/>
        <w:rPr>
          <w:rFonts w:cstheme="minorHAnsi"/>
        </w:rPr>
      </w:pPr>
      <w:r w:rsidRPr="007A0F4A">
        <w:rPr>
          <w:rFonts w:cstheme="minorHAnsi"/>
        </w:rPr>
        <w:t xml:space="preserve">This is achieved by applying the observed age- and sex-specific </w:t>
      </w:r>
      <w:r w:rsidR="00954AFE">
        <w:rPr>
          <w:rFonts w:cstheme="minorHAnsi"/>
        </w:rPr>
        <w:t xml:space="preserve">incidence or </w:t>
      </w:r>
      <w:r w:rsidRPr="007A0F4A">
        <w:rPr>
          <w:rFonts w:cstheme="minorHAnsi"/>
        </w:rPr>
        <w:t>mortality rates for each population to a standard population. These are then summed to give an overall rate per 100,000 population. The standard population used here is the European Standard Population (ESP)</w:t>
      </w:r>
      <w:r w:rsidR="00954AFE">
        <w:rPr>
          <w:rFonts w:cstheme="minorHAnsi"/>
        </w:rPr>
        <w:t xml:space="preserve"> (</w:t>
      </w:r>
      <w:r w:rsidR="00954AFE" w:rsidRPr="00FF6808">
        <w:rPr>
          <w:rFonts w:cstheme="minorHAnsi"/>
        </w:rPr>
        <w:t xml:space="preserve">see </w:t>
      </w:r>
      <w:hyperlink w:anchor="_14_Appendix_E" w:history="1">
        <w:r w:rsidR="00440492" w:rsidRPr="009B5BE2">
          <w:rPr>
            <w:rStyle w:val="Hyperlink"/>
          </w:rPr>
          <w:t>Appendix E</w:t>
        </w:r>
      </w:hyperlink>
      <w:r w:rsidR="002E24F6">
        <w:t xml:space="preserve">). </w:t>
      </w:r>
      <w:r w:rsidRPr="007A0F4A">
        <w:rPr>
          <w:rFonts w:cstheme="minorHAnsi"/>
        </w:rPr>
        <w:t xml:space="preserve">The first version of the ESP was introduced in 1976, with the second version in 2013. </w:t>
      </w:r>
      <w:r w:rsidR="00FA5149">
        <w:rPr>
          <w:rFonts w:cstheme="minorHAnsi"/>
        </w:rPr>
        <w:t>A</w:t>
      </w:r>
      <w:r w:rsidRPr="007A0F4A">
        <w:rPr>
          <w:rFonts w:cstheme="minorHAnsi"/>
        </w:rPr>
        <w:t>ll the WCISU publications since June 2014 have used the 2013 ESP.</w:t>
      </w:r>
    </w:p>
    <w:p w14:paraId="2A5948B3" w14:textId="2174B440" w:rsidR="007A0F4A" w:rsidRPr="007A0F4A" w:rsidRDefault="007A0F4A" w:rsidP="00317A89">
      <w:pPr>
        <w:jc w:val="both"/>
        <w:rPr>
          <w:rFonts w:cstheme="minorHAnsi"/>
        </w:rPr>
      </w:pPr>
      <w:r w:rsidRPr="007A0F4A">
        <w:rPr>
          <w:rFonts w:cstheme="minorHAnsi"/>
        </w:rPr>
        <w:t>Although the 2013 ESP has separate categories for 90-94 and 95+, the WCISU combines these into a single category for 90+. This is because population data is not consistently available for the 95+ age group for all years or geographies</w:t>
      </w:r>
      <w:r w:rsidR="002803A6">
        <w:rPr>
          <w:rFonts w:cstheme="minorHAnsi"/>
        </w:rPr>
        <w:t xml:space="preserve"> in Wales</w:t>
      </w:r>
      <w:r w:rsidRPr="007A0F4A">
        <w:rPr>
          <w:rFonts w:cstheme="minorHAnsi"/>
        </w:rPr>
        <w:t xml:space="preserve">. The </w:t>
      </w:r>
      <w:r w:rsidR="001015B5">
        <w:rPr>
          <w:rFonts w:cstheme="minorHAnsi"/>
        </w:rPr>
        <w:t>ONS</w:t>
      </w:r>
      <w:r w:rsidRPr="007A0F4A">
        <w:rPr>
          <w:rFonts w:cstheme="minorHAnsi"/>
        </w:rPr>
        <w:t xml:space="preserve"> carried out a study</w:t>
      </w:r>
      <w:r w:rsidR="00146130">
        <w:rPr>
          <w:rStyle w:val="FootnoteReference"/>
          <w:rFonts w:ascii="Verdana" w:hAnsi="Verdana"/>
          <w:sz w:val="20"/>
          <w:szCs w:val="20"/>
        </w:rPr>
        <w:footnoteReference w:id="5"/>
      </w:r>
      <w:r w:rsidRPr="007A0F4A">
        <w:rPr>
          <w:rFonts w:cstheme="minorHAnsi"/>
        </w:rPr>
        <w:t xml:space="preserve"> looking at the impact of using an 85+, 90+ or 95+ upper age limit for calculating age-standardised mortality rates and found no significant differences between rates calculated with upper age limits of 90+ and 95+. As </w:t>
      </w:r>
      <w:r w:rsidR="002803A6">
        <w:rPr>
          <w:rFonts w:cstheme="minorHAnsi"/>
        </w:rPr>
        <w:t xml:space="preserve">there </w:t>
      </w:r>
      <w:proofErr w:type="gramStart"/>
      <w:r w:rsidR="002803A6">
        <w:rPr>
          <w:rFonts w:cstheme="minorHAnsi"/>
        </w:rPr>
        <w:lastRenderedPageBreak/>
        <w:t>is</w:t>
      </w:r>
      <w:proofErr w:type="gramEnd"/>
      <w:r w:rsidR="002803A6">
        <w:rPr>
          <w:rFonts w:cstheme="minorHAnsi"/>
        </w:rPr>
        <w:t xml:space="preserve"> not currently </w:t>
      </w:r>
      <w:r w:rsidRPr="007A0F4A">
        <w:rPr>
          <w:rFonts w:cstheme="minorHAnsi"/>
        </w:rPr>
        <w:t xml:space="preserve">widespread availability of population estimates for the 95+ group, they recommend the use of an upper age limit of 90+ for the 2013 ESP. </w:t>
      </w:r>
    </w:p>
    <w:p w14:paraId="3E46CEB9" w14:textId="111E3A2B" w:rsidR="007A0F4A" w:rsidRPr="007A0F4A" w:rsidRDefault="007A0F4A" w:rsidP="00317A89">
      <w:pPr>
        <w:jc w:val="both"/>
        <w:rPr>
          <w:rFonts w:cstheme="minorHAnsi"/>
        </w:rPr>
      </w:pPr>
      <w:r w:rsidRPr="007A0F4A">
        <w:rPr>
          <w:rFonts w:cstheme="minorHAnsi"/>
        </w:rPr>
        <w:t xml:space="preserve">A lower age limit of 0-4 years is used for all European age-standardised rates in this </w:t>
      </w:r>
      <w:r w:rsidR="00FA5149">
        <w:rPr>
          <w:rFonts w:cstheme="minorHAnsi"/>
        </w:rPr>
        <w:t>tool</w:t>
      </w:r>
      <w:r w:rsidRPr="007A0F4A">
        <w:rPr>
          <w:rFonts w:cstheme="minorHAnsi"/>
        </w:rPr>
        <w:t xml:space="preserve">. This is in line with the other cancer registries </w:t>
      </w:r>
      <w:r w:rsidR="002803A6">
        <w:rPr>
          <w:rFonts w:cstheme="minorHAnsi"/>
        </w:rPr>
        <w:t>with</w:t>
      </w:r>
      <w:r w:rsidRPr="007A0F4A">
        <w:rPr>
          <w:rFonts w:cstheme="minorHAnsi"/>
        </w:rPr>
        <w:t xml:space="preserve">in the UK and Ireland. </w:t>
      </w:r>
    </w:p>
    <w:p w14:paraId="3D7564ED" w14:textId="77777777" w:rsidR="007A0F4A" w:rsidRPr="007A0F4A" w:rsidRDefault="007A0F4A" w:rsidP="00317A89">
      <w:pPr>
        <w:jc w:val="both"/>
        <w:rPr>
          <w:rFonts w:cstheme="minorHAnsi"/>
        </w:rPr>
      </w:pPr>
      <w:r w:rsidRPr="007A0F4A">
        <w:rPr>
          <w:rFonts w:cstheme="minorHAnsi"/>
        </w:rPr>
        <w:t>Age-standardised rates were supressed where there were fewer than 10 events.</w:t>
      </w:r>
    </w:p>
    <w:p w14:paraId="3EDF3E2F" w14:textId="77777777" w:rsidR="00DC72BC" w:rsidRDefault="007A0F4A" w:rsidP="00DC72BC">
      <w:pPr>
        <w:jc w:val="both"/>
        <w:rPr>
          <w:rFonts w:cstheme="minorHAnsi"/>
        </w:rPr>
      </w:pPr>
      <w:r w:rsidRPr="007A0F4A">
        <w:rPr>
          <w:rFonts w:cstheme="minorHAnsi"/>
        </w:rPr>
        <w:t xml:space="preserve">The directly standardised mortality rate using the European Standard Population is given by: </w:t>
      </w:r>
      <w:r w:rsidRPr="007A0F4A">
        <w:rPr>
          <w:rFonts w:cstheme="minorHAnsi"/>
        </w:rPr>
        <w:tab/>
      </w:r>
    </w:p>
    <w:p w14:paraId="33086DAF" w14:textId="15616107" w:rsidR="007A0F4A" w:rsidRPr="007A0F4A" w:rsidRDefault="007A0F4A" w:rsidP="00DC72BC">
      <w:pPr>
        <w:jc w:val="center"/>
        <w:rPr>
          <w:rFonts w:cstheme="minorHAnsi"/>
        </w:rPr>
      </w:pPr>
      <w:r w:rsidRPr="007A0F4A">
        <w:rPr>
          <w:rFonts w:cstheme="minorHAnsi"/>
        </w:rPr>
        <w:t xml:space="preserve">I (ASR/E) </w:t>
      </w:r>
      <w:proofErr w:type="gramStart"/>
      <w:r w:rsidRPr="007A0F4A">
        <w:rPr>
          <w:rFonts w:cstheme="minorHAnsi"/>
        </w:rPr>
        <w:t>=  {</w:t>
      </w:r>
      <w:proofErr w:type="gramEnd"/>
      <w:r w:rsidRPr="007A0F4A">
        <w:rPr>
          <w:rFonts w:cstheme="minorHAnsi"/>
        </w:rPr>
        <w:t xml:space="preserve"> ∑ k </w:t>
      </w:r>
      <w:proofErr w:type="spellStart"/>
      <w:r w:rsidRPr="007A0F4A">
        <w:rPr>
          <w:rFonts w:cstheme="minorHAnsi"/>
        </w:rPr>
        <w:t>ASRk</w:t>
      </w:r>
      <w:proofErr w:type="spellEnd"/>
      <w:r w:rsidRPr="007A0F4A">
        <w:rPr>
          <w:rFonts w:cstheme="minorHAnsi"/>
        </w:rPr>
        <w:t xml:space="preserve"> Pk } k / ∑ Pk</w:t>
      </w:r>
    </w:p>
    <w:p w14:paraId="58393547" w14:textId="77777777" w:rsidR="002803A6" w:rsidRDefault="002803A6" w:rsidP="00317A89">
      <w:pPr>
        <w:jc w:val="both"/>
        <w:rPr>
          <w:rFonts w:cstheme="minorHAnsi"/>
        </w:rPr>
      </w:pPr>
      <w:r>
        <w:rPr>
          <w:rFonts w:cstheme="minorHAnsi"/>
        </w:rPr>
        <w:t>w</w:t>
      </w:r>
      <w:r w:rsidR="007A0F4A" w:rsidRPr="007A0F4A">
        <w:rPr>
          <w:rFonts w:cstheme="minorHAnsi"/>
        </w:rPr>
        <w:t>here</w:t>
      </w:r>
      <w:r>
        <w:rPr>
          <w:rFonts w:cstheme="minorHAnsi"/>
        </w:rPr>
        <w:t>:</w:t>
      </w:r>
      <w:r w:rsidR="007A0F4A" w:rsidRPr="007A0F4A">
        <w:rPr>
          <w:rFonts w:cstheme="minorHAnsi"/>
        </w:rPr>
        <w:tab/>
      </w:r>
    </w:p>
    <w:p w14:paraId="6564A033" w14:textId="3D0A8911" w:rsidR="007A0F4A" w:rsidRPr="007A0F4A" w:rsidRDefault="007A0F4A" w:rsidP="00DC72BC">
      <w:pPr>
        <w:ind w:firstLine="720"/>
        <w:jc w:val="both"/>
        <w:rPr>
          <w:rFonts w:cstheme="minorHAnsi"/>
        </w:rPr>
      </w:pPr>
      <w:proofErr w:type="spellStart"/>
      <w:r w:rsidRPr="007A0F4A">
        <w:rPr>
          <w:rFonts w:cstheme="minorHAnsi"/>
        </w:rPr>
        <w:t>ASRk</w:t>
      </w:r>
      <w:proofErr w:type="spellEnd"/>
      <w:r w:rsidRPr="007A0F4A">
        <w:rPr>
          <w:rFonts w:cstheme="minorHAnsi"/>
        </w:rPr>
        <w:tab/>
        <w:t>= (</w:t>
      </w:r>
      <w:proofErr w:type="spellStart"/>
      <w:r w:rsidRPr="007A0F4A">
        <w:rPr>
          <w:rFonts w:cstheme="minorHAnsi"/>
        </w:rPr>
        <w:t>rk</w:t>
      </w:r>
      <w:proofErr w:type="spellEnd"/>
      <w:r w:rsidRPr="007A0F4A">
        <w:rPr>
          <w:rFonts w:cstheme="minorHAnsi"/>
        </w:rPr>
        <w:t>/pk) x 100,000 – the observed incidence rate in age group k</w:t>
      </w:r>
    </w:p>
    <w:p w14:paraId="6062A542" w14:textId="77777777" w:rsidR="007A0F4A" w:rsidRPr="007A0F4A" w:rsidRDefault="007A0F4A" w:rsidP="00317A89">
      <w:pPr>
        <w:jc w:val="both"/>
        <w:rPr>
          <w:rFonts w:cstheme="minorHAnsi"/>
        </w:rPr>
      </w:pPr>
      <w:r w:rsidRPr="007A0F4A">
        <w:rPr>
          <w:rFonts w:cstheme="minorHAnsi"/>
        </w:rPr>
        <w:tab/>
      </w:r>
      <w:proofErr w:type="spellStart"/>
      <w:r w:rsidRPr="007A0F4A">
        <w:rPr>
          <w:rFonts w:cstheme="minorHAnsi"/>
        </w:rPr>
        <w:t>rk</w:t>
      </w:r>
      <w:proofErr w:type="spellEnd"/>
      <w:r w:rsidRPr="007A0F4A">
        <w:rPr>
          <w:rFonts w:cstheme="minorHAnsi"/>
        </w:rPr>
        <w:tab/>
        <w:t>= registrations in age group k</w:t>
      </w:r>
    </w:p>
    <w:p w14:paraId="436AC1EC" w14:textId="77777777" w:rsidR="007A0F4A" w:rsidRPr="007A0F4A" w:rsidRDefault="007A0F4A" w:rsidP="00317A89">
      <w:pPr>
        <w:jc w:val="both"/>
        <w:rPr>
          <w:rFonts w:cstheme="minorHAnsi"/>
        </w:rPr>
      </w:pPr>
      <w:r w:rsidRPr="007A0F4A">
        <w:rPr>
          <w:rFonts w:cstheme="minorHAnsi"/>
        </w:rPr>
        <w:tab/>
        <w:t>pk</w:t>
      </w:r>
      <w:r w:rsidRPr="007A0F4A">
        <w:rPr>
          <w:rFonts w:cstheme="minorHAnsi"/>
        </w:rPr>
        <w:tab/>
        <w:t>= population in age group k</w:t>
      </w:r>
    </w:p>
    <w:p w14:paraId="719E589E" w14:textId="6BDBF6FC" w:rsidR="007A0F4A" w:rsidRPr="007A0F4A" w:rsidRDefault="007A0F4A" w:rsidP="00317A89">
      <w:pPr>
        <w:jc w:val="both"/>
        <w:rPr>
          <w:rFonts w:cstheme="minorHAnsi"/>
        </w:rPr>
      </w:pPr>
      <w:r w:rsidRPr="007A0F4A">
        <w:rPr>
          <w:rFonts w:cstheme="minorHAnsi"/>
        </w:rPr>
        <w:tab/>
        <w:t>k</w:t>
      </w:r>
      <w:r w:rsidRPr="007A0F4A">
        <w:rPr>
          <w:rFonts w:cstheme="minorHAnsi"/>
        </w:rPr>
        <w:tab/>
        <w:t xml:space="preserve">= 0-4, 5-9, </w:t>
      </w:r>
      <w:r w:rsidR="00C042E1" w:rsidRPr="007A0F4A">
        <w:rPr>
          <w:rFonts w:cstheme="minorHAnsi"/>
        </w:rPr>
        <w:t>...,</w:t>
      </w:r>
      <w:r w:rsidRPr="007A0F4A">
        <w:rPr>
          <w:rFonts w:cstheme="minorHAnsi"/>
        </w:rPr>
        <w:t xml:space="preserve"> 85-89, and 90 and over</w:t>
      </w:r>
      <w:r w:rsidRPr="007A0F4A">
        <w:rPr>
          <w:rFonts w:cstheme="minorHAnsi"/>
        </w:rPr>
        <w:tab/>
      </w:r>
      <w:r w:rsidRPr="007A0F4A">
        <w:rPr>
          <w:rFonts w:cstheme="minorHAnsi"/>
        </w:rPr>
        <w:tab/>
      </w:r>
    </w:p>
    <w:p w14:paraId="607256D7" w14:textId="1D7A57F7" w:rsidR="00DC72BC" w:rsidRPr="007A0F4A" w:rsidRDefault="007A0F4A" w:rsidP="00317A89">
      <w:pPr>
        <w:jc w:val="both"/>
        <w:rPr>
          <w:rFonts w:cstheme="minorHAnsi"/>
        </w:rPr>
      </w:pPr>
      <w:r w:rsidRPr="007A0F4A">
        <w:rPr>
          <w:rFonts w:cstheme="minorHAnsi"/>
        </w:rPr>
        <w:tab/>
        <w:t>Pk</w:t>
      </w:r>
      <w:r w:rsidRPr="007A0F4A">
        <w:rPr>
          <w:rFonts w:cstheme="minorHAnsi"/>
        </w:rPr>
        <w:tab/>
        <w:t>= European standard population in age group k</w:t>
      </w:r>
      <w:r w:rsidRPr="007A0F4A">
        <w:rPr>
          <w:rFonts w:cstheme="minorHAnsi"/>
        </w:rPr>
        <w:tab/>
      </w:r>
      <w:r w:rsidRPr="007A0F4A">
        <w:rPr>
          <w:rFonts w:cstheme="minorHAnsi"/>
        </w:rPr>
        <w:tab/>
      </w:r>
    </w:p>
    <w:p w14:paraId="2B1CD164" w14:textId="0D1006AD" w:rsidR="007A0F4A" w:rsidRDefault="007A0F4A" w:rsidP="00317A89">
      <w:pPr>
        <w:tabs>
          <w:tab w:val="left" w:pos="2280"/>
        </w:tabs>
        <w:jc w:val="both"/>
        <w:rPr>
          <w:rStyle w:val="Hyperlink"/>
          <w:rFonts w:cstheme="minorHAnsi"/>
        </w:rPr>
      </w:pPr>
      <w:r w:rsidRPr="007A0F4A">
        <w:rPr>
          <w:rFonts w:cstheme="minorHAnsi"/>
        </w:rPr>
        <w:t xml:space="preserve">The 2013 European Standard Population distribution can be found in </w:t>
      </w:r>
      <w:hyperlink w:anchor="_14_Appendix_E" w:history="1">
        <w:r w:rsidRPr="00A81651">
          <w:rPr>
            <w:rStyle w:val="Hyperlink"/>
            <w:rFonts w:cstheme="minorHAnsi"/>
          </w:rPr>
          <w:t xml:space="preserve">Appendix </w:t>
        </w:r>
        <w:r w:rsidR="00440492">
          <w:rPr>
            <w:rStyle w:val="Hyperlink"/>
            <w:rFonts w:cstheme="minorHAnsi"/>
          </w:rPr>
          <w:t>E</w:t>
        </w:r>
        <w:r w:rsidRPr="00A81651">
          <w:rPr>
            <w:rStyle w:val="Hyperlink"/>
            <w:rFonts w:cstheme="minorHAnsi"/>
          </w:rPr>
          <w:t>.</w:t>
        </w:r>
      </w:hyperlink>
    </w:p>
    <w:p w14:paraId="3ADCDB10" w14:textId="77777777" w:rsidR="00DC0C51" w:rsidRDefault="00DC0C51" w:rsidP="00317A89">
      <w:pPr>
        <w:tabs>
          <w:tab w:val="left" w:pos="2280"/>
        </w:tabs>
        <w:jc w:val="both"/>
        <w:rPr>
          <w:rStyle w:val="Hyperlink"/>
          <w:rFonts w:cstheme="minorHAnsi"/>
        </w:rPr>
      </w:pPr>
    </w:p>
    <w:p w14:paraId="64092AFE" w14:textId="359DED49" w:rsidR="00B64137" w:rsidRPr="00F10586" w:rsidRDefault="00B64137" w:rsidP="00F10586">
      <w:pPr>
        <w:pStyle w:val="Heading3"/>
      </w:pPr>
      <w:bookmarkStart w:id="24" w:name="_Toc143505432"/>
      <w:r w:rsidRPr="00F10586">
        <w:t>2.</w:t>
      </w:r>
      <w:r w:rsidR="00C31D9E">
        <w:t>6</w:t>
      </w:r>
      <w:r w:rsidRPr="00F10586">
        <w:t>.</w:t>
      </w:r>
      <w:r w:rsidR="00C43AAF" w:rsidRPr="00F10586">
        <w:t>4</w:t>
      </w:r>
      <w:r w:rsidRPr="00F10586">
        <w:t xml:space="preserve"> Age-specific rates</w:t>
      </w:r>
      <w:bookmarkEnd w:id="24"/>
    </w:p>
    <w:p w14:paraId="614CD793" w14:textId="13EE0F4E" w:rsidR="00A433E5" w:rsidRPr="00A433E5" w:rsidRDefault="001D3AE3" w:rsidP="00317A89">
      <w:pPr>
        <w:jc w:val="both"/>
      </w:pPr>
      <w:r w:rsidRPr="001D3AE3">
        <w:t>Age-specific rates are calculated when reporting on cancer incidence for all sites analysed in this publication.</w:t>
      </w:r>
      <w:r>
        <w:t xml:space="preserve"> </w:t>
      </w:r>
      <w:r w:rsidR="00A433E5">
        <w:t xml:space="preserve">An </w:t>
      </w:r>
      <w:r w:rsidR="00A433E5" w:rsidRPr="00A433E5">
        <w:t>age-specific rate</w:t>
      </w:r>
      <w:r w:rsidR="00A433E5">
        <w:t xml:space="preserve"> is </w:t>
      </w:r>
      <w:r w:rsidR="002803A6">
        <w:t xml:space="preserve">the </w:t>
      </w:r>
      <w:r w:rsidR="00A433E5" w:rsidRPr="0023536D">
        <w:rPr>
          <w:rFonts w:cstheme="minorHAnsi"/>
        </w:rPr>
        <w:t xml:space="preserve">number of events occurring in a population over a specific </w:t>
      </w:r>
      <w:r w:rsidR="002803A6">
        <w:rPr>
          <w:rFonts w:cstheme="minorHAnsi"/>
        </w:rPr>
        <w:t>time-</w:t>
      </w:r>
      <w:r w:rsidR="002803A6" w:rsidRPr="0023536D">
        <w:rPr>
          <w:rFonts w:cstheme="minorHAnsi"/>
        </w:rPr>
        <w:t>period</w:t>
      </w:r>
      <w:r w:rsidR="00A433E5" w:rsidRPr="00A433E5">
        <w:t xml:space="preserve"> </w:t>
      </w:r>
      <w:r w:rsidR="00A433E5">
        <w:t xml:space="preserve">within </w:t>
      </w:r>
      <w:r w:rsidR="00A433E5" w:rsidRPr="00A433E5">
        <w:t>specific age-group</w:t>
      </w:r>
      <w:r w:rsidR="00A433E5">
        <w:t xml:space="preserve">s. </w:t>
      </w:r>
      <w:r w:rsidR="00A433E5" w:rsidRPr="0023536D">
        <w:rPr>
          <w:rFonts w:cstheme="minorHAnsi"/>
        </w:rPr>
        <w:t xml:space="preserve">Both the numerator (number of events) and denominator (mid-year population estimate) are based on the same geographical area and </w:t>
      </w:r>
      <w:proofErr w:type="gramStart"/>
      <w:r w:rsidR="00A433E5" w:rsidRPr="0023536D">
        <w:rPr>
          <w:rFonts w:cstheme="minorHAnsi"/>
        </w:rPr>
        <w:t>time period</w:t>
      </w:r>
      <w:proofErr w:type="gramEnd"/>
      <w:r w:rsidR="00A433E5" w:rsidRPr="0023536D">
        <w:rPr>
          <w:rFonts w:cstheme="minorHAnsi"/>
        </w:rPr>
        <w:t>.</w:t>
      </w:r>
    </w:p>
    <w:p w14:paraId="4219DDE8" w14:textId="3F351D7A" w:rsidR="002803A6" w:rsidRDefault="00A433E5" w:rsidP="00317A89">
      <w:pPr>
        <w:tabs>
          <w:tab w:val="left" w:pos="2280"/>
        </w:tabs>
        <w:jc w:val="both"/>
        <w:rPr>
          <w:rFonts w:cstheme="minorHAnsi"/>
        </w:rPr>
      </w:pPr>
      <w:r w:rsidRPr="0023536D">
        <w:rPr>
          <w:rFonts w:cstheme="minorHAnsi"/>
        </w:rPr>
        <w:t xml:space="preserve">The </w:t>
      </w:r>
      <w:r w:rsidRPr="00A433E5">
        <w:t>age-specific rate</w:t>
      </w:r>
      <w:r>
        <w:t xml:space="preserve"> </w:t>
      </w:r>
      <w:r w:rsidRPr="0023536D">
        <w:rPr>
          <w:rFonts w:cstheme="minorHAnsi"/>
        </w:rPr>
        <w:t>is defined as total registrations per 100,000 population</w:t>
      </w:r>
      <w:r w:rsidR="001A6574">
        <w:rPr>
          <w:rFonts w:cstheme="minorHAnsi"/>
        </w:rPr>
        <w:t xml:space="preserve"> in a specified age group</w:t>
      </w:r>
      <w:r w:rsidRPr="0023536D">
        <w:rPr>
          <w:rFonts w:cstheme="minorHAnsi"/>
        </w:rPr>
        <w:t>, or:</w:t>
      </w:r>
      <w:r w:rsidRPr="0023536D">
        <w:rPr>
          <w:rFonts w:cstheme="minorHAnsi"/>
        </w:rPr>
        <w:tab/>
      </w:r>
    </w:p>
    <w:p w14:paraId="202E14E6" w14:textId="395D9F59" w:rsidR="00A433E5" w:rsidRDefault="00A433E5" w:rsidP="002803A6">
      <w:pPr>
        <w:tabs>
          <w:tab w:val="left" w:pos="2280"/>
        </w:tabs>
      </w:pPr>
      <w:r w:rsidRPr="0023536D">
        <w:rPr>
          <w:rFonts w:cstheme="minorHAnsi"/>
        </w:rPr>
        <w:t xml:space="preserve">(Total registrations </w:t>
      </w:r>
      <w:r w:rsidR="001A6574">
        <w:rPr>
          <w:rFonts w:cstheme="minorHAnsi"/>
        </w:rPr>
        <w:t>in a specified age group</w:t>
      </w:r>
      <w:r w:rsidRPr="0023536D">
        <w:rPr>
          <w:rFonts w:cstheme="minorHAnsi"/>
        </w:rPr>
        <w:t>/ Total population</w:t>
      </w:r>
      <w:r w:rsidR="001A6574">
        <w:rPr>
          <w:rFonts w:cstheme="minorHAnsi"/>
        </w:rPr>
        <w:t xml:space="preserve"> of that age group</w:t>
      </w:r>
      <w:r w:rsidRPr="0023536D">
        <w:rPr>
          <w:rFonts w:cstheme="minorHAnsi"/>
        </w:rPr>
        <w:t>) x 100,000</w:t>
      </w:r>
    </w:p>
    <w:p w14:paraId="2CDB2C3C" w14:textId="20C45DB2" w:rsidR="00B64137" w:rsidRDefault="00A433E5" w:rsidP="00317A89">
      <w:pPr>
        <w:tabs>
          <w:tab w:val="left" w:pos="2280"/>
        </w:tabs>
        <w:jc w:val="both"/>
      </w:pPr>
      <w:r>
        <w:t>The age groupings included in the analysis are 0-54, 55-64, 65-74 and 75+.</w:t>
      </w:r>
    </w:p>
    <w:p w14:paraId="284B2A31" w14:textId="77777777" w:rsidR="00DC0C51" w:rsidRDefault="00DC0C51" w:rsidP="00317A89">
      <w:pPr>
        <w:tabs>
          <w:tab w:val="left" w:pos="2280"/>
        </w:tabs>
        <w:jc w:val="both"/>
      </w:pPr>
    </w:p>
    <w:p w14:paraId="1E631B84" w14:textId="7CC4A856" w:rsidR="00FA5149" w:rsidRPr="00F10586" w:rsidRDefault="00FA5149" w:rsidP="00F10586">
      <w:pPr>
        <w:pStyle w:val="Heading3"/>
      </w:pPr>
      <w:bookmarkStart w:id="25" w:name="_Toc143505433"/>
      <w:r w:rsidRPr="00F10586">
        <w:t>2.</w:t>
      </w:r>
      <w:r w:rsidR="00C31D9E">
        <w:t>6</w:t>
      </w:r>
      <w:r w:rsidRPr="00F10586">
        <w:t>.</w:t>
      </w:r>
      <w:r w:rsidR="00C43AAF" w:rsidRPr="00F10586">
        <w:t>5</w:t>
      </w:r>
      <w:r w:rsidRPr="00F10586">
        <w:t xml:space="preserve"> Proportions</w:t>
      </w:r>
      <w:bookmarkEnd w:id="25"/>
    </w:p>
    <w:p w14:paraId="5C5D1D4B" w14:textId="77777777" w:rsidR="00FA5149" w:rsidRDefault="00FA5149" w:rsidP="00317A89">
      <w:pPr>
        <w:tabs>
          <w:tab w:val="left" w:pos="2280"/>
        </w:tabs>
        <w:jc w:val="both"/>
      </w:pPr>
      <w:r>
        <w:t xml:space="preserve">Proportions are calculated when reporting on staging. The sum of all stages should sum to 1 for all cancer sites reported. </w:t>
      </w:r>
    </w:p>
    <w:p w14:paraId="52F10AEF" w14:textId="125B7FF7" w:rsidR="00FA5149" w:rsidRDefault="00FA5149" w:rsidP="00317A89">
      <w:pPr>
        <w:tabs>
          <w:tab w:val="left" w:pos="2280"/>
        </w:tabs>
        <w:jc w:val="both"/>
      </w:pPr>
      <w:r>
        <w:t>Proportions can take values between 0 and 1, and are defined by having</w:t>
      </w:r>
      <w:r w:rsidR="002803A6">
        <w:t>:</w:t>
      </w:r>
    </w:p>
    <w:p w14:paraId="38C424D9" w14:textId="5F7E442F" w:rsidR="00FA5149" w:rsidRDefault="00FA5149" w:rsidP="002803A6">
      <w:pPr>
        <w:pStyle w:val="ListParagraph"/>
        <w:numPr>
          <w:ilvl w:val="0"/>
          <w:numId w:val="9"/>
        </w:numPr>
        <w:tabs>
          <w:tab w:val="left" w:pos="2280"/>
        </w:tabs>
        <w:jc w:val="both"/>
      </w:pPr>
      <w:r>
        <w:t xml:space="preserve">A numerator in which every individual known to be in the denominator is counted once or not at </w:t>
      </w:r>
      <w:proofErr w:type="gramStart"/>
      <w:r>
        <w:t>all</w:t>
      </w:r>
      <w:proofErr w:type="gramEnd"/>
    </w:p>
    <w:p w14:paraId="45C103D1" w14:textId="77777777" w:rsidR="00FA5149" w:rsidRDefault="00FA5149" w:rsidP="00317A89">
      <w:pPr>
        <w:pStyle w:val="ListParagraph"/>
        <w:numPr>
          <w:ilvl w:val="0"/>
          <w:numId w:val="9"/>
        </w:numPr>
        <w:tabs>
          <w:tab w:val="left" w:pos="2280"/>
        </w:tabs>
        <w:jc w:val="both"/>
      </w:pPr>
      <w:r>
        <w:lastRenderedPageBreak/>
        <w:t xml:space="preserve">A denominator which is exactly defined and known, and in which every individual is counted only once. </w:t>
      </w:r>
    </w:p>
    <w:p w14:paraId="782F7E7C" w14:textId="49D68534" w:rsidR="00FA5149" w:rsidRPr="00FA5149" w:rsidRDefault="00FA5149" w:rsidP="00317A89">
      <w:pPr>
        <w:tabs>
          <w:tab w:val="left" w:pos="2280"/>
        </w:tabs>
        <w:jc w:val="both"/>
      </w:pPr>
      <w:r>
        <w:t xml:space="preserve">In such instances, the denominator </w:t>
      </w:r>
      <w:proofErr w:type="gramStart"/>
      <w:r>
        <w:t>is considered to be</w:t>
      </w:r>
      <w:proofErr w:type="gramEnd"/>
      <w:r>
        <w:t xml:space="preserve"> a ‘closed’ population.</w:t>
      </w:r>
    </w:p>
    <w:p w14:paraId="5CB4A172" w14:textId="1EA18C25" w:rsidR="007A0F4A" w:rsidRDefault="00FA5149" w:rsidP="00317A89">
      <w:pPr>
        <w:jc w:val="both"/>
      </w:pPr>
      <w:r>
        <w:t xml:space="preserve">Analysis by staging </w:t>
      </w:r>
      <w:r w:rsidR="002803A6">
        <w:t>is</w:t>
      </w:r>
      <w:r>
        <w:t xml:space="preserve"> displayed as percentages in the output, with proportions simply multiplied by 100 to convert to </w:t>
      </w:r>
      <w:r w:rsidR="002803A6">
        <w:t xml:space="preserve">a </w:t>
      </w:r>
      <w:r>
        <w:t>percentage</w:t>
      </w:r>
      <w:r w:rsidR="002803A6">
        <w:t xml:space="preserve"> (%)</w:t>
      </w:r>
      <w:r>
        <w:t>.</w:t>
      </w:r>
    </w:p>
    <w:p w14:paraId="368A2841" w14:textId="77777777" w:rsidR="00DC0C51" w:rsidRDefault="00DC0C51" w:rsidP="00317A89">
      <w:pPr>
        <w:jc w:val="both"/>
      </w:pPr>
    </w:p>
    <w:p w14:paraId="53717225" w14:textId="4693A999" w:rsidR="004450E3" w:rsidRPr="00F10586" w:rsidRDefault="004450E3" w:rsidP="00F10586">
      <w:pPr>
        <w:pStyle w:val="Heading3"/>
      </w:pPr>
      <w:bookmarkStart w:id="26" w:name="_Toc143505434"/>
      <w:r w:rsidRPr="00F10586">
        <w:t>2.</w:t>
      </w:r>
      <w:r w:rsidR="00C31D9E">
        <w:t>6</w:t>
      </w:r>
      <w:r w:rsidRPr="00F10586">
        <w:t>.</w:t>
      </w:r>
      <w:r w:rsidR="00C43AAF" w:rsidRPr="00F10586">
        <w:t>6</w:t>
      </w:r>
      <w:r w:rsidRPr="00F10586">
        <w:t xml:space="preserve"> Net survival (unstandardised net survival)</w:t>
      </w:r>
      <w:bookmarkEnd w:id="26"/>
    </w:p>
    <w:p w14:paraId="5F310EC1" w14:textId="4AA81E5B" w:rsidR="004450E3" w:rsidRDefault="004450E3" w:rsidP="00317A89">
      <w:pPr>
        <w:jc w:val="both"/>
      </w:pPr>
      <w:r>
        <w:t>Net survival (%) is an estimate of survival where the effect of background population mortality rates on survival has been removed. As background population mortality rates</w:t>
      </w:r>
      <w:r w:rsidR="00B67984">
        <w:t xml:space="preserve"> (</w:t>
      </w:r>
      <w:r>
        <w:t>presented in a life table</w:t>
      </w:r>
      <w:r w:rsidR="00B67984">
        <w:t>)</w:t>
      </w:r>
      <w:r>
        <w:t xml:space="preserve"> are a good approximation to the non-cancer related death rates among cancer patients, the net survival represents the survival of adult cancer patients if they could only die from cancer-related causes. Net survival is suitable for comparison of survival between different time periods and populations, as the confounding effect of non</w:t>
      </w:r>
      <w:r w:rsidR="00B67984">
        <w:t>-</w:t>
      </w:r>
      <w:r>
        <w:t xml:space="preserve">cancer death rates is removed. However, the analysis is sensitive to differences in background mortality between populations. Please see </w:t>
      </w:r>
      <w:hyperlink w:anchor="_4.1.2_Lifetables" w:history="1">
        <w:r w:rsidRPr="00B67984">
          <w:rPr>
            <w:rStyle w:val="Hyperlink"/>
          </w:rPr>
          <w:t>section 4.1.2</w:t>
        </w:r>
      </w:hyperlink>
      <w:r>
        <w:t xml:space="preserve"> for more information about how life tables affect survival estimates. </w:t>
      </w:r>
      <w:proofErr w:type="spellStart"/>
      <w:r>
        <w:t>Pohar</w:t>
      </w:r>
      <w:proofErr w:type="spellEnd"/>
      <w:r>
        <w:t xml:space="preserve"> and </w:t>
      </w:r>
      <w:proofErr w:type="spellStart"/>
      <w:r>
        <w:t>Perme</w:t>
      </w:r>
      <w:proofErr w:type="spellEnd"/>
      <w:r>
        <w:t xml:space="preserve"> (2012)</w:t>
      </w:r>
      <w:r w:rsidR="00BE6425" w:rsidRPr="00BE6425">
        <w:rPr>
          <w:vertAlign w:val="superscript"/>
        </w:rPr>
        <w:t>1</w:t>
      </w:r>
      <w:r w:rsidR="00BE6425">
        <w:t xml:space="preserve"> </w:t>
      </w:r>
      <w:r>
        <w:t>detail the net survival method further.</w:t>
      </w:r>
    </w:p>
    <w:p w14:paraId="2EA1752E" w14:textId="77777777" w:rsidR="00DC0C51" w:rsidRDefault="00DC0C51" w:rsidP="00317A89">
      <w:pPr>
        <w:jc w:val="both"/>
      </w:pPr>
    </w:p>
    <w:p w14:paraId="7F159E1A" w14:textId="49137729" w:rsidR="004450E3" w:rsidRPr="00F10586" w:rsidRDefault="004450E3" w:rsidP="00F10586">
      <w:pPr>
        <w:pStyle w:val="Heading3"/>
      </w:pPr>
      <w:bookmarkStart w:id="27" w:name="_Toc143505435"/>
      <w:r w:rsidRPr="00F10586">
        <w:t>2.</w:t>
      </w:r>
      <w:r w:rsidR="00C31D9E">
        <w:t>6</w:t>
      </w:r>
      <w:r w:rsidRPr="00F10586">
        <w:t>.</w:t>
      </w:r>
      <w:r w:rsidR="00C43AAF" w:rsidRPr="00F10586">
        <w:t>7</w:t>
      </w:r>
      <w:r w:rsidRPr="00F10586">
        <w:t xml:space="preserve"> Age specific net survival</w:t>
      </w:r>
      <w:bookmarkEnd w:id="27"/>
    </w:p>
    <w:p w14:paraId="750A1FD9" w14:textId="23BE9269" w:rsidR="004450E3" w:rsidRDefault="004450E3" w:rsidP="00317A89">
      <w:pPr>
        <w:jc w:val="both"/>
      </w:pPr>
      <w:r>
        <w:t xml:space="preserve">Age specific net survival (%) is the same as above but presented by age groups, which are used to calculate age-standardised net survival below. The age groupings used can be seen in </w:t>
      </w:r>
      <w:hyperlink w:anchor="_11_Appendix_B" w:history="1">
        <w:r w:rsidRPr="003C1FC8">
          <w:rPr>
            <w:rStyle w:val="Hyperlink"/>
          </w:rPr>
          <w:t xml:space="preserve">Appendix </w:t>
        </w:r>
        <w:r w:rsidR="00B67984" w:rsidRPr="003C1FC8">
          <w:rPr>
            <w:rStyle w:val="Hyperlink"/>
          </w:rPr>
          <w:t>B</w:t>
        </w:r>
      </w:hyperlink>
      <w:r>
        <w:t>.</w:t>
      </w:r>
    </w:p>
    <w:p w14:paraId="610381A3" w14:textId="77777777" w:rsidR="00DC72BC" w:rsidRDefault="00DC72BC" w:rsidP="00317A89">
      <w:pPr>
        <w:jc w:val="both"/>
      </w:pPr>
    </w:p>
    <w:p w14:paraId="75EDD184" w14:textId="7CFB56FA" w:rsidR="004450E3" w:rsidRPr="00F10586" w:rsidRDefault="004450E3" w:rsidP="00F10586">
      <w:pPr>
        <w:pStyle w:val="Heading3"/>
      </w:pPr>
      <w:bookmarkStart w:id="28" w:name="_Toc143505436"/>
      <w:r w:rsidRPr="00F10586">
        <w:t>2.</w:t>
      </w:r>
      <w:r w:rsidR="00C31D9E">
        <w:t>6</w:t>
      </w:r>
      <w:r w:rsidRPr="00F10586">
        <w:t>.</w:t>
      </w:r>
      <w:r w:rsidR="00C43AAF" w:rsidRPr="00F10586">
        <w:t>8</w:t>
      </w:r>
      <w:r w:rsidRPr="00F10586">
        <w:t xml:space="preserve"> Age-standardised net survival</w:t>
      </w:r>
      <w:bookmarkEnd w:id="28"/>
    </w:p>
    <w:p w14:paraId="6014017A" w14:textId="44E64B92" w:rsidR="004450E3" w:rsidRDefault="004450E3" w:rsidP="00317A89">
      <w:pPr>
        <w:jc w:val="both"/>
      </w:pPr>
      <w:r>
        <w:t>The survival of cancer varies greatly with age. Differences in the age structure of populations between geographical areas or over time therefore need to be controlled to give unbiased comparisons of survival. Age-standardisation allows comparison of rates across different populations whil</w:t>
      </w:r>
      <w:r w:rsidR="00B67984">
        <w:t>st</w:t>
      </w:r>
      <w:r>
        <w:t xml:space="preserve"> taking</w:t>
      </w:r>
      <w:r w:rsidR="00B67984">
        <w:t xml:space="preserve"> </w:t>
      </w:r>
      <w:r>
        <w:t xml:space="preserve">account of the different age structures of those populations. Age-standardised net survival (%) is an estimate that would occur if that population (of cancer patients) had an age structure matching that of the general population. Using this metric allows fair comparison of the rates across different regions in Wales, other countries in </w:t>
      </w:r>
      <w:r w:rsidR="00B67984">
        <w:t xml:space="preserve">the </w:t>
      </w:r>
      <w:r>
        <w:t>UK and Europe, and between different time periods. Survival estimates for five broad age groups are assigned standard weights and summed to give the age-standardised survival estimate (</w:t>
      </w:r>
      <w:proofErr w:type="spellStart"/>
      <w:r>
        <w:t>Corazziari</w:t>
      </w:r>
      <w:proofErr w:type="spellEnd"/>
      <w:r>
        <w:t xml:space="preserve"> et al., 2004)</w:t>
      </w:r>
      <w:r w:rsidR="00BE6425">
        <w:rPr>
          <w:vertAlign w:val="superscript"/>
        </w:rPr>
        <w:t>3</w:t>
      </w:r>
      <w:r>
        <w:t xml:space="preserve">. </w:t>
      </w:r>
      <w:hyperlink w:anchor="_11_Appendix_B" w:history="1">
        <w:r w:rsidRPr="003C1FC8">
          <w:rPr>
            <w:rStyle w:val="Hyperlink"/>
          </w:rPr>
          <w:t xml:space="preserve">Appendix </w:t>
        </w:r>
        <w:r w:rsidR="009B429A" w:rsidRPr="003C1FC8">
          <w:rPr>
            <w:rStyle w:val="Hyperlink"/>
          </w:rPr>
          <w:t>B</w:t>
        </w:r>
      </w:hyperlink>
      <w:r>
        <w:t xml:space="preserve"> detail</w:t>
      </w:r>
      <w:r w:rsidR="009B429A">
        <w:t>s</w:t>
      </w:r>
      <w:r>
        <w:t xml:space="preserve"> the weights used for the different cancer types.</w:t>
      </w:r>
    </w:p>
    <w:p w14:paraId="51EDF395" w14:textId="77777777" w:rsidR="00DC0C51" w:rsidRDefault="00DC0C51" w:rsidP="00317A89">
      <w:pPr>
        <w:jc w:val="both"/>
      </w:pPr>
    </w:p>
    <w:p w14:paraId="3ECFBF46" w14:textId="55710706" w:rsidR="00FA5149" w:rsidRPr="00F10586" w:rsidRDefault="00FA5149" w:rsidP="00F10586">
      <w:pPr>
        <w:pStyle w:val="Heading3"/>
      </w:pPr>
      <w:bookmarkStart w:id="29" w:name="_Toc143505437"/>
      <w:r w:rsidRPr="00F10586">
        <w:t>2.</w:t>
      </w:r>
      <w:r w:rsidR="00C31D9E">
        <w:t>6</w:t>
      </w:r>
      <w:r w:rsidRPr="00F10586">
        <w:t>.</w:t>
      </w:r>
      <w:r w:rsidR="00C43AAF" w:rsidRPr="00F10586">
        <w:t>9</w:t>
      </w:r>
      <w:r w:rsidRPr="00F10586">
        <w:t xml:space="preserve"> Confidence intervals</w:t>
      </w:r>
      <w:bookmarkEnd w:id="29"/>
    </w:p>
    <w:p w14:paraId="6262BEF3" w14:textId="3A0C03EA" w:rsidR="00FA5149" w:rsidRPr="00590CD6" w:rsidRDefault="00FA5149" w:rsidP="00317A89">
      <w:pPr>
        <w:jc w:val="both"/>
      </w:pPr>
      <w:r w:rsidRPr="00590CD6">
        <w:t>Confidence intervals are produced alongside EASRs</w:t>
      </w:r>
      <w:r w:rsidR="009B429A">
        <w:t>, age-specific rates</w:t>
      </w:r>
      <w:r w:rsidR="00FA4541">
        <w:t xml:space="preserve"> and survival figures</w:t>
      </w:r>
      <w:r w:rsidRPr="00590CD6">
        <w:t xml:space="preserve">. </w:t>
      </w:r>
      <w:r w:rsidR="00FA4541">
        <w:t>They</w:t>
      </w:r>
      <w:r w:rsidRPr="00590CD6">
        <w:t xml:space="preserve"> are indications of the natural variation </w:t>
      </w:r>
      <w:r>
        <w:t xml:space="preserve">that would be expected around </w:t>
      </w:r>
      <w:r>
        <w:lastRenderedPageBreak/>
        <w:t xml:space="preserve">an </w:t>
      </w:r>
      <w:r w:rsidR="003C1FC8">
        <w:t>estimate and</w:t>
      </w:r>
      <w:r w:rsidRPr="00590CD6">
        <w:t xml:space="preserve"> should be considered </w:t>
      </w:r>
      <w:r>
        <w:t>when assessing or interpreting an estimate</w:t>
      </w:r>
      <w:r w:rsidRPr="00590CD6">
        <w:t xml:space="preserve">. The size of the confidence interval is dependent on the number of events occurring and the size of the population from </w:t>
      </w:r>
      <w:r>
        <w:t>which the events came. Generally</w:t>
      </w:r>
      <w:r w:rsidRPr="00590CD6">
        <w:t xml:space="preserve">, </w:t>
      </w:r>
      <w:r>
        <w:t>estimates</w:t>
      </w:r>
      <w:r w:rsidRPr="00590CD6">
        <w:t xml:space="preserve"> based on small numbers of events and small populations are likely to have wider confidence intervals. Conversely, </w:t>
      </w:r>
      <w:r>
        <w:t>estimates</w:t>
      </w:r>
      <w:r w:rsidRPr="00590CD6">
        <w:t xml:space="preserve"> based on large populations are likely to have narrower confidence intervals. </w:t>
      </w:r>
    </w:p>
    <w:p w14:paraId="01446791" w14:textId="77777777" w:rsidR="00FA5149" w:rsidRDefault="00FA5149" w:rsidP="00317A89">
      <w:pPr>
        <w:jc w:val="both"/>
      </w:pPr>
      <w:r w:rsidRPr="00590CD6">
        <w:t>In this publication, we calculate 95 per cent confidence intervals</w:t>
      </w:r>
      <w:r>
        <w:t>.</w:t>
      </w:r>
      <w:r w:rsidRPr="00590CD6">
        <w:t xml:space="preserve"> This represents a range of values that we can be 95 per cent confident contains the ‘true’ underlying </w:t>
      </w:r>
      <w:r>
        <w:t>estimate.</w:t>
      </w:r>
    </w:p>
    <w:p w14:paraId="12B3B24E" w14:textId="76B691A6" w:rsidR="00DC72BC" w:rsidRDefault="00DC0C51" w:rsidP="00317A89">
      <w:pPr>
        <w:jc w:val="both"/>
      </w:pPr>
      <w:r>
        <w:rPr>
          <w:noProof/>
          <w:lang w:eastAsia="en-GB"/>
        </w:rPr>
        <mc:AlternateContent>
          <mc:Choice Requires="wps">
            <w:drawing>
              <wp:anchor distT="45720" distB="45720" distL="114300" distR="114300" simplePos="0" relativeHeight="251684864" behindDoc="0" locked="0" layoutInCell="1" allowOverlap="1" wp14:anchorId="78446E85" wp14:editId="16A8EC0A">
                <wp:simplePos x="0" y="0"/>
                <wp:positionH relativeFrom="margin">
                  <wp:align>center</wp:align>
                </wp:positionH>
                <wp:positionV relativeFrom="paragraph">
                  <wp:posOffset>1053086</wp:posOffset>
                </wp:positionV>
                <wp:extent cx="5657850" cy="700405"/>
                <wp:effectExtent l="0" t="0" r="0" b="444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7850" cy="700405"/>
                        </a:xfrm>
                        <a:prstGeom prst="rect">
                          <a:avLst/>
                        </a:prstGeom>
                        <a:noFill/>
                        <a:ln w="9525">
                          <a:noFill/>
                          <a:miter lim="800000"/>
                          <a:headEnd/>
                          <a:tailEnd/>
                        </a:ln>
                      </wps:spPr>
                      <wps:txbx>
                        <w:txbxContent>
                          <w:p w14:paraId="17FE2D25" w14:textId="77777777" w:rsidR="00DC0C51" w:rsidRPr="00401614" w:rsidRDefault="00DC0C51" w:rsidP="00DC0C51">
                            <w:pPr>
                              <w:pStyle w:val="Caption"/>
                              <w:keepNext/>
                              <w:rPr>
                                <w:i w:val="0"/>
                                <w:iCs w:val="0"/>
                                <w:color w:val="auto"/>
                                <w:sz w:val="20"/>
                                <w:szCs w:val="20"/>
                              </w:rPr>
                            </w:pPr>
                            <w:bookmarkStart w:id="30" w:name="_Hlk143505132"/>
                            <w:r w:rsidRPr="00401614">
                              <w:rPr>
                                <w:i w:val="0"/>
                                <w:iCs w:val="0"/>
                                <w:color w:val="auto"/>
                                <w:sz w:val="20"/>
                                <w:szCs w:val="20"/>
                              </w:rPr>
                              <w:t xml:space="preserve">Figure 2: </w:t>
                            </w:r>
                            <w:r>
                              <w:rPr>
                                <w:i w:val="0"/>
                                <w:iCs w:val="0"/>
                                <w:color w:val="auto"/>
                                <w:sz w:val="20"/>
                                <w:szCs w:val="20"/>
                              </w:rPr>
                              <w:t xml:space="preserve">Using confidence intervals for making comparisons. </w:t>
                            </w:r>
                            <w:r>
                              <w:rPr>
                                <w:i w:val="0"/>
                                <w:iCs w:val="0"/>
                                <w:color w:val="auto"/>
                                <w:sz w:val="20"/>
                                <w:szCs w:val="20"/>
                              </w:rPr>
                              <w:br/>
                              <w:t xml:space="preserve">a) &amp; b) </w:t>
                            </w:r>
                            <w:proofErr w:type="gramStart"/>
                            <w:r>
                              <w:rPr>
                                <w:i w:val="0"/>
                                <w:iCs w:val="0"/>
                                <w:color w:val="auto"/>
                                <w:sz w:val="20"/>
                                <w:szCs w:val="20"/>
                              </w:rPr>
                              <w:t>Non-overlapping</w:t>
                            </w:r>
                            <w:proofErr w:type="gramEnd"/>
                            <w:r>
                              <w:rPr>
                                <w:i w:val="0"/>
                                <w:iCs w:val="0"/>
                                <w:color w:val="auto"/>
                                <w:sz w:val="20"/>
                                <w:szCs w:val="20"/>
                              </w:rPr>
                              <w:t xml:space="preserve"> confidence intervals are considered statistically significant. </w:t>
                            </w:r>
                            <w:r>
                              <w:rPr>
                                <w:i w:val="0"/>
                                <w:iCs w:val="0"/>
                                <w:color w:val="auto"/>
                                <w:sz w:val="20"/>
                                <w:szCs w:val="20"/>
                              </w:rPr>
                              <w:br/>
                            </w:r>
                            <w:bookmarkEnd w:id="30"/>
                            <w:r>
                              <w:rPr>
                                <w:i w:val="0"/>
                                <w:iCs w:val="0"/>
                                <w:color w:val="auto"/>
                                <w:sz w:val="20"/>
                                <w:szCs w:val="20"/>
                              </w:rPr>
                              <w:t>c) Overlapping confidence intervals do not always indicate a difference that is not statistically significant.</w:t>
                            </w:r>
                            <w:r w:rsidRPr="00401614">
                              <w:rPr>
                                <w:i w:val="0"/>
                                <w:iCs w:val="0"/>
                                <w:color w:val="auto"/>
                                <w:sz w:val="20"/>
                                <w:szCs w:val="20"/>
                              </w:rPr>
                              <w:t xml:space="preserve">  </w:t>
                            </w:r>
                          </w:p>
                          <w:p w14:paraId="479AE2CE" w14:textId="1B25E63B" w:rsidR="00DC0C51" w:rsidRPr="008A0831" w:rsidRDefault="00DC0C51" w:rsidP="00DC0C51">
                            <w:pPr>
                              <w:jc w:val="both"/>
                              <w:rPr>
                                <w:sz w:val="20"/>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446E85" id="_x0000_s1030" type="#_x0000_t202" style="position:absolute;left:0;text-align:left;margin-left:0;margin-top:82.9pt;width:445.5pt;height:55.15pt;z-index:25168486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" filled="f" stroked="f">
                <v:textbox>
                  <w:txbxContent>
                    <w:p w14:paraId="17FE2D25" w14:textId="77777777" w:rsidR="00DC0C51" w:rsidRPr="00401614" w:rsidRDefault="00DC0C51" w:rsidP="00DC0C51">
                      <w:pPr>
                        <w:pStyle w:val="Caption"/>
                        <w:keepNext/>
                        <w:rPr>
                          <w:i w:val="0"/>
                          <w:iCs w:val="0"/>
                          <w:color w:val="auto"/>
                          <w:sz w:val="20"/>
                          <w:szCs w:val="20"/>
                        </w:rPr>
                      </w:pPr>
                      <w:bookmarkStart w:id="31" w:name="_Hlk143505132"/>
                      <w:r w:rsidRPr="00401614">
                        <w:rPr>
                          <w:i w:val="0"/>
                          <w:iCs w:val="0"/>
                          <w:color w:val="auto"/>
                          <w:sz w:val="20"/>
                          <w:szCs w:val="20"/>
                        </w:rPr>
                        <w:t xml:space="preserve">Figure 2: </w:t>
                      </w:r>
                      <w:r>
                        <w:rPr>
                          <w:i w:val="0"/>
                          <w:iCs w:val="0"/>
                          <w:color w:val="auto"/>
                          <w:sz w:val="20"/>
                          <w:szCs w:val="20"/>
                        </w:rPr>
                        <w:t xml:space="preserve">Using confidence intervals for making comparisons. </w:t>
                      </w:r>
                      <w:r>
                        <w:rPr>
                          <w:i w:val="0"/>
                          <w:iCs w:val="0"/>
                          <w:color w:val="auto"/>
                          <w:sz w:val="20"/>
                          <w:szCs w:val="20"/>
                        </w:rPr>
                        <w:br/>
                        <w:t xml:space="preserve">a) &amp; b) </w:t>
                      </w:r>
                      <w:proofErr w:type="gramStart"/>
                      <w:r>
                        <w:rPr>
                          <w:i w:val="0"/>
                          <w:iCs w:val="0"/>
                          <w:color w:val="auto"/>
                          <w:sz w:val="20"/>
                          <w:szCs w:val="20"/>
                        </w:rPr>
                        <w:t>Non-overlapping</w:t>
                      </w:r>
                      <w:proofErr w:type="gramEnd"/>
                      <w:r>
                        <w:rPr>
                          <w:i w:val="0"/>
                          <w:iCs w:val="0"/>
                          <w:color w:val="auto"/>
                          <w:sz w:val="20"/>
                          <w:szCs w:val="20"/>
                        </w:rPr>
                        <w:t xml:space="preserve"> confidence intervals are considered statistically significant. </w:t>
                      </w:r>
                      <w:r>
                        <w:rPr>
                          <w:i w:val="0"/>
                          <w:iCs w:val="0"/>
                          <w:color w:val="auto"/>
                          <w:sz w:val="20"/>
                          <w:szCs w:val="20"/>
                        </w:rPr>
                        <w:br/>
                      </w:r>
                      <w:bookmarkEnd w:id="31"/>
                      <w:r>
                        <w:rPr>
                          <w:i w:val="0"/>
                          <w:iCs w:val="0"/>
                          <w:color w:val="auto"/>
                          <w:sz w:val="20"/>
                          <w:szCs w:val="20"/>
                        </w:rPr>
                        <w:t>c) Overlapping confidence intervals do not always indicate a difference that is not statistically significant.</w:t>
                      </w:r>
                      <w:r w:rsidRPr="00401614">
                        <w:rPr>
                          <w:i w:val="0"/>
                          <w:iCs w:val="0"/>
                          <w:color w:val="auto"/>
                          <w:sz w:val="20"/>
                          <w:szCs w:val="20"/>
                        </w:rPr>
                        <w:t xml:space="preserve">  </w:t>
                      </w:r>
                    </w:p>
                    <w:p w14:paraId="479AE2CE" w14:textId="1B25E63B" w:rsidR="00DC0C51" w:rsidRPr="008A0831" w:rsidRDefault="00DC0C51" w:rsidP="00DC0C51">
                      <w:pPr>
                        <w:jc w:val="both"/>
                        <w:rPr>
                          <w:sz w:val="20"/>
                          <w:szCs w:val="18"/>
                        </w:rPr>
                      </w:pPr>
                    </w:p>
                  </w:txbxContent>
                </v:textbox>
                <w10:wrap type="square" anchorx="margin"/>
              </v:shape>
            </w:pict>
          </mc:Fallback>
        </mc:AlternateContent>
      </w:r>
      <w:r w:rsidR="00FA5149">
        <w:t>Confidence intervals calculated alongside EASRs use</w:t>
      </w:r>
      <w:r w:rsidR="00FA5149" w:rsidRPr="00590CD6">
        <w:t xml:space="preserve"> the </w:t>
      </w:r>
      <w:r w:rsidR="00FA5149">
        <w:t>modified gamma distribution method by Tiwari, R.C. et al</w:t>
      </w:r>
      <w:r w:rsidR="00BE6425">
        <w:rPr>
          <w:rStyle w:val="FootnoteReference"/>
          <w:rFonts w:ascii="Verdana" w:hAnsi="Verdana"/>
          <w:sz w:val="20"/>
          <w:szCs w:val="20"/>
        </w:rPr>
        <w:footnoteReference w:id="6"/>
      </w:r>
      <w:r w:rsidR="00FA5149">
        <w:t xml:space="preserve">. This is a </w:t>
      </w:r>
      <w:r w:rsidR="00FA5149" w:rsidRPr="00920A3D">
        <w:t>modification of the formula for the upper confidence limit</w:t>
      </w:r>
      <w:r w:rsidR="00FA5149">
        <w:t xml:space="preserve"> of the original c</w:t>
      </w:r>
      <w:r w:rsidR="00FA5149" w:rsidRPr="00920A3D">
        <w:t>onfidence i</w:t>
      </w:r>
      <w:r w:rsidR="00FA5149">
        <w:t>ntervals for directly standardis</w:t>
      </w:r>
      <w:r w:rsidR="00FA5149" w:rsidRPr="00920A3D">
        <w:t>ed rates based on the gamma distribution, as p</w:t>
      </w:r>
      <w:r w:rsidR="00FA5149">
        <w:t>roposed by Fay and Feuer</w:t>
      </w:r>
      <w:r w:rsidR="00BE6425">
        <w:rPr>
          <w:rStyle w:val="FootnoteReference"/>
          <w:rFonts w:ascii="Verdana" w:hAnsi="Verdana"/>
          <w:sz w:val="20"/>
          <w:szCs w:val="20"/>
        </w:rPr>
        <w:footnoteReference w:id="7"/>
      </w:r>
      <w:r w:rsidR="00FA5149">
        <w:t>. C</w:t>
      </w:r>
      <w:r w:rsidR="00FA5149" w:rsidRPr="00F93445">
        <w:t>onfidence intervals are presented alongside proportions using a method proposed by Wilson, E.B. et al</w:t>
      </w:r>
      <w:r w:rsidR="00BE6425">
        <w:rPr>
          <w:rStyle w:val="FootnoteReference"/>
          <w:rFonts w:ascii="Verdana" w:hAnsi="Verdana"/>
          <w:sz w:val="20"/>
          <w:szCs w:val="20"/>
        </w:rPr>
        <w:footnoteReference w:id="8"/>
      </w:r>
      <w:r w:rsidR="00BE6425">
        <w:t>.</w:t>
      </w:r>
    </w:p>
    <w:p w14:paraId="4A1698CE" w14:textId="60CB6A36" w:rsidR="00DC0C51" w:rsidRDefault="00DC0C51" w:rsidP="00DC0C51">
      <w:pPr>
        <w:pStyle w:val="Caption"/>
        <w:keepNext/>
        <w:jc w:val="center"/>
      </w:pPr>
    </w:p>
    <w:p w14:paraId="4710808E" w14:textId="12386748" w:rsidR="00401614" w:rsidRDefault="00DC0C51" w:rsidP="00DC0C51">
      <w:pPr>
        <w:jc w:val="center"/>
      </w:pPr>
      <w:r>
        <w:rPr>
          <w:noProof/>
        </w:rPr>
        <w:drawing>
          <wp:inline distT="0" distB="0" distL="0" distR="0" wp14:anchorId="4B1BA3A2" wp14:editId="53CFDF7C">
            <wp:extent cx="3283563" cy="2434442"/>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283563" cy="2434442"/>
                    </a:xfrm>
                    <a:prstGeom prst="rect">
                      <a:avLst/>
                    </a:prstGeom>
                    <a:noFill/>
                  </pic:spPr>
                </pic:pic>
              </a:graphicData>
            </a:graphic>
          </wp:inline>
        </w:drawing>
      </w:r>
    </w:p>
    <w:p w14:paraId="300D6727" w14:textId="7A7F9E0E" w:rsidR="00DC72BC" w:rsidRDefault="00DC72BC" w:rsidP="00DC0C51"/>
    <w:p w14:paraId="6BA57375" w14:textId="38D53C98" w:rsidR="00FA5149" w:rsidRDefault="00FA5149" w:rsidP="00317A89">
      <w:pPr>
        <w:jc w:val="both"/>
      </w:pPr>
      <w:r w:rsidRPr="00590CD6">
        <w:t>Comparisons are often made between two or more estimates, for example</w:t>
      </w:r>
      <w:r w:rsidR="009B429A">
        <w:t>,</w:t>
      </w:r>
      <w:r w:rsidRPr="00590CD6">
        <w:t xml:space="preserve"> between different areas or time periods (Figure </w:t>
      </w:r>
      <w:r w:rsidR="00401614">
        <w:t>2</w:t>
      </w:r>
      <w:r w:rsidRPr="00590CD6">
        <w:t xml:space="preserve">). Sometimes in such cases statistical testing is undertaken by comparing the confidence intervals of the estimates to see if they overlap. Non-overlapping confidence intervals are considered as statistically significantly different (Figures </w:t>
      </w:r>
      <w:r w:rsidR="00401614">
        <w:t>2</w:t>
      </w:r>
      <w:r w:rsidRPr="00590CD6">
        <w:t xml:space="preserve">a &amp; </w:t>
      </w:r>
      <w:r w:rsidR="00401614">
        <w:t>2</w:t>
      </w:r>
      <w:r w:rsidRPr="00590CD6">
        <w:t>b). Whilst it is safe to assume that non-overlapping confidence intervals indicate a statistically significant difference, it is not always the case that overlapping confidence intervals do not (Figure 1c).</w:t>
      </w:r>
      <w:r w:rsidR="00026B97">
        <w:t xml:space="preserve"> </w:t>
      </w:r>
      <w:r w:rsidRPr="00590CD6">
        <w:t xml:space="preserve">A more exact approach is to calculate the ratio of the two estimates, or the difference between them, and construct a test or confidence interval based on that statistic. Such methods are not covered in this technical </w:t>
      </w:r>
      <w:r w:rsidR="009B429A" w:rsidRPr="00590CD6">
        <w:t>guide but</w:t>
      </w:r>
      <w:r w:rsidRPr="00590CD6">
        <w:t xml:space="preserve"> can be found in a standard textbook.</w:t>
      </w:r>
    </w:p>
    <w:p w14:paraId="454B4956" w14:textId="5CD5B2CC" w:rsidR="00FA5149" w:rsidRDefault="00FA5149" w:rsidP="00317A89">
      <w:pPr>
        <w:jc w:val="both"/>
      </w:pPr>
      <w:r>
        <w:t xml:space="preserve">Geographical analysis in this </w:t>
      </w:r>
      <w:r w:rsidR="00FA4541">
        <w:t>tool</w:t>
      </w:r>
      <w:r>
        <w:t xml:space="preserve"> </w:t>
      </w:r>
      <w:r w:rsidR="009B429A">
        <w:t>indicates</w:t>
      </w:r>
      <w:r>
        <w:t xml:space="preserve"> whether the EASRs </w:t>
      </w:r>
      <w:r w:rsidR="00A1732E">
        <w:t xml:space="preserve">or net survival </w:t>
      </w:r>
      <w:r>
        <w:t>is significantly different compared to the Wales rate for the area, cancer site and time</w:t>
      </w:r>
      <w:r w:rsidR="009B429A">
        <w:t>-</w:t>
      </w:r>
      <w:r>
        <w:t xml:space="preserve">period. In this instance, significant difference is indicated by whether the confidence intervals for </w:t>
      </w:r>
      <w:r w:rsidR="009B429A">
        <w:t>a</w:t>
      </w:r>
      <w:r>
        <w:t xml:space="preserve"> </w:t>
      </w:r>
      <w:r w:rsidR="009B429A">
        <w:t>particular area overlap</w:t>
      </w:r>
      <w:r>
        <w:t xml:space="preserve"> or not with the confidence intervals around the Wales estimate for the cancer site and time</w:t>
      </w:r>
      <w:r w:rsidR="009B429A">
        <w:t>-</w:t>
      </w:r>
      <w:r>
        <w:t xml:space="preserve">period. </w:t>
      </w:r>
    </w:p>
    <w:p w14:paraId="0D392B4E" w14:textId="77777777" w:rsidR="00DC0C51" w:rsidRDefault="00DC0C51" w:rsidP="00317A89">
      <w:pPr>
        <w:jc w:val="both"/>
      </w:pPr>
    </w:p>
    <w:p w14:paraId="78DEF1AB" w14:textId="3CDFD4AF" w:rsidR="00FA4541" w:rsidRPr="00F10586" w:rsidRDefault="008E085E" w:rsidP="00F10586">
      <w:pPr>
        <w:pStyle w:val="Heading3"/>
      </w:pPr>
      <w:bookmarkStart w:id="32" w:name="_Toc143505438"/>
      <w:r w:rsidRPr="00F10586">
        <w:t>2.</w:t>
      </w:r>
      <w:r w:rsidR="00C31D9E">
        <w:t>6</w:t>
      </w:r>
      <w:r w:rsidRPr="00F10586">
        <w:t>.</w:t>
      </w:r>
      <w:r w:rsidR="00C43AAF" w:rsidRPr="00F10586">
        <w:t>10</w:t>
      </w:r>
      <w:r w:rsidRPr="00F10586">
        <w:t xml:space="preserve"> </w:t>
      </w:r>
      <w:r w:rsidR="00FA4541" w:rsidRPr="00F10586">
        <w:t>Populations</w:t>
      </w:r>
      <w:bookmarkEnd w:id="32"/>
    </w:p>
    <w:p w14:paraId="41B7E281" w14:textId="11C89F65" w:rsidR="00FA4541" w:rsidRDefault="00FA4541" w:rsidP="00317A89">
      <w:pPr>
        <w:jc w:val="both"/>
      </w:pPr>
      <w:r>
        <w:t xml:space="preserve">ONS mid-year population estimates from the relevant time periods are used as the denominator for rate calculations. Full guidance on the methodology used by ONS to calculate population estimates can be accessed </w:t>
      </w:r>
      <w:hyperlink r:id="rId17" w:history="1">
        <w:r w:rsidR="00CB041A" w:rsidRPr="00CB041A">
          <w:rPr>
            <w:rStyle w:val="Hyperlink"/>
            <w:rFonts w:cstheme="minorHAnsi"/>
          </w:rPr>
          <w:t>here</w:t>
        </w:r>
      </w:hyperlink>
      <w:r w:rsidR="00CB041A" w:rsidRPr="00CB041A">
        <w:rPr>
          <w:rFonts w:cstheme="minorHAnsi"/>
        </w:rPr>
        <w:t>.</w:t>
      </w:r>
    </w:p>
    <w:p w14:paraId="419926FA" w14:textId="1C08D911" w:rsidR="005B668C" w:rsidRDefault="00FA4541" w:rsidP="00FD7EBC">
      <w:pPr>
        <w:jc w:val="both"/>
      </w:pPr>
      <w:r w:rsidRPr="00FA4541">
        <w:rPr>
          <w:i/>
          <w:iCs/>
        </w:rPr>
        <w:t>Note</w:t>
      </w:r>
      <w:r>
        <w:t xml:space="preserve">: For mortality, the mid-year estimates for 2021 were not available at the time of analysis therefore 2020 populations </w:t>
      </w:r>
      <w:r w:rsidR="0036424D">
        <w:t>were</w:t>
      </w:r>
      <w:r>
        <w:t xml:space="preserve"> used as a proxy for 2021.</w:t>
      </w:r>
      <w:bookmarkStart w:id="33" w:name="_2.6_Data_snapshots"/>
      <w:bookmarkEnd w:id="33"/>
    </w:p>
    <w:p w14:paraId="1A7C1C5F" w14:textId="77777777" w:rsidR="00FD7EBC" w:rsidRPr="00FD7EBC" w:rsidRDefault="00FD7EBC" w:rsidP="00FD7EBC">
      <w:pPr>
        <w:jc w:val="both"/>
      </w:pPr>
    </w:p>
    <w:p w14:paraId="43032A48" w14:textId="7BC6D629" w:rsidR="007C0184" w:rsidRDefault="007C0184" w:rsidP="00031D1B">
      <w:pPr>
        <w:pStyle w:val="Heading2"/>
      </w:pPr>
      <w:bookmarkStart w:id="34" w:name="_Toc143505439"/>
      <w:r w:rsidRPr="00C43AAF">
        <w:t>2.</w:t>
      </w:r>
      <w:r w:rsidR="00C31D9E">
        <w:t>7</w:t>
      </w:r>
      <w:r w:rsidRPr="00C43AAF">
        <w:t xml:space="preserve"> </w:t>
      </w:r>
      <w:r w:rsidR="005B668C">
        <w:t>Datasets and analysis</w:t>
      </w:r>
      <w:bookmarkEnd w:id="34"/>
    </w:p>
    <w:p w14:paraId="237E9C32" w14:textId="503C5378" w:rsidR="00193E30" w:rsidRDefault="00193E30" w:rsidP="002E24F6">
      <w:pPr>
        <w:jc w:val="both"/>
      </w:pPr>
      <w:r>
        <w:t>Incidence and mortality analyses were carried out using reproducible analytical pipelines in R, under the following versions:</w:t>
      </w:r>
    </w:p>
    <w:p w14:paraId="0A4E12A2" w14:textId="321FE39D" w:rsidR="00193E30" w:rsidRDefault="00193E30" w:rsidP="00DC72BC">
      <w:pPr>
        <w:pStyle w:val="ListParagraph"/>
        <w:numPr>
          <w:ilvl w:val="0"/>
          <w:numId w:val="22"/>
        </w:numPr>
        <w:jc w:val="both"/>
      </w:pPr>
      <w:r>
        <w:t xml:space="preserve">Incidence analysis - </w:t>
      </w:r>
      <w:r w:rsidRPr="00193E30">
        <w:t>4.1.2</w:t>
      </w:r>
    </w:p>
    <w:p w14:paraId="57301189" w14:textId="35C24271" w:rsidR="00193E30" w:rsidRDefault="00193E30" w:rsidP="00DC72BC">
      <w:pPr>
        <w:pStyle w:val="ListParagraph"/>
        <w:numPr>
          <w:ilvl w:val="0"/>
          <w:numId w:val="22"/>
        </w:numPr>
        <w:jc w:val="both"/>
      </w:pPr>
      <w:r>
        <w:t>Mortality analysis – 4.1.1</w:t>
      </w:r>
    </w:p>
    <w:p w14:paraId="72CA4576" w14:textId="6FA9B2B9" w:rsidR="00193E30" w:rsidRDefault="00193E30" w:rsidP="00DC72BC">
      <w:pPr>
        <w:pStyle w:val="ListParagraph"/>
        <w:numPr>
          <w:ilvl w:val="0"/>
          <w:numId w:val="22"/>
        </w:numPr>
        <w:jc w:val="both"/>
      </w:pPr>
      <w:r>
        <w:t xml:space="preserve">Survival analysis was carried out in </w:t>
      </w:r>
      <w:r w:rsidRPr="00DC72BC">
        <w:rPr>
          <w:rFonts w:cstheme="minorHAnsi"/>
        </w:rPr>
        <w:t>STATA 14.2.</w:t>
      </w:r>
    </w:p>
    <w:p w14:paraId="18CCB6C9" w14:textId="244309FF" w:rsidR="005B668C" w:rsidRDefault="005B668C" w:rsidP="002E24F6">
      <w:pPr>
        <w:jc w:val="both"/>
      </w:pPr>
      <w:r>
        <w:t xml:space="preserve">The interactive profile, ‘Cancer </w:t>
      </w:r>
      <w:r w:rsidR="003A7755">
        <w:t>Reporting</w:t>
      </w:r>
      <w:r>
        <w:t xml:space="preserve"> Tool,’ was created using </w:t>
      </w:r>
      <w:proofErr w:type="spellStart"/>
      <w:r>
        <w:t>RShiny</w:t>
      </w:r>
      <w:proofErr w:type="spellEnd"/>
      <w:r>
        <w:t xml:space="preserve"> version </w:t>
      </w:r>
      <w:r w:rsidR="00193E30">
        <w:t>2022.07.2+576 and</w:t>
      </w:r>
      <w:r>
        <w:t xml:space="preserve"> published via shinyapps.io. </w:t>
      </w:r>
    </w:p>
    <w:p w14:paraId="4ECC3DBC" w14:textId="5A737E1C" w:rsidR="005B668C" w:rsidRDefault="005B668C" w:rsidP="002E24F6">
      <w:pPr>
        <w:jc w:val="both"/>
      </w:pPr>
      <w:r>
        <w:t xml:space="preserve">Data snapshots are taken and analysed for each Official Statistics publication produced by the WCISU. </w:t>
      </w:r>
    </w:p>
    <w:p w14:paraId="1BB9DFF3" w14:textId="6E5D5595" w:rsidR="005B668C" w:rsidRDefault="005B668C" w:rsidP="002E24F6">
      <w:pPr>
        <w:jc w:val="both"/>
      </w:pPr>
      <w:r>
        <w:t>The snapshot of the cancer registration database for survival Official Statistics was taken in May 2022, for patients diagnosed in Wales from the year 2002 to 2019 and followed up until 31</w:t>
      </w:r>
      <w:r w:rsidRPr="005B668C">
        <w:rPr>
          <w:vertAlign w:val="superscript"/>
        </w:rPr>
        <w:t>st</w:t>
      </w:r>
      <w:r>
        <w:t xml:space="preserve"> December 2021. The snapshot of the cancer registration database for incidence Official Statistics for the cancer sites: breast, colorectal, lung, </w:t>
      </w:r>
      <w:r>
        <w:lastRenderedPageBreak/>
        <w:t xml:space="preserve">prostate and ovary </w:t>
      </w:r>
      <w:proofErr w:type="gramStart"/>
      <w:r w:rsidR="002E24F6">
        <w:t>was</w:t>
      </w:r>
      <w:proofErr w:type="gramEnd"/>
      <w:r w:rsidR="002E24F6">
        <w:t xml:space="preserve"> </w:t>
      </w:r>
      <w:r>
        <w:t xml:space="preserve">taken in </w:t>
      </w:r>
      <w:r w:rsidR="00B74E7E">
        <w:t>April 2023</w:t>
      </w:r>
      <w:r>
        <w:t>.</w:t>
      </w:r>
      <w:r w:rsidR="002E24F6">
        <w:t xml:space="preserve"> The snapshot for the most recent WCISU incidence publication for all sites was taken in</w:t>
      </w:r>
      <w:r w:rsidR="00FD7EBC">
        <w:t xml:space="preserve"> </w:t>
      </w:r>
      <w:r w:rsidR="006156C8">
        <w:t>May</w:t>
      </w:r>
      <w:r w:rsidR="00FD7EBC">
        <w:t xml:space="preserve"> 202</w:t>
      </w:r>
      <w:r w:rsidR="006156C8">
        <w:t>3</w:t>
      </w:r>
      <w:r w:rsidR="002E24F6">
        <w:t xml:space="preserve">. A ‘frozen’ annual dataset containing cancer deaths in Wales residents was used to calculate mortality Official Statistics for patients with a registered death from the years 2002 to 2020. This annual data extract is created retrospectively so that records are less likely to change due to updates and revisions. </w:t>
      </w:r>
    </w:p>
    <w:p w14:paraId="52285D9B" w14:textId="5539F36D" w:rsidR="00500AB2" w:rsidRDefault="002E24F6" w:rsidP="00DC72BC">
      <w:pPr>
        <w:jc w:val="both"/>
      </w:pPr>
      <w:r>
        <w:t xml:space="preserve">At the time of analysis, the 2021 annual dataset was not available for the mortality statistics. A snapshot of the ‘live’ dataset was used to calculate the mortality statistics for patients with a registered death in 2021. This data is subject to revisions and updates, and it is possible that these data may change after the time of analysis. This data should be interpreted with caution. In the unlikely event that incorrect data is published, revisions would be made, and users informed in conjunction with the Code of Practice. </w:t>
      </w:r>
    </w:p>
    <w:p w14:paraId="699488FE" w14:textId="77777777" w:rsidR="00DC0C51" w:rsidRDefault="00DC0C51" w:rsidP="00F96F12">
      <w:pPr>
        <w:pStyle w:val="Heading1"/>
      </w:pPr>
    </w:p>
    <w:p w14:paraId="39710356" w14:textId="3F56374E" w:rsidR="002E2A51" w:rsidRPr="00F96F12" w:rsidRDefault="002E2A51" w:rsidP="00F96F12">
      <w:pPr>
        <w:pStyle w:val="Heading1"/>
      </w:pPr>
      <w:bookmarkStart w:id="35" w:name="_Toc143505440"/>
      <w:r w:rsidRPr="00F96F12">
        <w:t>3 Relevance</w:t>
      </w:r>
      <w:bookmarkEnd w:id="35"/>
    </w:p>
    <w:p w14:paraId="66B1078F" w14:textId="0ABF2BAE" w:rsidR="002E2A51" w:rsidRDefault="002E2A51" w:rsidP="00317A89">
      <w:pPr>
        <w:jc w:val="both"/>
      </w:pPr>
      <w:r>
        <w:t xml:space="preserve">The release of </w:t>
      </w:r>
      <w:r w:rsidR="0036424D">
        <w:t>O</w:t>
      </w:r>
      <w:r>
        <w:t xml:space="preserve">fficial </w:t>
      </w:r>
      <w:r w:rsidR="0036424D">
        <w:t>S</w:t>
      </w:r>
      <w:r>
        <w:t xml:space="preserve">tatistics by the WCISU is authorised in law by: </w:t>
      </w:r>
    </w:p>
    <w:p w14:paraId="794B8478" w14:textId="77777777" w:rsidR="002E2A51" w:rsidRDefault="002E2A51" w:rsidP="00317A89">
      <w:pPr>
        <w:pStyle w:val="ListParagraph"/>
        <w:numPr>
          <w:ilvl w:val="0"/>
          <w:numId w:val="9"/>
        </w:numPr>
        <w:jc w:val="both"/>
      </w:pPr>
      <w:r>
        <w:t xml:space="preserve">The Pre-release Access to Official Statistics (Wales) Order 2009 </w:t>
      </w:r>
    </w:p>
    <w:p w14:paraId="72F6294F" w14:textId="77777777" w:rsidR="002E2A51" w:rsidRDefault="002E2A51" w:rsidP="00317A89">
      <w:pPr>
        <w:pStyle w:val="ListParagraph"/>
        <w:numPr>
          <w:ilvl w:val="0"/>
          <w:numId w:val="9"/>
        </w:numPr>
        <w:jc w:val="both"/>
      </w:pPr>
      <w:r>
        <w:t xml:space="preserve">Official Statistics (Wales) Order 2013 made under section 65(7) of the Statistics and Registration Service Act 2007 </w:t>
      </w:r>
    </w:p>
    <w:p w14:paraId="65DC6EDC" w14:textId="791CB144" w:rsidR="002E2A51" w:rsidRDefault="002E2A51" w:rsidP="00317A89">
      <w:pPr>
        <w:ind w:left="360"/>
        <w:jc w:val="both"/>
      </w:pPr>
      <w:r>
        <w:t xml:space="preserve">We believe the key users of statistics regarding cancer </w:t>
      </w:r>
      <w:r w:rsidR="0036424D">
        <w:t xml:space="preserve">incidence, mortality and </w:t>
      </w:r>
      <w:r>
        <w:t xml:space="preserve">survival are: </w:t>
      </w:r>
    </w:p>
    <w:p w14:paraId="62B44003" w14:textId="77777777" w:rsidR="002E2A51" w:rsidRDefault="002E2A51" w:rsidP="00317A89">
      <w:pPr>
        <w:pStyle w:val="ListParagraph"/>
        <w:numPr>
          <w:ilvl w:val="0"/>
          <w:numId w:val="10"/>
        </w:numPr>
        <w:jc w:val="both"/>
      </w:pPr>
      <w:r>
        <w:t xml:space="preserve">The public and community groups </w:t>
      </w:r>
    </w:p>
    <w:p w14:paraId="46849CE7" w14:textId="77777777" w:rsidR="002E2A51" w:rsidRDefault="002E2A51" w:rsidP="00317A89">
      <w:pPr>
        <w:pStyle w:val="ListParagraph"/>
        <w:numPr>
          <w:ilvl w:val="0"/>
          <w:numId w:val="10"/>
        </w:numPr>
        <w:jc w:val="both"/>
      </w:pPr>
      <w:proofErr w:type="gramStart"/>
      <w:r>
        <w:t>NHS Wales as a whole, and</w:t>
      </w:r>
      <w:proofErr w:type="gramEnd"/>
      <w:r>
        <w:t xml:space="preserve"> Health Boards, Trusts, and the NHS Wales Cancer Implementation Group and Wales Cancer Network, as well as other teams in Public Health Wales and other national and local public bodies </w:t>
      </w:r>
    </w:p>
    <w:p w14:paraId="4A0D74EF" w14:textId="77777777" w:rsidR="002E2A51" w:rsidRDefault="002E2A51" w:rsidP="00317A89">
      <w:pPr>
        <w:pStyle w:val="ListParagraph"/>
        <w:numPr>
          <w:ilvl w:val="0"/>
          <w:numId w:val="10"/>
        </w:numPr>
        <w:jc w:val="both"/>
      </w:pPr>
      <w:r>
        <w:t xml:space="preserve">Professional bodies, clinicians of all disciplines, and policy makers </w:t>
      </w:r>
    </w:p>
    <w:p w14:paraId="5AF472F8" w14:textId="77777777" w:rsidR="002E2A51" w:rsidRDefault="002E2A51" w:rsidP="00317A89">
      <w:pPr>
        <w:pStyle w:val="ListParagraph"/>
        <w:numPr>
          <w:ilvl w:val="0"/>
          <w:numId w:val="10"/>
        </w:numPr>
        <w:jc w:val="both"/>
      </w:pPr>
      <w:r>
        <w:t xml:space="preserve">Cabinet secretary, </w:t>
      </w:r>
      <w:proofErr w:type="gramStart"/>
      <w:r>
        <w:t>Ministers</w:t>
      </w:r>
      <w:proofErr w:type="gramEnd"/>
      <w:r>
        <w:t xml:space="preserve"> and their civil servants </w:t>
      </w:r>
    </w:p>
    <w:p w14:paraId="4938AFE1" w14:textId="77777777" w:rsidR="002E2A51" w:rsidRDefault="002E2A51" w:rsidP="00317A89">
      <w:pPr>
        <w:pStyle w:val="ListParagraph"/>
        <w:numPr>
          <w:ilvl w:val="0"/>
          <w:numId w:val="10"/>
        </w:numPr>
        <w:jc w:val="both"/>
      </w:pPr>
      <w:r>
        <w:t xml:space="preserve">Other government departments </w:t>
      </w:r>
    </w:p>
    <w:p w14:paraId="7226B8C0" w14:textId="77777777" w:rsidR="002E2A51" w:rsidRDefault="002E2A51" w:rsidP="00317A89">
      <w:pPr>
        <w:pStyle w:val="ListParagraph"/>
        <w:numPr>
          <w:ilvl w:val="0"/>
          <w:numId w:val="10"/>
        </w:numPr>
        <w:jc w:val="both"/>
      </w:pPr>
      <w:r>
        <w:t xml:space="preserve">Senedd Members and the Members Research Service </w:t>
      </w:r>
    </w:p>
    <w:p w14:paraId="6D099EA2" w14:textId="77777777" w:rsidR="002E2A51" w:rsidRDefault="002E2A51" w:rsidP="00317A89">
      <w:pPr>
        <w:pStyle w:val="ListParagraph"/>
        <w:numPr>
          <w:ilvl w:val="0"/>
          <w:numId w:val="10"/>
        </w:numPr>
        <w:jc w:val="both"/>
      </w:pPr>
      <w:r>
        <w:t xml:space="preserve">Third sector and charities </w:t>
      </w:r>
    </w:p>
    <w:p w14:paraId="055FF443" w14:textId="77777777" w:rsidR="002E2A51" w:rsidRDefault="002E2A51" w:rsidP="00317A89">
      <w:pPr>
        <w:pStyle w:val="ListParagraph"/>
        <w:numPr>
          <w:ilvl w:val="0"/>
          <w:numId w:val="10"/>
        </w:numPr>
        <w:jc w:val="both"/>
      </w:pPr>
      <w:r>
        <w:t xml:space="preserve">Media </w:t>
      </w:r>
    </w:p>
    <w:p w14:paraId="6FA7B998" w14:textId="77777777" w:rsidR="002E2A51" w:rsidRDefault="002E2A51" w:rsidP="00317A89">
      <w:pPr>
        <w:pStyle w:val="ListParagraph"/>
        <w:numPr>
          <w:ilvl w:val="0"/>
          <w:numId w:val="10"/>
        </w:numPr>
        <w:jc w:val="both"/>
      </w:pPr>
      <w:r>
        <w:t xml:space="preserve">Students, academics and universities - to provide valuable reference data for academics and researchers to engage in cancer related research, including the WCISU’s direct participation in research </w:t>
      </w:r>
      <w:proofErr w:type="gramStart"/>
      <w:r>
        <w:t>collaborations</w:t>
      </w:r>
      <w:proofErr w:type="gramEnd"/>
    </w:p>
    <w:p w14:paraId="48D7F06B" w14:textId="77777777" w:rsidR="002E2A51" w:rsidRDefault="002E2A51" w:rsidP="00317A89">
      <w:pPr>
        <w:pStyle w:val="ListParagraph"/>
        <w:numPr>
          <w:ilvl w:val="0"/>
          <w:numId w:val="10"/>
        </w:numPr>
        <w:jc w:val="both"/>
      </w:pPr>
      <w:r>
        <w:t xml:space="preserve">The private sector </w:t>
      </w:r>
    </w:p>
    <w:p w14:paraId="3AABD592" w14:textId="350C2B63" w:rsidR="002E2A51" w:rsidRDefault="002E2A51" w:rsidP="00317A89">
      <w:pPr>
        <w:jc w:val="both"/>
      </w:pPr>
      <w:r>
        <w:t xml:space="preserve">We encourage users of </w:t>
      </w:r>
      <w:r w:rsidR="0036424D">
        <w:t>our Official S</w:t>
      </w:r>
      <w:r>
        <w:t>tatistics to contact us to let us know how they use the data</w:t>
      </w:r>
      <w:r w:rsidR="0036424D">
        <w:t>.</w:t>
      </w:r>
      <w:r>
        <w:t xml:space="preserve"> </w:t>
      </w:r>
      <w:r w:rsidR="0036424D">
        <w:t>P</w:t>
      </w:r>
      <w:r>
        <w:t xml:space="preserve">lease see the contact details on </w:t>
      </w:r>
      <w:hyperlink w:anchor="_top" w:history="1">
        <w:r w:rsidRPr="0036424D">
          <w:rPr>
            <w:rStyle w:val="Hyperlink"/>
          </w:rPr>
          <w:t>page 1</w:t>
        </w:r>
      </w:hyperlink>
      <w:r>
        <w:t xml:space="preserve"> of this document. Acknowledgement to Public Health Wales NHS Trust </w:t>
      </w:r>
      <w:r w:rsidR="0036424D">
        <w:t xml:space="preserve">is </w:t>
      </w:r>
      <w:r>
        <w:t>to be stated if material in this document or accompanying outputs</w:t>
      </w:r>
      <w:r w:rsidR="0036424D">
        <w:t xml:space="preserve"> is reproduced</w:t>
      </w:r>
      <w:r>
        <w:t>.</w:t>
      </w:r>
    </w:p>
    <w:p w14:paraId="72DECF97" w14:textId="3525DBFA" w:rsidR="002E2A51" w:rsidRPr="00DC0C51" w:rsidRDefault="00DC72BC" w:rsidP="00DC0C51">
      <w:pPr>
        <w:pStyle w:val="Heading1"/>
        <w:rPr>
          <w:rFonts w:ascii="Ubuntu Light" w:eastAsiaTheme="minorHAnsi" w:hAnsi="Ubuntu Light" w:cstheme="minorBidi"/>
          <w:b w:val="0"/>
          <w:color w:val="auto"/>
          <w:sz w:val="24"/>
          <w:szCs w:val="22"/>
        </w:rPr>
      </w:pPr>
      <w:r>
        <w:br w:type="page"/>
      </w:r>
      <w:bookmarkStart w:id="36" w:name="_Toc143505441"/>
      <w:r w:rsidR="002E2A51" w:rsidRPr="00CE310E">
        <w:lastRenderedPageBreak/>
        <w:t>4 Accuracy</w:t>
      </w:r>
      <w:bookmarkEnd w:id="36"/>
    </w:p>
    <w:p w14:paraId="03F603B8" w14:textId="65358FF6" w:rsidR="0067055C" w:rsidRPr="00CE310E" w:rsidRDefault="0067055C" w:rsidP="00031D1B">
      <w:pPr>
        <w:pStyle w:val="Heading2"/>
      </w:pPr>
      <w:bookmarkStart w:id="37" w:name="_Toc143505442"/>
      <w:r w:rsidRPr="00CE310E">
        <w:t>4.1. Cancer registration</w:t>
      </w:r>
      <w:bookmarkEnd w:id="37"/>
    </w:p>
    <w:p w14:paraId="1F9FB854" w14:textId="77777777" w:rsidR="0067055C" w:rsidRDefault="0067055C" w:rsidP="00317A89">
      <w:pPr>
        <w:jc w:val="both"/>
      </w:pPr>
      <w:r>
        <w:t xml:space="preserve">The registration of cancer cases is a dynamic process in the sense that the database is always open and changing. The database is dynamic in </w:t>
      </w:r>
      <w:proofErr w:type="gramStart"/>
      <w:r>
        <w:t>a number of</w:t>
      </w:r>
      <w:proofErr w:type="gramEnd"/>
      <w:r>
        <w:t xml:space="preserve"> ways: </w:t>
      </w:r>
    </w:p>
    <w:p w14:paraId="5156E80E" w14:textId="37BDD9CB" w:rsidR="0067055C" w:rsidRDefault="0036424D" w:rsidP="00317A89">
      <w:pPr>
        <w:pStyle w:val="ListParagraph"/>
        <w:numPr>
          <w:ilvl w:val="0"/>
          <w:numId w:val="11"/>
        </w:numPr>
        <w:jc w:val="both"/>
      </w:pPr>
      <w:r>
        <w:t>N</w:t>
      </w:r>
      <w:r w:rsidR="0067055C">
        <w:t>ew cancer cases will be registered: this can include ne</w:t>
      </w:r>
      <w:r>
        <w:t>w ‘</w:t>
      </w:r>
      <w:r w:rsidR="0067055C">
        <w:t>late</w:t>
      </w:r>
      <w:r>
        <w:t>’</w:t>
      </w:r>
      <w:r w:rsidR="0067055C">
        <w:t xml:space="preserve"> registrations, where a case is registered after the cancer registry have published what were thought at the time to be virtually complete results for a particular </w:t>
      </w:r>
      <w:proofErr w:type="gramStart"/>
      <w:r w:rsidR="0067055C">
        <w:t>year</w:t>
      </w:r>
      <w:proofErr w:type="gramEnd"/>
      <w:r w:rsidR="0067055C">
        <w:t xml:space="preserve"> </w:t>
      </w:r>
    </w:p>
    <w:p w14:paraId="57481473" w14:textId="20784E3C" w:rsidR="0067055C" w:rsidRDefault="0036424D" w:rsidP="00317A89">
      <w:pPr>
        <w:pStyle w:val="ListParagraph"/>
        <w:numPr>
          <w:ilvl w:val="0"/>
          <w:numId w:val="11"/>
        </w:numPr>
        <w:jc w:val="both"/>
      </w:pPr>
      <w:r>
        <w:t>C</w:t>
      </w:r>
      <w:r w:rsidR="0067055C">
        <w:t xml:space="preserve">ancer records can be amended: for </w:t>
      </w:r>
      <w:r>
        <w:t>example,</w:t>
      </w:r>
      <w:r w:rsidR="0067055C">
        <w:t xml:space="preserve"> the site code would be modified should later and more accurate information become </w:t>
      </w:r>
      <w:proofErr w:type="gramStart"/>
      <w:r w:rsidR="0067055C">
        <w:t>available</w:t>
      </w:r>
      <w:proofErr w:type="gramEnd"/>
      <w:r w:rsidR="0067055C">
        <w:t xml:space="preserve"> </w:t>
      </w:r>
    </w:p>
    <w:p w14:paraId="1E527767" w14:textId="598B2E05" w:rsidR="0067055C" w:rsidRDefault="0036424D" w:rsidP="00317A89">
      <w:pPr>
        <w:pStyle w:val="ListParagraph"/>
        <w:numPr>
          <w:ilvl w:val="0"/>
          <w:numId w:val="11"/>
        </w:numPr>
        <w:jc w:val="both"/>
      </w:pPr>
      <w:r>
        <w:t>C</w:t>
      </w:r>
      <w:r w:rsidR="0067055C">
        <w:t xml:space="preserve">ancer records can be deleted, although this is relatively </w:t>
      </w:r>
      <w:proofErr w:type="gramStart"/>
      <w:r w:rsidR="0067055C">
        <w:t>unusual</w:t>
      </w:r>
      <w:proofErr w:type="gramEnd"/>
      <w:r w:rsidR="0067055C">
        <w:t xml:space="preserve"> </w:t>
      </w:r>
    </w:p>
    <w:p w14:paraId="040448CB" w14:textId="77777777" w:rsidR="0067055C" w:rsidRDefault="0067055C" w:rsidP="00317A89">
      <w:pPr>
        <w:jc w:val="both"/>
      </w:pPr>
      <w:r>
        <w:t xml:space="preserve">In common with cancer registries in other countries, cancer registrations in Wales can take up to five years after the end of a given calendar year to reach 100% completeness, due to the continuing accrual of late registrations, </w:t>
      </w:r>
      <w:proofErr w:type="gramStart"/>
      <w:r>
        <w:t>amendments</w:t>
      </w:r>
      <w:proofErr w:type="gramEnd"/>
      <w:r>
        <w:t xml:space="preserve"> and deletions. </w:t>
      </w:r>
    </w:p>
    <w:p w14:paraId="664BE4FE" w14:textId="3FE36207" w:rsidR="0067055C" w:rsidRDefault="0067055C" w:rsidP="00317A89">
      <w:pPr>
        <w:jc w:val="both"/>
      </w:pPr>
      <w:r>
        <w:t xml:space="preserve">Wales implemented a new cancer registration system named CATRIN in 2015. This is the same as the ENCORE system used in Public Health England, which has inbuilt registration validations. This modernisation programme has improved cross border data </w:t>
      </w:r>
      <w:proofErr w:type="gramStart"/>
      <w:r>
        <w:t>sharing in particular</w:t>
      </w:r>
      <w:proofErr w:type="gramEnd"/>
      <w:r>
        <w:t xml:space="preserve">. The data migration process placed a particular emphasis on reducing duplicate registrations existing in both Wales and England registry databases. A quality assurance and de-duplication exercise was undertaken to rationalise the cancer registrations across the two countries. Therefore, this may reflect in a reduction </w:t>
      </w:r>
      <w:r w:rsidR="0036424D">
        <w:t>in</w:t>
      </w:r>
      <w:r>
        <w:t xml:space="preserve"> incidence. </w:t>
      </w:r>
    </w:p>
    <w:p w14:paraId="11347572" w14:textId="6D56971D" w:rsidR="00CB041A" w:rsidRDefault="00CB041A" w:rsidP="00CB041A">
      <w:r>
        <w:t xml:space="preserve">Data is supplied by multiple data providers from NHS Wales Health Boards and Trusts, NHS Wales Informatics Service, Public Health England, and elsewhere within Public Health Wales, such as its Screening Division. The national cancer registry of Wales is a live and dynamic database of cancer incidence data from 1972 onwards, with approximately 20,000 patients diagnosed each year in Wales (excluding non-melanoma skin cancer). </w:t>
      </w:r>
    </w:p>
    <w:p w14:paraId="03976949" w14:textId="3E706DE3" w:rsidR="0067055C" w:rsidRDefault="0067055C" w:rsidP="00317A89">
      <w:pPr>
        <w:jc w:val="both"/>
      </w:pPr>
      <w:r>
        <w:t xml:space="preserve">Cancer registrations comply with a quality assurance framework comprising of a suite of quality checks performed at various time points during the registration year </w:t>
      </w:r>
      <w:r w:rsidR="0036424D">
        <w:t>e.g.,</w:t>
      </w:r>
      <w:r>
        <w:t xml:space="preserve"> monthly, quarterly and end of year checks. These check the data consistency of the cancer site, </w:t>
      </w:r>
      <w:proofErr w:type="gramStart"/>
      <w:r>
        <w:t>sex</w:t>
      </w:r>
      <w:proofErr w:type="gramEnd"/>
      <w:r>
        <w:t xml:space="preserve"> and associated histology as well as validity checks on dates, for example, to check invalid combinations for behaviour and site/histology; check that the incidence date is not after the date of death. These checks align to those published in 2018 by the European Network of Cancer Registries (ENCR)</w:t>
      </w:r>
      <w:r w:rsidR="00CB041A" w:rsidRPr="00CB041A">
        <w:rPr>
          <w:rFonts w:ascii="Verdana" w:hAnsi="Verdana"/>
          <w:sz w:val="20"/>
          <w:szCs w:val="20"/>
        </w:rPr>
        <w:t xml:space="preserve"> </w:t>
      </w:r>
      <w:r w:rsidR="00CB041A">
        <w:rPr>
          <w:rStyle w:val="FootnoteReference"/>
          <w:rFonts w:ascii="Verdana" w:hAnsi="Verdana"/>
          <w:sz w:val="20"/>
          <w:szCs w:val="20"/>
        </w:rPr>
        <w:footnoteReference w:id="9"/>
      </w:r>
      <w:r>
        <w:t xml:space="preserve">. </w:t>
      </w:r>
    </w:p>
    <w:p w14:paraId="395C5425" w14:textId="089CD4AB" w:rsidR="0067055C" w:rsidRDefault="0067055C" w:rsidP="00317A89">
      <w:pPr>
        <w:jc w:val="both"/>
      </w:pPr>
      <w:r>
        <w:t xml:space="preserve">All our outputs include information on coverage, </w:t>
      </w:r>
      <w:proofErr w:type="gramStart"/>
      <w:r>
        <w:t>timing</w:t>
      </w:r>
      <w:proofErr w:type="gramEnd"/>
      <w:r>
        <w:t xml:space="preserve"> and geography.</w:t>
      </w:r>
    </w:p>
    <w:p w14:paraId="6464E733" w14:textId="70F52FFC" w:rsidR="0067055C" w:rsidRDefault="0067055C" w:rsidP="00317A89">
      <w:pPr>
        <w:jc w:val="both"/>
      </w:pPr>
      <w:r>
        <w:lastRenderedPageBreak/>
        <w:t xml:space="preserve">Once the expected cancer records for any registration year have been validated, a snapshot of the data is taken to ensure that there is a consistent set of data behind the official statistics for a period of 12 months. Subsequent snapshots of data are taken monthly and can be used in further cancer publications, </w:t>
      </w:r>
      <w:proofErr w:type="gramStart"/>
      <w:r>
        <w:t>queries</w:t>
      </w:r>
      <w:proofErr w:type="gramEnd"/>
      <w:r>
        <w:t xml:space="preserve"> and parliamentary questions. </w:t>
      </w:r>
      <w:r w:rsidR="0036424D">
        <w:t xml:space="preserve">For information on the snapshots used in our most current Official Statistics publications, please see </w:t>
      </w:r>
      <w:hyperlink w:anchor="_2.6_Data_snapshots" w:history="1">
        <w:r w:rsidR="007C0184" w:rsidRPr="007C0184">
          <w:rPr>
            <w:rStyle w:val="Hyperlink"/>
          </w:rPr>
          <w:t>section 2.6</w:t>
        </w:r>
      </w:hyperlink>
      <w:r w:rsidR="0036424D">
        <w:t>.</w:t>
      </w:r>
    </w:p>
    <w:p w14:paraId="069AC921" w14:textId="7851997C" w:rsidR="00B64137" w:rsidRDefault="0067055C" w:rsidP="00317A89">
      <w:pPr>
        <w:jc w:val="both"/>
      </w:pPr>
      <w:r>
        <w:t xml:space="preserve">When the WCISU submits registrations for the next reporting year, they can also submit </w:t>
      </w:r>
      <w:r w:rsidR="00BA219D">
        <w:t>‘</w:t>
      </w:r>
      <w:r>
        <w:t>late registrations</w:t>
      </w:r>
      <w:r w:rsidR="00BA219D">
        <w:t>’</w:t>
      </w:r>
      <w:r>
        <w:t xml:space="preserve"> for previous years. If any new </w:t>
      </w:r>
      <w:r w:rsidR="00BA219D">
        <w:t>‘</w:t>
      </w:r>
      <w:r>
        <w:t>late</w:t>
      </w:r>
      <w:r w:rsidR="00BA219D">
        <w:t>’</w:t>
      </w:r>
      <w:r>
        <w:t xml:space="preserve"> registrations for earlier years passed all quality checks, they would be included in the subsequent refreshed dataset. This results in small differences in the underlying number of cancer registrations for previous reports, although these changes are unlikely to have a meaningful impact on cancer incidence.</w:t>
      </w:r>
      <w:r w:rsidR="00B64137">
        <w:t xml:space="preserve"> In the unlikely event of incorrect data being published, revisions would be </w:t>
      </w:r>
      <w:r w:rsidR="00BA219D">
        <w:t>made,</w:t>
      </w:r>
      <w:r w:rsidR="00B64137">
        <w:t xml:space="preserve"> and users informed in conjunction with the Code of Practice.</w:t>
      </w:r>
    </w:p>
    <w:p w14:paraId="590765E7" w14:textId="70B355C6" w:rsidR="00F10586" w:rsidRDefault="00363EA0" w:rsidP="00317A89">
      <w:pPr>
        <w:jc w:val="both"/>
      </w:pPr>
      <w:r>
        <w:t>As the data come</w:t>
      </w:r>
      <w:r w:rsidR="00BA219D">
        <w:t>s</w:t>
      </w:r>
      <w:r>
        <w:t xml:space="preserve"> from different sources, the quality and accuracy of the data submitted may vary.</w:t>
      </w:r>
      <w:r w:rsidR="00B64137">
        <w:t xml:space="preserve"> </w:t>
      </w:r>
    </w:p>
    <w:p w14:paraId="2AEE808C" w14:textId="77777777" w:rsidR="00DC0C51" w:rsidRPr="0067055C" w:rsidRDefault="00DC0C51" w:rsidP="00317A89">
      <w:pPr>
        <w:jc w:val="both"/>
      </w:pPr>
    </w:p>
    <w:p w14:paraId="71273B55" w14:textId="4D708A4A" w:rsidR="002E2A51" w:rsidRPr="00F10586" w:rsidRDefault="0067055C" w:rsidP="00F10586">
      <w:pPr>
        <w:pStyle w:val="Heading3"/>
      </w:pPr>
      <w:bookmarkStart w:id="38" w:name="_Toc143505443"/>
      <w:r w:rsidRPr="00F10586">
        <w:t>4.1.1 ICD-10 coding system changes</w:t>
      </w:r>
      <w:bookmarkEnd w:id="38"/>
    </w:p>
    <w:p w14:paraId="0AC1DB87" w14:textId="45EBDFF5" w:rsidR="0067055C" w:rsidRDefault="0067055C" w:rsidP="00317A89">
      <w:pPr>
        <w:jc w:val="both"/>
      </w:pPr>
      <w:r>
        <w:t xml:space="preserve">ICD-10 coding for cancer is based on the nature and anatomical site of the cancer. Previous </w:t>
      </w:r>
      <w:r w:rsidR="00BA219D">
        <w:t>O</w:t>
      </w:r>
      <w:r>
        <w:t xml:space="preserve">fficial </w:t>
      </w:r>
      <w:r w:rsidR="00BA219D">
        <w:t>S</w:t>
      </w:r>
      <w:r>
        <w:t xml:space="preserve">tatistics publications mapped to and reported on ICD-10v0 for all diagnosing years. However, </w:t>
      </w:r>
      <w:r w:rsidR="00BA219D">
        <w:t xml:space="preserve">publications from 2022 onwards </w:t>
      </w:r>
      <w:r>
        <w:t xml:space="preserve">will report on ICD-10v0 for diagnosing years 2001 to 2012, and ICD-10v4 from 2013 onwards. </w:t>
      </w:r>
    </w:p>
    <w:p w14:paraId="70E09F74" w14:textId="3A505517" w:rsidR="00DC72BC" w:rsidRDefault="0067055C" w:rsidP="00317A89">
      <w:pPr>
        <w:jc w:val="both"/>
      </w:pPr>
      <w:r>
        <w:t>There have been changes and revisions regarding the coding of some cancers using ICD10v4, such as the introduction of new diagnosis codes along with minor changes to some cancer descriptions and naming conventions. There have been some more significant changes related to the coding of blood cancers, mainly non-Hodgkin lymphoma and leukaemia malignancies being coded more precisely. Therefore, caution is advised when examining trends for these sites as well as sites of unknown or unspecified origin. The change in reporting of ICD-10 from 2013 onwards should also be taken into consideration when examining data.</w:t>
      </w:r>
    </w:p>
    <w:p w14:paraId="36DD2FAB" w14:textId="77777777" w:rsidR="00DC0C51" w:rsidRDefault="00DC0C51" w:rsidP="00317A89">
      <w:pPr>
        <w:jc w:val="both"/>
      </w:pPr>
    </w:p>
    <w:p w14:paraId="52C094C1" w14:textId="2F8A54B6" w:rsidR="00F36767" w:rsidRPr="00F10586" w:rsidRDefault="00F36767" w:rsidP="00F10586">
      <w:pPr>
        <w:pStyle w:val="Heading3"/>
      </w:pPr>
      <w:bookmarkStart w:id="39" w:name="_Toc143505444"/>
      <w:r w:rsidRPr="00F10586">
        <w:t>4.1.2 ONS Data</w:t>
      </w:r>
      <w:bookmarkEnd w:id="39"/>
    </w:p>
    <w:p w14:paraId="41178A54" w14:textId="77777777" w:rsidR="00F36767" w:rsidRDefault="00F36767" w:rsidP="00F36767">
      <w:pPr>
        <w:jc w:val="both"/>
      </w:pPr>
      <w:r>
        <w:t xml:space="preserve">It is a legal requirement to register a death and so ONS mortality data provides a reliable and complete data source. </w:t>
      </w:r>
    </w:p>
    <w:p w14:paraId="3F2286AB" w14:textId="38DA8445" w:rsidR="00F36767" w:rsidRDefault="00F36767" w:rsidP="00F36767">
      <w:pPr>
        <w:jc w:val="both"/>
      </w:pPr>
      <w:r>
        <w:t xml:space="preserve">There have been two recent revisions to the </w:t>
      </w:r>
      <w:r w:rsidR="003C1FC8">
        <w:t>way</w:t>
      </w:r>
      <w:r>
        <w:t xml:space="preserve"> the death certificates are translated by the Office for National Statistics into International Classification of Diseases codes (10th revision). These changes mean that unrevised data are not comparable across years. The main change relates to the rules that govern which cause of death detailed on the death certificate is selected as the underlying cause. Comparability ratios have not been used in these analyses and therefore caution should be exercised when </w:t>
      </w:r>
      <w:r>
        <w:lastRenderedPageBreak/>
        <w:t xml:space="preserve">interpreting trends. See </w:t>
      </w:r>
      <w:hyperlink w:anchor="_2.6_Data_snapshots" w:history="1">
        <w:r w:rsidR="007C0184" w:rsidRPr="007C0184">
          <w:rPr>
            <w:rStyle w:val="Hyperlink"/>
          </w:rPr>
          <w:t>section 2.6</w:t>
        </w:r>
      </w:hyperlink>
      <w:r>
        <w:t xml:space="preserve"> for information on the data used for this year’s publication. </w:t>
      </w:r>
    </w:p>
    <w:p w14:paraId="321115B2" w14:textId="77777777" w:rsidR="00DC0C51" w:rsidRDefault="00DC0C51" w:rsidP="00F36767">
      <w:pPr>
        <w:jc w:val="both"/>
      </w:pPr>
    </w:p>
    <w:p w14:paraId="0D64057D" w14:textId="05CABC39" w:rsidR="0067055C" w:rsidRPr="00BA219D" w:rsidRDefault="0067055C" w:rsidP="00031D1B">
      <w:pPr>
        <w:pStyle w:val="Heading2"/>
      </w:pPr>
      <w:bookmarkStart w:id="40" w:name="_4.1.2_Lifetables"/>
      <w:bookmarkStart w:id="41" w:name="_Toc143505445"/>
      <w:bookmarkEnd w:id="40"/>
      <w:r w:rsidRPr="00BA219D">
        <w:t>4.</w:t>
      </w:r>
      <w:r w:rsidR="00BA219D" w:rsidRPr="00BA219D">
        <w:t>2</w:t>
      </w:r>
      <w:r w:rsidRPr="00BA219D">
        <w:t xml:space="preserve"> Life</w:t>
      </w:r>
      <w:r w:rsidR="00BA219D" w:rsidRPr="00BA219D">
        <w:t xml:space="preserve"> </w:t>
      </w:r>
      <w:r w:rsidRPr="00BA219D">
        <w:t>tables</w:t>
      </w:r>
      <w:bookmarkEnd w:id="41"/>
    </w:p>
    <w:p w14:paraId="31C11D91" w14:textId="77777777" w:rsidR="0067055C" w:rsidRDefault="0067055C" w:rsidP="00317A89">
      <w:pPr>
        <w:jc w:val="both"/>
      </w:pPr>
      <w:r>
        <w:t xml:space="preserve">Survival analysis estimates the net survival (%) of patients with cancer. These survival figures have been used to produce unstandardised and age-standardised estimates. The model uses population life tables to remove background mortality, and assumes the remaining mortality is due to cancer. </w:t>
      </w:r>
    </w:p>
    <w:p w14:paraId="5B10AC65" w14:textId="77777777" w:rsidR="0067055C" w:rsidRDefault="0067055C" w:rsidP="00317A89">
      <w:pPr>
        <w:jc w:val="both"/>
      </w:pPr>
      <w:r>
        <w:t xml:space="preserve">Net survival analysis involves comparing the survival of patients with cancer with background mortality (the survival of the general population). For reasons of practicality, our background mortality data includes cancer deaths. This is unlikely to skew our net survival figures for specific cancer sites, but it would likely </w:t>
      </w:r>
      <w:proofErr w:type="gramStart"/>
      <w:r>
        <w:t>have an effect on</w:t>
      </w:r>
      <w:proofErr w:type="gramEnd"/>
      <w:r>
        <w:t xml:space="preserve"> deaths from all cancers, because cancer accounts for about a quarter of all deaths. For that reason, we have not included survival figures for all cancers combined. </w:t>
      </w:r>
    </w:p>
    <w:p w14:paraId="42B7BDAF" w14:textId="1F493D42" w:rsidR="0067055C" w:rsidRDefault="0067055C" w:rsidP="00317A89">
      <w:pPr>
        <w:jc w:val="both"/>
      </w:pPr>
      <w:r>
        <w:t xml:space="preserve">The life tables don’t account for known differences in background mortality across different geographies and deprivation fifths. Caution is advised when comparing </w:t>
      </w:r>
      <w:r w:rsidR="00BA219D">
        <w:t>five-year</w:t>
      </w:r>
      <w:r>
        <w:t xml:space="preserve"> survival estimates across health boards. However, survival across different deprivation fifths is not reported due to the differences in background mortality. </w:t>
      </w:r>
    </w:p>
    <w:p w14:paraId="5F76A32C" w14:textId="681F8BB7" w:rsidR="0067055C" w:rsidRDefault="0067055C" w:rsidP="00317A89">
      <w:pPr>
        <w:jc w:val="both"/>
      </w:pPr>
      <w:r>
        <w:t xml:space="preserve">Please note that patients were followed up until the </w:t>
      </w:r>
      <w:proofErr w:type="gramStart"/>
      <w:r>
        <w:t>31st</w:t>
      </w:r>
      <w:proofErr w:type="gramEnd"/>
      <w:r>
        <w:t xml:space="preserve"> December 2021 for this analysis. The effect of C</w:t>
      </w:r>
      <w:r w:rsidR="00BA219D">
        <w:t>ovid</w:t>
      </w:r>
      <w:r>
        <w:t xml:space="preserve">-19 may be seen for five-year net survival in the following </w:t>
      </w:r>
      <w:r w:rsidR="00BA219D">
        <w:t>five-year</w:t>
      </w:r>
      <w:r>
        <w:t xml:space="preserve"> diagnosis periods; 2011-2015, 2012-2016, 2013-2017, 2014-2018 and 2015- 2019. This analysis uses ONS published life tables which do not fully account for changes in background mortality due to the Covid</w:t>
      </w:r>
      <w:r w:rsidR="00BA219D">
        <w:t>-19</w:t>
      </w:r>
      <w:r>
        <w:t xml:space="preserve"> pandemic. For more information about the limitations of published life tables see ONS lifetable caveats (published 23rd September 2021).</w:t>
      </w:r>
    </w:p>
    <w:p w14:paraId="330B316A" w14:textId="243BDB9F" w:rsidR="0023536D" w:rsidRDefault="0067055C" w:rsidP="00317A89">
      <w:pPr>
        <w:jc w:val="both"/>
      </w:pPr>
      <w:r>
        <w:t xml:space="preserve">We are currently considering methods to adjust for these </w:t>
      </w:r>
      <w:r w:rsidR="00BA219D">
        <w:t>issues and</w:t>
      </w:r>
      <w:r>
        <w:t xml:space="preserve"> intend to implement these in future analyses.</w:t>
      </w:r>
    </w:p>
    <w:p w14:paraId="0292A98D" w14:textId="4F7F355A" w:rsidR="0067055C" w:rsidRDefault="0067055C" w:rsidP="00317A89">
      <w:pPr>
        <w:jc w:val="both"/>
      </w:pPr>
    </w:p>
    <w:p w14:paraId="49E6E70F" w14:textId="77777777" w:rsidR="00F96F12" w:rsidRDefault="00F96F12">
      <w:pPr>
        <w:rPr>
          <w:rFonts w:ascii="Ubuntu" w:eastAsiaTheme="majorEastAsia" w:hAnsi="Ubuntu" w:cstheme="minorHAnsi"/>
          <w:b/>
          <w:color w:val="325083"/>
          <w:sz w:val="40"/>
          <w:szCs w:val="40"/>
        </w:rPr>
      </w:pPr>
      <w:r>
        <w:br w:type="page"/>
      </w:r>
    </w:p>
    <w:p w14:paraId="5E2EA133" w14:textId="625AA132" w:rsidR="0067055C" w:rsidRPr="00CE310E" w:rsidRDefault="0067055C" w:rsidP="00F96F12">
      <w:pPr>
        <w:pStyle w:val="Heading1"/>
      </w:pPr>
      <w:bookmarkStart w:id="42" w:name="_5_Timeliness_and"/>
      <w:bookmarkStart w:id="43" w:name="_Toc143505446"/>
      <w:bookmarkEnd w:id="42"/>
      <w:r w:rsidRPr="00CE310E">
        <w:lastRenderedPageBreak/>
        <w:t>5 Timeliness and punctuality</w:t>
      </w:r>
      <w:bookmarkEnd w:id="43"/>
    </w:p>
    <w:p w14:paraId="22211D61" w14:textId="58A21F63" w:rsidR="0067055C" w:rsidRDefault="0067055C" w:rsidP="00317A89">
      <w:pPr>
        <w:jc w:val="both"/>
      </w:pPr>
      <w:r>
        <w:t>All outputs adhere to the Code of Practice by pre-announcing the date of publication through the upcoming calendar on the Welsh Government Statistics and research page. Furthermore, if publication needs to be postponed this will be announced and the reason for the change fully explained, as set out in the Code of Practice.</w:t>
      </w:r>
    </w:p>
    <w:p w14:paraId="5E9AF4FA" w14:textId="77777777" w:rsidR="001446E2" w:rsidRDefault="001446E2" w:rsidP="00317A89">
      <w:pPr>
        <w:jc w:val="both"/>
      </w:pPr>
    </w:p>
    <w:p w14:paraId="1F7654A4" w14:textId="1CEFE6E9" w:rsidR="0067055C" w:rsidRPr="00CE310E" w:rsidRDefault="0067055C" w:rsidP="00031D1B">
      <w:pPr>
        <w:pStyle w:val="Heading2"/>
      </w:pPr>
      <w:bookmarkStart w:id="44" w:name="_Toc143505447"/>
      <w:r w:rsidRPr="00CE310E">
        <w:t>5.1 Incidence and survival</w:t>
      </w:r>
      <w:bookmarkEnd w:id="44"/>
    </w:p>
    <w:p w14:paraId="1E7C7997" w14:textId="1BA86BE6" w:rsidR="0067055C" w:rsidRDefault="0067055C" w:rsidP="00317A89">
      <w:pPr>
        <w:jc w:val="both"/>
      </w:pPr>
      <w:r>
        <w:t xml:space="preserve">Historically, the WCISU has routinely published data on incidence and survival within 18 months of the end of the calendar year with a survival publication following. The lapse in time is due to the source data being completed and becoming available, the time taken to process and merge all cancer registrations for those </w:t>
      </w:r>
      <w:r w:rsidR="003C1FC8">
        <w:t>patients’</w:t>
      </w:r>
      <w:r>
        <w:t xml:space="preserve"> resident in Wales into one record for each tumour using the data sources provided to the WCISU, according to strict international rules and guidelines of coding, classification and staging. </w:t>
      </w:r>
    </w:p>
    <w:p w14:paraId="6426FE1D" w14:textId="1416B0E7" w:rsidR="0067055C" w:rsidRDefault="0067055C" w:rsidP="00317A89">
      <w:pPr>
        <w:jc w:val="both"/>
      </w:pPr>
      <w:r>
        <w:t xml:space="preserve">This </w:t>
      </w:r>
      <w:r w:rsidR="00F36767">
        <w:t>publication</w:t>
      </w:r>
      <w:r>
        <w:t xml:space="preserve"> is delayed further by twelve months as both the registration and analysis teams in the WCISU have been further affected by C</w:t>
      </w:r>
      <w:r w:rsidR="00F36767">
        <w:t>ovid</w:t>
      </w:r>
      <w:r>
        <w:t xml:space="preserve">-19 with resources redeployed to support </w:t>
      </w:r>
      <w:r w:rsidR="00F36767">
        <w:t xml:space="preserve">the </w:t>
      </w:r>
      <w:r>
        <w:t xml:space="preserve">PHW response to the pandemic. </w:t>
      </w:r>
    </w:p>
    <w:p w14:paraId="458D4BCF" w14:textId="77777777" w:rsidR="001446E2" w:rsidRDefault="001446E2" w:rsidP="00317A89">
      <w:pPr>
        <w:jc w:val="both"/>
      </w:pPr>
    </w:p>
    <w:p w14:paraId="6C31C050" w14:textId="289D5D81" w:rsidR="0067055C" w:rsidRPr="00CE310E" w:rsidRDefault="0067055C" w:rsidP="00031D1B">
      <w:pPr>
        <w:pStyle w:val="Heading2"/>
      </w:pPr>
      <w:bookmarkStart w:id="45" w:name="_Toc143505448"/>
      <w:r w:rsidRPr="00CE310E">
        <w:t>5.2 Mortality</w:t>
      </w:r>
      <w:bookmarkEnd w:id="45"/>
    </w:p>
    <w:p w14:paraId="27C4766F" w14:textId="30864772" w:rsidR="0067055C" w:rsidRDefault="0067055C" w:rsidP="00317A89">
      <w:pPr>
        <w:jc w:val="both"/>
      </w:pPr>
      <w:r>
        <w:t>The timeliness of this publication is more current than our previous cancer mortality publications. The lapse in time for previous publications was due to the source data being completed and becoming available. Following user feedback, we were able to source more timely data (data with death year 2021) for this publication.</w:t>
      </w:r>
    </w:p>
    <w:p w14:paraId="2A6FB024" w14:textId="19C512BF" w:rsidR="0067055C" w:rsidRDefault="0067055C" w:rsidP="00317A89">
      <w:pPr>
        <w:jc w:val="both"/>
      </w:pPr>
    </w:p>
    <w:p w14:paraId="386CEFAC" w14:textId="1687295B" w:rsidR="0067055C" w:rsidRPr="00CE310E" w:rsidRDefault="0067055C" w:rsidP="00F96F12">
      <w:pPr>
        <w:pStyle w:val="Heading1"/>
      </w:pPr>
      <w:bookmarkStart w:id="46" w:name="_Toc143505449"/>
      <w:r w:rsidRPr="00CE310E">
        <w:t>6 Accessibility and clarity</w:t>
      </w:r>
      <w:bookmarkEnd w:id="46"/>
    </w:p>
    <w:p w14:paraId="6E454C48" w14:textId="77777777" w:rsidR="0067055C" w:rsidRDefault="0067055C" w:rsidP="00317A89">
      <w:pPr>
        <w:jc w:val="both"/>
      </w:pPr>
      <w:r>
        <w:t xml:space="preserve">The statistics will be published in an accessible, orderly, pre-announced manner on the Welsh Cancer Intelligence and Surveillance Unit’s website at 9:30am on the day of publication. We also publicise the outputs on social media and to our stakeholders via email. All outputs are available and free to download. </w:t>
      </w:r>
    </w:p>
    <w:p w14:paraId="6BBB6F1E" w14:textId="758A1A09" w:rsidR="0067055C" w:rsidRDefault="0067055C" w:rsidP="00317A89">
      <w:pPr>
        <w:jc w:val="both"/>
      </w:pPr>
      <w:r>
        <w:t xml:space="preserve">Official Statistics are sent to </w:t>
      </w:r>
      <w:r w:rsidR="003C1FC8">
        <w:t>several</w:t>
      </w:r>
      <w:r>
        <w:t xml:space="preserve"> individual</w:t>
      </w:r>
      <w:r w:rsidR="003C1FC8">
        <w:t>s</w:t>
      </w:r>
      <w:r>
        <w:t xml:space="preserve"> on the pre-release list five working days prior to the announcement in accordance with the Pre-publication Official Statistics Order Access (Wales) 2009. The individuals on the pre-release list can be found on the publication webpage</w:t>
      </w:r>
      <w:r w:rsidR="00AF2A5A">
        <w:t xml:space="preserve"> on the </w:t>
      </w:r>
      <w:hyperlink r:id="rId18" w:history="1">
        <w:r w:rsidR="00AF2A5A" w:rsidRPr="003C1FC8">
          <w:rPr>
            <w:rStyle w:val="Hyperlink"/>
          </w:rPr>
          <w:t>PHW website</w:t>
        </w:r>
      </w:hyperlink>
      <w:r>
        <w:t xml:space="preserve">. </w:t>
      </w:r>
    </w:p>
    <w:p w14:paraId="2C5894DD" w14:textId="66F34737" w:rsidR="0067055C" w:rsidRDefault="0067055C" w:rsidP="00317A89">
      <w:pPr>
        <w:jc w:val="both"/>
      </w:pPr>
      <w:r>
        <w:t xml:space="preserve">We aim to use plain English in our </w:t>
      </w:r>
      <w:r w:rsidR="00AF2A5A">
        <w:t>outputs,</w:t>
      </w:r>
      <w:r>
        <w:t xml:space="preserve"> and they adhere to the Public Health Wales’s accessibility policy. Furthermore, all our statistics are published in Welsh and English. Further information regarding the statistics can be obtained by emailing </w:t>
      </w:r>
      <w:hyperlink r:id="rId19" w:history="1">
        <w:r w:rsidR="0095536C" w:rsidRPr="00174DA4">
          <w:rPr>
            <w:rStyle w:val="Hyperlink"/>
          </w:rPr>
          <w:t>WCU.stats@wales.nhs.uk</w:t>
        </w:r>
      </w:hyperlink>
      <w:r>
        <w:t>.</w:t>
      </w:r>
    </w:p>
    <w:p w14:paraId="377AFA21" w14:textId="5AE6254D" w:rsidR="0095536C" w:rsidRDefault="0095536C" w:rsidP="00317A89">
      <w:pPr>
        <w:jc w:val="both"/>
      </w:pPr>
    </w:p>
    <w:p w14:paraId="4A31E1ED" w14:textId="38711182" w:rsidR="0095536C" w:rsidRPr="00CE310E" w:rsidRDefault="0095536C" w:rsidP="00F96F12">
      <w:pPr>
        <w:pStyle w:val="Heading1"/>
      </w:pPr>
      <w:bookmarkStart w:id="47" w:name="_Toc143505450"/>
      <w:r w:rsidRPr="00CE310E">
        <w:lastRenderedPageBreak/>
        <w:t>7 Comparability and coherence</w:t>
      </w:r>
      <w:bookmarkEnd w:id="47"/>
    </w:p>
    <w:p w14:paraId="704DFC5A" w14:textId="4915D37F" w:rsidR="0095536C" w:rsidRDefault="0095536C" w:rsidP="00317A89">
      <w:pPr>
        <w:jc w:val="both"/>
      </w:pPr>
      <w:r>
        <w:t xml:space="preserve">While the WCISU does not hold cancer data about residents in Northern Ireland, Scotland, and England, comparable data can be located from the following: </w:t>
      </w:r>
    </w:p>
    <w:p w14:paraId="2A01E1C1" w14:textId="49EBCAFD" w:rsidR="0095536C" w:rsidRDefault="0095536C" w:rsidP="00317A89">
      <w:pPr>
        <w:pStyle w:val="ListParagraph"/>
        <w:numPr>
          <w:ilvl w:val="0"/>
          <w:numId w:val="12"/>
        </w:numPr>
        <w:jc w:val="both"/>
      </w:pPr>
      <w:r>
        <w:t xml:space="preserve">Northern Ireland Cancer Registry </w:t>
      </w:r>
      <w:r w:rsidR="004C5F48">
        <w:t>(NICR)</w:t>
      </w:r>
    </w:p>
    <w:p w14:paraId="649E0E2F" w14:textId="040005E1" w:rsidR="0095536C" w:rsidRDefault="004C5F48" w:rsidP="00317A89">
      <w:pPr>
        <w:pStyle w:val="ListParagraph"/>
        <w:numPr>
          <w:ilvl w:val="0"/>
          <w:numId w:val="12"/>
        </w:numPr>
        <w:jc w:val="both"/>
      </w:pPr>
      <w:r>
        <w:t>Public Health Scotland</w:t>
      </w:r>
      <w:r w:rsidR="0095536C">
        <w:t xml:space="preserve"> </w:t>
      </w:r>
      <w:r>
        <w:t>(PHS)</w:t>
      </w:r>
    </w:p>
    <w:p w14:paraId="1675D652" w14:textId="26A79143" w:rsidR="0095536C" w:rsidRDefault="0095536C" w:rsidP="00317A89">
      <w:pPr>
        <w:pStyle w:val="ListParagraph"/>
        <w:numPr>
          <w:ilvl w:val="0"/>
          <w:numId w:val="12"/>
        </w:numPr>
        <w:jc w:val="both"/>
      </w:pPr>
      <w:r>
        <w:t xml:space="preserve">Office for National Statistics </w:t>
      </w:r>
      <w:r w:rsidR="004C5F48">
        <w:t>(ONS)</w:t>
      </w:r>
    </w:p>
    <w:p w14:paraId="36E4F9AC" w14:textId="4A341573" w:rsidR="003B36C7" w:rsidRDefault="0095536C" w:rsidP="00317A89">
      <w:pPr>
        <w:pStyle w:val="ListParagraph"/>
        <w:numPr>
          <w:ilvl w:val="0"/>
          <w:numId w:val="12"/>
        </w:numPr>
        <w:jc w:val="both"/>
      </w:pPr>
      <w:r>
        <w:t xml:space="preserve">National Disease Registration Service </w:t>
      </w:r>
      <w:r w:rsidR="004C5F48">
        <w:t>(NDRS)</w:t>
      </w:r>
    </w:p>
    <w:p w14:paraId="64E89C63" w14:textId="77777777" w:rsidR="003B36C7" w:rsidRDefault="0095536C" w:rsidP="00317A89">
      <w:pPr>
        <w:jc w:val="both"/>
      </w:pPr>
      <w:r>
        <w:t xml:space="preserve">Details of cancer registries in the United Kingdom and Ireland can be found on the United Kingdom and Ireland Association of Cancer Registries website. </w:t>
      </w:r>
    </w:p>
    <w:p w14:paraId="6C13A7B6" w14:textId="682EF90B" w:rsidR="003B36C7" w:rsidRDefault="0095536C" w:rsidP="00317A89">
      <w:pPr>
        <w:jc w:val="both"/>
      </w:pPr>
      <w:r>
        <w:t xml:space="preserve">For comparable incidence </w:t>
      </w:r>
      <w:r w:rsidR="003B36C7">
        <w:t xml:space="preserve">and mortality </w:t>
      </w:r>
      <w:r>
        <w:t>data</w:t>
      </w:r>
      <w:r w:rsidR="003B36C7">
        <w:t>,</w:t>
      </w:r>
      <w:r>
        <w:t xml:space="preserve"> the latest international comparisons are available from Cancer in Five Continents. </w:t>
      </w:r>
    </w:p>
    <w:p w14:paraId="3D5B5082" w14:textId="77777777" w:rsidR="003B36C7" w:rsidRDefault="003B36C7" w:rsidP="00317A89">
      <w:pPr>
        <w:jc w:val="both"/>
      </w:pPr>
      <w:r>
        <w:t>Due to differences in the life tables between different cancer registries, we advise against making direct comparisons between the different UK Jurisdictions. We are working with other registries towards improving comparability. In the interim, the European/world studies is suitable for comparisons between the different UK Jurisdictions as the same methodology was applied, however data for recent periods is not yet available (</w:t>
      </w:r>
      <w:proofErr w:type="spellStart"/>
      <w:r>
        <w:t>Eurocare</w:t>
      </w:r>
      <w:proofErr w:type="spellEnd"/>
      <w:r>
        <w:t xml:space="preserve">). </w:t>
      </w:r>
    </w:p>
    <w:p w14:paraId="6631FC24" w14:textId="732C6D3B" w:rsidR="003B36C7" w:rsidRDefault="003B36C7" w:rsidP="00317A89">
      <w:pPr>
        <w:jc w:val="both"/>
      </w:pPr>
      <w:r>
        <w:t>The WCISU have recently published their 2020 UKIACR performance indicators. Further information regarding the data completeness and quality of cancer registry data is detailed in the UKIACR performance indicators reports.</w:t>
      </w:r>
    </w:p>
    <w:p w14:paraId="0A6760C1" w14:textId="3AF78A61" w:rsidR="003B36C7" w:rsidRDefault="003B36C7" w:rsidP="00317A89">
      <w:pPr>
        <w:jc w:val="both"/>
      </w:pPr>
    </w:p>
    <w:p w14:paraId="59AD8CDE" w14:textId="77777777" w:rsidR="00DC72BC" w:rsidRDefault="00DC72BC">
      <w:pPr>
        <w:rPr>
          <w:rFonts w:ascii="Ubuntu" w:eastAsiaTheme="majorEastAsia" w:hAnsi="Ubuntu" w:cstheme="minorHAnsi"/>
          <w:b/>
          <w:color w:val="325083"/>
          <w:sz w:val="40"/>
          <w:szCs w:val="40"/>
        </w:rPr>
      </w:pPr>
      <w:r>
        <w:br w:type="page"/>
      </w:r>
    </w:p>
    <w:p w14:paraId="458482E8" w14:textId="05DF1176" w:rsidR="003B36C7" w:rsidRPr="00CE310E" w:rsidRDefault="003B36C7" w:rsidP="00F96F12">
      <w:pPr>
        <w:pStyle w:val="Heading1"/>
      </w:pPr>
      <w:bookmarkStart w:id="48" w:name="_Toc143505451"/>
      <w:r w:rsidRPr="00CE310E">
        <w:lastRenderedPageBreak/>
        <w:t>8 Legislation</w:t>
      </w:r>
      <w:bookmarkEnd w:id="48"/>
    </w:p>
    <w:p w14:paraId="03966449" w14:textId="77777777" w:rsidR="003B36C7" w:rsidRPr="003B36C7" w:rsidRDefault="003B36C7" w:rsidP="00317A89">
      <w:pPr>
        <w:jc w:val="both"/>
        <w:rPr>
          <w:rFonts w:cstheme="minorHAnsi"/>
        </w:rPr>
      </w:pPr>
      <w:r w:rsidRPr="003B36C7">
        <w:rPr>
          <w:rFonts w:cstheme="minorHAnsi"/>
        </w:rPr>
        <w:t>Under the Data Protection Act, the lawful processing of patient/service user data for purposes other than that necessary for the direct provision of care requires one of the following conditions to be met:</w:t>
      </w:r>
    </w:p>
    <w:p w14:paraId="2C56DBCA" w14:textId="77777777" w:rsidR="003B36C7" w:rsidRDefault="003B36C7" w:rsidP="00317A89">
      <w:pPr>
        <w:pStyle w:val="ListParagraph"/>
        <w:numPr>
          <w:ilvl w:val="0"/>
          <w:numId w:val="14"/>
        </w:numPr>
        <w:jc w:val="both"/>
        <w:rPr>
          <w:rFonts w:cstheme="minorHAnsi"/>
        </w:rPr>
      </w:pPr>
      <w:r w:rsidRPr="003B36C7">
        <w:rPr>
          <w:rFonts w:cstheme="minorHAnsi"/>
        </w:rPr>
        <w:t>Explicit patient/service user consent for processing</w:t>
      </w:r>
    </w:p>
    <w:p w14:paraId="338B65C7" w14:textId="77777777" w:rsidR="003B36C7" w:rsidRDefault="003B36C7" w:rsidP="00317A89">
      <w:pPr>
        <w:pStyle w:val="ListParagraph"/>
        <w:numPr>
          <w:ilvl w:val="0"/>
          <w:numId w:val="14"/>
        </w:numPr>
        <w:jc w:val="both"/>
        <w:rPr>
          <w:rFonts w:cstheme="minorHAnsi"/>
        </w:rPr>
      </w:pPr>
      <w:r w:rsidRPr="003B36C7">
        <w:rPr>
          <w:rFonts w:cstheme="minorHAnsi"/>
        </w:rPr>
        <w:t>Explicit authorisation by statute</w:t>
      </w:r>
    </w:p>
    <w:p w14:paraId="04ADFDCC" w14:textId="5662603E" w:rsidR="003B36C7" w:rsidRPr="00232D89" w:rsidRDefault="003B36C7" w:rsidP="00317A89">
      <w:pPr>
        <w:pStyle w:val="ListParagraph"/>
        <w:numPr>
          <w:ilvl w:val="0"/>
          <w:numId w:val="14"/>
        </w:numPr>
        <w:jc w:val="both"/>
        <w:rPr>
          <w:rFonts w:cstheme="minorHAnsi"/>
        </w:rPr>
      </w:pPr>
      <w:r w:rsidRPr="003B36C7">
        <w:rPr>
          <w:rFonts w:cstheme="minorHAnsi"/>
        </w:rPr>
        <w:t>Approval under Section 251 of the NHS Act 2006</w:t>
      </w:r>
    </w:p>
    <w:p w14:paraId="21EE29CB" w14:textId="77777777" w:rsidR="003B36C7" w:rsidRPr="003B36C7" w:rsidRDefault="003B36C7" w:rsidP="00317A89">
      <w:pPr>
        <w:jc w:val="both"/>
        <w:rPr>
          <w:rFonts w:cstheme="minorHAnsi"/>
        </w:rPr>
      </w:pPr>
      <w:r w:rsidRPr="003B36C7">
        <w:rPr>
          <w:rFonts w:cstheme="minorHAnsi"/>
        </w:rPr>
        <w:t xml:space="preserve">Public Health Wales undertakes </w:t>
      </w:r>
      <w:proofErr w:type="gramStart"/>
      <w:r w:rsidRPr="003B36C7">
        <w:rPr>
          <w:rFonts w:cstheme="minorHAnsi"/>
        </w:rPr>
        <w:t>a number of</w:t>
      </w:r>
      <w:proofErr w:type="gramEnd"/>
      <w:r w:rsidRPr="003B36C7">
        <w:rPr>
          <w:rFonts w:cstheme="minorHAnsi"/>
        </w:rPr>
        <w:t xml:space="preserve"> activities that cannot be classed as direct care, but where the obtaining explicit consent would be impractical or would compromise the integrity of the relevant activity. Examples include:</w:t>
      </w:r>
    </w:p>
    <w:p w14:paraId="14BCD303" w14:textId="77777777" w:rsidR="003B36C7" w:rsidRDefault="003B36C7" w:rsidP="00317A89">
      <w:pPr>
        <w:pStyle w:val="ListParagraph"/>
        <w:numPr>
          <w:ilvl w:val="0"/>
          <w:numId w:val="15"/>
        </w:numPr>
        <w:jc w:val="both"/>
        <w:rPr>
          <w:rFonts w:cstheme="minorHAnsi"/>
        </w:rPr>
      </w:pPr>
      <w:r w:rsidRPr="003B36C7">
        <w:rPr>
          <w:rFonts w:cstheme="minorHAnsi"/>
        </w:rPr>
        <w:t>Evaluation of screening programmes</w:t>
      </w:r>
    </w:p>
    <w:p w14:paraId="024AC62F" w14:textId="77777777" w:rsidR="003B36C7" w:rsidRDefault="003B36C7" w:rsidP="00317A89">
      <w:pPr>
        <w:pStyle w:val="ListParagraph"/>
        <w:numPr>
          <w:ilvl w:val="0"/>
          <w:numId w:val="15"/>
        </w:numPr>
        <w:jc w:val="both"/>
        <w:rPr>
          <w:rFonts w:cstheme="minorHAnsi"/>
        </w:rPr>
      </w:pPr>
      <w:r w:rsidRPr="003B36C7">
        <w:rPr>
          <w:rFonts w:cstheme="minorHAnsi"/>
        </w:rPr>
        <w:t>Cancer registration</w:t>
      </w:r>
    </w:p>
    <w:p w14:paraId="2EC7478E" w14:textId="2AF7DFA0" w:rsidR="003B36C7" w:rsidRPr="003B36C7" w:rsidRDefault="003B36C7" w:rsidP="00317A89">
      <w:pPr>
        <w:pStyle w:val="ListParagraph"/>
        <w:numPr>
          <w:ilvl w:val="0"/>
          <w:numId w:val="15"/>
        </w:numPr>
        <w:jc w:val="both"/>
        <w:rPr>
          <w:rFonts w:cstheme="minorHAnsi"/>
        </w:rPr>
      </w:pPr>
      <w:r w:rsidRPr="003B36C7">
        <w:rPr>
          <w:rFonts w:cstheme="minorHAnsi"/>
        </w:rPr>
        <w:t>Registration of congenital anomalies</w:t>
      </w:r>
    </w:p>
    <w:p w14:paraId="2E10D98B" w14:textId="77777777" w:rsidR="003B36C7" w:rsidRPr="003B36C7" w:rsidRDefault="003B36C7" w:rsidP="00317A89">
      <w:pPr>
        <w:jc w:val="both"/>
        <w:rPr>
          <w:rFonts w:cstheme="minorHAnsi"/>
        </w:rPr>
      </w:pPr>
      <w:r w:rsidRPr="003B36C7">
        <w:rPr>
          <w:rFonts w:cstheme="minorHAnsi"/>
        </w:rPr>
        <w:t>So called ‘Section 251’ approval, therefore, remains the most appropriate means of ensuring that Public Health Wales complies with the Data Protection Act when undertaking such processing. Such approval needs to be obtained for new activities and renewed annually for existing activities.</w:t>
      </w:r>
    </w:p>
    <w:p w14:paraId="577683DC" w14:textId="77777777" w:rsidR="003B36C7" w:rsidRPr="003B36C7" w:rsidRDefault="003B36C7" w:rsidP="00317A89">
      <w:pPr>
        <w:jc w:val="both"/>
        <w:rPr>
          <w:rFonts w:cstheme="minorHAnsi"/>
        </w:rPr>
      </w:pPr>
      <w:r w:rsidRPr="003B36C7">
        <w:rPr>
          <w:rFonts w:cstheme="minorHAnsi"/>
        </w:rPr>
        <w:t>Section 251 was established to provide a secure legal basis for the disclosure and processing of confidential information in the NHS where it is not possible to use anonymised information or to obtain explicit consent. A mechanism was established to enable the Secretary of State for Health to exercise powers of approval under Section 251, advised by the National Information Governance Board (NIGB) and its Ethics and Confidentiality Committee (ECC). The mechanisms operated by NIGB and its ECC also applied to Wales.</w:t>
      </w:r>
    </w:p>
    <w:p w14:paraId="78AD6B01" w14:textId="77777777" w:rsidR="003B36C7" w:rsidRPr="003B36C7" w:rsidRDefault="003B36C7" w:rsidP="00317A89">
      <w:pPr>
        <w:jc w:val="both"/>
        <w:rPr>
          <w:rFonts w:cstheme="minorHAnsi"/>
        </w:rPr>
      </w:pPr>
      <w:r w:rsidRPr="003B36C7">
        <w:rPr>
          <w:rFonts w:cstheme="minorHAnsi"/>
        </w:rPr>
        <w:t xml:space="preserve">Under General Data Protection Regulation (GDPR), we follow: </w:t>
      </w:r>
    </w:p>
    <w:p w14:paraId="2FEF0EA2" w14:textId="77777777" w:rsidR="003B36C7" w:rsidRPr="00232D89" w:rsidRDefault="003B36C7" w:rsidP="00232D89">
      <w:pPr>
        <w:pStyle w:val="ListParagraph"/>
        <w:numPr>
          <w:ilvl w:val="0"/>
          <w:numId w:val="20"/>
        </w:numPr>
        <w:jc w:val="both"/>
        <w:rPr>
          <w:rFonts w:cstheme="minorHAnsi"/>
        </w:rPr>
      </w:pPr>
      <w:r w:rsidRPr="00232D89">
        <w:rPr>
          <w:rFonts w:cstheme="minorHAnsi"/>
        </w:rPr>
        <w:t xml:space="preserve">Article 6 (1) e - processing is necessary for the performance of a task carried out in the public interest or in the exercise of official authority vested in the </w:t>
      </w:r>
      <w:proofErr w:type="gramStart"/>
      <w:r w:rsidRPr="00232D89">
        <w:rPr>
          <w:rFonts w:cstheme="minorHAnsi"/>
        </w:rPr>
        <w:t>controller;</w:t>
      </w:r>
      <w:proofErr w:type="gramEnd"/>
    </w:p>
    <w:p w14:paraId="01112DB4" w14:textId="5041EDF5" w:rsidR="003B36C7" w:rsidRPr="003B36C7" w:rsidRDefault="00232D89" w:rsidP="00317A89">
      <w:pPr>
        <w:jc w:val="both"/>
        <w:rPr>
          <w:rFonts w:cstheme="minorHAnsi"/>
        </w:rPr>
      </w:pPr>
      <w:r>
        <w:rPr>
          <w:rFonts w:cstheme="minorHAnsi"/>
        </w:rPr>
        <w:t>a</w:t>
      </w:r>
      <w:r w:rsidR="003B36C7" w:rsidRPr="003B36C7">
        <w:rPr>
          <w:rFonts w:cstheme="minorHAnsi"/>
        </w:rPr>
        <w:t xml:space="preserve">nd </w:t>
      </w:r>
    </w:p>
    <w:p w14:paraId="0B13057F" w14:textId="77777777" w:rsidR="003B36C7" w:rsidRPr="00232D89" w:rsidRDefault="003B36C7" w:rsidP="00232D89">
      <w:pPr>
        <w:pStyle w:val="ListParagraph"/>
        <w:numPr>
          <w:ilvl w:val="0"/>
          <w:numId w:val="20"/>
        </w:numPr>
        <w:jc w:val="both"/>
        <w:rPr>
          <w:rFonts w:cstheme="minorHAnsi"/>
        </w:rPr>
      </w:pPr>
      <w:r w:rsidRPr="00232D89">
        <w:rPr>
          <w:rFonts w:cstheme="minorHAnsi"/>
        </w:rPr>
        <w:t>Article 9 (2) h - processing is necessary for the purposes of preventive or occupational medicine, for the assessment of the working capacity of the employee, medical diagnosis, the provision of health or social care or treatment or the management of health or social care systems and services on the basis of Union or Member State law or pursuant to contract with a health professional and subject to the conditions and safeguards referred to in paragraph 3.</w:t>
      </w:r>
    </w:p>
    <w:p w14:paraId="73C687F7" w14:textId="1A3EA20F" w:rsidR="003B36C7" w:rsidRPr="003B36C7" w:rsidRDefault="003B36C7" w:rsidP="00317A89">
      <w:pPr>
        <w:jc w:val="both"/>
        <w:rPr>
          <w:rFonts w:cstheme="minorHAnsi"/>
        </w:rPr>
      </w:pPr>
      <w:r w:rsidRPr="003B36C7">
        <w:rPr>
          <w:rFonts w:cstheme="minorHAnsi"/>
        </w:rPr>
        <w:t xml:space="preserve">The key policy on cancer in Wales is set out in the </w:t>
      </w:r>
      <w:bookmarkStart w:id="49" w:name="_Hlk138055044"/>
      <w:r w:rsidR="004E4F67">
        <w:rPr>
          <w:rFonts w:cstheme="minorHAnsi"/>
        </w:rPr>
        <w:fldChar w:fldCharType="begin"/>
      </w:r>
      <w:r w:rsidR="004E4F67">
        <w:rPr>
          <w:rFonts w:cstheme="minorHAnsi"/>
        </w:rPr>
        <w:instrText xml:space="preserve"> HYPERLINK "https://executive.nhs.wales/networks/wales-cancer-network/cancer-improvement-plan-docs/full-plan/" </w:instrText>
      </w:r>
      <w:r w:rsidR="004E4F67">
        <w:rPr>
          <w:rFonts w:cstheme="minorHAnsi"/>
        </w:rPr>
      </w:r>
      <w:r w:rsidR="004E4F67">
        <w:rPr>
          <w:rFonts w:cstheme="minorHAnsi"/>
        </w:rPr>
        <w:fldChar w:fldCharType="separate"/>
      </w:r>
      <w:r w:rsidR="004E4F67">
        <w:rPr>
          <w:rStyle w:val="Hyperlink"/>
          <w:rFonts w:cstheme="minorHAnsi"/>
        </w:rPr>
        <w:t>Wales</w:t>
      </w:r>
      <w:r w:rsidRPr="004E4F67">
        <w:rPr>
          <w:rStyle w:val="Hyperlink"/>
          <w:rFonts w:cstheme="minorHAnsi"/>
        </w:rPr>
        <w:t xml:space="preserve"> </w:t>
      </w:r>
      <w:r w:rsidR="004E4F67" w:rsidRPr="004E4F67">
        <w:rPr>
          <w:rStyle w:val="Hyperlink"/>
        </w:rPr>
        <w:t>Cancer</w:t>
      </w:r>
      <w:r w:rsidR="004E4F67">
        <w:rPr>
          <w:rStyle w:val="Hyperlink"/>
        </w:rPr>
        <w:t xml:space="preserve"> Network’s Cancer</w:t>
      </w:r>
      <w:r w:rsidR="004E4F67" w:rsidRPr="004E4F67">
        <w:rPr>
          <w:rStyle w:val="Hyperlink"/>
        </w:rPr>
        <w:t xml:space="preserve"> improvement plan 2023-2026</w:t>
      </w:r>
      <w:r w:rsidR="004E4F67">
        <w:rPr>
          <w:rFonts w:cstheme="minorHAnsi"/>
        </w:rPr>
        <w:fldChar w:fldCharType="end"/>
      </w:r>
      <w:r w:rsidR="004E4F67">
        <w:t>.</w:t>
      </w:r>
      <w:bookmarkEnd w:id="49"/>
    </w:p>
    <w:p w14:paraId="225B083B" w14:textId="77777777" w:rsidR="003B36C7" w:rsidRPr="003B36C7" w:rsidRDefault="003B36C7" w:rsidP="00317A89">
      <w:pPr>
        <w:jc w:val="both"/>
        <w:rPr>
          <w:rFonts w:cstheme="minorHAnsi"/>
        </w:rPr>
      </w:pPr>
      <w:r w:rsidRPr="003B36C7">
        <w:rPr>
          <w:rFonts w:cstheme="minorHAnsi"/>
        </w:rPr>
        <w:lastRenderedPageBreak/>
        <w:t xml:space="preserve">The Well-being of Future Generations Act 2015 is about improving the social, economic, </w:t>
      </w:r>
      <w:proofErr w:type="gramStart"/>
      <w:r w:rsidRPr="003B36C7">
        <w:rPr>
          <w:rFonts w:cstheme="minorHAnsi"/>
        </w:rPr>
        <w:t>environmental</w:t>
      </w:r>
      <w:proofErr w:type="gramEnd"/>
      <w:r w:rsidRPr="003B36C7">
        <w:rPr>
          <w:rFonts w:cstheme="minorHAnsi"/>
        </w:rPr>
        <w:t xml:space="preserve"> and cultural well-being of Wales. The Act puts in place seven well-being goals for Wales. These are for a more equal, prosperous, resilient, </w:t>
      </w:r>
      <w:proofErr w:type="gramStart"/>
      <w:r w:rsidRPr="003B36C7">
        <w:rPr>
          <w:rFonts w:cstheme="minorHAnsi"/>
        </w:rPr>
        <w:t>healthier</w:t>
      </w:r>
      <w:proofErr w:type="gramEnd"/>
      <w:r w:rsidRPr="003B36C7">
        <w:rPr>
          <w:rFonts w:cstheme="minorHAnsi"/>
        </w:rPr>
        <w:t xml:space="preserve"> and globally responsible Wales, with cohesive communities and a vibrant culture and thriving Welsh language. Under section (10) (1) of the Act, the Welsh Ministers must:</w:t>
      </w:r>
    </w:p>
    <w:p w14:paraId="1957741C" w14:textId="77777777" w:rsidR="003B36C7" w:rsidRPr="003B36C7" w:rsidRDefault="003B36C7" w:rsidP="00317A89">
      <w:pPr>
        <w:pStyle w:val="ListParagraph"/>
        <w:numPr>
          <w:ilvl w:val="0"/>
          <w:numId w:val="13"/>
        </w:numPr>
        <w:spacing w:after="200" w:line="276" w:lineRule="auto"/>
        <w:jc w:val="both"/>
        <w:rPr>
          <w:rFonts w:cstheme="minorHAnsi"/>
        </w:rPr>
      </w:pPr>
      <w:r w:rsidRPr="003B36C7">
        <w:rPr>
          <w:rFonts w:cstheme="minorHAnsi"/>
        </w:rPr>
        <w:t xml:space="preserve">publish indicators (“national indicators”) that must be applied for the purpose of measuring progress towards the achievement of the Well-being </w:t>
      </w:r>
      <w:proofErr w:type="gramStart"/>
      <w:r w:rsidRPr="003B36C7">
        <w:rPr>
          <w:rFonts w:cstheme="minorHAnsi"/>
        </w:rPr>
        <w:t>goals</w:t>
      </w:r>
      <w:proofErr w:type="gramEnd"/>
      <w:r w:rsidRPr="003B36C7">
        <w:rPr>
          <w:rFonts w:cstheme="minorHAnsi"/>
        </w:rPr>
        <w:t xml:space="preserve"> </w:t>
      </w:r>
    </w:p>
    <w:p w14:paraId="4B0E243F" w14:textId="77777777" w:rsidR="003B36C7" w:rsidRPr="003B36C7" w:rsidRDefault="003B36C7" w:rsidP="00317A89">
      <w:pPr>
        <w:pStyle w:val="ListParagraph"/>
        <w:numPr>
          <w:ilvl w:val="0"/>
          <w:numId w:val="13"/>
        </w:numPr>
        <w:spacing w:after="200" w:line="276" w:lineRule="auto"/>
        <w:jc w:val="both"/>
        <w:rPr>
          <w:rFonts w:cstheme="minorHAnsi"/>
        </w:rPr>
      </w:pPr>
      <w:r w:rsidRPr="003B36C7">
        <w:rPr>
          <w:rFonts w:cstheme="minorHAnsi"/>
        </w:rPr>
        <w:t>lay a copy of the national indicators before the National Assembly. The 46 national indicators were laid in March 2016</w:t>
      </w:r>
    </w:p>
    <w:p w14:paraId="78916910" w14:textId="77777777" w:rsidR="003B36C7" w:rsidRPr="003B36C7" w:rsidRDefault="00DC0C51" w:rsidP="00317A89">
      <w:pPr>
        <w:jc w:val="both"/>
        <w:rPr>
          <w:rFonts w:cstheme="minorHAnsi"/>
        </w:rPr>
      </w:pPr>
      <w:hyperlink r:id="rId20" w:history="1">
        <w:r w:rsidR="003B36C7" w:rsidRPr="003B36C7">
          <w:rPr>
            <w:rStyle w:val="Hyperlink"/>
            <w:rFonts w:cstheme="minorHAnsi"/>
          </w:rPr>
          <w:t>Information on indicators and associated technical information - How do you measure a nation’s progress? - National Indicators</w:t>
        </w:r>
      </w:hyperlink>
    </w:p>
    <w:p w14:paraId="7D788564" w14:textId="77777777" w:rsidR="003B36C7" w:rsidRPr="003B36C7" w:rsidRDefault="003B36C7" w:rsidP="00317A89">
      <w:pPr>
        <w:jc w:val="both"/>
        <w:rPr>
          <w:rFonts w:cstheme="minorHAnsi"/>
        </w:rPr>
      </w:pPr>
      <w:r w:rsidRPr="003B36C7">
        <w:rPr>
          <w:rFonts w:cstheme="minorHAnsi"/>
        </w:rPr>
        <w:t xml:space="preserve">Further information on the </w:t>
      </w:r>
      <w:hyperlink r:id="rId21" w:history="1">
        <w:r w:rsidRPr="003B36C7">
          <w:rPr>
            <w:rStyle w:val="Hyperlink"/>
            <w:rFonts w:cstheme="minorHAnsi"/>
          </w:rPr>
          <w:t>Well-being of Future Generations (Wales) Act 2015</w:t>
        </w:r>
      </w:hyperlink>
      <w:r w:rsidRPr="003B36C7">
        <w:rPr>
          <w:rFonts w:cstheme="minorHAnsi"/>
        </w:rPr>
        <w:t>.</w:t>
      </w:r>
    </w:p>
    <w:p w14:paraId="13A253D4" w14:textId="77777777" w:rsidR="003B36C7" w:rsidRPr="003B36C7" w:rsidRDefault="003B36C7" w:rsidP="00317A89">
      <w:pPr>
        <w:jc w:val="both"/>
        <w:rPr>
          <w:rFonts w:cstheme="minorHAnsi"/>
        </w:rPr>
      </w:pPr>
      <w:r w:rsidRPr="003B36C7">
        <w:rPr>
          <w:rFonts w:cstheme="minorHAnsi"/>
        </w:rPr>
        <w:t>The statistics included in this release could also provide supporting narrative to the national indicators and be used by public services boards in relation to their local well-being assessments and local well-being plans.</w:t>
      </w:r>
    </w:p>
    <w:p w14:paraId="5576A14A" w14:textId="723FFF27" w:rsidR="003B36C7" w:rsidRPr="003B36C7" w:rsidRDefault="003B36C7" w:rsidP="00317A89">
      <w:pPr>
        <w:jc w:val="both"/>
        <w:rPr>
          <w:rFonts w:cstheme="minorHAnsi"/>
        </w:rPr>
      </w:pPr>
      <w:r w:rsidRPr="003B36C7">
        <w:rPr>
          <w:rFonts w:cstheme="minorHAnsi"/>
        </w:rPr>
        <w:t xml:space="preserve">The WCISU adheres to the United Kingdom and Ireland Association of Cancer Registries (UKIACR) small numbers guidance for cancer </w:t>
      </w:r>
      <w:r w:rsidR="00232D89" w:rsidRPr="003B36C7">
        <w:rPr>
          <w:rFonts w:cstheme="minorHAnsi"/>
        </w:rPr>
        <w:t>incidence,</w:t>
      </w:r>
      <w:r w:rsidRPr="003B36C7">
        <w:rPr>
          <w:rFonts w:cstheme="minorHAnsi"/>
        </w:rPr>
        <w:t xml:space="preserve"> </w:t>
      </w:r>
      <w:proofErr w:type="gramStart"/>
      <w:r w:rsidRPr="003B36C7">
        <w:rPr>
          <w:rFonts w:cstheme="minorHAnsi"/>
        </w:rPr>
        <w:t>i.e.</w:t>
      </w:r>
      <w:proofErr w:type="gramEnd"/>
      <w:r w:rsidRPr="003B36C7">
        <w:rPr>
          <w:rFonts w:cstheme="minorHAnsi"/>
        </w:rPr>
        <w:t xml:space="preserve"> where a cancer incidence count of less than five is observed in any cell with the population at risk being less than 1,000 then the value is suppressed.</w:t>
      </w:r>
      <w:r w:rsidR="00826779">
        <w:rPr>
          <w:rFonts w:cstheme="minorHAnsi"/>
        </w:rPr>
        <w:t xml:space="preserve"> </w:t>
      </w:r>
      <w:r w:rsidRPr="003B36C7">
        <w:rPr>
          <w:rFonts w:cstheme="minorHAnsi"/>
        </w:rPr>
        <w:t xml:space="preserve">WCISU also adheres to the </w:t>
      </w:r>
      <w:hyperlink r:id="rId22" w:history="1">
        <w:r w:rsidRPr="003B36C7">
          <w:rPr>
            <w:rStyle w:val="Hyperlink"/>
            <w:rFonts w:cstheme="minorHAnsi"/>
          </w:rPr>
          <w:t>Office for National Statistics</w:t>
        </w:r>
      </w:hyperlink>
      <w:r w:rsidRPr="003B36C7">
        <w:rPr>
          <w:rFonts w:cstheme="minorHAnsi"/>
        </w:rPr>
        <w:t xml:space="preserve"> disclosure control guidance for mortality statistics.</w:t>
      </w:r>
    </w:p>
    <w:p w14:paraId="3A2DA16B" w14:textId="589B8A07" w:rsidR="003B36C7" w:rsidRDefault="003B36C7" w:rsidP="00317A89">
      <w:pPr>
        <w:jc w:val="both"/>
      </w:pPr>
    </w:p>
    <w:p w14:paraId="594BD5ED" w14:textId="22AE95EA" w:rsidR="00F060FE" w:rsidRDefault="00F060FE">
      <w:r>
        <w:br w:type="page"/>
      </w:r>
    </w:p>
    <w:p w14:paraId="620B0EAD" w14:textId="2B38A522" w:rsidR="00760CF3" w:rsidRPr="00CE310E" w:rsidRDefault="00760CF3" w:rsidP="00F96F12">
      <w:pPr>
        <w:pStyle w:val="Heading1"/>
      </w:pPr>
      <w:bookmarkStart w:id="50" w:name="_Toc143505452"/>
      <w:r w:rsidRPr="00CE310E">
        <w:lastRenderedPageBreak/>
        <w:t>9 Glossary</w:t>
      </w:r>
      <w:bookmarkEnd w:id="50"/>
    </w:p>
    <w:p w14:paraId="46E41C65" w14:textId="77777777" w:rsidR="007E4F6D" w:rsidRDefault="007E4F6D" w:rsidP="00317A89">
      <w:pPr>
        <w:jc w:val="both"/>
        <w:rPr>
          <w:b/>
          <w:bCs/>
        </w:rPr>
      </w:pPr>
    </w:p>
    <w:p w14:paraId="654C2B75" w14:textId="69824CA3" w:rsidR="007E4F6D" w:rsidRDefault="007E4F6D" w:rsidP="00317A89">
      <w:pPr>
        <w:jc w:val="both"/>
      </w:pPr>
      <w:r>
        <w:rPr>
          <w:b/>
          <w:bCs/>
        </w:rPr>
        <w:t>ASR</w:t>
      </w:r>
      <w:r>
        <w:rPr>
          <w:b/>
          <w:bCs/>
        </w:rPr>
        <w:tab/>
      </w:r>
      <w:r>
        <w:rPr>
          <w:b/>
          <w:bCs/>
        </w:rPr>
        <w:tab/>
      </w:r>
      <w:r>
        <w:t>Age-specific rate</w:t>
      </w:r>
    </w:p>
    <w:p w14:paraId="540417FA" w14:textId="46C30260" w:rsidR="007E4F6D" w:rsidRDefault="007E4F6D" w:rsidP="00317A89">
      <w:pPr>
        <w:jc w:val="both"/>
      </w:pPr>
      <w:r>
        <w:rPr>
          <w:b/>
          <w:bCs/>
        </w:rPr>
        <w:t>EASR</w:t>
      </w:r>
      <w:r>
        <w:tab/>
      </w:r>
      <w:r>
        <w:tab/>
        <w:t>European age-standardised rate</w:t>
      </w:r>
    </w:p>
    <w:p w14:paraId="31F2B66E" w14:textId="210397BC" w:rsidR="007E4F6D" w:rsidRDefault="007E4F6D" w:rsidP="00317A89">
      <w:pPr>
        <w:jc w:val="both"/>
      </w:pPr>
      <w:r>
        <w:rPr>
          <w:b/>
          <w:bCs/>
        </w:rPr>
        <w:t>ECC</w:t>
      </w:r>
      <w:r>
        <w:rPr>
          <w:b/>
          <w:bCs/>
        </w:rPr>
        <w:tab/>
      </w:r>
      <w:r>
        <w:rPr>
          <w:b/>
          <w:bCs/>
        </w:rPr>
        <w:tab/>
      </w:r>
      <w:r>
        <w:t xml:space="preserve">Ethics and </w:t>
      </w:r>
      <w:r w:rsidR="008C41B1">
        <w:t>C</w:t>
      </w:r>
      <w:r>
        <w:t xml:space="preserve">onfidentiality </w:t>
      </w:r>
      <w:r w:rsidR="008C41B1">
        <w:t>C</w:t>
      </w:r>
      <w:r>
        <w:t>ommittee</w:t>
      </w:r>
    </w:p>
    <w:p w14:paraId="163BEABC" w14:textId="02E50F2B" w:rsidR="007E4F6D" w:rsidRDefault="007E4F6D" w:rsidP="00317A89">
      <w:pPr>
        <w:jc w:val="both"/>
      </w:pPr>
      <w:r>
        <w:rPr>
          <w:b/>
          <w:bCs/>
        </w:rPr>
        <w:t>ENCR</w:t>
      </w:r>
      <w:r>
        <w:rPr>
          <w:b/>
          <w:bCs/>
        </w:rPr>
        <w:tab/>
      </w:r>
      <w:r>
        <w:rPr>
          <w:b/>
          <w:bCs/>
        </w:rPr>
        <w:tab/>
      </w:r>
      <w:r>
        <w:t>European Network of Cancer Registries</w:t>
      </w:r>
    </w:p>
    <w:p w14:paraId="11E647D6" w14:textId="28838FA2" w:rsidR="007E4F6D" w:rsidRDefault="007E4F6D" w:rsidP="00317A89">
      <w:pPr>
        <w:jc w:val="both"/>
      </w:pPr>
      <w:r>
        <w:rPr>
          <w:b/>
          <w:bCs/>
        </w:rPr>
        <w:t>ESP</w:t>
      </w:r>
      <w:r>
        <w:rPr>
          <w:b/>
          <w:bCs/>
        </w:rPr>
        <w:tab/>
      </w:r>
      <w:r>
        <w:rPr>
          <w:b/>
          <w:bCs/>
        </w:rPr>
        <w:tab/>
      </w:r>
      <w:r>
        <w:t>European standard population</w:t>
      </w:r>
    </w:p>
    <w:p w14:paraId="04DD2FEF" w14:textId="5A29F75E" w:rsidR="007E4F6D" w:rsidRDefault="007E4F6D" w:rsidP="00317A89">
      <w:pPr>
        <w:jc w:val="both"/>
      </w:pPr>
      <w:r>
        <w:rPr>
          <w:b/>
          <w:bCs/>
        </w:rPr>
        <w:t>FIGO</w:t>
      </w:r>
      <w:r>
        <w:rPr>
          <w:b/>
          <w:bCs/>
        </w:rPr>
        <w:tab/>
      </w:r>
      <w:r>
        <w:rPr>
          <w:b/>
          <w:bCs/>
        </w:rPr>
        <w:tab/>
      </w:r>
      <w:r>
        <w:t>International Federation of Gynaecology and Obstetrics</w:t>
      </w:r>
    </w:p>
    <w:p w14:paraId="5A8C9515" w14:textId="52588B21" w:rsidR="007E4F6D" w:rsidRDefault="007E4F6D" w:rsidP="00317A89">
      <w:pPr>
        <w:jc w:val="both"/>
      </w:pPr>
      <w:r>
        <w:rPr>
          <w:b/>
          <w:bCs/>
        </w:rPr>
        <w:t>GDPR</w:t>
      </w:r>
      <w:r>
        <w:rPr>
          <w:b/>
          <w:bCs/>
        </w:rPr>
        <w:tab/>
      </w:r>
      <w:r>
        <w:rPr>
          <w:b/>
          <w:bCs/>
        </w:rPr>
        <w:tab/>
      </w:r>
      <w:r>
        <w:t xml:space="preserve">General </w:t>
      </w:r>
      <w:r w:rsidR="008C41B1">
        <w:t>D</w:t>
      </w:r>
      <w:r>
        <w:t xml:space="preserve">ata </w:t>
      </w:r>
      <w:r w:rsidR="008C41B1">
        <w:t>P</w:t>
      </w:r>
      <w:r>
        <w:t xml:space="preserve">rotection </w:t>
      </w:r>
      <w:r w:rsidR="008C41B1">
        <w:t>R</w:t>
      </w:r>
      <w:r>
        <w:t>egulation</w:t>
      </w:r>
    </w:p>
    <w:p w14:paraId="7339754F" w14:textId="06F0CD7A" w:rsidR="007E4F6D" w:rsidRDefault="007E4F6D" w:rsidP="00317A89">
      <w:pPr>
        <w:jc w:val="both"/>
      </w:pPr>
      <w:r>
        <w:rPr>
          <w:b/>
          <w:bCs/>
        </w:rPr>
        <w:t>HB</w:t>
      </w:r>
      <w:r>
        <w:rPr>
          <w:b/>
          <w:bCs/>
        </w:rPr>
        <w:tab/>
      </w:r>
      <w:r>
        <w:rPr>
          <w:b/>
          <w:bCs/>
        </w:rPr>
        <w:tab/>
      </w:r>
      <w:r>
        <w:t>Health board</w:t>
      </w:r>
    </w:p>
    <w:p w14:paraId="0EE03B0B" w14:textId="584763EB" w:rsidR="007E4F6D" w:rsidRDefault="007E4F6D" w:rsidP="00317A89">
      <w:pPr>
        <w:jc w:val="both"/>
      </w:pPr>
      <w:r>
        <w:rPr>
          <w:b/>
          <w:bCs/>
        </w:rPr>
        <w:t>ICD</w:t>
      </w:r>
      <w:r>
        <w:rPr>
          <w:b/>
          <w:bCs/>
        </w:rPr>
        <w:tab/>
      </w:r>
      <w:r>
        <w:rPr>
          <w:b/>
          <w:bCs/>
        </w:rPr>
        <w:tab/>
      </w:r>
      <w:r>
        <w:t xml:space="preserve">International </w:t>
      </w:r>
      <w:r w:rsidR="008C41B1">
        <w:t>C</w:t>
      </w:r>
      <w:r>
        <w:t xml:space="preserve">lassification of </w:t>
      </w:r>
      <w:r w:rsidR="008C41B1">
        <w:t>D</w:t>
      </w:r>
      <w:r>
        <w:t>iseases</w:t>
      </w:r>
    </w:p>
    <w:p w14:paraId="45D10750" w14:textId="4FDECEE4" w:rsidR="003F4CB1" w:rsidRPr="003F4CB1" w:rsidRDefault="003F4CB1" w:rsidP="00317A89">
      <w:pPr>
        <w:jc w:val="both"/>
      </w:pPr>
      <w:r>
        <w:rPr>
          <w:b/>
          <w:bCs/>
        </w:rPr>
        <w:t xml:space="preserve">ICSS </w:t>
      </w:r>
      <w:r>
        <w:rPr>
          <w:b/>
          <w:bCs/>
        </w:rPr>
        <w:tab/>
      </w:r>
      <w:r>
        <w:rPr>
          <w:b/>
          <w:bCs/>
        </w:rPr>
        <w:tab/>
      </w:r>
      <w:r>
        <w:t>International Classification of Standard Weights</w:t>
      </w:r>
    </w:p>
    <w:p w14:paraId="13AA41DD" w14:textId="3C40C5F9" w:rsidR="007E4F6D" w:rsidRDefault="007E4F6D" w:rsidP="00317A89">
      <w:pPr>
        <w:jc w:val="both"/>
      </w:pPr>
      <w:r>
        <w:rPr>
          <w:b/>
          <w:bCs/>
        </w:rPr>
        <w:t>LA</w:t>
      </w:r>
      <w:r>
        <w:rPr>
          <w:b/>
          <w:bCs/>
        </w:rPr>
        <w:tab/>
      </w:r>
      <w:r>
        <w:rPr>
          <w:b/>
          <w:bCs/>
        </w:rPr>
        <w:tab/>
      </w:r>
      <w:r>
        <w:t>Local authority</w:t>
      </w:r>
    </w:p>
    <w:p w14:paraId="729A114F" w14:textId="1BF7A784" w:rsidR="007E4F6D" w:rsidRDefault="007E4F6D" w:rsidP="00317A89">
      <w:pPr>
        <w:jc w:val="both"/>
      </w:pPr>
      <w:r>
        <w:rPr>
          <w:b/>
          <w:bCs/>
        </w:rPr>
        <w:t>LSOA</w:t>
      </w:r>
      <w:r>
        <w:rPr>
          <w:b/>
          <w:bCs/>
        </w:rPr>
        <w:tab/>
      </w:r>
      <w:r>
        <w:rPr>
          <w:b/>
          <w:bCs/>
        </w:rPr>
        <w:tab/>
      </w:r>
      <w:r>
        <w:t>Lower super output area</w:t>
      </w:r>
    </w:p>
    <w:p w14:paraId="05A12C8A" w14:textId="06E2466D" w:rsidR="007E4F6D" w:rsidRDefault="007E4F6D" w:rsidP="00317A89">
      <w:pPr>
        <w:jc w:val="both"/>
      </w:pPr>
      <w:r>
        <w:rPr>
          <w:b/>
          <w:bCs/>
        </w:rPr>
        <w:t>MYE</w:t>
      </w:r>
      <w:r>
        <w:rPr>
          <w:b/>
          <w:bCs/>
        </w:rPr>
        <w:tab/>
      </w:r>
      <w:r>
        <w:rPr>
          <w:b/>
          <w:bCs/>
        </w:rPr>
        <w:tab/>
      </w:r>
      <w:r>
        <w:t>Mid-year population estimates</w:t>
      </w:r>
    </w:p>
    <w:p w14:paraId="34E37B8B" w14:textId="31B48469" w:rsidR="007E4F6D" w:rsidRDefault="007E4F6D" w:rsidP="00317A89">
      <w:pPr>
        <w:jc w:val="both"/>
      </w:pPr>
      <w:r>
        <w:rPr>
          <w:b/>
          <w:bCs/>
        </w:rPr>
        <w:t>NHS</w:t>
      </w:r>
      <w:r>
        <w:rPr>
          <w:b/>
          <w:bCs/>
        </w:rPr>
        <w:tab/>
      </w:r>
      <w:r>
        <w:rPr>
          <w:b/>
          <w:bCs/>
        </w:rPr>
        <w:tab/>
      </w:r>
      <w:r>
        <w:t>National Health Service</w:t>
      </w:r>
    </w:p>
    <w:p w14:paraId="1E0D87BF" w14:textId="0281FE3F" w:rsidR="007E4F6D" w:rsidRDefault="007E4F6D" w:rsidP="00317A89">
      <w:pPr>
        <w:jc w:val="both"/>
      </w:pPr>
      <w:r>
        <w:rPr>
          <w:b/>
          <w:bCs/>
        </w:rPr>
        <w:t>NDRS</w:t>
      </w:r>
      <w:r>
        <w:rPr>
          <w:b/>
          <w:bCs/>
        </w:rPr>
        <w:tab/>
      </w:r>
      <w:r>
        <w:rPr>
          <w:b/>
          <w:bCs/>
        </w:rPr>
        <w:tab/>
      </w:r>
      <w:r>
        <w:t>National Disease Registration Service</w:t>
      </w:r>
    </w:p>
    <w:p w14:paraId="500362A5" w14:textId="0F53F01F" w:rsidR="004C5F48" w:rsidRPr="004C5F48" w:rsidRDefault="004C5F48" w:rsidP="00317A89">
      <w:pPr>
        <w:jc w:val="both"/>
      </w:pPr>
      <w:r>
        <w:rPr>
          <w:b/>
          <w:bCs/>
        </w:rPr>
        <w:t>NICR</w:t>
      </w:r>
      <w:r>
        <w:rPr>
          <w:b/>
          <w:bCs/>
        </w:rPr>
        <w:tab/>
      </w:r>
      <w:r>
        <w:rPr>
          <w:b/>
          <w:bCs/>
        </w:rPr>
        <w:tab/>
      </w:r>
      <w:r>
        <w:t>Northern Ireland Cancer Registry</w:t>
      </w:r>
    </w:p>
    <w:p w14:paraId="109A5881" w14:textId="5A0B672D" w:rsidR="004C5F48" w:rsidRDefault="004C5F48" w:rsidP="00317A89">
      <w:pPr>
        <w:jc w:val="both"/>
      </w:pPr>
      <w:r>
        <w:rPr>
          <w:b/>
          <w:bCs/>
        </w:rPr>
        <w:t>NIGB</w:t>
      </w:r>
      <w:r>
        <w:rPr>
          <w:b/>
          <w:bCs/>
        </w:rPr>
        <w:tab/>
      </w:r>
      <w:r>
        <w:rPr>
          <w:b/>
          <w:bCs/>
        </w:rPr>
        <w:tab/>
      </w:r>
      <w:r>
        <w:t>National Information Governance Board</w:t>
      </w:r>
    </w:p>
    <w:p w14:paraId="164D00EC" w14:textId="1F732B24" w:rsidR="007E4F6D" w:rsidRDefault="007E4F6D" w:rsidP="00317A89">
      <w:pPr>
        <w:jc w:val="both"/>
      </w:pPr>
      <w:r>
        <w:rPr>
          <w:b/>
          <w:bCs/>
        </w:rPr>
        <w:t>NMSC</w:t>
      </w:r>
      <w:r>
        <w:rPr>
          <w:b/>
          <w:bCs/>
        </w:rPr>
        <w:tab/>
      </w:r>
      <w:r>
        <w:rPr>
          <w:b/>
          <w:bCs/>
        </w:rPr>
        <w:tab/>
      </w:r>
      <w:r>
        <w:t>Non-melanoma skin cancer</w:t>
      </w:r>
    </w:p>
    <w:p w14:paraId="3DED01C8" w14:textId="0FEE2870" w:rsidR="007E4F6D" w:rsidRDefault="007E4F6D" w:rsidP="00317A89">
      <w:pPr>
        <w:jc w:val="both"/>
      </w:pPr>
      <w:r>
        <w:rPr>
          <w:b/>
          <w:bCs/>
        </w:rPr>
        <w:t>ONS</w:t>
      </w:r>
      <w:r>
        <w:rPr>
          <w:b/>
          <w:bCs/>
        </w:rPr>
        <w:tab/>
      </w:r>
      <w:r>
        <w:rPr>
          <w:b/>
          <w:bCs/>
        </w:rPr>
        <w:tab/>
      </w:r>
      <w:r>
        <w:t>Office for National Statistics</w:t>
      </w:r>
    </w:p>
    <w:p w14:paraId="3E91FDCB" w14:textId="6865916D" w:rsidR="004C5F48" w:rsidRPr="004C5F48" w:rsidRDefault="004C5F48" w:rsidP="00317A89">
      <w:pPr>
        <w:jc w:val="both"/>
      </w:pPr>
      <w:r>
        <w:rPr>
          <w:b/>
          <w:bCs/>
        </w:rPr>
        <w:t>PHS</w:t>
      </w:r>
      <w:r>
        <w:rPr>
          <w:b/>
          <w:bCs/>
        </w:rPr>
        <w:tab/>
      </w:r>
      <w:r>
        <w:rPr>
          <w:b/>
          <w:bCs/>
        </w:rPr>
        <w:tab/>
      </w:r>
      <w:r>
        <w:t>Public Health Scotland</w:t>
      </w:r>
    </w:p>
    <w:p w14:paraId="02BD1ACF" w14:textId="222FA0F1" w:rsidR="007E4F6D" w:rsidRDefault="007E4F6D" w:rsidP="00317A89">
      <w:pPr>
        <w:jc w:val="both"/>
      </w:pPr>
      <w:r>
        <w:rPr>
          <w:b/>
          <w:bCs/>
        </w:rPr>
        <w:t>PHW</w:t>
      </w:r>
      <w:r>
        <w:rPr>
          <w:b/>
          <w:bCs/>
        </w:rPr>
        <w:tab/>
      </w:r>
      <w:r>
        <w:rPr>
          <w:b/>
          <w:bCs/>
        </w:rPr>
        <w:tab/>
      </w:r>
      <w:r>
        <w:t>Public Health Wales</w:t>
      </w:r>
    </w:p>
    <w:p w14:paraId="70A8118A" w14:textId="1337EA87" w:rsidR="00A12425" w:rsidRPr="00A12425" w:rsidRDefault="00A12425" w:rsidP="00317A89">
      <w:pPr>
        <w:jc w:val="both"/>
      </w:pPr>
      <w:r>
        <w:rPr>
          <w:b/>
          <w:bCs/>
        </w:rPr>
        <w:t>UHB</w:t>
      </w:r>
      <w:r>
        <w:rPr>
          <w:b/>
          <w:bCs/>
        </w:rPr>
        <w:tab/>
      </w:r>
      <w:r>
        <w:rPr>
          <w:b/>
          <w:bCs/>
        </w:rPr>
        <w:tab/>
      </w:r>
      <w:r>
        <w:t xml:space="preserve">University Health </w:t>
      </w:r>
      <w:r w:rsidRPr="00A12425">
        <w:t>B</w:t>
      </w:r>
      <w:r>
        <w:t>oard</w:t>
      </w:r>
    </w:p>
    <w:p w14:paraId="3BAF0AE7" w14:textId="1614925C" w:rsidR="007E4F6D" w:rsidRDefault="007E4F6D" w:rsidP="00317A89">
      <w:pPr>
        <w:jc w:val="both"/>
      </w:pPr>
      <w:r>
        <w:rPr>
          <w:b/>
          <w:bCs/>
        </w:rPr>
        <w:t>UKIACR</w:t>
      </w:r>
      <w:r>
        <w:rPr>
          <w:b/>
          <w:bCs/>
        </w:rPr>
        <w:tab/>
      </w:r>
      <w:r>
        <w:rPr>
          <w:b/>
          <w:bCs/>
        </w:rPr>
        <w:tab/>
      </w:r>
      <w:r w:rsidR="008C41B1">
        <w:t>United Kingdom and Ireland Association of Cancer</w:t>
      </w:r>
    </w:p>
    <w:p w14:paraId="2E3F9343" w14:textId="73194689" w:rsidR="008C41B1" w:rsidRDefault="008C41B1" w:rsidP="00317A89">
      <w:pPr>
        <w:jc w:val="both"/>
      </w:pPr>
      <w:r>
        <w:rPr>
          <w:b/>
          <w:bCs/>
        </w:rPr>
        <w:t>WCISU</w:t>
      </w:r>
      <w:r>
        <w:rPr>
          <w:b/>
          <w:bCs/>
        </w:rPr>
        <w:tab/>
      </w:r>
      <w:r>
        <w:rPr>
          <w:b/>
          <w:bCs/>
        </w:rPr>
        <w:tab/>
      </w:r>
      <w:r>
        <w:t>Welsh Cancer Intelligence and Surveillance Unit</w:t>
      </w:r>
    </w:p>
    <w:p w14:paraId="2BB3F96C" w14:textId="1C60397E" w:rsidR="008C41B1" w:rsidRDefault="008C41B1" w:rsidP="00317A89">
      <w:pPr>
        <w:jc w:val="both"/>
      </w:pPr>
      <w:r>
        <w:rPr>
          <w:b/>
          <w:bCs/>
        </w:rPr>
        <w:t>WIMD</w:t>
      </w:r>
      <w:r>
        <w:rPr>
          <w:b/>
          <w:bCs/>
        </w:rPr>
        <w:tab/>
      </w:r>
      <w:r>
        <w:rPr>
          <w:b/>
          <w:bCs/>
        </w:rPr>
        <w:tab/>
      </w:r>
      <w:r>
        <w:t>Welsh index of multiple deprivation</w:t>
      </w:r>
    </w:p>
    <w:p w14:paraId="22D0BEC8" w14:textId="00E7F6B8" w:rsidR="008C41B1" w:rsidRPr="008C41B1" w:rsidRDefault="008C41B1" w:rsidP="00317A89">
      <w:pPr>
        <w:jc w:val="both"/>
      </w:pPr>
      <w:r>
        <w:rPr>
          <w:b/>
          <w:bCs/>
        </w:rPr>
        <w:t>WHO</w:t>
      </w:r>
      <w:r>
        <w:rPr>
          <w:b/>
          <w:bCs/>
        </w:rPr>
        <w:tab/>
      </w:r>
      <w:r>
        <w:rPr>
          <w:b/>
          <w:bCs/>
        </w:rPr>
        <w:tab/>
      </w:r>
      <w:r>
        <w:t>World Health Organisation</w:t>
      </w:r>
    </w:p>
    <w:p w14:paraId="405CA4FE" w14:textId="77777777" w:rsidR="008C41B1" w:rsidRPr="007E4F6D" w:rsidRDefault="008C41B1" w:rsidP="00317A89">
      <w:pPr>
        <w:jc w:val="both"/>
      </w:pPr>
    </w:p>
    <w:p w14:paraId="6723F531" w14:textId="77777777" w:rsidR="007E4F6D" w:rsidRPr="007E4F6D" w:rsidRDefault="007E4F6D" w:rsidP="00317A89">
      <w:pPr>
        <w:jc w:val="both"/>
      </w:pPr>
    </w:p>
    <w:p w14:paraId="761967FA" w14:textId="7BC18474" w:rsidR="007102E8" w:rsidRDefault="002E3EF3" w:rsidP="00F96F12">
      <w:pPr>
        <w:pStyle w:val="Heading1"/>
      </w:pPr>
      <w:bookmarkStart w:id="51" w:name="_Appendix_A_-"/>
      <w:bookmarkStart w:id="52" w:name="_Toc143505453"/>
      <w:bookmarkEnd w:id="51"/>
      <w:r>
        <w:lastRenderedPageBreak/>
        <w:t xml:space="preserve">10 </w:t>
      </w:r>
      <w:r w:rsidR="00034BFB" w:rsidRPr="00CE310E">
        <w:t>Appendix A</w:t>
      </w:r>
      <w:bookmarkEnd w:id="52"/>
    </w:p>
    <w:p w14:paraId="79ECCF68" w14:textId="27126830" w:rsidR="002E3EF3" w:rsidRPr="002E3EF3" w:rsidRDefault="002E3EF3" w:rsidP="00031D1B">
      <w:pPr>
        <w:pStyle w:val="Heading2"/>
      </w:pPr>
      <w:bookmarkStart w:id="53" w:name="_Toc143505454"/>
      <w:r w:rsidRPr="002E3EF3">
        <w:t>10.1 Cancer type map</w:t>
      </w:r>
      <w:bookmarkEnd w:id="53"/>
    </w:p>
    <w:p w14:paraId="468C20C9" w14:textId="622A27B7" w:rsidR="002E3EF3" w:rsidRPr="002E3EF3" w:rsidRDefault="00097A32" w:rsidP="005465DF">
      <w:pPr>
        <w:jc w:val="center"/>
      </w:pPr>
      <w:r w:rsidRPr="00097A32">
        <w:rPr>
          <w:noProof/>
        </w:rPr>
        <w:drawing>
          <wp:inline distT="0" distB="0" distL="0" distR="0" wp14:anchorId="01DA536F" wp14:editId="46FBCE1F">
            <wp:extent cx="5604697" cy="7998460"/>
            <wp:effectExtent l="0" t="0" r="0" b="254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05480" cy="7999577"/>
                    </a:xfrm>
                    <a:prstGeom prst="rect">
                      <a:avLst/>
                    </a:prstGeom>
                    <a:noFill/>
                    <a:ln>
                      <a:noFill/>
                    </a:ln>
                  </pic:spPr>
                </pic:pic>
              </a:graphicData>
            </a:graphic>
          </wp:inline>
        </w:drawing>
      </w:r>
    </w:p>
    <w:p w14:paraId="6F715E36" w14:textId="2D48C2BE" w:rsidR="00FE0598" w:rsidRPr="00DC72BC" w:rsidRDefault="002E3EF3" w:rsidP="00DC72BC">
      <w:pPr>
        <w:pStyle w:val="Heading1"/>
        <w:rPr>
          <w:color w:val="4472C4" w:themeColor="accent1"/>
        </w:rPr>
      </w:pPr>
      <w:bookmarkStart w:id="54" w:name="_11_Appendix_B"/>
      <w:bookmarkStart w:id="55" w:name="_Toc143505455"/>
      <w:bookmarkEnd w:id="54"/>
      <w:r>
        <w:lastRenderedPageBreak/>
        <w:t xml:space="preserve">11 </w:t>
      </w:r>
      <w:r w:rsidR="00FE0598" w:rsidRPr="00FE0598">
        <w:t>Appendix B</w:t>
      </w:r>
      <w:bookmarkEnd w:id="55"/>
    </w:p>
    <w:p w14:paraId="39EB763A" w14:textId="20025A4C" w:rsidR="002E3EF3" w:rsidRDefault="002E3EF3" w:rsidP="00031D1B">
      <w:pPr>
        <w:pStyle w:val="Heading2"/>
      </w:pPr>
      <w:bookmarkStart w:id="56" w:name="_11.1_International_Classification"/>
      <w:bookmarkStart w:id="57" w:name="_Toc143505456"/>
      <w:bookmarkEnd w:id="56"/>
      <w:r w:rsidRPr="002E3EF3">
        <w:t>11.1 International Classification of Standard Weights (ICSS)</w:t>
      </w:r>
      <w:bookmarkEnd w:id="57"/>
    </w:p>
    <w:p w14:paraId="379217C3" w14:textId="77777777" w:rsidR="002E3EF3" w:rsidRPr="002E3EF3" w:rsidRDefault="002E3EF3" w:rsidP="002E3EF3"/>
    <w:p w14:paraId="71C3BAB0" w14:textId="7AA66F19" w:rsidR="002E3EF3" w:rsidRDefault="002E3EF3" w:rsidP="002E3EF3">
      <w:pPr>
        <w:jc w:val="center"/>
      </w:pPr>
      <w:r>
        <w:rPr>
          <w:noProof/>
          <w:lang w:eastAsia="en-GB"/>
        </w:rPr>
        <w:drawing>
          <wp:inline distT="0" distB="0" distL="0" distR="0" wp14:anchorId="408A4A15" wp14:editId="6108DE69">
            <wp:extent cx="3895725" cy="1310640"/>
            <wp:effectExtent l="0" t="0" r="9525"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895725" cy="1310640"/>
                    </a:xfrm>
                    <a:prstGeom prst="rect">
                      <a:avLst/>
                    </a:prstGeom>
                    <a:noFill/>
                  </pic:spPr>
                </pic:pic>
              </a:graphicData>
            </a:graphic>
          </wp:inline>
        </w:drawing>
      </w:r>
    </w:p>
    <w:p w14:paraId="423EE468" w14:textId="5209629D" w:rsidR="002E3EF3" w:rsidRPr="007C23B4" w:rsidRDefault="002E3EF3" w:rsidP="007C23B4">
      <w:pPr>
        <w:rPr>
          <w:b/>
          <w:bCs/>
        </w:rPr>
      </w:pPr>
      <w:r w:rsidRPr="007C23B4">
        <w:rPr>
          <w:b/>
          <w:bCs/>
          <w:sz w:val="28"/>
          <w:szCs w:val="28"/>
        </w:rPr>
        <w:t>ICSS1</w:t>
      </w:r>
      <w:r w:rsidRPr="007C23B4">
        <w:rPr>
          <w:b/>
          <w:bCs/>
        </w:rPr>
        <w:t xml:space="preserve"> </w:t>
      </w:r>
    </w:p>
    <w:p w14:paraId="01CD3311" w14:textId="2AD7F054" w:rsidR="002E3EF3" w:rsidRPr="00DE6D8C" w:rsidRDefault="002E3EF3" w:rsidP="002E3EF3">
      <w:pPr>
        <w:spacing w:after="120"/>
        <w:jc w:val="both"/>
        <w:rPr>
          <w:rFonts w:cstheme="minorHAnsi"/>
          <w:iCs/>
        </w:rPr>
      </w:pPr>
      <w:r w:rsidRPr="00DE6D8C">
        <w:rPr>
          <w:rFonts w:cstheme="minorHAnsi"/>
          <w:iCs/>
        </w:rPr>
        <w:t xml:space="preserve">Lip, tongue, salivary glands, oral cavity, oropharynx, hypopharynx, head &amp; neck, oesophagus, stomach, small intestine, colon, rectum, liver, biliary tract, pancreas, nasal cavities, larynx, lung, pleura, breast, corpus uteri, ovary, vagina &amp; vulva, penis, bladder, kidney, choroid melanoma, non-Hodgkin lymphomas, multiple myeloma, chronic lymphatic leukaemia, acute myeloid leukaemia, chronic myeloid leukaemia, leukaemia, all cancers                                        </w:t>
      </w:r>
    </w:p>
    <w:p w14:paraId="382CB904" w14:textId="4D19024B" w:rsidR="002E3EF3" w:rsidRPr="007C23B4" w:rsidRDefault="002E3EF3" w:rsidP="007C23B4">
      <w:pPr>
        <w:rPr>
          <w:b/>
          <w:bCs/>
          <w:sz w:val="28"/>
          <w:szCs w:val="28"/>
        </w:rPr>
      </w:pPr>
      <w:r w:rsidRPr="007C23B4">
        <w:rPr>
          <w:b/>
          <w:bCs/>
          <w:sz w:val="28"/>
          <w:szCs w:val="28"/>
        </w:rPr>
        <w:t xml:space="preserve">ICSS2 </w:t>
      </w:r>
    </w:p>
    <w:p w14:paraId="26C29DE2" w14:textId="55E3C69C" w:rsidR="002E3EF3" w:rsidRPr="00DE6D8C" w:rsidRDefault="002E3EF3" w:rsidP="002E3EF3">
      <w:pPr>
        <w:spacing w:after="120"/>
        <w:jc w:val="both"/>
        <w:rPr>
          <w:rFonts w:cstheme="minorHAnsi"/>
          <w:iCs/>
        </w:rPr>
      </w:pPr>
      <w:r w:rsidRPr="00DE6D8C">
        <w:rPr>
          <w:rFonts w:cstheme="minorHAnsi"/>
          <w:iCs/>
        </w:rPr>
        <w:t xml:space="preserve">Nasopharynx, soft tissues, melanoma, cervix uteri, brain, thyroid gland, bone*                                            </w:t>
      </w:r>
    </w:p>
    <w:p w14:paraId="132F9FE6" w14:textId="5379C83E" w:rsidR="002E3EF3" w:rsidRPr="007C23B4" w:rsidRDefault="002E3EF3" w:rsidP="007C23B4">
      <w:pPr>
        <w:rPr>
          <w:b/>
          <w:bCs/>
          <w:sz w:val="28"/>
          <w:szCs w:val="28"/>
        </w:rPr>
      </w:pPr>
      <w:r w:rsidRPr="007C23B4">
        <w:rPr>
          <w:b/>
          <w:bCs/>
          <w:sz w:val="28"/>
          <w:szCs w:val="28"/>
        </w:rPr>
        <w:t xml:space="preserve">ICSS3 </w:t>
      </w:r>
    </w:p>
    <w:p w14:paraId="25160842" w14:textId="3B694E18" w:rsidR="002E3EF3" w:rsidRPr="00DE6D8C" w:rsidRDefault="002E3EF3" w:rsidP="002E3EF3">
      <w:pPr>
        <w:spacing w:after="120"/>
        <w:jc w:val="both"/>
        <w:rPr>
          <w:rFonts w:cstheme="minorHAnsi"/>
          <w:iCs/>
        </w:rPr>
      </w:pPr>
      <w:r w:rsidRPr="00DE6D8C">
        <w:rPr>
          <w:rFonts w:cstheme="minorHAnsi"/>
          <w:iCs/>
        </w:rPr>
        <w:t xml:space="preserve">Testis, Hodgkin lymphoma, acute lymphatic leukaemia                                           </w:t>
      </w:r>
    </w:p>
    <w:p w14:paraId="59478D50" w14:textId="4478194C" w:rsidR="002E3EF3" w:rsidRPr="00DE6D8C" w:rsidRDefault="002E3EF3" w:rsidP="002E3EF3">
      <w:pPr>
        <w:spacing w:after="120"/>
        <w:jc w:val="both"/>
        <w:rPr>
          <w:rFonts w:cstheme="minorHAnsi"/>
          <w:iCs/>
        </w:rPr>
      </w:pPr>
      <w:r w:rsidRPr="00DE6D8C">
        <w:rPr>
          <w:rFonts w:cstheme="minorHAnsi"/>
          <w:iCs/>
        </w:rPr>
        <w:t xml:space="preserve">* For bone cancers, </w:t>
      </w:r>
      <w:proofErr w:type="spellStart"/>
      <w:r w:rsidRPr="00DE6D8C">
        <w:rPr>
          <w:rFonts w:cstheme="minorHAnsi"/>
          <w:iCs/>
        </w:rPr>
        <w:t>Corazziari</w:t>
      </w:r>
      <w:proofErr w:type="spellEnd"/>
      <w:r w:rsidRPr="00DE6D8C">
        <w:rPr>
          <w:rFonts w:cstheme="minorHAnsi"/>
          <w:iCs/>
        </w:rPr>
        <w:t xml:space="preserve"> et al. (2004) recommend using ages 20+ for survival and so ICSS2 with lower age band 20-44 has been used.</w:t>
      </w:r>
    </w:p>
    <w:p w14:paraId="4E6F4E40" w14:textId="77777777" w:rsidR="002E3EF3" w:rsidRPr="00DE6D8C" w:rsidRDefault="002E3EF3" w:rsidP="002E3EF3">
      <w:pPr>
        <w:spacing w:after="120"/>
        <w:jc w:val="both"/>
        <w:rPr>
          <w:rFonts w:cstheme="minorHAnsi"/>
          <w:iCs/>
        </w:rPr>
      </w:pPr>
    </w:p>
    <w:p w14:paraId="29051EE4" w14:textId="0C47AA67" w:rsidR="002E3EF3" w:rsidRPr="00DE6D8C" w:rsidRDefault="002E3EF3" w:rsidP="002E3EF3">
      <w:pPr>
        <w:spacing w:after="120"/>
        <w:jc w:val="both"/>
        <w:rPr>
          <w:rFonts w:cstheme="minorHAnsi"/>
          <w:iCs/>
        </w:rPr>
      </w:pPr>
      <w:r w:rsidRPr="00DE6D8C">
        <w:rPr>
          <w:rFonts w:cstheme="minorHAnsi"/>
          <w:i/>
        </w:rPr>
        <w:t>Note:</w:t>
      </w:r>
      <w:r w:rsidRPr="00DE6D8C">
        <w:rPr>
          <w:rFonts w:cstheme="minorHAnsi"/>
          <w:iCs/>
        </w:rPr>
        <w:t xml:space="preserve"> On some occasions the age standardised survival rate for some cancer types and diagnosis periods will be slightly higher or lower for persons compared with men and women individually.  This is due to the survival rates by age band and the ICSS weights used to calculate the age standardised rates.  It should be noted that the age standardised survival rate for persons will be a better survival estimate compared to men and women individually due to the smaller 95% confidence interval.</w:t>
      </w:r>
    </w:p>
    <w:p w14:paraId="3460F8FA" w14:textId="073C5435" w:rsidR="002E3EF3" w:rsidRDefault="002E3EF3" w:rsidP="002E3EF3">
      <w:pPr>
        <w:spacing w:after="120"/>
        <w:jc w:val="both"/>
        <w:rPr>
          <w:rFonts w:ascii="Verdana" w:hAnsi="Verdana"/>
          <w:iCs/>
          <w:sz w:val="20"/>
          <w:szCs w:val="20"/>
        </w:rPr>
      </w:pPr>
    </w:p>
    <w:p w14:paraId="30773060" w14:textId="67879269" w:rsidR="002E3EF3" w:rsidRPr="002E3EF3" w:rsidRDefault="002E3EF3" w:rsidP="002E3EF3">
      <w:pPr>
        <w:spacing w:after="120"/>
        <w:jc w:val="both"/>
        <w:rPr>
          <w:rFonts w:ascii="Verdana" w:hAnsi="Verdana"/>
          <w:iCs/>
          <w:sz w:val="20"/>
          <w:szCs w:val="20"/>
        </w:rPr>
      </w:pPr>
      <w:proofErr w:type="spellStart"/>
      <w:r w:rsidRPr="003A7E3F">
        <w:rPr>
          <w:rFonts w:ascii="Verdana" w:hAnsi="Verdana"/>
          <w:sz w:val="16"/>
          <w:szCs w:val="16"/>
        </w:rPr>
        <w:t>Corazziari</w:t>
      </w:r>
      <w:proofErr w:type="spellEnd"/>
      <w:r w:rsidRPr="003A7E3F">
        <w:rPr>
          <w:rFonts w:ascii="Verdana" w:hAnsi="Verdana"/>
          <w:sz w:val="16"/>
          <w:szCs w:val="16"/>
        </w:rPr>
        <w:t xml:space="preserve"> I, Quinn M, </w:t>
      </w:r>
      <w:proofErr w:type="spellStart"/>
      <w:r w:rsidRPr="003A7E3F">
        <w:rPr>
          <w:rFonts w:ascii="Verdana" w:hAnsi="Verdana"/>
          <w:sz w:val="16"/>
          <w:szCs w:val="16"/>
        </w:rPr>
        <w:t>Capocaccia</w:t>
      </w:r>
      <w:proofErr w:type="spellEnd"/>
      <w:r w:rsidRPr="003A7E3F">
        <w:rPr>
          <w:rFonts w:ascii="Verdana" w:hAnsi="Verdana"/>
          <w:sz w:val="16"/>
          <w:szCs w:val="16"/>
        </w:rPr>
        <w:t xml:space="preserve"> R, 2004. Standard cancer patient population for age standardising survival ratio. European Journal of Cancer 40: 2307-2316</w:t>
      </w:r>
    </w:p>
    <w:p w14:paraId="5E011B6D" w14:textId="57680B81" w:rsidR="002E3EF3" w:rsidRDefault="002E3EF3" w:rsidP="002E3EF3">
      <w:pPr>
        <w:rPr>
          <w:b/>
          <w:bCs/>
        </w:rPr>
      </w:pPr>
    </w:p>
    <w:p w14:paraId="4D8E326C" w14:textId="63313BEA" w:rsidR="00DE6D8C" w:rsidRDefault="00DE6D8C" w:rsidP="002E3EF3">
      <w:pPr>
        <w:rPr>
          <w:b/>
          <w:bCs/>
        </w:rPr>
      </w:pPr>
    </w:p>
    <w:p w14:paraId="37E00AF9" w14:textId="2911CBA0" w:rsidR="00DE6D8C" w:rsidRDefault="00DE6D8C" w:rsidP="002E3EF3">
      <w:pPr>
        <w:rPr>
          <w:b/>
          <w:bCs/>
        </w:rPr>
      </w:pPr>
    </w:p>
    <w:p w14:paraId="06AA029F" w14:textId="77777777" w:rsidR="00F271CC" w:rsidRDefault="00F271CC" w:rsidP="00F96F12">
      <w:pPr>
        <w:pStyle w:val="Heading1"/>
      </w:pPr>
      <w:bookmarkStart w:id="58" w:name="_11.2_ICSS_combined"/>
      <w:bookmarkStart w:id="59" w:name="_12_Appendix_C"/>
      <w:bookmarkStart w:id="60" w:name="_Hlk143255415"/>
      <w:bookmarkStart w:id="61" w:name="_Toc143505457"/>
      <w:bookmarkEnd w:id="58"/>
      <w:bookmarkEnd w:id="59"/>
      <w:r>
        <w:lastRenderedPageBreak/>
        <w:t>12 Appendix C</w:t>
      </w:r>
      <w:bookmarkEnd w:id="61"/>
    </w:p>
    <w:p w14:paraId="1DA2F222" w14:textId="5FA9DC9A" w:rsidR="00F271CC" w:rsidRDefault="00F271CC" w:rsidP="00031D1B">
      <w:pPr>
        <w:pStyle w:val="Heading2"/>
      </w:pPr>
      <w:bookmarkStart w:id="62" w:name="_Toc143505458"/>
      <w:r>
        <w:t xml:space="preserve">12.1 List of cancer groups used for de-duplication of pathology </w:t>
      </w:r>
      <w:proofErr w:type="gramStart"/>
      <w:r>
        <w:t>data</w:t>
      </w:r>
      <w:bookmarkEnd w:id="62"/>
      <w:proofErr w:type="gramEnd"/>
    </w:p>
    <w:p w14:paraId="1280F1FD" w14:textId="77777777" w:rsidR="00C50BA2" w:rsidRPr="00C50BA2" w:rsidRDefault="00C50BA2" w:rsidP="00C50BA2"/>
    <w:bookmarkEnd w:id="60"/>
    <w:p w14:paraId="697C2C7F" w14:textId="63BB2613" w:rsidR="00C50BA2" w:rsidRDefault="00C50BA2" w:rsidP="00C50BA2">
      <w:r>
        <w:rPr>
          <w:noProof/>
          <w:lang w:eastAsia="en-GB"/>
        </w:rPr>
        <w:drawing>
          <wp:inline distT="0" distB="0" distL="0" distR="0" wp14:anchorId="1DB084DE" wp14:editId="13724E0C">
            <wp:extent cx="5731510" cy="5524500"/>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31510" cy="5524500"/>
                    </a:xfrm>
                    <a:prstGeom prst="rect">
                      <a:avLst/>
                    </a:prstGeom>
                  </pic:spPr>
                </pic:pic>
              </a:graphicData>
            </a:graphic>
          </wp:inline>
        </w:drawing>
      </w:r>
    </w:p>
    <w:p w14:paraId="075ACCA3" w14:textId="41694B01" w:rsidR="00C50BA2" w:rsidRDefault="00C50BA2" w:rsidP="00C50BA2"/>
    <w:p w14:paraId="7F6F2B45" w14:textId="66DBE1F6" w:rsidR="00C50BA2" w:rsidRDefault="00C50BA2" w:rsidP="00C50BA2"/>
    <w:p w14:paraId="1C7889CA" w14:textId="574AC1AE" w:rsidR="00C50BA2" w:rsidRDefault="00C50BA2" w:rsidP="00C50BA2"/>
    <w:p w14:paraId="69F50BFF" w14:textId="78DA2307" w:rsidR="00C50BA2" w:rsidRDefault="00C50BA2" w:rsidP="00C50BA2"/>
    <w:p w14:paraId="637ECB3C" w14:textId="1247BB34" w:rsidR="00C50BA2" w:rsidRDefault="00C50BA2" w:rsidP="00C50BA2"/>
    <w:p w14:paraId="2941D078" w14:textId="2006DD45" w:rsidR="00440492" w:rsidRDefault="00440492" w:rsidP="00F96F12">
      <w:pPr>
        <w:pStyle w:val="Heading1"/>
      </w:pPr>
      <w:bookmarkStart w:id="63" w:name="_13_Appendix_D"/>
      <w:bookmarkStart w:id="64" w:name="_Hlk143255377"/>
      <w:bookmarkStart w:id="65" w:name="_Toc143505459"/>
      <w:bookmarkEnd w:id="63"/>
      <w:r>
        <w:lastRenderedPageBreak/>
        <w:t>13 Appendix D</w:t>
      </w:r>
      <w:bookmarkEnd w:id="65"/>
    </w:p>
    <w:p w14:paraId="3DCE3567" w14:textId="4B9C9CB0" w:rsidR="00440492" w:rsidRDefault="00440492" w:rsidP="00031D1B">
      <w:pPr>
        <w:pStyle w:val="Heading2"/>
      </w:pPr>
      <w:bookmarkStart w:id="66" w:name="_Toc143505460"/>
      <w:r>
        <w:t>13.1 Monthly pathology samples vs cancer registration data</w:t>
      </w:r>
      <w:bookmarkEnd w:id="66"/>
    </w:p>
    <w:p w14:paraId="5233F43D" w14:textId="323E9B2B" w:rsidR="00972BFD" w:rsidRDefault="00972BFD" w:rsidP="00972BFD"/>
    <w:p w14:paraId="62DD40D7" w14:textId="127572B5" w:rsidR="00FF1DF4" w:rsidRDefault="00031D1B" w:rsidP="00FF1DF4">
      <w:pPr>
        <w:jc w:val="center"/>
      </w:pPr>
      <w:r>
        <w:rPr>
          <w:noProof/>
        </w:rPr>
        <w:drawing>
          <wp:inline distT="0" distB="0" distL="0" distR="0" wp14:anchorId="08B47252" wp14:editId="229E4BE3">
            <wp:extent cx="5957570" cy="2886842"/>
            <wp:effectExtent l="0" t="0" r="5080" b="889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72499" cy="2894076"/>
                    </a:xfrm>
                    <a:prstGeom prst="rect">
                      <a:avLst/>
                    </a:prstGeom>
                    <a:noFill/>
                  </pic:spPr>
                </pic:pic>
              </a:graphicData>
            </a:graphic>
          </wp:inline>
        </w:drawing>
      </w:r>
    </w:p>
    <w:p w14:paraId="74845E1F" w14:textId="77777777" w:rsidR="00FF1DF4" w:rsidRDefault="00FF1DF4" w:rsidP="00FF1DF4">
      <w:pPr>
        <w:jc w:val="center"/>
      </w:pPr>
    </w:p>
    <w:p w14:paraId="0665A6E9" w14:textId="2EBF5E25" w:rsidR="00FF1DF4" w:rsidRPr="00972BFD" w:rsidRDefault="00031D1B" w:rsidP="00FF1DF4">
      <w:pPr>
        <w:jc w:val="center"/>
      </w:pPr>
      <w:r>
        <w:rPr>
          <w:noProof/>
        </w:rPr>
        <w:drawing>
          <wp:inline distT="0" distB="0" distL="0" distR="0" wp14:anchorId="043F5989" wp14:editId="5E01661B">
            <wp:extent cx="5975559" cy="2873375"/>
            <wp:effectExtent l="0" t="0" r="6350" b="31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86587" cy="2878678"/>
                    </a:xfrm>
                    <a:prstGeom prst="rect">
                      <a:avLst/>
                    </a:prstGeom>
                    <a:noFill/>
                  </pic:spPr>
                </pic:pic>
              </a:graphicData>
            </a:graphic>
          </wp:inline>
        </w:drawing>
      </w:r>
    </w:p>
    <w:p w14:paraId="5C1EB7EC" w14:textId="54C0D00D" w:rsidR="00440492" w:rsidRDefault="00440492" w:rsidP="00440492">
      <w:pPr>
        <w:jc w:val="center"/>
      </w:pPr>
    </w:p>
    <w:p w14:paraId="3E243E91" w14:textId="76B71583" w:rsidR="00440492" w:rsidRDefault="00440492" w:rsidP="00440492">
      <w:pPr>
        <w:jc w:val="center"/>
      </w:pPr>
    </w:p>
    <w:p w14:paraId="68C13E85" w14:textId="3BA42FCE" w:rsidR="00031D1B" w:rsidRDefault="00031D1B" w:rsidP="00440492">
      <w:pPr>
        <w:jc w:val="center"/>
      </w:pPr>
    </w:p>
    <w:p w14:paraId="24CABF04" w14:textId="110EB361" w:rsidR="00031D1B" w:rsidRDefault="00031D1B" w:rsidP="00440492">
      <w:pPr>
        <w:jc w:val="center"/>
      </w:pPr>
    </w:p>
    <w:p w14:paraId="7C04492E" w14:textId="77777777" w:rsidR="00031D1B" w:rsidRDefault="00031D1B" w:rsidP="00440492">
      <w:pPr>
        <w:jc w:val="center"/>
      </w:pPr>
    </w:p>
    <w:p w14:paraId="64E20D81" w14:textId="3325E945" w:rsidR="00FF1DF4" w:rsidRDefault="00031D1B" w:rsidP="00440492">
      <w:pPr>
        <w:jc w:val="center"/>
      </w:pPr>
      <w:r>
        <w:rPr>
          <w:noProof/>
        </w:rPr>
        <w:drawing>
          <wp:inline distT="0" distB="0" distL="0" distR="0" wp14:anchorId="6BC444D8" wp14:editId="38C4DD7A">
            <wp:extent cx="6013098" cy="2914650"/>
            <wp:effectExtent l="0" t="0" r="698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041143" cy="2928244"/>
                    </a:xfrm>
                    <a:prstGeom prst="rect">
                      <a:avLst/>
                    </a:prstGeom>
                    <a:noFill/>
                  </pic:spPr>
                </pic:pic>
              </a:graphicData>
            </a:graphic>
          </wp:inline>
        </w:drawing>
      </w:r>
    </w:p>
    <w:p w14:paraId="0B81F662" w14:textId="48EEFF0C" w:rsidR="00FF1DF4" w:rsidRDefault="00FF1DF4" w:rsidP="00440492">
      <w:pPr>
        <w:jc w:val="center"/>
      </w:pPr>
    </w:p>
    <w:p w14:paraId="13BB3DD0" w14:textId="213D94F9" w:rsidR="00031D1B" w:rsidRDefault="00031D1B" w:rsidP="00440492">
      <w:pPr>
        <w:jc w:val="center"/>
      </w:pPr>
      <w:r>
        <w:rPr>
          <w:noProof/>
        </w:rPr>
        <w:drawing>
          <wp:inline distT="0" distB="0" distL="0" distR="0" wp14:anchorId="62727370" wp14:editId="41E0BD71">
            <wp:extent cx="6002020" cy="2713691"/>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14399" cy="2719288"/>
                    </a:xfrm>
                    <a:prstGeom prst="rect">
                      <a:avLst/>
                    </a:prstGeom>
                    <a:noFill/>
                  </pic:spPr>
                </pic:pic>
              </a:graphicData>
            </a:graphic>
          </wp:inline>
        </w:drawing>
      </w:r>
    </w:p>
    <w:p w14:paraId="2374DD9A" w14:textId="65D078DB" w:rsidR="00FF1DF4" w:rsidRDefault="00FF1DF4" w:rsidP="00FF1DF4">
      <w:pPr>
        <w:jc w:val="center"/>
      </w:pPr>
    </w:p>
    <w:p w14:paraId="09B95D7A" w14:textId="2743C4B9" w:rsidR="00031D1B" w:rsidRDefault="00031D1B" w:rsidP="00FF1DF4">
      <w:pPr>
        <w:jc w:val="center"/>
      </w:pPr>
    </w:p>
    <w:p w14:paraId="6DDEB7E8" w14:textId="14424328" w:rsidR="00031D1B" w:rsidRDefault="00031D1B" w:rsidP="00FF1DF4">
      <w:pPr>
        <w:jc w:val="center"/>
      </w:pPr>
    </w:p>
    <w:p w14:paraId="4D172362" w14:textId="0BB535E1" w:rsidR="00031D1B" w:rsidRDefault="00031D1B" w:rsidP="00FF1DF4">
      <w:pPr>
        <w:jc w:val="center"/>
      </w:pPr>
    </w:p>
    <w:p w14:paraId="41E0B2F5" w14:textId="643E4003" w:rsidR="00031D1B" w:rsidRDefault="00031D1B" w:rsidP="00FF1DF4">
      <w:pPr>
        <w:jc w:val="center"/>
      </w:pPr>
    </w:p>
    <w:p w14:paraId="432A9938" w14:textId="5444C2EC" w:rsidR="00031D1B" w:rsidRDefault="00031D1B" w:rsidP="00FF1DF4">
      <w:pPr>
        <w:jc w:val="center"/>
      </w:pPr>
    </w:p>
    <w:p w14:paraId="6CF6BFCF" w14:textId="51294D80" w:rsidR="00031D1B" w:rsidRDefault="00031D1B" w:rsidP="00FF1DF4">
      <w:pPr>
        <w:jc w:val="center"/>
      </w:pPr>
    </w:p>
    <w:p w14:paraId="388F1785" w14:textId="648611FF" w:rsidR="00031D1B" w:rsidRDefault="00031D1B" w:rsidP="00FF1DF4">
      <w:pPr>
        <w:jc w:val="center"/>
      </w:pPr>
    </w:p>
    <w:p w14:paraId="066D44D3" w14:textId="77777777" w:rsidR="00031D1B" w:rsidRDefault="00031D1B" w:rsidP="00FF1DF4">
      <w:pPr>
        <w:jc w:val="center"/>
      </w:pPr>
    </w:p>
    <w:p w14:paraId="675C1A56" w14:textId="4AE29F5D" w:rsidR="00FF1DF4" w:rsidRDefault="00031D1B" w:rsidP="00FF1DF4">
      <w:pPr>
        <w:jc w:val="center"/>
      </w:pPr>
      <w:r>
        <w:rPr>
          <w:noProof/>
        </w:rPr>
        <w:drawing>
          <wp:inline distT="0" distB="0" distL="0" distR="0" wp14:anchorId="4280487D" wp14:editId="1E15E496">
            <wp:extent cx="6029325" cy="2769707"/>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045430" cy="2777105"/>
                    </a:xfrm>
                    <a:prstGeom prst="rect">
                      <a:avLst/>
                    </a:prstGeom>
                    <a:noFill/>
                  </pic:spPr>
                </pic:pic>
              </a:graphicData>
            </a:graphic>
          </wp:inline>
        </w:drawing>
      </w:r>
    </w:p>
    <w:p w14:paraId="26C6B605" w14:textId="73716443" w:rsidR="00972BFD" w:rsidRDefault="00972BFD" w:rsidP="00FF1DF4">
      <w:pPr>
        <w:jc w:val="center"/>
      </w:pPr>
    </w:p>
    <w:bookmarkEnd w:id="64"/>
    <w:p w14:paraId="54DCC910" w14:textId="77777777" w:rsidR="00FF1DF4" w:rsidRDefault="00FF1DF4" w:rsidP="00FF1DF4">
      <w:pPr>
        <w:jc w:val="center"/>
      </w:pPr>
    </w:p>
    <w:p w14:paraId="61C85561" w14:textId="60206176" w:rsidR="00972BFD" w:rsidRDefault="00972BFD" w:rsidP="00440492">
      <w:pPr>
        <w:jc w:val="center"/>
      </w:pPr>
    </w:p>
    <w:p w14:paraId="1C9E067E" w14:textId="756BCDE3" w:rsidR="00972BFD" w:rsidRDefault="00972BFD" w:rsidP="00440492">
      <w:pPr>
        <w:jc w:val="center"/>
      </w:pPr>
    </w:p>
    <w:p w14:paraId="43C66D8F" w14:textId="77777777" w:rsidR="00972BFD" w:rsidRDefault="00972BFD" w:rsidP="00440492">
      <w:pPr>
        <w:jc w:val="center"/>
      </w:pPr>
    </w:p>
    <w:p w14:paraId="4DF9131F" w14:textId="28F5F652" w:rsidR="00FF1DF4" w:rsidRDefault="00FF1DF4" w:rsidP="00F96F12">
      <w:pPr>
        <w:pStyle w:val="Heading1"/>
      </w:pPr>
      <w:bookmarkStart w:id="67" w:name="_14_Appendix_E"/>
      <w:bookmarkEnd w:id="67"/>
    </w:p>
    <w:p w14:paraId="7EF76CF2" w14:textId="751B72DA" w:rsidR="00031D1B" w:rsidRDefault="00031D1B" w:rsidP="00031D1B"/>
    <w:p w14:paraId="3912079D" w14:textId="2E255548" w:rsidR="00031D1B" w:rsidRDefault="00031D1B" w:rsidP="00031D1B"/>
    <w:p w14:paraId="69456D04" w14:textId="2738CBB2" w:rsidR="00031D1B" w:rsidRDefault="00031D1B" w:rsidP="00031D1B"/>
    <w:p w14:paraId="48EB45CD" w14:textId="73969FEE" w:rsidR="00031D1B" w:rsidRDefault="00031D1B" w:rsidP="00031D1B"/>
    <w:p w14:paraId="7482517D" w14:textId="73B7AD70" w:rsidR="00031D1B" w:rsidRDefault="00031D1B" w:rsidP="00031D1B"/>
    <w:p w14:paraId="6885A3D6" w14:textId="2A361438" w:rsidR="00031D1B" w:rsidRDefault="00031D1B" w:rsidP="00031D1B"/>
    <w:p w14:paraId="77B265B5" w14:textId="3DDA3135" w:rsidR="00031D1B" w:rsidRDefault="00031D1B" w:rsidP="00031D1B"/>
    <w:p w14:paraId="769EA3C7" w14:textId="0C679372" w:rsidR="00031D1B" w:rsidRDefault="00031D1B" w:rsidP="00031D1B"/>
    <w:p w14:paraId="7C9033A2" w14:textId="383BF531" w:rsidR="00031D1B" w:rsidRDefault="00031D1B" w:rsidP="00031D1B"/>
    <w:p w14:paraId="6F3A3449" w14:textId="77777777" w:rsidR="00031D1B" w:rsidRPr="00031D1B" w:rsidRDefault="00031D1B" w:rsidP="00031D1B"/>
    <w:p w14:paraId="40A5A9F5" w14:textId="351A5343" w:rsidR="00FE0598" w:rsidRDefault="00DE6D8C" w:rsidP="00F96F12">
      <w:pPr>
        <w:pStyle w:val="Heading1"/>
      </w:pPr>
      <w:bookmarkStart w:id="68" w:name="_Toc143505461"/>
      <w:r>
        <w:lastRenderedPageBreak/>
        <w:t>1</w:t>
      </w:r>
      <w:r w:rsidR="00440492">
        <w:t>4</w:t>
      </w:r>
      <w:r>
        <w:t xml:space="preserve"> </w:t>
      </w:r>
      <w:r w:rsidR="00FE0598" w:rsidRPr="00FE0598">
        <w:t xml:space="preserve">Appendix </w:t>
      </w:r>
      <w:r w:rsidR="00440492">
        <w:t>E</w:t>
      </w:r>
      <w:bookmarkEnd w:id="68"/>
    </w:p>
    <w:p w14:paraId="502CB7CE" w14:textId="29567659" w:rsidR="00DE6D8C" w:rsidRDefault="00DE6D8C" w:rsidP="00031D1B">
      <w:pPr>
        <w:pStyle w:val="Heading2"/>
      </w:pPr>
      <w:bookmarkStart w:id="69" w:name="_Toc143505462"/>
      <w:r w:rsidRPr="00DE6D8C">
        <w:t>1</w:t>
      </w:r>
      <w:r w:rsidR="00440492">
        <w:t>4</w:t>
      </w:r>
      <w:r w:rsidRPr="00DE6D8C">
        <w:t>.1 2013 European Standard Population</w:t>
      </w:r>
      <w:bookmarkEnd w:id="69"/>
    </w:p>
    <w:p w14:paraId="3C3CA6A3" w14:textId="77777777" w:rsidR="00DE6D8C" w:rsidRPr="00DE6D8C" w:rsidRDefault="00DE6D8C" w:rsidP="00DE6D8C"/>
    <w:p w14:paraId="6A713BFC" w14:textId="09C2FD43" w:rsidR="00DE6D8C" w:rsidRPr="00DE6D8C" w:rsidRDefault="00DE6D8C" w:rsidP="00DE6D8C">
      <w:pPr>
        <w:jc w:val="center"/>
      </w:pPr>
      <w:r>
        <w:rPr>
          <w:noProof/>
          <w:lang w:eastAsia="en-GB"/>
        </w:rPr>
        <w:drawing>
          <wp:inline distT="0" distB="0" distL="0" distR="0" wp14:anchorId="596DF8E7" wp14:editId="05D2F9BA">
            <wp:extent cx="4590415" cy="4596765"/>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90415" cy="4596765"/>
                    </a:xfrm>
                    <a:prstGeom prst="rect">
                      <a:avLst/>
                    </a:prstGeom>
                    <a:noFill/>
                  </pic:spPr>
                </pic:pic>
              </a:graphicData>
            </a:graphic>
          </wp:inline>
        </w:drawing>
      </w:r>
    </w:p>
    <w:p w14:paraId="576679F8" w14:textId="6998406C" w:rsidR="0085148C" w:rsidRDefault="0085148C" w:rsidP="00317A89">
      <w:pPr>
        <w:jc w:val="both"/>
      </w:pPr>
    </w:p>
    <w:sectPr w:rsidR="0085148C" w:rsidSect="00EE1AC5">
      <w:headerReference w:type="default" r:id="rId32"/>
      <w:footerReference w:type="default" r:id="rId33"/>
      <w:pgSz w:w="11906" w:h="16838"/>
      <w:pgMar w:top="1701" w:right="1440" w:bottom="1440" w:left="1440"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00A971" w14:textId="77777777" w:rsidR="009B4CD1" w:rsidRDefault="009B4CD1" w:rsidP="00416633">
      <w:pPr>
        <w:spacing w:after="0" w:line="240" w:lineRule="auto"/>
      </w:pPr>
      <w:r>
        <w:separator/>
      </w:r>
    </w:p>
    <w:p w14:paraId="49549218" w14:textId="77777777" w:rsidR="009B4CD1" w:rsidRDefault="009B4CD1"/>
  </w:endnote>
  <w:endnote w:type="continuationSeparator" w:id="0">
    <w:p w14:paraId="1C2CF4DA" w14:textId="77777777" w:rsidR="009B4CD1" w:rsidRDefault="009B4CD1" w:rsidP="00416633">
      <w:pPr>
        <w:spacing w:after="0" w:line="240" w:lineRule="auto"/>
      </w:pPr>
      <w:r>
        <w:continuationSeparator/>
      </w:r>
    </w:p>
    <w:p w14:paraId="0F500DAC" w14:textId="77777777" w:rsidR="009B4CD1" w:rsidRDefault="009B4CD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buntu Light">
    <w:altName w:val="Ubuntu Light"/>
    <w:charset w:val="00"/>
    <w:family w:val="swiss"/>
    <w:pitch w:val="variable"/>
    <w:sig w:usb0="E00002FF" w:usb1="5000205B" w:usb2="00000000" w:usb3="00000000" w:csb0="0000009F" w:csb1="00000000"/>
  </w:font>
  <w:font w:name="Ubuntu">
    <w:charset w:val="00"/>
    <w:family w:val="swiss"/>
    <w:pitch w:val="variable"/>
    <w:sig w:usb0="E00002F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78C59A" w14:textId="5CC1FC64" w:rsidR="009B4CD1" w:rsidRDefault="009B4CD1">
    <w:pPr>
      <w:pStyle w:val="Footer"/>
      <w:jc w:val="right"/>
    </w:pPr>
    <w:r>
      <w:rPr>
        <w:noProof/>
        <w:lang w:eastAsia="en-GB"/>
      </w:rPr>
      <mc:AlternateContent>
        <mc:Choice Requires="wps">
          <w:drawing>
            <wp:anchor distT="0" distB="0" distL="114300" distR="114300" simplePos="0" relativeHeight="251665408" behindDoc="1" locked="0" layoutInCell="1" allowOverlap="1" wp14:anchorId="7CB4F25B" wp14:editId="79B9DCAE">
              <wp:simplePos x="0" y="0"/>
              <wp:positionH relativeFrom="page">
                <wp:posOffset>595906</wp:posOffset>
              </wp:positionH>
              <wp:positionV relativeFrom="page">
                <wp:posOffset>10217150</wp:posOffset>
              </wp:positionV>
              <wp:extent cx="6074796" cy="214685"/>
              <wp:effectExtent l="0" t="0" r="2540" b="13970"/>
              <wp:wrapNone/>
              <wp:docPr id="32"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074796" cy="214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7CA9C4" w14:textId="1DF82537" w:rsidR="009B4CD1" w:rsidRDefault="009B4CD1" w:rsidP="00EE1AC5">
                          <w:pPr>
                            <w:spacing w:before="21"/>
                            <w:ind w:left="20"/>
                            <w:rPr>
                              <w:rFonts w:ascii="Ubuntu"/>
                              <w:b/>
                              <w:sz w:val="17"/>
                            </w:rPr>
                          </w:pPr>
                          <w:r w:rsidRPr="00EE1AC5">
                            <w:rPr>
                              <w:rFonts w:ascii="Ubuntu"/>
                              <w:b/>
                              <w:color w:val="305787"/>
                              <w:sz w:val="17"/>
                            </w:rPr>
                            <w:t>Cancer Reporting Tool</w:t>
                          </w:r>
                          <w:r>
                            <w:rPr>
                              <w:rFonts w:ascii="Ubuntu"/>
                              <w:b/>
                              <w:color w:val="305787"/>
                              <w:sz w:val="17"/>
                            </w:rPr>
                            <w:t xml:space="preserve">: </w:t>
                          </w:r>
                          <w:r w:rsidRPr="00EE1AC5">
                            <w:rPr>
                              <w:rFonts w:ascii="Ubuntu"/>
                              <w:b/>
                              <w:color w:val="305787"/>
                              <w:sz w:val="17"/>
                            </w:rPr>
                            <w:t>Technical Guide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B4F25B" id="_x0000_t202" coordsize="21600,21600" o:spt="202" path="m,l,21600r21600,l21600,xe">
              <v:stroke joinstyle="miter"/>
              <v:path gradientshapeok="t" o:connecttype="rect"/>
            </v:shapetype>
            <v:shape id="docshape19" o:spid="_x0000_s1030" type="#_x0000_t202" style="position:absolute;left:0;text-align:left;margin-left:46.9pt;margin-top:804.5pt;width:478.35pt;height:16.9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" filled="f" stroked="f">
              <v:path arrowok="t"/>
              <v:textbox inset="0,0,0,0">
                <w:txbxContent>
                  <w:p w14:paraId="477CA9C4" w14:textId="1DF82537" w:rsidR="009B4CD1" w:rsidRDefault="009B4CD1" w:rsidP="00EE1AC5">
                    <w:pPr>
                      <w:spacing w:before="21"/>
                      <w:ind w:left="20"/>
                      <w:rPr>
                        <w:rFonts w:ascii="Ubuntu"/>
                        <w:b/>
                        <w:sz w:val="17"/>
                      </w:rPr>
                    </w:pPr>
                    <w:r w:rsidRPr="00EE1AC5">
                      <w:rPr>
                        <w:rFonts w:ascii="Ubuntu"/>
                        <w:b/>
                        <w:color w:val="305787"/>
                        <w:sz w:val="17"/>
                      </w:rPr>
                      <w:t>Cancer Reporting Tool</w:t>
                    </w:r>
                    <w:r>
                      <w:rPr>
                        <w:rFonts w:ascii="Ubuntu"/>
                        <w:b/>
                        <w:color w:val="305787"/>
                        <w:sz w:val="17"/>
                      </w:rPr>
                      <w:t xml:space="preserve">: </w:t>
                    </w:r>
                    <w:r w:rsidRPr="00EE1AC5">
                      <w:rPr>
                        <w:rFonts w:ascii="Ubuntu"/>
                        <w:b/>
                        <w:color w:val="305787"/>
                        <w:sz w:val="17"/>
                      </w:rPr>
                      <w:t>Technical Guide</w:t>
                    </w:r>
                  </w:p>
                </w:txbxContent>
              </v:textbox>
              <w10:wrap anchorx="page" anchory="page"/>
            </v:shape>
          </w:pict>
        </mc:Fallback>
      </mc:AlternateContent>
    </w:r>
    <w:sdt>
      <w:sdtPr>
        <w:id w:val="1921438278"/>
        <w:docPartObj>
          <w:docPartGallery w:val="Page Numbers (Bottom of Page)"/>
          <w:docPartUnique/>
        </w:docPartObj>
      </w:sdtPr>
      <w:sdtEndPr>
        <w:rPr>
          <w:noProof/>
        </w:rPr>
      </w:sdtEndPr>
      <w:sdtContent>
        <w:r>
          <w:rPr>
            <w:noProof/>
            <w:lang w:eastAsia="en-GB"/>
          </w:rPr>
          <mc:AlternateContent>
            <mc:Choice Requires="wps">
              <w:drawing>
                <wp:anchor distT="0" distB="0" distL="114300" distR="114300" simplePos="0" relativeHeight="251663360" behindDoc="0" locked="0" layoutInCell="1" allowOverlap="1" wp14:anchorId="2C120B24" wp14:editId="4B0C41A2">
                  <wp:simplePos x="0" y="0"/>
                  <wp:positionH relativeFrom="column">
                    <wp:posOffset>-476885</wp:posOffset>
                  </wp:positionH>
                  <wp:positionV relativeFrom="paragraph">
                    <wp:posOffset>-135255</wp:posOffset>
                  </wp:positionV>
                  <wp:extent cx="6734287" cy="0"/>
                  <wp:effectExtent l="0" t="0" r="9525" b="12700"/>
                  <wp:wrapNone/>
                  <wp:docPr id="26" name="Straight Connector 26"/>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28AD401" id="Straight Connector 26"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37.55pt,-10.65pt" to="492.7pt,-1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" strokecolor="#a5a5a5 [2092]" strokeweight=".5pt">
                  <v:stroke joinstyle="miter"/>
                </v:line>
              </w:pict>
            </mc:Fallback>
          </mc:AlternateContent>
        </w:r>
        <w:r>
          <w:fldChar w:fldCharType="begin"/>
        </w:r>
        <w:r>
          <w:instrText xml:space="preserve"> PAGE   \* MERGEFORMAT </w:instrText>
        </w:r>
        <w:r>
          <w:fldChar w:fldCharType="separate"/>
        </w:r>
        <w:r w:rsidR="003E4F54">
          <w:rPr>
            <w:noProof/>
          </w:rPr>
          <w:t>20</w:t>
        </w:r>
        <w:r>
          <w:rPr>
            <w:noProof/>
          </w:rPr>
          <w:fldChar w:fldCharType="end"/>
        </w:r>
      </w:sdtContent>
    </w:sdt>
  </w:p>
  <w:p w14:paraId="7FA3035E" w14:textId="404ECC1B" w:rsidR="009B4CD1" w:rsidRDefault="009B4CD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311F17" w14:textId="77777777" w:rsidR="009B4CD1" w:rsidRDefault="009B4CD1" w:rsidP="00416633">
      <w:pPr>
        <w:spacing w:after="0" w:line="240" w:lineRule="auto"/>
      </w:pPr>
      <w:r>
        <w:separator/>
      </w:r>
    </w:p>
    <w:p w14:paraId="32EC383A" w14:textId="77777777" w:rsidR="009B4CD1" w:rsidRDefault="009B4CD1"/>
  </w:footnote>
  <w:footnote w:type="continuationSeparator" w:id="0">
    <w:p w14:paraId="5DDC43F9" w14:textId="77777777" w:rsidR="009B4CD1" w:rsidRDefault="009B4CD1" w:rsidP="00416633">
      <w:pPr>
        <w:spacing w:after="0" w:line="240" w:lineRule="auto"/>
      </w:pPr>
      <w:r>
        <w:continuationSeparator/>
      </w:r>
    </w:p>
    <w:p w14:paraId="79C4BAAB" w14:textId="77777777" w:rsidR="009B4CD1" w:rsidRDefault="009B4CD1"/>
  </w:footnote>
  <w:footnote w:id="1">
    <w:p w14:paraId="5B96D37D" w14:textId="77777777" w:rsidR="009B4CD1" w:rsidRPr="00F96F12" w:rsidRDefault="009B4CD1" w:rsidP="00F96F12">
      <w:pPr>
        <w:pStyle w:val="FootnoteText"/>
        <w:spacing w:before="120"/>
        <w:ind w:right="-45"/>
        <w:jc w:val="both"/>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w:t>
      </w:r>
      <w:proofErr w:type="spellStart"/>
      <w:r w:rsidRPr="00F96F12">
        <w:rPr>
          <w:rFonts w:ascii="Ubuntu" w:hAnsi="Ubuntu"/>
          <w:sz w:val="16"/>
          <w:szCs w:val="16"/>
        </w:rPr>
        <w:t>Pohar</w:t>
      </w:r>
      <w:proofErr w:type="spellEnd"/>
      <w:r w:rsidRPr="00F96F12">
        <w:rPr>
          <w:rFonts w:ascii="Ubuntu" w:hAnsi="Ubuntu"/>
          <w:sz w:val="16"/>
          <w:szCs w:val="16"/>
        </w:rPr>
        <w:t xml:space="preserve"> </w:t>
      </w:r>
      <w:proofErr w:type="spellStart"/>
      <w:r w:rsidRPr="00F96F12">
        <w:rPr>
          <w:rFonts w:ascii="Ubuntu" w:hAnsi="Ubuntu"/>
          <w:sz w:val="16"/>
          <w:szCs w:val="16"/>
        </w:rPr>
        <w:t>Perme</w:t>
      </w:r>
      <w:proofErr w:type="spellEnd"/>
      <w:r w:rsidRPr="00F96F12">
        <w:rPr>
          <w:rFonts w:ascii="Ubuntu" w:hAnsi="Ubuntu"/>
          <w:sz w:val="16"/>
          <w:szCs w:val="16"/>
        </w:rPr>
        <w:t xml:space="preserve"> M, Stare J, </w:t>
      </w:r>
      <w:proofErr w:type="spellStart"/>
      <w:r w:rsidRPr="00F96F12">
        <w:rPr>
          <w:rFonts w:ascii="Ubuntu" w:hAnsi="Ubuntu"/>
          <w:sz w:val="16"/>
          <w:szCs w:val="16"/>
        </w:rPr>
        <w:t>Estève</w:t>
      </w:r>
      <w:proofErr w:type="spellEnd"/>
      <w:r w:rsidRPr="00F96F12">
        <w:rPr>
          <w:rFonts w:ascii="Ubuntu" w:hAnsi="Ubuntu"/>
          <w:sz w:val="16"/>
          <w:szCs w:val="16"/>
        </w:rPr>
        <w:t xml:space="preserve"> J. 2012. “On estimation in relative survival.” Biometrics 68:113 -20</w:t>
      </w:r>
    </w:p>
    <w:p w14:paraId="443C423E" w14:textId="77777777" w:rsidR="009B4CD1" w:rsidRPr="00F96F12" w:rsidRDefault="009B4CD1" w:rsidP="00F3447F">
      <w:pPr>
        <w:pStyle w:val="FootnoteText"/>
        <w:rPr>
          <w:rFonts w:ascii="Ubuntu" w:hAnsi="Ubuntu"/>
          <w:sz w:val="16"/>
          <w:szCs w:val="16"/>
        </w:rPr>
      </w:pPr>
    </w:p>
  </w:footnote>
  <w:footnote w:id="2">
    <w:p w14:paraId="25571EB5" w14:textId="77777777" w:rsidR="009B4CD1" w:rsidRPr="00F96F12" w:rsidRDefault="009B4CD1" w:rsidP="00F96F12">
      <w:pPr>
        <w:pStyle w:val="FootnoteText"/>
        <w:spacing w:after="240"/>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Clerc-</w:t>
      </w:r>
      <w:proofErr w:type="spellStart"/>
      <w:r w:rsidRPr="00F96F12">
        <w:rPr>
          <w:rFonts w:ascii="Ubuntu" w:hAnsi="Ubuntu"/>
          <w:sz w:val="16"/>
          <w:szCs w:val="16"/>
        </w:rPr>
        <w:t>Urmès</w:t>
      </w:r>
      <w:proofErr w:type="spellEnd"/>
      <w:r w:rsidRPr="00F96F12">
        <w:rPr>
          <w:rFonts w:ascii="Ubuntu" w:hAnsi="Ubuntu"/>
          <w:sz w:val="16"/>
          <w:szCs w:val="16"/>
        </w:rPr>
        <w:t xml:space="preserve"> I, </w:t>
      </w:r>
      <w:proofErr w:type="spellStart"/>
      <w:r w:rsidRPr="00F96F12">
        <w:rPr>
          <w:rFonts w:ascii="Ubuntu" w:hAnsi="Ubuntu"/>
          <w:sz w:val="16"/>
          <w:szCs w:val="16"/>
        </w:rPr>
        <w:t>Grzebyk</w:t>
      </w:r>
      <w:proofErr w:type="spellEnd"/>
      <w:r w:rsidRPr="00F96F12">
        <w:rPr>
          <w:rFonts w:ascii="Ubuntu" w:hAnsi="Ubuntu"/>
          <w:sz w:val="16"/>
          <w:szCs w:val="16"/>
        </w:rPr>
        <w:t xml:space="preserve"> M, </w:t>
      </w:r>
      <w:proofErr w:type="spellStart"/>
      <w:r w:rsidRPr="00F96F12">
        <w:rPr>
          <w:rFonts w:ascii="Ubuntu" w:hAnsi="Ubuntu"/>
          <w:sz w:val="16"/>
          <w:szCs w:val="16"/>
        </w:rPr>
        <w:t>Hédelin</w:t>
      </w:r>
      <w:proofErr w:type="spellEnd"/>
      <w:r w:rsidRPr="00F96F12">
        <w:rPr>
          <w:rFonts w:ascii="Ubuntu" w:hAnsi="Ubuntu"/>
          <w:sz w:val="16"/>
          <w:szCs w:val="16"/>
        </w:rPr>
        <w:t xml:space="preserve"> G, 2014. Net survival estimation with stns. Stata Journal. </w:t>
      </w:r>
      <w:proofErr w:type="gramStart"/>
      <w:r w:rsidRPr="00F96F12">
        <w:rPr>
          <w:rFonts w:ascii="Ubuntu" w:hAnsi="Ubuntu"/>
          <w:sz w:val="16"/>
          <w:szCs w:val="16"/>
        </w:rPr>
        <w:t>2014;14:87</w:t>
      </w:r>
      <w:proofErr w:type="gramEnd"/>
      <w:r w:rsidRPr="00F96F12">
        <w:rPr>
          <w:rFonts w:ascii="Ubuntu" w:hAnsi="Ubuntu"/>
          <w:sz w:val="16"/>
          <w:szCs w:val="16"/>
        </w:rPr>
        <w:t>-102</w:t>
      </w:r>
    </w:p>
  </w:footnote>
  <w:footnote w:id="3">
    <w:p w14:paraId="6BA06EB6" w14:textId="77777777" w:rsidR="009B4CD1" w:rsidRPr="00F96F12" w:rsidRDefault="009B4CD1" w:rsidP="00F3447F">
      <w:pPr>
        <w:ind w:right="-45"/>
        <w:jc w:val="both"/>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w:t>
      </w:r>
      <w:proofErr w:type="spellStart"/>
      <w:r w:rsidRPr="00F96F12">
        <w:rPr>
          <w:rFonts w:ascii="Ubuntu" w:hAnsi="Ubuntu"/>
          <w:sz w:val="16"/>
          <w:szCs w:val="16"/>
        </w:rPr>
        <w:t>Corazziari</w:t>
      </w:r>
      <w:proofErr w:type="spellEnd"/>
      <w:r w:rsidRPr="00F96F12">
        <w:rPr>
          <w:rFonts w:ascii="Ubuntu" w:hAnsi="Ubuntu"/>
          <w:sz w:val="16"/>
          <w:szCs w:val="16"/>
        </w:rPr>
        <w:t xml:space="preserve"> I, Quinn M, </w:t>
      </w:r>
      <w:proofErr w:type="spellStart"/>
      <w:r w:rsidRPr="00F96F12">
        <w:rPr>
          <w:rFonts w:ascii="Ubuntu" w:hAnsi="Ubuntu"/>
          <w:sz w:val="16"/>
          <w:szCs w:val="16"/>
        </w:rPr>
        <w:t>Capocaccia</w:t>
      </w:r>
      <w:proofErr w:type="spellEnd"/>
      <w:r w:rsidRPr="00F96F12">
        <w:rPr>
          <w:rFonts w:ascii="Ubuntu" w:hAnsi="Ubuntu"/>
          <w:sz w:val="16"/>
          <w:szCs w:val="16"/>
        </w:rPr>
        <w:t xml:space="preserve"> R, 2004. Standard cancer patient population for age standardising survival ratio. European Journal of Cancer 40: 2307-2316</w:t>
      </w:r>
    </w:p>
    <w:p w14:paraId="04C43B93" w14:textId="77777777" w:rsidR="009B4CD1" w:rsidRDefault="009B4CD1" w:rsidP="00F3447F">
      <w:pPr>
        <w:pStyle w:val="FootnoteText"/>
      </w:pPr>
    </w:p>
  </w:footnote>
  <w:footnote w:id="4">
    <w:p w14:paraId="67DE74CB" w14:textId="77777777" w:rsidR="009B4CD1" w:rsidRDefault="009B4CD1" w:rsidP="00BE6425">
      <w:pPr>
        <w:pStyle w:val="FootnoteText"/>
        <w:rPr>
          <w:rFonts w:ascii="Verdana" w:hAnsi="Verdana"/>
          <w:sz w:val="16"/>
          <w:szCs w:val="16"/>
        </w:rPr>
      </w:pPr>
      <w:r>
        <w:rPr>
          <w:rStyle w:val="FootnoteReference"/>
        </w:rPr>
        <w:footnoteRef/>
      </w:r>
      <w:r>
        <w:t xml:space="preserve"> </w:t>
      </w:r>
      <w:r w:rsidRPr="00496530">
        <w:rPr>
          <w:rFonts w:ascii="Verdana" w:hAnsi="Verdana"/>
          <w:sz w:val="16"/>
          <w:szCs w:val="16"/>
        </w:rPr>
        <w:t>The TNM Classification of Malignant Tumours (TNM) is a globally recognised standard for classifying the extent of spread of cancer. T category describes the primary tumour site and size, N category describes the regional lymph node involvement, M category describes the presence or otherwise of distant metastatic spread</w:t>
      </w:r>
    </w:p>
    <w:p w14:paraId="5C337007" w14:textId="77777777" w:rsidR="009B4CD1" w:rsidRDefault="009B4CD1" w:rsidP="00BE6425">
      <w:pPr>
        <w:pStyle w:val="FootnoteText"/>
      </w:pPr>
    </w:p>
  </w:footnote>
  <w:footnote w:id="5">
    <w:p w14:paraId="1533CAE7" w14:textId="2B5162AF" w:rsidR="009B4CD1" w:rsidRPr="00DC72BC" w:rsidRDefault="009B4CD1" w:rsidP="00146130">
      <w:pPr>
        <w:tabs>
          <w:tab w:val="left" w:pos="2280"/>
        </w:tabs>
        <w:jc w:val="both"/>
        <w:rPr>
          <w:rFonts w:ascii="Ubuntu" w:hAnsi="Ubuntu"/>
          <w:sz w:val="16"/>
          <w:szCs w:val="16"/>
        </w:rPr>
      </w:pPr>
      <w:r w:rsidRPr="00DC72BC">
        <w:rPr>
          <w:rStyle w:val="FootnoteReference"/>
          <w:rFonts w:ascii="Ubuntu" w:hAnsi="Ubuntu"/>
          <w:sz w:val="16"/>
          <w:szCs w:val="16"/>
        </w:rPr>
        <w:footnoteRef/>
      </w:r>
      <w:r w:rsidRPr="00DC72BC">
        <w:rPr>
          <w:rFonts w:ascii="Ubuntu" w:hAnsi="Ubuntu"/>
          <w:sz w:val="16"/>
          <w:szCs w:val="16"/>
        </w:rPr>
        <w:t xml:space="preserve"> Office for National Statistics (ONS): Implementing the 2013 European Standard Population: the impact of selected upper age limits on mortality statistics: available on the </w:t>
      </w:r>
      <w:hyperlink r:id="rId1" w:history="1">
        <w:r w:rsidRPr="00DC72BC">
          <w:rPr>
            <w:rStyle w:val="Hyperlink"/>
            <w:rFonts w:ascii="Ubuntu" w:hAnsi="Ubuntu"/>
            <w:sz w:val="16"/>
            <w:szCs w:val="16"/>
          </w:rPr>
          <w:t>ONS website</w:t>
        </w:r>
      </w:hyperlink>
      <w:r w:rsidRPr="00DC72BC">
        <w:rPr>
          <w:rFonts w:ascii="Ubuntu" w:hAnsi="Ubuntu"/>
          <w:sz w:val="16"/>
          <w:szCs w:val="16"/>
        </w:rPr>
        <w:t>.</w:t>
      </w:r>
    </w:p>
    <w:p w14:paraId="7EFBB69D" w14:textId="77777777" w:rsidR="009B4CD1" w:rsidRDefault="009B4CD1" w:rsidP="00146130">
      <w:pPr>
        <w:pStyle w:val="FootnoteText"/>
      </w:pPr>
    </w:p>
  </w:footnote>
  <w:footnote w:id="6">
    <w:p w14:paraId="76C0163C" w14:textId="585DC5C5" w:rsidR="009B4CD1" w:rsidRPr="00F96F12" w:rsidRDefault="009B4CD1" w:rsidP="00BE6425">
      <w:pPr>
        <w:tabs>
          <w:tab w:val="left" w:pos="2280"/>
        </w:tabs>
        <w:jc w:val="both"/>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Tiwari, </w:t>
      </w:r>
      <w:proofErr w:type="gramStart"/>
      <w:r w:rsidRPr="00F96F12">
        <w:rPr>
          <w:rFonts w:ascii="Ubuntu" w:hAnsi="Ubuntu"/>
          <w:sz w:val="16"/>
          <w:szCs w:val="16"/>
        </w:rPr>
        <w:t>Clegg</w:t>
      </w:r>
      <w:proofErr w:type="gramEnd"/>
      <w:r w:rsidRPr="00F96F12">
        <w:rPr>
          <w:rFonts w:ascii="Ubuntu" w:hAnsi="Ubuntu"/>
          <w:sz w:val="16"/>
          <w:szCs w:val="16"/>
        </w:rPr>
        <w:t xml:space="preserve"> and Zou (2006); Efficient interval estimation for age-adjusted cancer rates; Statistical Methods in Medical Research </w:t>
      </w:r>
      <w:r w:rsidRPr="00F96F12">
        <w:rPr>
          <w:rStyle w:val="HTMLTypewriter"/>
          <w:rFonts w:ascii="Ubuntu" w:eastAsiaTheme="minorHAnsi" w:hAnsi="Ubuntu"/>
          <w:sz w:val="16"/>
          <w:szCs w:val="16"/>
        </w:rPr>
        <w:t>15: 547–569</w:t>
      </w:r>
    </w:p>
  </w:footnote>
  <w:footnote w:id="7">
    <w:p w14:paraId="1622D15E" w14:textId="3BCA4156" w:rsidR="009B4CD1" w:rsidRPr="00F96F12" w:rsidRDefault="009B4CD1" w:rsidP="00BE6425">
      <w:pPr>
        <w:pStyle w:val="Footer"/>
        <w:keepLines/>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Fay and Feuer (1997); Confidence intervals for directly standardized rates: A method based on the gamma distribution; Statistics in Medicine 16: 791-801</w:t>
      </w:r>
    </w:p>
    <w:p w14:paraId="59394759" w14:textId="77777777" w:rsidR="009B4CD1" w:rsidRPr="00F96F12" w:rsidRDefault="009B4CD1" w:rsidP="00BE6425">
      <w:pPr>
        <w:pStyle w:val="Footer"/>
        <w:keepLines/>
        <w:rPr>
          <w:rFonts w:ascii="Ubuntu" w:hAnsi="Ubuntu"/>
          <w:sz w:val="16"/>
          <w:szCs w:val="16"/>
        </w:rPr>
      </w:pPr>
    </w:p>
  </w:footnote>
  <w:footnote w:id="8">
    <w:p w14:paraId="0FB7F91E" w14:textId="77777777" w:rsidR="009B4CD1" w:rsidRPr="00F96F12" w:rsidRDefault="009B4CD1" w:rsidP="00BE6425">
      <w:pPr>
        <w:pStyle w:val="Footer"/>
        <w:keepLines/>
        <w:rPr>
          <w:rStyle w:val="HTMLTypewriter"/>
          <w:rFonts w:ascii="Ubuntu" w:eastAsiaTheme="minorHAnsi"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w:t>
      </w:r>
      <w:r w:rsidRPr="00F96F12">
        <w:rPr>
          <w:rStyle w:val="HTMLTypewriter"/>
          <w:rFonts w:ascii="Ubuntu" w:eastAsiaTheme="minorHAnsi" w:hAnsi="Ubuntu"/>
          <w:sz w:val="16"/>
          <w:szCs w:val="16"/>
        </w:rPr>
        <w:t xml:space="preserve">Wilson, E.B. Probable inference, the law of succession, and statistical inference.  J Am Stat Assoc. 1927; 22:09-212.  Cited in Altman D.G. et </w:t>
      </w:r>
      <w:proofErr w:type="gramStart"/>
      <w:r w:rsidRPr="00F96F12">
        <w:rPr>
          <w:rStyle w:val="HTMLTypewriter"/>
          <w:rFonts w:ascii="Ubuntu" w:eastAsiaTheme="minorHAnsi" w:hAnsi="Ubuntu"/>
          <w:sz w:val="16"/>
          <w:szCs w:val="16"/>
        </w:rPr>
        <w:t>al  Statistics</w:t>
      </w:r>
      <w:proofErr w:type="gramEnd"/>
      <w:r w:rsidRPr="00F96F12">
        <w:rPr>
          <w:rStyle w:val="HTMLTypewriter"/>
          <w:rFonts w:ascii="Ubuntu" w:eastAsiaTheme="minorHAnsi" w:hAnsi="Ubuntu"/>
          <w:sz w:val="16"/>
          <w:szCs w:val="16"/>
        </w:rPr>
        <w:t xml:space="preserve"> with Confidence (2nd </w:t>
      </w:r>
      <w:proofErr w:type="spellStart"/>
      <w:r w:rsidRPr="00F96F12">
        <w:rPr>
          <w:rStyle w:val="HTMLTypewriter"/>
          <w:rFonts w:ascii="Ubuntu" w:eastAsiaTheme="minorHAnsi" w:hAnsi="Ubuntu"/>
          <w:sz w:val="16"/>
          <w:szCs w:val="16"/>
        </w:rPr>
        <w:t>edn</w:t>
      </w:r>
      <w:proofErr w:type="spellEnd"/>
      <w:r w:rsidRPr="00F96F12">
        <w:rPr>
          <w:rStyle w:val="HTMLTypewriter"/>
          <w:rFonts w:ascii="Ubuntu" w:eastAsiaTheme="minorHAnsi" w:hAnsi="Ubuntu"/>
          <w:sz w:val="16"/>
          <w:szCs w:val="16"/>
        </w:rPr>
        <w:t>). 2000. BMJ Books: UK (page 46)</w:t>
      </w:r>
    </w:p>
    <w:p w14:paraId="47D7F574" w14:textId="1FDCACD9" w:rsidR="009B4CD1" w:rsidRDefault="009B4CD1" w:rsidP="00BE6425">
      <w:pPr>
        <w:pStyle w:val="Footer"/>
        <w:keepLines/>
        <w:rPr>
          <w:rFonts w:ascii="Verdana" w:hAnsi="Verdana"/>
          <w:sz w:val="16"/>
          <w:szCs w:val="16"/>
        </w:rPr>
      </w:pPr>
    </w:p>
    <w:p w14:paraId="42F042F9" w14:textId="77777777" w:rsidR="009B4CD1" w:rsidRDefault="009B4CD1" w:rsidP="00BE6425">
      <w:pPr>
        <w:tabs>
          <w:tab w:val="left" w:pos="2280"/>
        </w:tabs>
        <w:jc w:val="both"/>
        <w:rPr>
          <w:rStyle w:val="HTMLTypewriter"/>
          <w:rFonts w:ascii="Verdana" w:eastAsiaTheme="minorHAnsi" w:hAnsi="Verdana"/>
          <w:sz w:val="16"/>
          <w:szCs w:val="16"/>
        </w:rPr>
      </w:pPr>
    </w:p>
    <w:p w14:paraId="16463083" w14:textId="77777777" w:rsidR="009B4CD1" w:rsidRPr="002D6569" w:rsidRDefault="009B4CD1" w:rsidP="00BE6425">
      <w:pPr>
        <w:tabs>
          <w:tab w:val="left" w:pos="2280"/>
        </w:tabs>
        <w:jc w:val="both"/>
        <w:rPr>
          <w:rFonts w:ascii="Verdana" w:hAnsi="Verdana"/>
          <w:sz w:val="20"/>
          <w:szCs w:val="20"/>
        </w:rPr>
      </w:pPr>
    </w:p>
    <w:p w14:paraId="1DBFD434" w14:textId="77777777" w:rsidR="009B4CD1" w:rsidRDefault="009B4CD1" w:rsidP="00BE6425">
      <w:pPr>
        <w:pStyle w:val="FootnoteText"/>
      </w:pPr>
    </w:p>
  </w:footnote>
  <w:footnote w:id="9">
    <w:p w14:paraId="03798DA0" w14:textId="77777777" w:rsidR="009B4CD1" w:rsidRPr="00F96F12" w:rsidRDefault="009B4CD1" w:rsidP="00CB041A">
      <w:pPr>
        <w:pStyle w:val="FootnoteText"/>
        <w:rPr>
          <w:rFonts w:ascii="Ubuntu" w:hAnsi="Ubuntu"/>
          <w:sz w:val="16"/>
          <w:szCs w:val="16"/>
        </w:rPr>
      </w:pPr>
      <w:r w:rsidRPr="00F96F12">
        <w:rPr>
          <w:rStyle w:val="FootnoteReference"/>
          <w:rFonts w:ascii="Ubuntu" w:hAnsi="Ubuntu"/>
          <w:sz w:val="16"/>
          <w:szCs w:val="16"/>
        </w:rPr>
        <w:footnoteRef/>
      </w:r>
      <w:r w:rsidRPr="00F96F12">
        <w:rPr>
          <w:rStyle w:val="Hyperlink"/>
          <w:rFonts w:ascii="Ubuntu" w:hAnsi="Ubuntu"/>
          <w:sz w:val="16"/>
          <w:szCs w:val="16"/>
        </w:rPr>
        <w:t xml:space="preserve"> </w:t>
      </w:r>
      <w:hyperlink r:id="rId2" w:history="1">
        <w:r w:rsidRPr="00F96F12">
          <w:rPr>
            <w:rStyle w:val="Hyperlink"/>
            <w:rFonts w:ascii="Ubuntu" w:hAnsi="Ubuntu"/>
            <w:sz w:val="16"/>
            <w:szCs w:val="16"/>
          </w:rPr>
          <w:t>https://www.encr.eu/sites/default/files/inline-files/Cancer%20Data%20Quality%20Checks%20Procedure%20Report%20online.pdf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743774" w14:textId="4CBBD5BF" w:rsidR="009B4CD1" w:rsidRDefault="009B4CD1">
    <w:pPr>
      <w:pStyle w:val="Header"/>
    </w:pPr>
    <w:r>
      <w:rPr>
        <w:noProof/>
        <w:lang w:eastAsia="en-GB"/>
      </w:rPr>
      <w:drawing>
        <wp:anchor distT="0" distB="0" distL="114300" distR="114300" simplePos="0" relativeHeight="251659264" behindDoc="0" locked="0" layoutInCell="1" allowOverlap="1" wp14:anchorId="4B29907B" wp14:editId="2882650D">
          <wp:simplePos x="0" y="0"/>
          <wp:positionH relativeFrom="column">
            <wp:posOffset>-930303</wp:posOffset>
          </wp:positionH>
          <wp:positionV relativeFrom="paragraph">
            <wp:posOffset>0</wp:posOffset>
          </wp:positionV>
          <wp:extent cx="7617350" cy="897890"/>
          <wp:effectExtent l="0" t="0" r="3175" b="0"/>
          <wp:wrapNone/>
          <wp:docPr id="22" name="docshape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18069" cy="8979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61312" behindDoc="0" locked="0" layoutInCell="1" allowOverlap="1" wp14:anchorId="1149B4C5" wp14:editId="35E932E1">
          <wp:simplePos x="0" y="0"/>
          <wp:positionH relativeFrom="column">
            <wp:posOffset>-572494</wp:posOffset>
          </wp:positionH>
          <wp:positionV relativeFrom="paragraph">
            <wp:posOffset>214382</wp:posOffset>
          </wp:positionV>
          <wp:extent cx="2210435" cy="517525"/>
          <wp:effectExtent l="0" t="0" r="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210435" cy="51752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D421F"/>
    <w:multiLevelType w:val="hybridMultilevel"/>
    <w:tmpl w:val="60F63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AC20E4"/>
    <w:multiLevelType w:val="hybridMultilevel"/>
    <w:tmpl w:val="EDDEF3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FA20E8"/>
    <w:multiLevelType w:val="hybridMultilevel"/>
    <w:tmpl w:val="5CEC32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8A13AF"/>
    <w:multiLevelType w:val="hybridMultilevel"/>
    <w:tmpl w:val="C178A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1559E5"/>
    <w:multiLevelType w:val="hybridMultilevel"/>
    <w:tmpl w:val="EBD4D3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C71CA8"/>
    <w:multiLevelType w:val="hybridMultilevel"/>
    <w:tmpl w:val="11EE5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261F45"/>
    <w:multiLevelType w:val="hybridMultilevel"/>
    <w:tmpl w:val="F47240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F0D6D44"/>
    <w:multiLevelType w:val="hybridMultilevel"/>
    <w:tmpl w:val="44DAD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6539A5"/>
    <w:multiLevelType w:val="hybridMultilevel"/>
    <w:tmpl w:val="59989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831BF1"/>
    <w:multiLevelType w:val="hybridMultilevel"/>
    <w:tmpl w:val="3F2E4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985899"/>
    <w:multiLevelType w:val="hybridMultilevel"/>
    <w:tmpl w:val="6B82B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2E704C"/>
    <w:multiLevelType w:val="hybridMultilevel"/>
    <w:tmpl w:val="AC2A5A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1A315B"/>
    <w:multiLevelType w:val="hybridMultilevel"/>
    <w:tmpl w:val="584A7D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A8E17D0"/>
    <w:multiLevelType w:val="hybridMultilevel"/>
    <w:tmpl w:val="5B949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6E3D20"/>
    <w:multiLevelType w:val="hybridMultilevel"/>
    <w:tmpl w:val="82CA0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C47EA1"/>
    <w:multiLevelType w:val="hybridMultilevel"/>
    <w:tmpl w:val="71403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4951170"/>
    <w:multiLevelType w:val="hybridMultilevel"/>
    <w:tmpl w:val="56C055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56151E31"/>
    <w:multiLevelType w:val="hybridMultilevel"/>
    <w:tmpl w:val="C5447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3E17860"/>
    <w:multiLevelType w:val="hybridMultilevel"/>
    <w:tmpl w:val="B90CB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B056040"/>
    <w:multiLevelType w:val="hybridMultilevel"/>
    <w:tmpl w:val="7DDA9E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3D87D14"/>
    <w:multiLevelType w:val="hybridMultilevel"/>
    <w:tmpl w:val="9B8CD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4ED7646"/>
    <w:multiLevelType w:val="hybridMultilevel"/>
    <w:tmpl w:val="4F58312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754B06B7"/>
    <w:multiLevelType w:val="hybridMultilevel"/>
    <w:tmpl w:val="8F1C9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5945D9"/>
    <w:multiLevelType w:val="hybridMultilevel"/>
    <w:tmpl w:val="D0C23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7313514">
    <w:abstractNumId w:val="6"/>
  </w:num>
  <w:num w:numId="2" w16cid:durableId="18505859">
    <w:abstractNumId w:val="22"/>
  </w:num>
  <w:num w:numId="3" w16cid:durableId="927154893">
    <w:abstractNumId w:val="4"/>
  </w:num>
  <w:num w:numId="4" w16cid:durableId="1311638858">
    <w:abstractNumId w:val="15"/>
  </w:num>
  <w:num w:numId="5" w16cid:durableId="229972852">
    <w:abstractNumId w:val="3"/>
  </w:num>
  <w:num w:numId="6" w16cid:durableId="285310752">
    <w:abstractNumId w:val="23"/>
  </w:num>
  <w:num w:numId="7" w16cid:durableId="423187351">
    <w:abstractNumId w:val="9"/>
  </w:num>
  <w:num w:numId="8" w16cid:durableId="2066831977">
    <w:abstractNumId w:val="13"/>
  </w:num>
  <w:num w:numId="9" w16cid:durableId="1944459405">
    <w:abstractNumId w:val="0"/>
  </w:num>
  <w:num w:numId="10" w16cid:durableId="1060440394">
    <w:abstractNumId w:val="16"/>
  </w:num>
  <w:num w:numId="11" w16cid:durableId="339087166">
    <w:abstractNumId w:val="14"/>
  </w:num>
  <w:num w:numId="12" w16cid:durableId="464201567">
    <w:abstractNumId w:val="8"/>
  </w:num>
  <w:num w:numId="13" w16cid:durableId="1733043326">
    <w:abstractNumId w:val="7"/>
  </w:num>
  <w:num w:numId="14" w16cid:durableId="1836921458">
    <w:abstractNumId w:val="5"/>
  </w:num>
  <w:num w:numId="15" w16cid:durableId="2122797336">
    <w:abstractNumId w:val="20"/>
  </w:num>
  <w:num w:numId="16" w16cid:durableId="2100640636">
    <w:abstractNumId w:val="17"/>
  </w:num>
  <w:num w:numId="17" w16cid:durableId="1138762281">
    <w:abstractNumId w:val="1"/>
  </w:num>
  <w:num w:numId="18" w16cid:durableId="2135519471">
    <w:abstractNumId w:val="18"/>
  </w:num>
  <w:num w:numId="19" w16cid:durableId="642932666">
    <w:abstractNumId w:val="11"/>
  </w:num>
  <w:num w:numId="20" w16cid:durableId="771517364">
    <w:abstractNumId w:val="10"/>
  </w:num>
  <w:num w:numId="21" w16cid:durableId="689137382">
    <w:abstractNumId w:val="21"/>
  </w:num>
  <w:num w:numId="22" w16cid:durableId="498930230">
    <w:abstractNumId w:val="12"/>
  </w:num>
  <w:num w:numId="23" w16cid:durableId="2130584206">
    <w:abstractNumId w:val="2"/>
  </w:num>
  <w:num w:numId="24" w16cid:durableId="17586749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2E8"/>
    <w:rsid w:val="00004822"/>
    <w:rsid w:val="000241BA"/>
    <w:rsid w:val="00026B97"/>
    <w:rsid w:val="00027121"/>
    <w:rsid w:val="00031D1B"/>
    <w:rsid w:val="00034BFB"/>
    <w:rsid w:val="00046B00"/>
    <w:rsid w:val="000626A2"/>
    <w:rsid w:val="00083989"/>
    <w:rsid w:val="00097A32"/>
    <w:rsid w:val="000B0890"/>
    <w:rsid w:val="000B191C"/>
    <w:rsid w:val="000D5A00"/>
    <w:rsid w:val="001015B5"/>
    <w:rsid w:val="00103FD8"/>
    <w:rsid w:val="00106CE5"/>
    <w:rsid w:val="00114FFB"/>
    <w:rsid w:val="001256A9"/>
    <w:rsid w:val="001416A1"/>
    <w:rsid w:val="001446E2"/>
    <w:rsid w:val="00146130"/>
    <w:rsid w:val="00152A7F"/>
    <w:rsid w:val="00172298"/>
    <w:rsid w:val="00173F6B"/>
    <w:rsid w:val="00193E30"/>
    <w:rsid w:val="001A21BE"/>
    <w:rsid w:val="001A6327"/>
    <w:rsid w:val="001A6574"/>
    <w:rsid w:val="001C3F21"/>
    <w:rsid w:val="001C54FC"/>
    <w:rsid w:val="001D3AE3"/>
    <w:rsid w:val="00207020"/>
    <w:rsid w:val="00232D89"/>
    <w:rsid w:val="0023536D"/>
    <w:rsid w:val="00236349"/>
    <w:rsid w:val="002803A6"/>
    <w:rsid w:val="002A40F6"/>
    <w:rsid w:val="002A63DA"/>
    <w:rsid w:val="002E24F6"/>
    <w:rsid w:val="002E2A51"/>
    <w:rsid w:val="002E3EF3"/>
    <w:rsid w:val="00317A89"/>
    <w:rsid w:val="00351CAC"/>
    <w:rsid w:val="00357E74"/>
    <w:rsid w:val="00361588"/>
    <w:rsid w:val="00363EA0"/>
    <w:rsid w:val="0036424D"/>
    <w:rsid w:val="00390C2C"/>
    <w:rsid w:val="003A7755"/>
    <w:rsid w:val="003B36C7"/>
    <w:rsid w:val="003C1FC8"/>
    <w:rsid w:val="003E4F54"/>
    <w:rsid w:val="003F1F93"/>
    <w:rsid w:val="003F4CB1"/>
    <w:rsid w:val="00401614"/>
    <w:rsid w:val="00404A87"/>
    <w:rsid w:val="00416633"/>
    <w:rsid w:val="0042566E"/>
    <w:rsid w:val="00440492"/>
    <w:rsid w:val="004450E3"/>
    <w:rsid w:val="004B1A50"/>
    <w:rsid w:val="004C5F48"/>
    <w:rsid w:val="004E4F67"/>
    <w:rsid w:val="004F7413"/>
    <w:rsid w:val="00500AB2"/>
    <w:rsid w:val="005117F5"/>
    <w:rsid w:val="005168AB"/>
    <w:rsid w:val="005465DF"/>
    <w:rsid w:val="005507F2"/>
    <w:rsid w:val="005608B9"/>
    <w:rsid w:val="005764F6"/>
    <w:rsid w:val="00597BF9"/>
    <w:rsid w:val="005A5EC8"/>
    <w:rsid w:val="005B668C"/>
    <w:rsid w:val="005C64A7"/>
    <w:rsid w:val="005C757B"/>
    <w:rsid w:val="005E003E"/>
    <w:rsid w:val="005F683D"/>
    <w:rsid w:val="006156C8"/>
    <w:rsid w:val="00650CD8"/>
    <w:rsid w:val="0067055C"/>
    <w:rsid w:val="00681141"/>
    <w:rsid w:val="006A22B7"/>
    <w:rsid w:val="006B2253"/>
    <w:rsid w:val="006C6834"/>
    <w:rsid w:val="007022DD"/>
    <w:rsid w:val="007102E8"/>
    <w:rsid w:val="00715245"/>
    <w:rsid w:val="00721C3D"/>
    <w:rsid w:val="007436BC"/>
    <w:rsid w:val="00745D82"/>
    <w:rsid w:val="00760CF3"/>
    <w:rsid w:val="007820A9"/>
    <w:rsid w:val="007834E8"/>
    <w:rsid w:val="007941F9"/>
    <w:rsid w:val="007A0F4A"/>
    <w:rsid w:val="007C0184"/>
    <w:rsid w:val="007C23B4"/>
    <w:rsid w:val="007E4F6D"/>
    <w:rsid w:val="007E5409"/>
    <w:rsid w:val="007F6FC4"/>
    <w:rsid w:val="008069A8"/>
    <w:rsid w:val="00810624"/>
    <w:rsid w:val="008174EF"/>
    <w:rsid w:val="00826779"/>
    <w:rsid w:val="0085148C"/>
    <w:rsid w:val="0085774A"/>
    <w:rsid w:val="00874D8A"/>
    <w:rsid w:val="008A0831"/>
    <w:rsid w:val="008C41B1"/>
    <w:rsid w:val="008E085E"/>
    <w:rsid w:val="00900A12"/>
    <w:rsid w:val="00926516"/>
    <w:rsid w:val="00932846"/>
    <w:rsid w:val="00954AFE"/>
    <w:rsid w:val="0095536C"/>
    <w:rsid w:val="009729DF"/>
    <w:rsid w:val="00972BFD"/>
    <w:rsid w:val="00983107"/>
    <w:rsid w:val="0099160F"/>
    <w:rsid w:val="0099453C"/>
    <w:rsid w:val="009B1C00"/>
    <w:rsid w:val="009B429A"/>
    <w:rsid w:val="009B4CD1"/>
    <w:rsid w:val="009B5BE2"/>
    <w:rsid w:val="00A12425"/>
    <w:rsid w:val="00A1732E"/>
    <w:rsid w:val="00A246CF"/>
    <w:rsid w:val="00A30BCF"/>
    <w:rsid w:val="00A33043"/>
    <w:rsid w:val="00A3503F"/>
    <w:rsid w:val="00A433E5"/>
    <w:rsid w:val="00A731EF"/>
    <w:rsid w:val="00A81651"/>
    <w:rsid w:val="00AB14CA"/>
    <w:rsid w:val="00AD1CDF"/>
    <w:rsid w:val="00AD348A"/>
    <w:rsid w:val="00AE3119"/>
    <w:rsid w:val="00AF2A5A"/>
    <w:rsid w:val="00B64137"/>
    <w:rsid w:val="00B67984"/>
    <w:rsid w:val="00B74E7E"/>
    <w:rsid w:val="00B96A88"/>
    <w:rsid w:val="00BA219D"/>
    <w:rsid w:val="00BC2CA9"/>
    <w:rsid w:val="00BC69C1"/>
    <w:rsid w:val="00BD24C1"/>
    <w:rsid w:val="00BE0114"/>
    <w:rsid w:val="00BE6425"/>
    <w:rsid w:val="00C042E1"/>
    <w:rsid w:val="00C07AB0"/>
    <w:rsid w:val="00C31D9E"/>
    <w:rsid w:val="00C36144"/>
    <w:rsid w:val="00C42FC9"/>
    <w:rsid w:val="00C43AAF"/>
    <w:rsid w:val="00C50BA2"/>
    <w:rsid w:val="00C70ECB"/>
    <w:rsid w:val="00C74405"/>
    <w:rsid w:val="00CA7C1E"/>
    <w:rsid w:val="00CB041A"/>
    <w:rsid w:val="00CD3EC8"/>
    <w:rsid w:val="00CE310E"/>
    <w:rsid w:val="00D16E31"/>
    <w:rsid w:val="00D27AF0"/>
    <w:rsid w:val="00D448B5"/>
    <w:rsid w:val="00D51A64"/>
    <w:rsid w:val="00D64B67"/>
    <w:rsid w:val="00D66260"/>
    <w:rsid w:val="00D71330"/>
    <w:rsid w:val="00D8147D"/>
    <w:rsid w:val="00D837FA"/>
    <w:rsid w:val="00DA0270"/>
    <w:rsid w:val="00DC0C51"/>
    <w:rsid w:val="00DC72BC"/>
    <w:rsid w:val="00DE6D8C"/>
    <w:rsid w:val="00E360AF"/>
    <w:rsid w:val="00E60AD8"/>
    <w:rsid w:val="00EB4F0D"/>
    <w:rsid w:val="00EE1AC5"/>
    <w:rsid w:val="00F060FE"/>
    <w:rsid w:val="00F10586"/>
    <w:rsid w:val="00F271CC"/>
    <w:rsid w:val="00F3447F"/>
    <w:rsid w:val="00F36767"/>
    <w:rsid w:val="00F4691A"/>
    <w:rsid w:val="00F74728"/>
    <w:rsid w:val="00F8616A"/>
    <w:rsid w:val="00F96F12"/>
    <w:rsid w:val="00FA4541"/>
    <w:rsid w:val="00FA5149"/>
    <w:rsid w:val="00FC6089"/>
    <w:rsid w:val="00FD70D8"/>
    <w:rsid w:val="00FD7EBC"/>
    <w:rsid w:val="00FE0598"/>
    <w:rsid w:val="00FF1DF4"/>
    <w:rsid w:val="00FF68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1E87B49D"/>
  <w15:chartTrackingRefBased/>
  <w15:docId w15:val="{B85C4430-FAC3-4F4F-B19D-198611B14E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6FC4"/>
    <w:rPr>
      <w:rFonts w:ascii="Ubuntu Light" w:hAnsi="Ubuntu Light"/>
      <w:sz w:val="24"/>
    </w:rPr>
  </w:style>
  <w:style w:type="paragraph" w:styleId="Heading1">
    <w:name w:val="heading 1"/>
    <w:basedOn w:val="Normal"/>
    <w:next w:val="Normal"/>
    <w:link w:val="Heading1Char"/>
    <w:autoRedefine/>
    <w:uiPriority w:val="9"/>
    <w:qFormat/>
    <w:rsid w:val="00F96F12"/>
    <w:pPr>
      <w:keepNext/>
      <w:keepLines/>
      <w:spacing w:before="240" w:after="0"/>
      <w:jc w:val="both"/>
      <w:outlineLvl w:val="0"/>
    </w:pPr>
    <w:rPr>
      <w:rFonts w:ascii="Ubuntu" w:eastAsiaTheme="majorEastAsia" w:hAnsi="Ubuntu" w:cstheme="minorHAnsi"/>
      <w:b/>
      <w:color w:val="325083"/>
      <w:sz w:val="40"/>
      <w:szCs w:val="40"/>
    </w:rPr>
  </w:style>
  <w:style w:type="paragraph" w:styleId="Heading2">
    <w:name w:val="heading 2"/>
    <w:basedOn w:val="Normal"/>
    <w:next w:val="Normal"/>
    <w:link w:val="Heading2Char"/>
    <w:autoRedefine/>
    <w:uiPriority w:val="9"/>
    <w:unhideWhenUsed/>
    <w:qFormat/>
    <w:rsid w:val="00031D1B"/>
    <w:pPr>
      <w:keepNext/>
      <w:keepLines/>
      <w:spacing w:before="40" w:after="0"/>
      <w:outlineLvl w:val="1"/>
    </w:pPr>
    <w:rPr>
      <w:rFonts w:ascii="Ubuntu" w:eastAsiaTheme="majorEastAsia" w:hAnsi="Ubuntu" w:cstheme="minorHAnsi"/>
      <w:b/>
      <w:color w:val="E03882"/>
      <w:sz w:val="32"/>
      <w:szCs w:val="32"/>
    </w:rPr>
  </w:style>
  <w:style w:type="paragraph" w:styleId="Heading3">
    <w:name w:val="heading 3"/>
    <w:basedOn w:val="Normal"/>
    <w:next w:val="Normal"/>
    <w:link w:val="Heading3Char"/>
    <w:uiPriority w:val="9"/>
    <w:unhideWhenUsed/>
    <w:qFormat/>
    <w:rsid w:val="00F10586"/>
    <w:pPr>
      <w:keepNext/>
      <w:keepLines/>
      <w:spacing w:before="40" w:after="0"/>
      <w:outlineLvl w:val="2"/>
    </w:pPr>
    <w:rPr>
      <w:rFonts w:ascii="Ubuntu" w:eastAsiaTheme="majorEastAsia" w:hAnsi="Ubuntu" w:cstheme="majorBidi"/>
      <w:b/>
      <w:color w:val="40A294"/>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7102E8"/>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7102E8"/>
    <w:rPr>
      <w:rFonts w:eastAsiaTheme="minorEastAsia"/>
      <w:lang w:val="en-US"/>
    </w:rPr>
  </w:style>
  <w:style w:type="character" w:styleId="Hyperlink">
    <w:name w:val="Hyperlink"/>
    <w:basedOn w:val="DefaultParagraphFont"/>
    <w:uiPriority w:val="99"/>
    <w:unhideWhenUsed/>
    <w:rsid w:val="007102E8"/>
    <w:rPr>
      <w:color w:val="0563C1" w:themeColor="hyperlink"/>
      <w:u w:val="single"/>
    </w:rPr>
  </w:style>
  <w:style w:type="character" w:customStyle="1" w:styleId="Heading1Char">
    <w:name w:val="Heading 1 Char"/>
    <w:basedOn w:val="DefaultParagraphFont"/>
    <w:link w:val="Heading1"/>
    <w:uiPriority w:val="9"/>
    <w:rsid w:val="00F96F12"/>
    <w:rPr>
      <w:rFonts w:ascii="Ubuntu" w:eastAsiaTheme="majorEastAsia" w:hAnsi="Ubuntu" w:cstheme="minorHAnsi"/>
      <w:b/>
      <w:color w:val="325083"/>
      <w:sz w:val="40"/>
      <w:szCs w:val="40"/>
    </w:rPr>
  </w:style>
  <w:style w:type="paragraph" w:styleId="TOCHeading">
    <w:name w:val="TOC Heading"/>
    <w:basedOn w:val="Heading1"/>
    <w:next w:val="Normal"/>
    <w:uiPriority w:val="39"/>
    <w:unhideWhenUsed/>
    <w:qFormat/>
    <w:rsid w:val="007102E8"/>
    <w:pPr>
      <w:outlineLvl w:val="9"/>
    </w:pPr>
    <w:rPr>
      <w:lang w:val="en-US"/>
    </w:rPr>
  </w:style>
  <w:style w:type="paragraph" w:styleId="ListParagraph">
    <w:name w:val="List Paragraph"/>
    <w:basedOn w:val="Normal"/>
    <w:uiPriority w:val="34"/>
    <w:qFormat/>
    <w:rsid w:val="007102E8"/>
    <w:pPr>
      <w:ind w:left="720"/>
      <w:contextualSpacing/>
    </w:pPr>
  </w:style>
  <w:style w:type="paragraph" w:styleId="TOC1">
    <w:name w:val="toc 1"/>
    <w:basedOn w:val="Normal"/>
    <w:next w:val="Normal"/>
    <w:autoRedefine/>
    <w:uiPriority w:val="39"/>
    <w:unhideWhenUsed/>
    <w:rsid w:val="007102E8"/>
    <w:pPr>
      <w:spacing w:after="100"/>
    </w:pPr>
  </w:style>
  <w:style w:type="character" w:customStyle="1" w:styleId="Heading2Char">
    <w:name w:val="Heading 2 Char"/>
    <w:basedOn w:val="DefaultParagraphFont"/>
    <w:link w:val="Heading2"/>
    <w:uiPriority w:val="9"/>
    <w:rsid w:val="00031D1B"/>
    <w:rPr>
      <w:rFonts w:ascii="Ubuntu" w:eastAsiaTheme="majorEastAsia" w:hAnsi="Ubuntu" w:cstheme="minorHAnsi"/>
      <w:b/>
      <w:color w:val="E03882"/>
      <w:sz w:val="32"/>
      <w:szCs w:val="32"/>
    </w:rPr>
  </w:style>
  <w:style w:type="paragraph" w:styleId="TOC2">
    <w:name w:val="toc 2"/>
    <w:basedOn w:val="Normal"/>
    <w:next w:val="Normal"/>
    <w:autoRedefine/>
    <w:uiPriority w:val="39"/>
    <w:unhideWhenUsed/>
    <w:rsid w:val="007102E8"/>
    <w:pPr>
      <w:spacing w:after="100"/>
      <w:ind w:left="220"/>
    </w:pPr>
  </w:style>
  <w:style w:type="character" w:styleId="CommentReference">
    <w:name w:val="annotation reference"/>
    <w:basedOn w:val="DefaultParagraphFont"/>
    <w:uiPriority w:val="99"/>
    <w:semiHidden/>
    <w:unhideWhenUsed/>
    <w:rsid w:val="00351CAC"/>
    <w:rPr>
      <w:sz w:val="16"/>
      <w:szCs w:val="16"/>
    </w:rPr>
  </w:style>
  <w:style w:type="paragraph" w:styleId="CommentText">
    <w:name w:val="annotation text"/>
    <w:basedOn w:val="Normal"/>
    <w:link w:val="CommentTextChar"/>
    <w:uiPriority w:val="99"/>
    <w:unhideWhenUsed/>
    <w:rsid w:val="00351CAC"/>
    <w:pPr>
      <w:spacing w:line="240" w:lineRule="auto"/>
    </w:pPr>
    <w:rPr>
      <w:sz w:val="20"/>
      <w:szCs w:val="20"/>
    </w:rPr>
  </w:style>
  <w:style w:type="character" w:customStyle="1" w:styleId="CommentTextChar">
    <w:name w:val="Comment Text Char"/>
    <w:basedOn w:val="DefaultParagraphFont"/>
    <w:link w:val="CommentText"/>
    <w:uiPriority w:val="99"/>
    <w:rsid w:val="00351CAC"/>
    <w:rPr>
      <w:sz w:val="20"/>
      <w:szCs w:val="20"/>
    </w:rPr>
  </w:style>
  <w:style w:type="paragraph" w:styleId="CommentSubject">
    <w:name w:val="annotation subject"/>
    <w:basedOn w:val="CommentText"/>
    <w:next w:val="CommentText"/>
    <w:link w:val="CommentSubjectChar"/>
    <w:uiPriority w:val="99"/>
    <w:semiHidden/>
    <w:unhideWhenUsed/>
    <w:rsid w:val="00351CAC"/>
    <w:rPr>
      <w:b/>
      <w:bCs/>
    </w:rPr>
  </w:style>
  <w:style w:type="character" w:customStyle="1" w:styleId="CommentSubjectChar">
    <w:name w:val="Comment Subject Char"/>
    <w:basedOn w:val="CommentTextChar"/>
    <w:link w:val="CommentSubject"/>
    <w:uiPriority w:val="99"/>
    <w:semiHidden/>
    <w:rsid w:val="00351CAC"/>
    <w:rPr>
      <w:b/>
      <w:bCs/>
      <w:sz w:val="20"/>
      <w:szCs w:val="20"/>
    </w:rPr>
  </w:style>
  <w:style w:type="character" w:customStyle="1" w:styleId="Heading3Char">
    <w:name w:val="Heading 3 Char"/>
    <w:basedOn w:val="DefaultParagraphFont"/>
    <w:link w:val="Heading3"/>
    <w:uiPriority w:val="9"/>
    <w:rsid w:val="00F10586"/>
    <w:rPr>
      <w:rFonts w:ascii="Ubuntu" w:eastAsiaTheme="majorEastAsia" w:hAnsi="Ubuntu" w:cstheme="majorBidi"/>
      <w:b/>
      <w:color w:val="40A294"/>
      <w:sz w:val="28"/>
      <w:szCs w:val="24"/>
    </w:rPr>
  </w:style>
  <w:style w:type="paragraph" w:styleId="TOC3">
    <w:name w:val="toc 3"/>
    <w:basedOn w:val="Normal"/>
    <w:next w:val="Normal"/>
    <w:autoRedefine/>
    <w:uiPriority w:val="39"/>
    <w:unhideWhenUsed/>
    <w:rsid w:val="0023536D"/>
    <w:pPr>
      <w:spacing w:after="100"/>
      <w:ind w:left="440"/>
    </w:pPr>
  </w:style>
  <w:style w:type="character" w:customStyle="1" w:styleId="UnresolvedMention1">
    <w:name w:val="Unresolved Mention1"/>
    <w:basedOn w:val="DefaultParagraphFont"/>
    <w:uiPriority w:val="99"/>
    <w:semiHidden/>
    <w:unhideWhenUsed/>
    <w:rsid w:val="0095536C"/>
    <w:rPr>
      <w:color w:val="605E5C"/>
      <w:shd w:val="clear" w:color="auto" w:fill="E1DFDD"/>
    </w:rPr>
  </w:style>
  <w:style w:type="paragraph" w:styleId="Header">
    <w:name w:val="header"/>
    <w:basedOn w:val="Normal"/>
    <w:link w:val="HeaderChar"/>
    <w:uiPriority w:val="99"/>
    <w:unhideWhenUsed/>
    <w:rsid w:val="004166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416633"/>
  </w:style>
  <w:style w:type="paragraph" w:styleId="Footer">
    <w:name w:val="footer"/>
    <w:basedOn w:val="Normal"/>
    <w:link w:val="FooterChar"/>
    <w:uiPriority w:val="99"/>
    <w:unhideWhenUsed/>
    <w:rsid w:val="004166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416633"/>
  </w:style>
  <w:style w:type="table" w:styleId="TableGrid">
    <w:name w:val="Table Grid"/>
    <w:basedOn w:val="TableNormal"/>
    <w:uiPriority w:val="39"/>
    <w:rsid w:val="000839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6424D"/>
    <w:rPr>
      <w:color w:val="954F72" w:themeColor="followedHyperlink"/>
      <w:u w:val="single"/>
    </w:rPr>
  </w:style>
  <w:style w:type="paragraph" w:styleId="EndnoteText">
    <w:name w:val="endnote text"/>
    <w:basedOn w:val="Normal"/>
    <w:link w:val="EndnoteTextChar"/>
    <w:uiPriority w:val="99"/>
    <w:semiHidden/>
    <w:unhideWhenUsed/>
    <w:rsid w:val="00FE059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E0598"/>
    <w:rPr>
      <w:sz w:val="20"/>
      <w:szCs w:val="20"/>
    </w:rPr>
  </w:style>
  <w:style w:type="character" w:styleId="EndnoteReference">
    <w:name w:val="endnote reference"/>
    <w:basedOn w:val="DefaultParagraphFont"/>
    <w:uiPriority w:val="99"/>
    <w:semiHidden/>
    <w:unhideWhenUsed/>
    <w:rsid w:val="00FE0598"/>
    <w:rPr>
      <w:vertAlign w:val="superscript"/>
    </w:rPr>
  </w:style>
  <w:style w:type="paragraph" w:styleId="FootnoteText">
    <w:name w:val="footnote text"/>
    <w:basedOn w:val="Normal"/>
    <w:link w:val="FootnoteTextChar"/>
    <w:uiPriority w:val="99"/>
    <w:unhideWhenUsed/>
    <w:rsid w:val="00F3447F"/>
    <w:pPr>
      <w:spacing w:after="0" w:line="240" w:lineRule="auto"/>
    </w:pPr>
    <w:rPr>
      <w:sz w:val="20"/>
      <w:szCs w:val="20"/>
    </w:rPr>
  </w:style>
  <w:style w:type="character" w:customStyle="1" w:styleId="FootnoteTextChar">
    <w:name w:val="Footnote Text Char"/>
    <w:basedOn w:val="DefaultParagraphFont"/>
    <w:link w:val="FootnoteText"/>
    <w:uiPriority w:val="99"/>
    <w:rsid w:val="00F3447F"/>
    <w:rPr>
      <w:sz w:val="20"/>
      <w:szCs w:val="20"/>
    </w:rPr>
  </w:style>
  <w:style w:type="character" w:styleId="FootnoteReference">
    <w:name w:val="footnote reference"/>
    <w:basedOn w:val="DefaultParagraphFont"/>
    <w:uiPriority w:val="99"/>
    <w:semiHidden/>
    <w:unhideWhenUsed/>
    <w:rsid w:val="00F3447F"/>
    <w:rPr>
      <w:vertAlign w:val="superscript"/>
    </w:rPr>
  </w:style>
  <w:style w:type="character" w:styleId="HTMLTypewriter">
    <w:name w:val="HTML Typewriter"/>
    <w:basedOn w:val="DefaultParagraphFont"/>
    <w:uiPriority w:val="99"/>
    <w:semiHidden/>
    <w:unhideWhenUsed/>
    <w:rsid w:val="00BE6425"/>
    <w:rPr>
      <w:rFonts w:ascii="Courier New" w:eastAsia="Times New Roman" w:hAnsi="Courier New" w:cs="Courier New"/>
      <w:sz w:val="20"/>
      <w:szCs w:val="20"/>
    </w:rPr>
  </w:style>
  <w:style w:type="character" w:customStyle="1" w:styleId="ui-provider">
    <w:name w:val="ui-provider"/>
    <w:basedOn w:val="DefaultParagraphFont"/>
    <w:rsid w:val="007F6FC4"/>
  </w:style>
  <w:style w:type="table" w:styleId="PlainTable2">
    <w:name w:val="Plain Table 2"/>
    <w:basedOn w:val="TableNormal"/>
    <w:uiPriority w:val="42"/>
    <w:rsid w:val="00173F6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173F6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BalloonText">
    <w:name w:val="Balloon Text"/>
    <w:basedOn w:val="Normal"/>
    <w:link w:val="BalloonTextChar"/>
    <w:uiPriority w:val="99"/>
    <w:semiHidden/>
    <w:unhideWhenUsed/>
    <w:rsid w:val="001722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2298"/>
    <w:rPr>
      <w:rFonts w:ascii="Segoe UI" w:hAnsi="Segoe UI" w:cs="Segoe UI"/>
      <w:sz w:val="18"/>
      <w:szCs w:val="18"/>
    </w:rPr>
  </w:style>
  <w:style w:type="paragraph" w:styleId="Caption">
    <w:name w:val="caption"/>
    <w:basedOn w:val="Normal"/>
    <w:next w:val="Normal"/>
    <w:uiPriority w:val="35"/>
    <w:semiHidden/>
    <w:unhideWhenUsed/>
    <w:qFormat/>
    <w:rsid w:val="00401614"/>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2581330">
      <w:bodyDiv w:val="1"/>
      <w:marLeft w:val="0"/>
      <w:marRight w:val="0"/>
      <w:marTop w:val="0"/>
      <w:marBottom w:val="0"/>
      <w:divBdr>
        <w:top w:val="none" w:sz="0" w:space="0" w:color="auto"/>
        <w:left w:val="none" w:sz="0" w:space="0" w:color="auto"/>
        <w:bottom w:val="none" w:sz="0" w:space="0" w:color="auto"/>
        <w:right w:val="none" w:sz="0" w:space="0" w:color="auto"/>
      </w:divBdr>
    </w:div>
    <w:div w:id="1754084136">
      <w:bodyDiv w:val="1"/>
      <w:marLeft w:val="0"/>
      <w:marRight w:val="0"/>
      <w:marTop w:val="0"/>
      <w:marBottom w:val="0"/>
      <w:divBdr>
        <w:top w:val="none" w:sz="0" w:space="0" w:color="auto"/>
        <w:left w:val="none" w:sz="0" w:space="0" w:color="auto"/>
        <w:bottom w:val="none" w:sz="0" w:space="0" w:color="auto"/>
        <w:right w:val="none" w:sz="0" w:space="0" w:color="auto"/>
      </w:divBdr>
    </w:div>
    <w:div w:id="1818767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nationalarchives.gov.uk/doc/open-government-licence/version/3/" TargetMode="External"/><Relationship Id="rId18" Type="http://schemas.openxmlformats.org/officeDocument/2006/relationships/hyperlink" Target="https://phw.nhs.wales/services-and-teams/welsh-cancer-intelligence-and-surveillance-unit-wcisu/" TargetMode="Externa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hyperlink" Target="https://www.futuregenerations.wales/about-us/future-generations-act/"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phw.nhs.wales/services-and-teams/welsh-cancer-intelligence-and-surveillance-unit-wcisu/" TargetMode="External"/><Relationship Id="rId17" Type="http://schemas.openxmlformats.org/officeDocument/2006/relationships/hyperlink" Target="https://www.ons.gov.uk/peoplepopulationandcommunity/populationandmigration/populationestimates/methodologies/methodologyguideformid2015ukpopulationestimatesenglandandwalesjune2016" TargetMode="External"/><Relationship Id="rId25" Type="http://schemas.openxmlformats.org/officeDocument/2006/relationships/image" Target="media/image7.pn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yperlink" Target="https://gov.wales/sites/default/files/consultations/2018-02/160322-wg-response-en.pdf" TargetMode="Externa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WCU.Stats@wales.nhs.uk" TargetMode="External"/><Relationship Id="rId24" Type="http://schemas.openxmlformats.org/officeDocument/2006/relationships/image" Target="media/image6.png"/><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gov.wales/welsh-index-multiple-deprivation" TargetMode="External"/><Relationship Id="rId23" Type="http://schemas.openxmlformats.org/officeDocument/2006/relationships/image" Target="media/image5.emf"/><Relationship Id="rId28" Type="http://schemas.openxmlformats.org/officeDocument/2006/relationships/image" Target="media/image10.png"/><Relationship Id="rId10" Type="http://schemas.openxmlformats.org/officeDocument/2006/relationships/hyperlink" Target="https://phw.nhs.wales/services-and-teams/welsh-cancer-intelligence-and-surveillance-unit-wcisu/cancer-reporting-tool/" TargetMode="External"/><Relationship Id="rId19" Type="http://schemas.openxmlformats.org/officeDocument/2006/relationships/hyperlink" Target="mailto:WCU.stats@wales.nhs.uk" TargetMode="External"/><Relationship Id="rId31"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png"/><Relationship Id="rId22" Type="http://schemas.openxmlformats.org/officeDocument/2006/relationships/hyperlink" Target="https://www.google.co.uk/url?sa=t&amp;rct=j&amp;q=&amp;esrc=s&amp;source=web&amp;cd=1&amp;ved=0ahUKEwjEzqz-zv3YAhVIWBQKHS4PBl4QFggqMAA&amp;url=https%3A%2F%2Fwww.ons.gov.uk%2Ffile%3Furi%3D%2Fmethodology%2Fmethodologytopicsandstatisticalconcepts%2Fdisclosurecontrol%2Fguidanceforbirthanddeathsstatistics%2Fdisclosurecontrolguidanceforbirthanddeathstatisticsv2tcm77351338.pdf&amp;usg=AOvVaw1SkvdjsWofGcC4fLnbU71X" TargetMode="Externa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theme" Target="theme/theme1.xm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2" Type="http://schemas.openxmlformats.org/officeDocument/2006/relationships/hyperlink" Target="https://www.encr.eu/sites/default/files/inline-files/Cancer%20Data%20Quality%20Checks%20Procedure%20Report%20online.pdf" TargetMode="External"/><Relationship Id="rId1" Type="http://schemas.openxmlformats.org/officeDocument/2006/relationships/hyperlink" Target="https://webarchive.nationalarchives.gov.uk/20160106020035/http:/www.ons.gov.uk/ons/guide-method/user-guidance/health-and-life-events/revised-european-standard-population-2013--2013-esp-/index.htm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0BD5765A-5ED6-4223-858A-9202CDF8BC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35</Pages>
  <Words>8795</Words>
  <Characters>50133</Characters>
  <Application>Microsoft Office Word</Application>
  <DocSecurity>0</DocSecurity>
  <Lines>417</Lines>
  <Paragraphs>117</Paragraphs>
  <ScaleCrop>false</ScaleCrop>
  <HeadingPairs>
    <vt:vector size="2" baseType="variant">
      <vt:variant>
        <vt:lpstr>Title</vt:lpstr>
      </vt:variant>
      <vt:variant>
        <vt:i4>1</vt:i4>
      </vt:variant>
    </vt:vector>
  </HeadingPairs>
  <TitlesOfParts>
    <vt:vector size="1" baseType="lpstr">
      <vt:lpstr>cANCER ANALYSIS TOOL</vt:lpstr>
    </vt:vector>
  </TitlesOfParts>
  <Company>Public Health Wales</Company>
  <LinksUpToDate>false</LinksUpToDate>
  <CharactersWithSpaces>58811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cANCER ANALYSIS TOOL</dc:title>
  <dc:subject/>
  <dc:creator>Ffion Thomas</dc:creator>
  <cp:keywords/>
  <dc:description/>
  <cp:lastModifiedBy>Alice Cockrell (Public Health Wales)</cp:lastModifiedBy>
  <cp:revision>4</cp:revision>
  <dcterms:created xsi:type="dcterms:W3CDTF">2023-08-21T08:54:00Z</dcterms:created>
  <dcterms:modified xsi:type="dcterms:W3CDTF">2023-08-21T09:16:00Z</dcterms:modified>
</cp:coreProperties>
</file>