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A3AEBD" w14:textId="6EBC48D6" w:rsidR="00D837FA" w:rsidRDefault="00E43A91" w:rsidP="00317A89">
      <w:pPr>
        <w:jc w:val="both"/>
      </w:pPr>
      <w:bookmarkStart w:id="0" w:name="_Hlk137809580"/>
      <w:r>
        <w:rPr>
          <w:noProof/>
          <w:lang w:eastAsia="en-GB"/>
        </w:rPr>
        <w:drawing>
          <wp:anchor distT="0" distB="0" distL="114300" distR="114300" simplePos="0" relativeHeight="251658241" behindDoc="0" locked="0" layoutInCell="1" allowOverlap="1" wp14:anchorId="0B3E49B8" wp14:editId="4843287C">
            <wp:simplePos x="0" y="0"/>
            <wp:positionH relativeFrom="margin">
              <wp:align>left</wp:align>
            </wp:positionH>
            <wp:positionV relativeFrom="paragraph">
              <wp:posOffset>-63500</wp:posOffset>
            </wp:positionV>
            <wp:extent cx="3362960" cy="7874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62960" cy="7874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2" behindDoc="1" locked="0" layoutInCell="1" allowOverlap="1" wp14:anchorId="352039A9" wp14:editId="3E9A6237">
            <wp:simplePos x="0" y="0"/>
            <wp:positionH relativeFrom="margin">
              <wp:align>center</wp:align>
            </wp:positionH>
            <wp:positionV relativeFrom="paragraph">
              <wp:posOffset>-450850</wp:posOffset>
            </wp:positionV>
            <wp:extent cx="6713855" cy="1653871"/>
            <wp:effectExtent l="0" t="0" r="0" b="3810"/>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13855" cy="1653871"/>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151120554"/>
      <w:bookmarkEnd w:id="1"/>
    </w:p>
    <w:p w14:paraId="7060E7F2" w14:textId="565EF8F8" w:rsidR="007102E8" w:rsidRDefault="00E43A91" w:rsidP="00317A89">
      <w:pPr>
        <w:jc w:val="both"/>
      </w:pPr>
      <w:bookmarkStart w:id="2" w:name="_top"/>
      <w:bookmarkStart w:id="3" w:name="_Hlk124510074"/>
      <w:bookmarkEnd w:id="0"/>
      <w:bookmarkEnd w:id="2"/>
      <w:r>
        <w:rPr>
          <w:noProof/>
          <w:lang w:eastAsia="en-GB"/>
        </w:rPr>
        <w:drawing>
          <wp:anchor distT="0" distB="0" distL="114300" distR="114300" simplePos="0" relativeHeight="251658243" behindDoc="1" locked="0" layoutInCell="1" allowOverlap="1" wp14:anchorId="5E6A75F6" wp14:editId="5DF80437">
            <wp:simplePos x="0" y="0"/>
            <wp:positionH relativeFrom="margin">
              <wp:align>center</wp:align>
            </wp:positionH>
            <wp:positionV relativeFrom="paragraph">
              <wp:posOffset>3639185</wp:posOffset>
            </wp:positionV>
            <wp:extent cx="6713855" cy="5133340"/>
            <wp:effectExtent l="0" t="0" r="0" b="0"/>
            <wp:wrapNone/>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713855" cy="5133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498E">
        <w:rPr>
          <w:noProof/>
          <w:lang w:eastAsia="en-GB"/>
        </w:rPr>
        <mc:AlternateContent>
          <mc:Choice Requires="wps">
            <w:drawing>
              <wp:anchor distT="0" distB="0" distL="114300" distR="114300" simplePos="0" relativeHeight="251658240" behindDoc="0" locked="0" layoutInCell="1" allowOverlap="1" wp14:anchorId="2EB2CA66" wp14:editId="63A2A683">
                <wp:simplePos x="0" y="0"/>
                <wp:positionH relativeFrom="margin">
                  <wp:align>center</wp:align>
                </wp:positionH>
                <wp:positionV relativeFrom="paragraph">
                  <wp:posOffset>1579024</wp:posOffset>
                </wp:positionV>
                <wp:extent cx="6837528" cy="1446530"/>
                <wp:effectExtent l="0" t="0" r="1905" b="1270"/>
                <wp:wrapNone/>
                <wp:docPr id="8" name="Text Box 8"/>
                <wp:cNvGraphicFramePr/>
                <a:graphic xmlns:a="http://schemas.openxmlformats.org/drawingml/2006/main">
                  <a:graphicData uri="http://schemas.microsoft.com/office/word/2010/wordprocessingShape">
                    <wps:wsp>
                      <wps:cNvSpPr txBox="1"/>
                      <wps:spPr>
                        <a:xfrm>
                          <a:off x="0" y="0"/>
                          <a:ext cx="6837528" cy="1446530"/>
                        </a:xfrm>
                        <a:prstGeom prst="rect">
                          <a:avLst/>
                        </a:prstGeom>
                        <a:solidFill>
                          <a:schemeClr val="lt1"/>
                        </a:solidFill>
                        <a:ln w="6350">
                          <a:noFill/>
                        </a:ln>
                      </wps:spPr>
                      <wps:txbx>
                        <w:txbxContent>
                          <w:p w14:paraId="50AA1C18" w14:textId="18B8794D" w:rsidR="00176D76" w:rsidRPr="000D5A00" w:rsidRDefault="00176D76"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176D76" w:rsidRPr="00F96F12" w:rsidRDefault="00176D76" w:rsidP="00D837FA">
                            <w:pPr>
                              <w:jc w:val="center"/>
                              <w:rPr>
                                <w:rFonts w:ascii="Ubuntu" w:hAnsi="Ubuntu"/>
                                <w:color w:val="E03882"/>
                                <w:sz w:val="72"/>
                                <w:szCs w:val="72"/>
                              </w:rPr>
                            </w:pPr>
                            <w:r w:rsidRPr="00F96F12">
                              <w:rPr>
                                <w:rFonts w:ascii="Ubuntu" w:hAnsi="Ubuntu"/>
                                <w:color w:val="E03882"/>
                                <w:sz w:val="72"/>
                                <w:szCs w:val="72"/>
                              </w:rPr>
                              <w:t>Technical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B2CA66" id="_x0000_t202" coordsize="21600,21600" o:spt="202" path="m,l,21600r21600,l21600,xe">
                <v:stroke joinstyle="miter"/>
                <v:path gradientshapeok="t" o:connecttype="rect"/>
              </v:shapetype>
              <v:shape id="Text Box 8" o:spid="_x0000_s1026" type="#_x0000_t202" style="position:absolute;left:0;text-align:left;margin-left:0;margin-top:124.35pt;width:538.4pt;height:113.9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" fillcolor="white [3201]" stroked="f" strokeweight=".5pt">
                <v:textbox>
                  <w:txbxContent>
                    <w:p w14:paraId="50AA1C18" w14:textId="18B8794D" w:rsidR="00176D76" w:rsidRPr="000D5A00" w:rsidRDefault="00176D76" w:rsidP="00D837FA">
                      <w:pPr>
                        <w:jc w:val="center"/>
                        <w:rPr>
                          <w:rFonts w:ascii="Ubuntu" w:hAnsi="Ubuntu"/>
                          <w:b/>
                          <w:bCs/>
                          <w:color w:val="336699"/>
                          <w:sz w:val="92"/>
                          <w:szCs w:val="92"/>
                        </w:rPr>
                      </w:pPr>
                      <w:r w:rsidRPr="000D5A00">
                        <w:rPr>
                          <w:rFonts w:ascii="Ubuntu" w:hAnsi="Ubuntu"/>
                          <w:b/>
                          <w:bCs/>
                          <w:color w:val="336699"/>
                          <w:sz w:val="92"/>
                          <w:szCs w:val="92"/>
                        </w:rPr>
                        <w:t>Cancer Reporting Tool</w:t>
                      </w:r>
                    </w:p>
                    <w:p w14:paraId="4FA21FD8" w14:textId="711FC9AA" w:rsidR="00176D76" w:rsidRPr="00F96F12" w:rsidRDefault="00176D76" w:rsidP="00D837FA">
                      <w:pPr>
                        <w:jc w:val="center"/>
                        <w:rPr>
                          <w:rFonts w:ascii="Ubuntu" w:hAnsi="Ubuntu"/>
                          <w:color w:val="E03882"/>
                          <w:sz w:val="72"/>
                          <w:szCs w:val="72"/>
                        </w:rPr>
                      </w:pPr>
                      <w:r w:rsidRPr="00F96F12">
                        <w:rPr>
                          <w:rFonts w:ascii="Ubuntu" w:hAnsi="Ubuntu"/>
                          <w:color w:val="E03882"/>
                          <w:sz w:val="72"/>
                          <w:szCs w:val="72"/>
                        </w:rPr>
                        <w:t>Technical Guide</w:t>
                      </w:r>
                    </w:p>
                  </w:txbxContent>
                </v:textbox>
                <w10:wrap anchorx="margin"/>
              </v:shape>
            </w:pict>
          </mc:Fallback>
        </mc:AlternateContent>
      </w:r>
      <w:r w:rsidR="00D837FA">
        <w:br w:type="page"/>
      </w:r>
      <w:bookmarkEnd w:id="3"/>
    </w:p>
    <w:p w14:paraId="0B4ED286" w14:textId="3E7AD225" w:rsidR="007102E8" w:rsidRPr="007F6FC4" w:rsidRDefault="007102E8" w:rsidP="00317A89">
      <w:pPr>
        <w:jc w:val="both"/>
        <w:rPr>
          <w:szCs w:val="24"/>
        </w:rPr>
      </w:pPr>
      <w:r w:rsidRPr="007F6FC4">
        <w:rPr>
          <w:szCs w:val="24"/>
        </w:rPr>
        <w:lastRenderedPageBreak/>
        <w:t xml:space="preserve">This document is part of the Cancer </w:t>
      </w:r>
      <w:r w:rsidR="003A7755" w:rsidRPr="007F6FC4">
        <w:rPr>
          <w:szCs w:val="24"/>
        </w:rPr>
        <w:t>Reporting</w:t>
      </w:r>
      <w:r w:rsidRPr="007F6FC4">
        <w:rPr>
          <w:szCs w:val="24"/>
        </w:rPr>
        <w:t xml:space="preserve"> Tool Official Statistics publication.</w:t>
      </w:r>
    </w:p>
    <w:p w14:paraId="69EF214A" w14:textId="77777777" w:rsidR="007102E8" w:rsidRPr="007F6FC4" w:rsidRDefault="007102E8" w:rsidP="00317A89">
      <w:pPr>
        <w:jc w:val="both"/>
        <w:rPr>
          <w:szCs w:val="24"/>
        </w:rPr>
      </w:pPr>
      <w:r w:rsidRPr="007F6FC4">
        <w:rPr>
          <w:szCs w:val="24"/>
        </w:rPr>
        <w:t xml:space="preserve">The full publication is available at: </w:t>
      </w:r>
    </w:p>
    <w:p w14:paraId="7BF3A5A0" w14:textId="7037A54B" w:rsidR="005F683D" w:rsidRPr="00104675" w:rsidRDefault="00104675" w:rsidP="005F683D">
      <w:pPr>
        <w:rPr>
          <w:rStyle w:val="Hyperlink"/>
          <w:rFonts w:ascii="Calibri" w:hAnsi="Calibri"/>
          <w:sz w:val="22"/>
        </w:rPr>
      </w:pPr>
      <w:r>
        <w:fldChar w:fldCharType="begin"/>
      </w:r>
      <w:r>
        <w:instrText>HYPERLINK "https://phw.nhs.wales/services-and-teams/welsh-cancer-intelligence-and-surveillance-unit-wcisu/cancer-reporting-tool-official-statistics/"</w:instrText>
      </w:r>
      <w:r>
        <w:fldChar w:fldCharType="separate"/>
      </w:r>
      <w:r w:rsidR="005F683D" w:rsidRPr="00104675">
        <w:rPr>
          <w:rStyle w:val="Hyperlink"/>
        </w:rPr>
        <w:t>https://phw.nhs.wales/services-and-teams/welsh-cancer-intelligence-and-surveillance-unit-wcisu/cancer-reporting-tool/</w:t>
      </w:r>
    </w:p>
    <w:p w14:paraId="1337565F" w14:textId="6FD3C0D3" w:rsidR="007F6FC4" w:rsidRPr="007F6FC4" w:rsidRDefault="00104675" w:rsidP="00317A89">
      <w:pPr>
        <w:jc w:val="both"/>
        <w:rPr>
          <w:szCs w:val="24"/>
        </w:rPr>
      </w:pPr>
      <w:r>
        <w:fldChar w:fldCharType="end"/>
      </w:r>
    </w:p>
    <w:p w14:paraId="1F371F58" w14:textId="77777777" w:rsidR="007102E8" w:rsidRPr="007F6FC4" w:rsidRDefault="007102E8" w:rsidP="00317A89">
      <w:pPr>
        <w:jc w:val="both"/>
        <w:rPr>
          <w:szCs w:val="24"/>
        </w:rPr>
      </w:pPr>
      <w:r w:rsidRPr="007F6FC4">
        <w:rPr>
          <w:szCs w:val="24"/>
        </w:rPr>
        <w:t>For further information, or to provide feedback on this document, please contact us:</w:t>
      </w:r>
    </w:p>
    <w:p w14:paraId="20BA29E5" w14:textId="77777777" w:rsidR="007102E8" w:rsidRPr="007F6FC4" w:rsidRDefault="007102E8" w:rsidP="00317A89">
      <w:pPr>
        <w:jc w:val="both"/>
        <w:rPr>
          <w:szCs w:val="24"/>
        </w:rPr>
      </w:pPr>
      <w:r w:rsidRPr="007F6FC4">
        <w:rPr>
          <w:szCs w:val="24"/>
        </w:rPr>
        <w:t>Welsh Cancer Intelligence and Surveillance Unit</w:t>
      </w:r>
    </w:p>
    <w:p w14:paraId="20E5EF24" w14:textId="77777777" w:rsidR="007102E8" w:rsidRPr="007F6FC4" w:rsidRDefault="007102E8" w:rsidP="00317A89">
      <w:pPr>
        <w:jc w:val="both"/>
        <w:rPr>
          <w:szCs w:val="24"/>
        </w:rPr>
      </w:pPr>
      <w:r w:rsidRPr="007F6FC4">
        <w:rPr>
          <w:szCs w:val="24"/>
        </w:rPr>
        <w:t>2 Capital Quarter</w:t>
      </w:r>
    </w:p>
    <w:p w14:paraId="3013ED5A" w14:textId="77777777" w:rsidR="007102E8" w:rsidRPr="007F6FC4" w:rsidRDefault="007102E8" w:rsidP="00317A89">
      <w:pPr>
        <w:jc w:val="both"/>
        <w:rPr>
          <w:szCs w:val="24"/>
        </w:rPr>
      </w:pPr>
      <w:r w:rsidRPr="007F6FC4">
        <w:rPr>
          <w:szCs w:val="24"/>
        </w:rPr>
        <w:t>Tyndall Street</w:t>
      </w:r>
    </w:p>
    <w:p w14:paraId="07857528" w14:textId="77777777" w:rsidR="007102E8" w:rsidRPr="007F6FC4" w:rsidRDefault="007102E8" w:rsidP="00317A89">
      <w:pPr>
        <w:jc w:val="both"/>
        <w:rPr>
          <w:szCs w:val="24"/>
        </w:rPr>
      </w:pPr>
      <w:r w:rsidRPr="007F6FC4">
        <w:rPr>
          <w:szCs w:val="24"/>
        </w:rPr>
        <w:t xml:space="preserve">Cardiff </w:t>
      </w:r>
    </w:p>
    <w:p w14:paraId="25EC42BE" w14:textId="77777777" w:rsidR="007102E8" w:rsidRPr="007F6FC4" w:rsidRDefault="007102E8" w:rsidP="00317A89">
      <w:pPr>
        <w:jc w:val="both"/>
        <w:rPr>
          <w:szCs w:val="24"/>
        </w:rPr>
      </w:pPr>
      <w:r w:rsidRPr="007F6FC4">
        <w:rPr>
          <w:szCs w:val="24"/>
        </w:rPr>
        <w:t>CF10 4BZ</w:t>
      </w:r>
    </w:p>
    <w:p w14:paraId="73C94A3D" w14:textId="77777777" w:rsidR="007102E8" w:rsidRPr="007F6FC4" w:rsidRDefault="007102E8" w:rsidP="00317A89">
      <w:pPr>
        <w:jc w:val="both"/>
        <w:rPr>
          <w:szCs w:val="24"/>
        </w:rPr>
      </w:pPr>
    </w:p>
    <w:p w14:paraId="0C31F07D" w14:textId="27990D69" w:rsidR="007102E8" w:rsidRPr="007F6FC4" w:rsidRDefault="007102E8" w:rsidP="00317A89">
      <w:pPr>
        <w:jc w:val="both"/>
        <w:rPr>
          <w:szCs w:val="24"/>
        </w:rPr>
      </w:pPr>
      <w:r w:rsidRPr="007F6FC4">
        <w:rPr>
          <w:szCs w:val="24"/>
        </w:rPr>
        <w:t xml:space="preserve">Email: </w:t>
      </w:r>
      <w:hyperlink r:id="rId13" w:history="1">
        <w:r w:rsidR="0036498D" w:rsidRPr="0036498D">
          <w:rPr>
            <w:rStyle w:val="Hyperlink"/>
            <w:szCs w:val="24"/>
          </w:rPr>
          <w:t>wcu.stats@wales.nhs.uk</w:t>
        </w:r>
      </w:hyperlink>
    </w:p>
    <w:p w14:paraId="72E3954B" w14:textId="66C78FC9" w:rsidR="007102E8" w:rsidRPr="007F6FC4" w:rsidRDefault="007102E8" w:rsidP="00D8147D">
      <w:pPr>
        <w:rPr>
          <w:szCs w:val="24"/>
        </w:rPr>
      </w:pPr>
      <w:r w:rsidRPr="007F6FC4">
        <w:rPr>
          <w:szCs w:val="24"/>
        </w:rPr>
        <w:t>Website</w:t>
      </w:r>
      <w:r w:rsidR="00D8147D" w:rsidRPr="007F6FC4">
        <w:rPr>
          <w:szCs w:val="24"/>
        </w:rPr>
        <w:t xml:space="preserve">: </w:t>
      </w:r>
      <w:hyperlink r:id="rId14" w:history="1">
        <w:r w:rsidR="00D8147D" w:rsidRPr="00E35289">
          <w:rPr>
            <w:rStyle w:val="Hyperlink"/>
            <w:szCs w:val="24"/>
          </w:rPr>
          <w:t>https://phw.nhs.wales/services-and-teams/welsh-cancer-intelligence-and-surveillance-unit-wcisu/</w:t>
        </w:r>
      </w:hyperlink>
    </w:p>
    <w:p w14:paraId="1FE34CB1" w14:textId="77777777" w:rsidR="007102E8" w:rsidRDefault="007102E8" w:rsidP="00317A89">
      <w:pPr>
        <w:jc w:val="both"/>
        <w:rPr>
          <w:rFonts w:ascii="Verdana" w:hAnsi="Verdana"/>
          <w:sz w:val="20"/>
          <w:szCs w:val="20"/>
        </w:rPr>
      </w:pPr>
    </w:p>
    <w:p w14:paraId="6E01F23F" w14:textId="77777777" w:rsidR="007102E8" w:rsidRDefault="007102E8" w:rsidP="00317A89">
      <w:pPr>
        <w:jc w:val="both"/>
        <w:rPr>
          <w:rFonts w:ascii="Verdana" w:hAnsi="Verdana"/>
          <w:sz w:val="20"/>
          <w:szCs w:val="20"/>
        </w:rPr>
      </w:pPr>
    </w:p>
    <w:p w14:paraId="5BB753D2" w14:textId="77777777" w:rsidR="007102E8" w:rsidRDefault="007102E8" w:rsidP="00317A89">
      <w:pPr>
        <w:jc w:val="both"/>
        <w:rPr>
          <w:rFonts w:ascii="Verdana" w:hAnsi="Verdana"/>
          <w:sz w:val="20"/>
          <w:szCs w:val="20"/>
        </w:rPr>
      </w:pPr>
    </w:p>
    <w:p w14:paraId="23177FB9" w14:textId="77777777" w:rsidR="007102E8" w:rsidRDefault="007102E8" w:rsidP="00317A89">
      <w:pPr>
        <w:jc w:val="both"/>
        <w:rPr>
          <w:rFonts w:ascii="Verdana" w:hAnsi="Verdana"/>
          <w:sz w:val="20"/>
          <w:szCs w:val="20"/>
        </w:rPr>
      </w:pPr>
    </w:p>
    <w:p w14:paraId="578BAD47" w14:textId="77777777" w:rsidR="007102E8" w:rsidRDefault="007102E8" w:rsidP="00317A89">
      <w:pPr>
        <w:jc w:val="both"/>
        <w:rPr>
          <w:rFonts w:ascii="Verdana" w:hAnsi="Verdana"/>
          <w:sz w:val="20"/>
          <w:szCs w:val="20"/>
        </w:rPr>
      </w:pPr>
    </w:p>
    <w:p w14:paraId="2FA05453" w14:textId="6ACD0148" w:rsidR="007102E8" w:rsidRDefault="007102E8" w:rsidP="00317A89">
      <w:pPr>
        <w:jc w:val="both"/>
        <w:rPr>
          <w:rFonts w:ascii="Verdana" w:hAnsi="Verdana"/>
          <w:sz w:val="20"/>
          <w:szCs w:val="20"/>
        </w:rPr>
      </w:pPr>
    </w:p>
    <w:p w14:paraId="2021BD59" w14:textId="77777777" w:rsidR="007102E8" w:rsidRPr="007F6FC4" w:rsidRDefault="007102E8" w:rsidP="00317A89">
      <w:pPr>
        <w:jc w:val="both"/>
        <w:rPr>
          <w:szCs w:val="24"/>
        </w:rPr>
      </w:pPr>
    </w:p>
    <w:p w14:paraId="4969C863" w14:textId="547CE2B9" w:rsidR="007102E8" w:rsidRPr="007F6FC4" w:rsidRDefault="007102E8" w:rsidP="00317A89">
      <w:pPr>
        <w:jc w:val="both"/>
      </w:pPr>
      <w:r>
        <w:t xml:space="preserve">Date: </w:t>
      </w:r>
      <w:r w:rsidR="365D80F7">
        <w:t xml:space="preserve">October </w:t>
      </w:r>
      <w:r w:rsidR="00FB0F98">
        <w:t>202</w:t>
      </w:r>
      <w:r w:rsidR="7EB7E5CE">
        <w:t>5</w:t>
      </w:r>
    </w:p>
    <w:p w14:paraId="7A395B9F" w14:textId="10265D43" w:rsidR="007102E8" w:rsidRPr="007F6FC4" w:rsidRDefault="007102E8" w:rsidP="00317A89">
      <w:pPr>
        <w:jc w:val="both"/>
      </w:pPr>
      <w:r>
        <w:t>© 202</w:t>
      </w:r>
      <w:r w:rsidR="515FCFD1">
        <w:t xml:space="preserve">5 </w:t>
      </w:r>
      <w:r>
        <w:t>Public Health Wales NHS Trust</w:t>
      </w:r>
    </w:p>
    <w:p w14:paraId="057CE4EB" w14:textId="77777777" w:rsidR="007102E8" w:rsidRPr="007F6FC4" w:rsidRDefault="007102E8" w:rsidP="00317A89">
      <w:pPr>
        <w:jc w:val="both"/>
        <w:rPr>
          <w:szCs w:val="24"/>
        </w:rPr>
      </w:pPr>
    </w:p>
    <w:p w14:paraId="2366AC1E" w14:textId="77777777" w:rsidR="007102E8" w:rsidRPr="007F6FC4" w:rsidRDefault="007102E8" w:rsidP="00317A89">
      <w:pPr>
        <w:jc w:val="both"/>
        <w:rPr>
          <w:b/>
          <w:color w:val="806000" w:themeColor="accent4" w:themeShade="80"/>
          <w:szCs w:val="24"/>
        </w:rPr>
      </w:pPr>
      <w:r w:rsidRPr="007F6FC4">
        <w:rPr>
          <w:szCs w:val="24"/>
        </w:rPr>
        <w:t xml:space="preserve">Material contained in this document and accompanying outputs may be reproduced under the terms of the Open Government Licence (OGL) </w:t>
      </w:r>
      <w:hyperlink r:id="rId15" w:history="1">
        <w:r w:rsidRPr="007F6FC4">
          <w:rPr>
            <w:rStyle w:val="Hyperlink"/>
            <w:szCs w:val="24"/>
          </w:rPr>
          <w:t>www.nationalarchives.gov.uk/doc/open-government-licence/version/3/</w:t>
        </w:r>
      </w:hyperlink>
      <w:r w:rsidRPr="007F6FC4">
        <w:rPr>
          <w:szCs w:val="24"/>
        </w:rPr>
        <w:t xml:space="preserve"> provided it is done so accurately and is not used in a misleading context. Acknowledgement to Public Health Wales NHS Trust to be stated. Copyright in the typographical arrangement, design and layout belongs to Public Health Wales NHS Trust.</w:t>
      </w:r>
    </w:p>
    <w:sdt>
      <w:sdtPr>
        <w:rPr>
          <w:rFonts w:ascii="Ubuntu Light" w:eastAsiaTheme="minorHAnsi" w:hAnsi="Ubuntu Light" w:cstheme="minorBidi"/>
          <w:b w:val="0"/>
          <w:color w:val="auto"/>
          <w:sz w:val="24"/>
          <w:szCs w:val="22"/>
          <w:lang w:val="en-GB"/>
        </w:rPr>
        <w:id w:val="2051278233"/>
        <w:docPartObj>
          <w:docPartGallery w:val="Table of Contents"/>
          <w:docPartUnique/>
        </w:docPartObj>
      </w:sdtPr>
      <w:sdtEndPr/>
      <w:sdtContent>
        <w:p w14:paraId="400C263C" w14:textId="537508DE" w:rsidR="00EE1AC5" w:rsidRPr="00E43A91" w:rsidRDefault="00EE1AC5" w:rsidP="7BDE8E7A">
          <w:pPr>
            <w:pStyle w:val="TOCHeading"/>
            <w:rPr>
              <w:rFonts w:eastAsiaTheme="minorEastAsia"/>
            </w:rPr>
          </w:pPr>
          <w:r w:rsidRPr="7BDE8E7A">
            <w:rPr>
              <w:rFonts w:asciiTheme="minorHAnsi" w:hAnsiTheme="minorHAnsi"/>
              <w:sz w:val="22"/>
              <w:szCs w:val="22"/>
            </w:rPr>
            <w:br w:type="page"/>
          </w:r>
        </w:p>
        <w:p w14:paraId="6F776C91" w14:textId="4873A4FB" w:rsidR="00C3657E" w:rsidRPr="00C3657E" w:rsidRDefault="007102E8" w:rsidP="00C3657E">
          <w:pPr>
            <w:pStyle w:val="TOCHeading"/>
            <w:rPr>
              <w:noProof/>
            </w:rPr>
          </w:pPr>
          <w:bookmarkStart w:id="4" w:name="_Toc151469498"/>
          <w:bookmarkStart w:id="5" w:name="_Toc151717520"/>
          <w:bookmarkStart w:id="6" w:name="_Toc159240959"/>
          <w:bookmarkStart w:id="7" w:name="_Toc199243425"/>
          <w:bookmarkStart w:id="8" w:name="_Toc199243502"/>
          <w:bookmarkStart w:id="9" w:name="_Toc199761991"/>
          <w:bookmarkStart w:id="10" w:name="_Toc268062274"/>
          <w:r w:rsidRPr="7BDE8E7A">
            <w:rPr>
              <w:rStyle w:val="Heading1Char"/>
              <w:b/>
              <w:bCs/>
            </w:rPr>
            <w:lastRenderedPageBreak/>
            <w:t>Contents</w:t>
          </w:r>
          <w:bookmarkEnd w:id="4"/>
          <w:bookmarkEnd w:id="5"/>
          <w:bookmarkEnd w:id="6"/>
          <w:bookmarkEnd w:id="7"/>
          <w:bookmarkEnd w:id="8"/>
          <w:bookmarkEnd w:id="9"/>
          <w:bookmarkEnd w:id="10"/>
        </w:p>
        <w:p w14:paraId="538CEDE3" w14:textId="672A2083" w:rsidR="00C3657E" w:rsidRDefault="53E329A5" w:rsidP="7BDE8E7A">
          <w:pPr>
            <w:pStyle w:val="TOC1"/>
            <w:tabs>
              <w:tab w:val="right" w:leader="dot" w:pos="9015"/>
            </w:tabs>
            <w:rPr>
              <w:rStyle w:val="Hyperlink"/>
              <w:noProof/>
              <w:kern w:val="2"/>
              <w:lang w:eastAsia="en-GB"/>
              <w14:ligatures w14:val="standardContextual"/>
            </w:rPr>
          </w:pPr>
          <w:r>
            <w:fldChar w:fldCharType="begin"/>
          </w:r>
          <w:r>
            <w:instrText>TOC \o "1-3" \z \u \h</w:instrText>
          </w:r>
          <w:r>
            <w:fldChar w:fldCharType="separate"/>
          </w:r>
          <w:hyperlink w:anchor="_Toc268062274">
            <w:r w:rsidR="7BDE8E7A" w:rsidRPr="7BDE8E7A">
              <w:rPr>
                <w:rStyle w:val="Hyperlink"/>
                <w:noProof/>
              </w:rPr>
              <w:t>Contents</w:t>
            </w:r>
            <w:r>
              <w:rPr>
                <w:noProof/>
              </w:rPr>
              <w:tab/>
            </w:r>
            <w:r>
              <w:rPr>
                <w:noProof/>
              </w:rPr>
              <w:fldChar w:fldCharType="begin"/>
            </w:r>
            <w:r>
              <w:rPr>
                <w:noProof/>
              </w:rPr>
              <w:instrText>PAGEREF _Toc268062274 \h</w:instrText>
            </w:r>
            <w:r>
              <w:rPr>
                <w:noProof/>
              </w:rPr>
            </w:r>
            <w:r>
              <w:rPr>
                <w:noProof/>
              </w:rPr>
              <w:fldChar w:fldCharType="separate"/>
            </w:r>
            <w:r w:rsidR="00E3496C">
              <w:rPr>
                <w:noProof/>
              </w:rPr>
              <w:t>3</w:t>
            </w:r>
            <w:r>
              <w:rPr>
                <w:noProof/>
              </w:rPr>
              <w:fldChar w:fldCharType="end"/>
            </w:r>
          </w:hyperlink>
        </w:p>
        <w:p w14:paraId="608EF701" w14:textId="585A6BF0" w:rsidR="00C3657E" w:rsidRDefault="7BDE8E7A" w:rsidP="7BDE8E7A">
          <w:pPr>
            <w:pStyle w:val="TOC1"/>
            <w:tabs>
              <w:tab w:val="right" w:leader="dot" w:pos="9015"/>
            </w:tabs>
            <w:rPr>
              <w:rStyle w:val="Hyperlink"/>
              <w:noProof/>
              <w:kern w:val="2"/>
              <w:lang w:eastAsia="en-GB"/>
              <w14:ligatures w14:val="standardContextual"/>
            </w:rPr>
          </w:pPr>
          <w:hyperlink w:anchor="_Toc1669502148">
            <w:r w:rsidRPr="7BDE8E7A">
              <w:rPr>
                <w:rStyle w:val="Hyperlink"/>
                <w:noProof/>
              </w:rPr>
              <w:t>1 Introduction</w:t>
            </w:r>
            <w:r w:rsidR="53E329A5">
              <w:rPr>
                <w:noProof/>
              </w:rPr>
              <w:tab/>
            </w:r>
            <w:r w:rsidR="53E329A5">
              <w:rPr>
                <w:noProof/>
              </w:rPr>
              <w:fldChar w:fldCharType="begin"/>
            </w:r>
            <w:r w:rsidR="53E329A5">
              <w:rPr>
                <w:noProof/>
              </w:rPr>
              <w:instrText>PAGEREF _Toc1669502148 \h</w:instrText>
            </w:r>
            <w:r w:rsidR="53E329A5">
              <w:rPr>
                <w:noProof/>
              </w:rPr>
            </w:r>
            <w:r w:rsidR="53E329A5">
              <w:rPr>
                <w:noProof/>
              </w:rPr>
              <w:fldChar w:fldCharType="separate"/>
            </w:r>
            <w:r w:rsidR="00E3496C">
              <w:rPr>
                <w:noProof/>
              </w:rPr>
              <w:t>5</w:t>
            </w:r>
            <w:r w:rsidR="53E329A5">
              <w:rPr>
                <w:noProof/>
              </w:rPr>
              <w:fldChar w:fldCharType="end"/>
            </w:r>
          </w:hyperlink>
        </w:p>
        <w:p w14:paraId="67A6BD86" w14:textId="0F83D45E" w:rsidR="00C3657E" w:rsidRDefault="7BDE8E7A" w:rsidP="7BDE8E7A">
          <w:pPr>
            <w:pStyle w:val="TOC1"/>
            <w:tabs>
              <w:tab w:val="right" w:leader="dot" w:pos="9015"/>
            </w:tabs>
            <w:rPr>
              <w:rStyle w:val="Hyperlink"/>
              <w:noProof/>
              <w:kern w:val="2"/>
              <w:lang w:eastAsia="en-GB"/>
              <w14:ligatures w14:val="standardContextual"/>
            </w:rPr>
          </w:pPr>
          <w:hyperlink w:anchor="_Toc229587602">
            <w:r w:rsidRPr="7BDE8E7A">
              <w:rPr>
                <w:rStyle w:val="Hyperlink"/>
                <w:noProof/>
              </w:rPr>
              <w:t>2 Methodology</w:t>
            </w:r>
            <w:r w:rsidR="53E329A5">
              <w:rPr>
                <w:noProof/>
              </w:rPr>
              <w:tab/>
            </w:r>
            <w:r w:rsidR="53E329A5">
              <w:rPr>
                <w:noProof/>
              </w:rPr>
              <w:fldChar w:fldCharType="begin"/>
            </w:r>
            <w:r w:rsidR="53E329A5">
              <w:rPr>
                <w:noProof/>
              </w:rPr>
              <w:instrText>PAGEREF _Toc229587602 \h</w:instrText>
            </w:r>
            <w:r w:rsidR="53E329A5">
              <w:rPr>
                <w:noProof/>
              </w:rPr>
            </w:r>
            <w:r w:rsidR="53E329A5">
              <w:rPr>
                <w:noProof/>
              </w:rPr>
              <w:fldChar w:fldCharType="separate"/>
            </w:r>
            <w:r w:rsidR="00E3496C">
              <w:rPr>
                <w:noProof/>
              </w:rPr>
              <w:t>6</w:t>
            </w:r>
            <w:r w:rsidR="53E329A5">
              <w:rPr>
                <w:noProof/>
              </w:rPr>
              <w:fldChar w:fldCharType="end"/>
            </w:r>
          </w:hyperlink>
        </w:p>
        <w:p w14:paraId="02C1A78F" w14:textId="611D2AAC" w:rsidR="00C3657E" w:rsidRDefault="7BDE8E7A" w:rsidP="7BDE8E7A">
          <w:pPr>
            <w:pStyle w:val="TOC2"/>
            <w:tabs>
              <w:tab w:val="right" w:leader="dot" w:pos="9015"/>
            </w:tabs>
            <w:rPr>
              <w:rStyle w:val="Hyperlink"/>
              <w:noProof/>
              <w:kern w:val="2"/>
              <w:lang w:eastAsia="en-GB"/>
              <w14:ligatures w14:val="standardContextual"/>
            </w:rPr>
          </w:pPr>
          <w:hyperlink w:anchor="_Toc56519598">
            <w:r w:rsidRPr="7BDE8E7A">
              <w:rPr>
                <w:rStyle w:val="Hyperlink"/>
                <w:noProof/>
              </w:rPr>
              <w:t>2.1 Incidence outputs</w:t>
            </w:r>
            <w:r w:rsidR="53E329A5">
              <w:rPr>
                <w:noProof/>
              </w:rPr>
              <w:tab/>
            </w:r>
            <w:r w:rsidR="53E329A5">
              <w:rPr>
                <w:noProof/>
              </w:rPr>
              <w:fldChar w:fldCharType="begin"/>
            </w:r>
            <w:r w:rsidR="53E329A5">
              <w:rPr>
                <w:noProof/>
              </w:rPr>
              <w:instrText>PAGEREF _Toc56519598 \h</w:instrText>
            </w:r>
            <w:r w:rsidR="53E329A5">
              <w:rPr>
                <w:noProof/>
              </w:rPr>
            </w:r>
            <w:r w:rsidR="53E329A5">
              <w:rPr>
                <w:noProof/>
              </w:rPr>
              <w:fldChar w:fldCharType="separate"/>
            </w:r>
            <w:r w:rsidR="00E3496C">
              <w:rPr>
                <w:noProof/>
              </w:rPr>
              <w:t>6</w:t>
            </w:r>
            <w:r w:rsidR="53E329A5">
              <w:rPr>
                <w:noProof/>
              </w:rPr>
              <w:fldChar w:fldCharType="end"/>
            </w:r>
          </w:hyperlink>
        </w:p>
        <w:p w14:paraId="5A45BF50" w14:textId="4D71E561" w:rsidR="00C3657E" w:rsidRDefault="7BDE8E7A" w:rsidP="7BDE8E7A">
          <w:pPr>
            <w:pStyle w:val="TOC2"/>
            <w:tabs>
              <w:tab w:val="right" w:leader="dot" w:pos="9015"/>
            </w:tabs>
            <w:rPr>
              <w:rStyle w:val="Hyperlink"/>
              <w:noProof/>
              <w:kern w:val="2"/>
              <w:lang w:eastAsia="en-GB"/>
              <w14:ligatures w14:val="standardContextual"/>
            </w:rPr>
          </w:pPr>
          <w:hyperlink w:anchor="_Toc2041918993">
            <w:r w:rsidRPr="7BDE8E7A">
              <w:rPr>
                <w:rStyle w:val="Hyperlink"/>
                <w:noProof/>
              </w:rPr>
              <w:t>2.2 Mortality outputs</w:t>
            </w:r>
            <w:r w:rsidR="53E329A5">
              <w:rPr>
                <w:noProof/>
              </w:rPr>
              <w:tab/>
            </w:r>
            <w:r w:rsidR="53E329A5">
              <w:rPr>
                <w:noProof/>
              </w:rPr>
              <w:fldChar w:fldCharType="begin"/>
            </w:r>
            <w:r w:rsidR="53E329A5">
              <w:rPr>
                <w:noProof/>
              </w:rPr>
              <w:instrText>PAGEREF _Toc2041918993 \h</w:instrText>
            </w:r>
            <w:r w:rsidR="53E329A5">
              <w:rPr>
                <w:noProof/>
              </w:rPr>
            </w:r>
            <w:r w:rsidR="53E329A5">
              <w:rPr>
                <w:noProof/>
              </w:rPr>
              <w:fldChar w:fldCharType="separate"/>
            </w:r>
            <w:r w:rsidR="00E3496C">
              <w:rPr>
                <w:noProof/>
              </w:rPr>
              <w:t>7</w:t>
            </w:r>
            <w:r w:rsidR="53E329A5">
              <w:rPr>
                <w:noProof/>
              </w:rPr>
              <w:fldChar w:fldCharType="end"/>
            </w:r>
          </w:hyperlink>
        </w:p>
        <w:p w14:paraId="40C939E7" w14:textId="300C129C" w:rsidR="00C3657E" w:rsidRDefault="7BDE8E7A" w:rsidP="7BDE8E7A">
          <w:pPr>
            <w:pStyle w:val="TOC2"/>
            <w:tabs>
              <w:tab w:val="right" w:leader="dot" w:pos="9015"/>
            </w:tabs>
            <w:rPr>
              <w:rStyle w:val="Hyperlink"/>
              <w:noProof/>
              <w:kern w:val="2"/>
              <w:lang w:eastAsia="en-GB"/>
              <w14:ligatures w14:val="standardContextual"/>
            </w:rPr>
          </w:pPr>
          <w:hyperlink w:anchor="_Toc1732674400">
            <w:r w:rsidRPr="7BDE8E7A">
              <w:rPr>
                <w:rStyle w:val="Hyperlink"/>
                <w:noProof/>
              </w:rPr>
              <w:t>2.3 Survival outputs</w:t>
            </w:r>
            <w:r w:rsidR="53E329A5">
              <w:rPr>
                <w:noProof/>
              </w:rPr>
              <w:tab/>
            </w:r>
            <w:r w:rsidR="53E329A5">
              <w:rPr>
                <w:noProof/>
              </w:rPr>
              <w:fldChar w:fldCharType="begin"/>
            </w:r>
            <w:r w:rsidR="53E329A5">
              <w:rPr>
                <w:noProof/>
              </w:rPr>
              <w:instrText>PAGEREF _Toc1732674400 \h</w:instrText>
            </w:r>
            <w:r w:rsidR="53E329A5">
              <w:rPr>
                <w:noProof/>
              </w:rPr>
            </w:r>
            <w:r w:rsidR="53E329A5">
              <w:rPr>
                <w:noProof/>
              </w:rPr>
              <w:fldChar w:fldCharType="separate"/>
            </w:r>
            <w:r w:rsidR="00E3496C">
              <w:rPr>
                <w:noProof/>
              </w:rPr>
              <w:t>8</w:t>
            </w:r>
            <w:r w:rsidR="53E329A5">
              <w:rPr>
                <w:noProof/>
              </w:rPr>
              <w:fldChar w:fldCharType="end"/>
            </w:r>
          </w:hyperlink>
        </w:p>
        <w:p w14:paraId="02BF3B99" w14:textId="5C298A87" w:rsidR="00C3657E" w:rsidRDefault="7BDE8E7A" w:rsidP="7BDE8E7A">
          <w:pPr>
            <w:pStyle w:val="TOC2"/>
            <w:tabs>
              <w:tab w:val="right" w:leader="dot" w:pos="9015"/>
            </w:tabs>
            <w:rPr>
              <w:rStyle w:val="Hyperlink"/>
              <w:noProof/>
              <w:kern w:val="2"/>
              <w:lang w:eastAsia="en-GB"/>
              <w14:ligatures w14:val="standardContextual"/>
            </w:rPr>
          </w:pPr>
          <w:hyperlink w:anchor="_Toc205656079">
            <w:r w:rsidRPr="7BDE8E7A">
              <w:rPr>
                <w:rStyle w:val="Hyperlink"/>
                <w:noProof/>
              </w:rPr>
              <w:t>2.4 Cancer pathology outputs</w:t>
            </w:r>
            <w:r w:rsidR="53E329A5">
              <w:rPr>
                <w:noProof/>
              </w:rPr>
              <w:tab/>
            </w:r>
            <w:r w:rsidR="53E329A5">
              <w:rPr>
                <w:noProof/>
              </w:rPr>
              <w:fldChar w:fldCharType="begin"/>
            </w:r>
            <w:r w:rsidR="53E329A5">
              <w:rPr>
                <w:noProof/>
              </w:rPr>
              <w:instrText>PAGEREF _Toc205656079 \h</w:instrText>
            </w:r>
            <w:r w:rsidR="53E329A5">
              <w:rPr>
                <w:noProof/>
              </w:rPr>
            </w:r>
            <w:r w:rsidR="53E329A5">
              <w:rPr>
                <w:noProof/>
              </w:rPr>
              <w:fldChar w:fldCharType="separate"/>
            </w:r>
            <w:r w:rsidR="00E3496C">
              <w:rPr>
                <w:noProof/>
              </w:rPr>
              <w:t>10</w:t>
            </w:r>
            <w:r w:rsidR="53E329A5">
              <w:rPr>
                <w:noProof/>
              </w:rPr>
              <w:fldChar w:fldCharType="end"/>
            </w:r>
          </w:hyperlink>
        </w:p>
        <w:p w14:paraId="7D5E068A" w14:textId="69B15925" w:rsidR="00C3657E" w:rsidRDefault="7BDE8E7A" w:rsidP="7BDE8E7A">
          <w:pPr>
            <w:pStyle w:val="TOC3"/>
            <w:tabs>
              <w:tab w:val="right" w:leader="dot" w:pos="9015"/>
            </w:tabs>
            <w:rPr>
              <w:rStyle w:val="Hyperlink"/>
              <w:noProof/>
              <w:kern w:val="2"/>
              <w:lang w:eastAsia="en-GB"/>
              <w14:ligatures w14:val="standardContextual"/>
            </w:rPr>
          </w:pPr>
          <w:hyperlink w:anchor="_Toc1114994322">
            <w:r w:rsidRPr="7BDE8E7A">
              <w:rPr>
                <w:rStyle w:val="Hyperlink"/>
                <w:noProof/>
              </w:rPr>
              <w:t>2.4.1 Data sources</w:t>
            </w:r>
            <w:r w:rsidR="53E329A5">
              <w:rPr>
                <w:noProof/>
              </w:rPr>
              <w:tab/>
            </w:r>
            <w:r w:rsidR="53E329A5">
              <w:rPr>
                <w:noProof/>
              </w:rPr>
              <w:fldChar w:fldCharType="begin"/>
            </w:r>
            <w:r w:rsidR="53E329A5">
              <w:rPr>
                <w:noProof/>
              </w:rPr>
              <w:instrText>PAGEREF _Toc1114994322 \h</w:instrText>
            </w:r>
            <w:r w:rsidR="53E329A5">
              <w:rPr>
                <w:noProof/>
              </w:rPr>
            </w:r>
            <w:r w:rsidR="53E329A5">
              <w:rPr>
                <w:noProof/>
              </w:rPr>
              <w:fldChar w:fldCharType="separate"/>
            </w:r>
            <w:r w:rsidR="00E3496C">
              <w:rPr>
                <w:noProof/>
              </w:rPr>
              <w:t>10</w:t>
            </w:r>
            <w:r w:rsidR="53E329A5">
              <w:rPr>
                <w:noProof/>
              </w:rPr>
              <w:fldChar w:fldCharType="end"/>
            </w:r>
          </w:hyperlink>
        </w:p>
        <w:p w14:paraId="1B2DD18D" w14:textId="5F3035CB" w:rsidR="00C3657E" w:rsidRDefault="7BDE8E7A" w:rsidP="7BDE8E7A">
          <w:pPr>
            <w:pStyle w:val="TOC3"/>
            <w:tabs>
              <w:tab w:val="right" w:leader="dot" w:pos="9015"/>
            </w:tabs>
            <w:rPr>
              <w:rStyle w:val="Hyperlink"/>
              <w:noProof/>
              <w:kern w:val="2"/>
              <w:lang w:eastAsia="en-GB"/>
              <w14:ligatures w14:val="standardContextual"/>
            </w:rPr>
          </w:pPr>
          <w:hyperlink w:anchor="_Toc481579694">
            <w:r w:rsidRPr="7BDE8E7A">
              <w:rPr>
                <w:rStyle w:val="Hyperlink"/>
                <w:noProof/>
              </w:rPr>
              <w:t>2.4.2 Methodology</w:t>
            </w:r>
            <w:r w:rsidR="53E329A5">
              <w:rPr>
                <w:noProof/>
              </w:rPr>
              <w:tab/>
            </w:r>
            <w:r w:rsidR="53E329A5">
              <w:rPr>
                <w:noProof/>
              </w:rPr>
              <w:fldChar w:fldCharType="begin"/>
            </w:r>
            <w:r w:rsidR="53E329A5">
              <w:rPr>
                <w:noProof/>
              </w:rPr>
              <w:instrText>PAGEREF _Toc481579694 \h</w:instrText>
            </w:r>
            <w:r w:rsidR="53E329A5">
              <w:rPr>
                <w:noProof/>
              </w:rPr>
            </w:r>
            <w:r w:rsidR="53E329A5">
              <w:rPr>
                <w:noProof/>
              </w:rPr>
              <w:fldChar w:fldCharType="separate"/>
            </w:r>
            <w:r w:rsidR="00E3496C">
              <w:rPr>
                <w:noProof/>
              </w:rPr>
              <w:t>10</w:t>
            </w:r>
            <w:r w:rsidR="53E329A5">
              <w:rPr>
                <w:noProof/>
              </w:rPr>
              <w:fldChar w:fldCharType="end"/>
            </w:r>
          </w:hyperlink>
        </w:p>
        <w:p w14:paraId="47CCCA8A" w14:textId="6E5A46DA" w:rsidR="00C3657E" w:rsidRDefault="7BDE8E7A" w:rsidP="7BDE8E7A">
          <w:pPr>
            <w:pStyle w:val="TOC3"/>
            <w:tabs>
              <w:tab w:val="right" w:leader="dot" w:pos="9015"/>
            </w:tabs>
            <w:rPr>
              <w:rStyle w:val="Hyperlink"/>
              <w:noProof/>
              <w:kern w:val="2"/>
              <w:lang w:eastAsia="en-GB"/>
              <w14:ligatures w14:val="standardContextual"/>
            </w:rPr>
          </w:pPr>
          <w:hyperlink w:anchor="_Toc909942002">
            <w:r w:rsidRPr="7BDE8E7A">
              <w:rPr>
                <w:rStyle w:val="Hyperlink"/>
                <w:noProof/>
              </w:rPr>
              <w:t>2.4.3 Caveats</w:t>
            </w:r>
            <w:r w:rsidR="53E329A5">
              <w:rPr>
                <w:noProof/>
              </w:rPr>
              <w:tab/>
            </w:r>
            <w:r w:rsidR="53E329A5">
              <w:rPr>
                <w:noProof/>
              </w:rPr>
              <w:fldChar w:fldCharType="begin"/>
            </w:r>
            <w:r w:rsidR="53E329A5">
              <w:rPr>
                <w:noProof/>
              </w:rPr>
              <w:instrText>PAGEREF _Toc909942002 \h</w:instrText>
            </w:r>
            <w:r w:rsidR="53E329A5">
              <w:rPr>
                <w:noProof/>
              </w:rPr>
            </w:r>
            <w:r w:rsidR="53E329A5">
              <w:rPr>
                <w:noProof/>
              </w:rPr>
              <w:fldChar w:fldCharType="separate"/>
            </w:r>
            <w:r w:rsidR="00E3496C">
              <w:rPr>
                <w:noProof/>
              </w:rPr>
              <w:t>11</w:t>
            </w:r>
            <w:r w:rsidR="53E329A5">
              <w:rPr>
                <w:noProof/>
              </w:rPr>
              <w:fldChar w:fldCharType="end"/>
            </w:r>
          </w:hyperlink>
        </w:p>
        <w:p w14:paraId="1682F271" w14:textId="6F8F01C0" w:rsidR="00C3657E" w:rsidRDefault="7BDE8E7A" w:rsidP="7BDE8E7A">
          <w:pPr>
            <w:pStyle w:val="TOC2"/>
            <w:tabs>
              <w:tab w:val="right" w:leader="dot" w:pos="9015"/>
            </w:tabs>
            <w:rPr>
              <w:rStyle w:val="Hyperlink"/>
              <w:noProof/>
              <w:kern w:val="2"/>
              <w:lang w:eastAsia="en-GB"/>
              <w14:ligatures w14:val="standardContextual"/>
            </w:rPr>
          </w:pPr>
          <w:hyperlink w:anchor="_Toc1231169712">
            <w:r w:rsidRPr="7BDE8E7A">
              <w:rPr>
                <w:rStyle w:val="Hyperlink"/>
                <w:noProof/>
              </w:rPr>
              <w:t>2.5 Reported Characteristics</w:t>
            </w:r>
            <w:r w:rsidR="53E329A5">
              <w:rPr>
                <w:noProof/>
              </w:rPr>
              <w:tab/>
            </w:r>
            <w:r w:rsidR="53E329A5">
              <w:rPr>
                <w:noProof/>
              </w:rPr>
              <w:fldChar w:fldCharType="begin"/>
            </w:r>
            <w:r w:rsidR="53E329A5">
              <w:rPr>
                <w:noProof/>
              </w:rPr>
              <w:instrText>PAGEREF _Toc1231169712 \h</w:instrText>
            </w:r>
            <w:r w:rsidR="53E329A5">
              <w:rPr>
                <w:noProof/>
              </w:rPr>
            </w:r>
            <w:r w:rsidR="53E329A5">
              <w:rPr>
                <w:noProof/>
              </w:rPr>
              <w:fldChar w:fldCharType="separate"/>
            </w:r>
            <w:r w:rsidR="00E3496C">
              <w:rPr>
                <w:noProof/>
              </w:rPr>
              <w:t>13</w:t>
            </w:r>
            <w:r w:rsidR="53E329A5">
              <w:rPr>
                <w:noProof/>
              </w:rPr>
              <w:fldChar w:fldCharType="end"/>
            </w:r>
          </w:hyperlink>
        </w:p>
        <w:p w14:paraId="389B9884" w14:textId="7782E44C" w:rsidR="00C3657E" w:rsidRDefault="7BDE8E7A" w:rsidP="7BDE8E7A">
          <w:pPr>
            <w:pStyle w:val="TOC3"/>
            <w:tabs>
              <w:tab w:val="right" w:leader="dot" w:pos="9015"/>
            </w:tabs>
            <w:rPr>
              <w:rStyle w:val="Hyperlink"/>
              <w:noProof/>
              <w:kern w:val="2"/>
              <w:lang w:eastAsia="en-GB"/>
              <w14:ligatures w14:val="standardContextual"/>
            </w:rPr>
          </w:pPr>
          <w:hyperlink w:anchor="_Toc1453501304">
            <w:r w:rsidRPr="7BDE8E7A">
              <w:rPr>
                <w:rStyle w:val="Hyperlink"/>
                <w:noProof/>
              </w:rPr>
              <w:t>2.5.1 Geographical area</w:t>
            </w:r>
            <w:r w:rsidR="53E329A5">
              <w:rPr>
                <w:noProof/>
              </w:rPr>
              <w:tab/>
            </w:r>
            <w:r w:rsidR="53E329A5">
              <w:rPr>
                <w:noProof/>
              </w:rPr>
              <w:fldChar w:fldCharType="begin"/>
            </w:r>
            <w:r w:rsidR="53E329A5">
              <w:rPr>
                <w:noProof/>
              </w:rPr>
              <w:instrText>PAGEREF _Toc1453501304 \h</w:instrText>
            </w:r>
            <w:r w:rsidR="53E329A5">
              <w:rPr>
                <w:noProof/>
              </w:rPr>
            </w:r>
            <w:r w:rsidR="53E329A5">
              <w:rPr>
                <w:noProof/>
              </w:rPr>
              <w:fldChar w:fldCharType="separate"/>
            </w:r>
            <w:r w:rsidR="00E3496C">
              <w:rPr>
                <w:noProof/>
              </w:rPr>
              <w:t>13</w:t>
            </w:r>
            <w:r w:rsidR="53E329A5">
              <w:rPr>
                <w:noProof/>
              </w:rPr>
              <w:fldChar w:fldCharType="end"/>
            </w:r>
          </w:hyperlink>
        </w:p>
        <w:p w14:paraId="4436D406" w14:textId="0F3E5087" w:rsidR="00C3657E" w:rsidRDefault="7BDE8E7A" w:rsidP="7BDE8E7A">
          <w:pPr>
            <w:pStyle w:val="TOC3"/>
            <w:tabs>
              <w:tab w:val="right" w:leader="dot" w:pos="9015"/>
            </w:tabs>
            <w:rPr>
              <w:rStyle w:val="Hyperlink"/>
              <w:noProof/>
              <w:kern w:val="2"/>
              <w:lang w:eastAsia="en-GB"/>
              <w14:ligatures w14:val="standardContextual"/>
            </w:rPr>
          </w:pPr>
          <w:hyperlink w:anchor="_Toc470824781">
            <w:r w:rsidRPr="7BDE8E7A">
              <w:rPr>
                <w:rStyle w:val="Hyperlink"/>
                <w:noProof/>
              </w:rPr>
              <w:t>2.5.2 Area Deprivation</w:t>
            </w:r>
            <w:r w:rsidR="53E329A5">
              <w:rPr>
                <w:noProof/>
              </w:rPr>
              <w:tab/>
            </w:r>
            <w:r w:rsidR="53E329A5">
              <w:rPr>
                <w:noProof/>
              </w:rPr>
              <w:fldChar w:fldCharType="begin"/>
            </w:r>
            <w:r w:rsidR="53E329A5">
              <w:rPr>
                <w:noProof/>
              </w:rPr>
              <w:instrText>PAGEREF _Toc470824781 \h</w:instrText>
            </w:r>
            <w:r w:rsidR="53E329A5">
              <w:rPr>
                <w:noProof/>
              </w:rPr>
            </w:r>
            <w:r w:rsidR="53E329A5">
              <w:rPr>
                <w:noProof/>
              </w:rPr>
              <w:fldChar w:fldCharType="separate"/>
            </w:r>
            <w:r w:rsidR="00E3496C">
              <w:rPr>
                <w:noProof/>
              </w:rPr>
              <w:t>14</w:t>
            </w:r>
            <w:r w:rsidR="53E329A5">
              <w:rPr>
                <w:noProof/>
              </w:rPr>
              <w:fldChar w:fldCharType="end"/>
            </w:r>
          </w:hyperlink>
        </w:p>
        <w:p w14:paraId="0670BC61" w14:textId="330ED012" w:rsidR="00C3657E" w:rsidRDefault="7BDE8E7A" w:rsidP="7BDE8E7A">
          <w:pPr>
            <w:pStyle w:val="TOC3"/>
            <w:tabs>
              <w:tab w:val="right" w:leader="dot" w:pos="9015"/>
            </w:tabs>
            <w:rPr>
              <w:rStyle w:val="Hyperlink"/>
              <w:noProof/>
              <w:kern w:val="2"/>
              <w:lang w:eastAsia="en-GB"/>
              <w14:ligatures w14:val="standardContextual"/>
            </w:rPr>
          </w:pPr>
          <w:hyperlink w:anchor="_Toc2049139921">
            <w:r w:rsidRPr="7BDE8E7A">
              <w:rPr>
                <w:rStyle w:val="Hyperlink"/>
                <w:noProof/>
              </w:rPr>
              <w:t>2.5.3 Staging</w:t>
            </w:r>
            <w:r w:rsidR="53E329A5">
              <w:rPr>
                <w:noProof/>
              </w:rPr>
              <w:tab/>
            </w:r>
            <w:r w:rsidR="53E329A5">
              <w:rPr>
                <w:noProof/>
              </w:rPr>
              <w:fldChar w:fldCharType="begin"/>
            </w:r>
            <w:r w:rsidR="53E329A5">
              <w:rPr>
                <w:noProof/>
              </w:rPr>
              <w:instrText>PAGEREF _Toc2049139921 \h</w:instrText>
            </w:r>
            <w:r w:rsidR="53E329A5">
              <w:rPr>
                <w:noProof/>
              </w:rPr>
            </w:r>
            <w:r w:rsidR="53E329A5">
              <w:rPr>
                <w:noProof/>
              </w:rPr>
              <w:fldChar w:fldCharType="separate"/>
            </w:r>
            <w:r w:rsidR="00E3496C">
              <w:rPr>
                <w:noProof/>
              </w:rPr>
              <w:t>15</w:t>
            </w:r>
            <w:r w:rsidR="53E329A5">
              <w:rPr>
                <w:noProof/>
              </w:rPr>
              <w:fldChar w:fldCharType="end"/>
            </w:r>
          </w:hyperlink>
        </w:p>
        <w:p w14:paraId="2DF792AE" w14:textId="026F4BDC" w:rsidR="00C3657E" w:rsidRDefault="7BDE8E7A" w:rsidP="7BDE8E7A">
          <w:pPr>
            <w:pStyle w:val="TOC3"/>
            <w:tabs>
              <w:tab w:val="right" w:leader="dot" w:pos="9015"/>
            </w:tabs>
            <w:rPr>
              <w:rStyle w:val="Hyperlink"/>
              <w:noProof/>
              <w:kern w:val="2"/>
              <w:lang w:eastAsia="en-GB"/>
              <w14:ligatures w14:val="standardContextual"/>
            </w:rPr>
          </w:pPr>
          <w:hyperlink w:anchor="_Toc1729863578">
            <w:r w:rsidRPr="7BDE8E7A">
              <w:rPr>
                <w:rStyle w:val="Hyperlink"/>
                <w:noProof/>
              </w:rPr>
              <w:t>2.5.4 Impact of COVID-19</w:t>
            </w:r>
            <w:r w:rsidR="53E329A5">
              <w:rPr>
                <w:noProof/>
              </w:rPr>
              <w:tab/>
            </w:r>
            <w:r w:rsidR="53E329A5">
              <w:rPr>
                <w:noProof/>
              </w:rPr>
              <w:fldChar w:fldCharType="begin"/>
            </w:r>
            <w:r w:rsidR="53E329A5">
              <w:rPr>
                <w:noProof/>
              </w:rPr>
              <w:instrText>PAGEREF _Toc1729863578 \h</w:instrText>
            </w:r>
            <w:r w:rsidR="53E329A5">
              <w:rPr>
                <w:noProof/>
              </w:rPr>
            </w:r>
            <w:r w:rsidR="53E329A5">
              <w:rPr>
                <w:noProof/>
              </w:rPr>
              <w:fldChar w:fldCharType="separate"/>
            </w:r>
            <w:r w:rsidR="00E3496C">
              <w:rPr>
                <w:noProof/>
              </w:rPr>
              <w:t>16</w:t>
            </w:r>
            <w:r w:rsidR="53E329A5">
              <w:rPr>
                <w:noProof/>
              </w:rPr>
              <w:fldChar w:fldCharType="end"/>
            </w:r>
          </w:hyperlink>
        </w:p>
        <w:p w14:paraId="0DC2F4F5" w14:textId="0488EE54" w:rsidR="00C3657E" w:rsidRDefault="7BDE8E7A" w:rsidP="7BDE8E7A">
          <w:pPr>
            <w:pStyle w:val="TOC3"/>
            <w:tabs>
              <w:tab w:val="right" w:leader="dot" w:pos="9015"/>
            </w:tabs>
            <w:rPr>
              <w:rStyle w:val="Hyperlink"/>
              <w:noProof/>
              <w:kern w:val="2"/>
              <w:lang w:eastAsia="en-GB"/>
              <w14:ligatures w14:val="standardContextual"/>
            </w:rPr>
          </w:pPr>
          <w:hyperlink w:anchor="_Toc738543303">
            <w:r w:rsidRPr="7BDE8E7A">
              <w:rPr>
                <w:rStyle w:val="Hyperlink"/>
                <w:noProof/>
              </w:rPr>
              <w:t>2.5.5 Comparisons by United Kingdom (UK) jurisdiction</w:t>
            </w:r>
            <w:r w:rsidR="53E329A5">
              <w:rPr>
                <w:noProof/>
              </w:rPr>
              <w:tab/>
            </w:r>
            <w:r w:rsidR="53E329A5">
              <w:rPr>
                <w:noProof/>
              </w:rPr>
              <w:fldChar w:fldCharType="begin"/>
            </w:r>
            <w:r w:rsidR="53E329A5">
              <w:rPr>
                <w:noProof/>
              </w:rPr>
              <w:instrText>PAGEREF _Toc738543303 \h</w:instrText>
            </w:r>
            <w:r w:rsidR="53E329A5">
              <w:rPr>
                <w:noProof/>
              </w:rPr>
            </w:r>
            <w:r w:rsidR="53E329A5">
              <w:rPr>
                <w:noProof/>
              </w:rPr>
              <w:fldChar w:fldCharType="separate"/>
            </w:r>
            <w:r w:rsidR="00E3496C">
              <w:rPr>
                <w:noProof/>
              </w:rPr>
              <w:t>16</w:t>
            </w:r>
            <w:r w:rsidR="53E329A5">
              <w:rPr>
                <w:noProof/>
              </w:rPr>
              <w:fldChar w:fldCharType="end"/>
            </w:r>
          </w:hyperlink>
        </w:p>
        <w:p w14:paraId="0B3C0305" w14:textId="6E3A10F1" w:rsidR="00C3657E" w:rsidRDefault="7BDE8E7A" w:rsidP="7BDE8E7A">
          <w:pPr>
            <w:pStyle w:val="TOC2"/>
            <w:tabs>
              <w:tab w:val="right" w:leader="dot" w:pos="9015"/>
            </w:tabs>
            <w:rPr>
              <w:rStyle w:val="Hyperlink"/>
              <w:noProof/>
              <w:kern w:val="2"/>
              <w:lang w:eastAsia="en-GB"/>
              <w14:ligatures w14:val="standardContextual"/>
            </w:rPr>
          </w:pPr>
          <w:hyperlink w:anchor="_Toc798828361">
            <w:r w:rsidRPr="7BDE8E7A">
              <w:rPr>
                <w:rStyle w:val="Hyperlink"/>
                <w:noProof/>
              </w:rPr>
              <w:t>2.6 Reported Measures</w:t>
            </w:r>
            <w:r w:rsidR="53E329A5">
              <w:rPr>
                <w:noProof/>
              </w:rPr>
              <w:tab/>
            </w:r>
            <w:r w:rsidR="53E329A5">
              <w:rPr>
                <w:noProof/>
              </w:rPr>
              <w:fldChar w:fldCharType="begin"/>
            </w:r>
            <w:r w:rsidR="53E329A5">
              <w:rPr>
                <w:noProof/>
              </w:rPr>
              <w:instrText>PAGEREF _Toc798828361 \h</w:instrText>
            </w:r>
            <w:r w:rsidR="53E329A5">
              <w:rPr>
                <w:noProof/>
              </w:rPr>
            </w:r>
            <w:r w:rsidR="53E329A5">
              <w:rPr>
                <w:noProof/>
              </w:rPr>
              <w:fldChar w:fldCharType="separate"/>
            </w:r>
            <w:r w:rsidR="00E3496C">
              <w:rPr>
                <w:noProof/>
              </w:rPr>
              <w:t>17</w:t>
            </w:r>
            <w:r w:rsidR="53E329A5">
              <w:rPr>
                <w:noProof/>
              </w:rPr>
              <w:fldChar w:fldCharType="end"/>
            </w:r>
          </w:hyperlink>
        </w:p>
        <w:p w14:paraId="184C8A25" w14:textId="1A3E2A8F" w:rsidR="00C3657E" w:rsidRDefault="7BDE8E7A" w:rsidP="7BDE8E7A">
          <w:pPr>
            <w:pStyle w:val="TOC3"/>
            <w:tabs>
              <w:tab w:val="right" w:leader="dot" w:pos="9015"/>
            </w:tabs>
            <w:rPr>
              <w:rStyle w:val="Hyperlink"/>
              <w:noProof/>
              <w:kern w:val="2"/>
              <w:lang w:eastAsia="en-GB"/>
              <w14:ligatures w14:val="standardContextual"/>
            </w:rPr>
          </w:pPr>
          <w:hyperlink w:anchor="_Toc37648237">
            <w:r w:rsidRPr="7BDE8E7A">
              <w:rPr>
                <w:rStyle w:val="Hyperlink"/>
                <w:noProof/>
              </w:rPr>
              <w:t>2.6.1 Count</w:t>
            </w:r>
            <w:r w:rsidR="53E329A5">
              <w:rPr>
                <w:noProof/>
              </w:rPr>
              <w:tab/>
            </w:r>
            <w:r w:rsidR="53E329A5">
              <w:rPr>
                <w:noProof/>
              </w:rPr>
              <w:fldChar w:fldCharType="begin"/>
            </w:r>
            <w:r w:rsidR="53E329A5">
              <w:rPr>
                <w:noProof/>
              </w:rPr>
              <w:instrText>PAGEREF _Toc37648237 \h</w:instrText>
            </w:r>
            <w:r w:rsidR="53E329A5">
              <w:rPr>
                <w:noProof/>
              </w:rPr>
            </w:r>
            <w:r w:rsidR="53E329A5">
              <w:rPr>
                <w:noProof/>
              </w:rPr>
              <w:fldChar w:fldCharType="separate"/>
            </w:r>
            <w:r w:rsidR="00E3496C">
              <w:rPr>
                <w:noProof/>
              </w:rPr>
              <w:t>17</w:t>
            </w:r>
            <w:r w:rsidR="53E329A5">
              <w:rPr>
                <w:noProof/>
              </w:rPr>
              <w:fldChar w:fldCharType="end"/>
            </w:r>
          </w:hyperlink>
        </w:p>
        <w:p w14:paraId="4B5C712D" w14:textId="3D6B5251" w:rsidR="00C3657E" w:rsidRDefault="7BDE8E7A" w:rsidP="7BDE8E7A">
          <w:pPr>
            <w:pStyle w:val="TOC3"/>
            <w:tabs>
              <w:tab w:val="right" w:leader="dot" w:pos="9015"/>
            </w:tabs>
            <w:rPr>
              <w:rStyle w:val="Hyperlink"/>
              <w:noProof/>
              <w:kern w:val="2"/>
              <w:lang w:eastAsia="en-GB"/>
              <w14:ligatures w14:val="standardContextual"/>
            </w:rPr>
          </w:pPr>
          <w:hyperlink w:anchor="_Toc1824177993">
            <w:r w:rsidRPr="7BDE8E7A">
              <w:rPr>
                <w:rStyle w:val="Hyperlink"/>
                <w:noProof/>
              </w:rPr>
              <w:t>2.6.2 Crude rates</w:t>
            </w:r>
            <w:r w:rsidR="53E329A5">
              <w:rPr>
                <w:noProof/>
              </w:rPr>
              <w:tab/>
            </w:r>
            <w:r w:rsidR="53E329A5">
              <w:rPr>
                <w:noProof/>
              </w:rPr>
              <w:fldChar w:fldCharType="begin"/>
            </w:r>
            <w:r w:rsidR="53E329A5">
              <w:rPr>
                <w:noProof/>
              </w:rPr>
              <w:instrText>PAGEREF _Toc1824177993 \h</w:instrText>
            </w:r>
            <w:r w:rsidR="53E329A5">
              <w:rPr>
                <w:noProof/>
              </w:rPr>
            </w:r>
            <w:r w:rsidR="53E329A5">
              <w:rPr>
                <w:noProof/>
              </w:rPr>
              <w:fldChar w:fldCharType="separate"/>
            </w:r>
            <w:r w:rsidR="00E3496C">
              <w:rPr>
                <w:noProof/>
              </w:rPr>
              <w:t>17</w:t>
            </w:r>
            <w:r w:rsidR="53E329A5">
              <w:rPr>
                <w:noProof/>
              </w:rPr>
              <w:fldChar w:fldCharType="end"/>
            </w:r>
          </w:hyperlink>
        </w:p>
        <w:p w14:paraId="346EACFB" w14:textId="7E7C8A65" w:rsidR="00C3657E" w:rsidRDefault="7BDE8E7A" w:rsidP="7BDE8E7A">
          <w:pPr>
            <w:pStyle w:val="TOC3"/>
            <w:tabs>
              <w:tab w:val="right" w:leader="dot" w:pos="9015"/>
            </w:tabs>
            <w:rPr>
              <w:rStyle w:val="Hyperlink"/>
              <w:noProof/>
              <w:kern w:val="2"/>
              <w:lang w:eastAsia="en-GB"/>
              <w14:ligatures w14:val="standardContextual"/>
            </w:rPr>
          </w:pPr>
          <w:hyperlink w:anchor="_Toc1452681398">
            <w:r w:rsidRPr="7BDE8E7A">
              <w:rPr>
                <w:rStyle w:val="Hyperlink"/>
                <w:noProof/>
              </w:rPr>
              <w:t>2.6.3 Age-standardised rates</w:t>
            </w:r>
            <w:r w:rsidR="53E329A5">
              <w:rPr>
                <w:noProof/>
              </w:rPr>
              <w:tab/>
            </w:r>
            <w:r w:rsidR="53E329A5">
              <w:rPr>
                <w:noProof/>
              </w:rPr>
              <w:fldChar w:fldCharType="begin"/>
            </w:r>
            <w:r w:rsidR="53E329A5">
              <w:rPr>
                <w:noProof/>
              </w:rPr>
              <w:instrText>PAGEREF _Toc1452681398 \h</w:instrText>
            </w:r>
            <w:r w:rsidR="53E329A5">
              <w:rPr>
                <w:noProof/>
              </w:rPr>
            </w:r>
            <w:r w:rsidR="53E329A5">
              <w:rPr>
                <w:noProof/>
              </w:rPr>
              <w:fldChar w:fldCharType="separate"/>
            </w:r>
            <w:r w:rsidR="00E3496C">
              <w:rPr>
                <w:noProof/>
              </w:rPr>
              <w:t>17</w:t>
            </w:r>
            <w:r w:rsidR="53E329A5">
              <w:rPr>
                <w:noProof/>
              </w:rPr>
              <w:fldChar w:fldCharType="end"/>
            </w:r>
          </w:hyperlink>
        </w:p>
        <w:p w14:paraId="14EEE6AA" w14:textId="04EF982E" w:rsidR="00C3657E" w:rsidRDefault="7BDE8E7A" w:rsidP="7BDE8E7A">
          <w:pPr>
            <w:pStyle w:val="TOC3"/>
            <w:tabs>
              <w:tab w:val="right" w:leader="dot" w:pos="9015"/>
            </w:tabs>
            <w:rPr>
              <w:rStyle w:val="Hyperlink"/>
              <w:noProof/>
              <w:kern w:val="2"/>
              <w:lang w:eastAsia="en-GB"/>
              <w14:ligatures w14:val="standardContextual"/>
            </w:rPr>
          </w:pPr>
          <w:hyperlink w:anchor="_Toc1845814902">
            <w:r w:rsidRPr="7BDE8E7A">
              <w:rPr>
                <w:rStyle w:val="Hyperlink"/>
                <w:noProof/>
              </w:rPr>
              <w:t>2.6.4 Age-specific rates</w:t>
            </w:r>
            <w:r w:rsidR="53E329A5">
              <w:rPr>
                <w:noProof/>
              </w:rPr>
              <w:tab/>
            </w:r>
            <w:r w:rsidR="53E329A5">
              <w:rPr>
                <w:noProof/>
              </w:rPr>
              <w:fldChar w:fldCharType="begin"/>
            </w:r>
            <w:r w:rsidR="53E329A5">
              <w:rPr>
                <w:noProof/>
              </w:rPr>
              <w:instrText>PAGEREF _Toc1845814902 \h</w:instrText>
            </w:r>
            <w:r w:rsidR="53E329A5">
              <w:rPr>
                <w:noProof/>
              </w:rPr>
            </w:r>
            <w:r w:rsidR="53E329A5">
              <w:rPr>
                <w:noProof/>
              </w:rPr>
              <w:fldChar w:fldCharType="separate"/>
            </w:r>
            <w:r w:rsidR="00E3496C">
              <w:rPr>
                <w:noProof/>
              </w:rPr>
              <w:t>18</w:t>
            </w:r>
            <w:r w:rsidR="53E329A5">
              <w:rPr>
                <w:noProof/>
              </w:rPr>
              <w:fldChar w:fldCharType="end"/>
            </w:r>
          </w:hyperlink>
        </w:p>
        <w:p w14:paraId="2C13B431" w14:textId="07343073" w:rsidR="00C3657E" w:rsidRDefault="7BDE8E7A" w:rsidP="7BDE8E7A">
          <w:pPr>
            <w:pStyle w:val="TOC3"/>
            <w:tabs>
              <w:tab w:val="right" w:leader="dot" w:pos="9015"/>
            </w:tabs>
            <w:rPr>
              <w:rStyle w:val="Hyperlink"/>
              <w:noProof/>
              <w:kern w:val="2"/>
              <w:lang w:eastAsia="en-GB"/>
              <w14:ligatures w14:val="standardContextual"/>
            </w:rPr>
          </w:pPr>
          <w:hyperlink w:anchor="_Toc1190504528">
            <w:r w:rsidRPr="7BDE8E7A">
              <w:rPr>
                <w:rStyle w:val="Hyperlink"/>
                <w:noProof/>
              </w:rPr>
              <w:t>2.6.5 Proportions</w:t>
            </w:r>
            <w:r w:rsidR="53E329A5">
              <w:rPr>
                <w:noProof/>
              </w:rPr>
              <w:tab/>
            </w:r>
            <w:r w:rsidR="53E329A5">
              <w:rPr>
                <w:noProof/>
              </w:rPr>
              <w:fldChar w:fldCharType="begin"/>
            </w:r>
            <w:r w:rsidR="53E329A5">
              <w:rPr>
                <w:noProof/>
              </w:rPr>
              <w:instrText>PAGEREF _Toc1190504528 \h</w:instrText>
            </w:r>
            <w:r w:rsidR="53E329A5">
              <w:rPr>
                <w:noProof/>
              </w:rPr>
            </w:r>
            <w:r w:rsidR="53E329A5">
              <w:rPr>
                <w:noProof/>
              </w:rPr>
              <w:fldChar w:fldCharType="separate"/>
            </w:r>
            <w:r w:rsidR="00E3496C">
              <w:rPr>
                <w:noProof/>
              </w:rPr>
              <w:t>19</w:t>
            </w:r>
            <w:r w:rsidR="53E329A5">
              <w:rPr>
                <w:noProof/>
              </w:rPr>
              <w:fldChar w:fldCharType="end"/>
            </w:r>
          </w:hyperlink>
        </w:p>
        <w:p w14:paraId="0AF48AA1" w14:textId="7D3A79C9" w:rsidR="00C3657E" w:rsidRDefault="7BDE8E7A" w:rsidP="7BDE8E7A">
          <w:pPr>
            <w:pStyle w:val="TOC3"/>
            <w:tabs>
              <w:tab w:val="right" w:leader="dot" w:pos="9015"/>
            </w:tabs>
            <w:rPr>
              <w:rStyle w:val="Hyperlink"/>
              <w:noProof/>
              <w:kern w:val="2"/>
              <w:lang w:eastAsia="en-GB"/>
              <w14:ligatures w14:val="standardContextual"/>
            </w:rPr>
          </w:pPr>
          <w:hyperlink w:anchor="_Toc657769287">
            <w:r w:rsidRPr="7BDE8E7A">
              <w:rPr>
                <w:rStyle w:val="Hyperlink"/>
                <w:noProof/>
              </w:rPr>
              <w:t>2.6.6 Net survival (unstandardised net survival)</w:t>
            </w:r>
            <w:r w:rsidR="53E329A5">
              <w:rPr>
                <w:noProof/>
              </w:rPr>
              <w:tab/>
            </w:r>
            <w:r w:rsidR="53E329A5">
              <w:rPr>
                <w:noProof/>
              </w:rPr>
              <w:fldChar w:fldCharType="begin"/>
            </w:r>
            <w:r w:rsidR="53E329A5">
              <w:rPr>
                <w:noProof/>
              </w:rPr>
              <w:instrText>PAGEREF _Toc657769287 \h</w:instrText>
            </w:r>
            <w:r w:rsidR="53E329A5">
              <w:rPr>
                <w:noProof/>
              </w:rPr>
            </w:r>
            <w:r w:rsidR="53E329A5">
              <w:rPr>
                <w:noProof/>
              </w:rPr>
              <w:fldChar w:fldCharType="separate"/>
            </w:r>
            <w:r w:rsidR="00E3496C">
              <w:rPr>
                <w:noProof/>
              </w:rPr>
              <w:t>19</w:t>
            </w:r>
            <w:r w:rsidR="53E329A5">
              <w:rPr>
                <w:noProof/>
              </w:rPr>
              <w:fldChar w:fldCharType="end"/>
            </w:r>
          </w:hyperlink>
        </w:p>
        <w:p w14:paraId="6276F942" w14:textId="3C7C32F0" w:rsidR="00C3657E" w:rsidRDefault="7BDE8E7A" w:rsidP="7BDE8E7A">
          <w:pPr>
            <w:pStyle w:val="TOC3"/>
            <w:tabs>
              <w:tab w:val="right" w:leader="dot" w:pos="9015"/>
            </w:tabs>
            <w:rPr>
              <w:rStyle w:val="Hyperlink"/>
              <w:noProof/>
              <w:kern w:val="2"/>
              <w:lang w:eastAsia="en-GB"/>
              <w14:ligatures w14:val="standardContextual"/>
            </w:rPr>
          </w:pPr>
          <w:hyperlink w:anchor="_Toc126403382">
            <w:r w:rsidRPr="7BDE8E7A">
              <w:rPr>
                <w:rStyle w:val="Hyperlink"/>
                <w:noProof/>
              </w:rPr>
              <w:t>2.6.7 Age specific net survival</w:t>
            </w:r>
            <w:r w:rsidR="53E329A5">
              <w:rPr>
                <w:noProof/>
              </w:rPr>
              <w:tab/>
            </w:r>
            <w:r w:rsidR="53E329A5">
              <w:rPr>
                <w:noProof/>
              </w:rPr>
              <w:fldChar w:fldCharType="begin"/>
            </w:r>
            <w:r w:rsidR="53E329A5">
              <w:rPr>
                <w:noProof/>
              </w:rPr>
              <w:instrText>PAGEREF _Toc126403382 \h</w:instrText>
            </w:r>
            <w:r w:rsidR="53E329A5">
              <w:rPr>
                <w:noProof/>
              </w:rPr>
            </w:r>
            <w:r w:rsidR="53E329A5">
              <w:rPr>
                <w:noProof/>
              </w:rPr>
              <w:fldChar w:fldCharType="separate"/>
            </w:r>
            <w:r w:rsidR="00E3496C">
              <w:rPr>
                <w:noProof/>
              </w:rPr>
              <w:t>19</w:t>
            </w:r>
            <w:r w:rsidR="53E329A5">
              <w:rPr>
                <w:noProof/>
              </w:rPr>
              <w:fldChar w:fldCharType="end"/>
            </w:r>
          </w:hyperlink>
        </w:p>
        <w:p w14:paraId="094550B7" w14:textId="71C60FD0" w:rsidR="00C3657E" w:rsidRDefault="7BDE8E7A" w:rsidP="7BDE8E7A">
          <w:pPr>
            <w:pStyle w:val="TOC3"/>
            <w:tabs>
              <w:tab w:val="right" w:leader="dot" w:pos="9015"/>
            </w:tabs>
            <w:rPr>
              <w:rStyle w:val="Hyperlink"/>
              <w:noProof/>
              <w:kern w:val="2"/>
              <w:lang w:eastAsia="en-GB"/>
              <w14:ligatures w14:val="standardContextual"/>
            </w:rPr>
          </w:pPr>
          <w:hyperlink w:anchor="_Toc899989879">
            <w:r w:rsidRPr="7BDE8E7A">
              <w:rPr>
                <w:rStyle w:val="Hyperlink"/>
                <w:noProof/>
              </w:rPr>
              <w:t>2.6.8 Age-standardised net survival</w:t>
            </w:r>
            <w:r w:rsidR="53E329A5">
              <w:rPr>
                <w:noProof/>
              </w:rPr>
              <w:tab/>
            </w:r>
            <w:r w:rsidR="53E329A5">
              <w:rPr>
                <w:noProof/>
              </w:rPr>
              <w:fldChar w:fldCharType="begin"/>
            </w:r>
            <w:r w:rsidR="53E329A5">
              <w:rPr>
                <w:noProof/>
              </w:rPr>
              <w:instrText>PAGEREF _Toc899989879 \h</w:instrText>
            </w:r>
            <w:r w:rsidR="53E329A5">
              <w:rPr>
                <w:noProof/>
              </w:rPr>
            </w:r>
            <w:r w:rsidR="53E329A5">
              <w:rPr>
                <w:noProof/>
              </w:rPr>
              <w:fldChar w:fldCharType="separate"/>
            </w:r>
            <w:r w:rsidR="00E3496C">
              <w:rPr>
                <w:noProof/>
              </w:rPr>
              <w:t>19</w:t>
            </w:r>
            <w:r w:rsidR="53E329A5">
              <w:rPr>
                <w:noProof/>
              </w:rPr>
              <w:fldChar w:fldCharType="end"/>
            </w:r>
          </w:hyperlink>
        </w:p>
        <w:p w14:paraId="433639FF" w14:textId="7AAF5F47" w:rsidR="00C3657E" w:rsidRDefault="7BDE8E7A" w:rsidP="7BDE8E7A">
          <w:pPr>
            <w:pStyle w:val="TOC3"/>
            <w:tabs>
              <w:tab w:val="right" w:leader="dot" w:pos="9015"/>
            </w:tabs>
            <w:rPr>
              <w:rStyle w:val="Hyperlink"/>
              <w:noProof/>
              <w:kern w:val="2"/>
              <w:lang w:eastAsia="en-GB"/>
              <w14:ligatures w14:val="standardContextual"/>
            </w:rPr>
          </w:pPr>
          <w:hyperlink w:anchor="_Toc589219">
            <w:r w:rsidRPr="7BDE8E7A">
              <w:rPr>
                <w:rStyle w:val="Hyperlink"/>
                <w:noProof/>
              </w:rPr>
              <w:t>2.6.9 Observed survival</w:t>
            </w:r>
            <w:r w:rsidR="53E329A5">
              <w:rPr>
                <w:noProof/>
              </w:rPr>
              <w:tab/>
            </w:r>
            <w:r w:rsidR="53E329A5">
              <w:rPr>
                <w:noProof/>
              </w:rPr>
              <w:fldChar w:fldCharType="begin"/>
            </w:r>
            <w:r w:rsidR="53E329A5">
              <w:rPr>
                <w:noProof/>
              </w:rPr>
              <w:instrText>PAGEREF _Toc589219 \h</w:instrText>
            </w:r>
            <w:r w:rsidR="53E329A5">
              <w:rPr>
                <w:noProof/>
              </w:rPr>
            </w:r>
            <w:r w:rsidR="53E329A5">
              <w:rPr>
                <w:noProof/>
              </w:rPr>
              <w:fldChar w:fldCharType="separate"/>
            </w:r>
            <w:r w:rsidR="00E3496C">
              <w:rPr>
                <w:noProof/>
              </w:rPr>
              <w:t>20</w:t>
            </w:r>
            <w:r w:rsidR="53E329A5">
              <w:rPr>
                <w:noProof/>
              </w:rPr>
              <w:fldChar w:fldCharType="end"/>
            </w:r>
          </w:hyperlink>
        </w:p>
        <w:p w14:paraId="125BCA59" w14:textId="613D8991" w:rsidR="00C3657E" w:rsidRDefault="7BDE8E7A" w:rsidP="7BDE8E7A">
          <w:pPr>
            <w:pStyle w:val="TOC3"/>
            <w:tabs>
              <w:tab w:val="right" w:leader="dot" w:pos="9015"/>
            </w:tabs>
            <w:rPr>
              <w:rStyle w:val="Hyperlink"/>
              <w:noProof/>
              <w:kern w:val="2"/>
              <w:lang w:eastAsia="en-GB"/>
              <w14:ligatures w14:val="standardContextual"/>
            </w:rPr>
          </w:pPr>
          <w:hyperlink w:anchor="_Toc658467350">
            <w:r w:rsidRPr="7BDE8E7A">
              <w:rPr>
                <w:rStyle w:val="Hyperlink"/>
                <w:noProof/>
              </w:rPr>
              <w:t>2.6.10 Confidence intervals</w:t>
            </w:r>
            <w:r w:rsidR="53E329A5">
              <w:rPr>
                <w:noProof/>
              </w:rPr>
              <w:tab/>
            </w:r>
            <w:r w:rsidR="53E329A5">
              <w:rPr>
                <w:noProof/>
              </w:rPr>
              <w:fldChar w:fldCharType="begin"/>
            </w:r>
            <w:r w:rsidR="53E329A5">
              <w:rPr>
                <w:noProof/>
              </w:rPr>
              <w:instrText>PAGEREF _Toc658467350 \h</w:instrText>
            </w:r>
            <w:r w:rsidR="53E329A5">
              <w:rPr>
                <w:noProof/>
              </w:rPr>
            </w:r>
            <w:r w:rsidR="53E329A5">
              <w:rPr>
                <w:noProof/>
              </w:rPr>
              <w:fldChar w:fldCharType="separate"/>
            </w:r>
            <w:r w:rsidR="00E3496C">
              <w:rPr>
                <w:noProof/>
              </w:rPr>
              <w:t>20</w:t>
            </w:r>
            <w:r w:rsidR="53E329A5">
              <w:rPr>
                <w:noProof/>
              </w:rPr>
              <w:fldChar w:fldCharType="end"/>
            </w:r>
          </w:hyperlink>
        </w:p>
        <w:p w14:paraId="666E8295" w14:textId="50303ADD" w:rsidR="00C3657E" w:rsidRDefault="7BDE8E7A" w:rsidP="7BDE8E7A">
          <w:pPr>
            <w:pStyle w:val="TOC3"/>
            <w:tabs>
              <w:tab w:val="right" w:leader="dot" w:pos="9015"/>
            </w:tabs>
            <w:rPr>
              <w:rStyle w:val="Hyperlink"/>
              <w:noProof/>
              <w:kern w:val="2"/>
              <w:lang w:eastAsia="en-GB"/>
              <w14:ligatures w14:val="standardContextual"/>
            </w:rPr>
          </w:pPr>
          <w:hyperlink w:anchor="_Toc763160345">
            <w:r w:rsidRPr="7BDE8E7A">
              <w:rPr>
                <w:rStyle w:val="Hyperlink"/>
                <w:noProof/>
              </w:rPr>
              <w:t>2.6.11 Populations</w:t>
            </w:r>
            <w:r w:rsidR="53E329A5">
              <w:rPr>
                <w:noProof/>
              </w:rPr>
              <w:tab/>
            </w:r>
            <w:r w:rsidR="53E329A5">
              <w:rPr>
                <w:noProof/>
              </w:rPr>
              <w:fldChar w:fldCharType="begin"/>
            </w:r>
            <w:r w:rsidR="53E329A5">
              <w:rPr>
                <w:noProof/>
              </w:rPr>
              <w:instrText>PAGEREF _Toc763160345 \h</w:instrText>
            </w:r>
            <w:r w:rsidR="53E329A5">
              <w:rPr>
                <w:noProof/>
              </w:rPr>
            </w:r>
            <w:r w:rsidR="53E329A5">
              <w:rPr>
                <w:noProof/>
              </w:rPr>
              <w:fldChar w:fldCharType="separate"/>
            </w:r>
            <w:r w:rsidR="00E3496C">
              <w:rPr>
                <w:noProof/>
              </w:rPr>
              <w:t>22</w:t>
            </w:r>
            <w:r w:rsidR="53E329A5">
              <w:rPr>
                <w:noProof/>
              </w:rPr>
              <w:fldChar w:fldCharType="end"/>
            </w:r>
          </w:hyperlink>
        </w:p>
        <w:p w14:paraId="38948E8F" w14:textId="14F6B804" w:rsidR="00C3657E" w:rsidRDefault="7BDE8E7A" w:rsidP="7BDE8E7A">
          <w:pPr>
            <w:pStyle w:val="TOC2"/>
            <w:tabs>
              <w:tab w:val="right" w:leader="dot" w:pos="9015"/>
            </w:tabs>
            <w:rPr>
              <w:rStyle w:val="Hyperlink"/>
              <w:noProof/>
              <w:kern w:val="2"/>
              <w:lang w:eastAsia="en-GB"/>
              <w14:ligatures w14:val="standardContextual"/>
            </w:rPr>
          </w:pPr>
          <w:hyperlink w:anchor="_Toc1256033463">
            <w:r w:rsidRPr="7BDE8E7A">
              <w:rPr>
                <w:rStyle w:val="Hyperlink"/>
                <w:noProof/>
              </w:rPr>
              <w:t>2.7 Datasets and analysis</w:t>
            </w:r>
            <w:r w:rsidR="53E329A5">
              <w:rPr>
                <w:noProof/>
              </w:rPr>
              <w:tab/>
            </w:r>
            <w:r w:rsidR="53E329A5">
              <w:rPr>
                <w:noProof/>
              </w:rPr>
              <w:fldChar w:fldCharType="begin"/>
            </w:r>
            <w:r w:rsidR="53E329A5">
              <w:rPr>
                <w:noProof/>
              </w:rPr>
              <w:instrText>PAGEREF _Toc1256033463 \h</w:instrText>
            </w:r>
            <w:r w:rsidR="53E329A5">
              <w:rPr>
                <w:noProof/>
              </w:rPr>
            </w:r>
            <w:r w:rsidR="53E329A5">
              <w:rPr>
                <w:noProof/>
              </w:rPr>
              <w:fldChar w:fldCharType="separate"/>
            </w:r>
            <w:r w:rsidR="00E3496C">
              <w:rPr>
                <w:noProof/>
              </w:rPr>
              <w:t>22</w:t>
            </w:r>
            <w:r w:rsidR="53E329A5">
              <w:rPr>
                <w:noProof/>
              </w:rPr>
              <w:fldChar w:fldCharType="end"/>
            </w:r>
          </w:hyperlink>
        </w:p>
        <w:p w14:paraId="362DC42A" w14:textId="4DFF651D" w:rsidR="00C3657E" w:rsidRDefault="7BDE8E7A" w:rsidP="7BDE8E7A">
          <w:pPr>
            <w:pStyle w:val="TOC1"/>
            <w:tabs>
              <w:tab w:val="right" w:leader="dot" w:pos="9015"/>
            </w:tabs>
            <w:rPr>
              <w:rStyle w:val="Hyperlink"/>
              <w:noProof/>
              <w:kern w:val="2"/>
              <w:lang w:eastAsia="en-GB"/>
              <w14:ligatures w14:val="standardContextual"/>
            </w:rPr>
          </w:pPr>
          <w:hyperlink w:anchor="_Toc1526979842">
            <w:r w:rsidRPr="7BDE8E7A">
              <w:rPr>
                <w:rStyle w:val="Hyperlink"/>
                <w:noProof/>
              </w:rPr>
              <w:t>3 Relevance</w:t>
            </w:r>
            <w:r w:rsidR="53E329A5">
              <w:rPr>
                <w:noProof/>
              </w:rPr>
              <w:tab/>
            </w:r>
            <w:r w:rsidR="53E329A5">
              <w:rPr>
                <w:noProof/>
              </w:rPr>
              <w:fldChar w:fldCharType="begin"/>
            </w:r>
            <w:r w:rsidR="53E329A5">
              <w:rPr>
                <w:noProof/>
              </w:rPr>
              <w:instrText>PAGEREF _Toc1526979842 \h</w:instrText>
            </w:r>
            <w:r w:rsidR="53E329A5">
              <w:rPr>
                <w:noProof/>
              </w:rPr>
            </w:r>
            <w:r w:rsidR="53E329A5">
              <w:rPr>
                <w:noProof/>
              </w:rPr>
              <w:fldChar w:fldCharType="separate"/>
            </w:r>
            <w:r w:rsidR="00E3496C">
              <w:rPr>
                <w:noProof/>
              </w:rPr>
              <w:t>23</w:t>
            </w:r>
            <w:r w:rsidR="53E329A5">
              <w:rPr>
                <w:noProof/>
              </w:rPr>
              <w:fldChar w:fldCharType="end"/>
            </w:r>
          </w:hyperlink>
        </w:p>
        <w:p w14:paraId="14CB4C49" w14:textId="3DF07166" w:rsidR="00C3657E" w:rsidRDefault="7BDE8E7A" w:rsidP="7BDE8E7A">
          <w:pPr>
            <w:pStyle w:val="TOC1"/>
            <w:tabs>
              <w:tab w:val="right" w:leader="dot" w:pos="9015"/>
            </w:tabs>
            <w:rPr>
              <w:rStyle w:val="Hyperlink"/>
              <w:noProof/>
              <w:kern w:val="2"/>
              <w:lang w:eastAsia="en-GB"/>
              <w14:ligatures w14:val="standardContextual"/>
            </w:rPr>
          </w:pPr>
          <w:hyperlink w:anchor="_Toc1214216938">
            <w:r w:rsidRPr="7BDE8E7A">
              <w:rPr>
                <w:rStyle w:val="Hyperlink"/>
                <w:noProof/>
              </w:rPr>
              <w:t>4 Accuracy</w:t>
            </w:r>
            <w:r w:rsidR="53E329A5">
              <w:rPr>
                <w:noProof/>
              </w:rPr>
              <w:tab/>
            </w:r>
            <w:r w:rsidR="53E329A5">
              <w:rPr>
                <w:noProof/>
              </w:rPr>
              <w:fldChar w:fldCharType="begin"/>
            </w:r>
            <w:r w:rsidR="53E329A5">
              <w:rPr>
                <w:noProof/>
              </w:rPr>
              <w:instrText>PAGEREF _Toc1214216938 \h</w:instrText>
            </w:r>
            <w:r w:rsidR="53E329A5">
              <w:rPr>
                <w:noProof/>
              </w:rPr>
            </w:r>
            <w:r w:rsidR="53E329A5">
              <w:rPr>
                <w:noProof/>
              </w:rPr>
              <w:fldChar w:fldCharType="separate"/>
            </w:r>
            <w:r w:rsidR="00E3496C">
              <w:rPr>
                <w:noProof/>
              </w:rPr>
              <w:t>23</w:t>
            </w:r>
            <w:r w:rsidR="53E329A5">
              <w:rPr>
                <w:noProof/>
              </w:rPr>
              <w:fldChar w:fldCharType="end"/>
            </w:r>
          </w:hyperlink>
        </w:p>
        <w:p w14:paraId="563A5BDE" w14:textId="2303116A" w:rsidR="00C3657E" w:rsidRDefault="7BDE8E7A" w:rsidP="7BDE8E7A">
          <w:pPr>
            <w:pStyle w:val="TOC2"/>
            <w:tabs>
              <w:tab w:val="right" w:leader="dot" w:pos="9015"/>
            </w:tabs>
            <w:rPr>
              <w:rStyle w:val="Hyperlink"/>
              <w:noProof/>
              <w:kern w:val="2"/>
              <w:lang w:eastAsia="en-GB"/>
              <w14:ligatures w14:val="standardContextual"/>
            </w:rPr>
          </w:pPr>
          <w:hyperlink w:anchor="_Toc272370576">
            <w:r w:rsidRPr="7BDE8E7A">
              <w:rPr>
                <w:rStyle w:val="Hyperlink"/>
                <w:noProof/>
              </w:rPr>
              <w:t>4.1. Cancer registration</w:t>
            </w:r>
            <w:r w:rsidR="53E329A5">
              <w:rPr>
                <w:noProof/>
              </w:rPr>
              <w:tab/>
            </w:r>
            <w:r w:rsidR="53E329A5">
              <w:rPr>
                <w:noProof/>
              </w:rPr>
              <w:fldChar w:fldCharType="begin"/>
            </w:r>
            <w:r w:rsidR="53E329A5">
              <w:rPr>
                <w:noProof/>
              </w:rPr>
              <w:instrText>PAGEREF _Toc272370576 \h</w:instrText>
            </w:r>
            <w:r w:rsidR="53E329A5">
              <w:rPr>
                <w:noProof/>
              </w:rPr>
            </w:r>
            <w:r w:rsidR="53E329A5">
              <w:rPr>
                <w:noProof/>
              </w:rPr>
              <w:fldChar w:fldCharType="separate"/>
            </w:r>
            <w:r w:rsidR="00E3496C">
              <w:rPr>
                <w:noProof/>
              </w:rPr>
              <w:t>23</w:t>
            </w:r>
            <w:r w:rsidR="53E329A5">
              <w:rPr>
                <w:noProof/>
              </w:rPr>
              <w:fldChar w:fldCharType="end"/>
            </w:r>
          </w:hyperlink>
        </w:p>
        <w:p w14:paraId="17E33B34" w14:textId="51E8A4F4" w:rsidR="00C3657E" w:rsidRDefault="7BDE8E7A" w:rsidP="7BDE8E7A">
          <w:pPr>
            <w:pStyle w:val="TOC3"/>
            <w:tabs>
              <w:tab w:val="right" w:leader="dot" w:pos="9015"/>
            </w:tabs>
            <w:rPr>
              <w:rStyle w:val="Hyperlink"/>
              <w:noProof/>
              <w:kern w:val="2"/>
              <w:lang w:eastAsia="en-GB"/>
              <w14:ligatures w14:val="standardContextual"/>
            </w:rPr>
          </w:pPr>
          <w:hyperlink w:anchor="_Toc141147876">
            <w:r w:rsidRPr="7BDE8E7A">
              <w:rPr>
                <w:rStyle w:val="Hyperlink"/>
                <w:noProof/>
              </w:rPr>
              <w:t>4.1.1 ICD-10 coding system changes</w:t>
            </w:r>
            <w:r w:rsidR="53E329A5">
              <w:rPr>
                <w:noProof/>
              </w:rPr>
              <w:tab/>
            </w:r>
            <w:r w:rsidR="53E329A5">
              <w:rPr>
                <w:noProof/>
              </w:rPr>
              <w:fldChar w:fldCharType="begin"/>
            </w:r>
            <w:r w:rsidR="53E329A5">
              <w:rPr>
                <w:noProof/>
              </w:rPr>
              <w:instrText>PAGEREF _Toc141147876 \h</w:instrText>
            </w:r>
            <w:r w:rsidR="53E329A5">
              <w:rPr>
                <w:noProof/>
              </w:rPr>
            </w:r>
            <w:r w:rsidR="53E329A5">
              <w:rPr>
                <w:noProof/>
              </w:rPr>
              <w:fldChar w:fldCharType="separate"/>
            </w:r>
            <w:r w:rsidR="00E3496C">
              <w:rPr>
                <w:noProof/>
              </w:rPr>
              <w:t>25</w:t>
            </w:r>
            <w:r w:rsidR="53E329A5">
              <w:rPr>
                <w:noProof/>
              </w:rPr>
              <w:fldChar w:fldCharType="end"/>
            </w:r>
          </w:hyperlink>
        </w:p>
        <w:p w14:paraId="0362EE6B" w14:textId="092633C9" w:rsidR="00C3657E" w:rsidRDefault="7BDE8E7A" w:rsidP="7BDE8E7A">
          <w:pPr>
            <w:pStyle w:val="TOC3"/>
            <w:tabs>
              <w:tab w:val="right" w:leader="dot" w:pos="9015"/>
            </w:tabs>
            <w:rPr>
              <w:rStyle w:val="Hyperlink"/>
              <w:noProof/>
              <w:kern w:val="2"/>
              <w:lang w:eastAsia="en-GB"/>
              <w14:ligatures w14:val="standardContextual"/>
            </w:rPr>
          </w:pPr>
          <w:hyperlink w:anchor="_Toc157099651">
            <w:r w:rsidRPr="7BDE8E7A">
              <w:rPr>
                <w:rStyle w:val="Hyperlink"/>
                <w:noProof/>
              </w:rPr>
              <w:t>4.1.2 Morphology and behaviour codes</w:t>
            </w:r>
            <w:r w:rsidR="53E329A5">
              <w:rPr>
                <w:noProof/>
              </w:rPr>
              <w:tab/>
            </w:r>
            <w:r w:rsidR="53E329A5">
              <w:rPr>
                <w:noProof/>
              </w:rPr>
              <w:fldChar w:fldCharType="begin"/>
            </w:r>
            <w:r w:rsidR="53E329A5">
              <w:rPr>
                <w:noProof/>
              </w:rPr>
              <w:instrText>PAGEREF _Toc157099651 \h</w:instrText>
            </w:r>
            <w:r w:rsidR="53E329A5">
              <w:rPr>
                <w:noProof/>
              </w:rPr>
            </w:r>
            <w:r w:rsidR="53E329A5">
              <w:rPr>
                <w:noProof/>
              </w:rPr>
              <w:fldChar w:fldCharType="separate"/>
            </w:r>
            <w:r w:rsidR="00E3496C">
              <w:rPr>
                <w:noProof/>
              </w:rPr>
              <w:t>25</w:t>
            </w:r>
            <w:r w:rsidR="53E329A5">
              <w:rPr>
                <w:noProof/>
              </w:rPr>
              <w:fldChar w:fldCharType="end"/>
            </w:r>
          </w:hyperlink>
        </w:p>
        <w:p w14:paraId="05613F03" w14:textId="62B62146" w:rsidR="00C3657E" w:rsidRDefault="7BDE8E7A" w:rsidP="7BDE8E7A">
          <w:pPr>
            <w:pStyle w:val="TOC3"/>
            <w:tabs>
              <w:tab w:val="right" w:leader="dot" w:pos="9015"/>
            </w:tabs>
            <w:rPr>
              <w:rStyle w:val="Hyperlink"/>
              <w:noProof/>
              <w:kern w:val="2"/>
              <w:lang w:eastAsia="en-GB"/>
              <w14:ligatures w14:val="standardContextual"/>
            </w:rPr>
          </w:pPr>
          <w:hyperlink w:anchor="_Toc1975882798">
            <w:r w:rsidRPr="7BDE8E7A">
              <w:rPr>
                <w:rStyle w:val="Hyperlink"/>
                <w:noProof/>
              </w:rPr>
              <w:t>4.1.3 ONS Data</w:t>
            </w:r>
            <w:r w:rsidR="53E329A5">
              <w:rPr>
                <w:noProof/>
              </w:rPr>
              <w:tab/>
            </w:r>
            <w:r w:rsidR="53E329A5">
              <w:rPr>
                <w:noProof/>
              </w:rPr>
              <w:fldChar w:fldCharType="begin"/>
            </w:r>
            <w:r w:rsidR="53E329A5">
              <w:rPr>
                <w:noProof/>
              </w:rPr>
              <w:instrText>PAGEREF _Toc1975882798 \h</w:instrText>
            </w:r>
            <w:r w:rsidR="53E329A5">
              <w:rPr>
                <w:noProof/>
              </w:rPr>
            </w:r>
            <w:r w:rsidR="53E329A5">
              <w:rPr>
                <w:noProof/>
              </w:rPr>
              <w:fldChar w:fldCharType="separate"/>
            </w:r>
            <w:r w:rsidR="00E3496C">
              <w:rPr>
                <w:noProof/>
              </w:rPr>
              <w:t>25</w:t>
            </w:r>
            <w:r w:rsidR="53E329A5">
              <w:rPr>
                <w:noProof/>
              </w:rPr>
              <w:fldChar w:fldCharType="end"/>
            </w:r>
          </w:hyperlink>
        </w:p>
        <w:p w14:paraId="7EBB1C25" w14:textId="1F400CD1" w:rsidR="00C3657E" w:rsidRDefault="7BDE8E7A" w:rsidP="7BDE8E7A">
          <w:pPr>
            <w:pStyle w:val="TOC2"/>
            <w:tabs>
              <w:tab w:val="right" w:leader="dot" w:pos="9015"/>
            </w:tabs>
            <w:rPr>
              <w:rStyle w:val="Hyperlink"/>
              <w:noProof/>
              <w:kern w:val="2"/>
              <w:lang w:eastAsia="en-GB"/>
              <w14:ligatures w14:val="standardContextual"/>
            </w:rPr>
          </w:pPr>
          <w:hyperlink w:anchor="_Toc1198390470">
            <w:r w:rsidRPr="7BDE8E7A">
              <w:rPr>
                <w:rStyle w:val="Hyperlink"/>
                <w:noProof/>
              </w:rPr>
              <w:t>4.2 Life tables</w:t>
            </w:r>
            <w:r w:rsidR="53E329A5">
              <w:rPr>
                <w:noProof/>
              </w:rPr>
              <w:tab/>
            </w:r>
            <w:r w:rsidR="53E329A5">
              <w:rPr>
                <w:noProof/>
              </w:rPr>
              <w:fldChar w:fldCharType="begin"/>
            </w:r>
            <w:r w:rsidR="53E329A5">
              <w:rPr>
                <w:noProof/>
              </w:rPr>
              <w:instrText>PAGEREF _Toc1198390470 \h</w:instrText>
            </w:r>
            <w:r w:rsidR="53E329A5">
              <w:rPr>
                <w:noProof/>
              </w:rPr>
            </w:r>
            <w:r w:rsidR="53E329A5">
              <w:rPr>
                <w:noProof/>
              </w:rPr>
              <w:fldChar w:fldCharType="separate"/>
            </w:r>
            <w:r w:rsidR="00E3496C">
              <w:rPr>
                <w:noProof/>
              </w:rPr>
              <w:t>26</w:t>
            </w:r>
            <w:r w:rsidR="53E329A5">
              <w:rPr>
                <w:noProof/>
              </w:rPr>
              <w:fldChar w:fldCharType="end"/>
            </w:r>
          </w:hyperlink>
        </w:p>
        <w:p w14:paraId="6B33B146" w14:textId="7D99AC7D" w:rsidR="00C3657E" w:rsidRDefault="7BDE8E7A" w:rsidP="7BDE8E7A">
          <w:pPr>
            <w:pStyle w:val="TOC3"/>
            <w:tabs>
              <w:tab w:val="right" w:leader="dot" w:pos="9015"/>
            </w:tabs>
            <w:rPr>
              <w:rStyle w:val="Hyperlink"/>
              <w:noProof/>
              <w:kern w:val="2"/>
              <w:lang w:eastAsia="en-GB"/>
              <w14:ligatures w14:val="standardContextual"/>
            </w:rPr>
          </w:pPr>
          <w:hyperlink w:anchor="_Toc630487737">
            <w:r w:rsidRPr="7BDE8E7A">
              <w:rPr>
                <w:rStyle w:val="Hyperlink"/>
                <w:noProof/>
              </w:rPr>
              <w:t>4.2.1 Methodology</w:t>
            </w:r>
            <w:r w:rsidR="53E329A5">
              <w:rPr>
                <w:noProof/>
              </w:rPr>
              <w:tab/>
            </w:r>
            <w:r w:rsidR="53E329A5">
              <w:rPr>
                <w:noProof/>
              </w:rPr>
              <w:fldChar w:fldCharType="begin"/>
            </w:r>
            <w:r w:rsidR="53E329A5">
              <w:rPr>
                <w:noProof/>
              </w:rPr>
              <w:instrText>PAGEREF _Toc630487737 \h</w:instrText>
            </w:r>
            <w:r w:rsidR="53E329A5">
              <w:rPr>
                <w:noProof/>
              </w:rPr>
            </w:r>
            <w:r w:rsidR="53E329A5">
              <w:rPr>
                <w:noProof/>
              </w:rPr>
              <w:fldChar w:fldCharType="separate"/>
            </w:r>
            <w:r w:rsidR="00E3496C">
              <w:rPr>
                <w:noProof/>
              </w:rPr>
              <w:t>26</w:t>
            </w:r>
            <w:r w:rsidR="53E329A5">
              <w:rPr>
                <w:noProof/>
              </w:rPr>
              <w:fldChar w:fldCharType="end"/>
            </w:r>
          </w:hyperlink>
        </w:p>
        <w:p w14:paraId="3924B1C2" w14:textId="497588D4" w:rsidR="00C3657E" w:rsidRDefault="7BDE8E7A" w:rsidP="7BDE8E7A">
          <w:pPr>
            <w:pStyle w:val="TOC1"/>
            <w:tabs>
              <w:tab w:val="right" w:leader="dot" w:pos="9015"/>
            </w:tabs>
            <w:rPr>
              <w:rStyle w:val="Hyperlink"/>
              <w:noProof/>
              <w:kern w:val="2"/>
              <w:lang w:eastAsia="en-GB"/>
              <w14:ligatures w14:val="standardContextual"/>
            </w:rPr>
          </w:pPr>
          <w:hyperlink w:anchor="_Toc1228443124">
            <w:r w:rsidRPr="7BDE8E7A">
              <w:rPr>
                <w:rStyle w:val="Hyperlink"/>
                <w:noProof/>
              </w:rPr>
              <w:t>5 Timeliness and punctuality</w:t>
            </w:r>
            <w:r w:rsidR="53E329A5">
              <w:rPr>
                <w:noProof/>
              </w:rPr>
              <w:tab/>
            </w:r>
            <w:r w:rsidR="53E329A5">
              <w:rPr>
                <w:noProof/>
              </w:rPr>
              <w:fldChar w:fldCharType="begin"/>
            </w:r>
            <w:r w:rsidR="53E329A5">
              <w:rPr>
                <w:noProof/>
              </w:rPr>
              <w:instrText>PAGEREF _Toc1228443124 \h</w:instrText>
            </w:r>
            <w:r w:rsidR="53E329A5">
              <w:rPr>
                <w:noProof/>
              </w:rPr>
            </w:r>
            <w:r w:rsidR="53E329A5">
              <w:rPr>
                <w:noProof/>
              </w:rPr>
              <w:fldChar w:fldCharType="separate"/>
            </w:r>
            <w:r w:rsidR="00E3496C">
              <w:rPr>
                <w:noProof/>
              </w:rPr>
              <w:t>28</w:t>
            </w:r>
            <w:r w:rsidR="53E329A5">
              <w:rPr>
                <w:noProof/>
              </w:rPr>
              <w:fldChar w:fldCharType="end"/>
            </w:r>
          </w:hyperlink>
        </w:p>
        <w:p w14:paraId="4FC42589" w14:textId="5F618070" w:rsidR="00C3657E" w:rsidRDefault="7BDE8E7A" w:rsidP="7BDE8E7A">
          <w:pPr>
            <w:pStyle w:val="TOC2"/>
            <w:tabs>
              <w:tab w:val="right" w:leader="dot" w:pos="9015"/>
            </w:tabs>
            <w:rPr>
              <w:rStyle w:val="Hyperlink"/>
              <w:noProof/>
              <w:kern w:val="2"/>
              <w:lang w:eastAsia="en-GB"/>
              <w14:ligatures w14:val="standardContextual"/>
            </w:rPr>
          </w:pPr>
          <w:hyperlink w:anchor="_Toc99426749">
            <w:r w:rsidRPr="7BDE8E7A">
              <w:rPr>
                <w:rStyle w:val="Hyperlink"/>
                <w:noProof/>
              </w:rPr>
              <w:t>5.1 Incidence and survival</w:t>
            </w:r>
            <w:r w:rsidR="53E329A5">
              <w:rPr>
                <w:noProof/>
              </w:rPr>
              <w:tab/>
            </w:r>
            <w:r w:rsidR="53E329A5">
              <w:rPr>
                <w:noProof/>
              </w:rPr>
              <w:fldChar w:fldCharType="begin"/>
            </w:r>
            <w:r w:rsidR="53E329A5">
              <w:rPr>
                <w:noProof/>
              </w:rPr>
              <w:instrText>PAGEREF _Toc99426749 \h</w:instrText>
            </w:r>
            <w:r w:rsidR="53E329A5">
              <w:rPr>
                <w:noProof/>
              </w:rPr>
            </w:r>
            <w:r w:rsidR="53E329A5">
              <w:rPr>
                <w:noProof/>
              </w:rPr>
              <w:fldChar w:fldCharType="separate"/>
            </w:r>
            <w:r w:rsidR="00E3496C">
              <w:rPr>
                <w:noProof/>
              </w:rPr>
              <w:t>28</w:t>
            </w:r>
            <w:r w:rsidR="53E329A5">
              <w:rPr>
                <w:noProof/>
              </w:rPr>
              <w:fldChar w:fldCharType="end"/>
            </w:r>
          </w:hyperlink>
        </w:p>
        <w:p w14:paraId="32E0CC3E" w14:textId="68CECF4C" w:rsidR="00C3657E" w:rsidRDefault="7BDE8E7A" w:rsidP="7BDE8E7A">
          <w:pPr>
            <w:pStyle w:val="TOC1"/>
            <w:tabs>
              <w:tab w:val="right" w:leader="dot" w:pos="9015"/>
            </w:tabs>
            <w:rPr>
              <w:rStyle w:val="Hyperlink"/>
              <w:noProof/>
              <w:kern w:val="2"/>
              <w:lang w:eastAsia="en-GB"/>
              <w14:ligatures w14:val="standardContextual"/>
            </w:rPr>
          </w:pPr>
          <w:hyperlink w:anchor="_Toc2073923109">
            <w:r w:rsidRPr="7BDE8E7A">
              <w:rPr>
                <w:rStyle w:val="Hyperlink"/>
                <w:noProof/>
              </w:rPr>
              <w:t>6 Accessibility and clarity</w:t>
            </w:r>
            <w:r w:rsidR="53E329A5">
              <w:rPr>
                <w:noProof/>
              </w:rPr>
              <w:tab/>
            </w:r>
            <w:r w:rsidR="53E329A5">
              <w:rPr>
                <w:noProof/>
              </w:rPr>
              <w:fldChar w:fldCharType="begin"/>
            </w:r>
            <w:r w:rsidR="53E329A5">
              <w:rPr>
                <w:noProof/>
              </w:rPr>
              <w:instrText>PAGEREF _Toc2073923109 \h</w:instrText>
            </w:r>
            <w:r w:rsidR="53E329A5">
              <w:rPr>
                <w:noProof/>
              </w:rPr>
            </w:r>
            <w:r w:rsidR="53E329A5">
              <w:rPr>
                <w:noProof/>
              </w:rPr>
              <w:fldChar w:fldCharType="separate"/>
            </w:r>
            <w:r w:rsidR="00E3496C">
              <w:rPr>
                <w:noProof/>
              </w:rPr>
              <w:t>28</w:t>
            </w:r>
            <w:r w:rsidR="53E329A5">
              <w:rPr>
                <w:noProof/>
              </w:rPr>
              <w:fldChar w:fldCharType="end"/>
            </w:r>
          </w:hyperlink>
        </w:p>
        <w:p w14:paraId="75082755" w14:textId="0B62BE92" w:rsidR="00C3657E" w:rsidRDefault="7BDE8E7A" w:rsidP="7BDE8E7A">
          <w:pPr>
            <w:pStyle w:val="TOC1"/>
            <w:tabs>
              <w:tab w:val="right" w:leader="dot" w:pos="9015"/>
            </w:tabs>
            <w:rPr>
              <w:rStyle w:val="Hyperlink"/>
              <w:noProof/>
              <w:kern w:val="2"/>
              <w:lang w:eastAsia="en-GB"/>
              <w14:ligatures w14:val="standardContextual"/>
            </w:rPr>
          </w:pPr>
          <w:hyperlink w:anchor="_Toc1804505066">
            <w:r w:rsidRPr="7BDE8E7A">
              <w:rPr>
                <w:rStyle w:val="Hyperlink"/>
                <w:noProof/>
              </w:rPr>
              <w:t>7 Comparability and coherence</w:t>
            </w:r>
            <w:r w:rsidR="53E329A5">
              <w:rPr>
                <w:noProof/>
              </w:rPr>
              <w:tab/>
            </w:r>
            <w:r w:rsidR="53E329A5">
              <w:rPr>
                <w:noProof/>
              </w:rPr>
              <w:fldChar w:fldCharType="begin"/>
            </w:r>
            <w:r w:rsidR="53E329A5">
              <w:rPr>
                <w:noProof/>
              </w:rPr>
              <w:instrText>PAGEREF _Toc1804505066 \h</w:instrText>
            </w:r>
            <w:r w:rsidR="53E329A5">
              <w:rPr>
                <w:noProof/>
              </w:rPr>
            </w:r>
            <w:r w:rsidR="53E329A5">
              <w:rPr>
                <w:noProof/>
              </w:rPr>
              <w:fldChar w:fldCharType="separate"/>
            </w:r>
            <w:r w:rsidR="00E3496C">
              <w:rPr>
                <w:noProof/>
              </w:rPr>
              <w:t>28</w:t>
            </w:r>
            <w:r w:rsidR="53E329A5">
              <w:rPr>
                <w:noProof/>
              </w:rPr>
              <w:fldChar w:fldCharType="end"/>
            </w:r>
          </w:hyperlink>
        </w:p>
        <w:p w14:paraId="54D9ECA7" w14:textId="2DBDEF89" w:rsidR="00C3657E" w:rsidRDefault="7BDE8E7A" w:rsidP="7BDE8E7A">
          <w:pPr>
            <w:pStyle w:val="TOC1"/>
            <w:tabs>
              <w:tab w:val="right" w:leader="dot" w:pos="9015"/>
            </w:tabs>
            <w:rPr>
              <w:rStyle w:val="Hyperlink"/>
              <w:noProof/>
              <w:kern w:val="2"/>
              <w:lang w:eastAsia="en-GB"/>
              <w14:ligatures w14:val="standardContextual"/>
            </w:rPr>
          </w:pPr>
          <w:hyperlink w:anchor="_Toc414721201">
            <w:r w:rsidRPr="7BDE8E7A">
              <w:rPr>
                <w:rStyle w:val="Hyperlink"/>
                <w:noProof/>
              </w:rPr>
              <w:t>8 Legislation</w:t>
            </w:r>
            <w:r w:rsidR="53E329A5">
              <w:rPr>
                <w:noProof/>
              </w:rPr>
              <w:tab/>
            </w:r>
            <w:r w:rsidR="53E329A5">
              <w:rPr>
                <w:noProof/>
              </w:rPr>
              <w:fldChar w:fldCharType="begin"/>
            </w:r>
            <w:r w:rsidR="53E329A5">
              <w:rPr>
                <w:noProof/>
              </w:rPr>
              <w:instrText>PAGEREF _Toc414721201 \h</w:instrText>
            </w:r>
            <w:r w:rsidR="53E329A5">
              <w:rPr>
                <w:noProof/>
              </w:rPr>
            </w:r>
            <w:r w:rsidR="53E329A5">
              <w:rPr>
                <w:noProof/>
              </w:rPr>
              <w:fldChar w:fldCharType="separate"/>
            </w:r>
            <w:r w:rsidR="00E3496C">
              <w:rPr>
                <w:noProof/>
              </w:rPr>
              <w:t>29</w:t>
            </w:r>
            <w:r w:rsidR="53E329A5">
              <w:rPr>
                <w:noProof/>
              </w:rPr>
              <w:fldChar w:fldCharType="end"/>
            </w:r>
          </w:hyperlink>
        </w:p>
        <w:p w14:paraId="47589769" w14:textId="7828D59C" w:rsidR="00C3657E" w:rsidRDefault="7BDE8E7A" w:rsidP="7BDE8E7A">
          <w:pPr>
            <w:pStyle w:val="TOC1"/>
            <w:tabs>
              <w:tab w:val="right" w:leader="dot" w:pos="9015"/>
            </w:tabs>
            <w:rPr>
              <w:rStyle w:val="Hyperlink"/>
              <w:noProof/>
              <w:kern w:val="2"/>
              <w:lang w:eastAsia="en-GB"/>
              <w14:ligatures w14:val="standardContextual"/>
            </w:rPr>
          </w:pPr>
          <w:hyperlink w:anchor="_Toc1462000902">
            <w:r w:rsidRPr="7BDE8E7A">
              <w:rPr>
                <w:rStyle w:val="Hyperlink"/>
                <w:noProof/>
              </w:rPr>
              <w:t>9 Glossary</w:t>
            </w:r>
            <w:r w:rsidR="53E329A5">
              <w:rPr>
                <w:noProof/>
              </w:rPr>
              <w:tab/>
            </w:r>
            <w:r w:rsidR="53E329A5">
              <w:rPr>
                <w:noProof/>
              </w:rPr>
              <w:fldChar w:fldCharType="begin"/>
            </w:r>
            <w:r w:rsidR="53E329A5">
              <w:rPr>
                <w:noProof/>
              </w:rPr>
              <w:instrText>PAGEREF _Toc1462000902 \h</w:instrText>
            </w:r>
            <w:r w:rsidR="53E329A5">
              <w:rPr>
                <w:noProof/>
              </w:rPr>
            </w:r>
            <w:r w:rsidR="53E329A5">
              <w:rPr>
                <w:noProof/>
              </w:rPr>
              <w:fldChar w:fldCharType="separate"/>
            </w:r>
            <w:r w:rsidR="00E3496C">
              <w:rPr>
                <w:noProof/>
              </w:rPr>
              <w:t>31</w:t>
            </w:r>
            <w:r w:rsidR="53E329A5">
              <w:rPr>
                <w:noProof/>
              </w:rPr>
              <w:fldChar w:fldCharType="end"/>
            </w:r>
          </w:hyperlink>
        </w:p>
        <w:p w14:paraId="2CB581B2" w14:textId="63062421" w:rsidR="00C3657E" w:rsidRDefault="7BDE8E7A" w:rsidP="7BDE8E7A">
          <w:pPr>
            <w:pStyle w:val="TOC1"/>
            <w:tabs>
              <w:tab w:val="right" w:leader="dot" w:pos="9015"/>
            </w:tabs>
            <w:rPr>
              <w:rStyle w:val="Hyperlink"/>
              <w:noProof/>
              <w:kern w:val="2"/>
              <w:lang w:eastAsia="en-GB"/>
              <w14:ligatures w14:val="standardContextual"/>
            </w:rPr>
          </w:pPr>
          <w:hyperlink w:anchor="_Toc1862848610">
            <w:r w:rsidRPr="7BDE8E7A">
              <w:rPr>
                <w:rStyle w:val="Hyperlink"/>
                <w:noProof/>
              </w:rPr>
              <w:t>10 Appendix A</w:t>
            </w:r>
            <w:r w:rsidR="53E329A5">
              <w:rPr>
                <w:noProof/>
              </w:rPr>
              <w:tab/>
            </w:r>
            <w:r w:rsidR="53E329A5">
              <w:rPr>
                <w:noProof/>
              </w:rPr>
              <w:fldChar w:fldCharType="begin"/>
            </w:r>
            <w:r w:rsidR="53E329A5">
              <w:rPr>
                <w:noProof/>
              </w:rPr>
              <w:instrText>PAGEREF _Toc1862848610 \h</w:instrText>
            </w:r>
            <w:r w:rsidR="53E329A5">
              <w:rPr>
                <w:noProof/>
              </w:rPr>
            </w:r>
            <w:r w:rsidR="53E329A5">
              <w:rPr>
                <w:noProof/>
              </w:rPr>
              <w:fldChar w:fldCharType="separate"/>
            </w:r>
            <w:r w:rsidR="00E3496C">
              <w:rPr>
                <w:noProof/>
              </w:rPr>
              <w:t>32</w:t>
            </w:r>
            <w:r w:rsidR="53E329A5">
              <w:rPr>
                <w:noProof/>
              </w:rPr>
              <w:fldChar w:fldCharType="end"/>
            </w:r>
          </w:hyperlink>
        </w:p>
        <w:p w14:paraId="4A3D4861" w14:textId="3BA7C594" w:rsidR="00C3657E" w:rsidRDefault="7BDE8E7A" w:rsidP="7BDE8E7A">
          <w:pPr>
            <w:pStyle w:val="TOC2"/>
            <w:tabs>
              <w:tab w:val="right" w:leader="dot" w:pos="9015"/>
            </w:tabs>
            <w:rPr>
              <w:rStyle w:val="Hyperlink"/>
              <w:noProof/>
              <w:kern w:val="2"/>
              <w:lang w:eastAsia="en-GB"/>
              <w14:ligatures w14:val="standardContextual"/>
            </w:rPr>
          </w:pPr>
          <w:hyperlink w:anchor="_Toc188561434">
            <w:r w:rsidRPr="7BDE8E7A">
              <w:rPr>
                <w:rStyle w:val="Hyperlink"/>
                <w:noProof/>
              </w:rPr>
              <w:t>10.1 Cancer type map 1: Malignant cancers</w:t>
            </w:r>
            <w:r w:rsidR="53E329A5">
              <w:rPr>
                <w:noProof/>
              </w:rPr>
              <w:tab/>
            </w:r>
            <w:r w:rsidR="53E329A5">
              <w:rPr>
                <w:noProof/>
              </w:rPr>
              <w:fldChar w:fldCharType="begin"/>
            </w:r>
            <w:r w:rsidR="53E329A5">
              <w:rPr>
                <w:noProof/>
              </w:rPr>
              <w:instrText>PAGEREF _Toc188561434 \h</w:instrText>
            </w:r>
            <w:r w:rsidR="53E329A5">
              <w:rPr>
                <w:noProof/>
              </w:rPr>
            </w:r>
            <w:r w:rsidR="53E329A5">
              <w:rPr>
                <w:noProof/>
              </w:rPr>
              <w:fldChar w:fldCharType="separate"/>
            </w:r>
            <w:r w:rsidR="00E3496C">
              <w:rPr>
                <w:noProof/>
              </w:rPr>
              <w:t>32</w:t>
            </w:r>
            <w:r w:rsidR="53E329A5">
              <w:rPr>
                <w:noProof/>
              </w:rPr>
              <w:fldChar w:fldCharType="end"/>
            </w:r>
          </w:hyperlink>
        </w:p>
        <w:p w14:paraId="2C0E8C5A" w14:textId="2F140F7A" w:rsidR="00C3657E" w:rsidRDefault="7BDE8E7A" w:rsidP="7BDE8E7A">
          <w:pPr>
            <w:pStyle w:val="TOC2"/>
            <w:tabs>
              <w:tab w:val="right" w:leader="dot" w:pos="9015"/>
            </w:tabs>
            <w:rPr>
              <w:rStyle w:val="Hyperlink"/>
              <w:noProof/>
              <w:kern w:val="2"/>
              <w:lang w:eastAsia="en-GB"/>
              <w14:ligatures w14:val="standardContextual"/>
            </w:rPr>
          </w:pPr>
          <w:hyperlink w:anchor="_Toc1793283620">
            <w:r w:rsidRPr="7BDE8E7A">
              <w:rPr>
                <w:rStyle w:val="Hyperlink"/>
                <w:noProof/>
              </w:rPr>
              <w:t>10.2 Cancer type map 2: Neuroendorine neoplasms (NEN)  (also includes small cell lung cancer in above table)</w:t>
            </w:r>
            <w:r w:rsidR="53E329A5">
              <w:rPr>
                <w:noProof/>
              </w:rPr>
              <w:tab/>
            </w:r>
            <w:r w:rsidR="53E329A5">
              <w:rPr>
                <w:noProof/>
              </w:rPr>
              <w:fldChar w:fldCharType="begin"/>
            </w:r>
            <w:r w:rsidR="53E329A5">
              <w:rPr>
                <w:noProof/>
              </w:rPr>
              <w:instrText>PAGEREF _Toc1793283620 \h</w:instrText>
            </w:r>
            <w:r w:rsidR="53E329A5">
              <w:rPr>
                <w:noProof/>
              </w:rPr>
            </w:r>
            <w:r w:rsidR="53E329A5">
              <w:rPr>
                <w:noProof/>
              </w:rPr>
              <w:fldChar w:fldCharType="separate"/>
            </w:r>
            <w:r w:rsidR="00E3496C">
              <w:rPr>
                <w:noProof/>
              </w:rPr>
              <w:t>33</w:t>
            </w:r>
            <w:r w:rsidR="53E329A5">
              <w:rPr>
                <w:noProof/>
              </w:rPr>
              <w:fldChar w:fldCharType="end"/>
            </w:r>
          </w:hyperlink>
        </w:p>
        <w:p w14:paraId="452B2DBD" w14:textId="134EF4AB" w:rsidR="00C3657E" w:rsidRDefault="7BDE8E7A" w:rsidP="7BDE8E7A">
          <w:pPr>
            <w:pStyle w:val="TOC2"/>
            <w:tabs>
              <w:tab w:val="right" w:leader="dot" w:pos="9015"/>
            </w:tabs>
            <w:rPr>
              <w:rStyle w:val="Hyperlink"/>
              <w:noProof/>
              <w:kern w:val="2"/>
              <w:lang w:eastAsia="en-GB"/>
              <w14:ligatures w14:val="standardContextual"/>
            </w:rPr>
          </w:pPr>
          <w:hyperlink w:anchor="_Toc1820499622">
            <w:r w:rsidRPr="7BDE8E7A">
              <w:rPr>
                <w:rStyle w:val="Hyperlink"/>
                <w:noProof/>
              </w:rPr>
              <w:t>10.3 Cancer type map 3: Benign and uncertain cancers</w:t>
            </w:r>
            <w:r w:rsidR="53E329A5">
              <w:rPr>
                <w:noProof/>
              </w:rPr>
              <w:tab/>
            </w:r>
            <w:r w:rsidR="53E329A5">
              <w:rPr>
                <w:noProof/>
              </w:rPr>
              <w:fldChar w:fldCharType="begin"/>
            </w:r>
            <w:r w:rsidR="53E329A5">
              <w:rPr>
                <w:noProof/>
              </w:rPr>
              <w:instrText>PAGEREF _Toc1820499622 \h</w:instrText>
            </w:r>
            <w:r w:rsidR="53E329A5">
              <w:rPr>
                <w:noProof/>
              </w:rPr>
            </w:r>
            <w:r w:rsidR="53E329A5">
              <w:rPr>
                <w:noProof/>
              </w:rPr>
              <w:fldChar w:fldCharType="separate"/>
            </w:r>
            <w:r w:rsidR="00E3496C">
              <w:rPr>
                <w:noProof/>
              </w:rPr>
              <w:t>33</w:t>
            </w:r>
            <w:r w:rsidR="53E329A5">
              <w:rPr>
                <w:noProof/>
              </w:rPr>
              <w:fldChar w:fldCharType="end"/>
            </w:r>
          </w:hyperlink>
        </w:p>
        <w:p w14:paraId="24868BB8" w14:textId="4E55A826" w:rsidR="00C3657E" w:rsidRDefault="7BDE8E7A" w:rsidP="7BDE8E7A">
          <w:pPr>
            <w:pStyle w:val="TOC2"/>
            <w:tabs>
              <w:tab w:val="right" w:leader="dot" w:pos="9015"/>
            </w:tabs>
            <w:rPr>
              <w:rStyle w:val="Hyperlink"/>
              <w:noProof/>
              <w:kern w:val="2"/>
              <w:lang w:eastAsia="en-GB"/>
              <w14:ligatures w14:val="standardContextual"/>
            </w:rPr>
          </w:pPr>
          <w:hyperlink w:anchor="_Toc1462158592">
            <w:r w:rsidRPr="7BDE8E7A">
              <w:rPr>
                <w:rStyle w:val="Hyperlink"/>
                <w:noProof/>
              </w:rPr>
              <w:t>10.4 Cancer type map 4: Stageable cancers</w:t>
            </w:r>
            <w:r w:rsidR="53E329A5">
              <w:rPr>
                <w:noProof/>
              </w:rPr>
              <w:tab/>
            </w:r>
            <w:r w:rsidR="53E329A5">
              <w:rPr>
                <w:noProof/>
              </w:rPr>
              <w:fldChar w:fldCharType="begin"/>
            </w:r>
            <w:r w:rsidR="53E329A5">
              <w:rPr>
                <w:noProof/>
              </w:rPr>
              <w:instrText>PAGEREF _Toc1462158592 \h</w:instrText>
            </w:r>
            <w:r w:rsidR="53E329A5">
              <w:rPr>
                <w:noProof/>
              </w:rPr>
            </w:r>
            <w:r w:rsidR="53E329A5">
              <w:rPr>
                <w:noProof/>
              </w:rPr>
              <w:fldChar w:fldCharType="separate"/>
            </w:r>
            <w:r w:rsidR="00E3496C">
              <w:rPr>
                <w:noProof/>
              </w:rPr>
              <w:t>33</w:t>
            </w:r>
            <w:r w:rsidR="53E329A5">
              <w:rPr>
                <w:noProof/>
              </w:rPr>
              <w:fldChar w:fldCharType="end"/>
            </w:r>
          </w:hyperlink>
        </w:p>
        <w:p w14:paraId="58AAE670" w14:textId="1B3D3CFA" w:rsidR="00C3657E" w:rsidRDefault="7BDE8E7A" w:rsidP="7BDE8E7A">
          <w:pPr>
            <w:pStyle w:val="TOC1"/>
            <w:tabs>
              <w:tab w:val="right" w:leader="dot" w:pos="9015"/>
            </w:tabs>
            <w:rPr>
              <w:rStyle w:val="Hyperlink"/>
              <w:noProof/>
              <w:kern w:val="2"/>
              <w:lang w:eastAsia="en-GB"/>
              <w14:ligatures w14:val="standardContextual"/>
            </w:rPr>
          </w:pPr>
          <w:hyperlink w:anchor="_Toc1069504213">
            <w:r w:rsidRPr="7BDE8E7A">
              <w:rPr>
                <w:rStyle w:val="Hyperlink"/>
                <w:noProof/>
              </w:rPr>
              <w:t>11 Appendix B</w:t>
            </w:r>
            <w:r w:rsidR="53E329A5">
              <w:rPr>
                <w:noProof/>
              </w:rPr>
              <w:tab/>
            </w:r>
            <w:r w:rsidR="53E329A5">
              <w:rPr>
                <w:noProof/>
              </w:rPr>
              <w:fldChar w:fldCharType="begin"/>
            </w:r>
            <w:r w:rsidR="53E329A5">
              <w:rPr>
                <w:noProof/>
              </w:rPr>
              <w:instrText>PAGEREF _Toc1069504213 \h</w:instrText>
            </w:r>
            <w:r w:rsidR="53E329A5">
              <w:rPr>
                <w:noProof/>
              </w:rPr>
            </w:r>
            <w:r w:rsidR="53E329A5">
              <w:rPr>
                <w:noProof/>
              </w:rPr>
              <w:fldChar w:fldCharType="separate"/>
            </w:r>
            <w:r w:rsidR="00E3496C">
              <w:rPr>
                <w:noProof/>
              </w:rPr>
              <w:t>33</w:t>
            </w:r>
            <w:r w:rsidR="53E329A5">
              <w:rPr>
                <w:noProof/>
              </w:rPr>
              <w:fldChar w:fldCharType="end"/>
            </w:r>
          </w:hyperlink>
        </w:p>
        <w:p w14:paraId="2F57334D" w14:textId="3D53F007" w:rsidR="00C3657E" w:rsidRDefault="7BDE8E7A" w:rsidP="7BDE8E7A">
          <w:pPr>
            <w:pStyle w:val="TOC2"/>
            <w:tabs>
              <w:tab w:val="right" w:leader="dot" w:pos="9015"/>
            </w:tabs>
            <w:rPr>
              <w:rStyle w:val="Hyperlink"/>
              <w:noProof/>
              <w:kern w:val="2"/>
              <w:lang w:eastAsia="en-GB"/>
              <w14:ligatures w14:val="standardContextual"/>
            </w:rPr>
          </w:pPr>
          <w:hyperlink w:anchor="_Toc1398685190">
            <w:r w:rsidRPr="7BDE8E7A">
              <w:rPr>
                <w:rStyle w:val="Hyperlink"/>
                <w:noProof/>
              </w:rPr>
              <w:t>11.1 International Classification of Standard Weights (ICSS)</w:t>
            </w:r>
            <w:r w:rsidR="53E329A5">
              <w:rPr>
                <w:noProof/>
              </w:rPr>
              <w:tab/>
            </w:r>
            <w:r w:rsidR="53E329A5">
              <w:rPr>
                <w:noProof/>
              </w:rPr>
              <w:fldChar w:fldCharType="begin"/>
            </w:r>
            <w:r w:rsidR="53E329A5">
              <w:rPr>
                <w:noProof/>
              </w:rPr>
              <w:instrText>PAGEREF _Toc1398685190 \h</w:instrText>
            </w:r>
            <w:r w:rsidR="53E329A5">
              <w:rPr>
                <w:noProof/>
              </w:rPr>
            </w:r>
            <w:r w:rsidR="53E329A5">
              <w:rPr>
                <w:noProof/>
              </w:rPr>
              <w:fldChar w:fldCharType="separate"/>
            </w:r>
            <w:r w:rsidR="00E3496C">
              <w:rPr>
                <w:noProof/>
              </w:rPr>
              <w:t>33</w:t>
            </w:r>
            <w:r w:rsidR="53E329A5">
              <w:rPr>
                <w:noProof/>
              </w:rPr>
              <w:fldChar w:fldCharType="end"/>
            </w:r>
          </w:hyperlink>
        </w:p>
        <w:p w14:paraId="3F57D7EE" w14:textId="3B0F7F7F" w:rsidR="00C3657E" w:rsidRDefault="7BDE8E7A" w:rsidP="7BDE8E7A">
          <w:pPr>
            <w:pStyle w:val="TOC3"/>
            <w:tabs>
              <w:tab w:val="right" w:leader="dot" w:pos="9015"/>
            </w:tabs>
            <w:rPr>
              <w:rStyle w:val="Hyperlink"/>
              <w:noProof/>
              <w:kern w:val="2"/>
              <w:lang w:eastAsia="en-GB"/>
              <w14:ligatures w14:val="standardContextual"/>
            </w:rPr>
          </w:pPr>
          <w:hyperlink w:anchor="_Toc511923249">
            <w:r w:rsidRPr="7BDE8E7A">
              <w:rPr>
                <w:rStyle w:val="Hyperlink"/>
                <w:noProof/>
              </w:rPr>
              <w:t>11.1.1 ICSS1</w:t>
            </w:r>
            <w:r w:rsidR="53E329A5">
              <w:rPr>
                <w:noProof/>
              </w:rPr>
              <w:tab/>
            </w:r>
            <w:r w:rsidR="53E329A5">
              <w:rPr>
                <w:noProof/>
              </w:rPr>
              <w:fldChar w:fldCharType="begin"/>
            </w:r>
            <w:r w:rsidR="53E329A5">
              <w:rPr>
                <w:noProof/>
              </w:rPr>
              <w:instrText>PAGEREF _Toc511923249 \h</w:instrText>
            </w:r>
            <w:r w:rsidR="53E329A5">
              <w:rPr>
                <w:noProof/>
              </w:rPr>
            </w:r>
            <w:r w:rsidR="53E329A5">
              <w:rPr>
                <w:noProof/>
              </w:rPr>
              <w:fldChar w:fldCharType="separate"/>
            </w:r>
            <w:r w:rsidR="00E3496C">
              <w:rPr>
                <w:noProof/>
              </w:rPr>
              <w:t>33</w:t>
            </w:r>
            <w:r w:rsidR="53E329A5">
              <w:rPr>
                <w:noProof/>
              </w:rPr>
              <w:fldChar w:fldCharType="end"/>
            </w:r>
          </w:hyperlink>
        </w:p>
        <w:p w14:paraId="28039FD4" w14:textId="49565035" w:rsidR="00C3657E" w:rsidRDefault="7BDE8E7A" w:rsidP="7BDE8E7A">
          <w:pPr>
            <w:pStyle w:val="TOC3"/>
            <w:tabs>
              <w:tab w:val="right" w:leader="dot" w:pos="9015"/>
            </w:tabs>
            <w:rPr>
              <w:rStyle w:val="Hyperlink"/>
              <w:noProof/>
              <w:kern w:val="2"/>
              <w:lang w:eastAsia="en-GB"/>
              <w14:ligatures w14:val="standardContextual"/>
            </w:rPr>
          </w:pPr>
          <w:hyperlink w:anchor="_Toc36832762">
            <w:r w:rsidRPr="7BDE8E7A">
              <w:rPr>
                <w:rStyle w:val="Hyperlink"/>
                <w:noProof/>
              </w:rPr>
              <w:t>11.1.2 ICSS2</w:t>
            </w:r>
            <w:r w:rsidR="53E329A5">
              <w:rPr>
                <w:noProof/>
              </w:rPr>
              <w:tab/>
            </w:r>
            <w:r w:rsidR="53E329A5">
              <w:rPr>
                <w:noProof/>
              </w:rPr>
              <w:fldChar w:fldCharType="begin"/>
            </w:r>
            <w:r w:rsidR="53E329A5">
              <w:rPr>
                <w:noProof/>
              </w:rPr>
              <w:instrText>PAGEREF _Toc36832762 \h</w:instrText>
            </w:r>
            <w:r w:rsidR="53E329A5">
              <w:rPr>
                <w:noProof/>
              </w:rPr>
            </w:r>
            <w:r w:rsidR="53E329A5">
              <w:rPr>
                <w:noProof/>
              </w:rPr>
              <w:fldChar w:fldCharType="separate"/>
            </w:r>
            <w:r w:rsidR="00E3496C">
              <w:rPr>
                <w:noProof/>
              </w:rPr>
              <w:t>34</w:t>
            </w:r>
            <w:r w:rsidR="53E329A5">
              <w:rPr>
                <w:noProof/>
              </w:rPr>
              <w:fldChar w:fldCharType="end"/>
            </w:r>
          </w:hyperlink>
        </w:p>
        <w:p w14:paraId="2E173DBE" w14:textId="3C822C0A" w:rsidR="00C3657E" w:rsidRDefault="7BDE8E7A" w:rsidP="7BDE8E7A">
          <w:pPr>
            <w:pStyle w:val="TOC3"/>
            <w:tabs>
              <w:tab w:val="right" w:leader="dot" w:pos="9015"/>
            </w:tabs>
            <w:rPr>
              <w:rStyle w:val="Hyperlink"/>
              <w:noProof/>
              <w:kern w:val="2"/>
              <w:lang w:eastAsia="en-GB"/>
              <w14:ligatures w14:val="standardContextual"/>
            </w:rPr>
          </w:pPr>
          <w:hyperlink w:anchor="_Toc2111385307">
            <w:r w:rsidRPr="7BDE8E7A">
              <w:rPr>
                <w:rStyle w:val="Hyperlink"/>
                <w:noProof/>
              </w:rPr>
              <w:t>11.1.3 ICSS3</w:t>
            </w:r>
            <w:r w:rsidR="53E329A5">
              <w:rPr>
                <w:noProof/>
              </w:rPr>
              <w:tab/>
            </w:r>
            <w:r w:rsidR="53E329A5">
              <w:rPr>
                <w:noProof/>
              </w:rPr>
              <w:fldChar w:fldCharType="begin"/>
            </w:r>
            <w:r w:rsidR="53E329A5">
              <w:rPr>
                <w:noProof/>
              </w:rPr>
              <w:instrText>PAGEREF _Toc2111385307 \h</w:instrText>
            </w:r>
            <w:r w:rsidR="53E329A5">
              <w:rPr>
                <w:noProof/>
              </w:rPr>
            </w:r>
            <w:r w:rsidR="53E329A5">
              <w:rPr>
                <w:noProof/>
              </w:rPr>
              <w:fldChar w:fldCharType="separate"/>
            </w:r>
            <w:r w:rsidR="00E3496C">
              <w:rPr>
                <w:noProof/>
              </w:rPr>
              <w:t>34</w:t>
            </w:r>
            <w:r w:rsidR="53E329A5">
              <w:rPr>
                <w:noProof/>
              </w:rPr>
              <w:fldChar w:fldCharType="end"/>
            </w:r>
          </w:hyperlink>
        </w:p>
        <w:p w14:paraId="4CA85E91" w14:textId="181B252E" w:rsidR="00C3657E" w:rsidRDefault="7BDE8E7A" w:rsidP="7BDE8E7A">
          <w:pPr>
            <w:pStyle w:val="TOC1"/>
            <w:tabs>
              <w:tab w:val="right" w:leader="dot" w:pos="9015"/>
            </w:tabs>
            <w:rPr>
              <w:rStyle w:val="Hyperlink"/>
              <w:noProof/>
              <w:kern w:val="2"/>
              <w:lang w:eastAsia="en-GB"/>
              <w14:ligatures w14:val="standardContextual"/>
            </w:rPr>
          </w:pPr>
          <w:hyperlink w:anchor="_Toc1763589122">
            <w:r w:rsidRPr="7BDE8E7A">
              <w:rPr>
                <w:rStyle w:val="Hyperlink"/>
                <w:noProof/>
              </w:rPr>
              <w:t>12 Appendix C</w:t>
            </w:r>
            <w:r w:rsidR="53E329A5">
              <w:rPr>
                <w:noProof/>
              </w:rPr>
              <w:tab/>
            </w:r>
            <w:r w:rsidR="53E329A5">
              <w:rPr>
                <w:noProof/>
              </w:rPr>
              <w:fldChar w:fldCharType="begin"/>
            </w:r>
            <w:r w:rsidR="53E329A5">
              <w:rPr>
                <w:noProof/>
              </w:rPr>
              <w:instrText>PAGEREF _Toc1763589122 \h</w:instrText>
            </w:r>
            <w:r w:rsidR="53E329A5">
              <w:rPr>
                <w:noProof/>
              </w:rPr>
            </w:r>
            <w:r w:rsidR="53E329A5">
              <w:rPr>
                <w:noProof/>
              </w:rPr>
              <w:fldChar w:fldCharType="separate"/>
            </w:r>
            <w:r w:rsidR="00E3496C">
              <w:rPr>
                <w:noProof/>
              </w:rPr>
              <w:t>35</w:t>
            </w:r>
            <w:r w:rsidR="53E329A5">
              <w:rPr>
                <w:noProof/>
              </w:rPr>
              <w:fldChar w:fldCharType="end"/>
            </w:r>
          </w:hyperlink>
        </w:p>
        <w:p w14:paraId="7240B185" w14:textId="3BC4043F" w:rsidR="00C3657E" w:rsidRDefault="7BDE8E7A" w:rsidP="7BDE8E7A">
          <w:pPr>
            <w:pStyle w:val="TOC2"/>
            <w:tabs>
              <w:tab w:val="right" w:leader="dot" w:pos="9015"/>
            </w:tabs>
            <w:rPr>
              <w:rStyle w:val="Hyperlink"/>
              <w:noProof/>
              <w:kern w:val="2"/>
              <w:lang w:eastAsia="en-GB"/>
              <w14:ligatures w14:val="standardContextual"/>
            </w:rPr>
          </w:pPr>
          <w:hyperlink w:anchor="_Toc896156989">
            <w:r w:rsidRPr="7BDE8E7A">
              <w:rPr>
                <w:rStyle w:val="Hyperlink"/>
                <w:noProof/>
              </w:rPr>
              <w:t>12.1 List of cancer groups used for de-duplication of pathology data</w:t>
            </w:r>
            <w:r w:rsidR="53E329A5">
              <w:rPr>
                <w:noProof/>
              </w:rPr>
              <w:tab/>
            </w:r>
            <w:r w:rsidR="53E329A5">
              <w:rPr>
                <w:noProof/>
              </w:rPr>
              <w:fldChar w:fldCharType="begin"/>
            </w:r>
            <w:r w:rsidR="53E329A5">
              <w:rPr>
                <w:noProof/>
              </w:rPr>
              <w:instrText>PAGEREF _Toc896156989 \h</w:instrText>
            </w:r>
            <w:r w:rsidR="53E329A5">
              <w:rPr>
                <w:noProof/>
              </w:rPr>
            </w:r>
            <w:r w:rsidR="53E329A5">
              <w:rPr>
                <w:noProof/>
              </w:rPr>
              <w:fldChar w:fldCharType="separate"/>
            </w:r>
            <w:r w:rsidR="00E3496C">
              <w:rPr>
                <w:noProof/>
              </w:rPr>
              <w:t>35</w:t>
            </w:r>
            <w:r w:rsidR="53E329A5">
              <w:rPr>
                <w:noProof/>
              </w:rPr>
              <w:fldChar w:fldCharType="end"/>
            </w:r>
          </w:hyperlink>
        </w:p>
        <w:p w14:paraId="36E73B25" w14:textId="0DAB21A0" w:rsidR="00C3657E" w:rsidRDefault="7BDE8E7A" w:rsidP="7BDE8E7A">
          <w:pPr>
            <w:pStyle w:val="TOC1"/>
            <w:tabs>
              <w:tab w:val="right" w:leader="dot" w:pos="9015"/>
            </w:tabs>
            <w:rPr>
              <w:rStyle w:val="Hyperlink"/>
              <w:noProof/>
              <w:kern w:val="2"/>
              <w:lang w:eastAsia="en-GB"/>
              <w14:ligatures w14:val="standardContextual"/>
            </w:rPr>
          </w:pPr>
          <w:hyperlink w:anchor="_Toc898602866">
            <w:r w:rsidRPr="7BDE8E7A">
              <w:rPr>
                <w:rStyle w:val="Hyperlink"/>
                <w:noProof/>
              </w:rPr>
              <w:t>13 Appendix D</w:t>
            </w:r>
            <w:r w:rsidR="53E329A5">
              <w:rPr>
                <w:noProof/>
              </w:rPr>
              <w:tab/>
            </w:r>
            <w:r w:rsidR="53E329A5">
              <w:rPr>
                <w:noProof/>
              </w:rPr>
              <w:fldChar w:fldCharType="begin"/>
            </w:r>
            <w:r w:rsidR="53E329A5">
              <w:rPr>
                <w:noProof/>
              </w:rPr>
              <w:instrText>PAGEREF _Toc898602866 \h</w:instrText>
            </w:r>
            <w:r w:rsidR="53E329A5">
              <w:rPr>
                <w:noProof/>
              </w:rPr>
            </w:r>
            <w:r w:rsidR="53E329A5">
              <w:rPr>
                <w:noProof/>
              </w:rPr>
              <w:fldChar w:fldCharType="separate"/>
            </w:r>
            <w:r w:rsidR="00E3496C">
              <w:rPr>
                <w:noProof/>
              </w:rPr>
              <w:t>36</w:t>
            </w:r>
            <w:r w:rsidR="53E329A5">
              <w:rPr>
                <w:noProof/>
              </w:rPr>
              <w:fldChar w:fldCharType="end"/>
            </w:r>
          </w:hyperlink>
        </w:p>
        <w:p w14:paraId="5FD4CFC8" w14:textId="051289A5" w:rsidR="00C3657E" w:rsidRDefault="7BDE8E7A" w:rsidP="7BDE8E7A">
          <w:pPr>
            <w:pStyle w:val="TOC2"/>
            <w:tabs>
              <w:tab w:val="right" w:leader="dot" w:pos="9015"/>
            </w:tabs>
            <w:rPr>
              <w:rStyle w:val="Hyperlink"/>
              <w:noProof/>
              <w:kern w:val="2"/>
              <w:lang w:eastAsia="en-GB"/>
              <w14:ligatures w14:val="standardContextual"/>
            </w:rPr>
          </w:pPr>
          <w:hyperlink w:anchor="_Toc1013688422">
            <w:r w:rsidRPr="7BDE8E7A">
              <w:rPr>
                <w:rStyle w:val="Hyperlink"/>
                <w:noProof/>
              </w:rPr>
              <w:t>13.1 Monthly pathology samples vs cancer registration data</w:t>
            </w:r>
            <w:r w:rsidR="53E329A5">
              <w:rPr>
                <w:noProof/>
              </w:rPr>
              <w:tab/>
            </w:r>
            <w:r w:rsidR="53E329A5">
              <w:rPr>
                <w:noProof/>
              </w:rPr>
              <w:fldChar w:fldCharType="begin"/>
            </w:r>
            <w:r w:rsidR="53E329A5">
              <w:rPr>
                <w:noProof/>
              </w:rPr>
              <w:instrText>PAGEREF _Toc1013688422 \h</w:instrText>
            </w:r>
            <w:r w:rsidR="53E329A5">
              <w:rPr>
                <w:noProof/>
              </w:rPr>
            </w:r>
            <w:r w:rsidR="53E329A5">
              <w:rPr>
                <w:noProof/>
              </w:rPr>
              <w:fldChar w:fldCharType="separate"/>
            </w:r>
            <w:r w:rsidR="00E3496C">
              <w:rPr>
                <w:noProof/>
              </w:rPr>
              <w:t>36</w:t>
            </w:r>
            <w:r w:rsidR="53E329A5">
              <w:rPr>
                <w:noProof/>
              </w:rPr>
              <w:fldChar w:fldCharType="end"/>
            </w:r>
          </w:hyperlink>
        </w:p>
        <w:p w14:paraId="5EAADF1E" w14:textId="0BED9078" w:rsidR="53E329A5" w:rsidRDefault="7BDE8E7A" w:rsidP="53E329A5">
          <w:pPr>
            <w:pStyle w:val="TOC1"/>
            <w:tabs>
              <w:tab w:val="right" w:leader="dot" w:pos="9015"/>
            </w:tabs>
            <w:rPr>
              <w:rStyle w:val="Hyperlink"/>
              <w:noProof/>
            </w:rPr>
          </w:pPr>
          <w:hyperlink w:anchor="_Toc1768931567">
            <w:r w:rsidRPr="7BDE8E7A">
              <w:rPr>
                <w:rStyle w:val="Hyperlink"/>
                <w:noProof/>
              </w:rPr>
              <w:t>14 Appendix E</w:t>
            </w:r>
            <w:r w:rsidR="53E329A5">
              <w:rPr>
                <w:noProof/>
              </w:rPr>
              <w:tab/>
            </w:r>
            <w:r w:rsidR="53E329A5">
              <w:rPr>
                <w:noProof/>
              </w:rPr>
              <w:fldChar w:fldCharType="begin"/>
            </w:r>
            <w:r w:rsidR="53E329A5">
              <w:rPr>
                <w:noProof/>
              </w:rPr>
              <w:instrText>PAGEREF _Toc1768931567 \h</w:instrText>
            </w:r>
            <w:r w:rsidR="53E329A5">
              <w:rPr>
                <w:noProof/>
              </w:rPr>
            </w:r>
            <w:r w:rsidR="53E329A5">
              <w:rPr>
                <w:noProof/>
              </w:rPr>
              <w:fldChar w:fldCharType="separate"/>
            </w:r>
            <w:r w:rsidR="00E3496C">
              <w:rPr>
                <w:noProof/>
              </w:rPr>
              <w:t>39</w:t>
            </w:r>
            <w:r w:rsidR="53E329A5">
              <w:rPr>
                <w:noProof/>
              </w:rPr>
              <w:fldChar w:fldCharType="end"/>
            </w:r>
          </w:hyperlink>
        </w:p>
        <w:p w14:paraId="3651C08F" w14:textId="47184F06" w:rsidR="53E329A5" w:rsidRDefault="7BDE8E7A" w:rsidP="53E329A5">
          <w:pPr>
            <w:pStyle w:val="TOC2"/>
            <w:tabs>
              <w:tab w:val="right" w:leader="dot" w:pos="9015"/>
            </w:tabs>
            <w:rPr>
              <w:rStyle w:val="Hyperlink"/>
              <w:noProof/>
            </w:rPr>
          </w:pPr>
          <w:hyperlink w:anchor="_Toc841943241">
            <w:r w:rsidRPr="7BDE8E7A">
              <w:rPr>
                <w:rStyle w:val="Hyperlink"/>
                <w:noProof/>
              </w:rPr>
              <w:t>14.1 2013 European Standard Population</w:t>
            </w:r>
            <w:r w:rsidR="53E329A5">
              <w:rPr>
                <w:noProof/>
              </w:rPr>
              <w:tab/>
            </w:r>
            <w:r w:rsidR="53E329A5">
              <w:rPr>
                <w:noProof/>
              </w:rPr>
              <w:fldChar w:fldCharType="begin"/>
            </w:r>
            <w:r w:rsidR="53E329A5">
              <w:rPr>
                <w:noProof/>
              </w:rPr>
              <w:instrText>PAGEREF _Toc841943241 \h</w:instrText>
            </w:r>
            <w:r w:rsidR="53E329A5">
              <w:rPr>
                <w:noProof/>
              </w:rPr>
            </w:r>
            <w:r w:rsidR="53E329A5">
              <w:rPr>
                <w:noProof/>
              </w:rPr>
              <w:fldChar w:fldCharType="separate"/>
            </w:r>
            <w:r w:rsidR="00E3496C">
              <w:rPr>
                <w:noProof/>
              </w:rPr>
              <w:t>39</w:t>
            </w:r>
            <w:r w:rsidR="53E329A5">
              <w:rPr>
                <w:noProof/>
              </w:rPr>
              <w:fldChar w:fldCharType="end"/>
            </w:r>
          </w:hyperlink>
        </w:p>
        <w:p w14:paraId="71701229" w14:textId="65C1935C" w:rsidR="53E329A5" w:rsidRDefault="7BDE8E7A" w:rsidP="53E329A5">
          <w:pPr>
            <w:pStyle w:val="TOC1"/>
            <w:tabs>
              <w:tab w:val="right" w:leader="dot" w:pos="9015"/>
            </w:tabs>
            <w:rPr>
              <w:rStyle w:val="Hyperlink"/>
              <w:noProof/>
            </w:rPr>
          </w:pPr>
          <w:hyperlink w:anchor="_Toc1744936992">
            <w:r w:rsidRPr="7BDE8E7A">
              <w:rPr>
                <w:rStyle w:val="Hyperlink"/>
                <w:noProof/>
              </w:rPr>
              <w:t>15 Appendix F</w:t>
            </w:r>
            <w:r w:rsidR="53E329A5">
              <w:rPr>
                <w:noProof/>
              </w:rPr>
              <w:tab/>
            </w:r>
            <w:r w:rsidR="53E329A5">
              <w:rPr>
                <w:noProof/>
              </w:rPr>
              <w:fldChar w:fldCharType="begin"/>
            </w:r>
            <w:r w:rsidR="53E329A5">
              <w:rPr>
                <w:noProof/>
              </w:rPr>
              <w:instrText>PAGEREF _Toc1744936992 \h</w:instrText>
            </w:r>
            <w:r w:rsidR="53E329A5">
              <w:rPr>
                <w:noProof/>
              </w:rPr>
            </w:r>
            <w:r w:rsidR="53E329A5">
              <w:rPr>
                <w:noProof/>
              </w:rPr>
              <w:fldChar w:fldCharType="separate"/>
            </w:r>
            <w:r w:rsidR="00E3496C">
              <w:rPr>
                <w:noProof/>
              </w:rPr>
              <w:t>39</w:t>
            </w:r>
            <w:r w:rsidR="53E329A5">
              <w:rPr>
                <w:noProof/>
              </w:rPr>
              <w:fldChar w:fldCharType="end"/>
            </w:r>
          </w:hyperlink>
        </w:p>
        <w:p w14:paraId="137FD533" w14:textId="2E76455D" w:rsidR="53E329A5" w:rsidRDefault="7BDE8E7A" w:rsidP="53E329A5">
          <w:pPr>
            <w:pStyle w:val="TOC2"/>
            <w:tabs>
              <w:tab w:val="right" w:leader="dot" w:pos="9015"/>
            </w:tabs>
            <w:rPr>
              <w:rStyle w:val="Hyperlink"/>
            </w:rPr>
          </w:pPr>
          <w:hyperlink w:anchor="_Toc2064507541">
            <w:r w:rsidRPr="7BDE8E7A">
              <w:rPr>
                <w:rStyle w:val="Hyperlink"/>
                <w:noProof/>
              </w:rPr>
              <w:t>15.1 A list of the broad cause groups and corresponding ICD-10 codes</w:t>
            </w:r>
            <w:r w:rsidR="53E329A5">
              <w:rPr>
                <w:noProof/>
              </w:rPr>
              <w:tab/>
            </w:r>
            <w:r w:rsidR="53E329A5">
              <w:rPr>
                <w:noProof/>
              </w:rPr>
              <w:fldChar w:fldCharType="begin"/>
            </w:r>
            <w:r w:rsidR="53E329A5">
              <w:rPr>
                <w:noProof/>
              </w:rPr>
              <w:instrText>PAGEREF _Toc2064507541 \h</w:instrText>
            </w:r>
            <w:r w:rsidR="53E329A5">
              <w:rPr>
                <w:noProof/>
              </w:rPr>
            </w:r>
            <w:r w:rsidR="53E329A5">
              <w:rPr>
                <w:noProof/>
              </w:rPr>
              <w:fldChar w:fldCharType="separate"/>
            </w:r>
            <w:r w:rsidR="00E3496C">
              <w:rPr>
                <w:noProof/>
              </w:rPr>
              <w:t>39</w:t>
            </w:r>
            <w:r w:rsidR="53E329A5">
              <w:rPr>
                <w:noProof/>
              </w:rPr>
              <w:fldChar w:fldCharType="end"/>
            </w:r>
          </w:hyperlink>
          <w:r w:rsidR="53E329A5">
            <w:fldChar w:fldCharType="end"/>
          </w:r>
        </w:p>
      </w:sdtContent>
    </w:sdt>
    <w:p w14:paraId="34D47C33" w14:textId="59AA7726" w:rsidR="724D0E74" w:rsidRPr="00F056CB" w:rsidRDefault="724D0E74" w:rsidP="724D0E74">
      <w:pPr>
        <w:pStyle w:val="TOC2"/>
        <w:tabs>
          <w:tab w:val="right" w:leader="dot" w:pos="9015"/>
        </w:tabs>
      </w:pPr>
    </w:p>
    <w:p w14:paraId="2BD51F39" w14:textId="112BB304" w:rsidR="00317A89" w:rsidRDefault="00317A89" w:rsidP="00317A89">
      <w:pPr>
        <w:jc w:val="both"/>
      </w:pPr>
    </w:p>
    <w:p w14:paraId="51535C39" w14:textId="3F8A07E5" w:rsidR="00D8147D" w:rsidRDefault="00D8147D" w:rsidP="00D8147D"/>
    <w:p w14:paraId="1D5FCE10" w14:textId="3A1E73F7" w:rsidR="00E43A91" w:rsidRPr="00E43A91" w:rsidRDefault="007102E8" w:rsidP="001F5B9A">
      <w:pPr>
        <w:pStyle w:val="Heading1"/>
      </w:pPr>
      <w:bookmarkStart w:id="11" w:name="_Toc1669502148"/>
      <w:r>
        <w:lastRenderedPageBreak/>
        <w:t xml:space="preserve">1 </w:t>
      </w:r>
      <w:r w:rsidR="00416633">
        <w:t>Introduction</w:t>
      </w:r>
      <w:bookmarkEnd w:id="11"/>
    </w:p>
    <w:p w14:paraId="01E40BA2" w14:textId="196B12BB" w:rsidR="00152A7F" w:rsidRDefault="00152A7F" w:rsidP="00317A89">
      <w:pPr>
        <w:jc w:val="both"/>
      </w:pPr>
      <w:r>
        <w:t xml:space="preserve">This document provides an overview of the data collection process, data quality and the methodology applied in developing the cancer </w:t>
      </w:r>
      <w:r w:rsidR="003A7755">
        <w:t>reporting</w:t>
      </w:r>
      <w:r>
        <w:t xml:space="preserve"> tool. It also provides definitions, notes for interpretation, and details of where to find further information on cancer statistics in Wales.</w:t>
      </w:r>
    </w:p>
    <w:p w14:paraId="17052DB3" w14:textId="2E376FAE" w:rsidR="005168AB" w:rsidRDefault="004E4F9B" w:rsidP="005168AB">
      <w:pPr>
        <w:jc w:val="both"/>
      </w:pPr>
      <w:r>
        <w:t xml:space="preserve">In 2009, the Welsh Cancer Intelligence and Surveillance Unit (WCISU) became part of the Health Intelligence Division of the newly created Public Health Wales (PHW). Following </w:t>
      </w:r>
      <w:proofErr w:type="gramStart"/>
      <w:r>
        <w:t>a number of</w:t>
      </w:r>
      <w:proofErr w:type="gramEnd"/>
      <w:r>
        <w:t xml:space="preserve"> structural changes over the years, the Health Intelligence Division has most recently becom</w:t>
      </w:r>
      <w:r w:rsidRPr="41683809">
        <w:t>e</w:t>
      </w:r>
      <w:r w:rsidR="00910413" w:rsidRPr="41683809">
        <w:t xml:space="preserve"> part of</w:t>
      </w:r>
      <w:r w:rsidRPr="41683809">
        <w:t xml:space="preserve"> t</w:t>
      </w:r>
      <w:r>
        <w:t xml:space="preserve">he Research, Data &amp; Digital Directorate (1st October 2024). </w:t>
      </w:r>
      <w:r w:rsidR="005168AB">
        <w:t xml:space="preserve">The WCISU has been responsible for publishing cancer incidence, mortality, and survival statistics in Wales since 1997. Prior to this, such figures were published by the Office for National Statistics (ONS) for both England and Wales. </w:t>
      </w:r>
    </w:p>
    <w:p w14:paraId="2B574AA2" w14:textId="46FACA25" w:rsidR="00351CAC" w:rsidRDefault="00AB14CA" w:rsidP="00317A89">
      <w:pPr>
        <w:jc w:val="both"/>
      </w:pPr>
      <w:r>
        <w:t>In accordance with one of the statutory duties of Public Health Wales, t</w:t>
      </w:r>
      <w:r w:rsidR="00351CAC">
        <w:t xml:space="preserve">he </w:t>
      </w:r>
      <w:r w:rsidR="007102E8">
        <w:t>WCISU</w:t>
      </w:r>
      <w:r w:rsidR="00351CAC">
        <w:t xml:space="preserve">’s </w:t>
      </w:r>
      <w:r w:rsidR="007102E8">
        <w:t>core function is</w:t>
      </w:r>
      <w:r>
        <w:t xml:space="preserve"> ‘to </w:t>
      </w:r>
      <w:r w:rsidR="007102E8">
        <w:t>undertake the systematic collection, analysis and dissemination of information about the health of the people of Wales, in particular cancer incidence, mortality, and survival</w:t>
      </w:r>
      <w:r>
        <w:t xml:space="preserve">’. </w:t>
      </w:r>
      <w:r w:rsidR="007102E8">
        <w:t xml:space="preserve">Critical to this duty is the continuous compilation of the </w:t>
      </w:r>
      <w:r w:rsidR="007102E8" w:rsidRPr="00363EA0">
        <w:t>national cancer registry</w:t>
      </w:r>
      <w:r w:rsidR="007102E8">
        <w:t xml:space="preserve"> of Wales and the production of annual official statistics on cancer incidence, mortality and survival in the resident population of Wales. </w:t>
      </w:r>
    </w:p>
    <w:p w14:paraId="145CAB7C" w14:textId="156EBA05" w:rsidR="00152A7F" w:rsidRDefault="007102E8" w:rsidP="00317A89">
      <w:pPr>
        <w:jc w:val="both"/>
      </w:pPr>
      <w:r>
        <w:t>Th</w:t>
      </w:r>
      <w:r w:rsidR="00363EA0">
        <w:t xml:space="preserve">e </w:t>
      </w:r>
      <w:r w:rsidR="00363EA0" w:rsidRPr="00363EA0">
        <w:t>national</w:t>
      </w:r>
      <w:r w:rsidR="005C64A7" w:rsidRPr="00363EA0">
        <w:t xml:space="preserve"> </w:t>
      </w:r>
      <w:r w:rsidRPr="00363EA0">
        <w:t>cancer registr</w:t>
      </w:r>
      <w:r w:rsidR="007834E8" w:rsidRPr="00363EA0">
        <w:t>y</w:t>
      </w:r>
      <w:r w:rsidR="00363EA0">
        <w:t xml:space="preserve"> is</w:t>
      </w:r>
      <w:r>
        <w:t xml:space="preserve"> </w:t>
      </w:r>
      <w:r w:rsidR="00351CAC">
        <w:t>a live and dynamic database</w:t>
      </w:r>
      <w:r w:rsidR="007834E8">
        <w:t xml:space="preserve"> where data is submitted to the WCISU from a range of health care providers and</w:t>
      </w:r>
      <w:r w:rsidR="00363EA0">
        <w:t xml:space="preserve"> associated services</w:t>
      </w:r>
      <w:r w:rsidR="00351CAC">
        <w:t>.</w:t>
      </w:r>
      <w:r w:rsidR="00152A7F" w:rsidRPr="00152A7F">
        <w:t xml:space="preserve"> </w:t>
      </w:r>
      <w:r w:rsidR="00152A7F">
        <w:t>The WCISU collate and validate the data for each patient, defined as the cancer registration minimum dataset.</w:t>
      </w:r>
    </w:p>
    <w:p w14:paraId="45E4109B" w14:textId="581669A8" w:rsidR="007102E8" w:rsidRDefault="007102E8" w:rsidP="00317A89">
      <w:pPr>
        <w:jc w:val="both"/>
      </w:pPr>
      <w:r>
        <w:t xml:space="preserve">Our statistics are produced </w:t>
      </w:r>
      <w:r w:rsidR="00317A89">
        <w:t xml:space="preserve">in accordance with the </w:t>
      </w:r>
      <w:r>
        <w:t xml:space="preserve">high professional standards set out in the </w:t>
      </w:r>
      <w:hyperlink r:id="rId16">
        <w:r w:rsidRPr="34E65A94">
          <w:rPr>
            <w:rStyle w:val="Hyperlink"/>
          </w:rPr>
          <w:t>Code of Practice for Official Statistics</w:t>
        </w:r>
      </w:hyperlink>
      <w:r>
        <w:t xml:space="preserve">. They undergo regular quality assurance reviews to ensure that they meet customer </w:t>
      </w:r>
      <w:r w:rsidR="00317A89">
        <w:t>needs and</w:t>
      </w:r>
      <w:r w:rsidR="00363EA0">
        <w:t xml:space="preserve"> are produced</w:t>
      </w:r>
      <w:r>
        <w:t xml:space="preserve"> free from any political interference. </w:t>
      </w:r>
    </w:p>
    <w:p w14:paraId="60DA0292" w14:textId="126E9C63" w:rsidR="00034BFB" w:rsidRDefault="00034BFB" w:rsidP="00317A89">
      <w:pPr>
        <w:jc w:val="both"/>
      </w:pPr>
      <w:r w:rsidRPr="41683809">
        <w:t>A list of the cancer types</w:t>
      </w:r>
      <w:r w:rsidR="006A7F4A" w:rsidRPr="41683809">
        <w:t xml:space="preserve"> used in this publication</w:t>
      </w:r>
      <w:r w:rsidRPr="41683809">
        <w:t xml:space="preserve">, can be found in </w:t>
      </w:r>
      <w:hyperlink w:anchor="_10_Appendix_A">
        <w:r w:rsidRPr="41683809">
          <w:rPr>
            <w:rStyle w:val="Hyperlink"/>
          </w:rPr>
          <w:t>Appendix A</w:t>
        </w:r>
      </w:hyperlink>
      <w:r>
        <w:t>.</w:t>
      </w:r>
    </w:p>
    <w:p w14:paraId="1814A4BB" w14:textId="26A196BF" w:rsidR="00034BFB" w:rsidRDefault="00034BFB" w:rsidP="00317A89">
      <w:pPr>
        <w:jc w:val="both"/>
      </w:pPr>
      <w:r>
        <w:br w:type="page"/>
      </w:r>
    </w:p>
    <w:p w14:paraId="063EDFF7" w14:textId="6547575C" w:rsidR="007102E8" w:rsidRPr="00F96F12" w:rsidRDefault="007102E8" w:rsidP="001F5B9A">
      <w:pPr>
        <w:pStyle w:val="Heading1"/>
      </w:pPr>
      <w:bookmarkStart w:id="12" w:name="_Toc229587602"/>
      <w:r>
        <w:lastRenderedPageBreak/>
        <w:t>2 Methodology</w:t>
      </w:r>
      <w:bookmarkEnd w:id="12"/>
    </w:p>
    <w:p w14:paraId="35DC0CA8" w14:textId="10F74AA5" w:rsidR="007102E8" w:rsidRPr="00F96F12" w:rsidRDefault="007102E8" w:rsidP="00E43A91">
      <w:pPr>
        <w:pStyle w:val="Heading2"/>
      </w:pPr>
      <w:bookmarkStart w:id="13" w:name="_Toc56519598"/>
      <w:r>
        <w:t xml:space="preserve">2.1 </w:t>
      </w:r>
      <w:r w:rsidR="00351CAC">
        <w:t>Incidence</w:t>
      </w:r>
      <w:r w:rsidR="007436BC">
        <w:t xml:space="preserve"> outputs</w:t>
      </w:r>
      <w:bookmarkEnd w:id="13"/>
    </w:p>
    <w:p w14:paraId="1F87C759" w14:textId="7E9C2FF4" w:rsidR="0014242E" w:rsidRPr="00666A08" w:rsidRDefault="0014242E" w:rsidP="0568E530">
      <w:r w:rsidRPr="0568E530">
        <w:t>An incident case of cancer is a newly diagnosed case of: </w:t>
      </w:r>
    </w:p>
    <w:p w14:paraId="36F766CB" w14:textId="57B80C37" w:rsidR="0014242E" w:rsidRPr="00666A08" w:rsidRDefault="0014242E" w:rsidP="0568E530">
      <w:pPr>
        <w:numPr>
          <w:ilvl w:val="0"/>
          <w:numId w:val="25"/>
        </w:numPr>
        <w:jc w:val="both"/>
      </w:pPr>
      <w:r w:rsidRPr="41683809">
        <w:t xml:space="preserve">A malignant neoplasm: Cancers as described by the World Health Organisation (WHO) International Classification of Diseases as ICD-10 codes C00 to C97 </w:t>
      </w:r>
    </w:p>
    <w:p w14:paraId="4C2F3BD5" w14:textId="69B569BD" w:rsidR="0014242E" w:rsidRPr="00666A08" w:rsidRDefault="0014242E" w:rsidP="0568E530">
      <w:pPr>
        <w:numPr>
          <w:ilvl w:val="0"/>
          <w:numId w:val="26"/>
        </w:numPr>
        <w:jc w:val="both"/>
      </w:pPr>
      <w:r w:rsidRPr="41683809">
        <w:t xml:space="preserve">An </w:t>
      </w:r>
      <w:r w:rsidRPr="41683809">
        <w:rPr>
          <w:i/>
          <w:iCs/>
        </w:rPr>
        <w:t>in-situ</w:t>
      </w:r>
      <w:r w:rsidRPr="41683809">
        <w:t xml:space="preserve"> neoplasm: ICD-10 codes D</w:t>
      </w:r>
      <w:r w:rsidR="000407E0" w:rsidRPr="41683809">
        <w:t>00-D09</w:t>
      </w:r>
      <w:r w:rsidRPr="41683809">
        <w:t> </w:t>
      </w:r>
    </w:p>
    <w:p w14:paraId="4B173C29" w14:textId="30CF4D9F" w:rsidR="0014242E" w:rsidRPr="00666A08" w:rsidRDefault="0014242E" w:rsidP="0568E530">
      <w:pPr>
        <w:numPr>
          <w:ilvl w:val="0"/>
          <w:numId w:val="27"/>
        </w:numPr>
        <w:jc w:val="both"/>
      </w:pPr>
      <w:r w:rsidRPr="41683809">
        <w:t xml:space="preserve">A benign neoplasm: ICD-10 codes </w:t>
      </w:r>
      <w:r w:rsidR="00F67B35" w:rsidRPr="41683809">
        <w:t xml:space="preserve">D29.2, </w:t>
      </w:r>
      <w:r w:rsidRPr="41683809">
        <w:t>D32-D33, D35.2</w:t>
      </w:r>
      <w:r w:rsidR="003117DA" w:rsidRPr="41683809">
        <w:t xml:space="preserve">, </w:t>
      </w:r>
      <w:r w:rsidRPr="41683809">
        <w:t>D35.4</w:t>
      </w:r>
      <w:r w:rsidR="003D668B" w:rsidRPr="41683809">
        <w:t>, D15</w:t>
      </w:r>
    </w:p>
    <w:p w14:paraId="18F9DA86" w14:textId="28960E5E" w:rsidR="00C22F9D" w:rsidRPr="00C00754" w:rsidRDefault="0014242E" w:rsidP="41683809">
      <w:pPr>
        <w:numPr>
          <w:ilvl w:val="0"/>
          <w:numId w:val="28"/>
        </w:numPr>
        <w:jc w:val="both"/>
        <w:rPr>
          <w:rStyle w:val="Hyperlink"/>
          <w:color w:val="auto"/>
        </w:rPr>
      </w:pPr>
      <w:r w:rsidRPr="41683809">
        <w:t>A neoplasm of uncertain or unknown behaviour: ICD-10 codes D</w:t>
      </w:r>
      <w:r w:rsidR="00123233" w:rsidRPr="41683809">
        <w:t>37-D48</w:t>
      </w:r>
      <w:r>
        <w:br/>
      </w:r>
    </w:p>
    <w:p w14:paraId="60816D16" w14:textId="06717165" w:rsidR="00207020" w:rsidRDefault="2B1900DE" w:rsidP="41683809">
      <w:pPr>
        <w:jc w:val="both"/>
      </w:pPr>
      <w:r w:rsidRPr="41683809">
        <w:rPr>
          <w:i/>
          <w:iCs/>
        </w:rPr>
        <w:t>Note</w:t>
      </w:r>
      <w:r w:rsidRPr="41683809">
        <w:t xml:space="preserve">: </w:t>
      </w:r>
      <w:r w:rsidR="19781577" w:rsidRPr="41683809">
        <w:t xml:space="preserve">Not all </w:t>
      </w:r>
      <w:r w:rsidR="20B5ADC6" w:rsidRPr="41683809">
        <w:t xml:space="preserve">the above </w:t>
      </w:r>
      <w:r w:rsidR="19781577" w:rsidRPr="41683809">
        <w:t xml:space="preserve">registerable conditions collected by the registry are outlined in the incidence outputs. </w:t>
      </w:r>
      <w:r w:rsidR="33A1078C" w:rsidRPr="41683809">
        <w:t>For example, in 2022 only 61% of registerable case</w:t>
      </w:r>
      <w:r w:rsidR="2A6CF1AB" w:rsidRPr="41683809">
        <w:t>s</w:t>
      </w:r>
      <w:r w:rsidR="33A1078C" w:rsidRPr="41683809">
        <w:t xml:space="preserve"> </w:t>
      </w:r>
      <w:r w:rsidR="668C2956" w:rsidRPr="41683809">
        <w:t>were categorised as a malignant neoplasm excluding n</w:t>
      </w:r>
      <w:r w:rsidR="699D33B2" w:rsidRPr="41683809">
        <w:t>on-</w:t>
      </w:r>
      <w:r w:rsidR="668C2956" w:rsidRPr="41683809">
        <w:t>m</w:t>
      </w:r>
      <w:r w:rsidR="1B19DBAD" w:rsidRPr="41683809">
        <w:t xml:space="preserve">elanoma </w:t>
      </w:r>
      <w:r w:rsidR="668C2956" w:rsidRPr="41683809">
        <w:t>s</w:t>
      </w:r>
      <w:r w:rsidR="366F3DA9" w:rsidRPr="41683809">
        <w:t xml:space="preserve">kin </w:t>
      </w:r>
      <w:r w:rsidR="668C2956" w:rsidRPr="41683809">
        <w:t>c</w:t>
      </w:r>
      <w:r w:rsidR="5D99C2AA" w:rsidRPr="41683809">
        <w:t>ancer</w:t>
      </w:r>
      <w:r w:rsidR="3DC87F50" w:rsidRPr="41683809">
        <w:t xml:space="preserve"> (NMSC</w:t>
      </w:r>
      <w:r w:rsidR="66DEA541" w:rsidRPr="41683809">
        <w:t xml:space="preserve">) </w:t>
      </w:r>
      <w:r w:rsidR="0A49A22D" w:rsidRPr="41683809">
        <w:t xml:space="preserve">- </w:t>
      </w:r>
      <w:r w:rsidR="733210DD" w:rsidRPr="41683809">
        <w:t>That</w:t>
      </w:r>
      <w:r w:rsidR="49E657B7" w:rsidRPr="41683809">
        <w:t>’</w:t>
      </w:r>
      <w:r w:rsidR="733210DD" w:rsidRPr="41683809">
        <w:t>s 2</w:t>
      </w:r>
      <w:r w:rsidR="668C2956" w:rsidRPr="41683809">
        <w:t>1,006</w:t>
      </w:r>
      <w:r w:rsidR="13B26C75" w:rsidRPr="41683809">
        <w:t xml:space="preserve"> cases out of</w:t>
      </w:r>
      <w:r w:rsidR="65215A30" w:rsidRPr="41683809">
        <w:t xml:space="preserve"> the total</w:t>
      </w:r>
      <w:r w:rsidR="13B26C75" w:rsidRPr="41683809">
        <w:t xml:space="preserve"> 34,531</w:t>
      </w:r>
      <w:r w:rsidR="7A3C51AB" w:rsidRPr="41683809">
        <w:t xml:space="preserve"> cases</w:t>
      </w:r>
      <w:r w:rsidR="7343A7DB" w:rsidRPr="41683809">
        <w:t xml:space="preserve">. </w:t>
      </w:r>
      <w:r w:rsidR="19781577" w:rsidRPr="41683809">
        <w:t>Secondary tumours and recurrences of a previous cancer are also not counted as new incident cases.</w:t>
      </w:r>
    </w:p>
    <w:p w14:paraId="2C10C5EB" w14:textId="7A1C63B6" w:rsidR="00C00754" w:rsidRDefault="00C00754" w:rsidP="41683809">
      <w:pPr>
        <w:jc w:val="both"/>
        <w:rPr>
          <w:rStyle w:val="Hyperlink"/>
          <w:color w:val="auto"/>
        </w:rPr>
      </w:pPr>
      <w:r w:rsidRPr="41683809">
        <w:t xml:space="preserve">Most cancer sites we report on are categorised based on ICD-10 site codes, which classify cancers according to the anatomical location of the primary tumour. Sites that cannot be accurately defined by anatomical site alone are based on morphology and behaviour codes instead. These include neuroendocrine neoplasms, small cell lung cancers and non-small cell lung cancers. A list of the cancer types reported on in this publication, with accompanying ICD-10 site codes (and ICD-O3 morphology and behaviour codes where applicable), can be found in </w:t>
      </w:r>
      <w:hyperlink w:anchor="_Appendix_A_-" w:history="1">
        <w:r w:rsidR="00115CB6" w:rsidRPr="00115CB6">
          <w:rPr>
            <w:rStyle w:val="Hyperlink"/>
          </w:rPr>
          <w:t>Appendix A</w:t>
        </w:r>
      </w:hyperlink>
      <w:r w:rsidR="00115CB6">
        <w:t>.</w:t>
      </w:r>
    </w:p>
    <w:p w14:paraId="0258EFC1" w14:textId="3A4685D0" w:rsidR="2C0AC4FB" w:rsidRDefault="2C0AC4FB" w:rsidP="41683809">
      <w:pPr>
        <w:jc w:val="both"/>
      </w:pPr>
      <w:r w:rsidRPr="41683809">
        <w:t>(Please note that transformations are no longer</w:t>
      </w:r>
      <w:r w:rsidR="0C35BED3" w:rsidRPr="41683809">
        <w:t xml:space="preserve"> registered as a separate primary malignant neoplasm</w:t>
      </w:r>
      <w:r w:rsidRPr="41683809">
        <w:t xml:space="preserve"> from 201</w:t>
      </w:r>
      <w:r w:rsidR="023ABF81" w:rsidRPr="41683809">
        <w:t>8</w:t>
      </w:r>
      <w:r w:rsidRPr="41683809">
        <w:t xml:space="preserve"> onwards).</w:t>
      </w:r>
    </w:p>
    <w:p w14:paraId="308E913B" w14:textId="3707C335" w:rsidR="001A21BE" w:rsidRPr="001A21BE" w:rsidRDefault="127E0F08" w:rsidP="41683809">
      <w:pPr>
        <w:spacing w:after="0" w:line="240" w:lineRule="auto"/>
        <w:jc w:val="both"/>
        <w:rPr>
          <w:rFonts w:eastAsia="Times New Roman" w:cs="Calibri"/>
          <w:lang w:eastAsia="en-GB"/>
        </w:rPr>
      </w:pPr>
      <w:r w:rsidRPr="41683809">
        <w:t xml:space="preserve">This publication reports on </w:t>
      </w:r>
      <w:r w:rsidR="37C98B21" w:rsidRPr="41683809">
        <w:t>cancers</w:t>
      </w:r>
      <w:r w:rsidRPr="41683809">
        <w:t xml:space="preserve"> registered between 2002 and 2022 with outputs</w:t>
      </w:r>
      <w:r w:rsidR="001A21BE" w:rsidRPr="41683809">
        <w:t xml:space="preserve"> presented by single and three-year rolling periods for men, women</w:t>
      </w:r>
      <w:r w:rsidRPr="41683809">
        <w:t>,</w:t>
      </w:r>
      <w:r w:rsidR="001A21BE" w:rsidRPr="41683809">
        <w:t xml:space="preserve"> and persons for</w:t>
      </w:r>
      <w:r w:rsidRPr="41683809">
        <w:t>:</w:t>
      </w:r>
      <w:r w:rsidRPr="41683809">
        <w:rPr>
          <w:rFonts w:eastAsia="Times New Roman" w:cs="Calibri"/>
          <w:lang w:eastAsia="en-GB"/>
        </w:rPr>
        <w:t xml:space="preserve"> </w:t>
      </w:r>
    </w:p>
    <w:p w14:paraId="45FFAC4A" w14:textId="77777777" w:rsidR="00926516" w:rsidRDefault="00926516" w:rsidP="41683809">
      <w:pPr>
        <w:pStyle w:val="ListParagraph"/>
        <w:numPr>
          <w:ilvl w:val="0"/>
          <w:numId w:val="3"/>
        </w:numPr>
        <w:jc w:val="both"/>
      </w:pPr>
      <w:r w:rsidRPr="41683809">
        <w:t>Wales</w:t>
      </w:r>
    </w:p>
    <w:p w14:paraId="7C816DB1" w14:textId="65739767" w:rsidR="00926516" w:rsidRDefault="00926516" w:rsidP="41683809">
      <w:pPr>
        <w:pStyle w:val="ListParagraph"/>
        <w:numPr>
          <w:ilvl w:val="0"/>
          <w:numId w:val="3"/>
        </w:numPr>
        <w:jc w:val="both"/>
      </w:pPr>
      <w:r w:rsidRPr="41683809">
        <w:t>Health Boards</w:t>
      </w:r>
    </w:p>
    <w:p w14:paraId="0C5A2533" w14:textId="091471CD" w:rsidR="00926516" w:rsidRDefault="00926516" w:rsidP="41683809">
      <w:pPr>
        <w:pStyle w:val="ListParagraph"/>
        <w:numPr>
          <w:ilvl w:val="0"/>
          <w:numId w:val="3"/>
        </w:numPr>
        <w:jc w:val="both"/>
      </w:pPr>
      <w:r w:rsidRPr="41683809">
        <w:t>Local Authorities</w:t>
      </w:r>
    </w:p>
    <w:p w14:paraId="5BD77FFD" w14:textId="6192D754" w:rsidR="005168AB" w:rsidRDefault="00926516" w:rsidP="41683809">
      <w:pPr>
        <w:pStyle w:val="ListParagraph"/>
        <w:numPr>
          <w:ilvl w:val="0"/>
          <w:numId w:val="3"/>
        </w:numPr>
        <w:jc w:val="both"/>
      </w:pPr>
      <w:r w:rsidRPr="41683809">
        <w:t xml:space="preserve">Area deprivation fifths </w:t>
      </w:r>
      <w:r w:rsidR="22525A35" w:rsidRPr="41683809">
        <w:t>for Wales</w:t>
      </w:r>
      <w:r w:rsidR="001A21BE" w:rsidRPr="41683809">
        <w:t xml:space="preserve"> and </w:t>
      </w:r>
      <w:r w:rsidR="22525A35" w:rsidRPr="41683809">
        <w:t>health boards (</w:t>
      </w:r>
      <w:r w:rsidR="001A21BE" w:rsidRPr="41683809">
        <w:t>three-year periods</w:t>
      </w:r>
      <w:r w:rsidR="007765DB" w:rsidRPr="41683809">
        <w:t xml:space="preserve"> only</w:t>
      </w:r>
      <w:r w:rsidR="004C3B22" w:rsidRPr="41683809">
        <w:t xml:space="preserve"> at health board level</w:t>
      </w:r>
      <w:r w:rsidR="001A21BE" w:rsidRPr="41683809">
        <w:t>)</w:t>
      </w:r>
    </w:p>
    <w:p w14:paraId="75A603DA" w14:textId="1CD1808B" w:rsidR="007436BC" w:rsidRDefault="00926516" w:rsidP="41683809">
      <w:pPr>
        <w:jc w:val="both"/>
      </w:pPr>
      <w:r w:rsidRPr="7BDE8E7A">
        <w:t>Counts, crude rates and European age-standardised rates (EASR) are presented for each of the above breakdowns for a</w:t>
      </w:r>
      <w:r w:rsidR="00AA46CD" w:rsidRPr="7BDE8E7A">
        <w:t xml:space="preserve">ll </w:t>
      </w:r>
      <w:r w:rsidR="001310E9" w:rsidRPr="7BDE8E7A">
        <w:t>malignant</w:t>
      </w:r>
      <w:r w:rsidRPr="7BDE8E7A">
        <w:t xml:space="preserve"> cancer sites </w:t>
      </w:r>
      <w:r w:rsidR="001310E9" w:rsidRPr="7BDE8E7A">
        <w:t xml:space="preserve">and </w:t>
      </w:r>
      <w:r w:rsidR="005756EB" w:rsidRPr="7BDE8E7A">
        <w:t xml:space="preserve">the </w:t>
      </w:r>
      <w:r w:rsidR="00051661" w:rsidRPr="7BDE8E7A">
        <w:t>neuroendocrine</w:t>
      </w:r>
      <w:r w:rsidRPr="7BDE8E7A">
        <w:t xml:space="preserve"> neoplasms</w:t>
      </w:r>
      <w:r w:rsidR="00051661" w:rsidRPr="7BDE8E7A">
        <w:t xml:space="preserve"> </w:t>
      </w:r>
      <w:r w:rsidR="002E4580" w:rsidRPr="7BDE8E7A">
        <w:t>(</w:t>
      </w:r>
      <w:hyperlink w:anchor="_10.1_Cancer_type">
        <w:r w:rsidR="00354506" w:rsidRPr="7BDE8E7A">
          <w:rPr>
            <w:rStyle w:val="Hyperlink"/>
          </w:rPr>
          <w:t>Appendix A</w:t>
        </w:r>
      </w:hyperlink>
      <w:r w:rsidR="00354506" w:rsidRPr="7BDE8E7A">
        <w:t xml:space="preserve"> – table</w:t>
      </w:r>
      <w:r w:rsidR="00C73004" w:rsidRPr="7BDE8E7A">
        <w:t>s</w:t>
      </w:r>
      <w:r w:rsidR="00354506" w:rsidRPr="7BDE8E7A">
        <w:t xml:space="preserve"> 10.1</w:t>
      </w:r>
      <w:r w:rsidR="00C73004" w:rsidRPr="7BDE8E7A">
        <w:t xml:space="preserve"> and 10.2</w:t>
      </w:r>
      <w:r w:rsidR="002E4580" w:rsidRPr="7BDE8E7A">
        <w:t>)</w:t>
      </w:r>
      <w:r w:rsidR="00554E2B" w:rsidRPr="7BDE8E7A">
        <w:t>.</w:t>
      </w:r>
      <w:r w:rsidR="59EDB39E" w:rsidRPr="7BDE8E7A">
        <w:t xml:space="preserve"> Further breakdowns can be found in the data downloads that we haven’t displayed in the tool.</w:t>
      </w:r>
    </w:p>
    <w:p w14:paraId="1A19D358" w14:textId="11CACE41" w:rsidR="00D64B67" w:rsidRPr="004762DC" w:rsidRDefault="00926516" w:rsidP="41683809">
      <w:pPr>
        <w:jc w:val="both"/>
        <w:rPr>
          <w:rFonts w:eastAsia="Ubuntu Light" w:cs="Ubuntu Light"/>
        </w:rPr>
      </w:pPr>
      <w:r w:rsidRPr="7BDE8E7A">
        <w:t>Only counts are provided</w:t>
      </w:r>
      <w:r w:rsidR="004C1F30" w:rsidRPr="7BDE8E7A">
        <w:t xml:space="preserve"> in the data downloads</w:t>
      </w:r>
      <w:r w:rsidRPr="7BDE8E7A">
        <w:t xml:space="preserve"> </w:t>
      </w:r>
      <w:r w:rsidR="003B47ED" w:rsidRPr="7BDE8E7A">
        <w:t>for the remaining benign, uncertain and in-situ cancer</w:t>
      </w:r>
      <w:r w:rsidR="004C1F30" w:rsidRPr="7BDE8E7A">
        <w:t xml:space="preserve"> sites </w:t>
      </w:r>
      <w:hyperlink w:anchor="_10.3_Cancer_type">
        <w:r w:rsidR="00BA0C85" w:rsidRPr="7BDE8E7A">
          <w:rPr>
            <w:rStyle w:val="Hyperlink"/>
          </w:rPr>
          <w:t>(Appendix A</w:t>
        </w:r>
      </w:hyperlink>
      <w:r w:rsidR="00BA0C85" w:rsidRPr="7BDE8E7A">
        <w:t xml:space="preserve"> </w:t>
      </w:r>
      <w:r w:rsidR="00C80535" w:rsidRPr="7BDE8E7A">
        <w:t>-</w:t>
      </w:r>
      <w:r w:rsidR="00272A1B" w:rsidRPr="7BDE8E7A">
        <w:t xml:space="preserve"> table 10.</w:t>
      </w:r>
      <w:r w:rsidR="00F20CE6" w:rsidRPr="7BDE8E7A">
        <w:t>3</w:t>
      </w:r>
      <w:r w:rsidR="002650FE" w:rsidRPr="7BDE8E7A">
        <w:t>)</w:t>
      </w:r>
      <w:r w:rsidR="7C3031D4" w:rsidRPr="7BDE8E7A">
        <w:t>.</w:t>
      </w:r>
    </w:p>
    <w:p w14:paraId="79A6B7D6" w14:textId="13C6C731" w:rsidR="001A21BE" w:rsidRPr="00DA1D2C" w:rsidRDefault="001A21BE" w:rsidP="41683809">
      <w:pPr>
        <w:jc w:val="both"/>
      </w:pPr>
      <w:r w:rsidRPr="41683809">
        <w:t>Cancer incidence by stage at diagnosis is presented for diagnoses between 2011 to 202</w:t>
      </w:r>
      <w:r w:rsidR="00C92C9A" w:rsidRPr="41683809">
        <w:t>2</w:t>
      </w:r>
      <w:r w:rsidRPr="41683809">
        <w:t xml:space="preserve"> </w:t>
      </w:r>
      <w:r w:rsidR="46BD2D68" w:rsidRPr="41683809">
        <w:t>by single and three-year rolling periods for men, women, and persons for</w:t>
      </w:r>
      <w:r w:rsidRPr="41683809">
        <w:t>:</w:t>
      </w:r>
    </w:p>
    <w:p w14:paraId="3DA40A7D" w14:textId="0B5A3ED8" w:rsidR="00083989" w:rsidRDefault="007436BC" w:rsidP="41683809">
      <w:pPr>
        <w:pStyle w:val="ListParagraph"/>
        <w:numPr>
          <w:ilvl w:val="0"/>
          <w:numId w:val="4"/>
        </w:numPr>
        <w:jc w:val="both"/>
      </w:pPr>
      <w:r w:rsidRPr="41683809">
        <w:lastRenderedPageBreak/>
        <w:t>Wales</w:t>
      </w:r>
    </w:p>
    <w:p w14:paraId="08E09E34" w14:textId="73CF99BD" w:rsidR="000B2DC4" w:rsidRDefault="000B2DC4" w:rsidP="41683809">
      <w:pPr>
        <w:pStyle w:val="ListParagraph"/>
        <w:numPr>
          <w:ilvl w:val="0"/>
          <w:numId w:val="4"/>
        </w:numPr>
        <w:jc w:val="both"/>
      </w:pPr>
      <w:r w:rsidRPr="41683809">
        <w:t>Area deprivation fifths</w:t>
      </w:r>
      <w:r w:rsidR="7607B046" w:rsidRPr="41683809">
        <w:t xml:space="preserve"> for Wales</w:t>
      </w:r>
      <w:r w:rsidRPr="41683809">
        <w:t xml:space="preserve"> </w:t>
      </w:r>
    </w:p>
    <w:p w14:paraId="644E03B8" w14:textId="7FE281F7" w:rsidR="00083989" w:rsidRDefault="00083989" w:rsidP="41683809">
      <w:pPr>
        <w:jc w:val="both"/>
      </w:pPr>
      <w:r w:rsidRPr="7BDE8E7A">
        <w:t xml:space="preserve">Counts and proportion of cancer diagnosed by stage are presented for </w:t>
      </w:r>
      <w:r w:rsidR="0067349D" w:rsidRPr="7BDE8E7A">
        <w:t xml:space="preserve">each of </w:t>
      </w:r>
      <w:r w:rsidRPr="7BDE8E7A">
        <w:t xml:space="preserve">the above </w:t>
      </w:r>
      <w:r w:rsidR="0067349D" w:rsidRPr="7BDE8E7A">
        <w:t xml:space="preserve">breakdowns </w:t>
      </w:r>
      <w:r w:rsidRPr="7BDE8E7A">
        <w:t xml:space="preserve">for </w:t>
      </w:r>
      <w:r w:rsidR="0067349D" w:rsidRPr="7BDE8E7A">
        <w:t>all malignant cancer sites and the neuroendocrine neoplasms</w:t>
      </w:r>
      <w:r w:rsidR="00A414BC" w:rsidRPr="7BDE8E7A">
        <w:t xml:space="preserve"> where applicable</w:t>
      </w:r>
      <w:r w:rsidR="7F9EF8C9" w:rsidRPr="7BDE8E7A">
        <w:t xml:space="preserve"> (</w:t>
      </w:r>
      <w:hyperlink w:anchor="_10.1_Cancer_type">
        <w:r w:rsidR="7F9EF8C9" w:rsidRPr="7BDE8E7A">
          <w:rPr>
            <w:rStyle w:val="Hyperlink"/>
          </w:rPr>
          <w:t>Appendix A</w:t>
        </w:r>
      </w:hyperlink>
      <w:r w:rsidR="7F9EF8C9" w:rsidRPr="7BDE8E7A">
        <w:t xml:space="preserve"> – tables 10.1 and 10.2)</w:t>
      </w:r>
      <w:r w:rsidRPr="7BDE8E7A">
        <w:t xml:space="preserve">. Staging analysis for leukaemia and brain &amp; central nervous system cancers are not available due to limited information, with analysis for Hodgkin lymphoma, </w:t>
      </w:r>
      <w:r w:rsidR="00EB4F0D" w:rsidRPr="7BDE8E7A">
        <w:t>non-Hodgkin</w:t>
      </w:r>
      <w:r w:rsidRPr="7BDE8E7A">
        <w:t xml:space="preserve"> lymphoma and </w:t>
      </w:r>
      <w:r w:rsidR="00EB4F0D" w:rsidRPr="7BDE8E7A">
        <w:t>m</w:t>
      </w:r>
      <w:r w:rsidRPr="7BDE8E7A">
        <w:t xml:space="preserve">yeloma only shown for 2016 onwards due to improvement in staging for these sites in recent years. Consequently, staging analysis for </w:t>
      </w:r>
      <w:r w:rsidR="00EB4F0D" w:rsidRPr="7BDE8E7A">
        <w:t>‘</w:t>
      </w:r>
      <w:r w:rsidRPr="7BDE8E7A">
        <w:t>a</w:t>
      </w:r>
      <w:r w:rsidR="00AA46CD" w:rsidRPr="7BDE8E7A">
        <w:t>ll cancers</w:t>
      </w:r>
      <w:r w:rsidRPr="7BDE8E7A">
        <w:t xml:space="preserve"> excluding NMSC</w:t>
      </w:r>
      <w:r w:rsidR="00EB4F0D" w:rsidRPr="7BDE8E7A">
        <w:t>’</w:t>
      </w:r>
      <w:r w:rsidRPr="7BDE8E7A">
        <w:t xml:space="preserve"> is not provided</w:t>
      </w:r>
      <w:r w:rsidR="379D5413" w:rsidRPr="7BDE8E7A">
        <w:t>. H</w:t>
      </w:r>
      <w:r w:rsidR="00791349" w:rsidRPr="7BDE8E7A">
        <w:t xml:space="preserve">owever, staging analysis has been </w:t>
      </w:r>
      <w:r w:rsidR="00D01A21" w:rsidRPr="7BDE8E7A">
        <w:t>provided</w:t>
      </w:r>
      <w:r w:rsidR="00791349" w:rsidRPr="7BDE8E7A">
        <w:t xml:space="preserve"> for </w:t>
      </w:r>
      <w:r w:rsidR="00A41D34" w:rsidRPr="7BDE8E7A">
        <w:t xml:space="preserve">the </w:t>
      </w:r>
      <w:r w:rsidR="00CA651B" w:rsidRPr="7BDE8E7A">
        <w:t>combined remaining cancer sites and labelled</w:t>
      </w:r>
      <w:r w:rsidR="00791349" w:rsidRPr="7BDE8E7A">
        <w:t xml:space="preserve"> ‘all stageable cancers</w:t>
      </w:r>
      <w:r w:rsidR="29200931" w:rsidRPr="7BDE8E7A">
        <w:t>.</w:t>
      </w:r>
      <w:r w:rsidR="00791349" w:rsidRPr="7BDE8E7A">
        <w:t>’</w:t>
      </w:r>
      <w:r w:rsidR="00367022" w:rsidRPr="7BDE8E7A">
        <w:t xml:space="preserve"> See </w:t>
      </w:r>
      <w:hyperlink w:anchor="_10.4_Cancer_type">
        <w:r w:rsidR="00367022" w:rsidRPr="7BDE8E7A">
          <w:rPr>
            <w:rStyle w:val="Hyperlink"/>
          </w:rPr>
          <w:t>Appendix A</w:t>
        </w:r>
      </w:hyperlink>
      <w:r w:rsidR="00367022" w:rsidRPr="7BDE8E7A">
        <w:t xml:space="preserve"> - table 10.4</w:t>
      </w:r>
      <w:r w:rsidR="0196B998" w:rsidRPr="7BDE8E7A">
        <w:rPr>
          <w:rFonts w:asciiTheme="minorHAnsi" w:eastAsiaTheme="minorEastAsia" w:hAnsiTheme="minorHAnsi"/>
        </w:rPr>
        <w:t>.</w:t>
      </w:r>
      <w:r w:rsidR="0196B998" w:rsidRPr="7BDE8E7A">
        <w:rPr>
          <w:rFonts w:asciiTheme="minorHAnsi" w:eastAsiaTheme="minorEastAsia" w:hAnsiTheme="minorHAnsi"/>
          <w:szCs w:val="24"/>
        </w:rPr>
        <w:t xml:space="preserve"> </w:t>
      </w:r>
      <w:r w:rsidR="0196B998" w:rsidRPr="7BDE8E7A">
        <w:rPr>
          <w:rFonts w:eastAsia="Ubuntu Light" w:cs="Ubuntu Light"/>
          <w:szCs w:val="24"/>
        </w:rPr>
        <w:t xml:space="preserve">This gives us an estimate of how many </w:t>
      </w:r>
      <w:r w:rsidR="2D1F1CF8" w:rsidRPr="7BDE8E7A">
        <w:rPr>
          <w:rFonts w:eastAsia="Ubuntu Light" w:cs="Ubuntu Light"/>
          <w:szCs w:val="24"/>
        </w:rPr>
        <w:t xml:space="preserve">reported on </w:t>
      </w:r>
      <w:r w:rsidR="0196B998" w:rsidRPr="7BDE8E7A">
        <w:rPr>
          <w:rFonts w:eastAsia="Ubuntu Light" w:cs="Ubuntu Light"/>
          <w:szCs w:val="24"/>
        </w:rPr>
        <w:t>cancers have an ‘Unknown’ stage by removing unstageable cancer types, allowing more</w:t>
      </w:r>
      <w:r w:rsidR="00D01A21" w:rsidRPr="7BDE8E7A">
        <w:rPr>
          <w:rFonts w:eastAsia="Ubuntu Light" w:cs="Ubuntu Light"/>
          <w:szCs w:val="24"/>
        </w:rPr>
        <w:t xml:space="preserve"> in</w:t>
      </w:r>
      <w:r w:rsidR="0196B998" w:rsidRPr="7BDE8E7A">
        <w:rPr>
          <w:rFonts w:eastAsia="Ubuntu Light" w:cs="Ubuntu Light"/>
          <w:szCs w:val="24"/>
        </w:rPr>
        <w:t xml:space="preserve">-depth analysis of where improvements can be made in cancer care. </w:t>
      </w:r>
    </w:p>
    <w:p w14:paraId="30DD7517" w14:textId="6BB784EF" w:rsidR="24330925" w:rsidRDefault="24330925" w:rsidP="41683809">
      <w:pPr>
        <w:spacing w:line="257" w:lineRule="auto"/>
        <w:jc w:val="both"/>
      </w:pPr>
      <w:r w:rsidRPr="7BDE8E7A">
        <w:t>D</w:t>
      </w:r>
      <w:r w:rsidR="6AB3B55A" w:rsidRPr="7BDE8E7A">
        <w:t xml:space="preserve">ue to disclosure issues, we only show all Wales figures by </w:t>
      </w:r>
      <w:r w:rsidR="39C1499D" w:rsidRPr="7BDE8E7A">
        <w:t>stage and</w:t>
      </w:r>
      <w:r w:rsidR="6AB3B55A" w:rsidRPr="7BDE8E7A">
        <w:t xml:space="preserve"> </w:t>
      </w:r>
      <w:r w:rsidR="26ADBA09" w:rsidRPr="7BDE8E7A">
        <w:t>remove</w:t>
      </w:r>
      <w:r w:rsidR="2D078DB7" w:rsidRPr="7BDE8E7A">
        <w:t xml:space="preserve"> cancer sites wh</w:t>
      </w:r>
      <w:r w:rsidR="166FB379" w:rsidRPr="7BDE8E7A">
        <w:t>ich</w:t>
      </w:r>
      <w:r w:rsidR="78E3B89C" w:rsidRPr="7BDE8E7A">
        <w:t xml:space="preserve"> have</w:t>
      </w:r>
      <w:r w:rsidR="6AB3B55A" w:rsidRPr="7BDE8E7A">
        <w:t xml:space="preserve"> any counts with proportions of 100% for known stages.</w:t>
      </w:r>
    </w:p>
    <w:p w14:paraId="3DEAAD5A" w14:textId="44AB5948" w:rsidR="49318244" w:rsidRDefault="49318244" w:rsidP="41683809">
      <w:pPr>
        <w:jc w:val="both"/>
        <w:rPr>
          <w:rFonts w:eastAsia="Ubuntu Light" w:cs="Ubuntu Light"/>
        </w:rPr>
      </w:pPr>
      <w:r w:rsidRPr="41683809">
        <w:rPr>
          <w:rFonts w:eastAsia="Ubuntu Light" w:cs="Ubuntu Light"/>
          <w:szCs w:val="24"/>
        </w:rPr>
        <w:t xml:space="preserve">Please note that </w:t>
      </w:r>
      <w:r w:rsidR="2AF53827" w:rsidRPr="41683809">
        <w:rPr>
          <w:rFonts w:eastAsia="Ubuntu Light" w:cs="Ubuntu Light"/>
          <w:szCs w:val="24"/>
        </w:rPr>
        <w:t>updated</w:t>
      </w:r>
      <w:r w:rsidRPr="41683809">
        <w:rPr>
          <w:rFonts w:eastAsia="Ubuntu Light" w:cs="Ubuntu Light"/>
          <w:szCs w:val="24"/>
        </w:rPr>
        <w:t xml:space="preserve"> analysis has been carried out from 2011</w:t>
      </w:r>
      <w:r w:rsidR="06D89223" w:rsidRPr="41683809">
        <w:rPr>
          <w:rFonts w:eastAsia="Ubuntu Light" w:cs="Ubuntu Light"/>
          <w:szCs w:val="24"/>
        </w:rPr>
        <w:t xml:space="preserve"> due to rebased </w:t>
      </w:r>
      <w:r w:rsidR="10C20F9F" w:rsidRPr="41683809">
        <w:rPr>
          <w:rFonts w:eastAsia="Ubuntu Light" w:cs="Ubuntu Light"/>
          <w:szCs w:val="24"/>
        </w:rPr>
        <w:t>population estimates by lower super output area</w:t>
      </w:r>
      <w:r w:rsidR="77CAA6DC" w:rsidRPr="41683809">
        <w:rPr>
          <w:rFonts w:eastAsia="Ubuntu Light" w:cs="Ubuntu Light"/>
          <w:szCs w:val="24"/>
        </w:rPr>
        <w:t xml:space="preserve"> (LSOA)</w:t>
      </w:r>
      <w:r w:rsidR="10C20F9F" w:rsidRPr="41683809">
        <w:rPr>
          <w:rFonts w:eastAsia="Ubuntu Light" w:cs="Ubuntu Light"/>
          <w:szCs w:val="24"/>
        </w:rPr>
        <w:t xml:space="preserve"> </w:t>
      </w:r>
      <w:r w:rsidR="3EAB9CA4" w:rsidRPr="41683809">
        <w:rPr>
          <w:rFonts w:eastAsia="Ubuntu Light" w:cs="Ubuntu Light"/>
          <w:szCs w:val="24"/>
        </w:rPr>
        <w:t>to align with Census 2021</w:t>
      </w:r>
      <w:r w:rsidR="6B9AE183" w:rsidRPr="41683809">
        <w:rPr>
          <w:rFonts w:eastAsia="Ubuntu Light" w:cs="Ubuntu Light"/>
          <w:szCs w:val="24"/>
        </w:rPr>
        <w:t xml:space="preserve"> being made available</w:t>
      </w:r>
      <w:r w:rsidR="3EAB9CA4" w:rsidRPr="41683809">
        <w:rPr>
          <w:rFonts w:eastAsia="Ubuntu Light" w:cs="Ubuntu Light"/>
          <w:szCs w:val="24"/>
        </w:rPr>
        <w:t>.</w:t>
      </w:r>
      <w:r w:rsidRPr="41683809">
        <w:rPr>
          <w:rFonts w:eastAsia="Ubuntu Light" w:cs="Ubuntu Light"/>
          <w:szCs w:val="24"/>
        </w:rPr>
        <w:t xml:space="preserve"> Analysis of the period 2002-2010 was </w:t>
      </w:r>
      <w:r w:rsidR="346ADD19" w:rsidRPr="41683809">
        <w:rPr>
          <w:rFonts w:eastAsia="Ubuntu Light" w:cs="Ubuntu Light"/>
          <w:szCs w:val="24"/>
        </w:rPr>
        <w:t xml:space="preserve">published on the </w:t>
      </w:r>
      <w:proofErr w:type="gramStart"/>
      <w:r w:rsidR="346ADD19" w:rsidRPr="41683809">
        <w:rPr>
          <w:rFonts w:eastAsia="Ubuntu Light" w:cs="Ubuntu Light"/>
          <w:szCs w:val="24"/>
        </w:rPr>
        <w:t>26th</w:t>
      </w:r>
      <w:proofErr w:type="gramEnd"/>
      <w:r w:rsidR="346ADD19" w:rsidRPr="41683809">
        <w:rPr>
          <w:rFonts w:eastAsia="Ubuntu Light" w:cs="Ubuntu Light"/>
          <w:szCs w:val="24"/>
        </w:rPr>
        <w:t xml:space="preserve"> September 2024</w:t>
      </w:r>
      <w:r w:rsidR="612A7F5B" w:rsidRPr="41683809">
        <w:rPr>
          <w:rFonts w:eastAsia="Ubuntu Light" w:cs="Ubuntu Light"/>
          <w:szCs w:val="24"/>
        </w:rPr>
        <w:t xml:space="preserve"> </w:t>
      </w:r>
      <w:r w:rsidR="11F2221A" w:rsidRPr="41683809">
        <w:rPr>
          <w:rFonts w:eastAsia="Ubuntu Light" w:cs="Ubuntu Light"/>
          <w:szCs w:val="24"/>
        </w:rPr>
        <w:t>and uses population estimates by LSOA to align with Census 2011.</w:t>
      </w:r>
    </w:p>
    <w:p w14:paraId="545E89CA" w14:textId="77777777" w:rsidR="007436BC" w:rsidRDefault="007436BC" w:rsidP="7CC9C164">
      <w:pPr>
        <w:jc w:val="both"/>
        <w:rPr>
          <w:color w:val="FF0000"/>
        </w:rPr>
      </w:pPr>
    </w:p>
    <w:p w14:paraId="5F5AE108" w14:textId="7E952E4F" w:rsidR="00351CAC" w:rsidRPr="00F96F12" w:rsidRDefault="00351CAC" w:rsidP="00E43A91">
      <w:pPr>
        <w:pStyle w:val="Heading2"/>
      </w:pPr>
      <w:bookmarkStart w:id="14" w:name="_Toc2041918993"/>
      <w:r>
        <w:t>2.2 Mortality</w:t>
      </w:r>
      <w:r w:rsidR="00207020">
        <w:t xml:space="preserve"> outputs</w:t>
      </w:r>
      <w:bookmarkEnd w:id="14"/>
    </w:p>
    <w:p w14:paraId="3312EE18" w14:textId="77777777" w:rsidR="00207020" w:rsidRDefault="00207020" w:rsidP="00317A89">
      <w:pPr>
        <w:jc w:val="both"/>
      </w:pPr>
      <w:r>
        <w:t xml:space="preserve">A mortality case of cancer is a death where cancer is recorded as the underlying cause. </w:t>
      </w:r>
    </w:p>
    <w:p w14:paraId="59DB979E" w14:textId="3455C180" w:rsidR="2E4FF3CD" w:rsidRPr="00A955EF" w:rsidRDefault="2E4FF3CD" w:rsidP="69514C2B">
      <w:pPr>
        <w:spacing w:line="257" w:lineRule="auto"/>
        <w:jc w:val="both"/>
      </w:pPr>
      <w:r w:rsidRPr="00D2393C">
        <w:rPr>
          <w:rFonts w:eastAsia="Ubuntu Light" w:cs="Ubuntu Light"/>
          <w:szCs w:val="24"/>
        </w:rPr>
        <w:t>A weekly dataset containing deaths registered in Wales residents are supplied from the Office for National Statistics (ONS) for the mortality analysis, where Digital Health &amp; Care Wales (DHCW) provide a weekly snapshot of the data. This was used for the current mortality analysis as opposed to the usual annual dataset as postcodes were needed to link to the latest population figures.</w:t>
      </w:r>
    </w:p>
    <w:p w14:paraId="4884B794" w14:textId="35479A2F" w:rsidR="00004822" w:rsidRDefault="00351CAC" w:rsidP="00317A89">
      <w:pPr>
        <w:jc w:val="both"/>
      </w:pPr>
      <w:r>
        <w:t>This publication reports on deaths registered between 2002 and 202</w:t>
      </w:r>
      <w:r w:rsidR="35447DF7">
        <w:t>4</w:t>
      </w:r>
      <w:r w:rsidR="00004822">
        <w:t xml:space="preserve"> with outputs presented by single and three-year rolling periods for men, </w:t>
      </w:r>
      <w:r w:rsidR="00E43A91">
        <w:t>women,</w:t>
      </w:r>
      <w:r w:rsidR="00004822">
        <w:t xml:space="preserve"> and persons for:</w:t>
      </w:r>
    </w:p>
    <w:p w14:paraId="543C448E" w14:textId="77777777" w:rsidR="00004822" w:rsidRDefault="00004822" w:rsidP="00317A89">
      <w:pPr>
        <w:pStyle w:val="ListParagraph"/>
        <w:numPr>
          <w:ilvl w:val="0"/>
          <w:numId w:val="7"/>
        </w:numPr>
        <w:jc w:val="both"/>
      </w:pPr>
      <w:r>
        <w:t>Wales</w:t>
      </w:r>
    </w:p>
    <w:p w14:paraId="0C433333" w14:textId="77777777" w:rsidR="00004822" w:rsidRDefault="00004822" w:rsidP="00317A89">
      <w:pPr>
        <w:pStyle w:val="ListParagraph"/>
        <w:numPr>
          <w:ilvl w:val="0"/>
          <w:numId w:val="7"/>
        </w:numPr>
        <w:jc w:val="both"/>
      </w:pPr>
      <w:r>
        <w:t>Health Boards</w:t>
      </w:r>
    </w:p>
    <w:p w14:paraId="17DE8248" w14:textId="77777777" w:rsidR="00004822" w:rsidRDefault="00004822" w:rsidP="00317A89">
      <w:pPr>
        <w:pStyle w:val="ListParagraph"/>
        <w:numPr>
          <w:ilvl w:val="0"/>
          <w:numId w:val="7"/>
        </w:numPr>
        <w:jc w:val="both"/>
      </w:pPr>
      <w:r>
        <w:t>Local Authorities</w:t>
      </w:r>
    </w:p>
    <w:p w14:paraId="7222E56D" w14:textId="18D9E3AE" w:rsidR="00004822" w:rsidRDefault="00004822" w:rsidP="41683809">
      <w:pPr>
        <w:pStyle w:val="ListParagraph"/>
        <w:numPr>
          <w:ilvl w:val="0"/>
          <w:numId w:val="7"/>
        </w:numPr>
        <w:jc w:val="both"/>
      </w:pPr>
      <w:r>
        <w:t>Area deprivatio</w:t>
      </w:r>
      <w:r w:rsidRPr="41683809">
        <w:t xml:space="preserve">n fifths </w:t>
      </w:r>
      <w:r w:rsidR="4E650032" w:rsidRPr="41683809">
        <w:t>for Wales</w:t>
      </w:r>
    </w:p>
    <w:p w14:paraId="432759C0" w14:textId="4345037E" w:rsidR="00351CAC" w:rsidRDefault="362A01BA" w:rsidP="00317A89">
      <w:pPr>
        <w:jc w:val="both"/>
      </w:pPr>
      <w:r>
        <w:t xml:space="preserve">Counts, crude </w:t>
      </w:r>
      <w:r w:rsidR="10C486A6">
        <w:t>rates,</w:t>
      </w:r>
      <w:r>
        <w:t xml:space="preserve"> and </w:t>
      </w:r>
      <w:r w:rsidR="1E64700E">
        <w:t>EASRs</w:t>
      </w:r>
      <w:r>
        <w:t xml:space="preserve"> are presented for each of the above breakdowns for a</w:t>
      </w:r>
      <w:r w:rsidR="00AA46CD">
        <w:t>ll cancers</w:t>
      </w:r>
      <w:r>
        <w:t xml:space="preserve"> excluding </w:t>
      </w:r>
      <w:r w:rsidR="1112D6AF">
        <w:t>NMSC,</w:t>
      </w:r>
      <w:r>
        <w:t xml:space="preserve"> along with </w:t>
      </w:r>
      <w:r w:rsidR="04515A8F">
        <w:t>47</w:t>
      </w:r>
      <w:r>
        <w:t xml:space="preserve"> other cancer sites. A list of the cancer sites, with accompanying ICD-10 codes, used in this publication can be found in </w:t>
      </w:r>
      <w:hyperlink w:anchor="_10.1_Cancer_type" w:history="1">
        <w:r w:rsidRPr="4D813701">
          <w:rPr>
            <w:rStyle w:val="Hyperlink"/>
          </w:rPr>
          <w:t>Appendix A</w:t>
        </w:r>
      </w:hyperlink>
      <w:r>
        <w:t>.</w:t>
      </w:r>
    </w:p>
    <w:p w14:paraId="3FE3D018" w14:textId="77777777" w:rsidR="00C43AAF" w:rsidRDefault="00C43AAF" w:rsidP="00317A89">
      <w:pPr>
        <w:jc w:val="both"/>
      </w:pPr>
    </w:p>
    <w:p w14:paraId="56A3BD70" w14:textId="66354A8D" w:rsidR="00351CAC" w:rsidRPr="00CE310E" w:rsidRDefault="00351CAC" w:rsidP="00E43A91">
      <w:pPr>
        <w:pStyle w:val="Heading2"/>
      </w:pPr>
      <w:bookmarkStart w:id="15" w:name="_Toc1732674400"/>
      <w:r>
        <w:lastRenderedPageBreak/>
        <w:t>2.3 Survival</w:t>
      </w:r>
      <w:r w:rsidR="00207020">
        <w:t xml:space="preserve"> outputs</w:t>
      </w:r>
      <w:bookmarkEnd w:id="15"/>
    </w:p>
    <w:p w14:paraId="542854C4" w14:textId="326AC9A4" w:rsidR="006753B1" w:rsidRDefault="0FAD6863" w:rsidP="006753B1">
      <w:pPr>
        <w:jc w:val="both"/>
      </w:pPr>
      <w:r>
        <w:t>Survival analysis includes malignant neoplasms (cancers as described by the WHO International Classification of Diseases: ICD-10 codes C00-C97 excluding C44) that were successfully mapped across from older versions of ICD-10, and a patient’s first malignant primary cancer per cancer type (for example, if a patient is diagnosed with a primary malignant breast cancer in 2010 and then a primary malignant lung cancer in 2015, they will be included in the breast survival cohort and the lung survival cohort (but only for their first cancer (i.e. the breast cancer) in the all cancers survival cohort).</w:t>
      </w:r>
    </w:p>
    <w:p w14:paraId="2A48C8CF" w14:textId="548359C1" w:rsidR="006753B1" w:rsidRDefault="0FAD6863" w:rsidP="006753B1">
      <w:pPr>
        <w:jc w:val="both"/>
      </w:pPr>
      <w:bookmarkStart w:id="16" w:name="_Hlk151122137"/>
      <w:r>
        <w:t>One-year, five-year and ten-year net and observed survival (%) (along with 95% confidence intervals (CIs)) are presented by one-year and five-year</w:t>
      </w:r>
      <w:r w:rsidRPr="6D01FCDB">
        <w:rPr>
          <w:color w:val="FF0000"/>
        </w:rPr>
        <w:t xml:space="preserve"> </w:t>
      </w:r>
      <w:r>
        <w:t>rolling periods for men, women and persons aged 15-99 (20-99 for bone cancer patients), diagnosed from 2002 to 202</w:t>
      </w:r>
      <w:r w:rsidR="6C57F36C" w:rsidRPr="6D01FCDB">
        <w:t>1</w:t>
      </w:r>
      <w:r w:rsidRPr="6D01FCDB">
        <w:rPr>
          <w:color w:val="FF0000"/>
        </w:rPr>
        <w:t xml:space="preserve"> </w:t>
      </w:r>
      <w:r>
        <w:t xml:space="preserve">for: </w:t>
      </w:r>
    </w:p>
    <w:bookmarkEnd w:id="16"/>
    <w:p w14:paraId="454C6C5D" w14:textId="77777777" w:rsidR="006753B1" w:rsidRDefault="006753B1" w:rsidP="006753B1">
      <w:pPr>
        <w:pStyle w:val="ListParagraph"/>
        <w:numPr>
          <w:ilvl w:val="0"/>
          <w:numId w:val="5"/>
        </w:numPr>
        <w:jc w:val="both"/>
      </w:pPr>
      <w:r>
        <w:t>Wales</w:t>
      </w:r>
    </w:p>
    <w:p w14:paraId="1FE60A59" w14:textId="77777777" w:rsidR="006753B1" w:rsidRDefault="006753B1" w:rsidP="006753B1">
      <w:pPr>
        <w:pStyle w:val="ListParagraph"/>
        <w:numPr>
          <w:ilvl w:val="0"/>
          <w:numId w:val="5"/>
        </w:numPr>
        <w:jc w:val="both"/>
      </w:pPr>
      <w:r>
        <w:t>Health Boards</w:t>
      </w:r>
    </w:p>
    <w:p w14:paraId="5727B4A6" w14:textId="77777777" w:rsidR="006753B1" w:rsidRPr="00E43A91" w:rsidRDefault="006753B1" w:rsidP="006753B1">
      <w:pPr>
        <w:pStyle w:val="ListParagraph"/>
        <w:numPr>
          <w:ilvl w:val="0"/>
          <w:numId w:val="5"/>
        </w:numPr>
        <w:jc w:val="both"/>
      </w:pPr>
      <w:r w:rsidRPr="00E43A91">
        <w:t>Deprivation</w:t>
      </w:r>
    </w:p>
    <w:p w14:paraId="294A269D" w14:textId="77777777" w:rsidR="006753B1" w:rsidRDefault="006753B1" w:rsidP="006753B1">
      <w:pPr>
        <w:pStyle w:val="ListParagraph"/>
        <w:numPr>
          <w:ilvl w:val="0"/>
          <w:numId w:val="5"/>
        </w:numPr>
        <w:jc w:val="both"/>
      </w:pPr>
      <w:r>
        <w:t>Stage (from 2011 onwards) *</w:t>
      </w:r>
    </w:p>
    <w:p w14:paraId="1CB81480" w14:textId="0DA9B9CC" w:rsidR="006753B1" w:rsidRDefault="006753B1" w:rsidP="006753B1">
      <w:pPr>
        <w:jc w:val="both"/>
      </w:pPr>
      <w:r>
        <w:t xml:space="preserve">*Staging analysis for leukaemia, myeloma and brain &amp; central nervous system cancers is not available. Hodgkin lymphoma and non-Hodgkin </w:t>
      </w:r>
      <w:r w:rsidR="009D22B9">
        <w:t>lymphoma are</w:t>
      </w:r>
      <w:r>
        <w:t xml:space="preserve"> available from 2016 due to limited information prior to 2016.</w:t>
      </w:r>
    </w:p>
    <w:p w14:paraId="5CF74691" w14:textId="39C6DC73" w:rsidR="006753B1" w:rsidRDefault="0FAD6863" w:rsidP="0568E530">
      <w:pPr>
        <w:jc w:val="both"/>
      </w:pPr>
      <w:r>
        <w:t>Results are shown for 4</w:t>
      </w:r>
      <w:r w:rsidR="35426BE7">
        <w:t>9</w:t>
      </w:r>
      <w:r>
        <w:t xml:space="preserve"> cancer sites where possible. (Please note that bladder cancer is only</w:t>
      </w:r>
      <w:r w:rsidRPr="41683809">
        <w:t xml:space="preserve"> provided for 2007 onwards due to a coding change in that year</w:t>
      </w:r>
      <w:r w:rsidR="1B01E1BB" w:rsidRPr="41683809">
        <w:t xml:space="preserve">, and </w:t>
      </w:r>
      <w:r w:rsidR="3E6F0B2E" w:rsidRPr="41683809">
        <w:t>that transformations are no longer registered as a separate primary malignant neoplasm from 2018 onwards</w:t>
      </w:r>
      <w:r w:rsidRPr="41683809">
        <w:t>). Th</w:t>
      </w:r>
      <w:r>
        <w:t>e number of cancer patients at risk, the number of deaths and the number of cases censored for each survival estimate can also be found in the data downloads.</w:t>
      </w:r>
    </w:p>
    <w:p w14:paraId="155B213D" w14:textId="5C56BC3C" w:rsidR="006753B1" w:rsidRPr="00277E6F" w:rsidRDefault="006753B1" w:rsidP="006753B1">
      <w:pPr>
        <w:jc w:val="both"/>
        <w:rPr>
          <w:color w:val="FF0000"/>
        </w:rPr>
      </w:pPr>
      <w:bookmarkStart w:id="17" w:name="_Hlk151122598"/>
      <w:r w:rsidRPr="00E43A91">
        <w:t xml:space="preserve">The publicly available </w:t>
      </w:r>
      <w:proofErr w:type="spellStart"/>
      <w:r w:rsidRPr="00E43A91">
        <w:t>sts</w:t>
      </w:r>
      <w:proofErr w:type="spellEnd"/>
      <w:r w:rsidRPr="00E43A91">
        <w:t xml:space="preserve"> and </w:t>
      </w:r>
      <w:proofErr w:type="spellStart"/>
      <w:r w:rsidRPr="00E43A91">
        <w:t>stns</w:t>
      </w:r>
      <w:proofErr w:type="spellEnd"/>
      <w:r w:rsidRPr="00E43A91">
        <w:t xml:space="preserve"> algorithms (Clerc-</w:t>
      </w:r>
      <w:proofErr w:type="spellStart"/>
      <w:r w:rsidRPr="00E43A91">
        <w:t>Urmès</w:t>
      </w:r>
      <w:proofErr w:type="spellEnd"/>
      <w:r w:rsidRPr="00E43A91">
        <w:t xml:space="preserve"> I et al, 2014)</w:t>
      </w:r>
      <w:r w:rsidRPr="00E43A91">
        <w:rPr>
          <w:rStyle w:val="FootnoteReference"/>
          <w:rFonts w:ascii="Verdana" w:hAnsi="Verdana"/>
          <w:sz w:val="20"/>
          <w:szCs w:val="20"/>
        </w:rPr>
        <w:footnoteReference w:id="2"/>
      </w:r>
      <w:r w:rsidRPr="00E43A91">
        <w:t xml:space="preserve"> in STATA 14.2 software were used to derive the statistics. Observed survival was estimated using the Kaplan-Meier</w:t>
      </w:r>
      <w:r w:rsidR="00677143">
        <w:t xml:space="preserve"> (1958)</w:t>
      </w:r>
      <w:r w:rsidR="00EE1A87" w:rsidRPr="00E43A91">
        <w:rPr>
          <w:rStyle w:val="FootnoteReference"/>
        </w:rPr>
        <w:footnoteReference w:id="3"/>
      </w:r>
      <w:r w:rsidRPr="00E43A91">
        <w:t xml:space="preserve"> estimator, and net survival was estimated using the Pohar-Perme (2012)</w:t>
      </w:r>
      <w:r w:rsidRPr="00E43A91">
        <w:rPr>
          <w:rStyle w:val="FootnoteReference"/>
          <w:rFonts w:ascii="Verdana" w:hAnsi="Verdana"/>
          <w:sz w:val="20"/>
          <w:szCs w:val="20"/>
        </w:rPr>
        <w:footnoteReference w:id="4"/>
      </w:r>
      <w:r w:rsidRPr="00E43A91">
        <w:t xml:space="preserve"> estimator with the complete approach applied, both capped at 100%. Deprivation life</w:t>
      </w:r>
      <w:r w:rsidR="007C27DE" w:rsidRPr="00E43A91">
        <w:t xml:space="preserve"> </w:t>
      </w:r>
      <w:r w:rsidRPr="00E43A91">
        <w:t>tables for Wales were created in-house to account for background mortality as an approximation to the non-cancer related death rates among cancer patients for net survival</w:t>
      </w:r>
      <w:r w:rsidR="00E43A91">
        <w:t xml:space="preserve"> (see </w:t>
      </w:r>
      <w:hyperlink w:anchor="_4.2_Life_tables">
        <w:r w:rsidRPr="36DACA0F">
          <w:rPr>
            <w:rStyle w:val="Hyperlink"/>
          </w:rPr>
          <w:t>section 4.2</w:t>
        </w:r>
      </w:hyperlink>
      <w:r w:rsidR="00E43A91">
        <w:t>)</w:t>
      </w:r>
      <w:r w:rsidRPr="00E43A91">
        <w:t xml:space="preserve">. </w:t>
      </w:r>
      <w:r w:rsidRPr="00277E6F">
        <w:t xml:space="preserve">95% CIs for net survival were estimated using a </w:t>
      </w:r>
      <w:r w:rsidR="002F0D38">
        <w:t>normal</w:t>
      </w:r>
      <w:r w:rsidRPr="00277E6F">
        <w:t xml:space="preserve"> approximation on the survival scale (</w:t>
      </w:r>
      <w:r w:rsidR="00E43A91" w:rsidRPr="00277E6F">
        <w:t>i.e.,</w:t>
      </w:r>
      <w:r w:rsidRPr="00277E6F">
        <w:t xml:space="preserve"> the plain method), and were capped between 0 and 100. </w:t>
      </w:r>
    </w:p>
    <w:bookmarkEnd w:id="17"/>
    <w:p w14:paraId="6416DE99" w14:textId="77777777" w:rsidR="006753B1" w:rsidRDefault="006753B1" w:rsidP="006753B1">
      <w:pPr>
        <w:jc w:val="both"/>
      </w:pPr>
      <w:r>
        <w:lastRenderedPageBreak/>
        <w:t xml:space="preserve">The analysis adopted the following post-estimation robustness criteria for each combination of stratifying factors: </w:t>
      </w:r>
    </w:p>
    <w:p w14:paraId="5C6691AF" w14:textId="2B927AB3" w:rsidR="006753B1" w:rsidRDefault="0FAD6863" w:rsidP="0E2C158B">
      <w:pPr>
        <w:pStyle w:val="ListParagraph"/>
        <w:numPr>
          <w:ilvl w:val="0"/>
          <w:numId w:val="6"/>
        </w:numPr>
        <w:jc w:val="both"/>
        <w:rPr>
          <w:szCs w:val="24"/>
        </w:rPr>
      </w:pPr>
      <w:r>
        <w:t>A minimum of 10 patients should be alive at the estimation point being reported (</w:t>
      </w:r>
      <w:r w:rsidR="70AB1A90">
        <w:t>i.e.,</w:t>
      </w:r>
      <w:r>
        <w:t xml:space="preserve"> 10 or more alive one year afte</w:t>
      </w:r>
      <w:r w:rsidRPr="6D01FCDB">
        <w:t>r diagnosis for one-year survival, 10 or more alive five year after diagnosis for five-year survival</w:t>
      </w:r>
      <w:r w:rsidR="65FFC1EB" w:rsidRPr="6D01FCDB">
        <w:t xml:space="preserve">, 10 or more alive ten year after diagnosis for </w:t>
      </w:r>
      <w:r w:rsidR="5522F1F0" w:rsidRPr="6D01FCDB">
        <w:t>ten</w:t>
      </w:r>
      <w:r w:rsidR="65FFC1EB" w:rsidRPr="6D01FCDB">
        <w:t>-year survival</w:t>
      </w:r>
      <w:r w:rsidRPr="6D01FCDB">
        <w:t>)</w:t>
      </w:r>
    </w:p>
    <w:p w14:paraId="65EFDB4F" w14:textId="09D255DF" w:rsidR="006753B1" w:rsidRDefault="0FAD6863" w:rsidP="0E2C158B">
      <w:pPr>
        <w:pStyle w:val="ListParagraph"/>
        <w:numPr>
          <w:ilvl w:val="0"/>
          <w:numId w:val="6"/>
        </w:numPr>
        <w:jc w:val="both"/>
        <w:rPr>
          <w:szCs w:val="24"/>
        </w:rPr>
      </w:pPr>
      <w:r>
        <w:t>A minimum of two deaths should be observed one year either side of the estimation point (</w:t>
      </w:r>
      <w:r w:rsidR="70AB1A90">
        <w:t>i.e.,</w:t>
      </w:r>
      <w:r>
        <w:t xml:space="preserve"> two or more deaths between zero and two years for one-year survival, two or more deaths between four and six years for five-year survival</w:t>
      </w:r>
      <w:r w:rsidR="2E515FB2">
        <w:t>,</w:t>
      </w:r>
      <w:r w:rsidR="2E515FB2" w:rsidRPr="6D01FCDB">
        <w:t xml:space="preserve"> two or more deaths between nine and 11 years for </w:t>
      </w:r>
      <w:r w:rsidR="299954E3" w:rsidRPr="6D01FCDB">
        <w:t>ten</w:t>
      </w:r>
      <w:r w:rsidR="2E515FB2" w:rsidRPr="6D01FCDB">
        <w:t>-year survival</w:t>
      </w:r>
      <w:r w:rsidRPr="6D01FCDB">
        <w:t>)</w:t>
      </w:r>
    </w:p>
    <w:p w14:paraId="3DBD65C1" w14:textId="77777777" w:rsidR="006753B1" w:rsidRDefault="006753B1" w:rsidP="006753B1">
      <w:pPr>
        <w:pStyle w:val="ListParagraph"/>
        <w:numPr>
          <w:ilvl w:val="0"/>
          <w:numId w:val="6"/>
        </w:numPr>
        <w:jc w:val="both"/>
      </w:pPr>
      <w:r>
        <w:t>The standard error at the estimation point should be 20% or less</w:t>
      </w:r>
    </w:p>
    <w:p w14:paraId="25F560DA" w14:textId="40CAD206" w:rsidR="006753B1" w:rsidRDefault="006753B1" w:rsidP="006753B1">
      <w:pPr>
        <w:pStyle w:val="ListParagraph"/>
        <w:numPr>
          <w:ilvl w:val="0"/>
          <w:numId w:val="6"/>
        </w:numPr>
        <w:jc w:val="both"/>
      </w:pPr>
      <w:r>
        <w:t>The survival estimates should decrease over time (</w:t>
      </w:r>
      <w:r w:rsidR="00E43A91">
        <w:t>i.e.</w:t>
      </w:r>
      <w:r>
        <w:t xml:space="preserve"> five-year survival should be less than one-year survival </w:t>
      </w:r>
      <w:r w:rsidRPr="00E43A91">
        <w:t>and ten-year less than five-year), otherwise censor five-year/ten-year survival figures</w:t>
      </w:r>
    </w:p>
    <w:p w14:paraId="51914676" w14:textId="77777777" w:rsidR="006753B1" w:rsidRPr="00E43A91" w:rsidRDefault="006753B1" w:rsidP="006753B1">
      <w:pPr>
        <w:pStyle w:val="ListParagraph"/>
        <w:numPr>
          <w:ilvl w:val="0"/>
          <w:numId w:val="6"/>
        </w:numPr>
        <w:jc w:val="both"/>
      </w:pPr>
      <w:r w:rsidRPr="00E43A91">
        <w:t xml:space="preserve">One-year survival must be present and meet the criteria </w:t>
      </w:r>
      <w:proofErr w:type="gramStart"/>
      <w:r w:rsidRPr="00E43A91">
        <w:t>in order to</w:t>
      </w:r>
      <w:proofErr w:type="gramEnd"/>
      <w:r w:rsidRPr="00E43A91">
        <w:t xml:space="preserve"> show five-year survival; one-year and five-year must be present and meet the criteria in order to show ten-year survival</w:t>
      </w:r>
    </w:p>
    <w:p w14:paraId="4D4910B5" w14:textId="7BE0BC65" w:rsidR="006753B1" w:rsidRPr="00E43A91" w:rsidRDefault="0FAD6863" w:rsidP="006753B1">
      <w:pPr>
        <w:jc w:val="both"/>
      </w:pPr>
      <w:bookmarkStart w:id="18" w:name="_Hlk151122637"/>
      <w:r>
        <w:t xml:space="preserve">If the above criteria were not met, unstandardised net survival, observed survival and the number of cases, deaths and censored cases were censored for that </w:t>
      </w:r>
      <w:proofErr w:type="gramStart"/>
      <w:r>
        <w:t>particular cancer</w:t>
      </w:r>
      <w:proofErr w:type="gramEnd"/>
      <w:r>
        <w:t xml:space="preserve"> type, period, sex, age group, deprivation quintile/stage/geography level, and survival estimate point (one-year, five-year or ten-year)</w:t>
      </w:r>
      <w:r w:rsidR="5A5DFA7E">
        <w:t>.</w:t>
      </w:r>
    </w:p>
    <w:p w14:paraId="0712C28E" w14:textId="2A220E7E" w:rsidR="006753B1" w:rsidRDefault="006753B1" w:rsidP="006753B1">
      <w:pPr>
        <w:jc w:val="both"/>
      </w:pPr>
      <w:bookmarkStart w:id="19" w:name="_Hlk151122653"/>
      <w:bookmarkEnd w:id="18"/>
      <w:r w:rsidRPr="00E43A91">
        <w:t>One-year, five-year and ten-year age-standardised n</w:t>
      </w:r>
      <w:r>
        <w:t>et survival (along with 95% CIs) were also presented where possible for patients</w:t>
      </w:r>
      <w:r w:rsidR="001F27D4">
        <w:t xml:space="preserve"> diagnosed</w:t>
      </w:r>
      <w:r>
        <w:t xml:space="preserve"> aged 15-99 years by one-year and five-year rolling periods, by cancer type and sex at an all-Wales level, using a weighted mean of age-group estimates obtained from the International Cancer Survival Standards (ICSS; </w:t>
      </w:r>
      <w:proofErr w:type="spellStart"/>
      <w:r>
        <w:t>Corazziari</w:t>
      </w:r>
      <w:proofErr w:type="spellEnd"/>
      <w:r>
        <w:t xml:space="preserve"> et al., 2004)</w:t>
      </w:r>
      <w:r w:rsidRPr="00F3447F">
        <w:rPr>
          <w:rFonts w:ascii="Verdana" w:hAnsi="Verdana"/>
          <w:sz w:val="20"/>
          <w:szCs w:val="20"/>
        </w:rPr>
        <w:t xml:space="preserve"> </w:t>
      </w:r>
      <w:r>
        <w:rPr>
          <w:rStyle w:val="FootnoteReference"/>
          <w:rFonts w:ascii="Verdana" w:hAnsi="Verdana"/>
          <w:sz w:val="20"/>
          <w:szCs w:val="20"/>
        </w:rPr>
        <w:footnoteReference w:id="5"/>
      </w:r>
      <w:r>
        <w:t xml:space="preserve">, </w:t>
      </w:r>
      <w:hyperlink w:anchor="_11_Appendix_B">
        <w:r w:rsidRPr="36DACA0F">
          <w:rPr>
            <w:rStyle w:val="Hyperlink"/>
          </w:rPr>
          <w:t>Appendix B</w:t>
        </w:r>
      </w:hyperlink>
      <w:r>
        <w:t xml:space="preserve">. </w:t>
      </w:r>
    </w:p>
    <w:bookmarkEnd w:id="19"/>
    <w:p w14:paraId="75BE6A0B" w14:textId="713D9682" w:rsidR="006753B1" w:rsidRDefault="2635494F" w:rsidP="168A6A80">
      <w:pPr>
        <w:jc w:val="both"/>
        <w:rPr>
          <w:color w:val="FF0000"/>
        </w:rPr>
      </w:pPr>
      <w:r>
        <w:t xml:space="preserve">If the robustness criteria mentioned above for unstandardised net survival was not met for each age group, then the two lower age groups (15-44 and 45-54) were combined (15-54, </w:t>
      </w:r>
      <w:hyperlink w:anchor="_11_Appendix_B">
        <w:r w:rsidRPr="36DACA0F">
          <w:rPr>
            <w:rStyle w:val="Hyperlink"/>
          </w:rPr>
          <w:t>Appendix B</w:t>
        </w:r>
      </w:hyperlink>
      <w:r>
        <w:t xml:space="preserve">) and re-examined. This age specific survival figure was then used for each of the age groups (15-44 and 45-54). </w:t>
      </w:r>
      <w:r w:rsidR="4851E740">
        <w:t xml:space="preserve">Age-standardised net survival, </w:t>
      </w:r>
      <w:r>
        <w:t>observed survival</w:t>
      </w:r>
      <w:r w:rsidR="001561A0">
        <w:t>,</w:t>
      </w:r>
      <w:r>
        <w:t xml:space="preserve"> and the number of cases, deaths and censored cases were only provided if every age group met the criteria, and these age specific survival figures were also presented. </w:t>
      </w:r>
      <w:r w:rsidR="657C56BB">
        <w:t xml:space="preserve"> Due to small numbers in younger age groups, only </w:t>
      </w:r>
      <w:r w:rsidR="5B6BEE5B">
        <w:t xml:space="preserve">All </w:t>
      </w:r>
      <w:r w:rsidR="4630158F">
        <w:t>cancers</w:t>
      </w:r>
      <w:r w:rsidR="5B6BEE5B">
        <w:t xml:space="preserve"> excl. NMSC</w:t>
      </w:r>
      <w:r w:rsidR="1525A1AF">
        <w:t>, Prostate</w:t>
      </w:r>
      <w:r w:rsidR="5B6BEE5B">
        <w:t xml:space="preserve"> and </w:t>
      </w:r>
      <w:r w:rsidR="657C56BB">
        <w:t xml:space="preserve">Breast </w:t>
      </w:r>
      <w:r w:rsidR="02EDF5F6">
        <w:t>c</w:t>
      </w:r>
      <w:r w:rsidR="657C56BB">
        <w:t xml:space="preserve">ancer </w:t>
      </w:r>
      <w:r w:rsidR="216DBD4B">
        <w:t>are</w:t>
      </w:r>
      <w:r w:rsidR="657C56BB">
        <w:t xml:space="preserve"> shown as standard groupings, al</w:t>
      </w:r>
      <w:r w:rsidR="2ECE6488">
        <w:t>l other cancer</w:t>
      </w:r>
      <w:r w:rsidR="02024B2E">
        <w:t xml:space="preserve"> sites are combined groupings.</w:t>
      </w:r>
    </w:p>
    <w:p w14:paraId="24F72B7F" w14:textId="3AD5C259" w:rsidR="006753B1" w:rsidRDefault="006753B1" w:rsidP="006753B1">
      <w:pPr>
        <w:jc w:val="both"/>
      </w:pPr>
      <w:r>
        <w:t xml:space="preserve">A list of the cancer types along with respective ICD-10 codes used in this publication can be found in </w:t>
      </w:r>
      <w:hyperlink w:anchor="_10_Appendix_A">
        <w:r w:rsidRPr="36DACA0F">
          <w:rPr>
            <w:rStyle w:val="Hyperlink"/>
          </w:rPr>
          <w:t>Appendix A.</w:t>
        </w:r>
      </w:hyperlink>
    </w:p>
    <w:p w14:paraId="102395A7" w14:textId="77777777" w:rsidR="00F74728" w:rsidRDefault="00F74728" w:rsidP="00317A89">
      <w:pPr>
        <w:jc w:val="both"/>
      </w:pPr>
    </w:p>
    <w:p w14:paraId="19385145" w14:textId="6B5DE16D" w:rsidR="00026B97" w:rsidRDefault="00026B97" w:rsidP="00E43A91">
      <w:pPr>
        <w:pStyle w:val="Heading2"/>
      </w:pPr>
      <w:bookmarkStart w:id="20" w:name="_2.4_Data_snapshots"/>
      <w:bookmarkStart w:id="21" w:name="_Toc205656079"/>
      <w:bookmarkEnd w:id="20"/>
      <w:r>
        <w:t>2.</w:t>
      </w:r>
      <w:r w:rsidR="00C31D9E">
        <w:t xml:space="preserve">4 </w:t>
      </w:r>
      <w:r>
        <w:t xml:space="preserve">Cancer pathology </w:t>
      </w:r>
      <w:r w:rsidR="00597BF9">
        <w:t>outputs</w:t>
      </w:r>
      <w:bookmarkEnd w:id="21"/>
    </w:p>
    <w:p w14:paraId="0677E565" w14:textId="28D53AFD" w:rsidR="00D66260" w:rsidRDefault="61EF29C1" w:rsidP="00103FD8">
      <w:pPr>
        <w:jc w:val="both"/>
      </w:pPr>
      <w:r>
        <w:t xml:space="preserve">This </w:t>
      </w:r>
      <w:r w:rsidR="12E676ED">
        <w:t xml:space="preserve">experimental </w:t>
      </w:r>
      <w:r>
        <w:t xml:space="preserve">analysis examines the monthly count of individual patients with a pathology sample indicating a primary </w:t>
      </w:r>
      <w:r w:rsidR="67AE0B81">
        <w:t>malignant tumour</w:t>
      </w:r>
      <w:r>
        <w:t xml:space="preserve"> (excluding NMSC)</w:t>
      </w:r>
      <w:r w:rsidR="51962013">
        <w:t xml:space="preserve"> in Wales</w:t>
      </w:r>
      <w:r>
        <w:t xml:space="preserve"> for the cancer sites: A</w:t>
      </w:r>
      <w:r w:rsidR="00AA46CD">
        <w:t>ll cancers</w:t>
      </w:r>
      <w:r>
        <w:t xml:space="preserve">, </w:t>
      </w:r>
      <w:r w:rsidR="26767335">
        <w:t>p</w:t>
      </w:r>
      <w:r>
        <w:t xml:space="preserve">rostate, </w:t>
      </w:r>
      <w:r w:rsidR="4285F396">
        <w:t>b</w:t>
      </w:r>
      <w:r>
        <w:t xml:space="preserve">reast, </w:t>
      </w:r>
      <w:r w:rsidR="478EA022">
        <w:t>l</w:t>
      </w:r>
      <w:r>
        <w:t>ung</w:t>
      </w:r>
      <w:r w:rsidR="51962013">
        <w:t xml:space="preserve">, </w:t>
      </w:r>
      <w:r w:rsidR="24B65521">
        <w:t>c</w:t>
      </w:r>
      <w:r>
        <w:t>olorectal</w:t>
      </w:r>
      <w:r w:rsidR="51962013">
        <w:t xml:space="preserve"> and </w:t>
      </w:r>
      <w:r w:rsidR="1F99CD0C">
        <w:t>o</w:t>
      </w:r>
      <w:r w:rsidR="51962013">
        <w:t>vary</w:t>
      </w:r>
      <w:r>
        <w:t xml:space="preserve">. </w:t>
      </w:r>
    </w:p>
    <w:p w14:paraId="7DA86B12" w14:textId="7FE67E00" w:rsidR="00597BF9" w:rsidRDefault="00597BF9" w:rsidP="00103FD8">
      <w:pPr>
        <w:jc w:val="both"/>
      </w:pPr>
      <w:r>
        <w:t xml:space="preserve">Examining monthly cancer pathology samples allows for </w:t>
      </w:r>
      <w:r w:rsidR="00D66260">
        <w:t xml:space="preserve">more timely </w:t>
      </w:r>
      <w:r w:rsidR="00027121">
        <w:t>estimates</w:t>
      </w:r>
      <w:r w:rsidR="00D66260">
        <w:t xml:space="preserve"> of cancer incidence in Wales. These new, experimental statistics provide</w:t>
      </w:r>
      <w:r w:rsidR="00816726">
        <w:t>d</w:t>
      </w:r>
      <w:r w:rsidR="00D66260">
        <w:t xml:space="preserve"> a rapid insight into the impact of the COVID-19 pandemic on pathology-confirmed cases of new cancers, how this impact differed between the cancer types analysed, and a better understanding of post-pandemic recovery of cancer diagnoses. </w:t>
      </w:r>
    </w:p>
    <w:p w14:paraId="2CAE999A" w14:textId="69CD7200" w:rsidR="00D66260" w:rsidRDefault="00D66260" w:rsidP="00103FD8">
      <w:pPr>
        <w:jc w:val="both"/>
      </w:pPr>
      <w:r>
        <w:t xml:space="preserve">Cancer registration remains the most authoritative source of data for cancer incidence. However, the time taken to process and validate data by expert cancer registration officers means there is routinely a delay of 18 months before publication (see </w:t>
      </w:r>
      <w:hyperlink w:anchor="_5_Timeliness_and">
        <w:r w:rsidR="00194531" w:rsidRPr="36DACA0F">
          <w:rPr>
            <w:rStyle w:val="Hyperlink"/>
          </w:rPr>
          <w:t>s</w:t>
        </w:r>
        <w:r w:rsidRPr="36DACA0F">
          <w:rPr>
            <w:rStyle w:val="Hyperlink"/>
          </w:rPr>
          <w:t>ection 5</w:t>
        </w:r>
      </w:hyperlink>
      <w:r>
        <w:t xml:space="preserve">). A large proportion of cancer diagnoses are registered using pathology databases, so counts of pathology samples can offer a </w:t>
      </w:r>
      <w:proofErr w:type="gramStart"/>
      <w:r>
        <w:t>more timely</w:t>
      </w:r>
      <w:proofErr w:type="gramEnd"/>
      <w:r>
        <w:t xml:space="preserve"> estimate of cancer incidence. </w:t>
      </w:r>
    </w:p>
    <w:p w14:paraId="0A968F7A" w14:textId="7820C166" w:rsidR="00DA0270" w:rsidRDefault="00DA0270" w:rsidP="00103FD8">
      <w:pPr>
        <w:jc w:val="both"/>
      </w:pPr>
      <w:r>
        <w:t xml:space="preserve">It is important to note that not all new cases of cancer are verified through pathology and relying solely on pathology information can lead to an underestimation of true cancer incidence compared to cancer registration data. Furthermore, the various methods of cancer detection can be dependent on cancer type, so pathology data may offer more comparable estimates to registration data for certain cancer types compared to other </w:t>
      </w:r>
      <w:r w:rsidR="007022DD">
        <w:t>sites</w:t>
      </w:r>
      <w:r>
        <w:t xml:space="preserve">. </w:t>
      </w:r>
      <w:r w:rsidR="00F74728">
        <w:t>Therefore,</w:t>
      </w:r>
      <w:r w:rsidR="007022DD">
        <w:t xml:space="preserve"> </w:t>
      </w:r>
      <w:r>
        <w:t xml:space="preserve">caution should be taken when interpreting pathology data. </w:t>
      </w:r>
    </w:p>
    <w:p w14:paraId="1BA86789" w14:textId="77777777" w:rsidR="00DC0C51" w:rsidRDefault="00DC0C51" w:rsidP="00103FD8">
      <w:pPr>
        <w:jc w:val="both"/>
      </w:pPr>
    </w:p>
    <w:p w14:paraId="1E654538" w14:textId="2823D6A5" w:rsidR="00C31D9E" w:rsidRDefault="00C31D9E" w:rsidP="00C31D9E">
      <w:pPr>
        <w:pStyle w:val="Heading3"/>
      </w:pPr>
      <w:bookmarkStart w:id="22" w:name="_Toc1114994322"/>
      <w:r>
        <w:t>2.4.1 Data sources</w:t>
      </w:r>
      <w:bookmarkEnd w:id="22"/>
    </w:p>
    <w:p w14:paraId="01EE31CA" w14:textId="1990E12E" w:rsidR="00C31D9E" w:rsidRDefault="00C31D9E" w:rsidP="00173F6B">
      <w:pPr>
        <w:jc w:val="both"/>
      </w:pPr>
      <w:r>
        <w:t>Public Health Wales receives pathology data from the sources listed below:</w:t>
      </w:r>
    </w:p>
    <w:p w14:paraId="6C64BD0D" w14:textId="7803A93B" w:rsidR="00C31D9E" w:rsidRDefault="00C31D9E" w:rsidP="00173F6B">
      <w:pPr>
        <w:pStyle w:val="ListParagraph"/>
        <w:numPr>
          <w:ilvl w:val="0"/>
          <w:numId w:val="23"/>
        </w:numPr>
        <w:jc w:val="both"/>
      </w:pPr>
      <w:r>
        <w:t xml:space="preserve">Welsh Laboratory Information Management System (WLIMS), hosted by Digital Health and Care Wales (DHCW): </w:t>
      </w:r>
      <w:r w:rsidRPr="00D2393C">
        <w:t>For all health boards</w:t>
      </w:r>
    </w:p>
    <w:p w14:paraId="24948F9C" w14:textId="6316A3E3" w:rsidR="00C31D9E" w:rsidRDefault="00C31D9E" w:rsidP="00173F6B">
      <w:pPr>
        <w:pStyle w:val="ListParagraph"/>
        <w:numPr>
          <w:ilvl w:val="0"/>
          <w:numId w:val="23"/>
        </w:numPr>
        <w:jc w:val="both"/>
      </w:pPr>
      <w:r>
        <w:t>Telepath database: For Cardiff and Vale UHB</w:t>
      </w:r>
    </w:p>
    <w:p w14:paraId="421E4272" w14:textId="77777777" w:rsidR="001A471F" w:rsidRPr="00C31D9E" w:rsidRDefault="001A471F" w:rsidP="001A471F">
      <w:pPr>
        <w:jc w:val="both"/>
      </w:pPr>
    </w:p>
    <w:p w14:paraId="20072BE6" w14:textId="6317966E" w:rsidR="007E5409" w:rsidRDefault="00AE3119" w:rsidP="00AE3119">
      <w:pPr>
        <w:pStyle w:val="Heading3"/>
      </w:pPr>
      <w:bookmarkStart w:id="23" w:name="_Toc481579694"/>
      <w:r>
        <w:t>2.4.2 Methodology</w:t>
      </w:r>
      <w:bookmarkEnd w:id="23"/>
    </w:p>
    <w:p w14:paraId="32FF780C" w14:textId="09A413A3" w:rsidR="00AE3119" w:rsidRDefault="009729DF" w:rsidP="00173F6B">
      <w:pPr>
        <w:jc w:val="both"/>
      </w:pPr>
      <w:r>
        <w:t xml:space="preserve">Table 1 </w:t>
      </w:r>
      <w:r w:rsidR="00AE3119">
        <w:t xml:space="preserve">summarises the steps used to process the pathology data, transforming from raw extracts to the final monthly datasets. This demonstrates the percentage of records that are filtered out </w:t>
      </w:r>
      <w:r w:rsidR="00027121">
        <w:t>at different stages of analysis</w:t>
      </w:r>
      <w:r w:rsidR="00173F6B">
        <w:t>. Note, the percentages shown will vary month by month</w:t>
      </w:r>
      <w:r w:rsidR="008A0831">
        <w:t xml:space="preserve"> as the dataset is updated</w:t>
      </w:r>
      <w:r w:rsidR="00173F6B">
        <w:t xml:space="preserve">. </w:t>
      </w:r>
      <w:r w:rsidR="00C07AB0">
        <w:t>Table 1</w:t>
      </w:r>
      <w:r w:rsidR="00173F6B">
        <w:t xml:space="preserve"> shows that a large proportion of records are filtered out due to factors such as duplicate records </w:t>
      </w:r>
      <w:r w:rsidR="008A0831">
        <w:t xml:space="preserve">i.e. </w:t>
      </w:r>
      <w:r w:rsidR="00173F6B">
        <w:t xml:space="preserve">where multiple samples are taken from one patient, and samples that do not match the required definition i.e. non-malignant or non-primary tumours. </w:t>
      </w:r>
    </w:p>
    <w:p w14:paraId="4B572304" w14:textId="7C9F7654" w:rsidR="006B2253" w:rsidRDefault="00E60AD8" w:rsidP="006B2253">
      <w:pPr>
        <w:jc w:val="both"/>
      </w:pPr>
      <w:r>
        <w:lastRenderedPageBreak/>
        <w:t>T</w:t>
      </w:r>
      <w:r w:rsidR="006B2253">
        <w:t>he</w:t>
      </w:r>
      <w:r>
        <w:t xml:space="preserve"> pathology</w:t>
      </w:r>
      <w:r w:rsidR="006B2253">
        <w:t xml:space="preserve"> data includes the following information about the tumour in coded form: </w:t>
      </w:r>
    </w:p>
    <w:p w14:paraId="68E72053" w14:textId="77777777" w:rsidR="006B2253" w:rsidRDefault="006B2253" w:rsidP="006B2253">
      <w:pPr>
        <w:pStyle w:val="ListParagraph"/>
        <w:numPr>
          <w:ilvl w:val="0"/>
          <w:numId w:val="24"/>
        </w:numPr>
        <w:jc w:val="both"/>
      </w:pPr>
      <w:r>
        <w:t>Topography: the site of origin</w:t>
      </w:r>
    </w:p>
    <w:p w14:paraId="05D0021F" w14:textId="77777777" w:rsidR="006B2253" w:rsidRDefault="006B2253" w:rsidP="006B2253">
      <w:pPr>
        <w:pStyle w:val="ListParagraph"/>
        <w:numPr>
          <w:ilvl w:val="0"/>
          <w:numId w:val="24"/>
        </w:numPr>
        <w:jc w:val="both"/>
      </w:pPr>
      <w:r>
        <w:t xml:space="preserve">Morphology: tumour behaviour </w:t>
      </w:r>
    </w:p>
    <w:p w14:paraId="17EE1D4E" w14:textId="77777777" w:rsidR="006B2253" w:rsidRPr="00AE3119" w:rsidRDefault="006B2253" w:rsidP="006B2253">
      <w:pPr>
        <w:jc w:val="both"/>
      </w:pPr>
      <w:r>
        <w:t xml:space="preserve">Lookup tables provided by colleagues in Northern Ireland and Scotland cancer registries were used to match topography and morphology codes to ICD-10 codes. Where a match could not be found for a pathology record, that record was excluded. </w:t>
      </w:r>
    </w:p>
    <w:p w14:paraId="4B3D1905" w14:textId="5B9CB4B9" w:rsidR="006B2253" w:rsidRDefault="006B2253" w:rsidP="00173F6B">
      <w:pPr>
        <w:jc w:val="both"/>
      </w:pPr>
      <w:r>
        <w:t xml:space="preserve">Individual patients may have more than one pathology sample. A cancer diagnosis may require more than one procedure to indicate cancer; for example, a positive biopsy of the breast and a separate positive dissection of lymph nodes may be the route to diagnose a breast cancer case. Individual patients are therefore only counted once in a two-year period within a specific cancer group (see </w:t>
      </w:r>
      <w:hyperlink w:anchor="_12_Appendix_C">
        <w:r w:rsidRPr="36DACA0F">
          <w:rPr>
            <w:rStyle w:val="Hyperlink"/>
          </w:rPr>
          <w:t>Appendix C</w:t>
        </w:r>
      </w:hyperlink>
      <w:r>
        <w:t>). If a sample is taken that indicates a malignant tumour, the individual cannot be counted again for a sample indicating the same cancer type within two years. However, the same individual can be counted again during this period should a sample indicate a different cancer group. It should be noted that these counting rules differ to those used for cancer registration</w:t>
      </w:r>
      <w:r w:rsidR="00027121">
        <w:t>; cancer registration data only includes primary cancers and does not include recurrences or secondary tumours</w:t>
      </w:r>
      <w:r>
        <w:t xml:space="preserve">. </w:t>
      </w:r>
    </w:p>
    <w:p w14:paraId="71B556A7" w14:textId="2BD35AE6" w:rsidR="00E43A91" w:rsidRDefault="00E43A91" w:rsidP="69ACC922">
      <w:pPr>
        <w:jc w:val="both"/>
      </w:pPr>
      <w:r>
        <w:rPr>
          <w:noProof/>
          <w:lang w:eastAsia="en-GB"/>
        </w:rPr>
        <mc:AlternateContent>
          <mc:Choice Requires="wps">
            <w:drawing>
              <wp:anchor distT="45720" distB="45720" distL="114300" distR="114300" simplePos="0" relativeHeight="251658244" behindDoc="0" locked="0" layoutInCell="1" allowOverlap="1" wp14:anchorId="38FC9F81" wp14:editId="4E3FD766">
                <wp:simplePos x="0" y="0"/>
                <wp:positionH relativeFrom="margin">
                  <wp:align>right</wp:align>
                </wp:positionH>
                <wp:positionV relativeFrom="paragraph">
                  <wp:posOffset>263525</wp:posOffset>
                </wp:positionV>
                <wp:extent cx="5721350" cy="329565"/>
                <wp:effectExtent l="0" t="0" r="0" b="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329609"/>
                        </a:xfrm>
                        <a:prstGeom prst="rect">
                          <a:avLst/>
                        </a:prstGeom>
                        <a:noFill/>
                        <a:ln w="9525">
                          <a:noFill/>
                          <a:miter lim="800000"/>
                          <a:headEnd/>
                          <a:tailEnd/>
                        </a:ln>
                      </wps:spPr>
                      <wps:txbx>
                        <w:txbxContent>
                          <w:p w14:paraId="1A317B80" w14:textId="57D71F60" w:rsidR="00176D76" w:rsidRPr="005C1A0D" w:rsidRDefault="00176D76">
                            <w:pPr>
                              <w:rPr>
                                <w:b/>
                                <w:bCs/>
                                <w:szCs w:val="24"/>
                              </w:rPr>
                            </w:pPr>
                            <w:r w:rsidRPr="005C1A0D">
                              <w:rPr>
                                <w:b/>
                                <w:bCs/>
                                <w:szCs w:val="24"/>
                              </w:rPr>
                              <w:t>Table 1: Summary of the steps used to process cancer pathology data.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FC9F81" id="Text Box 217" o:spid="_x0000_s1027" type="#_x0000_t202" style="position:absolute;left:0;text-align:left;margin-left:399.3pt;margin-top:20.75pt;width:450.5pt;height:25.95pt;z-index:2516582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" filled="f" stroked="f">
                <v:textbox>
                  <w:txbxContent>
                    <w:p w14:paraId="1A317B80" w14:textId="57D71F60" w:rsidR="00176D76" w:rsidRPr="005C1A0D" w:rsidRDefault="00176D76">
                      <w:pPr>
                        <w:rPr>
                          <w:b/>
                          <w:bCs/>
                          <w:szCs w:val="24"/>
                        </w:rPr>
                      </w:pPr>
                      <w:r w:rsidRPr="005C1A0D">
                        <w:rPr>
                          <w:b/>
                          <w:bCs/>
                          <w:szCs w:val="24"/>
                        </w:rPr>
                        <w:t>Table 1: Summary of the steps used to process cancer pathology data.</w:t>
                      </w:r>
                    </w:p>
                  </w:txbxContent>
                </v:textbox>
                <w10:wrap type="square" anchorx="margin"/>
              </v:shape>
            </w:pict>
          </mc:Fallback>
        </mc:AlternateContent>
      </w:r>
    </w:p>
    <w:tbl>
      <w:tblPr>
        <w:tblStyle w:val="PlainTable2"/>
        <w:tblW w:w="0" w:type="auto"/>
        <w:tblLook w:val="04A0" w:firstRow="1" w:lastRow="0" w:firstColumn="1" w:lastColumn="0" w:noHBand="0" w:noVBand="1"/>
      </w:tblPr>
      <w:tblGrid>
        <w:gridCol w:w="6941"/>
        <w:gridCol w:w="2075"/>
      </w:tblGrid>
      <w:tr w:rsidR="00173F6B" w14:paraId="5E25B308" w14:textId="77777777" w:rsidTr="00173F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2CCF8582" w14:textId="3E42C35E" w:rsidR="00173F6B" w:rsidRPr="00173F6B" w:rsidRDefault="00173F6B" w:rsidP="00173F6B">
            <w:pPr>
              <w:spacing w:line="360" w:lineRule="auto"/>
              <w:jc w:val="both"/>
              <w:rPr>
                <w:b w:val="0"/>
                <w:bCs w:val="0"/>
                <w:sz w:val="18"/>
                <w:szCs w:val="16"/>
              </w:rPr>
            </w:pPr>
          </w:p>
        </w:tc>
        <w:tc>
          <w:tcPr>
            <w:tcW w:w="2075" w:type="dxa"/>
          </w:tcPr>
          <w:p w14:paraId="30418F5D" w14:textId="6D2A661D" w:rsidR="00173F6B" w:rsidRPr="00173F6B" w:rsidRDefault="00173F6B" w:rsidP="00F4691A">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sidRPr="00173F6B">
              <w:rPr>
                <w:sz w:val="18"/>
                <w:szCs w:val="16"/>
              </w:rPr>
              <w:t>% records remaining</w:t>
            </w:r>
          </w:p>
        </w:tc>
      </w:tr>
      <w:tr w:rsidR="00173F6B" w14:paraId="3F75F15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3BE8C3F7" w14:textId="59B60EBB" w:rsidR="00173F6B" w:rsidRPr="00173F6B" w:rsidRDefault="00173F6B" w:rsidP="00173F6B">
            <w:pPr>
              <w:spacing w:line="360" w:lineRule="auto"/>
              <w:jc w:val="both"/>
              <w:rPr>
                <w:b w:val="0"/>
                <w:bCs w:val="0"/>
                <w:sz w:val="18"/>
                <w:szCs w:val="16"/>
              </w:rPr>
            </w:pPr>
            <w:r w:rsidRPr="00173F6B">
              <w:rPr>
                <w:b w:val="0"/>
                <w:bCs w:val="0"/>
                <w:sz w:val="18"/>
                <w:szCs w:val="16"/>
              </w:rPr>
              <w:t>Extract data from WLIMS and Telepath</w:t>
            </w:r>
          </w:p>
        </w:tc>
        <w:tc>
          <w:tcPr>
            <w:tcW w:w="2075" w:type="dxa"/>
          </w:tcPr>
          <w:p w14:paraId="6BB2A522" w14:textId="78A9D11B"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100%</w:t>
            </w:r>
          </w:p>
        </w:tc>
      </w:tr>
      <w:tr w:rsidR="00173F6B" w14:paraId="29B329E2"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2AB8E808" w14:textId="3B776E77" w:rsidR="00173F6B" w:rsidRPr="00173F6B" w:rsidRDefault="00173F6B" w:rsidP="00173F6B">
            <w:pPr>
              <w:spacing w:line="360" w:lineRule="auto"/>
              <w:jc w:val="both"/>
              <w:rPr>
                <w:b w:val="0"/>
                <w:bCs w:val="0"/>
                <w:sz w:val="18"/>
                <w:szCs w:val="16"/>
              </w:rPr>
            </w:pPr>
            <w:r w:rsidRPr="00173F6B">
              <w:rPr>
                <w:b w:val="0"/>
                <w:bCs w:val="0"/>
                <w:sz w:val="18"/>
                <w:szCs w:val="16"/>
              </w:rPr>
              <w:t xml:space="preserve">Initial cleaning </w:t>
            </w:r>
            <w:r w:rsidR="00E43A91" w:rsidRPr="00173F6B">
              <w:rPr>
                <w:b w:val="0"/>
                <w:bCs w:val="0"/>
                <w:sz w:val="18"/>
                <w:szCs w:val="16"/>
              </w:rPr>
              <w:t>e.g.,</w:t>
            </w:r>
            <w:r w:rsidRPr="00173F6B">
              <w:rPr>
                <w:b w:val="0"/>
                <w:bCs w:val="0"/>
                <w:sz w:val="18"/>
                <w:szCs w:val="16"/>
              </w:rPr>
              <w:t xml:space="preserve"> removing rows with missing data</w:t>
            </w:r>
          </w:p>
        </w:tc>
        <w:tc>
          <w:tcPr>
            <w:tcW w:w="2075" w:type="dxa"/>
          </w:tcPr>
          <w:p w14:paraId="12AA48AF" w14:textId="7CF70823"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99%</w:t>
            </w:r>
          </w:p>
        </w:tc>
      </w:tr>
      <w:tr w:rsidR="00173F6B" w14:paraId="19B4E53A"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595A8171" w14:textId="0B074836" w:rsidR="00173F6B" w:rsidRPr="00173F6B" w:rsidRDefault="00173F6B" w:rsidP="00173F6B">
            <w:pPr>
              <w:spacing w:line="360" w:lineRule="auto"/>
              <w:jc w:val="both"/>
              <w:rPr>
                <w:b w:val="0"/>
                <w:bCs w:val="0"/>
                <w:sz w:val="18"/>
                <w:szCs w:val="16"/>
              </w:rPr>
            </w:pPr>
            <w:r>
              <w:rPr>
                <w:b w:val="0"/>
                <w:bCs w:val="0"/>
                <w:sz w:val="18"/>
                <w:szCs w:val="16"/>
              </w:rPr>
              <w:t>Filter out non-primary malignant tumours (Behaviour code not 3)</w:t>
            </w:r>
          </w:p>
        </w:tc>
        <w:tc>
          <w:tcPr>
            <w:tcW w:w="2075" w:type="dxa"/>
          </w:tcPr>
          <w:p w14:paraId="0024AAB0" w14:textId="12844389"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74%</w:t>
            </w:r>
          </w:p>
        </w:tc>
      </w:tr>
      <w:tr w:rsidR="00173F6B" w14:paraId="35DB80AD"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4BCA99E5" w14:textId="3C8BBFB7" w:rsidR="00173F6B" w:rsidRPr="00173F6B" w:rsidRDefault="00173F6B" w:rsidP="00173F6B">
            <w:pPr>
              <w:spacing w:line="360" w:lineRule="auto"/>
              <w:jc w:val="both"/>
              <w:rPr>
                <w:sz w:val="18"/>
                <w:szCs w:val="16"/>
              </w:rPr>
            </w:pPr>
            <w:r>
              <w:rPr>
                <w:b w:val="0"/>
                <w:bCs w:val="0"/>
                <w:sz w:val="18"/>
                <w:szCs w:val="16"/>
              </w:rPr>
              <w:t>Match topography and morphology codes to ICD-10 codes. Remove all records that could not be matched</w:t>
            </w:r>
          </w:p>
        </w:tc>
        <w:tc>
          <w:tcPr>
            <w:tcW w:w="2075" w:type="dxa"/>
          </w:tcPr>
          <w:p w14:paraId="367EB466" w14:textId="206F7F4E"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65%</w:t>
            </w:r>
          </w:p>
        </w:tc>
      </w:tr>
      <w:tr w:rsidR="00173F6B" w14:paraId="3DDAC53E"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0E43B99" w14:textId="31D1BD45" w:rsidR="00173F6B" w:rsidRPr="00173F6B" w:rsidRDefault="00173F6B" w:rsidP="00173F6B">
            <w:pPr>
              <w:spacing w:line="360" w:lineRule="auto"/>
              <w:jc w:val="both"/>
              <w:rPr>
                <w:b w:val="0"/>
                <w:bCs w:val="0"/>
                <w:sz w:val="18"/>
                <w:szCs w:val="16"/>
              </w:rPr>
            </w:pPr>
            <w:bookmarkStart w:id="24" w:name="OLE_LINK1"/>
            <w:r>
              <w:rPr>
                <w:b w:val="0"/>
                <w:bCs w:val="0"/>
                <w:sz w:val="18"/>
                <w:szCs w:val="16"/>
              </w:rPr>
              <w:t>Filter out records with an ICD-10 code not beginning with C (These are not malignant tumours)</w:t>
            </w:r>
            <w:bookmarkEnd w:id="24"/>
          </w:p>
        </w:tc>
        <w:tc>
          <w:tcPr>
            <w:tcW w:w="2075" w:type="dxa"/>
          </w:tcPr>
          <w:p w14:paraId="0ECF32C1" w14:textId="707C7510"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61%</w:t>
            </w:r>
          </w:p>
        </w:tc>
      </w:tr>
      <w:tr w:rsidR="00173F6B" w14:paraId="751BF7C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0CCDBF08" w14:textId="0DB41FA5" w:rsidR="00173F6B" w:rsidRPr="00173F6B" w:rsidRDefault="00173F6B" w:rsidP="00173F6B">
            <w:pPr>
              <w:spacing w:line="360" w:lineRule="auto"/>
              <w:jc w:val="both"/>
              <w:rPr>
                <w:b w:val="0"/>
                <w:bCs w:val="0"/>
                <w:sz w:val="18"/>
                <w:szCs w:val="16"/>
              </w:rPr>
            </w:pPr>
            <w:r>
              <w:rPr>
                <w:b w:val="0"/>
                <w:bCs w:val="0"/>
                <w:sz w:val="18"/>
                <w:szCs w:val="16"/>
              </w:rPr>
              <w:t>De-duplicate the dataset</w:t>
            </w:r>
          </w:p>
        </w:tc>
        <w:tc>
          <w:tcPr>
            <w:tcW w:w="2075" w:type="dxa"/>
          </w:tcPr>
          <w:p w14:paraId="4C2651C6" w14:textId="138327D8" w:rsidR="00173F6B" w:rsidRPr="00F4691A" w:rsidRDefault="00F4691A"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r>
              <w:rPr>
                <w:sz w:val="18"/>
                <w:szCs w:val="16"/>
              </w:rPr>
              <w:t>46%</w:t>
            </w:r>
          </w:p>
        </w:tc>
      </w:tr>
      <w:tr w:rsidR="00173F6B" w14:paraId="26BDBEE8" w14:textId="77777777" w:rsidTr="00173F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CFDD893" w14:textId="76DBCFF9" w:rsidR="00173F6B" w:rsidRPr="00173F6B" w:rsidRDefault="00173F6B" w:rsidP="00173F6B">
            <w:pPr>
              <w:spacing w:line="360" w:lineRule="auto"/>
              <w:jc w:val="both"/>
              <w:rPr>
                <w:b w:val="0"/>
                <w:bCs w:val="0"/>
                <w:sz w:val="18"/>
                <w:szCs w:val="16"/>
              </w:rPr>
            </w:pPr>
            <w:r>
              <w:rPr>
                <w:b w:val="0"/>
                <w:bCs w:val="0"/>
                <w:sz w:val="18"/>
                <w:szCs w:val="16"/>
              </w:rPr>
              <w:t>Remove C44 (</w:t>
            </w:r>
            <w:proofErr w:type="gramStart"/>
            <w:r>
              <w:rPr>
                <w:b w:val="0"/>
                <w:bCs w:val="0"/>
                <w:sz w:val="18"/>
                <w:szCs w:val="16"/>
              </w:rPr>
              <w:t>Non-melanoma</w:t>
            </w:r>
            <w:proofErr w:type="gramEnd"/>
            <w:r>
              <w:rPr>
                <w:b w:val="0"/>
                <w:bCs w:val="0"/>
                <w:sz w:val="18"/>
                <w:szCs w:val="16"/>
              </w:rPr>
              <w:t xml:space="preserve"> skin cancer)</w:t>
            </w:r>
          </w:p>
        </w:tc>
        <w:tc>
          <w:tcPr>
            <w:tcW w:w="2075" w:type="dxa"/>
          </w:tcPr>
          <w:p w14:paraId="416A514D" w14:textId="6793E37D" w:rsidR="00173F6B" w:rsidRPr="00F4691A" w:rsidRDefault="00F4691A" w:rsidP="00F4691A">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6"/>
              </w:rPr>
            </w:pPr>
            <w:r>
              <w:rPr>
                <w:sz w:val="18"/>
                <w:szCs w:val="16"/>
              </w:rPr>
              <w:t>27%</w:t>
            </w:r>
          </w:p>
        </w:tc>
      </w:tr>
      <w:tr w:rsidR="00173F6B" w14:paraId="01B607B9" w14:textId="77777777" w:rsidTr="00173F6B">
        <w:tc>
          <w:tcPr>
            <w:cnfStyle w:val="001000000000" w:firstRow="0" w:lastRow="0" w:firstColumn="1" w:lastColumn="0" w:oddVBand="0" w:evenVBand="0" w:oddHBand="0" w:evenHBand="0" w:firstRowFirstColumn="0" w:firstRowLastColumn="0" w:lastRowFirstColumn="0" w:lastRowLastColumn="0"/>
            <w:tcW w:w="6941" w:type="dxa"/>
          </w:tcPr>
          <w:p w14:paraId="72266751" w14:textId="165E54F1" w:rsidR="00173F6B" w:rsidRPr="00F4691A" w:rsidRDefault="00173F6B" w:rsidP="00173F6B">
            <w:pPr>
              <w:spacing w:line="360" w:lineRule="auto"/>
              <w:jc w:val="both"/>
              <w:rPr>
                <w:b w:val="0"/>
                <w:i/>
                <w:sz w:val="18"/>
                <w:szCs w:val="18"/>
              </w:rPr>
            </w:pPr>
            <w:r w:rsidRPr="4800BF69">
              <w:rPr>
                <w:b w:val="0"/>
                <w:i/>
                <w:sz w:val="18"/>
                <w:szCs w:val="18"/>
              </w:rPr>
              <w:t xml:space="preserve">Figures as at 09/06/23, covering all data extracted (January 2018 </w:t>
            </w:r>
            <w:r w:rsidR="00F4691A" w:rsidRPr="4800BF69">
              <w:rPr>
                <w:b w:val="0"/>
                <w:i/>
                <w:sz w:val="18"/>
                <w:szCs w:val="18"/>
              </w:rPr>
              <w:t>–</w:t>
            </w:r>
            <w:r w:rsidRPr="4800BF69">
              <w:rPr>
                <w:b w:val="0"/>
                <w:i/>
                <w:sz w:val="18"/>
                <w:szCs w:val="18"/>
              </w:rPr>
              <w:t xml:space="preserve"> </w:t>
            </w:r>
            <w:r w:rsidR="00F4691A" w:rsidRPr="4800BF69">
              <w:rPr>
                <w:b w:val="0"/>
                <w:i/>
                <w:sz w:val="18"/>
                <w:szCs w:val="18"/>
              </w:rPr>
              <w:t>June 2023)</w:t>
            </w:r>
          </w:p>
        </w:tc>
        <w:tc>
          <w:tcPr>
            <w:tcW w:w="2075" w:type="dxa"/>
          </w:tcPr>
          <w:p w14:paraId="46568EEE" w14:textId="77777777" w:rsidR="00173F6B" w:rsidRPr="00F4691A" w:rsidRDefault="00173F6B" w:rsidP="00F4691A">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6"/>
              </w:rPr>
            </w:pPr>
          </w:p>
        </w:tc>
      </w:tr>
    </w:tbl>
    <w:p w14:paraId="21D2094F" w14:textId="77777777" w:rsidR="001A471F" w:rsidRDefault="001A471F" w:rsidP="006B2253">
      <w:pPr>
        <w:pStyle w:val="Heading3"/>
      </w:pPr>
    </w:p>
    <w:p w14:paraId="3598C323" w14:textId="77777777" w:rsidR="005C1A0D" w:rsidRPr="005C1A0D" w:rsidRDefault="005C1A0D" w:rsidP="005C1A0D"/>
    <w:p w14:paraId="6BD37732" w14:textId="10477EA4" w:rsidR="006B2253" w:rsidRDefault="474A3299" w:rsidP="006B2253">
      <w:pPr>
        <w:pStyle w:val="Heading3"/>
      </w:pPr>
      <w:bookmarkStart w:id="25" w:name="_Toc909942002"/>
      <w:r>
        <w:t>2.4.3 Caveats</w:t>
      </w:r>
      <w:bookmarkEnd w:id="25"/>
    </w:p>
    <w:p w14:paraId="7243D1A2" w14:textId="5F96A4BA" w:rsidR="00DA0270" w:rsidRDefault="00DA0270" w:rsidP="00DA0270">
      <w:pPr>
        <w:jc w:val="both"/>
      </w:pPr>
      <w:r>
        <w:t>Cancer pathology is not a substitute for registry data, which remains the most authoritative source of data on new cancers. Pathology data cannot provide a full picture of new cancers because not all new cancers are detected via pathology samples and a sample is not always taken when cancer is diagnosed.</w:t>
      </w:r>
    </w:p>
    <w:p w14:paraId="26CB2133" w14:textId="74F79231" w:rsidR="005C1A0D" w:rsidRDefault="00DA0270" w:rsidP="00DA0270">
      <w:pPr>
        <w:jc w:val="both"/>
      </w:pPr>
      <w:r>
        <w:t xml:space="preserve">Pathology data therefore provides a more accurate estimate of incidence for some cancers compared to others. The greater the proportion of new cancers detected </w:t>
      </w:r>
      <w:r>
        <w:lastRenderedPageBreak/>
        <w:t xml:space="preserve">early by pathology sampling, the more accurate the estimate of incidence will be. </w:t>
      </w:r>
      <w:r w:rsidR="004F7413">
        <w:t>Table 2 provides a summary of how pathology data for the cancer sites analysed compare</w:t>
      </w:r>
      <w:r w:rsidR="00F8616A">
        <w:t>d</w:t>
      </w:r>
      <w:r w:rsidR="004F7413">
        <w:t xml:space="preserve"> to cancer registration data.</w:t>
      </w:r>
    </w:p>
    <w:p w14:paraId="6BDBEDAC" w14:textId="3411B7F6" w:rsidR="004F7413" w:rsidRDefault="00F74728" w:rsidP="00DA0270">
      <w:pPr>
        <w:jc w:val="both"/>
      </w:pPr>
      <w:r>
        <w:rPr>
          <w:noProof/>
        </w:rPr>
        <mc:AlternateContent>
          <mc:Choice Requires="wps">
            <w:drawing>
              <wp:inline distT="45720" distB="45720" distL="114300" distR="114300" wp14:anchorId="294D2BDF" wp14:editId="2E14BB95">
                <wp:extent cx="5731983" cy="754912"/>
                <wp:effectExtent l="0" t="0" r="0" b="0"/>
                <wp:docPr id="75798015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983" cy="754912"/>
                        </a:xfrm>
                        <a:prstGeom prst="rect">
                          <a:avLst/>
                        </a:prstGeom>
                        <a:noFill/>
                        <a:ln w="9525">
                          <a:noFill/>
                          <a:miter lim="800000"/>
                          <a:headEnd/>
                          <a:tailEnd/>
                        </a:ln>
                      </wps:spPr>
                      <wps:txbx>
                        <w:txbxContent>
                          <w:p w14:paraId="2CFF4636" w14:textId="1BFB824A" w:rsidR="00176D76" w:rsidRPr="005C1A0D" w:rsidRDefault="00176D76" w:rsidP="005C1A0D">
                            <w:pPr>
                              <w:rPr>
                                <w:b/>
                                <w:bCs/>
                                <w:szCs w:val="24"/>
                              </w:rPr>
                            </w:pPr>
                            <w:r w:rsidRPr="005C1A0D">
                              <w:rPr>
                                <w:b/>
                                <w:bCs/>
                                <w:szCs w:val="24"/>
                              </w:rPr>
                              <w:t xml:space="preserve">Table 2: Summary comparison of pathology samples vs WCISU cancer registration incidence data, showing the pathology count as a percentage of the registration count. Total counts for the period January 2018 to December 2021. </w:t>
                            </w:r>
                          </w:p>
                        </w:txbxContent>
                      </wps:txbx>
                      <wps:bodyPr rot="0" vert="horz" wrap="square" lIns="91440" tIns="45720" rIns="91440" bIns="45720" anchor="t" anchorCtr="0">
                        <a:noAutofit/>
                      </wps:bodyPr>
                    </wps:wsp>
                  </a:graphicData>
                </a:graphic>
              </wp:inline>
            </w:drawing>
          </mc:Choice>
          <mc:Fallback>
            <w:pict>
              <v:shape w14:anchorId="294D2BDF" id="Text Box 9" o:spid="_x0000_s1028" type="#_x0000_t202" style="width:451.35pt;height:59.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" filled="f" stroked="f">
                <v:textbox>
                  <w:txbxContent>
                    <w:p w14:paraId="2CFF4636" w14:textId="1BFB824A" w:rsidR="00176D76" w:rsidRPr="005C1A0D" w:rsidRDefault="00176D76" w:rsidP="005C1A0D">
                      <w:pPr>
                        <w:rPr>
                          <w:b/>
                          <w:bCs/>
                          <w:szCs w:val="24"/>
                        </w:rPr>
                      </w:pPr>
                      <w:r w:rsidRPr="005C1A0D">
                        <w:rPr>
                          <w:b/>
                          <w:bCs/>
                          <w:szCs w:val="24"/>
                        </w:rPr>
                        <w:t xml:space="preserve">Table 2: Summary comparison of pathology samples vs WCISU cancer registration incidence data, showing the pathology count as a percentage of the registration count. Total counts for the period January 2018 to December 2021. </w:t>
                      </w:r>
                    </w:p>
                  </w:txbxContent>
                </v:textbox>
                <w10:anchorlock/>
              </v:shape>
            </w:pict>
          </mc:Fallback>
        </mc:AlternateContent>
      </w:r>
    </w:p>
    <w:tbl>
      <w:tblPr>
        <w:tblStyle w:val="PlainTable2"/>
        <w:tblW w:w="0" w:type="auto"/>
        <w:tblLook w:val="04A0" w:firstRow="1" w:lastRow="0" w:firstColumn="1" w:lastColumn="0" w:noHBand="0" w:noVBand="1"/>
      </w:tblPr>
      <w:tblGrid>
        <w:gridCol w:w="4531"/>
        <w:gridCol w:w="1495"/>
        <w:gridCol w:w="1495"/>
        <w:gridCol w:w="1495"/>
      </w:tblGrid>
      <w:tr w:rsidR="004F7413" w14:paraId="6486455C" w14:textId="77777777" w:rsidTr="004F74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DFBFB10" w14:textId="77A3E15A" w:rsidR="004F7413" w:rsidRPr="004F7413" w:rsidRDefault="004F7413" w:rsidP="004F7413">
            <w:pPr>
              <w:spacing w:line="360" w:lineRule="auto"/>
              <w:jc w:val="both"/>
              <w:rPr>
                <w:sz w:val="18"/>
                <w:szCs w:val="16"/>
              </w:rPr>
            </w:pPr>
            <w:r>
              <w:rPr>
                <w:sz w:val="18"/>
                <w:szCs w:val="16"/>
              </w:rPr>
              <w:t>Cancer type</w:t>
            </w:r>
          </w:p>
        </w:tc>
        <w:tc>
          <w:tcPr>
            <w:tcW w:w="1495" w:type="dxa"/>
          </w:tcPr>
          <w:p w14:paraId="36DB6BE1" w14:textId="71334EFB"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Pathology samples</w:t>
            </w:r>
          </w:p>
        </w:tc>
        <w:tc>
          <w:tcPr>
            <w:tcW w:w="1495" w:type="dxa"/>
          </w:tcPr>
          <w:p w14:paraId="1AC67321" w14:textId="376B2623"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WCISU Registration</w:t>
            </w:r>
            <w:r w:rsidR="00F74728">
              <w:rPr>
                <w:sz w:val="18"/>
                <w:szCs w:val="16"/>
              </w:rPr>
              <w:t>s</w:t>
            </w:r>
          </w:p>
        </w:tc>
        <w:tc>
          <w:tcPr>
            <w:tcW w:w="1495" w:type="dxa"/>
          </w:tcPr>
          <w:p w14:paraId="4A3B6B0A" w14:textId="02030B67" w:rsidR="004F7413" w:rsidRPr="004F7413" w:rsidRDefault="004F7413" w:rsidP="004F7413">
            <w:pPr>
              <w:spacing w:line="360" w:lineRule="auto"/>
              <w:jc w:val="right"/>
              <w:cnfStyle w:val="100000000000" w:firstRow="1" w:lastRow="0" w:firstColumn="0" w:lastColumn="0" w:oddVBand="0" w:evenVBand="0" w:oddHBand="0" w:evenHBand="0" w:firstRowFirstColumn="0" w:firstRowLastColumn="0" w:lastRowFirstColumn="0" w:lastRowLastColumn="0"/>
              <w:rPr>
                <w:sz w:val="18"/>
                <w:szCs w:val="16"/>
              </w:rPr>
            </w:pPr>
            <w:r>
              <w:rPr>
                <w:sz w:val="18"/>
                <w:szCs w:val="16"/>
              </w:rPr>
              <w:t>Percentage (%)</w:t>
            </w:r>
          </w:p>
        </w:tc>
      </w:tr>
      <w:tr w:rsidR="00E9203F" w14:paraId="3F0A0CEF"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0E1FB563" w14:textId="5635D9E1" w:rsidR="00E9203F" w:rsidRPr="004F7413" w:rsidRDefault="00E9203F" w:rsidP="00E9203F">
            <w:pPr>
              <w:spacing w:line="360" w:lineRule="auto"/>
              <w:jc w:val="both"/>
              <w:rPr>
                <w:b w:val="0"/>
                <w:bCs w:val="0"/>
                <w:sz w:val="18"/>
                <w:szCs w:val="16"/>
              </w:rPr>
            </w:pPr>
            <w:r w:rsidRPr="004F7413">
              <w:rPr>
                <w:b w:val="0"/>
                <w:bCs w:val="0"/>
                <w:sz w:val="18"/>
                <w:szCs w:val="16"/>
              </w:rPr>
              <w:t>A</w:t>
            </w:r>
            <w:r>
              <w:rPr>
                <w:b w:val="0"/>
                <w:bCs w:val="0"/>
                <w:sz w:val="18"/>
                <w:szCs w:val="16"/>
              </w:rPr>
              <w:t>ll cancers</w:t>
            </w:r>
            <w:r w:rsidRPr="004F7413">
              <w:rPr>
                <w:b w:val="0"/>
                <w:bCs w:val="0"/>
                <w:sz w:val="18"/>
                <w:szCs w:val="16"/>
              </w:rPr>
              <w:t xml:space="preserve"> excluding NMSC</w:t>
            </w:r>
          </w:p>
        </w:tc>
        <w:tc>
          <w:tcPr>
            <w:tcW w:w="1495" w:type="dxa"/>
            <w:vAlign w:val="bottom"/>
          </w:tcPr>
          <w:p w14:paraId="717E5E12" w14:textId="4D34B98F"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58652</w:t>
            </w:r>
          </w:p>
        </w:tc>
        <w:tc>
          <w:tcPr>
            <w:tcW w:w="1495" w:type="dxa"/>
            <w:vAlign w:val="bottom"/>
          </w:tcPr>
          <w:p w14:paraId="17EBC0D8" w14:textId="35CDBB22"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78283</w:t>
            </w:r>
          </w:p>
        </w:tc>
        <w:tc>
          <w:tcPr>
            <w:tcW w:w="1495" w:type="dxa"/>
            <w:vAlign w:val="bottom"/>
          </w:tcPr>
          <w:p w14:paraId="4A51CBF3" w14:textId="3DA57D7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74.9</w:t>
            </w:r>
          </w:p>
        </w:tc>
      </w:tr>
      <w:tr w:rsidR="00E9203F" w14:paraId="5CA31C85"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7F9EF6A0" w14:textId="068A23B3" w:rsidR="00E9203F" w:rsidRPr="004F7413" w:rsidRDefault="00E9203F" w:rsidP="00E9203F">
            <w:pPr>
              <w:spacing w:line="360" w:lineRule="auto"/>
              <w:jc w:val="both"/>
              <w:rPr>
                <w:b w:val="0"/>
                <w:bCs w:val="0"/>
                <w:sz w:val="18"/>
                <w:szCs w:val="16"/>
              </w:rPr>
            </w:pPr>
            <w:r w:rsidRPr="004F7413">
              <w:rPr>
                <w:b w:val="0"/>
                <w:bCs w:val="0"/>
                <w:sz w:val="18"/>
                <w:szCs w:val="16"/>
              </w:rPr>
              <w:t>Breast cancer</w:t>
            </w:r>
          </w:p>
        </w:tc>
        <w:tc>
          <w:tcPr>
            <w:tcW w:w="1495" w:type="dxa"/>
            <w:vAlign w:val="bottom"/>
          </w:tcPr>
          <w:p w14:paraId="1068551C" w14:textId="64276983"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10128</w:t>
            </w:r>
          </w:p>
        </w:tc>
        <w:tc>
          <w:tcPr>
            <w:tcW w:w="1495" w:type="dxa"/>
            <w:vAlign w:val="bottom"/>
          </w:tcPr>
          <w:p w14:paraId="0D95C5C0" w14:textId="24A0E0BC"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10903</w:t>
            </w:r>
          </w:p>
        </w:tc>
        <w:tc>
          <w:tcPr>
            <w:tcW w:w="1495" w:type="dxa"/>
            <w:vAlign w:val="bottom"/>
          </w:tcPr>
          <w:p w14:paraId="45D02187" w14:textId="33946997"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92.9</w:t>
            </w:r>
          </w:p>
        </w:tc>
      </w:tr>
      <w:tr w:rsidR="00E9203F" w14:paraId="021101D7"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88A0A68" w14:textId="6EC4BA4F" w:rsidR="00E9203F" w:rsidRPr="004F7413" w:rsidRDefault="00E9203F" w:rsidP="00E9203F">
            <w:pPr>
              <w:spacing w:line="360" w:lineRule="auto"/>
              <w:jc w:val="both"/>
              <w:rPr>
                <w:b w:val="0"/>
                <w:bCs w:val="0"/>
                <w:sz w:val="18"/>
                <w:szCs w:val="16"/>
              </w:rPr>
            </w:pPr>
            <w:r w:rsidRPr="004F7413">
              <w:rPr>
                <w:b w:val="0"/>
                <w:bCs w:val="0"/>
                <w:sz w:val="18"/>
                <w:szCs w:val="16"/>
              </w:rPr>
              <w:t>Prostate cancer</w:t>
            </w:r>
          </w:p>
        </w:tc>
        <w:tc>
          <w:tcPr>
            <w:tcW w:w="1495" w:type="dxa"/>
            <w:vAlign w:val="bottom"/>
          </w:tcPr>
          <w:p w14:paraId="62BE2DCB" w14:textId="51F46C23"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6538</w:t>
            </w:r>
          </w:p>
        </w:tc>
        <w:tc>
          <w:tcPr>
            <w:tcW w:w="1495" w:type="dxa"/>
            <w:vAlign w:val="bottom"/>
          </w:tcPr>
          <w:p w14:paraId="34EFA1E2" w14:textId="301C8D7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11203</w:t>
            </w:r>
          </w:p>
        </w:tc>
        <w:tc>
          <w:tcPr>
            <w:tcW w:w="1495" w:type="dxa"/>
            <w:vAlign w:val="bottom"/>
          </w:tcPr>
          <w:p w14:paraId="68222C79" w14:textId="076D2711"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58.4</w:t>
            </w:r>
          </w:p>
        </w:tc>
      </w:tr>
      <w:tr w:rsidR="00E9203F" w14:paraId="19AB2EC3"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61804D73" w14:textId="02404822" w:rsidR="00E9203F" w:rsidRPr="004F7413" w:rsidRDefault="00E9203F" w:rsidP="00E9203F">
            <w:pPr>
              <w:spacing w:line="360" w:lineRule="auto"/>
              <w:jc w:val="both"/>
              <w:rPr>
                <w:b w:val="0"/>
                <w:bCs w:val="0"/>
                <w:sz w:val="18"/>
                <w:szCs w:val="16"/>
              </w:rPr>
            </w:pPr>
            <w:r w:rsidRPr="004F7413">
              <w:rPr>
                <w:b w:val="0"/>
                <w:bCs w:val="0"/>
                <w:sz w:val="18"/>
                <w:szCs w:val="16"/>
              </w:rPr>
              <w:t>Lung cancer</w:t>
            </w:r>
          </w:p>
        </w:tc>
        <w:tc>
          <w:tcPr>
            <w:tcW w:w="1495" w:type="dxa"/>
            <w:vAlign w:val="bottom"/>
          </w:tcPr>
          <w:p w14:paraId="12282566" w14:textId="0BAEFF92"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4162</w:t>
            </w:r>
          </w:p>
        </w:tc>
        <w:tc>
          <w:tcPr>
            <w:tcW w:w="1495" w:type="dxa"/>
            <w:vAlign w:val="bottom"/>
          </w:tcPr>
          <w:p w14:paraId="292F84C3" w14:textId="7F1FFB58"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9968</w:t>
            </w:r>
          </w:p>
        </w:tc>
        <w:tc>
          <w:tcPr>
            <w:tcW w:w="1495" w:type="dxa"/>
            <w:vAlign w:val="bottom"/>
          </w:tcPr>
          <w:p w14:paraId="1F04E3FD" w14:textId="10459C61"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41.8</w:t>
            </w:r>
          </w:p>
        </w:tc>
      </w:tr>
      <w:tr w:rsidR="00E9203F" w14:paraId="4E9C87CC" w14:textId="77777777" w:rsidTr="007663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2DBE1D" w14:textId="2E6CA1B0" w:rsidR="00E9203F" w:rsidRPr="004F7413" w:rsidRDefault="00E9203F" w:rsidP="00E9203F">
            <w:pPr>
              <w:spacing w:line="360" w:lineRule="auto"/>
              <w:jc w:val="both"/>
              <w:rPr>
                <w:b w:val="0"/>
                <w:bCs w:val="0"/>
                <w:sz w:val="18"/>
                <w:szCs w:val="16"/>
              </w:rPr>
            </w:pPr>
            <w:r w:rsidRPr="004F7413">
              <w:rPr>
                <w:b w:val="0"/>
                <w:bCs w:val="0"/>
                <w:sz w:val="18"/>
                <w:szCs w:val="16"/>
              </w:rPr>
              <w:t>Colorectal cancer</w:t>
            </w:r>
          </w:p>
        </w:tc>
        <w:tc>
          <w:tcPr>
            <w:tcW w:w="1495" w:type="dxa"/>
            <w:vAlign w:val="bottom"/>
          </w:tcPr>
          <w:p w14:paraId="10E33F1F" w14:textId="7ACA023E"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6821</w:t>
            </w:r>
          </w:p>
        </w:tc>
        <w:tc>
          <w:tcPr>
            <w:tcW w:w="1495" w:type="dxa"/>
            <w:vAlign w:val="bottom"/>
          </w:tcPr>
          <w:p w14:paraId="78F940E8" w14:textId="7DD4068E"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9662</w:t>
            </w:r>
          </w:p>
        </w:tc>
        <w:tc>
          <w:tcPr>
            <w:tcW w:w="1495" w:type="dxa"/>
            <w:vAlign w:val="bottom"/>
          </w:tcPr>
          <w:p w14:paraId="0D3BEA69" w14:textId="17C2FD95" w:rsidR="00E9203F" w:rsidRPr="00177BE8" w:rsidRDefault="00E9203F" w:rsidP="00E9203F">
            <w:pPr>
              <w:spacing w:line="360" w:lineRule="auto"/>
              <w:jc w:val="right"/>
              <w:cnfStyle w:val="000000100000" w:firstRow="0" w:lastRow="0" w:firstColumn="0" w:lastColumn="0" w:oddVBand="0" w:evenVBand="0" w:oddHBand="1" w:evenHBand="0" w:firstRowFirstColumn="0" w:firstRowLastColumn="0" w:lastRowFirstColumn="0" w:lastRowLastColumn="0"/>
              <w:rPr>
                <w:sz w:val="18"/>
                <w:szCs w:val="18"/>
              </w:rPr>
            </w:pPr>
            <w:r w:rsidRPr="0076639E">
              <w:rPr>
                <w:rFonts w:cs="Calibri"/>
                <w:color w:val="000000"/>
                <w:sz w:val="18"/>
                <w:szCs w:val="18"/>
              </w:rPr>
              <w:t>70.6</w:t>
            </w:r>
          </w:p>
        </w:tc>
      </w:tr>
      <w:tr w:rsidR="00E9203F" w14:paraId="56F14583" w14:textId="77777777" w:rsidTr="0076639E">
        <w:tc>
          <w:tcPr>
            <w:cnfStyle w:val="001000000000" w:firstRow="0" w:lastRow="0" w:firstColumn="1" w:lastColumn="0" w:oddVBand="0" w:evenVBand="0" w:oddHBand="0" w:evenHBand="0" w:firstRowFirstColumn="0" w:firstRowLastColumn="0" w:lastRowFirstColumn="0" w:lastRowLastColumn="0"/>
            <w:tcW w:w="4531" w:type="dxa"/>
          </w:tcPr>
          <w:p w14:paraId="66128C27" w14:textId="389E275C" w:rsidR="00E9203F" w:rsidRPr="004F7413" w:rsidRDefault="00E9203F" w:rsidP="00E9203F">
            <w:pPr>
              <w:spacing w:line="360" w:lineRule="auto"/>
              <w:jc w:val="both"/>
              <w:rPr>
                <w:b w:val="0"/>
                <w:bCs w:val="0"/>
                <w:sz w:val="18"/>
                <w:szCs w:val="16"/>
              </w:rPr>
            </w:pPr>
            <w:r w:rsidRPr="004F7413">
              <w:rPr>
                <w:b w:val="0"/>
                <w:bCs w:val="0"/>
                <w:sz w:val="18"/>
                <w:szCs w:val="16"/>
              </w:rPr>
              <w:t>Ovarian cancer</w:t>
            </w:r>
          </w:p>
        </w:tc>
        <w:tc>
          <w:tcPr>
            <w:tcW w:w="1495" w:type="dxa"/>
            <w:vAlign w:val="bottom"/>
          </w:tcPr>
          <w:p w14:paraId="70979559" w14:textId="1BC2874F"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562</w:t>
            </w:r>
          </w:p>
        </w:tc>
        <w:tc>
          <w:tcPr>
            <w:tcW w:w="1495" w:type="dxa"/>
            <w:vAlign w:val="bottom"/>
          </w:tcPr>
          <w:p w14:paraId="024967BB" w14:textId="2CDBA877"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1297</w:t>
            </w:r>
          </w:p>
        </w:tc>
        <w:tc>
          <w:tcPr>
            <w:tcW w:w="1495" w:type="dxa"/>
            <w:vAlign w:val="bottom"/>
          </w:tcPr>
          <w:p w14:paraId="551D0FBA" w14:textId="594E1FB9" w:rsidR="00E9203F" w:rsidRPr="00177BE8" w:rsidRDefault="00E9203F" w:rsidP="00E9203F">
            <w:pPr>
              <w:spacing w:line="360" w:lineRule="auto"/>
              <w:jc w:val="right"/>
              <w:cnfStyle w:val="000000000000" w:firstRow="0" w:lastRow="0" w:firstColumn="0" w:lastColumn="0" w:oddVBand="0" w:evenVBand="0" w:oddHBand="0" w:evenHBand="0" w:firstRowFirstColumn="0" w:firstRowLastColumn="0" w:lastRowFirstColumn="0" w:lastRowLastColumn="0"/>
              <w:rPr>
                <w:sz w:val="18"/>
                <w:szCs w:val="18"/>
              </w:rPr>
            </w:pPr>
            <w:r w:rsidRPr="0076639E">
              <w:rPr>
                <w:rFonts w:cs="Calibri"/>
                <w:color w:val="000000"/>
                <w:sz w:val="18"/>
                <w:szCs w:val="18"/>
              </w:rPr>
              <w:t>43.3</w:t>
            </w:r>
          </w:p>
        </w:tc>
      </w:tr>
    </w:tbl>
    <w:p w14:paraId="223A92F1" w14:textId="77777777" w:rsidR="00E43A91" w:rsidRDefault="00E43A91" w:rsidP="00DA0270">
      <w:pPr>
        <w:jc w:val="both"/>
      </w:pPr>
    </w:p>
    <w:p w14:paraId="5D5C81CA" w14:textId="40E8E5E2" w:rsidR="00440492" w:rsidRDefault="00DC0C51" w:rsidP="00DA0270">
      <w:pPr>
        <w:jc w:val="both"/>
      </w:pPr>
      <w:r>
        <w:t>Figure 1</w:t>
      </w:r>
      <w:r w:rsidR="005764F6">
        <w:t xml:space="preserve"> illustrate</w:t>
      </w:r>
      <w:r w:rsidR="0042566E">
        <w:t>s</w:t>
      </w:r>
      <w:r w:rsidR="005764F6">
        <w:t xml:space="preserve"> </w:t>
      </w:r>
      <w:r w:rsidR="0042566E">
        <w:t xml:space="preserve">the monthly </w:t>
      </w:r>
      <w:r w:rsidR="005764F6">
        <w:t xml:space="preserve">pathology data alongside registry data for </w:t>
      </w:r>
      <w:r w:rsidR="0042566E">
        <w:t>a</w:t>
      </w:r>
      <w:r w:rsidR="00AA46CD">
        <w:t>ll cancers</w:t>
      </w:r>
      <w:r w:rsidR="0042566E">
        <w:t xml:space="preserve"> excluding NMSC</w:t>
      </w:r>
      <w:r w:rsidR="005A5EC8">
        <w:t xml:space="preserve">. </w:t>
      </w:r>
      <w:r w:rsidR="00440492">
        <w:t>Pathology samples accounted for around 7</w:t>
      </w:r>
      <w:r w:rsidR="00263668">
        <w:t>5</w:t>
      </w:r>
      <w:r w:rsidR="00440492">
        <w:t>% of WCISU cancer registration incident cases for a</w:t>
      </w:r>
      <w:r w:rsidR="00AA46CD">
        <w:t>ll cancers</w:t>
      </w:r>
      <w:r w:rsidR="00440492">
        <w:t xml:space="preserve"> excluding NMSC. </w:t>
      </w:r>
      <w:r w:rsidR="00027121">
        <w:t>Cancer diagnoses are not always confirmed via pathology tests, so comparability of pathology data to cancer registration data may vary for different cancer sites.</w:t>
      </w:r>
      <w:r w:rsidR="00AD1CDF">
        <w:t xml:space="preserve"> See </w:t>
      </w:r>
      <w:hyperlink w:anchor="_13_Appendix_D">
        <w:r w:rsidR="00AD1CDF" w:rsidRPr="36DACA0F">
          <w:rPr>
            <w:rStyle w:val="Hyperlink"/>
          </w:rPr>
          <w:t>Appendix D</w:t>
        </w:r>
      </w:hyperlink>
      <w:r w:rsidR="00AD1CDF">
        <w:t xml:space="preserve"> for charts illustrating the monthly pathology data alongside registry data for the other cancer sites analysed.</w:t>
      </w:r>
    </w:p>
    <w:p w14:paraId="2C065675" w14:textId="77777777" w:rsidR="00DC0C51" w:rsidRDefault="00DC0C51" w:rsidP="00DC0C51">
      <w:pPr>
        <w:jc w:val="both"/>
      </w:pPr>
      <w:r>
        <w:t xml:space="preserve">As described above, topography and morphology codes from the pathology data are converted into ICD-10 codes </w:t>
      </w:r>
      <w:proofErr w:type="gramStart"/>
      <w:r>
        <w:t>in order to</w:t>
      </w:r>
      <w:proofErr w:type="gramEnd"/>
      <w:r>
        <w:t xml:space="preserve"> present summarised statistics. There is no single, established lookup table for this conversion process; a bespoke, three-step process was developed using lookup tables provided by colleagues from other UK nations. This process may be adjusted in the future as the method is refined.</w:t>
      </w:r>
    </w:p>
    <w:p w14:paraId="0A2F8599" w14:textId="77777777" w:rsidR="00DC0C51" w:rsidRDefault="00DC0C51" w:rsidP="00DC0C51">
      <w:pPr>
        <w:jc w:val="both"/>
      </w:pPr>
      <w:r>
        <w:t xml:space="preserve">On average, of all pathology records with morphology indicating a primary malignant tumour, around 12% each year could not be matched to an ICD-10 code. </w:t>
      </w:r>
    </w:p>
    <w:p w14:paraId="4F9541B3" w14:textId="4D14B873" w:rsidR="00DC0C51" w:rsidRDefault="00DC0C51" w:rsidP="00DA0270">
      <w:pPr>
        <w:jc w:val="both"/>
      </w:pPr>
      <w:r>
        <w:t>The most recent points shown in the chart above are subject to minor changes as the data is updated due to data lags.</w:t>
      </w:r>
    </w:p>
    <w:p w14:paraId="1AE39A01" w14:textId="07155A65" w:rsidR="005E09FE" w:rsidRDefault="005E09FE" w:rsidP="00DA0270">
      <w:pPr>
        <w:jc w:val="both"/>
      </w:pPr>
    </w:p>
    <w:p w14:paraId="62514A54" w14:textId="29C1BB15" w:rsidR="005E09FE" w:rsidRDefault="005E09FE" w:rsidP="00DA0270">
      <w:pPr>
        <w:jc w:val="both"/>
      </w:pPr>
    </w:p>
    <w:p w14:paraId="154F664B" w14:textId="77777777" w:rsidR="00816726" w:rsidRDefault="005E09FE" w:rsidP="00C74405">
      <w:pPr>
        <w:jc w:val="center"/>
      </w:pPr>
      <w:r>
        <w:rPr>
          <w:noProof/>
          <w:lang w:eastAsia="en-GB"/>
        </w:rPr>
        <w:lastRenderedPageBreak/>
        <mc:AlternateContent>
          <mc:Choice Requires="wps">
            <w:drawing>
              <wp:anchor distT="45720" distB="45720" distL="114300" distR="114300" simplePos="0" relativeHeight="251658245" behindDoc="0" locked="0" layoutInCell="1" allowOverlap="1" wp14:anchorId="119CD682" wp14:editId="733DA627">
                <wp:simplePos x="0" y="0"/>
                <wp:positionH relativeFrom="margin">
                  <wp:posOffset>-78105</wp:posOffset>
                </wp:positionH>
                <wp:positionV relativeFrom="paragraph">
                  <wp:posOffset>12065</wp:posOffset>
                </wp:positionV>
                <wp:extent cx="6028055" cy="531495"/>
                <wp:effectExtent l="0" t="0" r="0" b="1905"/>
                <wp:wrapSquare wrapText="bothSides"/>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8055" cy="531495"/>
                        </a:xfrm>
                        <a:prstGeom prst="rect">
                          <a:avLst/>
                        </a:prstGeom>
                        <a:noFill/>
                        <a:ln w="9525">
                          <a:noFill/>
                          <a:miter lim="800000"/>
                          <a:headEnd/>
                          <a:tailEnd/>
                        </a:ln>
                      </wps:spPr>
                      <wps:txbx>
                        <w:txbxContent>
                          <w:p w14:paraId="5CC1374B" w14:textId="639D5CFE" w:rsidR="00176D76" w:rsidRPr="008308F9" w:rsidRDefault="00176D76" w:rsidP="008308F9">
                            <w:pPr>
                              <w:rPr>
                                <w:b/>
                                <w:bCs/>
                                <w:color w:val="000000" w:themeColor="text1"/>
                                <w:szCs w:val="24"/>
                              </w:rPr>
                            </w:pPr>
                            <w:r w:rsidRPr="008308F9">
                              <w:rPr>
                                <w:b/>
                                <w:bCs/>
                                <w:color w:val="000000" w:themeColor="text1"/>
                                <w:szCs w:val="24"/>
                              </w:rPr>
                              <w:t xml:space="preserve">Figure 1:  Monthly pathology samples vs monthly cancer registration data in Wales for all cancers excluding NMSC, </w:t>
                            </w:r>
                            <w:r w:rsidR="00175A1C" w:rsidRPr="008308F9">
                              <w:rPr>
                                <w:b/>
                                <w:bCs/>
                                <w:color w:val="000000" w:themeColor="text1"/>
                                <w:szCs w:val="24"/>
                              </w:rPr>
                              <w:t xml:space="preserve">persons, </w:t>
                            </w:r>
                            <w:r w:rsidRPr="008308F9">
                              <w:rPr>
                                <w:b/>
                                <w:bCs/>
                                <w:color w:val="000000" w:themeColor="text1"/>
                                <w:szCs w:val="24"/>
                              </w:rPr>
                              <w:t xml:space="preserve">January 2018 to December 2021.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19CD682" id="Text Box 20" o:spid="_x0000_s1029" type="#_x0000_t202" style="position:absolute;left:0;text-align:left;margin-left:-6.15pt;margin-top:.95pt;width:474.65pt;height:41.85pt;z-index:25165824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" filled="f" stroked="f">
                <v:textbox>
                  <w:txbxContent>
                    <w:p w14:paraId="5CC1374B" w14:textId="639D5CFE" w:rsidR="00176D76" w:rsidRPr="008308F9" w:rsidRDefault="00176D76" w:rsidP="008308F9">
                      <w:pPr>
                        <w:rPr>
                          <w:b/>
                          <w:bCs/>
                          <w:color w:val="000000" w:themeColor="text1"/>
                          <w:szCs w:val="24"/>
                        </w:rPr>
                      </w:pPr>
                      <w:r w:rsidRPr="008308F9">
                        <w:rPr>
                          <w:b/>
                          <w:bCs/>
                          <w:color w:val="000000" w:themeColor="text1"/>
                          <w:szCs w:val="24"/>
                        </w:rPr>
                        <w:t xml:space="preserve">Figure 1:  Monthly pathology samples vs monthly cancer registration data in Wales for all cancers excluding NMSC, </w:t>
                      </w:r>
                      <w:r w:rsidR="00175A1C" w:rsidRPr="008308F9">
                        <w:rPr>
                          <w:b/>
                          <w:bCs/>
                          <w:color w:val="000000" w:themeColor="text1"/>
                          <w:szCs w:val="24"/>
                        </w:rPr>
                        <w:t xml:space="preserve">persons, </w:t>
                      </w:r>
                      <w:r w:rsidRPr="008308F9">
                        <w:rPr>
                          <w:b/>
                          <w:bCs/>
                          <w:color w:val="000000" w:themeColor="text1"/>
                          <w:szCs w:val="24"/>
                        </w:rPr>
                        <w:t xml:space="preserve">January 2018 to December 2021.  </w:t>
                      </w:r>
                    </w:p>
                  </w:txbxContent>
                </v:textbox>
                <w10:wrap type="square" anchorx="margin"/>
              </v:shape>
            </w:pict>
          </mc:Fallback>
        </mc:AlternateContent>
      </w:r>
      <w:r w:rsidR="00685877">
        <w:rPr>
          <w:noProof/>
        </w:rPr>
        <w:drawing>
          <wp:inline distT="0" distB="0" distL="0" distR="0" wp14:anchorId="761206E8" wp14:editId="70F8BA77">
            <wp:extent cx="5950102" cy="3425072"/>
            <wp:effectExtent l="0" t="0" r="0" b="4445"/>
            <wp:docPr id="37634135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62548" cy="3432236"/>
                    </a:xfrm>
                    <a:prstGeom prst="rect">
                      <a:avLst/>
                    </a:prstGeom>
                    <a:noFill/>
                  </pic:spPr>
                </pic:pic>
              </a:graphicData>
            </a:graphic>
          </wp:inline>
        </w:drawing>
      </w:r>
    </w:p>
    <w:p w14:paraId="7B1061D0" w14:textId="77777777" w:rsidR="00816726" w:rsidRDefault="00816726" w:rsidP="00816726"/>
    <w:p w14:paraId="20F09318" w14:textId="73BED578" w:rsidR="00D27AF0" w:rsidRDefault="00816726" w:rsidP="00816726">
      <w:r w:rsidRPr="00816726">
        <w:t>These experimental statistics are due to be reviewed as the initial scope was limited to the years directly before and after the COVID-19 pandemic. Changes to the Welsh Laboratory Management Systems (WLIMs) and the use of the telepath database also need to be factored into the review. </w:t>
      </w:r>
      <w:r w:rsidR="00FB0F98">
        <w:br/>
      </w:r>
    </w:p>
    <w:p w14:paraId="06FBAB8A" w14:textId="48B1A653" w:rsidR="00026B97" w:rsidRPr="00026B97" w:rsidRDefault="00004822" w:rsidP="00E43A91">
      <w:pPr>
        <w:pStyle w:val="Heading2"/>
      </w:pPr>
      <w:bookmarkStart w:id="26" w:name="_Toc1231169712"/>
      <w:r>
        <w:t>2.</w:t>
      </w:r>
      <w:r w:rsidR="00C31D9E">
        <w:t>5</w:t>
      </w:r>
      <w:r>
        <w:t xml:space="preserve"> Reported Characteristics</w:t>
      </w:r>
      <w:bookmarkEnd w:id="26"/>
    </w:p>
    <w:p w14:paraId="1B7B12F8" w14:textId="3FB72A4B" w:rsidR="00004822" w:rsidRPr="00F10586" w:rsidRDefault="00004822" w:rsidP="7BDE8E7A">
      <w:pPr>
        <w:pStyle w:val="Heading3"/>
        <w:jc w:val="both"/>
        <w:rPr>
          <w:rFonts w:cstheme="minorBidi"/>
        </w:rPr>
      </w:pPr>
      <w:bookmarkStart w:id="27" w:name="_Toc1453501304"/>
      <w:r w:rsidRPr="7BDE8E7A">
        <w:rPr>
          <w:rFonts w:cstheme="minorBidi"/>
        </w:rPr>
        <w:t>2.</w:t>
      </w:r>
      <w:r w:rsidR="00C31D9E" w:rsidRPr="7BDE8E7A">
        <w:rPr>
          <w:rFonts w:cstheme="minorBidi"/>
        </w:rPr>
        <w:t>5.</w:t>
      </w:r>
      <w:r w:rsidRPr="7BDE8E7A">
        <w:rPr>
          <w:rFonts w:cstheme="minorBidi"/>
        </w:rPr>
        <w:t>1 Geographical area</w:t>
      </w:r>
      <w:bookmarkEnd w:id="27"/>
    </w:p>
    <w:p w14:paraId="5D5C7F77" w14:textId="407F50C8" w:rsidR="00004822" w:rsidRDefault="00004822" w:rsidP="00317A89">
      <w:pPr>
        <w:jc w:val="both"/>
      </w:pPr>
      <w:r>
        <w:t>Analysis presented by geographical area</w:t>
      </w:r>
      <w:r w:rsidR="00C43AAF">
        <w:t>;</w:t>
      </w:r>
      <w:r>
        <w:t xml:space="preserve"> namely local authority, health board and at an all-Wales level, is based on an individual’s usual area of residence at time of diagnosis for incidence and survival, and at time of death for mortality. </w:t>
      </w:r>
    </w:p>
    <w:p w14:paraId="28BD1E58" w14:textId="77777777" w:rsidR="00C43AAF" w:rsidRDefault="00004822" w:rsidP="00317A89">
      <w:pPr>
        <w:jc w:val="both"/>
      </w:pPr>
      <w:r>
        <w:t xml:space="preserve">There are seven health boards within Wales. As of 1st April 2019, these are: </w:t>
      </w:r>
    </w:p>
    <w:p w14:paraId="39AAF46A" w14:textId="1440EC4D" w:rsidR="00C43AAF" w:rsidRDefault="00004822" w:rsidP="00C43AAF">
      <w:pPr>
        <w:pStyle w:val="ListParagraph"/>
        <w:numPr>
          <w:ilvl w:val="0"/>
          <w:numId w:val="16"/>
        </w:numPr>
        <w:jc w:val="both"/>
      </w:pPr>
      <w:r>
        <w:t>Aneurin Bevan University Health Board</w:t>
      </w:r>
      <w:r w:rsidR="005C757B">
        <w:t xml:space="preserve"> (UHB)</w:t>
      </w:r>
    </w:p>
    <w:p w14:paraId="368A1EE3" w14:textId="77777777" w:rsidR="00C43AAF" w:rsidRDefault="00004822" w:rsidP="00C43AAF">
      <w:pPr>
        <w:pStyle w:val="ListParagraph"/>
        <w:numPr>
          <w:ilvl w:val="0"/>
          <w:numId w:val="16"/>
        </w:numPr>
        <w:jc w:val="both"/>
      </w:pPr>
      <w:r>
        <w:t>Betsi Cadwaladr University Health Board</w:t>
      </w:r>
    </w:p>
    <w:p w14:paraId="2705A805" w14:textId="77777777" w:rsidR="00C43AAF" w:rsidRDefault="00004822" w:rsidP="00C43AAF">
      <w:pPr>
        <w:pStyle w:val="ListParagraph"/>
        <w:numPr>
          <w:ilvl w:val="0"/>
          <w:numId w:val="16"/>
        </w:numPr>
        <w:jc w:val="both"/>
      </w:pPr>
      <w:r>
        <w:t>Cwm Taf Morgannwg University Health Board</w:t>
      </w:r>
    </w:p>
    <w:p w14:paraId="0BDCCF69" w14:textId="77777777" w:rsidR="00C43AAF" w:rsidRDefault="00004822" w:rsidP="00C43AAF">
      <w:pPr>
        <w:pStyle w:val="ListParagraph"/>
        <w:numPr>
          <w:ilvl w:val="0"/>
          <w:numId w:val="16"/>
        </w:numPr>
        <w:jc w:val="both"/>
      </w:pPr>
      <w:r>
        <w:t>Cardiff and Vale University Health Board</w:t>
      </w:r>
    </w:p>
    <w:p w14:paraId="57A21F7C" w14:textId="77777777" w:rsidR="00C43AAF" w:rsidRDefault="00004822" w:rsidP="00C43AAF">
      <w:pPr>
        <w:pStyle w:val="ListParagraph"/>
        <w:numPr>
          <w:ilvl w:val="0"/>
          <w:numId w:val="16"/>
        </w:numPr>
        <w:jc w:val="both"/>
      </w:pPr>
      <w:r>
        <w:t>Hywel Dda University Health Board</w:t>
      </w:r>
    </w:p>
    <w:p w14:paraId="4DD93CA7" w14:textId="77777777" w:rsidR="00C43AAF" w:rsidRDefault="00004822" w:rsidP="00C43AAF">
      <w:pPr>
        <w:pStyle w:val="ListParagraph"/>
        <w:numPr>
          <w:ilvl w:val="0"/>
          <w:numId w:val="16"/>
        </w:numPr>
        <w:jc w:val="both"/>
      </w:pPr>
      <w:r>
        <w:t>Powys Teaching Health Board</w:t>
      </w:r>
    </w:p>
    <w:p w14:paraId="726B3953" w14:textId="1F7E5D97" w:rsidR="00004822" w:rsidRDefault="00004822" w:rsidP="00C43AAF">
      <w:pPr>
        <w:pStyle w:val="ListParagraph"/>
        <w:numPr>
          <w:ilvl w:val="0"/>
          <w:numId w:val="16"/>
        </w:numPr>
        <w:jc w:val="both"/>
      </w:pPr>
      <w:r>
        <w:t xml:space="preserve">Swansea Bay University Health Board. </w:t>
      </w:r>
    </w:p>
    <w:p w14:paraId="5A583BE8" w14:textId="77777777" w:rsidR="00C43AAF" w:rsidRDefault="00004822" w:rsidP="00317A89">
      <w:pPr>
        <w:jc w:val="both"/>
      </w:pPr>
      <w:r>
        <w:t xml:space="preserve">Prior to 1st April 2019, the seven health boards were: </w:t>
      </w:r>
    </w:p>
    <w:p w14:paraId="48622AB3" w14:textId="6FFD98FB" w:rsidR="00C43AAF" w:rsidRDefault="00004822" w:rsidP="00C43AAF">
      <w:pPr>
        <w:pStyle w:val="ListParagraph"/>
        <w:numPr>
          <w:ilvl w:val="0"/>
          <w:numId w:val="17"/>
        </w:numPr>
        <w:jc w:val="both"/>
      </w:pPr>
      <w:r>
        <w:lastRenderedPageBreak/>
        <w:t xml:space="preserve">Abertawe Bro Morgannwg </w:t>
      </w:r>
      <w:r w:rsidR="005C757B">
        <w:t>UHB</w:t>
      </w:r>
    </w:p>
    <w:p w14:paraId="6B8ACB35" w14:textId="68412EF5" w:rsidR="00C43AAF" w:rsidRDefault="00004822" w:rsidP="00C43AAF">
      <w:pPr>
        <w:pStyle w:val="ListParagraph"/>
        <w:numPr>
          <w:ilvl w:val="0"/>
          <w:numId w:val="17"/>
        </w:numPr>
        <w:jc w:val="both"/>
      </w:pPr>
      <w:r>
        <w:t xml:space="preserve">Aneurin Bevan </w:t>
      </w:r>
      <w:r w:rsidR="005C757B">
        <w:t>UHB</w:t>
      </w:r>
    </w:p>
    <w:p w14:paraId="77815893" w14:textId="36508CE6" w:rsidR="00C43AAF" w:rsidRDefault="00004822" w:rsidP="00C43AAF">
      <w:pPr>
        <w:pStyle w:val="ListParagraph"/>
        <w:numPr>
          <w:ilvl w:val="0"/>
          <w:numId w:val="17"/>
        </w:numPr>
        <w:jc w:val="both"/>
      </w:pPr>
      <w:r>
        <w:t xml:space="preserve">Betsi Cadwaladr </w:t>
      </w:r>
      <w:r w:rsidR="005C757B">
        <w:t>UHB</w:t>
      </w:r>
    </w:p>
    <w:p w14:paraId="28BE6DFF" w14:textId="52FBB58A" w:rsidR="00C43AAF" w:rsidRDefault="00004822" w:rsidP="00C43AAF">
      <w:pPr>
        <w:pStyle w:val="ListParagraph"/>
        <w:numPr>
          <w:ilvl w:val="0"/>
          <w:numId w:val="17"/>
        </w:numPr>
        <w:jc w:val="both"/>
      </w:pPr>
      <w:r>
        <w:t xml:space="preserve">Cwm Taf </w:t>
      </w:r>
      <w:r w:rsidR="005C757B">
        <w:t>UHB</w:t>
      </w:r>
    </w:p>
    <w:p w14:paraId="48FD2E94" w14:textId="76845095" w:rsidR="00C43AAF" w:rsidRDefault="00004822" w:rsidP="00C43AAF">
      <w:pPr>
        <w:pStyle w:val="ListParagraph"/>
        <w:numPr>
          <w:ilvl w:val="0"/>
          <w:numId w:val="17"/>
        </w:numPr>
        <w:jc w:val="both"/>
      </w:pPr>
      <w:r>
        <w:t xml:space="preserve">Cardiff and Vale </w:t>
      </w:r>
      <w:r w:rsidR="005C757B">
        <w:t>UHB</w:t>
      </w:r>
    </w:p>
    <w:p w14:paraId="14FDDED4" w14:textId="6E670CCF" w:rsidR="00C43AAF" w:rsidRDefault="00004822" w:rsidP="00C43AAF">
      <w:pPr>
        <w:pStyle w:val="ListParagraph"/>
        <w:numPr>
          <w:ilvl w:val="0"/>
          <w:numId w:val="17"/>
        </w:numPr>
        <w:jc w:val="both"/>
      </w:pPr>
      <w:r>
        <w:t xml:space="preserve">Hywel Dda </w:t>
      </w:r>
      <w:r w:rsidR="005C757B">
        <w:t>UHB</w:t>
      </w:r>
    </w:p>
    <w:p w14:paraId="3D62C6A8" w14:textId="7D7547D2" w:rsidR="00004822" w:rsidRDefault="00004822" w:rsidP="00C43AAF">
      <w:pPr>
        <w:pStyle w:val="ListParagraph"/>
        <w:numPr>
          <w:ilvl w:val="0"/>
          <w:numId w:val="17"/>
        </w:numPr>
        <w:jc w:val="both"/>
      </w:pPr>
      <w:r>
        <w:t xml:space="preserve">Powys Teaching </w:t>
      </w:r>
      <w:r w:rsidR="005C757B">
        <w:t>HB</w:t>
      </w:r>
      <w:r>
        <w:t xml:space="preserve">. </w:t>
      </w:r>
    </w:p>
    <w:p w14:paraId="727BE4C3" w14:textId="5D7AFB50" w:rsidR="00004822" w:rsidRDefault="00004822" w:rsidP="00317A89">
      <w:pPr>
        <w:jc w:val="both"/>
      </w:pPr>
      <w:r>
        <w:t xml:space="preserve">On 1st April 2019 the responsibility for healthcare services in Bridgend County Borough Council area transferred to Cwm Taf </w:t>
      </w:r>
      <w:r w:rsidR="005C757B">
        <w:t>UHB</w:t>
      </w:r>
      <w:r>
        <w:t xml:space="preserve"> (now Cwm Taf Morgannwg </w:t>
      </w:r>
      <w:r w:rsidR="005C757B">
        <w:t>UHB</w:t>
      </w:r>
      <w:r>
        <w:t xml:space="preserve">) from Abertawe Bro Morgannwg </w:t>
      </w:r>
      <w:r w:rsidR="005C757B">
        <w:t>UHB</w:t>
      </w:r>
      <w:r>
        <w:t xml:space="preserve"> (now Swansea Bay </w:t>
      </w:r>
      <w:r w:rsidR="005C757B">
        <w:t>UHB</w:t>
      </w:r>
      <w:r>
        <w:t xml:space="preserve">), with the </w:t>
      </w:r>
      <w:r w:rsidR="005C757B">
        <w:t>health board</w:t>
      </w:r>
      <w:r>
        <w:t xml:space="preserve"> boundary moving accordingly. As such, the names of the </w:t>
      </w:r>
      <w:r w:rsidR="005C757B">
        <w:t>health boards</w:t>
      </w:r>
      <w:r>
        <w:t xml:space="preserve"> changed to reflect the new geographical boundaries. </w:t>
      </w:r>
    </w:p>
    <w:p w14:paraId="7C2401AB" w14:textId="014D5A9C" w:rsidR="00790E6C" w:rsidRDefault="00004822" w:rsidP="00317A89">
      <w:pPr>
        <w:jc w:val="both"/>
      </w:pPr>
      <w:r>
        <w:t>All analys</w:t>
      </w:r>
      <w:r w:rsidR="00C43AAF">
        <w:t>es</w:t>
      </w:r>
      <w:r>
        <w:t xml:space="preserve"> in this publication are reported using the current health board boundaries, including years prior to 1st April 2019. There are 22 local authority areas in Wales. They were established in 1996 and are nested within the health board areas. </w:t>
      </w:r>
    </w:p>
    <w:p w14:paraId="0F99B824" w14:textId="77777777" w:rsidR="00790E6C" w:rsidRDefault="00790E6C" w:rsidP="00317A89">
      <w:pPr>
        <w:jc w:val="both"/>
      </w:pPr>
    </w:p>
    <w:p w14:paraId="411315C2" w14:textId="1BBC21CC" w:rsidR="00004822" w:rsidRPr="00F10586" w:rsidRDefault="00004822" w:rsidP="7BDE8E7A">
      <w:pPr>
        <w:pStyle w:val="Heading3"/>
        <w:jc w:val="both"/>
        <w:rPr>
          <w:rFonts w:cstheme="minorBidi"/>
        </w:rPr>
      </w:pPr>
      <w:bookmarkStart w:id="28" w:name="_Toc470824781"/>
      <w:r w:rsidRPr="7BDE8E7A">
        <w:rPr>
          <w:rFonts w:cstheme="minorBidi"/>
        </w:rPr>
        <w:t>2.</w:t>
      </w:r>
      <w:r w:rsidR="00C31D9E" w:rsidRPr="7BDE8E7A">
        <w:rPr>
          <w:rFonts w:cstheme="minorBidi"/>
        </w:rPr>
        <w:t>5</w:t>
      </w:r>
      <w:r w:rsidRPr="7BDE8E7A">
        <w:rPr>
          <w:rFonts w:cstheme="minorBidi"/>
        </w:rPr>
        <w:t>.2 Area Deprivation</w:t>
      </w:r>
      <w:bookmarkEnd w:id="28"/>
    </w:p>
    <w:p w14:paraId="63CA1166" w14:textId="678B9774" w:rsidR="00004822" w:rsidRDefault="00004822" w:rsidP="00317A89">
      <w:pPr>
        <w:jc w:val="both"/>
      </w:pPr>
      <w:r>
        <w:t>Analysis by deprivation is presented by deprivation fifths. The Welsh Index of Multiple Deprivation (WIMD) is the official measure of relative deprivation at small area level in Wales. WIMD is made up of eight separate domains of deprivation: income</w:t>
      </w:r>
      <w:r w:rsidR="007E5409">
        <w:t xml:space="preserve">, </w:t>
      </w:r>
      <w:r>
        <w:t>employment</w:t>
      </w:r>
      <w:r w:rsidR="007E5409">
        <w:t xml:space="preserve">, </w:t>
      </w:r>
      <w:r>
        <w:t>health</w:t>
      </w:r>
      <w:r w:rsidR="007E5409">
        <w:t xml:space="preserve">, </w:t>
      </w:r>
      <w:r>
        <w:t>education</w:t>
      </w:r>
      <w:r w:rsidR="007E5409">
        <w:t xml:space="preserve">, </w:t>
      </w:r>
      <w:r>
        <w:t>housing</w:t>
      </w:r>
      <w:r w:rsidR="007E5409">
        <w:t xml:space="preserve">, </w:t>
      </w:r>
      <w:r>
        <w:t>access to services</w:t>
      </w:r>
      <w:r w:rsidR="007E5409">
        <w:t xml:space="preserve">, </w:t>
      </w:r>
      <w:r>
        <w:t>environment</w:t>
      </w:r>
      <w:r w:rsidR="007E5409">
        <w:t xml:space="preserve">, </w:t>
      </w:r>
      <w:r>
        <w:t xml:space="preserve">and community safety. </w:t>
      </w:r>
    </w:p>
    <w:p w14:paraId="239DCDA9" w14:textId="0CC3C82E" w:rsidR="0023536D" w:rsidRDefault="06C99F5C" w:rsidP="00317A89">
      <w:pPr>
        <w:jc w:val="both"/>
      </w:pPr>
      <w:r>
        <w:t>WIMD is used to give an overall deprivation rank for each of the 1,909 LSOA</w:t>
      </w:r>
      <w:r w:rsidR="0539884C">
        <w:t>s</w:t>
      </w:r>
      <w:r>
        <w:t xml:space="preserve"> in Wales and to </w:t>
      </w:r>
      <w:r w:rsidR="67C468A2">
        <w:t>provide</w:t>
      </w:r>
      <w:r>
        <w:t xml:space="preserve"> ranks for the separate deprivation domains for each of the LSOAs. </w:t>
      </w:r>
    </w:p>
    <w:p w14:paraId="07551D5C" w14:textId="6559CD7E" w:rsidR="0023536D" w:rsidRDefault="00004822" w:rsidP="00317A89">
      <w:pPr>
        <w:jc w:val="both"/>
      </w:pPr>
      <w:r>
        <w:t xml:space="preserve">Deprivation ranks are calculated for each LSOA in Wales. One area has a higher deprivation rank than another if the proportion of people living there that are classed as deprived is higher. The most deprived area is ranked as </w:t>
      </w:r>
      <w:r w:rsidR="007E5409">
        <w:t>1</w:t>
      </w:r>
      <w:r>
        <w:t xml:space="preserve"> and the least deprived area is ranked as 1,909. WIMD is an ecological measure whereas individuals within an area (LSOA in this instance) may vary. Not everyone living in a deprived area is deprived and not all deprived people live in deprived areas. An area itself is not deprived, it is the circumstances and lifestyle of people who are living there that affects its deprivation ranks. </w:t>
      </w:r>
    </w:p>
    <w:p w14:paraId="1DC3969C" w14:textId="77777777" w:rsidR="0023536D" w:rsidRDefault="00004822" w:rsidP="00317A89">
      <w:pPr>
        <w:jc w:val="both"/>
      </w:pPr>
      <w:r>
        <w:t xml:space="preserve">Each of the eight domains are based on a range of different indicators. The domain indices are weighted and combined into an overall index of multiple deprivation. </w:t>
      </w:r>
    </w:p>
    <w:p w14:paraId="0DFDA452" w14:textId="779DE0F0" w:rsidR="0023536D" w:rsidRDefault="460BE48B" w:rsidP="69ACC922">
      <w:pPr>
        <w:jc w:val="both"/>
      </w:pPr>
      <w:r>
        <w:t>The deprivation fifths (1 = least deprived; 5 = most deprived) are based on the population, with an equal number of LSOAs in each fifth. This publication uses LSOA deprivation ranks from WIMD 2019. Further details on WIMD can be found</w:t>
      </w:r>
      <w:r w:rsidR="470817CA">
        <w:t xml:space="preserve"> </w:t>
      </w:r>
      <w:hyperlink r:id="rId18">
        <w:r w:rsidR="470817CA" w:rsidRPr="52B56BA6">
          <w:rPr>
            <w:rStyle w:val="Hyperlink"/>
          </w:rPr>
          <w:t>here</w:t>
        </w:r>
      </w:hyperlink>
      <w:r w:rsidR="470817CA">
        <w:t>.</w:t>
      </w:r>
      <w:r>
        <w:t xml:space="preserve"> </w:t>
      </w:r>
    </w:p>
    <w:p w14:paraId="11704A55" w14:textId="173C65A0" w:rsidR="2222F6E4" w:rsidRDefault="2222F6E4" w:rsidP="3661C7DE">
      <w:pPr>
        <w:jc w:val="both"/>
        <w:rPr>
          <w:rFonts w:eastAsia="Ubuntu Light" w:cs="Ubuntu Light"/>
        </w:rPr>
      </w:pPr>
      <w:r w:rsidRPr="41683809">
        <w:rPr>
          <w:rFonts w:eastAsia="Ubuntu Light" w:cs="Ubuntu Light"/>
        </w:rPr>
        <w:t xml:space="preserve">The most recent </w:t>
      </w:r>
      <w:r w:rsidR="007E6887" w:rsidRPr="41683809">
        <w:rPr>
          <w:rFonts w:eastAsia="Ubuntu Light" w:cs="Ubuntu Light"/>
        </w:rPr>
        <w:t xml:space="preserve">incidence, </w:t>
      </w:r>
      <w:r w:rsidRPr="41683809">
        <w:rPr>
          <w:rFonts w:eastAsia="Ubuntu Light" w:cs="Ubuntu Light"/>
        </w:rPr>
        <w:t>survival</w:t>
      </w:r>
      <w:r w:rsidR="00A25763" w:rsidRPr="41683809">
        <w:rPr>
          <w:rFonts w:eastAsia="Ubuntu Light" w:cs="Ubuntu Light"/>
        </w:rPr>
        <w:t xml:space="preserve"> and mortality</w:t>
      </w:r>
      <w:r w:rsidRPr="41683809">
        <w:rPr>
          <w:rFonts w:eastAsia="Ubuntu Light" w:cs="Ubuntu Light"/>
        </w:rPr>
        <w:t xml:space="preserve"> analysis utilised the rebased population data. T</w:t>
      </w:r>
      <w:r w:rsidR="39AA3E84" w:rsidRPr="41683809">
        <w:rPr>
          <w:rFonts w:eastAsia="Ubuntu Light" w:cs="Ubuntu Light"/>
        </w:rPr>
        <w:t>he rebasing of population estimates following C</w:t>
      </w:r>
      <w:r w:rsidR="762FD8BC" w:rsidRPr="41683809">
        <w:rPr>
          <w:rFonts w:eastAsia="Ubuntu Light" w:cs="Ubuntu Light"/>
        </w:rPr>
        <w:t>ensus 2021</w:t>
      </w:r>
      <w:r w:rsidR="39AA3E84" w:rsidRPr="41683809">
        <w:rPr>
          <w:rFonts w:eastAsia="Ubuntu Light" w:cs="Ubuntu Light"/>
        </w:rPr>
        <w:t xml:space="preserve"> resulted in structural changes in LSOAs</w:t>
      </w:r>
      <w:r w:rsidR="72B0D3B9" w:rsidRPr="41683809">
        <w:rPr>
          <w:rFonts w:eastAsia="Ubuntu Light" w:cs="Ubuntu Light"/>
        </w:rPr>
        <w:t xml:space="preserve"> so </w:t>
      </w:r>
      <w:r w:rsidR="39AA3E84" w:rsidRPr="41683809">
        <w:rPr>
          <w:rFonts w:eastAsia="Ubuntu Light" w:cs="Ubuntu Light"/>
        </w:rPr>
        <w:t xml:space="preserve">direct mapping to WIMD19 was not </w:t>
      </w:r>
      <w:r w:rsidR="39AA3E84" w:rsidRPr="41683809">
        <w:rPr>
          <w:rFonts w:eastAsia="Ubuntu Light" w:cs="Ubuntu Light"/>
        </w:rPr>
        <w:lastRenderedPageBreak/>
        <w:t xml:space="preserve">possible. To address this, when LSOAs were split, the pre-split WIMD19 quintile score was assigned to each of the newly created LSOAs. In cases where LSOAs with the same quintile scores merged, the original quintile score was retained. However, when LSOAs with different quintile scores merged, the most deprived quintile score among them was assigned to the new merged area. </w:t>
      </w:r>
      <w:r w:rsidR="76E7A7F2" w:rsidRPr="41683809">
        <w:rPr>
          <w:rFonts w:eastAsia="Ubuntu Light" w:cs="Ubuntu Light"/>
        </w:rPr>
        <w:t>This approach ensured that deprivation data remained intact while benefiting from the improved accuracy of the rebased population estimates.</w:t>
      </w:r>
    </w:p>
    <w:p w14:paraId="06879C79" w14:textId="77777777" w:rsidR="00DC0C51" w:rsidRDefault="00DC0C51" w:rsidP="00317A89">
      <w:pPr>
        <w:jc w:val="both"/>
        <w:rPr>
          <w:rFonts w:cstheme="minorHAnsi"/>
        </w:rPr>
      </w:pPr>
    </w:p>
    <w:p w14:paraId="5353E3DE" w14:textId="3362612E" w:rsidR="0023536D" w:rsidRPr="00F10586" w:rsidRDefault="0023536D" w:rsidP="7BDE8E7A">
      <w:pPr>
        <w:pStyle w:val="Heading3"/>
        <w:jc w:val="both"/>
        <w:rPr>
          <w:rFonts w:cstheme="minorBidi"/>
        </w:rPr>
      </w:pPr>
      <w:bookmarkStart w:id="29" w:name="_Toc2049139921"/>
      <w:r w:rsidRPr="7BDE8E7A">
        <w:rPr>
          <w:rFonts w:cstheme="minorBidi"/>
        </w:rPr>
        <w:t>2.</w:t>
      </w:r>
      <w:r w:rsidR="00C31D9E" w:rsidRPr="7BDE8E7A">
        <w:rPr>
          <w:rFonts w:cstheme="minorBidi"/>
        </w:rPr>
        <w:t>5</w:t>
      </w:r>
      <w:r w:rsidRPr="7BDE8E7A">
        <w:rPr>
          <w:rFonts w:cstheme="minorBidi"/>
        </w:rPr>
        <w:t>.3 Staging</w:t>
      </w:r>
      <w:bookmarkEnd w:id="29"/>
    </w:p>
    <w:p w14:paraId="2579941C" w14:textId="0D0AADEB" w:rsidR="0023536D" w:rsidRPr="000D5429" w:rsidRDefault="0023536D" w:rsidP="00317A89">
      <w:pPr>
        <w:jc w:val="both"/>
      </w:pPr>
      <w:r w:rsidRPr="000D5429">
        <w:t>Great strides have been made to improve the completeness of cancer staging data, allowing cancer by stage in Wales to be presented from 2011</w:t>
      </w:r>
      <w:r w:rsidR="00207020" w:rsidRPr="000D5429">
        <w:t xml:space="preserve"> for incidence and survival analysis</w:t>
      </w:r>
      <w:r w:rsidR="001D3E19" w:rsidRPr="000D5429">
        <w:t xml:space="preserve"> </w:t>
      </w:r>
      <w:r w:rsidR="001D3E19" w:rsidRPr="00D2393C">
        <w:t>for malignant cancers</w:t>
      </w:r>
      <w:r w:rsidRPr="000D5429">
        <w:t xml:space="preserve">. </w:t>
      </w:r>
    </w:p>
    <w:p w14:paraId="4D9D70FD" w14:textId="7363C029" w:rsidR="00207020" w:rsidRPr="00B936DF" w:rsidRDefault="0023536D" w:rsidP="41683809">
      <w:pPr>
        <w:jc w:val="both"/>
      </w:pPr>
      <w:r>
        <w:t>Stage at diagnosis refers to the size of a tumour and how far it has spread from where it originated. Stage is measured from 1 to 4; stage 1 indicates that the cancer is small and has not spread anywhere, whereas stage 4 indicates the cancer has spread to at least one other body organ. Stage 1 and stage 2 are usually referred to as early stage, whereas stage 3 and stage 4 are referred to as late stage at diagnosis</w:t>
      </w:r>
      <w:r w:rsidRPr="41683809">
        <w:rPr>
          <w:color w:val="FF0000"/>
        </w:rPr>
        <w:t xml:space="preserve">. </w:t>
      </w:r>
      <w:r w:rsidR="00207020">
        <w:t>Cases of cancer recorded on the cancer registry may have an unknown stage for many reasons</w:t>
      </w:r>
      <w:r w:rsidR="001D3E19">
        <w:t>: patients might be too ill or turn down diagnostic tests to allow clinical staging. In addition, there might be insufficient clinical data received to be able to derive cancer re</w:t>
      </w:r>
      <w:r w:rsidR="001D3E19" w:rsidRPr="41683809">
        <w:t>gistry stage</w:t>
      </w:r>
      <w:r w:rsidR="00207020" w:rsidRPr="41683809">
        <w:t xml:space="preserve">. </w:t>
      </w:r>
      <w:r w:rsidR="001D3E19" w:rsidRPr="41683809">
        <w:t xml:space="preserve">Also, </w:t>
      </w:r>
      <w:r w:rsidR="00FB029E" w:rsidRPr="41683809">
        <w:t xml:space="preserve">a minority of </w:t>
      </w:r>
      <w:r w:rsidR="00207020" w:rsidRPr="41683809">
        <w:t>cancer</w:t>
      </w:r>
      <w:r w:rsidR="0011208D" w:rsidRPr="41683809">
        <w:t xml:space="preserve"> type</w:t>
      </w:r>
      <w:r w:rsidR="00207020" w:rsidRPr="41683809">
        <w:t xml:space="preserve">s </w:t>
      </w:r>
      <w:r w:rsidR="2FA54AF6" w:rsidRPr="41683809">
        <w:t>cannot</w:t>
      </w:r>
      <w:r w:rsidR="00207020" w:rsidRPr="41683809">
        <w:t xml:space="preserve"> be staged. </w:t>
      </w:r>
    </w:p>
    <w:p w14:paraId="4B865B71" w14:textId="014607FE" w:rsidR="00F96F12" w:rsidRDefault="0023536D" w:rsidP="00317A89">
      <w:pPr>
        <w:jc w:val="both"/>
      </w:pPr>
      <w:r>
        <w:t>Stage grouping in this report refers to overall TNM</w:t>
      </w:r>
      <w:r w:rsidR="00BE6425">
        <w:rPr>
          <w:rStyle w:val="FootnoteReference"/>
          <w:rFonts w:ascii="Verdana" w:hAnsi="Verdana"/>
          <w:sz w:val="20"/>
          <w:szCs w:val="20"/>
        </w:rPr>
        <w:footnoteReference w:id="6"/>
      </w:r>
      <w:r>
        <w:t xml:space="preserve"> stage grouping. From 2018, </w:t>
      </w:r>
      <w:proofErr w:type="gramStart"/>
      <w:r>
        <w:t>the majority of</w:t>
      </w:r>
      <w:proofErr w:type="gramEnd"/>
      <w:r>
        <w:t xml:space="preserve"> cancer types are staged in TNM version 8. Female genital tract </w:t>
      </w:r>
      <w:r w:rsidR="00D71330">
        <w:t xml:space="preserve">cancer </w:t>
      </w:r>
      <w:r>
        <w:t>also use</w:t>
      </w:r>
      <w:r w:rsidR="00D71330">
        <w:t>s</w:t>
      </w:r>
      <w:r>
        <w:t xml:space="preserve"> FIGO staging which can usually be mapped directly to TNM stage. A change in TNM version can result in a noticeable redistribution between stage groups for some tumour sites, for example, TNM version 7 was introduced in 2016 which resulted in an increase in stage 1 and a reduction </w:t>
      </w:r>
      <w:r w:rsidR="00D71330">
        <w:t>in</w:t>
      </w:r>
      <w:r>
        <w:t xml:space="preserve"> stage 2 for prostate cancers. </w:t>
      </w:r>
    </w:p>
    <w:p w14:paraId="7281D1EA" w14:textId="393551FB" w:rsidR="73C96863" w:rsidRDefault="73C96863" w:rsidP="6977084A">
      <w:pPr>
        <w:spacing w:line="257" w:lineRule="auto"/>
        <w:jc w:val="both"/>
        <w:rPr>
          <w:rFonts w:eastAsia="Ubuntu Light" w:cs="Ubuntu Light"/>
        </w:rPr>
      </w:pPr>
      <w:r w:rsidRPr="7BDE8E7A">
        <w:rPr>
          <w:rFonts w:eastAsia="Ubuntu Light" w:cs="Ubuntu Light"/>
        </w:rPr>
        <w:t xml:space="preserve">In March 2024, changes were implemented in the </w:t>
      </w:r>
      <w:r w:rsidR="5BB02261">
        <w:t>national cancer registry</w:t>
      </w:r>
      <w:r w:rsidR="79F2B6A5">
        <w:t xml:space="preserve"> database</w:t>
      </w:r>
      <w:r w:rsidR="5BB02261" w:rsidRPr="7BDE8E7A">
        <w:rPr>
          <w:rFonts w:eastAsia="Ubuntu Light" w:cs="Ubuntu Light"/>
        </w:rPr>
        <w:t xml:space="preserve"> </w:t>
      </w:r>
      <w:r w:rsidRPr="7BDE8E7A">
        <w:rPr>
          <w:rFonts w:eastAsia="Ubuntu Light" w:cs="Ubuntu Light"/>
        </w:rPr>
        <w:t xml:space="preserve">to improve the handling of stage fields. The key update was the consolidation of the STAGE_BEST and STAGE_PI_DETAIL fields into a single field for diagnoses 2013 onwards. </w:t>
      </w:r>
      <w:r w:rsidR="1680A0A4" w:rsidRPr="7BDE8E7A">
        <w:rPr>
          <w:rFonts w:eastAsia="Ubuntu Light" w:cs="Ubuntu Light"/>
        </w:rPr>
        <w:t xml:space="preserve">To ensure consistency in reporting stage across UK publications, </w:t>
      </w:r>
      <w:r w:rsidRPr="7BDE8E7A">
        <w:rPr>
          <w:rFonts w:eastAsia="Ubuntu Light" w:cs="Ubuntu Light"/>
        </w:rPr>
        <w:t>STAGE_BEST now only contains stage values for tumours considered stageable by the UKIACR Performance Indicators (PIs).</w:t>
      </w:r>
      <w:r w:rsidR="664EB7DE" w:rsidRPr="7BDE8E7A">
        <w:rPr>
          <w:rFonts w:eastAsia="Ubuntu Light" w:cs="Ubuntu Light"/>
        </w:rPr>
        <w:t xml:space="preserve"> </w:t>
      </w:r>
      <w:r w:rsidRPr="7BDE8E7A">
        <w:rPr>
          <w:rFonts w:eastAsia="Ubuntu Light" w:cs="Ubuntu Light"/>
        </w:rPr>
        <w:t xml:space="preserve">As a result of these changes, </w:t>
      </w:r>
      <w:r w:rsidR="77E4B34D" w:rsidRPr="7BDE8E7A">
        <w:rPr>
          <w:rFonts w:eastAsia="Ubuntu Light" w:cs="Ubuntu Light"/>
        </w:rPr>
        <w:t xml:space="preserve">a small number of </w:t>
      </w:r>
      <w:r w:rsidRPr="7BDE8E7A">
        <w:rPr>
          <w:rFonts w:eastAsia="Ubuntu Light" w:cs="Ubuntu Light"/>
        </w:rPr>
        <w:t xml:space="preserve">cases that </w:t>
      </w:r>
      <w:r w:rsidR="6FBEFEA0" w:rsidRPr="7BDE8E7A">
        <w:rPr>
          <w:rFonts w:eastAsia="Ubuntu Light" w:cs="Ubuntu Light"/>
        </w:rPr>
        <w:t xml:space="preserve">previously </w:t>
      </w:r>
      <w:r w:rsidRPr="7BDE8E7A">
        <w:rPr>
          <w:rFonts w:eastAsia="Ubuntu Light" w:cs="Ubuntu Light"/>
        </w:rPr>
        <w:t>appear</w:t>
      </w:r>
      <w:r w:rsidR="06D69868" w:rsidRPr="7BDE8E7A">
        <w:rPr>
          <w:rFonts w:eastAsia="Ubuntu Light" w:cs="Ubuntu Light"/>
        </w:rPr>
        <w:t>ed</w:t>
      </w:r>
      <w:r w:rsidRPr="7BDE8E7A">
        <w:rPr>
          <w:rFonts w:eastAsia="Ubuntu Light" w:cs="Ubuntu Light"/>
        </w:rPr>
        <w:t xml:space="preserve"> staged</w:t>
      </w:r>
      <w:r w:rsidR="4A4D3E91" w:rsidRPr="7BDE8E7A">
        <w:rPr>
          <w:rFonts w:eastAsia="Ubuntu Light" w:cs="Ubuntu Light"/>
        </w:rPr>
        <w:t xml:space="preserve"> in groups 1-4</w:t>
      </w:r>
      <w:r w:rsidRPr="7BDE8E7A">
        <w:rPr>
          <w:rFonts w:eastAsia="Ubuntu Light" w:cs="Ubuntu Light"/>
        </w:rPr>
        <w:t xml:space="preserve"> may </w:t>
      </w:r>
      <w:r w:rsidR="171C44EB" w:rsidRPr="7BDE8E7A">
        <w:rPr>
          <w:rFonts w:eastAsia="Ubuntu Light" w:cs="Ubuntu Light"/>
        </w:rPr>
        <w:t>now appear as stage unknown</w:t>
      </w:r>
      <w:r w:rsidRPr="7BDE8E7A">
        <w:rPr>
          <w:rFonts w:eastAsia="Ubuntu Light" w:cs="Ubuntu Light"/>
        </w:rPr>
        <w:t xml:space="preserve">. </w:t>
      </w:r>
      <w:r w:rsidR="00482210">
        <w:t>Caution is advised when comparing cancer incidence and survival by stage in publications before and after March 2024</w:t>
      </w:r>
      <w:r w:rsidR="00FB6CF5">
        <w:t>.</w:t>
      </w:r>
    </w:p>
    <w:p w14:paraId="1A5212C0" w14:textId="2ABDCCFD" w:rsidR="57D50005" w:rsidRDefault="57D50005" w:rsidP="41683809">
      <w:pPr>
        <w:spacing w:line="257" w:lineRule="auto"/>
        <w:jc w:val="both"/>
      </w:pPr>
      <w:r w:rsidRPr="7BDE8E7A">
        <w:lastRenderedPageBreak/>
        <w:t xml:space="preserve">Due to disclosure issues, we only show all Wales figures by stage and </w:t>
      </w:r>
      <w:r w:rsidR="17558521" w:rsidRPr="7BDE8E7A">
        <w:t>remove</w:t>
      </w:r>
      <w:r w:rsidRPr="7BDE8E7A">
        <w:t xml:space="preserve"> cancer sites wh</w:t>
      </w:r>
      <w:r w:rsidR="263223D7" w:rsidRPr="7BDE8E7A">
        <w:t>ich</w:t>
      </w:r>
      <w:r w:rsidRPr="7BDE8E7A">
        <w:t xml:space="preserve"> have any counts with proportions of 100% for known stages.</w:t>
      </w:r>
    </w:p>
    <w:p w14:paraId="76AD52E8" w14:textId="77777777" w:rsidR="00DC0C51" w:rsidRDefault="00DC0C51" w:rsidP="41683809">
      <w:pPr>
        <w:jc w:val="both"/>
      </w:pPr>
    </w:p>
    <w:p w14:paraId="4C3B7A6D" w14:textId="34245286" w:rsidR="00B64137" w:rsidRPr="00F10586" w:rsidRDefault="00B64137" w:rsidP="7BDE8E7A">
      <w:pPr>
        <w:pStyle w:val="Heading3"/>
        <w:jc w:val="both"/>
        <w:rPr>
          <w:rFonts w:cstheme="minorBidi"/>
        </w:rPr>
      </w:pPr>
      <w:bookmarkStart w:id="30" w:name="_Toc1729863578"/>
      <w:r w:rsidRPr="7BDE8E7A">
        <w:rPr>
          <w:rFonts w:cstheme="minorBidi"/>
        </w:rPr>
        <w:t>2.</w:t>
      </w:r>
      <w:r w:rsidR="00C31D9E" w:rsidRPr="7BDE8E7A">
        <w:rPr>
          <w:rFonts w:cstheme="minorBidi"/>
        </w:rPr>
        <w:t>5</w:t>
      </w:r>
      <w:r w:rsidRPr="7BDE8E7A">
        <w:rPr>
          <w:rFonts w:cstheme="minorBidi"/>
        </w:rPr>
        <w:t>.</w:t>
      </w:r>
      <w:r w:rsidR="00361588" w:rsidRPr="7BDE8E7A">
        <w:rPr>
          <w:rFonts w:cstheme="minorBidi"/>
        </w:rPr>
        <w:t>4</w:t>
      </w:r>
      <w:r w:rsidRPr="7BDE8E7A">
        <w:rPr>
          <w:rFonts w:cstheme="minorBidi"/>
        </w:rPr>
        <w:t xml:space="preserve"> Impact of COVID-19</w:t>
      </w:r>
      <w:bookmarkEnd w:id="30"/>
    </w:p>
    <w:p w14:paraId="3D3B7DC0" w14:textId="3D31AC3E" w:rsidR="00207020" w:rsidRDefault="6B929B82" w:rsidP="00317A89">
      <w:pPr>
        <w:jc w:val="both"/>
      </w:pPr>
      <w:r>
        <w:t>Due to the Covid-19 pandemic, which began in 2020, additional analys</w:t>
      </w:r>
      <w:r w:rsidR="4B2DFEE3">
        <w:t>i</w:t>
      </w:r>
      <w:r w:rsidR="096DBD35">
        <w:t>s</w:t>
      </w:r>
      <w:r>
        <w:t xml:space="preserve"> has been compiled</w:t>
      </w:r>
      <w:r w:rsidR="5C2E4733">
        <w:t>,</w:t>
      </w:r>
      <w:r>
        <w:t xml:space="preserve"> </w:t>
      </w:r>
      <w:r w:rsidR="5C2E4733">
        <w:t xml:space="preserve">for all cancers reported on in this publication, </w:t>
      </w:r>
      <w:r>
        <w:t xml:space="preserve">detailing how incidence </w:t>
      </w:r>
      <w:r w:rsidR="418BD90D">
        <w:t>of</w:t>
      </w:r>
      <w:r>
        <w:t xml:space="preserve"> cancer has changed between 2018-2019</w:t>
      </w:r>
      <w:r w:rsidR="5E411BC5">
        <w:t xml:space="preserve"> and subsequent years</w:t>
      </w:r>
      <w:r>
        <w:t xml:space="preserve">. </w:t>
      </w:r>
    </w:p>
    <w:p w14:paraId="693B8A88" w14:textId="5ACFF918" w:rsidR="00CD3EC8" w:rsidRPr="00A33043" w:rsidRDefault="5C2E4733" w:rsidP="67ABE85B">
      <w:pPr>
        <w:jc w:val="both"/>
      </w:pPr>
      <w:r>
        <w:t xml:space="preserve">This analysis compares the monthly counts of cancer incidence from January to December </w:t>
      </w:r>
      <w:r w:rsidR="6F6AAF7D">
        <w:t>for</w:t>
      </w:r>
      <w:r>
        <w:t xml:space="preserve"> </w:t>
      </w:r>
      <w:r w:rsidR="11B66CD7">
        <w:t xml:space="preserve">the years </w:t>
      </w:r>
      <w:r>
        <w:t>2020</w:t>
      </w:r>
      <w:r w:rsidR="5A2E6F34">
        <w:t xml:space="preserve"> </w:t>
      </w:r>
      <w:r w:rsidR="68F8CBA2">
        <w:t>onwards</w:t>
      </w:r>
      <w:r>
        <w:t xml:space="preserve"> for all cancers analysed to an average of the monthly counts for the years 2018 and 2019.</w:t>
      </w:r>
      <w:r w:rsidR="5A2E6F34">
        <w:t xml:space="preserve"> </w:t>
      </w:r>
      <w:r w:rsidR="297F6C2D">
        <w:t xml:space="preserve">Average counts for the months April to December of 2018 to 2019 and April to December of </w:t>
      </w:r>
      <w:r w:rsidR="19F9205A">
        <w:t>subsequent year</w:t>
      </w:r>
      <w:r w:rsidR="3CADA1A5">
        <w:t>s</w:t>
      </w:r>
      <w:r w:rsidR="10CA0390">
        <w:t xml:space="preserve"> </w:t>
      </w:r>
      <w:r w:rsidR="297F6C2D">
        <w:t xml:space="preserve">are also available; this allows comparison of the period </w:t>
      </w:r>
      <w:r w:rsidR="1BF761A4">
        <w:t xml:space="preserve">after the first introduction of Covid-19 restrictions, where normal healthcare services were interrupted, to pre-pandemic cancer incidence levels. </w:t>
      </w:r>
    </w:p>
    <w:p w14:paraId="50418B27" w14:textId="1E4525D3" w:rsidR="00C36144" w:rsidRDefault="00C36144" w:rsidP="00317A89">
      <w:pPr>
        <w:jc w:val="both"/>
      </w:pPr>
      <w:r>
        <w:t>Pre-pandemic levels are specified as the average incidence of 2018 and 2019, with the pandemic levels being specified as the incidence during 2020. Comparing these figures provide us with an</w:t>
      </w:r>
      <w:r w:rsidRPr="00C36144">
        <w:t xml:space="preserve"> overview of the impact of the </w:t>
      </w:r>
      <w:r>
        <w:t xml:space="preserve">Covid-19 </w:t>
      </w:r>
      <w:r w:rsidRPr="00C36144">
        <w:t>pandemic on cancer patients and cancer services in general.</w:t>
      </w:r>
    </w:p>
    <w:p w14:paraId="5DC8DC61" w14:textId="71B35450" w:rsidR="006753B1" w:rsidRDefault="0FAD6863" w:rsidP="36DACA0F">
      <w:pPr>
        <w:jc w:val="both"/>
        <w:rPr>
          <w:rFonts w:asciiTheme="minorHAnsi" w:eastAsiaTheme="minorEastAsia" w:hAnsiTheme="minorHAnsi"/>
          <w:color w:val="FF0000"/>
        </w:rPr>
      </w:pPr>
      <w:r>
        <w:t xml:space="preserve">The impact on net cancer survival in Wales is less straight forward. The life tables produced to account for background mortality use three years of death data and three years of population data. Therefore, </w:t>
      </w:r>
      <w:r w:rsidRPr="36DACA0F">
        <w:rPr>
          <w:rFonts w:eastAsia="Ubuntu Light" w:cs="Ubuntu Light"/>
        </w:rPr>
        <w:t xml:space="preserve">net cancer survival for patients diagnosed from 2019 onwards may show an effect from Covid-19 deaths as they use </w:t>
      </w:r>
      <w:r w:rsidR="296F2A4A" w:rsidRPr="36DACA0F">
        <w:rPr>
          <w:rFonts w:eastAsia="Ubuntu Light" w:cs="Ubuntu Light"/>
        </w:rPr>
        <w:t>three</w:t>
      </w:r>
      <w:r w:rsidR="29B2A721" w:rsidRPr="36DACA0F">
        <w:rPr>
          <w:rFonts w:eastAsia="Ubuntu Light" w:cs="Ubuntu Light"/>
        </w:rPr>
        <w:t>-y</w:t>
      </w:r>
      <w:r w:rsidR="0B8A75FE" w:rsidRPr="36DACA0F">
        <w:rPr>
          <w:rFonts w:eastAsia="Ubuntu Light" w:cs="Ubuntu Light"/>
        </w:rPr>
        <w:t>ea</w:t>
      </w:r>
      <w:r w:rsidR="29B2A721" w:rsidRPr="36DACA0F">
        <w:rPr>
          <w:rFonts w:eastAsia="Ubuntu Light" w:cs="Ubuntu Light"/>
        </w:rPr>
        <w:t>r rolling</w:t>
      </w:r>
      <w:r w:rsidR="2CDE074C" w:rsidRPr="36DACA0F">
        <w:rPr>
          <w:rFonts w:eastAsia="Ubuntu Light" w:cs="Ubuntu Light"/>
        </w:rPr>
        <w:t xml:space="preserve"> average</w:t>
      </w:r>
      <w:r w:rsidR="29B2A721" w:rsidRPr="36DACA0F">
        <w:rPr>
          <w:rFonts w:eastAsia="Ubuntu Light" w:cs="Ubuntu Light"/>
        </w:rPr>
        <w:t xml:space="preserve"> years lifetables which include the year of the pandemic (2020).</w:t>
      </w:r>
      <w:r w:rsidRPr="36DACA0F">
        <w:rPr>
          <w:rFonts w:eastAsia="Ubuntu Light" w:cs="Ubuntu Light"/>
        </w:rPr>
        <w:t xml:space="preserve"> </w:t>
      </w:r>
      <w:r>
        <w:t>As a result, survival for diagnoses in 2019</w:t>
      </w:r>
      <w:r w:rsidR="3FA113A2">
        <w:t xml:space="preserve"> and 2021</w:t>
      </w:r>
      <w:r w:rsidR="71508C4E">
        <w:t xml:space="preserve"> </w:t>
      </w:r>
      <w:r w:rsidR="64128D9F">
        <w:t xml:space="preserve">are </w:t>
      </w:r>
      <w:r>
        <w:t xml:space="preserve">likely to be slightly overestimated (as background mortality was higher in 2020 due to the pandemic) and survival for diagnoses in 2020 is likely to be underestimated (as 2018 and 2019 deaths form part of the background mortality for this cohort).  See </w:t>
      </w:r>
      <w:hyperlink w:anchor="_4.2_Life_tables">
        <w:r w:rsidRPr="36DACA0F">
          <w:rPr>
            <w:rStyle w:val="Hyperlink"/>
          </w:rPr>
          <w:t>section 4.2</w:t>
        </w:r>
      </w:hyperlink>
      <w:r>
        <w:t xml:space="preserve"> Life Tables for further information on their use in survival analysis.</w:t>
      </w:r>
    </w:p>
    <w:p w14:paraId="6288EFF6" w14:textId="14A4F635" w:rsidR="00DC5439" w:rsidRDefault="00DC5439" w:rsidP="00317A89">
      <w:pPr>
        <w:jc w:val="both"/>
      </w:pPr>
    </w:p>
    <w:p w14:paraId="1785FC70" w14:textId="1AD2E0A5" w:rsidR="00DC5439" w:rsidRDefault="2A2C4960" w:rsidP="00DC5439">
      <w:pPr>
        <w:pStyle w:val="Heading3"/>
      </w:pPr>
      <w:bookmarkStart w:id="31" w:name="_Toc738543303"/>
      <w:r>
        <w:t xml:space="preserve">2.5.5 </w:t>
      </w:r>
      <w:r w:rsidR="54DB2239">
        <w:t>Comparisons by United Kingdom (UK) jurisdiction</w:t>
      </w:r>
      <w:bookmarkEnd w:id="31"/>
    </w:p>
    <w:p w14:paraId="1B810D54" w14:textId="6A95D1C7" w:rsidR="00657197" w:rsidRDefault="203C350E" w:rsidP="0E8DFDEA">
      <w:pPr>
        <w:jc w:val="both"/>
        <w:rPr>
          <w:color w:val="FF0000"/>
        </w:rPr>
      </w:pPr>
      <w:r>
        <w:t xml:space="preserve">An additional indicator has been included in the Cancer Reporting Tool allowing comparisons between cancer </w:t>
      </w:r>
      <w:r w:rsidR="305A4BDB">
        <w:t>incidence</w:t>
      </w:r>
      <w:r>
        <w:t xml:space="preserve">, mortality and survival data between Wales, England, </w:t>
      </w:r>
      <w:r w:rsidR="01C9BFE4">
        <w:t>Scotland,</w:t>
      </w:r>
      <w:r>
        <w:t xml:space="preserve"> and Northern Ireland. </w:t>
      </w:r>
      <w:r w:rsidR="0B67E426">
        <w:t xml:space="preserve">Some cancer types are not comparable as a nation may not report on that cancer </w:t>
      </w:r>
      <w:r w:rsidR="5F71DCC3">
        <w:t>type or</w:t>
      </w:r>
      <w:r w:rsidR="0B67E426">
        <w:t xml:space="preserve"> use different ICD-10 codes to categorise a particular site. Some breakdowns may also be unavailable if there were not enough data points for a useful visualisation within the Cancer Reporting Tool. </w:t>
      </w:r>
      <w:r w:rsidR="439F151C">
        <w:t>Only cancer types which are reported by each nation using the same ICD-10 code</w:t>
      </w:r>
      <w:r w:rsidR="0B67E426">
        <w:t>s</w:t>
      </w:r>
      <w:r w:rsidR="439F151C">
        <w:t xml:space="preserve"> are available for compa</w:t>
      </w:r>
      <w:r w:rsidR="439F151C" w:rsidRPr="41683809">
        <w:t>rison</w:t>
      </w:r>
      <w:r w:rsidR="0B67E426" w:rsidRPr="41683809">
        <w:t xml:space="preserve">. </w:t>
      </w:r>
      <w:r w:rsidR="003E342A" w:rsidRPr="41683809">
        <w:t>Please be aware that due to differences in coding versions</w:t>
      </w:r>
      <w:r w:rsidR="00FA4A41" w:rsidRPr="41683809">
        <w:t xml:space="preserve"> used across </w:t>
      </w:r>
      <w:r w:rsidR="00F74ADA" w:rsidRPr="41683809">
        <w:t>different jurisdictions</w:t>
      </w:r>
      <w:r w:rsidR="003E342A" w:rsidRPr="41683809">
        <w:t>, some sites may not be completely comparable.</w:t>
      </w:r>
    </w:p>
    <w:p w14:paraId="3E7C6D4C" w14:textId="7EDEFEFA" w:rsidR="00834F50" w:rsidRDefault="3727760C" w:rsidP="00C67BC3">
      <w:pPr>
        <w:jc w:val="both"/>
      </w:pPr>
      <w:r>
        <w:t>C</w:t>
      </w:r>
      <w:r w:rsidR="0B67E426">
        <w:t>omparisons of c</w:t>
      </w:r>
      <w:r w:rsidR="7BD82557">
        <w:t>ancer incidenc</w:t>
      </w:r>
      <w:r w:rsidR="0B67E426">
        <w:t>e and mortality</w:t>
      </w:r>
      <w:r w:rsidR="7BD82557">
        <w:t xml:space="preserve"> </w:t>
      </w:r>
      <w:r>
        <w:t xml:space="preserve">by UK jurisdiction </w:t>
      </w:r>
      <w:r w:rsidR="7BD82557">
        <w:t xml:space="preserve">are available </w:t>
      </w:r>
      <w:r w:rsidR="0B67E426">
        <w:t>for</w:t>
      </w:r>
      <w:r w:rsidR="7BD82557">
        <w:t xml:space="preserve"> European age-standardised rate</w:t>
      </w:r>
      <w:r w:rsidR="0B67E426">
        <w:t>s</w:t>
      </w:r>
      <w:r w:rsidR="7BD82557">
        <w:t xml:space="preserve"> and single year</w:t>
      </w:r>
      <w:r w:rsidR="0B67E426">
        <w:t>s</w:t>
      </w:r>
      <w:r w:rsidR="7BD82557">
        <w:t xml:space="preserve">, from </w:t>
      </w:r>
      <w:r w:rsidR="0F4F067A">
        <w:t>2002</w:t>
      </w:r>
      <w:r w:rsidR="0B67E426">
        <w:t xml:space="preserve"> until the latest </w:t>
      </w:r>
      <w:r w:rsidR="0B67E426">
        <w:lastRenderedPageBreak/>
        <w:t>comparable year of data</w:t>
      </w:r>
      <w:r>
        <w:t>.</w:t>
      </w:r>
      <w:r w:rsidR="0B67E426">
        <w:t xml:space="preserve"> </w:t>
      </w:r>
      <w:r w:rsidR="0F4F067A">
        <w:t>Cancer survival comparisons by UK jurisdiction are available</w:t>
      </w:r>
      <w:r w:rsidR="0B67E426">
        <w:t xml:space="preserve"> for</w:t>
      </w:r>
      <w:r w:rsidR="0F4F067A">
        <w:t xml:space="preserve"> net survival (%), and one-year and five-year survival estimates </w:t>
      </w:r>
      <w:r w:rsidR="0B67E426">
        <w:t>by</w:t>
      </w:r>
      <w:r w:rsidR="0F4F067A">
        <w:t xml:space="preserve"> </w:t>
      </w:r>
      <w:r w:rsidR="516A5A7D">
        <w:t xml:space="preserve">rolling </w:t>
      </w:r>
      <w:r w:rsidR="68EBBB1A">
        <w:t>five-year</w:t>
      </w:r>
      <w:r w:rsidR="0F4F067A">
        <w:t xml:space="preserve"> periods </w:t>
      </w:r>
      <w:r w:rsidR="43EAB1CE">
        <w:t xml:space="preserve">from 2002-2006 </w:t>
      </w:r>
      <w:r w:rsidR="0B67E426">
        <w:t>until the latest comparable year of data.</w:t>
      </w:r>
    </w:p>
    <w:p w14:paraId="4C8488A5" w14:textId="1E57C2D5" w:rsidR="009306E4" w:rsidRDefault="009306E4" w:rsidP="00C67BC3">
      <w:pPr>
        <w:jc w:val="both"/>
      </w:pPr>
      <w:r>
        <w:t xml:space="preserve">Cancer survival is calculated using life tables to account for </w:t>
      </w:r>
      <w:r w:rsidR="4133CE5E">
        <w:t>background</w:t>
      </w:r>
      <w:r>
        <w:t xml:space="preserve"> mortality (see </w:t>
      </w:r>
      <w:hyperlink w:anchor="_4.2_Life_tables">
        <w:r w:rsidR="00194531" w:rsidRPr="36DACA0F">
          <w:rPr>
            <w:rStyle w:val="Hyperlink"/>
          </w:rPr>
          <w:t>s</w:t>
        </w:r>
        <w:r w:rsidRPr="36DACA0F">
          <w:rPr>
            <w:rStyle w:val="Hyperlink"/>
          </w:rPr>
          <w:t>ection 4.2</w:t>
        </w:r>
      </w:hyperlink>
      <w:r>
        <w:t>). Life tables are unique to each UK jurisdiction</w:t>
      </w:r>
      <w:r w:rsidR="004433F1">
        <w:t xml:space="preserve">. Therefore, caution is advised when making </w:t>
      </w:r>
      <w:r w:rsidR="00C47974">
        <w:t xml:space="preserve">direct </w:t>
      </w:r>
      <w:r w:rsidR="004433F1">
        <w:t xml:space="preserve">comparisons between Wales, England, </w:t>
      </w:r>
      <w:r w:rsidR="408B7841">
        <w:t>Scotland,</w:t>
      </w:r>
      <w:r w:rsidR="004433F1">
        <w:t xml:space="preserve"> and Northern Ireland for cancer survival. </w:t>
      </w:r>
    </w:p>
    <w:p w14:paraId="4AECC04E" w14:textId="2FA5142A" w:rsidR="00DC5439" w:rsidRDefault="00C47974" w:rsidP="00FF6366">
      <w:pPr>
        <w:jc w:val="both"/>
      </w:pPr>
      <w:r>
        <w:t xml:space="preserve">For more information on comparability and UK data sources, see </w:t>
      </w:r>
      <w:hyperlink w:anchor="_7_Comparability_and">
        <w:r w:rsidR="00194531" w:rsidRPr="36DACA0F">
          <w:rPr>
            <w:rStyle w:val="Hyperlink"/>
          </w:rPr>
          <w:t>s</w:t>
        </w:r>
        <w:r w:rsidRPr="36DACA0F">
          <w:rPr>
            <w:rStyle w:val="Hyperlink"/>
          </w:rPr>
          <w:t>ection 7</w:t>
        </w:r>
      </w:hyperlink>
      <w:r>
        <w:t>. We are currently working with the United Kingdom and Ireland Association of Cancer Registries (</w:t>
      </w:r>
      <w:r w:rsidR="67EEE556">
        <w:t>UKIACR) to</w:t>
      </w:r>
      <w:r w:rsidR="00C56967">
        <w:t xml:space="preserve"> agree a standardised approach </w:t>
      </w:r>
      <w:r w:rsidR="00FF6366">
        <w:t xml:space="preserve">to producing life tables, and to categorise cancer types by the </w:t>
      </w:r>
      <w:r w:rsidR="003D11DE">
        <w:t xml:space="preserve">same </w:t>
      </w:r>
      <w:r w:rsidR="00FF6366">
        <w:t xml:space="preserve">ICD-10 codes to allow more analysis and comparisons between UK nations. </w:t>
      </w:r>
    </w:p>
    <w:p w14:paraId="4FC2E0E9" w14:textId="38C1C32A" w:rsidR="00D71330" w:rsidRDefault="00D71330" w:rsidP="00317A89">
      <w:pPr>
        <w:jc w:val="both"/>
        <w:rPr>
          <w:color w:val="FF0000"/>
        </w:rPr>
      </w:pPr>
    </w:p>
    <w:p w14:paraId="609881E3" w14:textId="44E7811D" w:rsidR="0023536D" w:rsidRPr="00CE310E" w:rsidRDefault="0023536D" w:rsidP="00E43A91">
      <w:pPr>
        <w:pStyle w:val="Heading2"/>
      </w:pPr>
      <w:bookmarkStart w:id="32" w:name="_Toc798828361"/>
      <w:r>
        <w:t>2.</w:t>
      </w:r>
      <w:r w:rsidR="00C31D9E">
        <w:t>6</w:t>
      </w:r>
      <w:r>
        <w:t xml:space="preserve"> Reported Measures</w:t>
      </w:r>
      <w:bookmarkEnd w:id="32"/>
    </w:p>
    <w:p w14:paraId="28B0100F" w14:textId="41A21DB8" w:rsidR="0023536D" w:rsidRPr="00F10586" w:rsidRDefault="0023536D" w:rsidP="7BDE8E7A">
      <w:pPr>
        <w:pStyle w:val="Heading3"/>
        <w:jc w:val="both"/>
        <w:rPr>
          <w:rFonts w:cstheme="minorBidi"/>
        </w:rPr>
      </w:pPr>
      <w:bookmarkStart w:id="33" w:name="_Toc37648237"/>
      <w:r w:rsidRPr="7BDE8E7A">
        <w:rPr>
          <w:rFonts w:cstheme="minorBidi"/>
        </w:rPr>
        <w:t>2.</w:t>
      </w:r>
      <w:r w:rsidR="00C31D9E" w:rsidRPr="7BDE8E7A">
        <w:rPr>
          <w:rFonts w:cstheme="minorBidi"/>
        </w:rPr>
        <w:t>6</w:t>
      </w:r>
      <w:r w:rsidRPr="7BDE8E7A">
        <w:rPr>
          <w:rFonts w:cstheme="minorBidi"/>
        </w:rPr>
        <w:t>.1 Count</w:t>
      </w:r>
      <w:bookmarkEnd w:id="33"/>
    </w:p>
    <w:p w14:paraId="1D67A3EC" w14:textId="6E1D44B2" w:rsidR="0023536D" w:rsidRDefault="0023536D" w:rsidP="00317A89">
      <w:pPr>
        <w:jc w:val="both"/>
      </w:pPr>
      <w:r>
        <w:t xml:space="preserve">The incidence count is the number of cancers diagnosed over a particular </w:t>
      </w:r>
      <w:proofErr w:type="gramStart"/>
      <w:r>
        <w:t>period of time</w:t>
      </w:r>
      <w:proofErr w:type="gramEnd"/>
      <w:r>
        <w:t xml:space="preserve">. The mortality count is the number of registered deaths with cancer reported as the underlying cause over a particular </w:t>
      </w:r>
      <w:proofErr w:type="gramStart"/>
      <w:r>
        <w:t>period of time</w:t>
      </w:r>
      <w:proofErr w:type="gramEnd"/>
      <w:r>
        <w:t>.</w:t>
      </w:r>
    </w:p>
    <w:p w14:paraId="73E15267" w14:textId="77777777" w:rsidR="00DC0C51" w:rsidRDefault="00DC0C51" w:rsidP="00317A89">
      <w:pPr>
        <w:jc w:val="both"/>
      </w:pPr>
    </w:p>
    <w:p w14:paraId="45CE8C5D" w14:textId="528D6645" w:rsidR="0023536D" w:rsidRPr="00F10586" w:rsidRDefault="0023536D" w:rsidP="7BDE8E7A">
      <w:pPr>
        <w:pStyle w:val="Heading3"/>
        <w:jc w:val="both"/>
        <w:rPr>
          <w:rFonts w:cstheme="minorBidi"/>
        </w:rPr>
      </w:pPr>
      <w:bookmarkStart w:id="34" w:name="_Toc1824177993"/>
      <w:r w:rsidRPr="7BDE8E7A">
        <w:rPr>
          <w:rFonts w:cstheme="minorBidi"/>
        </w:rPr>
        <w:t>2.</w:t>
      </w:r>
      <w:r w:rsidR="00C31D9E" w:rsidRPr="7BDE8E7A">
        <w:rPr>
          <w:rFonts w:cstheme="minorBidi"/>
        </w:rPr>
        <w:t>6</w:t>
      </w:r>
      <w:r w:rsidRPr="7BDE8E7A">
        <w:rPr>
          <w:rFonts w:cstheme="minorBidi"/>
        </w:rPr>
        <w:t>.2 Crude rates</w:t>
      </w:r>
      <w:bookmarkEnd w:id="34"/>
    </w:p>
    <w:p w14:paraId="4DD9A99F" w14:textId="77777777" w:rsidR="0023536D" w:rsidRPr="0023536D" w:rsidRDefault="0023536D" w:rsidP="00317A89">
      <w:pPr>
        <w:jc w:val="both"/>
        <w:rPr>
          <w:rFonts w:cstheme="minorHAnsi"/>
        </w:rPr>
      </w:pPr>
      <w:r w:rsidRPr="0023536D">
        <w:rPr>
          <w:rFonts w:cstheme="minorHAnsi"/>
        </w:rPr>
        <w:t xml:space="preserve">A crude rate is the number of events occurring in a population over a specific </w:t>
      </w:r>
      <w:proofErr w:type="gramStart"/>
      <w:r w:rsidRPr="0023536D">
        <w:rPr>
          <w:rFonts w:cstheme="minorHAnsi"/>
        </w:rPr>
        <w:t>time period</w:t>
      </w:r>
      <w:proofErr w:type="gramEnd"/>
      <w:r w:rsidRPr="0023536D">
        <w:rPr>
          <w:rFonts w:cstheme="minorHAnsi"/>
        </w:rPr>
        <w:t xml:space="preserve">, often expressed as the number of events per 100,000 of the population.  Both the numerator (number of events) and denominator (mid-year population estimate) are based on the same geographical area and </w:t>
      </w:r>
      <w:proofErr w:type="gramStart"/>
      <w:r w:rsidRPr="0023536D">
        <w:rPr>
          <w:rFonts w:cstheme="minorHAnsi"/>
        </w:rPr>
        <w:t>time period</w:t>
      </w:r>
      <w:proofErr w:type="gramEnd"/>
      <w:r w:rsidRPr="0023536D">
        <w:rPr>
          <w:rFonts w:cstheme="minorHAnsi"/>
        </w:rPr>
        <w:t>.</w:t>
      </w:r>
    </w:p>
    <w:p w14:paraId="04A95642" w14:textId="75E24A96" w:rsidR="002803A6" w:rsidRDefault="0023536D" w:rsidP="00317A89">
      <w:pPr>
        <w:jc w:val="both"/>
        <w:rPr>
          <w:rFonts w:cstheme="minorHAnsi"/>
        </w:rPr>
      </w:pPr>
      <w:r w:rsidRPr="0023536D">
        <w:rPr>
          <w:rFonts w:cstheme="minorHAnsi"/>
        </w:rPr>
        <w:t>The crude rate is defined as total registrations per 100,000 population, or:</w:t>
      </w:r>
    </w:p>
    <w:p w14:paraId="1FA6F371" w14:textId="405F729C" w:rsidR="002803A6" w:rsidRPr="002803A6" w:rsidRDefault="00816726" w:rsidP="001A471F">
      <w:pPr>
        <w:jc w:val="center"/>
      </w:pPr>
      <m:oMathPara>
        <m:oMath>
          <m:f>
            <m:fPr>
              <m:ctrlPr>
                <w:rPr>
                  <w:rFonts w:ascii="Cambria Math" w:hAnsi="Cambria Math"/>
                </w:rPr>
              </m:ctrlPr>
            </m:fPr>
            <m:num>
              <m:r>
                <w:rPr>
                  <w:rFonts w:ascii="Cambria Math" w:hAnsi="Cambria Math"/>
                </w:rPr>
                <m:t>Total registrations</m:t>
              </m:r>
            </m:num>
            <m:den>
              <m:r>
                <w:rPr>
                  <w:rFonts w:ascii="Cambria Math" w:hAnsi="Cambria Math"/>
                </w:rPr>
                <m:t>Total population</m:t>
              </m:r>
            </m:den>
          </m:f>
          <m:r>
            <w:rPr>
              <w:rFonts w:ascii="Cambria Math" w:hAnsi="Cambria Math"/>
            </w:rPr>
            <m:t>×100,000</m:t>
          </m:r>
        </m:oMath>
      </m:oMathPara>
    </w:p>
    <w:p w14:paraId="40F09194" w14:textId="07E55119" w:rsidR="002803A6" w:rsidRPr="002803A6" w:rsidRDefault="04F0523A" w:rsidP="006B274D">
      <w:r>
        <w:t xml:space="preserve">Crude rates </w:t>
      </w:r>
      <w:r w:rsidR="476511AB">
        <w:t xml:space="preserve">are </w:t>
      </w:r>
      <w:r>
        <w:t>supressed where there were fewer than three events.</w:t>
      </w:r>
    </w:p>
    <w:p w14:paraId="39AA6205" w14:textId="77777777" w:rsidR="00DC0C51" w:rsidRDefault="00DC0C51" w:rsidP="00317A89">
      <w:pPr>
        <w:jc w:val="both"/>
        <w:rPr>
          <w:rFonts w:cstheme="minorHAnsi"/>
        </w:rPr>
      </w:pPr>
    </w:p>
    <w:p w14:paraId="4099CCD4" w14:textId="361CF8C7" w:rsidR="007A0F4A" w:rsidRPr="00F10586" w:rsidRDefault="007A0F4A" w:rsidP="00F10586">
      <w:pPr>
        <w:pStyle w:val="Heading3"/>
      </w:pPr>
      <w:bookmarkStart w:id="35" w:name="_Toc1452681398"/>
      <w:r>
        <w:t>2.</w:t>
      </w:r>
      <w:r w:rsidR="00C31D9E">
        <w:t>6</w:t>
      </w:r>
      <w:r>
        <w:t>.3 Age-standardised rates</w:t>
      </w:r>
      <w:bookmarkEnd w:id="35"/>
    </w:p>
    <w:p w14:paraId="6BDE5373" w14:textId="15403EC4" w:rsidR="0023536D" w:rsidRPr="007A0F4A" w:rsidRDefault="007A0F4A" w:rsidP="00317A89">
      <w:pPr>
        <w:jc w:val="both"/>
        <w:rPr>
          <w:rFonts w:cstheme="minorHAnsi"/>
        </w:rPr>
      </w:pPr>
      <w:r w:rsidRPr="007A0F4A">
        <w:rPr>
          <w:rFonts w:cstheme="minorHAnsi"/>
        </w:rPr>
        <w:t>The incidence and mortality of cancer differs greatly with age. Differences in the age structure of populations between geographical areas or over time therefore need to be controlled to give unbiased comparisons. Age-standardisation allows comparison of rates across different populations while taking account of the different age structures of those populations.</w:t>
      </w:r>
    </w:p>
    <w:p w14:paraId="18A26DC1" w14:textId="71BF2E57" w:rsidR="007A0F4A" w:rsidRPr="007A0F4A" w:rsidRDefault="007A0F4A" w:rsidP="36DACA0F">
      <w:pPr>
        <w:jc w:val="both"/>
      </w:pPr>
      <w:r w:rsidRPr="36DACA0F">
        <w:t xml:space="preserve">This is achieved by applying the observed age- and sex-specific </w:t>
      </w:r>
      <w:r w:rsidR="00954AFE" w:rsidRPr="36DACA0F">
        <w:t xml:space="preserve">incidence or </w:t>
      </w:r>
      <w:r w:rsidRPr="36DACA0F">
        <w:t xml:space="preserve">mortality rates for each population to a standard population. These are then summed to give an overall rate per 100,000 population. The standard population used here is the </w:t>
      </w:r>
      <w:r w:rsidRPr="36DACA0F">
        <w:lastRenderedPageBreak/>
        <w:t>European Standard Population (ESP)</w:t>
      </w:r>
      <w:r w:rsidR="00954AFE" w:rsidRPr="36DACA0F">
        <w:t xml:space="preserve"> (see </w:t>
      </w:r>
      <w:hyperlink w:anchor="_14_Appendix_E_1">
        <w:r w:rsidR="00440492" w:rsidRPr="36DACA0F">
          <w:rPr>
            <w:rStyle w:val="Hyperlink"/>
          </w:rPr>
          <w:t>Appendix E</w:t>
        </w:r>
      </w:hyperlink>
      <w:r w:rsidR="002E24F6">
        <w:t xml:space="preserve">). </w:t>
      </w:r>
      <w:r w:rsidRPr="36DACA0F">
        <w:t xml:space="preserve">The first version of the ESP was introduced in 1976, with the second version in 2013. </w:t>
      </w:r>
      <w:r w:rsidR="00FA5149" w:rsidRPr="36DACA0F">
        <w:t>A</w:t>
      </w:r>
      <w:r w:rsidRPr="36DACA0F">
        <w:t>ll the WCISU publications since June 2014 have used the 2013 ESP.</w:t>
      </w:r>
    </w:p>
    <w:p w14:paraId="2A5948B3" w14:textId="2174B440" w:rsidR="007A0F4A" w:rsidRPr="007A0F4A" w:rsidRDefault="007A0F4A" w:rsidP="00317A89">
      <w:pPr>
        <w:jc w:val="both"/>
        <w:rPr>
          <w:rFonts w:cstheme="minorHAnsi"/>
        </w:rPr>
      </w:pPr>
      <w:r w:rsidRPr="0568E530">
        <w:t>Although the 2013 ESP has separate categories for 90-94 and 95+, the WCISU combines these into a single category for 90+. This is because population data is not consistently available for the 95+ age group for all years or geographies</w:t>
      </w:r>
      <w:r w:rsidR="002803A6" w:rsidRPr="0568E530">
        <w:t xml:space="preserve"> in Wales</w:t>
      </w:r>
      <w:r w:rsidRPr="0568E530">
        <w:t xml:space="preserve">. The </w:t>
      </w:r>
      <w:r w:rsidR="001015B5" w:rsidRPr="0568E530">
        <w:t>ONS</w:t>
      </w:r>
      <w:r w:rsidRPr="0568E530">
        <w:t xml:space="preserve"> carried out a study</w:t>
      </w:r>
      <w:r w:rsidR="00146130">
        <w:rPr>
          <w:rStyle w:val="FootnoteReference"/>
          <w:rFonts w:ascii="Verdana" w:hAnsi="Verdana"/>
          <w:sz w:val="20"/>
          <w:szCs w:val="20"/>
        </w:rPr>
        <w:footnoteReference w:id="7"/>
      </w:r>
      <w:r w:rsidRPr="0568E530">
        <w:t xml:space="preserve"> looking at the impact of using an 85+, 90+ or 95+ upper age limit for calculating age-standardised mortality rates and found no significant differences between rates calculated with upper age limits of 90+ and 95+. As </w:t>
      </w:r>
      <w:r w:rsidR="002803A6" w:rsidRPr="0568E530">
        <w:t xml:space="preserve">there </w:t>
      </w:r>
      <w:proofErr w:type="gramStart"/>
      <w:r w:rsidR="002803A6" w:rsidRPr="0568E530">
        <w:t>is</w:t>
      </w:r>
      <w:proofErr w:type="gramEnd"/>
      <w:r w:rsidR="002803A6" w:rsidRPr="0568E530">
        <w:t xml:space="preserve"> not currently </w:t>
      </w:r>
      <w:r w:rsidRPr="0568E530">
        <w:t xml:space="preserve">widespread availability of population estimates for the 95+ group, they recommend the use of an upper age limit of 90+ for the 2013 ESP. </w:t>
      </w:r>
    </w:p>
    <w:p w14:paraId="3E46CEB9" w14:textId="111E3A2B" w:rsidR="007A0F4A" w:rsidRPr="007A0F4A" w:rsidRDefault="007A0F4A" w:rsidP="00317A89">
      <w:pPr>
        <w:jc w:val="both"/>
        <w:rPr>
          <w:rFonts w:cstheme="minorHAnsi"/>
        </w:rPr>
      </w:pPr>
      <w:r w:rsidRPr="007A0F4A">
        <w:rPr>
          <w:rFonts w:cstheme="minorHAnsi"/>
        </w:rPr>
        <w:t xml:space="preserve">A lower age limit of 0-4 years is used for all European age-standardised rates in this </w:t>
      </w:r>
      <w:r w:rsidR="00FA5149">
        <w:rPr>
          <w:rFonts w:cstheme="minorHAnsi"/>
        </w:rPr>
        <w:t>tool</w:t>
      </w:r>
      <w:r w:rsidRPr="007A0F4A">
        <w:rPr>
          <w:rFonts w:cstheme="minorHAnsi"/>
        </w:rPr>
        <w:t xml:space="preserve">. This is in line with the other cancer registries </w:t>
      </w:r>
      <w:r w:rsidR="002803A6">
        <w:rPr>
          <w:rFonts w:cstheme="minorHAnsi"/>
        </w:rPr>
        <w:t>with</w:t>
      </w:r>
      <w:r w:rsidRPr="007A0F4A">
        <w:rPr>
          <w:rFonts w:cstheme="minorHAnsi"/>
        </w:rPr>
        <w:t xml:space="preserve">in the UK and Ireland. </w:t>
      </w:r>
    </w:p>
    <w:p w14:paraId="3D7564ED" w14:textId="603E9DDD" w:rsidR="007A0F4A" w:rsidRPr="007A0F4A" w:rsidRDefault="0F860A26" w:rsidP="69ACC922">
      <w:pPr>
        <w:jc w:val="both"/>
      </w:pPr>
      <w:r w:rsidRPr="69ACC922">
        <w:t xml:space="preserve">Age-standardised rates </w:t>
      </w:r>
      <w:r w:rsidR="6D207CA0" w:rsidRPr="69ACC922">
        <w:t xml:space="preserve">are </w:t>
      </w:r>
      <w:r w:rsidRPr="69ACC922">
        <w:t>supressed where there were fewer than 10 events.</w:t>
      </w:r>
    </w:p>
    <w:p w14:paraId="52CB985A" w14:textId="04A1401A" w:rsidR="00DC72BC" w:rsidRDefault="007A0F4A" w:rsidP="66C9CF9A">
      <w:pPr>
        <w:jc w:val="both"/>
      </w:pPr>
      <w:r>
        <w:t>The directly standardised mortality rate using the European Standard Population is given by:</w:t>
      </w:r>
    </w:p>
    <w:p w14:paraId="0EDA8F4A" w14:textId="0C5E264B" w:rsidR="000601C3" w:rsidRDefault="009814A7" w:rsidP="66C9CF9A">
      <w:pPr>
        <w:jc w:val="both"/>
      </w:pPr>
      <m:oMathPara>
        <m:oMath>
          <m:r>
            <w:rPr>
              <w:rFonts w:ascii="Cambria Math" w:hAnsi="Cambria Math"/>
            </w:rPr>
            <m:t>I</m:t>
          </m:r>
          <m:f>
            <m:fPr>
              <m:type m:val="lin"/>
              <m:ctrlPr>
                <w:rPr>
                  <w:rFonts w:ascii="Cambria Math" w:hAnsi="Cambria Math"/>
                  <w:i/>
                </w:rPr>
              </m:ctrlPr>
            </m:fPr>
            <m:num>
              <m:r>
                <w:rPr>
                  <w:rFonts w:ascii="Cambria Math" w:hAnsi="Cambria Math"/>
                </w:rPr>
                <m:t>(ASR</m:t>
              </m:r>
            </m:num>
            <m:den>
              <m:r>
                <w:rPr>
                  <w:rFonts w:ascii="Cambria Math" w:hAnsi="Cambria Math"/>
                </w:rPr>
                <m:t xml:space="preserve">E)= </m:t>
              </m:r>
              <m:f>
                <m:fPr>
                  <m:ctrlPr>
                    <w:rPr>
                      <w:rFonts w:ascii="Cambria Math" w:hAnsi="Cambria Math"/>
                      <w:i/>
                    </w:rPr>
                  </m:ctrlPr>
                </m:fPr>
                <m:num>
                  <m:sSup>
                    <m:sSupPr>
                      <m:ctrlPr>
                        <w:rPr>
                          <w:rFonts w:ascii="Cambria Math" w:hAnsi="Cambria Math"/>
                          <w:i/>
                        </w:rPr>
                      </m:ctrlPr>
                    </m:sSupPr>
                    <m:e>
                      <m:r>
                        <w:rPr>
                          <w:rFonts w:ascii="Cambria Math" w:hAnsi="Cambria Math"/>
                        </w:rPr>
                        <m:t>∑</m:t>
                      </m:r>
                    </m:e>
                    <m:sup>
                      <m:r>
                        <w:rPr>
                          <w:rFonts w:ascii="Cambria Math" w:hAnsi="Cambria Math"/>
                        </w:rPr>
                        <m:t>k</m:t>
                      </m:r>
                    </m:sup>
                  </m:sSup>
                  <m:sSub>
                    <m:sSubPr>
                      <m:ctrlPr>
                        <w:rPr>
                          <w:rFonts w:ascii="Cambria Math" w:hAnsi="Cambria Math"/>
                          <w:i/>
                        </w:rPr>
                      </m:ctrlPr>
                    </m:sSubPr>
                    <m:e>
                      <m:r>
                        <w:rPr>
                          <w:rFonts w:ascii="Cambria Math" w:hAnsi="Cambria Math"/>
                        </w:rPr>
                        <m:t>ASR</m:t>
                      </m:r>
                    </m:e>
                    <m:sub>
                      <m: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k</m:t>
                      </m:r>
                    </m:sub>
                  </m:sSub>
                </m:num>
                <m:den>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k</m:t>
                      </m:r>
                    </m:sub>
                  </m:sSub>
                </m:den>
              </m:f>
            </m:den>
          </m:f>
        </m:oMath>
      </m:oMathPara>
    </w:p>
    <w:p w14:paraId="58393547" w14:textId="77777777" w:rsidR="002803A6" w:rsidRDefault="002803A6" w:rsidP="00317A89">
      <w:pPr>
        <w:jc w:val="both"/>
        <w:rPr>
          <w:rFonts w:cstheme="minorHAnsi"/>
        </w:rPr>
      </w:pPr>
      <w:r>
        <w:rPr>
          <w:rFonts w:cstheme="minorHAnsi"/>
        </w:rPr>
        <w:t>w</w:t>
      </w:r>
      <w:r w:rsidR="007A0F4A" w:rsidRPr="007A0F4A">
        <w:rPr>
          <w:rFonts w:cstheme="minorHAnsi"/>
        </w:rPr>
        <w:t>here</w:t>
      </w:r>
      <w:r>
        <w:rPr>
          <w:rFonts w:cstheme="minorHAnsi"/>
        </w:rPr>
        <w:t>:</w:t>
      </w:r>
      <w:r w:rsidR="007A0F4A" w:rsidRPr="007A0F4A">
        <w:rPr>
          <w:rFonts w:cstheme="minorHAnsi"/>
        </w:rPr>
        <w:tab/>
      </w:r>
    </w:p>
    <w:p w14:paraId="76143CA5" w14:textId="363C1B26" w:rsidR="00717A05" w:rsidRPr="00717A05" w:rsidRDefault="007A0F4A" w:rsidP="00717A05">
      <w:pPr>
        <w:jc w:val="both"/>
      </w:pPr>
      <m:oMath>
        <m:r>
          <w:rPr>
            <w:rFonts w:ascii="Cambria Math" w:hAnsi="Cambria Math"/>
          </w:rPr>
          <m:t>AS</m:t>
        </m:r>
        <m:sSub>
          <m:sSubPr>
            <m:ctrlPr>
              <w:rPr>
                <w:rFonts w:ascii="Cambria Math" w:hAnsi="Cambria Math"/>
              </w:rPr>
            </m:ctrlPr>
          </m:sSubPr>
          <m:e>
            <m:r>
              <w:rPr>
                <w:rFonts w:ascii="Cambria Math" w:hAnsi="Cambria Math"/>
              </w:rPr>
              <m:t>R</m:t>
            </m:r>
          </m:e>
          <m:sub>
            <m:r>
              <w:rPr>
                <w:rFonts w:ascii="Cambria Math" w:hAnsi="Cambria Math"/>
              </w:rPr>
              <m:t>k</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r</m:t>
                </m:r>
              </m:e>
              <m:sub>
                <m:r>
                  <w:rPr>
                    <w:rFonts w:ascii="Cambria Math" w:hAnsi="Cambria Math"/>
                  </w:rPr>
                  <m:t>k</m:t>
                </m:r>
              </m:sub>
            </m:sSub>
          </m:num>
          <m:den>
            <m:sSub>
              <m:sSubPr>
                <m:ctrlPr>
                  <w:rPr>
                    <w:rFonts w:ascii="Cambria Math" w:hAnsi="Cambria Math"/>
                  </w:rPr>
                </m:ctrlPr>
              </m:sSubPr>
              <m:e>
                <m:r>
                  <w:rPr>
                    <w:rFonts w:ascii="Cambria Math" w:hAnsi="Cambria Math"/>
                  </w:rPr>
                  <m:t>p</m:t>
                </m:r>
              </m:e>
              <m:sub>
                <m:r>
                  <w:rPr>
                    <w:rFonts w:ascii="Cambria Math" w:hAnsi="Cambria Math"/>
                  </w:rPr>
                  <m:t>k</m:t>
                </m:r>
              </m:sub>
            </m:sSub>
          </m:den>
        </m:f>
        <m:r>
          <w:rPr>
            <w:rFonts w:ascii="Cambria Math" w:hAnsi="Cambria Math"/>
          </w:rPr>
          <m:t>×100,000</m:t>
        </m:r>
      </m:oMath>
      <w:r w:rsidR="0F860A26" w:rsidRPr="69B53B17">
        <w:t xml:space="preserve"> </w:t>
      </w:r>
      <w:r w:rsidR="00717A05">
        <w:t>=</w:t>
      </w:r>
      <w:r w:rsidR="600F0F07" w:rsidRPr="69B53B17">
        <w:t xml:space="preserve"> </w:t>
      </w:r>
      <w:r w:rsidR="0F860A26" w:rsidRPr="69B53B17">
        <w:t xml:space="preserve">the observed </w:t>
      </w:r>
      <w:r>
        <w:t>incidence</w:t>
      </w:r>
      <w:r w:rsidR="790EBD90">
        <w:t>/mortality</w:t>
      </w:r>
      <w:r w:rsidRPr="69B53B17" w:rsidDel="007A0F4A">
        <w:t xml:space="preserve"> </w:t>
      </w:r>
      <w:r w:rsidR="0F860A26" w:rsidRPr="69B53B17">
        <w:t>rate in age group k</w:t>
      </w:r>
    </w:p>
    <w:p w14:paraId="37CD4E90" w14:textId="77777777" w:rsidR="00717A05" w:rsidRDefault="00816726"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r</m:t>
            </m:r>
          </m:e>
          <m:sub>
            <m:r>
              <w:rPr>
                <w:rFonts w:ascii="Cambria Math" w:hAnsi="Cambria Math" w:cstheme="minorHAnsi"/>
              </w:rPr>
              <m:t>k</m:t>
            </m:r>
          </m:sub>
        </m:sSub>
      </m:oMath>
      <w:r w:rsidR="00717A05">
        <w:rPr>
          <w:rFonts w:cstheme="minorHAnsi"/>
        </w:rPr>
        <w:t xml:space="preserve"> </w:t>
      </w:r>
      <w:r w:rsidR="007A0F4A" w:rsidRPr="007A0F4A">
        <w:rPr>
          <w:rFonts w:cstheme="minorHAnsi"/>
        </w:rPr>
        <w:t>= registrations in age group k</w:t>
      </w:r>
    </w:p>
    <w:p w14:paraId="436AC1EC" w14:textId="0D6980C5" w:rsidR="007A0F4A" w:rsidRPr="007A0F4A" w:rsidRDefault="00816726"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k</m:t>
            </m:r>
          </m:sub>
        </m:sSub>
      </m:oMath>
      <w:r w:rsidR="00717A05">
        <w:rPr>
          <w:rFonts w:cstheme="minorHAnsi"/>
        </w:rPr>
        <w:t xml:space="preserve"> </w:t>
      </w:r>
      <w:r w:rsidR="007A0F4A" w:rsidRPr="007A0F4A">
        <w:rPr>
          <w:rFonts w:cstheme="minorHAnsi"/>
        </w:rPr>
        <w:t>= population in age group k</w:t>
      </w:r>
    </w:p>
    <w:p w14:paraId="719E589E" w14:textId="65FB1E27" w:rsidR="007A0F4A" w:rsidRPr="007A0F4A" w:rsidRDefault="00717A05" w:rsidP="00317A89">
      <w:pPr>
        <w:jc w:val="both"/>
        <w:rPr>
          <w:rFonts w:cstheme="minorHAnsi"/>
        </w:rPr>
      </w:pPr>
      <m:oMath>
        <m:r>
          <w:rPr>
            <w:rFonts w:ascii="Cambria Math" w:hAnsi="Cambria Math" w:cstheme="minorHAnsi"/>
          </w:rPr>
          <m:t>k</m:t>
        </m:r>
      </m:oMath>
      <w:r>
        <w:rPr>
          <w:rFonts w:cstheme="minorHAnsi"/>
        </w:rPr>
        <w:t xml:space="preserve"> </w:t>
      </w:r>
      <w:r w:rsidR="007A0F4A" w:rsidRPr="007A0F4A">
        <w:rPr>
          <w:rFonts w:cstheme="minorHAnsi"/>
        </w:rPr>
        <w:t xml:space="preserve">= 0-4, 5-9, </w:t>
      </w:r>
      <w:r w:rsidR="00C042E1" w:rsidRPr="007A0F4A">
        <w:rPr>
          <w:rFonts w:cstheme="minorHAnsi"/>
        </w:rPr>
        <w:t>...,</w:t>
      </w:r>
      <w:r w:rsidR="007A0F4A" w:rsidRPr="007A0F4A">
        <w:rPr>
          <w:rFonts w:cstheme="minorHAnsi"/>
        </w:rPr>
        <w:t xml:space="preserve"> 85-89, and 90 and over</w:t>
      </w:r>
      <w:r w:rsidR="007A0F4A" w:rsidRPr="007A0F4A">
        <w:rPr>
          <w:rFonts w:cstheme="minorHAnsi"/>
        </w:rPr>
        <w:tab/>
      </w:r>
      <w:r w:rsidR="007A0F4A" w:rsidRPr="007A0F4A">
        <w:rPr>
          <w:rFonts w:cstheme="minorHAnsi"/>
        </w:rPr>
        <w:tab/>
      </w:r>
    </w:p>
    <w:p w14:paraId="607256D7" w14:textId="20D2CB97" w:rsidR="00DC72BC" w:rsidRPr="007A0F4A" w:rsidRDefault="00816726" w:rsidP="00317A89">
      <w:pPr>
        <w:jc w:val="both"/>
        <w:rPr>
          <w:rFonts w:cstheme="minorHAnsi"/>
        </w:rPr>
      </w:pPr>
      <m:oMath>
        <m:sSub>
          <m:sSubPr>
            <m:ctrlPr>
              <w:rPr>
                <w:rFonts w:ascii="Cambria Math" w:hAnsi="Cambria Math" w:cstheme="minorHAnsi"/>
                <w:i/>
              </w:rPr>
            </m:ctrlPr>
          </m:sSubPr>
          <m:e>
            <m:r>
              <w:rPr>
                <w:rFonts w:ascii="Cambria Math" w:hAnsi="Cambria Math" w:cstheme="minorHAnsi"/>
              </w:rPr>
              <m:t>P</m:t>
            </m:r>
          </m:e>
          <m:sub>
            <m:r>
              <w:rPr>
                <w:rFonts w:ascii="Cambria Math" w:hAnsi="Cambria Math" w:cstheme="minorHAnsi"/>
              </w:rPr>
              <m:t>k</m:t>
            </m:r>
          </m:sub>
        </m:sSub>
      </m:oMath>
      <w:r w:rsidR="00717A05">
        <w:rPr>
          <w:rFonts w:cstheme="minorHAnsi"/>
        </w:rPr>
        <w:t xml:space="preserve"> </w:t>
      </w:r>
      <w:r w:rsidR="007A0F4A" w:rsidRPr="007A0F4A">
        <w:rPr>
          <w:rFonts w:cstheme="minorHAnsi"/>
        </w:rPr>
        <w:t>= European standard population in age group k</w:t>
      </w:r>
      <w:r w:rsidR="007A0F4A" w:rsidRPr="007A0F4A">
        <w:rPr>
          <w:rFonts w:cstheme="minorHAnsi"/>
        </w:rPr>
        <w:tab/>
      </w:r>
      <w:r w:rsidR="007A0F4A" w:rsidRPr="007A0F4A">
        <w:rPr>
          <w:rFonts w:cstheme="minorHAnsi"/>
        </w:rPr>
        <w:tab/>
      </w:r>
    </w:p>
    <w:p w14:paraId="2B1CD164" w14:textId="435EC208" w:rsidR="007A0F4A" w:rsidRDefault="007A0F4A" w:rsidP="00317A89">
      <w:pPr>
        <w:tabs>
          <w:tab w:val="left" w:pos="2280"/>
        </w:tabs>
        <w:jc w:val="both"/>
        <w:rPr>
          <w:rStyle w:val="Hyperlink"/>
          <w:rFonts w:cstheme="minorHAnsi"/>
        </w:rPr>
      </w:pPr>
      <w:r w:rsidRPr="007A0F4A">
        <w:rPr>
          <w:rFonts w:cstheme="minorHAnsi"/>
        </w:rPr>
        <w:t xml:space="preserve">The 2013 European Standard Population distribution can be found in </w:t>
      </w:r>
      <w:hyperlink w:anchor="_14_Appendix_E_1" w:history="1">
        <w:r w:rsidRPr="00A81651">
          <w:rPr>
            <w:rStyle w:val="Hyperlink"/>
            <w:rFonts w:cstheme="minorHAnsi"/>
          </w:rPr>
          <w:t xml:space="preserve">Appendix </w:t>
        </w:r>
        <w:r w:rsidR="00440492">
          <w:rPr>
            <w:rStyle w:val="Hyperlink"/>
            <w:rFonts w:cstheme="minorHAnsi"/>
          </w:rPr>
          <w:t>E</w:t>
        </w:r>
        <w:r w:rsidRPr="00A81651">
          <w:rPr>
            <w:rStyle w:val="Hyperlink"/>
            <w:rFonts w:cstheme="minorHAnsi"/>
          </w:rPr>
          <w:t>.</w:t>
        </w:r>
      </w:hyperlink>
    </w:p>
    <w:p w14:paraId="3ADCDB10" w14:textId="77777777" w:rsidR="00DC0C51" w:rsidRDefault="00DC0C51" w:rsidP="00317A89">
      <w:pPr>
        <w:tabs>
          <w:tab w:val="left" w:pos="2280"/>
        </w:tabs>
        <w:jc w:val="both"/>
        <w:rPr>
          <w:rStyle w:val="Hyperlink"/>
          <w:rFonts w:cstheme="minorHAnsi"/>
        </w:rPr>
      </w:pPr>
    </w:p>
    <w:p w14:paraId="64092AFE" w14:textId="359DED49" w:rsidR="00B64137" w:rsidRPr="00F10586" w:rsidRDefault="00B64137" w:rsidP="00F10586">
      <w:pPr>
        <w:pStyle w:val="Heading3"/>
      </w:pPr>
      <w:bookmarkStart w:id="36" w:name="_Toc1845814902"/>
      <w:r>
        <w:t>2.</w:t>
      </w:r>
      <w:r w:rsidR="00C31D9E">
        <w:t>6</w:t>
      </w:r>
      <w:r>
        <w:t>.</w:t>
      </w:r>
      <w:r w:rsidR="00C43AAF">
        <w:t>4</w:t>
      </w:r>
      <w:r>
        <w:t xml:space="preserve"> Age-specific rates</w:t>
      </w:r>
      <w:bookmarkEnd w:id="36"/>
    </w:p>
    <w:p w14:paraId="614CD793" w14:textId="664257E2" w:rsidR="00A433E5" w:rsidRPr="00A433E5" w:rsidRDefault="001D3AE3" w:rsidP="00317A89">
      <w:pPr>
        <w:jc w:val="both"/>
      </w:pPr>
      <w:r>
        <w:t xml:space="preserve">Age-specific rates are calculated when reporting on cancer incidence </w:t>
      </w:r>
      <w:r w:rsidR="00014DF3">
        <w:t xml:space="preserve">and mortality </w:t>
      </w:r>
      <w:r>
        <w:t xml:space="preserve">for all sites analysed. </w:t>
      </w:r>
      <w:r w:rsidR="00A433E5">
        <w:t xml:space="preserve">An age-specific rate is </w:t>
      </w:r>
      <w:r w:rsidR="002803A6">
        <w:t xml:space="preserve">the </w:t>
      </w:r>
      <w:r w:rsidR="00A433E5" w:rsidRPr="66C9CF9A">
        <w:t xml:space="preserve">number of events occurring in a population over a specific </w:t>
      </w:r>
      <w:r w:rsidR="002803A6" w:rsidRPr="66C9CF9A">
        <w:t>time-period</w:t>
      </w:r>
      <w:r w:rsidR="00A433E5">
        <w:t xml:space="preserve"> within specific age-groups. </w:t>
      </w:r>
      <w:r w:rsidR="00A433E5" w:rsidRPr="66C9CF9A">
        <w:t xml:space="preserve">Both the numerator </w:t>
      </w:r>
      <w:r w:rsidR="00A433E5" w:rsidRPr="66C9CF9A">
        <w:lastRenderedPageBreak/>
        <w:t xml:space="preserve">(number of events) and denominator (mid-year population estimate) are based on the same geographical area and </w:t>
      </w:r>
      <w:proofErr w:type="gramStart"/>
      <w:r w:rsidR="00A433E5" w:rsidRPr="66C9CF9A">
        <w:t>time period</w:t>
      </w:r>
      <w:proofErr w:type="gramEnd"/>
      <w:r w:rsidR="00A433E5" w:rsidRPr="66C9CF9A">
        <w:t>.</w:t>
      </w:r>
    </w:p>
    <w:p w14:paraId="5B35678D" w14:textId="027E0D39" w:rsidR="00A433E5" w:rsidRDefault="00A433E5" w:rsidP="52B56BA6">
      <w:pPr>
        <w:tabs>
          <w:tab w:val="left" w:pos="2280"/>
        </w:tabs>
        <w:jc w:val="both"/>
      </w:pPr>
      <w:r>
        <w:t>The age-specific rate is defined as total registrations per 100,000 population</w:t>
      </w:r>
      <w:r w:rsidR="001A6574">
        <w:t xml:space="preserve"> in a specified age group</w:t>
      </w:r>
      <w:r>
        <w:t>, or:</w:t>
      </w:r>
    </w:p>
    <w:p w14:paraId="6480A05C" w14:textId="15900B78" w:rsidR="00F57E75" w:rsidRDefault="176A0413" w:rsidP="002A4EA9">
      <w:pPr>
        <w:tabs>
          <w:tab w:val="left" w:pos="2280"/>
        </w:tabs>
        <w:jc w:val="both"/>
      </w:pPr>
      <w:r>
        <w:t xml:space="preserve">                                  </w:t>
      </w:r>
      <m:oMath>
        <m:f>
          <m:fPr>
            <m:ctrlPr>
              <w:rPr>
                <w:rFonts w:ascii="Cambria Math" w:hAnsi="Cambria Math"/>
              </w:rPr>
            </m:ctrlPr>
          </m:fPr>
          <m:num>
            <m:r>
              <w:rPr>
                <w:rFonts w:ascii="Cambria Math" w:hAnsi="Cambria Math"/>
              </w:rPr>
              <m:t>Total registrations in a specified age group</m:t>
            </m:r>
          </m:num>
          <m:den>
            <m:r>
              <w:rPr>
                <w:rFonts w:ascii="Cambria Math" w:hAnsi="Cambria Math"/>
              </w:rPr>
              <m:t>Total population of that age group</m:t>
            </m:r>
          </m:den>
        </m:f>
        <m:r>
          <w:rPr>
            <w:rFonts w:ascii="Cambria Math" w:hAnsi="Cambria Math"/>
          </w:rPr>
          <m:t>×100,000</m:t>
        </m:r>
      </m:oMath>
    </w:p>
    <w:p w14:paraId="284B2A31" w14:textId="5EDD788C" w:rsidR="00DC0C51" w:rsidRDefault="00A433E5" w:rsidP="00317A89">
      <w:pPr>
        <w:tabs>
          <w:tab w:val="left" w:pos="2280"/>
        </w:tabs>
        <w:jc w:val="both"/>
      </w:pPr>
      <w:r>
        <w:t>The age groupings included in the analysis are 0-54, 55-64, 65-74 and 75+.</w:t>
      </w:r>
    </w:p>
    <w:p w14:paraId="71668233" w14:textId="77777777" w:rsidR="00937104" w:rsidRDefault="00937104" w:rsidP="00317A89">
      <w:pPr>
        <w:tabs>
          <w:tab w:val="left" w:pos="2280"/>
        </w:tabs>
        <w:jc w:val="both"/>
      </w:pPr>
    </w:p>
    <w:p w14:paraId="1E631B84" w14:textId="7CC4A856" w:rsidR="00FA5149" w:rsidRPr="00F10586" w:rsidRDefault="00FA5149" w:rsidP="00F10586">
      <w:pPr>
        <w:pStyle w:val="Heading3"/>
      </w:pPr>
      <w:bookmarkStart w:id="37" w:name="_Toc1190504528"/>
      <w:r>
        <w:t>2.</w:t>
      </w:r>
      <w:r w:rsidR="00C31D9E">
        <w:t>6</w:t>
      </w:r>
      <w:r>
        <w:t>.</w:t>
      </w:r>
      <w:r w:rsidR="00C43AAF">
        <w:t>5</w:t>
      </w:r>
      <w:r>
        <w:t xml:space="preserve"> Proportions</w:t>
      </w:r>
      <w:bookmarkEnd w:id="37"/>
    </w:p>
    <w:p w14:paraId="5C5D1D4B" w14:textId="77777777" w:rsidR="00FA5149" w:rsidRDefault="00FA5149" w:rsidP="00317A89">
      <w:pPr>
        <w:tabs>
          <w:tab w:val="left" w:pos="2280"/>
        </w:tabs>
        <w:jc w:val="both"/>
      </w:pPr>
      <w:r>
        <w:t xml:space="preserve">Proportions are calculated when reporting on staging. The sum of all stages should sum to 1 for all cancer sites reported. </w:t>
      </w:r>
    </w:p>
    <w:p w14:paraId="52F10AEF" w14:textId="125B7FF7" w:rsidR="00FA5149" w:rsidRDefault="00FA5149" w:rsidP="00317A89">
      <w:pPr>
        <w:tabs>
          <w:tab w:val="left" w:pos="2280"/>
        </w:tabs>
        <w:jc w:val="both"/>
      </w:pPr>
      <w:r>
        <w:t>Proportions can take values between 0 and 1, and are defined by having</w:t>
      </w:r>
      <w:r w:rsidR="002803A6">
        <w:t>:</w:t>
      </w:r>
    </w:p>
    <w:p w14:paraId="38C424D9" w14:textId="5F7E442F" w:rsidR="00FA5149" w:rsidRDefault="00FA5149" w:rsidP="002803A6">
      <w:pPr>
        <w:pStyle w:val="ListParagraph"/>
        <w:numPr>
          <w:ilvl w:val="0"/>
          <w:numId w:val="9"/>
        </w:numPr>
        <w:tabs>
          <w:tab w:val="left" w:pos="2280"/>
        </w:tabs>
        <w:jc w:val="both"/>
      </w:pPr>
      <w:r>
        <w:t>A numerator in which every individual known to be in the denominator is counted once or not at all</w:t>
      </w:r>
    </w:p>
    <w:p w14:paraId="45C103D1" w14:textId="77777777" w:rsidR="00FA5149" w:rsidRDefault="00FA5149" w:rsidP="00317A89">
      <w:pPr>
        <w:pStyle w:val="ListParagraph"/>
        <w:numPr>
          <w:ilvl w:val="0"/>
          <w:numId w:val="9"/>
        </w:numPr>
        <w:tabs>
          <w:tab w:val="left" w:pos="2280"/>
        </w:tabs>
        <w:jc w:val="both"/>
      </w:pPr>
      <w:r>
        <w:t xml:space="preserve">A denominator which is exactly defined and known, and in which every individual is counted only once. </w:t>
      </w:r>
    </w:p>
    <w:p w14:paraId="782F7E7C" w14:textId="49D68534" w:rsidR="00FA5149" w:rsidRPr="00FA5149" w:rsidRDefault="00FA5149" w:rsidP="00317A89">
      <w:pPr>
        <w:tabs>
          <w:tab w:val="left" w:pos="2280"/>
        </w:tabs>
        <w:jc w:val="both"/>
      </w:pPr>
      <w:r>
        <w:t xml:space="preserve">In such instances, the denominator </w:t>
      </w:r>
      <w:proofErr w:type="gramStart"/>
      <w:r>
        <w:t>is considered to be</w:t>
      </w:r>
      <w:proofErr w:type="gramEnd"/>
      <w:r>
        <w:t xml:space="preserve"> a ‘closed’ population.</w:t>
      </w:r>
    </w:p>
    <w:p w14:paraId="5CB4A172" w14:textId="1EA18C25" w:rsidR="007A0F4A" w:rsidRDefault="00FA5149" w:rsidP="00317A89">
      <w:pPr>
        <w:jc w:val="both"/>
      </w:pPr>
      <w:r>
        <w:t xml:space="preserve">Analysis by staging </w:t>
      </w:r>
      <w:r w:rsidR="002803A6">
        <w:t>is</w:t>
      </w:r>
      <w:r>
        <w:t xml:space="preserve"> displayed as percentages in the output, with proportions simply multiplied by 100 to convert to </w:t>
      </w:r>
      <w:r w:rsidR="002803A6">
        <w:t xml:space="preserve">a </w:t>
      </w:r>
      <w:r>
        <w:t>percentage</w:t>
      </w:r>
      <w:r w:rsidR="002803A6">
        <w:t xml:space="preserve"> (%)</w:t>
      </w:r>
      <w:r>
        <w:t>.</w:t>
      </w:r>
    </w:p>
    <w:p w14:paraId="368A2841" w14:textId="77777777" w:rsidR="00DC0C51" w:rsidRDefault="00DC0C51" w:rsidP="00317A89">
      <w:pPr>
        <w:jc w:val="both"/>
      </w:pPr>
    </w:p>
    <w:p w14:paraId="53717225" w14:textId="4693A999" w:rsidR="004450E3" w:rsidRPr="00F10586" w:rsidRDefault="004450E3" w:rsidP="00F10586">
      <w:pPr>
        <w:pStyle w:val="Heading3"/>
      </w:pPr>
      <w:bookmarkStart w:id="38" w:name="_Toc657769287"/>
      <w:r>
        <w:t>2.</w:t>
      </w:r>
      <w:r w:rsidR="00C31D9E">
        <w:t>6</w:t>
      </w:r>
      <w:r>
        <w:t>.</w:t>
      </w:r>
      <w:r w:rsidR="00C43AAF">
        <w:t>6</w:t>
      </w:r>
      <w:r>
        <w:t xml:space="preserve"> Net survival (unstandardised net survival)</w:t>
      </w:r>
      <w:bookmarkEnd w:id="38"/>
    </w:p>
    <w:p w14:paraId="5F310EC1" w14:textId="4B617EF0" w:rsidR="004450E3" w:rsidRDefault="08031887" w:rsidP="00317A89">
      <w:pPr>
        <w:jc w:val="both"/>
      </w:pPr>
      <w:r>
        <w:t>Net survival (%) is an estimate of survival where the effect of background population mortality rates on survival has been removed. As background population mortality rates</w:t>
      </w:r>
      <w:r w:rsidR="5B7CC433">
        <w:t xml:space="preserve"> (</w:t>
      </w:r>
      <w:r>
        <w:t>presented in a life table</w:t>
      </w:r>
      <w:r w:rsidR="5B7CC433">
        <w:t>)</w:t>
      </w:r>
      <w:r>
        <w:t xml:space="preserve"> are a good approximation to the non-cancer related death rates among cancer patients, the net survival represents the survival of adult cancer patients if they could only die from cancer-related causes. Net survival is suitable for comparison of survival between different time periods and populations, as the confounding effect of non</w:t>
      </w:r>
      <w:r w:rsidR="5B7CC433">
        <w:t>-</w:t>
      </w:r>
      <w:r>
        <w:t xml:space="preserve">cancer death rates is removed. </w:t>
      </w:r>
      <w:r w:rsidR="6DFAA885">
        <w:t xml:space="preserve">However, </w:t>
      </w:r>
      <w:r>
        <w:t xml:space="preserve">the analysis is sensitive to differences in background mortality between populations. Please see </w:t>
      </w:r>
      <w:hyperlink w:anchor="_4.1.2_Lifetables">
        <w:r w:rsidRPr="0E2C158B">
          <w:rPr>
            <w:rStyle w:val="Hyperlink"/>
          </w:rPr>
          <w:t>section 4.2</w:t>
        </w:r>
      </w:hyperlink>
      <w:r>
        <w:t xml:space="preserve"> for more information about how life tables affect survival estimates. Pohar Perme (2012)</w:t>
      </w:r>
      <w:r w:rsidR="60F870BF" w:rsidRPr="0E2C158B">
        <w:rPr>
          <w:vertAlign w:val="superscript"/>
        </w:rPr>
        <w:t>3</w:t>
      </w:r>
      <w:r w:rsidR="3FB3737F">
        <w:t xml:space="preserve"> </w:t>
      </w:r>
      <w:r>
        <w:t>detail the net survival method further.</w:t>
      </w:r>
    </w:p>
    <w:p w14:paraId="2EA1752E" w14:textId="77777777" w:rsidR="00DC0C51" w:rsidRDefault="00DC0C51" w:rsidP="00317A89">
      <w:pPr>
        <w:jc w:val="both"/>
      </w:pPr>
    </w:p>
    <w:p w14:paraId="7F159E1A" w14:textId="49137729" w:rsidR="004450E3" w:rsidRPr="00F10586" w:rsidRDefault="004450E3" w:rsidP="00F10586">
      <w:pPr>
        <w:pStyle w:val="Heading3"/>
      </w:pPr>
      <w:bookmarkStart w:id="39" w:name="_Toc126403382"/>
      <w:r>
        <w:t>2.</w:t>
      </w:r>
      <w:r w:rsidR="00C31D9E">
        <w:t>6</w:t>
      </w:r>
      <w:r>
        <w:t>.</w:t>
      </w:r>
      <w:r w:rsidR="00C43AAF">
        <w:t>7</w:t>
      </w:r>
      <w:r>
        <w:t xml:space="preserve"> Age specific net survival</w:t>
      </w:r>
      <w:bookmarkEnd w:id="39"/>
    </w:p>
    <w:p w14:paraId="750A1FD9" w14:textId="170D6B1B" w:rsidR="004450E3" w:rsidRDefault="004450E3" w:rsidP="00317A89">
      <w:pPr>
        <w:jc w:val="both"/>
      </w:pPr>
      <w:r>
        <w:t xml:space="preserve">Age specific net survival (%) is the same as above but presented by age groups, which are used to calculate age-standardised net survival below. The age groupings used can be seen in </w:t>
      </w:r>
      <w:hyperlink w:anchor="_11_Appendix_B" w:history="1">
        <w:r w:rsidRPr="003C1FC8">
          <w:rPr>
            <w:rStyle w:val="Hyperlink"/>
          </w:rPr>
          <w:t xml:space="preserve">Appendix </w:t>
        </w:r>
        <w:r w:rsidR="00B67984" w:rsidRPr="003C1FC8">
          <w:rPr>
            <w:rStyle w:val="Hyperlink"/>
          </w:rPr>
          <w:t>B</w:t>
        </w:r>
      </w:hyperlink>
      <w:r>
        <w:t>.</w:t>
      </w:r>
    </w:p>
    <w:p w14:paraId="610381A3" w14:textId="77777777" w:rsidR="00DC72BC" w:rsidRDefault="00DC72BC" w:rsidP="00317A89">
      <w:pPr>
        <w:jc w:val="both"/>
      </w:pPr>
    </w:p>
    <w:p w14:paraId="75EDD184" w14:textId="7CFB56FA" w:rsidR="004450E3" w:rsidRPr="00F10586" w:rsidRDefault="004450E3" w:rsidP="00F10586">
      <w:pPr>
        <w:pStyle w:val="Heading3"/>
      </w:pPr>
      <w:bookmarkStart w:id="40" w:name="_Toc899989879"/>
      <w:r>
        <w:lastRenderedPageBreak/>
        <w:t>2.</w:t>
      </w:r>
      <w:r w:rsidR="00C31D9E">
        <w:t>6</w:t>
      </w:r>
      <w:r>
        <w:t>.</w:t>
      </w:r>
      <w:r w:rsidR="00C43AAF">
        <w:t>8</w:t>
      </w:r>
      <w:r>
        <w:t xml:space="preserve"> Age-standardised net survival</w:t>
      </w:r>
      <w:bookmarkEnd w:id="40"/>
    </w:p>
    <w:p w14:paraId="6014017A" w14:textId="23EF4216" w:rsidR="004450E3" w:rsidRDefault="4297F465" w:rsidP="00317A89">
      <w:pPr>
        <w:jc w:val="both"/>
      </w:pPr>
      <w:r>
        <w:t>The survival of cancer varies greatly with age. Differences in the age structure of populations between geographical areas or over time therefore need to be controlled to give unbiased comparisons of survival. Age-standardisation allows comparison of rates across different populations whil</w:t>
      </w:r>
      <w:r w:rsidR="691C4925">
        <w:t>st</w:t>
      </w:r>
      <w:r>
        <w:t xml:space="preserve"> taking</w:t>
      </w:r>
      <w:r w:rsidR="691C4925">
        <w:t xml:space="preserve"> </w:t>
      </w:r>
      <w:r>
        <w:t xml:space="preserve">account of the different age structures of those populations. Age-standardised net survival (%) is an estimate that would occur if that population (of cancer patients) had an age structure matching that of the general population. Using this metric allows fair comparison of the rates across different regions in Wales, other countries in </w:t>
      </w:r>
      <w:r w:rsidR="691C4925">
        <w:t xml:space="preserve">the </w:t>
      </w:r>
      <w:r>
        <w:t>UK and Europe, and between different time periods. Survival estimates for five broad age groups are assigned standard weights and summed to give the age-standardised survival estimate (</w:t>
      </w:r>
      <w:proofErr w:type="spellStart"/>
      <w:r>
        <w:t>Corazziari</w:t>
      </w:r>
      <w:proofErr w:type="spellEnd"/>
      <w:r>
        <w:t xml:space="preserve"> et al., 2004)</w:t>
      </w:r>
      <w:r w:rsidR="00466933">
        <w:rPr>
          <w:rStyle w:val="FootnoteReference"/>
        </w:rPr>
        <w:footnoteReference w:id="8"/>
      </w:r>
      <w:r>
        <w:t xml:space="preserve">. </w:t>
      </w:r>
      <w:hyperlink w:anchor="_11_Appendix_B">
        <w:r w:rsidRPr="69ACC922">
          <w:rPr>
            <w:rStyle w:val="Hyperlink"/>
          </w:rPr>
          <w:t xml:space="preserve">Appendix </w:t>
        </w:r>
        <w:r w:rsidR="46483874" w:rsidRPr="69ACC922">
          <w:rPr>
            <w:rStyle w:val="Hyperlink"/>
          </w:rPr>
          <w:t>B</w:t>
        </w:r>
      </w:hyperlink>
      <w:r>
        <w:t xml:space="preserve"> detail</w:t>
      </w:r>
      <w:r w:rsidR="46483874">
        <w:t>s</w:t>
      </w:r>
      <w:r>
        <w:t xml:space="preserve"> the weights used for the different cancer types.</w:t>
      </w:r>
    </w:p>
    <w:p w14:paraId="3D34607E" w14:textId="77777777" w:rsidR="00564296" w:rsidRDefault="00564296" w:rsidP="00317A89">
      <w:pPr>
        <w:jc w:val="both"/>
      </w:pPr>
    </w:p>
    <w:p w14:paraId="30ADB2CD" w14:textId="42CAD4FE" w:rsidR="00564296" w:rsidRPr="00F10586" w:rsidRDefault="00564296" w:rsidP="00564296">
      <w:pPr>
        <w:pStyle w:val="Heading3"/>
      </w:pPr>
      <w:bookmarkStart w:id="41" w:name="_Toc589219"/>
      <w:r>
        <w:t>2.6.9 Observed survival</w:t>
      </w:r>
      <w:bookmarkEnd w:id="41"/>
    </w:p>
    <w:p w14:paraId="51EDF395" w14:textId="2CAC46FA" w:rsidR="00DC0C51" w:rsidRPr="00937104" w:rsidRDefault="66A0C307" w:rsidP="00317A89">
      <w:pPr>
        <w:jc w:val="both"/>
      </w:pPr>
      <w:r w:rsidRPr="00937104">
        <w:t>Observed survival (%) is an estimate of the probability that a patient will be alive at a given time-point after diagnosis (Kaplan and Meier, 1958)</w:t>
      </w:r>
      <w:r w:rsidR="008D414B" w:rsidRPr="00937104">
        <w:rPr>
          <w:rStyle w:val="FootnoteReference"/>
        </w:rPr>
        <w:footnoteReference w:id="9"/>
      </w:r>
      <w:r w:rsidRPr="00937104">
        <w:t xml:space="preserve">. It does not take account of cause of death, therefore providing a crude overall prognosis from all possible causes of death. The Kaplan-Meier method is a non-parametric method used to estimate observed survival. For each time interval, observed survival (%) is calculated as the number of subjects surviving divided by the number of patients at risk. </w:t>
      </w:r>
    </w:p>
    <w:p w14:paraId="067AB9DF" w14:textId="77777777" w:rsidR="00564296" w:rsidRDefault="00564296" w:rsidP="00317A89">
      <w:pPr>
        <w:jc w:val="both"/>
      </w:pPr>
    </w:p>
    <w:p w14:paraId="3ECFBF46" w14:textId="655018EC" w:rsidR="00FA5149" w:rsidRPr="00F10586" w:rsidRDefault="00FA5149" w:rsidP="00F10586">
      <w:pPr>
        <w:pStyle w:val="Heading3"/>
      </w:pPr>
      <w:bookmarkStart w:id="42" w:name="_Toc658467350"/>
      <w:r>
        <w:t>2.</w:t>
      </w:r>
      <w:r w:rsidR="00C31D9E">
        <w:t>6</w:t>
      </w:r>
      <w:r>
        <w:t>.</w:t>
      </w:r>
      <w:r w:rsidR="00564296">
        <w:t>10</w:t>
      </w:r>
      <w:r>
        <w:t xml:space="preserve"> Confidence intervals</w:t>
      </w:r>
      <w:bookmarkEnd w:id="42"/>
    </w:p>
    <w:p w14:paraId="6262BEF3" w14:textId="3A0C03EA" w:rsidR="00FA5149" w:rsidRPr="00590CD6" w:rsidRDefault="00FA5149" w:rsidP="00317A89">
      <w:pPr>
        <w:jc w:val="both"/>
      </w:pPr>
      <w:r w:rsidRPr="00590CD6">
        <w:t>Confidence intervals are produced alongside EASRs</w:t>
      </w:r>
      <w:r w:rsidR="009B429A">
        <w:t>, age-specific rates</w:t>
      </w:r>
      <w:r w:rsidR="00FA4541">
        <w:t xml:space="preserve"> and survival figures</w:t>
      </w:r>
      <w:r w:rsidRPr="00590CD6">
        <w:t xml:space="preserve">. </w:t>
      </w:r>
      <w:r w:rsidR="00FA4541">
        <w:t>They</w:t>
      </w:r>
      <w:r w:rsidRPr="00590CD6">
        <w:t xml:space="preserve"> are indications of the natural variation </w:t>
      </w:r>
      <w:r>
        <w:t xml:space="preserve">that would be expected around an </w:t>
      </w:r>
      <w:r w:rsidR="003C1FC8">
        <w:t>estimate and</w:t>
      </w:r>
      <w:r w:rsidRPr="00590CD6">
        <w:t xml:space="preserve"> should be considered </w:t>
      </w:r>
      <w:r>
        <w:t>when assessing or interpreting an estimate</w:t>
      </w:r>
      <w:r w:rsidRPr="00590CD6">
        <w:t xml:space="preserve">. The size of the confidence interval is dependent on the number of events occurring and the size of the population from </w:t>
      </w:r>
      <w:r>
        <w:t>which the events came. Generally</w:t>
      </w:r>
      <w:r w:rsidRPr="00590CD6">
        <w:t xml:space="preserve">, </w:t>
      </w:r>
      <w:r>
        <w:t>estimates</w:t>
      </w:r>
      <w:r w:rsidRPr="00590CD6">
        <w:t xml:space="preserve"> based on small numbers of events and small populations are likely to have wider confidence intervals. Conversely, </w:t>
      </w:r>
      <w:r>
        <w:t>estimates</w:t>
      </w:r>
      <w:r w:rsidRPr="00590CD6">
        <w:t xml:space="preserve"> based on large populations are likely to have narrower confidence intervals. </w:t>
      </w:r>
    </w:p>
    <w:p w14:paraId="51830C89" w14:textId="77777777" w:rsidR="00937104" w:rsidRDefault="00FA5149" w:rsidP="00317A89">
      <w:pPr>
        <w:jc w:val="both"/>
      </w:pPr>
      <w:r w:rsidRPr="00590CD6">
        <w:t>In this publication, we calculate 95 per cent confidence intervals</w:t>
      </w:r>
      <w:r>
        <w:t>.</w:t>
      </w:r>
      <w:r w:rsidRPr="00590CD6">
        <w:t xml:space="preserve"> This represents a range of values that we can be 95 per cent confident contains the ‘true’ underlying </w:t>
      </w:r>
      <w:r>
        <w:t>estimate.</w:t>
      </w:r>
    </w:p>
    <w:p w14:paraId="6FA774FA" w14:textId="0642CDBD" w:rsidR="00CB2634" w:rsidRDefault="009906AE" w:rsidP="00317A89">
      <w:pPr>
        <w:jc w:val="both"/>
      </w:pPr>
      <w:r>
        <w:rPr>
          <w:noProof/>
          <w:lang w:eastAsia="en-GB"/>
        </w:rPr>
        <w:lastRenderedPageBreak/>
        <mc:AlternateContent>
          <mc:Choice Requires="wps">
            <w:drawing>
              <wp:anchor distT="45720" distB="45720" distL="114300" distR="114300" simplePos="0" relativeHeight="251658246" behindDoc="0" locked="0" layoutInCell="1" allowOverlap="1" wp14:anchorId="78446E85" wp14:editId="00ECC9C5">
                <wp:simplePos x="0" y="0"/>
                <wp:positionH relativeFrom="margin">
                  <wp:posOffset>-10795</wp:posOffset>
                </wp:positionH>
                <wp:positionV relativeFrom="paragraph">
                  <wp:posOffset>1237615</wp:posOffset>
                </wp:positionV>
                <wp:extent cx="5721350" cy="1031240"/>
                <wp:effectExtent l="0" t="0" r="0" b="0"/>
                <wp:wrapSquare wrapText="bothSides"/>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0" cy="1031240"/>
                        </a:xfrm>
                        <a:prstGeom prst="rect">
                          <a:avLst/>
                        </a:prstGeom>
                        <a:noFill/>
                        <a:ln w="9525">
                          <a:noFill/>
                          <a:miter lim="800000"/>
                          <a:headEnd/>
                          <a:tailEnd/>
                        </a:ln>
                      </wps:spPr>
                      <wps:txbx>
                        <w:txbxContent>
                          <w:p w14:paraId="17FE2D25" w14:textId="77777777" w:rsidR="00176D76" w:rsidRPr="009906AE" w:rsidRDefault="00176D76" w:rsidP="00DC0C51">
                            <w:pPr>
                              <w:pStyle w:val="Caption"/>
                              <w:keepNext/>
                              <w:rPr>
                                <w:b/>
                                <w:bCs/>
                                <w:i w:val="0"/>
                                <w:iCs w:val="0"/>
                                <w:color w:val="auto"/>
                                <w:sz w:val="24"/>
                                <w:szCs w:val="24"/>
                              </w:rPr>
                            </w:pPr>
                            <w:bookmarkStart w:id="43" w:name="_Hlk143505132"/>
                            <w:r w:rsidRPr="009906AE">
                              <w:rPr>
                                <w:b/>
                                <w:bCs/>
                                <w:i w:val="0"/>
                                <w:iCs w:val="0"/>
                                <w:color w:val="auto"/>
                                <w:sz w:val="24"/>
                                <w:szCs w:val="24"/>
                              </w:rPr>
                              <w:t xml:space="preserve">Figure 2: Using confidence intervals for making comparisons. </w:t>
                            </w:r>
                            <w:r w:rsidRPr="009906AE">
                              <w:rPr>
                                <w:b/>
                                <w:bCs/>
                                <w:i w:val="0"/>
                                <w:iCs w:val="0"/>
                                <w:color w:val="auto"/>
                                <w:sz w:val="24"/>
                                <w:szCs w:val="24"/>
                              </w:rPr>
                              <w:br/>
                              <w:t xml:space="preserve">a) &amp; b) </w:t>
                            </w:r>
                            <w:proofErr w:type="gramStart"/>
                            <w:r w:rsidRPr="009906AE">
                              <w:rPr>
                                <w:b/>
                                <w:bCs/>
                                <w:i w:val="0"/>
                                <w:iCs w:val="0"/>
                                <w:color w:val="auto"/>
                                <w:sz w:val="24"/>
                                <w:szCs w:val="24"/>
                              </w:rPr>
                              <w:t>Non-overlapping</w:t>
                            </w:r>
                            <w:proofErr w:type="gramEnd"/>
                            <w:r w:rsidRPr="009906AE">
                              <w:rPr>
                                <w:b/>
                                <w:bCs/>
                                <w:i w:val="0"/>
                                <w:iCs w:val="0"/>
                                <w:color w:val="auto"/>
                                <w:sz w:val="24"/>
                                <w:szCs w:val="24"/>
                              </w:rPr>
                              <w:t xml:space="preserve"> confidence intervals are considered statistically significant. </w:t>
                            </w:r>
                            <w:r w:rsidRPr="009906AE">
                              <w:rPr>
                                <w:b/>
                                <w:bCs/>
                                <w:i w:val="0"/>
                                <w:iCs w:val="0"/>
                                <w:color w:val="auto"/>
                                <w:sz w:val="24"/>
                                <w:szCs w:val="24"/>
                              </w:rPr>
                              <w:br/>
                            </w:r>
                            <w:bookmarkEnd w:id="43"/>
                            <w:r w:rsidRPr="009906AE">
                              <w:rPr>
                                <w:b/>
                                <w:bCs/>
                                <w:i w:val="0"/>
                                <w:iCs w:val="0"/>
                                <w:color w:val="auto"/>
                                <w:sz w:val="24"/>
                                <w:szCs w:val="24"/>
                              </w:rPr>
                              <w:t xml:space="preserve">c) Overlapping confidence intervals do not always indicate a difference that is not statistically significant.  </w:t>
                            </w:r>
                          </w:p>
                          <w:p w14:paraId="479AE2CE" w14:textId="1B25E63B" w:rsidR="00176D76" w:rsidRPr="008A0831" w:rsidRDefault="00176D76" w:rsidP="00DC0C51">
                            <w:pPr>
                              <w:jc w:val="both"/>
                              <w:rPr>
                                <w:sz w:val="20"/>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446E85" id="Text Box 17" o:spid="_x0000_s1030" type="#_x0000_t202" style="position:absolute;left:0;text-align:left;margin-left:-.85pt;margin-top:97.45pt;width:450.5pt;height:81.2pt;z-index:25165824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" filled="f" stroked="f">
                <v:textbox>
                  <w:txbxContent>
                    <w:p w14:paraId="17FE2D25" w14:textId="77777777" w:rsidR="00176D76" w:rsidRPr="009906AE" w:rsidRDefault="00176D76" w:rsidP="00DC0C51">
                      <w:pPr>
                        <w:pStyle w:val="Caption"/>
                        <w:keepNext/>
                        <w:rPr>
                          <w:b/>
                          <w:bCs/>
                          <w:i w:val="0"/>
                          <w:iCs w:val="0"/>
                          <w:color w:val="auto"/>
                          <w:sz w:val="24"/>
                          <w:szCs w:val="24"/>
                        </w:rPr>
                      </w:pPr>
                      <w:bookmarkStart w:id="44" w:name="_Hlk143505132"/>
                      <w:r w:rsidRPr="009906AE">
                        <w:rPr>
                          <w:b/>
                          <w:bCs/>
                          <w:i w:val="0"/>
                          <w:iCs w:val="0"/>
                          <w:color w:val="auto"/>
                          <w:sz w:val="24"/>
                          <w:szCs w:val="24"/>
                        </w:rPr>
                        <w:t xml:space="preserve">Figure 2: Using confidence intervals for making comparisons. </w:t>
                      </w:r>
                      <w:r w:rsidRPr="009906AE">
                        <w:rPr>
                          <w:b/>
                          <w:bCs/>
                          <w:i w:val="0"/>
                          <w:iCs w:val="0"/>
                          <w:color w:val="auto"/>
                          <w:sz w:val="24"/>
                          <w:szCs w:val="24"/>
                        </w:rPr>
                        <w:br/>
                        <w:t xml:space="preserve">a) &amp; b) </w:t>
                      </w:r>
                      <w:proofErr w:type="gramStart"/>
                      <w:r w:rsidRPr="009906AE">
                        <w:rPr>
                          <w:b/>
                          <w:bCs/>
                          <w:i w:val="0"/>
                          <w:iCs w:val="0"/>
                          <w:color w:val="auto"/>
                          <w:sz w:val="24"/>
                          <w:szCs w:val="24"/>
                        </w:rPr>
                        <w:t>Non-overlapping</w:t>
                      </w:r>
                      <w:proofErr w:type="gramEnd"/>
                      <w:r w:rsidRPr="009906AE">
                        <w:rPr>
                          <w:b/>
                          <w:bCs/>
                          <w:i w:val="0"/>
                          <w:iCs w:val="0"/>
                          <w:color w:val="auto"/>
                          <w:sz w:val="24"/>
                          <w:szCs w:val="24"/>
                        </w:rPr>
                        <w:t xml:space="preserve"> confidence intervals are considered statistically significant. </w:t>
                      </w:r>
                      <w:r w:rsidRPr="009906AE">
                        <w:rPr>
                          <w:b/>
                          <w:bCs/>
                          <w:i w:val="0"/>
                          <w:iCs w:val="0"/>
                          <w:color w:val="auto"/>
                          <w:sz w:val="24"/>
                          <w:szCs w:val="24"/>
                        </w:rPr>
                        <w:br/>
                      </w:r>
                      <w:bookmarkEnd w:id="44"/>
                      <w:r w:rsidRPr="009906AE">
                        <w:rPr>
                          <w:b/>
                          <w:bCs/>
                          <w:i w:val="0"/>
                          <w:iCs w:val="0"/>
                          <w:color w:val="auto"/>
                          <w:sz w:val="24"/>
                          <w:szCs w:val="24"/>
                        </w:rPr>
                        <w:t xml:space="preserve">c) Overlapping confidence intervals do not always indicate a difference that is not statistically significant.  </w:t>
                      </w:r>
                    </w:p>
                    <w:p w14:paraId="479AE2CE" w14:textId="1B25E63B" w:rsidR="00176D76" w:rsidRPr="008A0831" w:rsidRDefault="00176D76" w:rsidP="00DC0C51">
                      <w:pPr>
                        <w:jc w:val="both"/>
                        <w:rPr>
                          <w:sz w:val="20"/>
                          <w:szCs w:val="18"/>
                        </w:rPr>
                      </w:pPr>
                    </w:p>
                  </w:txbxContent>
                </v:textbox>
                <w10:wrap type="square" anchorx="margin"/>
              </v:shape>
            </w:pict>
          </mc:Fallback>
        </mc:AlternateContent>
      </w:r>
      <w:r w:rsidR="457FC76A">
        <w:t>Confidence intervals calculated alongside EASRs use</w:t>
      </w:r>
      <w:r w:rsidR="457FC76A" w:rsidRPr="00590CD6">
        <w:t xml:space="preserve"> the </w:t>
      </w:r>
      <w:r w:rsidR="457FC76A">
        <w:t>modified gamma distribution method by Tiwari, R.C. et al</w:t>
      </w:r>
      <w:r w:rsidR="00BE6425">
        <w:rPr>
          <w:rStyle w:val="FootnoteReference"/>
          <w:rFonts w:ascii="Verdana" w:hAnsi="Verdana"/>
          <w:sz w:val="20"/>
          <w:szCs w:val="20"/>
        </w:rPr>
        <w:footnoteReference w:id="10"/>
      </w:r>
      <w:r w:rsidR="457FC76A">
        <w:t xml:space="preserve">. This is a </w:t>
      </w:r>
      <w:r w:rsidR="457FC76A" w:rsidRPr="00920A3D">
        <w:t>modification of the formula for the upper confidence limit</w:t>
      </w:r>
      <w:r w:rsidR="457FC76A">
        <w:t xml:space="preserve"> of the original c</w:t>
      </w:r>
      <w:r w:rsidR="457FC76A" w:rsidRPr="00920A3D">
        <w:t>onfidence i</w:t>
      </w:r>
      <w:r w:rsidR="457FC76A">
        <w:t>ntervals for directly standardis</w:t>
      </w:r>
      <w:r w:rsidR="457FC76A" w:rsidRPr="00920A3D">
        <w:t>ed rates based on the gamma distribution, as p</w:t>
      </w:r>
      <w:r w:rsidR="457FC76A">
        <w:t>roposed by Fay and Feuer</w:t>
      </w:r>
      <w:r w:rsidR="00BE6425">
        <w:rPr>
          <w:rStyle w:val="FootnoteReference"/>
          <w:rFonts w:ascii="Verdana" w:hAnsi="Verdana"/>
          <w:sz w:val="20"/>
          <w:szCs w:val="20"/>
        </w:rPr>
        <w:footnoteReference w:id="11"/>
      </w:r>
      <w:r w:rsidR="457FC76A">
        <w:t>. C</w:t>
      </w:r>
      <w:r w:rsidR="457FC76A" w:rsidRPr="00F93445">
        <w:t>onfidence intervals are presented alongside proportions using a method proposed by Wilson, E.B. et al</w:t>
      </w:r>
      <w:r w:rsidR="00BE6425">
        <w:rPr>
          <w:rStyle w:val="FootnoteReference"/>
          <w:rFonts w:ascii="Verdana" w:hAnsi="Verdana"/>
          <w:sz w:val="20"/>
          <w:szCs w:val="20"/>
        </w:rPr>
        <w:footnoteReference w:id="12"/>
      </w:r>
      <w:r w:rsidR="7CEBBFFF">
        <w:t>.</w:t>
      </w:r>
    </w:p>
    <w:p w14:paraId="300D6727" w14:textId="52828012" w:rsidR="00DC72BC" w:rsidRDefault="6FC4C7D4" w:rsidP="0BA15C4E">
      <w:pPr>
        <w:keepNext/>
        <w:jc w:val="center"/>
      </w:pPr>
      <w:r>
        <w:rPr>
          <w:noProof/>
        </w:rPr>
        <w:drawing>
          <wp:inline distT="0" distB="0" distL="0" distR="0" wp14:anchorId="6AB8DDA0" wp14:editId="63F1D578">
            <wp:extent cx="4144662" cy="2821998"/>
            <wp:effectExtent l="0" t="0" r="0" b="0"/>
            <wp:docPr id="838255104" name="Picture 838255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4144662" cy="2821998"/>
                    </a:xfrm>
                    <a:prstGeom prst="rect">
                      <a:avLst/>
                    </a:prstGeom>
                  </pic:spPr>
                </pic:pic>
              </a:graphicData>
            </a:graphic>
          </wp:inline>
        </w:drawing>
      </w:r>
    </w:p>
    <w:p w14:paraId="6BA57375" w14:textId="38D53C98" w:rsidR="00FA5149" w:rsidRDefault="00FA5149" w:rsidP="00317A89">
      <w:pPr>
        <w:jc w:val="both"/>
      </w:pPr>
      <w:r w:rsidRPr="00590CD6">
        <w:t>Comparisons are often made between two or more estimates, for example</w:t>
      </w:r>
      <w:r w:rsidR="009B429A">
        <w:t>,</w:t>
      </w:r>
      <w:r w:rsidRPr="00590CD6">
        <w:t xml:space="preserve"> between different areas or time periods (Figure </w:t>
      </w:r>
      <w:r w:rsidR="00401614">
        <w:t>2</w:t>
      </w:r>
      <w:r w:rsidRPr="00590CD6">
        <w:t xml:space="preserve">). Sometimes in such cases statistical testing is undertaken by comparing the confidence intervals of the estimates to see if they overlap. Non-overlapping confidence intervals are considered as statistically significantly different (Figures </w:t>
      </w:r>
      <w:r w:rsidR="00401614">
        <w:t>2</w:t>
      </w:r>
      <w:r w:rsidRPr="00590CD6">
        <w:t xml:space="preserve">a &amp; </w:t>
      </w:r>
      <w:r w:rsidR="00401614">
        <w:t>2</w:t>
      </w:r>
      <w:r w:rsidRPr="00590CD6">
        <w:t xml:space="preserve">b). Whilst it is safe to assume that non-overlapping confidence intervals indicate a statistically significant difference, it is not </w:t>
      </w:r>
      <w:r w:rsidRPr="00590CD6">
        <w:lastRenderedPageBreak/>
        <w:t>always the case that overlapping confidence intervals do not (Figure 1c).</w:t>
      </w:r>
      <w:r w:rsidR="00026B97">
        <w:t xml:space="preserve"> </w:t>
      </w:r>
      <w:r w:rsidRPr="00590CD6">
        <w:t xml:space="preserve">A more exact approach is to calculate the ratio of the two estimates, or the difference between them, and construct a test or confidence interval based on that statistic. Such methods are not covered in this technical </w:t>
      </w:r>
      <w:r w:rsidR="009B429A" w:rsidRPr="00590CD6">
        <w:t>guide but</w:t>
      </w:r>
      <w:r w:rsidRPr="00590CD6">
        <w:t xml:space="preserve"> can be found in a standard textbook.</w:t>
      </w:r>
    </w:p>
    <w:p w14:paraId="0D392B4E" w14:textId="07F217F5" w:rsidR="00DC0C51" w:rsidRDefault="00FA5149" w:rsidP="00317A89">
      <w:pPr>
        <w:jc w:val="both"/>
      </w:pPr>
      <w:r>
        <w:t xml:space="preserve">Geographical analysis in this </w:t>
      </w:r>
      <w:r w:rsidR="00FA4541">
        <w:t>tool</w:t>
      </w:r>
      <w:r>
        <w:t xml:space="preserve"> </w:t>
      </w:r>
      <w:r w:rsidR="009B429A">
        <w:t>indicates</w:t>
      </w:r>
      <w:r>
        <w:t xml:space="preserve"> whether the EASRs </w:t>
      </w:r>
      <w:r w:rsidR="00A1732E">
        <w:t xml:space="preserve">or net survival </w:t>
      </w:r>
      <w:r>
        <w:t>is significantly different compared to the Wales rate for the area, cancer site and time</w:t>
      </w:r>
      <w:r w:rsidR="009B429A">
        <w:t>-</w:t>
      </w:r>
      <w:r>
        <w:t xml:space="preserve">period. In this instance, significant difference is indicated by whether the confidence intervals for </w:t>
      </w:r>
      <w:r w:rsidR="009B429A">
        <w:t>a</w:t>
      </w:r>
      <w:r>
        <w:t xml:space="preserve"> </w:t>
      </w:r>
      <w:r w:rsidR="009B429A">
        <w:t>particular area overlap</w:t>
      </w:r>
      <w:r>
        <w:t xml:space="preserve"> or not with the confidence intervals around the Wales estimate for the cancer site and time</w:t>
      </w:r>
      <w:r w:rsidR="009B429A">
        <w:t>-</w:t>
      </w:r>
      <w:r>
        <w:t xml:space="preserve">period. </w:t>
      </w:r>
    </w:p>
    <w:p w14:paraId="059F6789" w14:textId="77777777" w:rsidR="00FC1874" w:rsidRDefault="00FC1874" w:rsidP="00317A89">
      <w:pPr>
        <w:jc w:val="both"/>
      </w:pPr>
    </w:p>
    <w:p w14:paraId="78DEF1AB" w14:textId="6DBC68EF" w:rsidR="00FA4541" w:rsidRPr="00F10586" w:rsidRDefault="008E085E" w:rsidP="00F10586">
      <w:pPr>
        <w:pStyle w:val="Heading3"/>
      </w:pPr>
      <w:bookmarkStart w:id="44" w:name="_Toc763160345"/>
      <w:r>
        <w:t>2.</w:t>
      </w:r>
      <w:r w:rsidR="00C31D9E">
        <w:t>6</w:t>
      </w:r>
      <w:r>
        <w:t>.</w:t>
      </w:r>
      <w:r w:rsidR="00C43AAF">
        <w:t>1</w:t>
      </w:r>
      <w:r w:rsidR="00EC2E50">
        <w:t>1</w:t>
      </w:r>
      <w:r>
        <w:t xml:space="preserve"> </w:t>
      </w:r>
      <w:r w:rsidR="00FA4541">
        <w:t>Populations</w:t>
      </w:r>
      <w:bookmarkEnd w:id="44"/>
    </w:p>
    <w:p w14:paraId="41B7E281" w14:textId="55B47346" w:rsidR="00FA4541" w:rsidRDefault="00FA4541" w:rsidP="66C9CF9A">
      <w:pPr>
        <w:jc w:val="both"/>
      </w:pPr>
      <w:r>
        <w:t xml:space="preserve">ONS mid-year population </w:t>
      </w:r>
      <w:r w:rsidR="000F4E32">
        <w:t xml:space="preserve">estimates </w:t>
      </w:r>
      <w:r>
        <w:t xml:space="preserve">from the relevant time periods are used as the denominator for rate calculations. Full guidance on the methodology used by ONS to calculate population estimates can be accessed </w:t>
      </w:r>
      <w:hyperlink r:id="rId20" w:history="1">
        <w:r w:rsidR="00CB041A" w:rsidRPr="66C9CF9A">
          <w:rPr>
            <w:rStyle w:val="Hyperlink"/>
          </w:rPr>
          <w:t>here</w:t>
        </w:r>
      </w:hyperlink>
      <w:r w:rsidR="00CB041A" w:rsidRPr="66C9CF9A">
        <w:t>.</w:t>
      </w:r>
    </w:p>
    <w:p w14:paraId="7C06413B" w14:textId="0BB06915" w:rsidR="00E8283C" w:rsidRDefault="223CE359" w:rsidP="41683809">
      <w:pPr>
        <w:jc w:val="both"/>
      </w:pPr>
      <w:r>
        <w:t>All recent publications use</w:t>
      </w:r>
      <w:r w:rsidR="36FD9A0E" w:rsidRPr="7BDE8E7A">
        <w:t xml:space="preserve"> rebased population estimates </w:t>
      </w:r>
      <w:r w:rsidR="3DC9B147" w:rsidRPr="7BDE8E7A">
        <w:t xml:space="preserve">by </w:t>
      </w:r>
      <w:r w:rsidR="007A5E12" w:rsidRPr="7BDE8E7A">
        <w:t xml:space="preserve">LSOA </w:t>
      </w:r>
      <w:r w:rsidR="36FD9A0E" w:rsidRPr="7BDE8E7A">
        <w:t>f</w:t>
      </w:r>
      <w:r w:rsidR="48BF85DE" w:rsidRPr="7BDE8E7A">
        <w:t>rom mid-201</w:t>
      </w:r>
      <w:r w:rsidR="5881693B" w:rsidRPr="7BDE8E7A">
        <w:t>1</w:t>
      </w:r>
      <w:r w:rsidR="51A24BF9" w:rsidRPr="7BDE8E7A">
        <w:t xml:space="preserve"> to </w:t>
      </w:r>
      <w:r w:rsidR="002126C9" w:rsidRPr="7BDE8E7A">
        <w:t xml:space="preserve">the most current reported year </w:t>
      </w:r>
      <w:r w:rsidR="36FD9A0E" w:rsidRPr="7BDE8E7A">
        <w:t xml:space="preserve">as the denominator for the </w:t>
      </w:r>
      <w:r w:rsidR="729A0836" w:rsidRPr="7BDE8E7A">
        <w:t>geographical</w:t>
      </w:r>
      <w:r w:rsidR="36FD9A0E" w:rsidRPr="7BDE8E7A">
        <w:t xml:space="preserve"> analysis</w:t>
      </w:r>
      <w:r w:rsidR="52125BCA" w:rsidRPr="7BDE8E7A">
        <w:t xml:space="preserve"> to align with </w:t>
      </w:r>
      <w:r w:rsidR="00E07838" w:rsidRPr="7BDE8E7A">
        <w:t>C</w:t>
      </w:r>
      <w:r w:rsidR="52125BCA" w:rsidRPr="7BDE8E7A">
        <w:t>ensus 2021</w:t>
      </w:r>
      <w:r w:rsidR="36FD9A0E" w:rsidRPr="7BDE8E7A">
        <w:t xml:space="preserve">. Details on rebasing of mid-year estimates can be accessed </w:t>
      </w:r>
      <w:hyperlink r:id="rId21" w:anchor="the-impact-of-changes-on-the-rebased-mid-year-estimates-series">
        <w:r w:rsidR="36FD9A0E" w:rsidRPr="7BDE8E7A">
          <w:rPr>
            <w:rStyle w:val="Hyperlink"/>
            <w:color w:val="auto"/>
          </w:rPr>
          <w:t>here</w:t>
        </w:r>
      </w:hyperlink>
      <w:r w:rsidR="36FD9A0E" w:rsidRPr="7BDE8E7A">
        <w:t xml:space="preserve">. </w:t>
      </w:r>
      <w:r w:rsidR="00BE7C55" w:rsidRPr="7BDE8E7A">
        <w:t>A</w:t>
      </w:r>
      <w:r w:rsidR="00E91BBF" w:rsidRPr="7BDE8E7A">
        <w:t xml:space="preserve">nalysis presented for 2002-2010 uses </w:t>
      </w:r>
      <w:r w:rsidR="00C579CB" w:rsidRPr="7BDE8E7A">
        <w:t>population estimates by LSOA as the denominator for the geographical analysis to align with Census 2011.</w:t>
      </w:r>
    </w:p>
    <w:p w14:paraId="1CAED0DF" w14:textId="6D3BA982" w:rsidR="00E10281" w:rsidRPr="00D2393C" w:rsidRDefault="00A25763" w:rsidP="00D965C6">
      <w:pPr>
        <w:jc w:val="both"/>
      </w:pPr>
      <w:r>
        <w:t>F</w:t>
      </w:r>
      <w:r w:rsidR="00466933">
        <w:t>or mortality, p</w:t>
      </w:r>
      <w:r w:rsidR="0057428C">
        <w:t xml:space="preserve">opulation estimates by </w:t>
      </w:r>
      <w:r w:rsidR="507D656E">
        <w:t>LSOA</w:t>
      </w:r>
      <w:r w:rsidR="0057428C">
        <w:t>s for mid-202</w:t>
      </w:r>
      <w:r>
        <w:t>3</w:t>
      </w:r>
      <w:r w:rsidR="0057428C">
        <w:t xml:space="preserve"> and mid-202</w:t>
      </w:r>
      <w:r>
        <w:t>4</w:t>
      </w:r>
      <w:r w:rsidR="0057428C">
        <w:t xml:space="preserve"> were not available at the time of analysis therefore 202</w:t>
      </w:r>
      <w:r>
        <w:t>2</w:t>
      </w:r>
      <w:r w:rsidR="0057428C">
        <w:t xml:space="preserve"> populations were used as a proxy for 202</w:t>
      </w:r>
      <w:r>
        <w:t>3</w:t>
      </w:r>
      <w:r w:rsidR="0057428C">
        <w:t xml:space="preserve"> and 202</w:t>
      </w:r>
      <w:r>
        <w:t>4</w:t>
      </w:r>
      <w:r w:rsidR="0057428C">
        <w:t xml:space="preserve"> for the analysis.</w:t>
      </w:r>
      <w:r w:rsidR="00E9203F">
        <w:t xml:space="preserve"> </w:t>
      </w:r>
    </w:p>
    <w:p w14:paraId="030637E5" w14:textId="22C75D10" w:rsidR="001872FF" w:rsidRPr="00FD7EBC" w:rsidRDefault="001872FF" w:rsidP="00FD7EBC">
      <w:pPr>
        <w:jc w:val="both"/>
      </w:pPr>
    </w:p>
    <w:p w14:paraId="43032A48" w14:textId="7BC6D629" w:rsidR="007C0184" w:rsidRDefault="007C0184" w:rsidP="00E43A91">
      <w:pPr>
        <w:pStyle w:val="Heading2"/>
      </w:pPr>
      <w:bookmarkStart w:id="45" w:name="_2.7_Datasets_and"/>
      <w:bookmarkStart w:id="46" w:name="_Toc1256033463"/>
      <w:bookmarkEnd w:id="45"/>
      <w:r>
        <w:t>2.</w:t>
      </w:r>
      <w:r w:rsidR="00C31D9E">
        <w:t>7</w:t>
      </w:r>
      <w:r>
        <w:t xml:space="preserve"> </w:t>
      </w:r>
      <w:r w:rsidR="005B668C">
        <w:t>Datasets and analysis</w:t>
      </w:r>
      <w:bookmarkEnd w:id="46"/>
    </w:p>
    <w:p w14:paraId="237E9C32" w14:textId="503C5378" w:rsidR="00193E30" w:rsidRDefault="00193E30" w:rsidP="002E24F6">
      <w:pPr>
        <w:jc w:val="both"/>
      </w:pPr>
      <w:r>
        <w:t>Incidence and mortality analyses were carried out using reproducible analytical pipelines in R, under the following versions:</w:t>
      </w:r>
    </w:p>
    <w:p w14:paraId="0A4E12A2" w14:textId="035D1F3A" w:rsidR="00193E30" w:rsidRDefault="00193E30" w:rsidP="00DC72BC">
      <w:pPr>
        <w:pStyle w:val="ListParagraph"/>
        <w:numPr>
          <w:ilvl w:val="0"/>
          <w:numId w:val="22"/>
        </w:numPr>
        <w:jc w:val="both"/>
      </w:pPr>
      <w:r>
        <w:t>Incidence analysis - 4.</w:t>
      </w:r>
      <w:r w:rsidR="00E9203F">
        <w:t>4</w:t>
      </w:r>
      <w:r>
        <w:t>.</w:t>
      </w:r>
      <w:r w:rsidR="00E9203F">
        <w:t>0</w:t>
      </w:r>
    </w:p>
    <w:p w14:paraId="57301189" w14:textId="24F032C2" w:rsidR="00193E30" w:rsidRDefault="00193E30" w:rsidP="00DC72BC">
      <w:pPr>
        <w:pStyle w:val="ListParagraph"/>
        <w:numPr>
          <w:ilvl w:val="0"/>
          <w:numId w:val="22"/>
        </w:numPr>
        <w:jc w:val="both"/>
      </w:pPr>
      <w:r>
        <w:t>Mortality analysis – 4.</w:t>
      </w:r>
      <w:r w:rsidR="00893A15">
        <w:t>2</w:t>
      </w:r>
      <w:r>
        <w:t>.</w:t>
      </w:r>
      <w:r w:rsidR="00893A15">
        <w:t>2</w:t>
      </w:r>
    </w:p>
    <w:p w14:paraId="72CA4576" w14:textId="6FA9B2B9" w:rsidR="00193E30" w:rsidRDefault="00193E30" w:rsidP="00DC72BC">
      <w:pPr>
        <w:pStyle w:val="ListParagraph"/>
        <w:numPr>
          <w:ilvl w:val="0"/>
          <w:numId w:val="22"/>
        </w:numPr>
        <w:jc w:val="both"/>
      </w:pPr>
      <w:r>
        <w:t xml:space="preserve">Survival analysis was carried out in </w:t>
      </w:r>
      <w:r w:rsidRPr="00DC72BC">
        <w:rPr>
          <w:rFonts w:cstheme="minorHAnsi"/>
        </w:rPr>
        <w:t>STATA 14.2.</w:t>
      </w:r>
    </w:p>
    <w:p w14:paraId="18CCB6C9" w14:textId="244309FF" w:rsidR="005B668C" w:rsidRDefault="005B668C" w:rsidP="002E24F6">
      <w:pPr>
        <w:jc w:val="both"/>
      </w:pPr>
      <w:r>
        <w:t xml:space="preserve">The interactive profile, ‘Cancer </w:t>
      </w:r>
      <w:r w:rsidR="003A7755">
        <w:t>Reporting</w:t>
      </w:r>
      <w:r>
        <w:t xml:space="preserve"> Tool,’ was created using </w:t>
      </w:r>
      <w:proofErr w:type="spellStart"/>
      <w:r>
        <w:t>RShiny</w:t>
      </w:r>
      <w:proofErr w:type="spellEnd"/>
      <w:r>
        <w:t xml:space="preserve"> version </w:t>
      </w:r>
      <w:r w:rsidR="00193E30">
        <w:t>2022.07.2+576 and</w:t>
      </w:r>
      <w:r>
        <w:t xml:space="preserve"> published via shinyapps.io. </w:t>
      </w:r>
    </w:p>
    <w:p w14:paraId="4ECC3DBC" w14:textId="5A737E1C" w:rsidR="005B668C" w:rsidRDefault="005B668C" w:rsidP="002E24F6">
      <w:pPr>
        <w:jc w:val="both"/>
      </w:pPr>
      <w:r>
        <w:t xml:space="preserve">Data snapshots are taken and analysed for each Official Statistics publication produced by the WCISU. </w:t>
      </w:r>
    </w:p>
    <w:p w14:paraId="2BA4D2E3" w14:textId="31706A33" w:rsidR="00374A1E" w:rsidRDefault="0D8FFD0C" w:rsidP="0D5B0655">
      <w:pPr>
        <w:jc w:val="both"/>
      </w:pPr>
      <w:r>
        <w:t xml:space="preserve">The snapshot of the cancer registration database for </w:t>
      </w:r>
      <w:r w:rsidR="4006CAA4">
        <w:t>survival</w:t>
      </w:r>
      <w:r>
        <w:t xml:space="preserve"> </w:t>
      </w:r>
      <w:r w:rsidR="00E02E02">
        <w:t>s</w:t>
      </w:r>
      <w:r>
        <w:t xml:space="preserve">tatistics </w:t>
      </w:r>
      <w:r w:rsidR="71D01D37">
        <w:t>was taken in</w:t>
      </w:r>
      <w:r w:rsidR="7B9556FE">
        <w:t xml:space="preserve"> </w:t>
      </w:r>
      <w:r w:rsidR="1100C2D3">
        <w:t>June</w:t>
      </w:r>
      <w:r w:rsidR="7B9556FE">
        <w:t xml:space="preserve"> 202</w:t>
      </w:r>
      <w:r w:rsidR="1100C2D3">
        <w:t>4</w:t>
      </w:r>
      <w:r w:rsidR="06B57071">
        <w:t xml:space="preserve"> and followed up until 31</w:t>
      </w:r>
      <w:r w:rsidR="06B57071" w:rsidRPr="43E0D247">
        <w:rPr>
          <w:vertAlign w:val="superscript"/>
        </w:rPr>
        <w:t>st</w:t>
      </w:r>
      <w:r w:rsidR="06B57071">
        <w:t xml:space="preserve"> March 2024</w:t>
      </w:r>
      <w:r w:rsidR="71D01D37">
        <w:t xml:space="preserve">. </w:t>
      </w:r>
    </w:p>
    <w:p w14:paraId="5F402036" w14:textId="7B0D229C" w:rsidR="00987D05" w:rsidRDefault="00987D05" w:rsidP="41683809">
      <w:pPr>
        <w:jc w:val="both"/>
      </w:pPr>
      <w:r w:rsidRPr="41683809">
        <w:t xml:space="preserve">The snapshot of the cancer registration database for incidence statistics covers </w:t>
      </w:r>
      <w:r w:rsidR="00BA62DC" w:rsidRPr="41683809">
        <w:t xml:space="preserve">data from 2011 onwards, while a frozen dataset is used for the years 2002–2010 </w:t>
      </w:r>
      <w:r w:rsidR="4DDBD155" w:rsidRPr="41683809">
        <w:t xml:space="preserve">(taken in </w:t>
      </w:r>
      <w:r w:rsidR="4DDBD155" w:rsidRPr="41683809">
        <w:lastRenderedPageBreak/>
        <w:t xml:space="preserve">June 2024) </w:t>
      </w:r>
      <w:r w:rsidR="00BA62DC" w:rsidRPr="41683809">
        <w:t>due to differences in geographic boundaries over time.</w:t>
      </w:r>
      <w:r w:rsidR="00447F2A" w:rsidRPr="41683809">
        <w:t xml:space="preserve"> The snapshot for the latest cancer incidence publication was taken </w:t>
      </w:r>
      <w:r w:rsidR="00D87072" w:rsidRPr="41683809">
        <w:t>in July 2025.</w:t>
      </w:r>
    </w:p>
    <w:p w14:paraId="517CB4ED" w14:textId="2427E652" w:rsidR="005C2B0F" w:rsidRPr="005C2B0F" w:rsidRDefault="001E65E3" w:rsidP="41683809">
      <w:pPr>
        <w:jc w:val="both"/>
      </w:pPr>
      <w:r w:rsidRPr="41683809">
        <w:t>For mortality statistics,</w:t>
      </w:r>
      <w:r w:rsidR="00E33018" w:rsidRPr="41683809">
        <w:t xml:space="preserve"> </w:t>
      </w:r>
      <w:r w:rsidR="00A9744C" w:rsidRPr="41683809">
        <w:t>a</w:t>
      </w:r>
      <w:r w:rsidR="00921520" w:rsidRPr="41683809">
        <w:t xml:space="preserve"> snapshot from the</w:t>
      </w:r>
      <w:r w:rsidR="00A9744C" w:rsidRPr="41683809">
        <w:t xml:space="preserve"> </w:t>
      </w:r>
      <w:r w:rsidR="00E33018" w:rsidRPr="41683809">
        <w:t>weekly</w:t>
      </w:r>
      <w:r w:rsidR="00921520" w:rsidRPr="41683809">
        <w:t xml:space="preserve"> dataset</w:t>
      </w:r>
      <w:r w:rsidR="00E33018" w:rsidRPr="41683809">
        <w:t xml:space="preserve"> </w:t>
      </w:r>
      <w:r w:rsidR="00921520" w:rsidRPr="41683809">
        <w:t xml:space="preserve">(taken </w:t>
      </w:r>
      <w:r w:rsidR="005201E8" w:rsidRPr="41683809">
        <w:t>19</w:t>
      </w:r>
      <w:r w:rsidR="005201E8" w:rsidRPr="41683809">
        <w:rPr>
          <w:vertAlign w:val="superscript"/>
        </w:rPr>
        <w:t>th</w:t>
      </w:r>
      <w:r w:rsidR="005201E8" w:rsidRPr="41683809">
        <w:t xml:space="preserve"> May 2025</w:t>
      </w:r>
      <w:r w:rsidR="00921520" w:rsidRPr="41683809">
        <w:t>)</w:t>
      </w:r>
      <w:r w:rsidR="00E33018" w:rsidRPr="41683809">
        <w:t xml:space="preserve"> containing deaths registered in Wales residents supplied from the Office for National Statistics (ONS) were used</w:t>
      </w:r>
      <w:r w:rsidR="00F751DA" w:rsidRPr="41683809">
        <w:t xml:space="preserve"> -</w:t>
      </w:r>
      <w:r w:rsidR="00E33018" w:rsidRPr="41683809">
        <w:t xml:space="preserve"> where Digital Health &amp; Care Wales (DHCW) provide the weekly snapshots of the data.</w:t>
      </w:r>
      <w:r w:rsidR="00A9744C" w:rsidRPr="41683809">
        <w:t xml:space="preserve"> This was to enable linkage to rebased Census 21 populations. </w:t>
      </w:r>
      <w:r w:rsidR="004F09B9" w:rsidRPr="41683809">
        <w:t>Previously, an annual</w:t>
      </w:r>
      <w:r w:rsidR="00F751DA" w:rsidRPr="41683809">
        <w:t xml:space="preserve"> ‘frozen’</w:t>
      </w:r>
      <w:r w:rsidR="004F09B9" w:rsidRPr="41683809">
        <w:t xml:space="preserve"> dataset was used</w:t>
      </w:r>
      <w:r w:rsidR="00F751DA" w:rsidRPr="41683809">
        <w:t>.</w:t>
      </w:r>
    </w:p>
    <w:p w14:paraId="6B1389EF" w14:textId="77777777" w:rsidR="00790E6C" w:rsidRDefault="00790E6C" w:rsidP="00790E6C">
      <w:pPr>
        <w:jc w:val="both"/>
      </w:pPr>
    </w:p>
    <w:p w14:paraId="39710356" w14:textId="713C0CEE" w:rsidR="002E2A51" w:rsidRPr="00F96F12" w:rsidRDefault="002E2A51" w:rsidP="001F5B9A">
      <w:pPr>
        <w:pStyle w:val="Heading1"/>
      </w:pPr>
      <w:bookmarkStart w:id="47" w:name="_Toc1526979842"/>
      <w:r>
        <w:t>3 Relevance</w:t>
      </w:r>
      <w:bookmarkEnd w:id="47"/>
    </w:p>
    <w:p w14:paraId="66B1078F" w14:textId="0ABF2BAE" w:rsidR="002E2A51" w:rsidRDefault="002E2A51" w:rsidP="00317A89">
      <w:pPr>
        <w:jc w:val="both"/>
      </w:pPr>
      <w:r>
        <w:t xml:space="preserve">The release of </w:t>
      </w:r>
      <w:r w:rsidR="0036424D">
        <w:t>O</w:t>
      </w:r>
      <w:r>
        <w:t xml:space="preserve">fficial </w:t>
      </w:r>
      <w:r w:rsidR="0036424D">
        <w:t>S</w:t>
      </w:r>
      <w:r>
        <w:t xml:space="preserve">tatistics by the WCISU is authorised in law by: </w:t>
      </w:r>
    </w:p>
    <w:p w14:paraId="794B8478" w14:textId="77777777" w:rsidR="002E2A51" w:rsidRDefault="002E2A51" w:rsidP="00317A89">
      <w:pPr>
        <w:pStyle w:val="ListParagraph"/>
        <w:numPr>
          <w:ilvl w:val="0"/>
          <w:numId w:val="9"/>
        </w:numPr>
        <w:jc w:val="both"/>
      </w:pPr>
      <w:r>
        <w:t xml:space="preserve">The Pre-release Access to Official Statistics (Wales) Order 2009 </w:t>
      </w:r>
    </w:p>
    <w:p w14:paraId="72F6294F" w14:textId="77777777" w:rsidR="002E2A51" w:rsidRDefault="002E2A51" w:rsidP="00317A89">
      <w:pPr>
        <w:pStyle w:val="ListParagraph"/>
        <w:numPr>
          <w:ilvl w:val="0"/>
          <w:numId w:val="9"/>
        </w:numPr>
        <w:jc w:val="both"/>
      </w:pPr>
      <w:r>
        <w:t xml:space="preserve">Official Statistics (Wales) Order 2013 made under section 65(7) of the Statistics and Registration Service Act 2007 </w:t>
      </w:r>
    </w:p>
    <w:p w14:paraId="65DC6EDC" w14:textId="791CB144" w:rsidR="002E2A51" w:rsidRDefault="002E2A51" w:rsidP="00317A89">
      <w:pPr>
        <w:ind w:left="360"/>
        <w:jc w:val="both"/>
      </w:pPr>
      <w:r>
        <w:t xml:space="preserve">We believe the key users of statistics regarding cancer </w:t>
      </w:r>
      <w:r w:rsidR="0036424D">
        <w:t xml:space="preserve">incidence, mortality and </w:t>
      </w:r>
      <w:r>
        <w:t xml:space="preserve">survival are: </w:t>
      </w:r>
    </w:p>
    <w:p w14:paraId="62B44003" w14:textId="77777777" w:rsidR="002E2A51" w:rsidRDefault="002E2A51" w:rsidP="00317A89">
      <w:pPr>
        <w:pStyle w:val="ListParagraph"/>
        <w:numPr>
          <w:ilvl w:val="0"/>
          <w:numId w:val="10"/>
        </w:numPr>
        <w:jc w:val="both"/>
      </w:pPr>
      <w:r>
        <w:t xml:space="preserve">The public and community groups </w:t>
      </w:r>
    </w:p>
    <w:p w14:paraId="46849CE7" w14:textId="75483231" w:rsidR="002E2A51" w:rsidRDefault="002E2A51" w:rsidP="00317A89">
      <w:pPr>
        <w:pStyle w:val="ListParagraph"/>
        <w:numPr>
          <w:ilvl w:val="0"/>
          <w:numId w:val="10"/>
        </w:numPr>
        <w:jc w:val="both"/>
      </w:pPr>
      <w:proofErr w:type="gramStart"/>
      <w:r>
        <w:t>NHS Wales as a whole, and</w:t>
      </w:r>
      <w:proofErr w:type="gramEnd"/>
      <w:r>
        <w:t xml:space="preserve"> Health Boards, Trusts, and the NHS Wales Cancer Implementation Group and Wales Cancer Network, as well as other teams in Public Health Wales and other national and local public bodies </w:t>
      </w:r>
    </w:p>
    <w:p w14:paraId="4A0D74EF" w14:textId="77777777" w:rsidR="002E2A51" w:rsidRDefault="002E2A51" w:rsidP="00317A89">
      <w:pPr>
        <w:pStyle w:val="ListParagraph"/>
        <w:numPr>
          <w:ilvl w:val="0"/>
          <w:numId w:val="10"/>
        </w:numPr>
        <w:jc w:val="both"/>
      </w:pPr>
      <w:r>
        <w:t xml:space="preserve">Professional bodies, clinicians of all disciplines, and policy makers </w:t>
      </w:r>
    </w:p>
    <w:p w14:paraId="5AF472F8" w14:textId="3EE7096A" w:rsidR="002E2A51" w:rsidRDefault="002E2A51" w:rsidP="00317A89">
      <w:pPr>
        <w:pStyle w:val="ListParagraph"/>
        <w:numPr>
          <w:ilvl w:val="0"/>
          <w:numId w:val="10"/>
        </w:numPr>
        <w:jc w:val="both"/>
      </w:pPr>
      <w:r>
        <w:t xml:space="preserve">Cabinet secretary, </w:t>
      </w:r>
      <w:r w:rsidR="00937104">
        <w:t>Ministers,</w:t>
      </w:r>
      <w:r>
        <w:t xml:space="preserve"> and their civil servants </w:t>
      </w:r>
    </w:p>
    <w:p w14:paraId="4938AFE1" w14:textId="77777777" w:rsidR="002E2A51" w:rsidRDefault="002E2A51" w:rsidP="00317A89">
      <w:pPr>
        <w:pStyle w:val="ListParagraph"/>
        <w:numPr>
          <w:ilvl w:val="0"/>
          <w:numId w:val="10"/>
        </w:numPr>
        <w:jc w:val="both"/>
      </w:pPr>
      <w:r>
        <w:t xml:space="preserve">Other government departments </w:t>
      </w:r>
    </w:p>
    <w:p w14:paraId="7226B8C0" w14:textId="77777777" w:rsidR="002E2A51" w:rsidRDefault="002E2A51" w:rsidP="00317A89">
      <w:pPr>
        <w:pStyle w:val="ListParagraph"/>
        <w:numPr>
          <w:ilvl w:val="0"/>
          <w:numId w:val="10"/>
        </w:numPr>
        <w:jc w:val="both"/>
      </w:pPr>
      <w:r>
        <w:t xml:space="preserve">Senedd Members and the Members Research Service </w:t>
      </w:r>
    </w:p>
    <w:p w14:paraId="6D099EA2" w14:textId="77777777" w:rsidR="002E2A51" w:rsidRDefault="002E2A51" w:rsidP="00317A89">
      <w:pPr>
        <w:pStyle w:val="ListParagraph"/>
        <w:numPr>
          <w:ilvl w:val="0"/>
          <w:numId w:val="10"/>
        </w:numPr>
        <w:jc w:val="both"/>
      </w:pPr>
      <w:r>
        <w:t xml:space="preserve">Third sector and charities </w:t>
      </w:r>
    </w:p>
    <w:p w14:paraId="055FF443" w14:textId="77777777" w:rsidR="002E2A51" w:rsidRDefault="002E2A51" w:rsidP="00317A89">
      <w:pPr>
        <w:pStyle w:val="ListParagraph"/>
        <w:numPr>
          <w:ilvl w:val="0"/>
          <w:numId w:val="10"/>
        </w:numPr>
        <w:jc w:val="both"/>
      </w:pPr>
      <w:r>
        <w:t xml:space="preserve">Media </w:t>
      </w:r>
    </w:p>
    <w:p w14:paraId="6FA7B998" w14:textId="2086B39F" w:rsidR="002E2A51" w:rsidRDefault="002E2A51" w:rsidP="00317A89">
      <w:pPr>
        <w:pStyle w:val="ListParagraph"/>
        <w:numPr>
          <w:ilvl w:val="0"/>
          <w:numId w:val="10"/>
        </w:numPr>
        <w:jc w:val="both"/>
      </w:pPr>
      <w:r>
        <w:t xml:space="preserve">Students, </w:t>
      </w:r>
      <w:r w:rsidR="00937104">
        <w:t>academics,</w:t>
      </w:r>
      <w:r>
        <w:t xml:space="preserve"> and universities - to provide valuable reference data for academics and researchers to engage in cancer related research, including the WCISU’s direct participation in research collaborations</w:t>
      </w:r>
    </w:p>
    <w:p w14:paraId="48D7F06B" w14:textId="77777777" w:rsidR="002E2A51" w:rsidRDefault="002E2A51" w:rsidP="00317A89">
      <w:pPr>
        <w:pStyle w:val="ListParagraph"/>
        <w:numPr>
          <w:ilvl w:val="0"/>
          <w:numId w:val="10"/>
        </w:numPr>
        <w:jc w:val="both"/>
      </w:pPr>
      <w:r>
        <w:t xml:space="preserve">The private sector </w:t>
      </w:r>
    </w:p>
    <w:p w14:paraId="3AABD592" w14:textId="6A5B4B40" w:rsidR="002E2A51" w:rsidRDefault="002E2A51" w:rsidP="00317A89">
      <w:pPr>
        <w:jc w:val="both"/>
      </w:pPr>
      <w:r>
        <w:t xml:space="preserve">We encourage users of </w:t>
      </w:r>
      <w:r w:rsidR="0036424D">
        <w:t>our Official S</w:t>
      </w:r>
      <w:r>
        <w:t>tatistics to contact us to let us know how they use the data</w:t>
      </w:r>
      <w:r w:rsidR="0036424D">
        <w:t>.</w:t>
      </w:r>
      <w:r>
        <w:t xml:space="preserve"> </w:t>
      </w:r>
      <w:r w:rsidR="0036424D">
        <w:t>P</w:t>
      </w:r>
      <w:r>
        <w:t xml:space="preserve">lease see the contact details on </w:t>
      </w:r>
      <w:hyperlink w:anchor="_top" w:history="1">
        <w:r w:rsidR="00937104" w:rsidRPr="00937104">
          <w:rPr>
            <w:rStyle w:val="Hyperlink"/>
          </w:rPr>
          <w:t>page 2</w:t>
        </w:r>
      </w:hyperlink>
      <w:r w:rsidR="00937104">
        <w:t xml:space="preserve"> </w:t>
      </w:r>
      <w:r>
        <w:t xml:space="preserve">of this document. Acknowledgement to Public Health Wales NHS Trust </w:t>
      </w:r>
      <w:r w:rsidR="0036424D">
        <w:t xml:space="preserve">is </w:t>
      </w:r>
      <w:r>
        <w:t>to be stated if material in this document or accompanying outputs</w:t>
      </w:r>
      <w:r w:rsidR="0036424D">
        <w:t xml:space="preserve"> is reproduced</w:t>
      </w:r>
      <w:r>
        <w:t>.</w:t>
      </w:r>
    </w:p>
    <w:p w14:paraId="25E75E90" w14:textId="77777777" w:rsidR="00937104" w:rsidRPr="00937104" w:rsidRDefault="00937104" w:rsidP="00937104"/>
    <w:p w14:paraId="72DECF97" w14:textId="5A21F8F6" w:rsidR="002E2A51" w:rsidRPr="001F5B9A" w:rsidRDefault="002E2A51" w:rsidP="7BDE8E7A">
      <w:pPr>
        <w:pStyle w:val="Heading1"/>
        <w:rPr>
          <w:rFonts w:ascii="Ubuntu Light" w:eastAsiaTheme="minorEastAsia" w:hAnsi="Ubuntu Light" w:cstheme="minorBidi"/>
          <w:sz w:val="24"/>
          <w:szCs w:val="24"/>
        </w:rPr>
      </w:pPr>
      <w:bookmarkStart w:id="48" w:name="_Toc1214216938"/>
      <w:r>
        <w:t>4 Accuracy</w:t>
      </w:r>
      <w:bookmarkEnd w:id="48"/>
    </w:p>
    <w:p w14:paraId="03F603B8" w14:textId="65358FF6" w:rsidR="0067055C" w:rsidRPr="00CE310E" w:rsidRDefault="0067055C" w:rsidP="00E43A91">
      <w:pPr>
        <w:pStyle w:val="Heading2"/>
      </w:pPr>
      <w:bookmarkStart w:id="49" w:name="_Toc272370576"/>
      <w:r>
        <w:t>4.1. Cancer registration</w:t>
      </w:r>
      <w:bookmarkEnd w:id="49"/>
    </w:p>
    <w:p w14:paraId="1F9FB854" w14:textId="77777777" w:rsidR="0067055C" w:rsidRDefault="0067055C" w:rsidP="00937104">
      <w:pPr>
        <w:jc w:val="both"/>
      </w:pPr>
      <w:r>
        <w:t xml:space="preserve">The registration of cancer cases is a dynamic process in the sense that the database is always open and changing. The database is dynamic in </w:t>
      </w:r>
      <w:proofErr w:type="gramStart"/>
      <w:r>
        <w:t>a number of</w:t>
      </w:r>
      <w:proofErr w:type="gramEnd"/>
      <w:r>
        <w:t xml:space="preserve"> ways: </w:t>
      </w:r>
    </w:p>
    <w:p w14:paraId="5156E80E" w14:textId="37BDD9CB" w:rsidR="0067055C" w:rsidRDefault="0036424D" w:rsidP="00937104">
      <w:pPr>
        <w:pStyle w:val="ListParagraph"/>
        <w:numPr>
          <w:ilvl w:val="0"/>
          <w:numId w:val="11"/>
        </w:numPr>
        <w:jc w:val="both"/>
      </w:pPr>
      <w:r>
        <w:lastRenderedPageBreak/>
        <w:t>N</w:t>
      </w:r>
      <w:r w:rsidR="0067055C">
        <w:t>ew cancer cases will be registered: this can include ne</w:t>
      </w:r>
      <w:r>
        <w:t>w ‘</w:t>
      </w:r>
      <w:r w:rsidR="0067055C">
        <w:t>late</w:t>
      </w:r>
      <w:r>
        <w:t>’</w:t>
      </w:r>
      <w:r w:rsidR="0067055C">
        <w:t xml:space="preserve"> registrations, where a case is registered after the cancer registry have published what were thought at the time to be virtually complete results for a particular year </w:t>
      </w:r>
    </w:p>
    <w:p w14:paraId="57481473" w14:textId="20784E3C" w:rsidR="0067055C" w:rsidRDefault="0036424D" w:rsidP="00937104">
      <w:pPr>
        <w:pStyle w:val="ListParagraph"/>
        <w:numPr>
          <w:ilvl w:val="0"/>
          <w:numId w:val="11"/>
        </w:numPr>
        <w:jc w:val="both"/>
      </w:pPr>
      <w:r>
        <w:t>C</w:t>
      </w:r>
      <w:r w:rsidR="0067055C">
        <w:t xml:space="preserve">ancer records can be amended: for </w:t>
      </w:r>
      <w:r>
        <w:t>example,</w:t>
      </w:r>
      <w:r w:rsidR="0067055C">
        <w:t xml:space="preserve"> the site code would be modified should later and more accurate information become available </w:t>
      </w:r>
    </w:p>
    <w:p w14:paraId="1E527767" w14:textId="598B2E05" w:rsidR="0067055C" w:rsidRDefault="0036424D" w:rsidP="00937104">
      <w:pPr>
        <w:pStyle w:val="ListParagraph"/>
        <w:numPr>
          <w:ilvl w:val="0"/>
          <w:numId w:val="11"/>
        </w:numPr>
        <w:jc w:val="both"/>
      </w:pPr>
      <w:r>
        <w:t>C</w:t>
      </w:r>
      <w:r w:rsidR="0067055C">
        <w:t xml:space="preserve">ancer records can be deleted, although this is relatively unusual </w:t>
      </w:r>
    </w:p>
    <w:p w14:paraId="040448CB" w14:textId="6ECEB30F" w:rsidR="0067055C" w:rsidRDefault="0067055C" w:rsidP="00937104">
      <w:pPr>
        <w:jc w:val="both"/>
      </w:pPr>
      <w:r>
        <w:t>In common with cancer registries in other countries, cancer registrations in Wales can take up to five years after the end of a given calendar year to reach 100% completeness, due to the continuing accrual of late registrations, amendments</w:t>
      </w:r>
      <w:r w:rsidR="00937104">
        <w:t>,</w:t>
      </w:r>
      <w:r>
        <w:t xml:space="preserve"> and deletions. </w:t>
      </w:r>
    </w:p>
    <w:p w14:paraId="664BE4FE" w14:textId="49EFC4D4" w:rsidR="0067055C" w:rsidRDefault="0067055C" w:rsidP="00937104">
      <w:pPr>
        <w:jc w:val="both"/>
      </w:pPr>
      <w:r w:rsidRPr="005F7F84">
        <w:t xml:space="preserve">Wales implemented a new cancer registration system named CATRIN in 2015. This is the same as the ENCORE system used in </w:t>
      </w:r>
      <w:r w:rsidR="00A25763" w:rsidRPr="00D2393C">
        <w:t xml:space="preserve">NHS England (formally known as </w:t>
      </w:r>
      <w:r w:rsidRPr="00D2393C">
        <w:t>Public Health England</w:t>
      </w:r>
      <w:r w:rsidR="00A25763" w:rsidRPr="005F7F84">
        <w:t>)</w:t>
      </w:r>
      <w:r w:rsidRPr="005F7F84">
        <w:t xml:space="preserve">, </w:t>
      </w:r>
      <w:r>
        <w:t xml:space="preserve">which has inbuilt registration validations. This modernisation programme has improved cross border data </w:t>
      </w:r>
      <w:proofErr w:type="gramStart"/>
      <w:r>
        <w:t>sharing in particular</w:t>
      </w:r>
      <w:proofErr w:type="gramEnd"/>
      <w:r>
        <w:t xml:space="preserve">. The data migration process placed a particular emphasis on reducing duplicate registrations existing in both Wales and England registry databases. A quality assurance and de-duplication exercise was undertaken to rationalise the cancer registrations across the two countries. Therefore, this may reflect in a reduction </w:t>
      </w:r>
      <w:r w:rsidR="0036424D">
        <w:t>in</w:t>
      </w:r>
      <w:r>
        <w:t xml:space="preserve"> incidence. </w:t>
      </w:r>
    </w:p>
    <w:p w14:paraId="11347572" w14:textId="5C65B983" w:rsidR="00CB041A" w:rsidRPr="00D2393C" w:rsidRDefault="00CB041A" w:rsidP="00937104">
      <w:pPr>
        <w:jc w:val="both"/>
      </w:pPr>
      <w:r w:rsidRPr="00D2393C">
        <w:t xml:space="preserve">Data is supplied by multiple data providers from NHS Wales Health Boards and Trusts, </w:t>
      </w:r>
      <w:r w:rsidR="00A25763" w:rsidRPr="00D2393C">
        <w:t xml:space="preserve">DHCW (formally known as </w:t>
      </w:r>
      <w:r w:rsidRPr="00D2393C">
        <w:t>NHS Wales Informatics Service</w:t>
      </w:r>
      <w:r w:rsidR="00A25763" w:rsidRPr="00D2393C">
        <w:t>)</w:t>
      </w:r>
      <w:r w:rsidRPr="00D2393C">
        <w:t xml:space="preserve">, </w:t>
      </w:r>
      <w:r w:rsidR="00A25763" w:rsidRPr="00D2393C">
        <w:t>NHS England</w:t>
      </w:r>
      <w:r w:rsidR="00F338FF" w:rsidRPr="00D2393C">
        <w:t>,</w:t>
      </w:r>
      <w:r w:rsidRPr="00D2393C">
        <w:t xml:space="preserve"> and elsewhere within Public Health Wales, such as its Screening Division. The national cancer registry of Wales is a live and dynamic database of cancer incidence data from 1972 onwards, with approximately 20,000 patients diagnosed each year in Wales (excluding non-melanoma skin cancer). </w:t>
      </w:r>
    </w:p>
    <w:p w14:paraId="03976949" w14:textId="3E706DE3" w:rsidR="0067055C" w:rsidRDefault="6C1CDC51" w:rsidP="00937104">
      <w:pPr>
        <w:jc w:val="both"/>
      </w:pPr>
      <w:r>
        <w:t xml:space="preserve">Cancer registrations comply with a quality assurance framework comprising of a suite of quality checks performed at various time points during the registration year </w:t>
      </w:r>
      <w:r w:rsidR="1485A055">
        <w:t>e.g.,</w:t>
      </w:r>
      <w:r>
        <w:t xml:space="preserve"> monthly, quarterly and end of year checks. These check the data consistency of the cancer site, sex and associated histology as well as validity checks on dates, for example, to check invalid combinations for behaviour and site/histology; check that the incidence date is not after the date of death. These checks align to those published in 2018 by the European Network of Cancer Registries (ENCR)</w:t>
      </w:r>
      <w:r w:rsidR="55A418E5" w:rsidRPr="00CB041A">
        <w:rPr>
          <w:rFonts w:ascii="Verdana" w:hAnsi="Verdana"/>
          <w:sz w:val="20"/>
          <w:szCs w:val="20"/>
        </w:rPr>
        <w:t xml:space="preserve"> </w:t>
      </w:r>
      <w:r w:rsidR="00CB041A">
        <w:rPr>
          <w:rStyle w:val="FootnoteReference"/>
          <w:rFonts w:ascii="Verdana" w:hAnsi="Verdana"/>
          <w:sz w:val="20"/>
          <w:szCs w:val="20"/>
        </w:rPr>
        <w:footnoteReference w:id="13"/>
      </w:r>
      <w:r>
        <w:t xml:space="preserve">. </w:t>
      </w:r>
    </w:p>
    <w:p w14:paraId="395C5425" w14:textId="73D78311" w:rsidR="0067055C" w:rsidRDefault="0067055C" w:rsidP="00937104">
      <w:pPr>
        <w:jc w:val="both"/>
      </w:pPr>
      <w:r>
        <w:t xml:space="preserve">All our outputs include information on coverage, </w:t>
      </w:r>
      <w:r w:rsidR="00937104">
        <w:t>timing,</w:t>
      </w:r>
      <w:r>
        <w:t xml:space="preserve"> and geography.</w:t>
      </w:r>
    </w:p>
    <w:p w14:paraId="6464E733" w14:textId="01824092" w:rsidR="0067055C" w:rsidRDefault="0067055C" w:rsidP="00937104">
      <w:pPr>
        <w:jc w:val="both"/>
      </w:pPr>
      <w:r>
        <w:t xml:space="preserve">Once the expected cancer records for any registration year have been validated, a snapshot of the data is taken to ensure that there is a consistent set of data behind the official statistics for a period of 12 months. Subsequent snapshots of data are taken monthly and can be used in further cancer publications, </w:t>
      </w:r>
      <w:r w:rsidR="00937104">
        <w:t>queries,</w:t>
      </w:r>
      <w:r>
        <w:t xml:space="preserve"> and parliamentary questions. </w:t>
      </w:r>
      <w:r w:rsidR="0036424D">
        <w:t>For information on the snapshots used in our most current Official Statistics publications, please see</w:t>
      </w:r>
      <w:r w:rsidR="00937104">
        <w:t xml:space="preserve"> </w:t>
      </w:r>
      <w:hyperlink w:anchor="_2.7_Datasets_and" w:history="1">
        <w:r w:rsidR="00937104" w:rsidRPr="00937104">
          <w:rPr>
            <w:rStyle w:val="Hyperlink"/>
          </w:rPr>
          <w:t>section 2.7</w:t>
        </w:r>
      </w:hyperlink>
      <w:r w:rsidR="0036424D">
        <w:t>.</w:t>
      </w:r>
    </w:p>
    <w:p w14:paraId="069AC921" w14:textId="7851997C" w:rsidR="00B64137" w:rsidRDefault="0067055C" w:rsidP="00937104">
      <w:pPr>
        <w:jc w:val="both"/>
      </w:pPr>
      <w:r>
        <w:lastRenderedPageBreak/>
        <w:t xml:space="preserve">When the WCISU submits registrations for the next reporting year, they can also submit </w:t>
      </w:r>
      <w:r w:rsidR="00BA219D">
        <w:t>‘</w:t>
      </w:r>
      <w:r>
        <w:t>late registrations</w:t>
      </w:r>
      <w:r w:rsidR="00BA219D">
        <w:t>’</w:t>
      </w:r>
      <w:r>
        <w:t xml:space="preserve"> for previous years. If any new </w:t>
      </w:r>
      <w:r w:rsidR="00BA219D">
        <w:t>‘</w:t>
      </w:r>
      <w:r>
        <w:t>late</w:t>
      </w:r>
      <w:r w:rsidR="00BA219D">
        <w:t>’</w:t>
      </w:r>
      <w:r>
        <w:t xml:space="preserve"> registrations for earlier years passed all quality checks, they would be included in the subsequent refreshed dataset. This results in small differences in the underlying number of cancer registrations for previous reports, although these changes are unlikely to have a meaningful impact on cancer incidence.</w:t>
      </w:r>
      <w:r w:rsidR="00B64137">
        <w:t xml:space="preserve"> In the unlikely event of incorrect data being published, revisions would be </w:t>
      </w:r>
      <w:r w:rsidR="00BA219D">
        <w:t>made,</w:t>
      </w:r>
      <w:r w:rsidR="00B64137">
        <w:t xml:space="preserve"> and users informed in conjunction with the Code of Practice.</w:t>
      </w:r>
    </w:p>
    <w:p w14:paraId="590765E7" w14:textId="70B355C6" w:rsidR="00F10586" w:rsidRDefault="00363EA0" w:rsidP="00937104">
      <w:pPr>
        <w:jc w:val="both"/>
      </w:pPr>
      <w:r>
        <w:t>As the data come</w:t>
      </w:r>
      <w:r w:rsidR="00BA219D">
        <w:t>s</w:t>
      </w:r>
      <w:r>
        <w:t xml:space="preserve"> from different sources, the quality and accuracy of the data submitted may vary.</w:t>
      </w:r>
      <w:r w:rsidR="00B64137">
        <w:t xml:space="preserve"> </w:t>
      </w:r>
    </w:p>
    <w:p w14:paraId="2AEE808C" w14:textId="77777777" w:rsidR="00DC0C51" w:rsidRPr="0067055C" w:rsidRDefault="00DC0C51" w:rsidP="00937104">
      <w:pPr>
        <w:jc w:val="both"/>
      </w:pPr>
    </w:p>
    <w:p w14:paraId="71273B55" w14:textId="4D708A4A" w:rsidR="002E2A51" w:rsidRPr="00F10586" w:rsidRDefault="0067055C" w:rsidP="00F10586">
      <w:pPr>
        <w:pStyle w:val="Heading3"/>
      </w:pPr>
      <w:bookmarkStart w:id="50" w:name="_Toc141147876"/>
      <w:bookmarkStart w:id="51" w:name="_Hlk207287393"/>
      <w:r>
        <w:t>4.1.1 ICD-10 coding system changes</w:t>
      </w:r>
      <w:bookmarkEnd w:id="50"/>
    </w:p>
    <w:bookmarkEnd w:id="51"/>
    <w:p w14:paraId="0AC1DB87" w14:textId="45EBDFF5" w:rsidR="0067055C" w:rsidRDefault="0067055C" w:rsidP="00317A89">
      <w:pPr>
        <w:jc w:val="both"/>
      </w:pPr>
      <w:r>
        <w:t xml:space="preserve">ICD-10 coding for cancer is based on the nature and anatomical site of the cancer. Previous </w:t>
      </w:r>
      <w:r w:rsidR="00BA219D">
        <w:t>O</w:t>
      </w:r>
      <w:r>
        <w:t xml:space="preserve">fficial </w:t>
      </w:r>
      <w:r w:rsidR="00BA219D">
        <w:t>S</w:t>
      </w:r>
      <w:r>
        <w:t xml:space="preserve">tatistics publications mapped to and reported on ICD-10v0 for all diagnosing years. However, </w:t>
      </w:r>
      <w:r w:rsidR="00BA219D">
        <w:t xml:space="preserve">publications from 2022 onwards </w:t>
      </w:r>
      <w:r>
        <w:t xml:space="preserve">will report on ICD-10v0 for diagnosing years 2001 to 2012, and ICD-10v4 from 2013 onwards. </w:t>
      </w:r>
    </w:p>
    <w:p w14:paraId="70E09F74" w14:textId="3D459C8D" w:rsidR="00DC72BC" w:rsidRDefault="6C1CDC51" w:rsidP="00317A89">
      <w:pPr>
        <w:jc w:val="both"/>
      </w:pPr>
      <w:r>
        <w:t xml:space="preserve">There have been changes and revisions regarding the coding of some cancers using ICD10v4, such as the introduction of new diagnosis codes along with minor changes to some cancer descriptions and naming conventions. There have been some more significant changes related to the coding of blood cancers, mainly non-Hodgkin lymphoma and </w:t>
      </w:r>
      <w:proofErr w:type="spellStart"/>
      <w:r>
        <w:t>leukaemia</w:t>
      </w:r>
      <w:r w:rsidR="0047A52E">
        <w:t>s</w:t>
      </w:r>
      <w:proofErr w:type="spellEnd"/>
      <w:r>
        <w:t xml:space="preserve"> being coded more precisely. Therefore, caution is advised when examining trends for these sites as well as sites of unknown or unspecified origin. The change in reporting of ICD-10 from 2013 onwards should also be taken into consideration when examining data.</w:t>
      </w:r>
    </w:p>
    <w:p w14:paraId="63B4626B" w14:textId="77777777" w:rsidR="00D47190" w:rsidRDefault="00D47190" w:rsidP="41683809">
      <w:pPr>
        <w:jc w:val="both"/>
      </w:pPr>
    </w:p>
    <w:p w14:paraId="5392530F" w14:textId="1949C61C" w:rsidR="00D47190" w:rsidRDefault="003311FE" w:rsidP="7BDE8E7A">
      <w:pPr>
        <w:pStyle w:val="Heading3"/>
        <w:rPr>
          <w:rFonts w:asciiTheme="minorHAnsi" w:hAnsiTheme="minorHAnsi"/>
          <w:bCs/>
          <w:szCs w:val="28"/>
        </w:rPr>
      </w:pPr>
      <w:bookmarkStart w:id="52" w:name="_Toc157099651"/>
      <w:r w:rsidRPr="7BDE8E7A">
        <w:rPr>
          <w:rFonts w:asciiTheme="minorHAnsi" w:hAnsiTheme="minorHAnsi"/>
          <w:bCs/>
          <w:szCs w:val="28"/>
        </w:rPr>
        <w:t xml:space="preserve">4.1.2 </w:t>
      </w:r>
      <w:r w:rsidR="005A5DF3" w:rsidRPr="7BDE8E7A">
        <w:rPr>
          <w:rFonts w:asciiTheme="minorHAnsi" w:hAnsiTheme="minorHAnsi"/>
          <w:bCs/>
          <w:szCs w:val="28"/>
        </w:rPr>
        <w:t>Morphology and behaviour codes</w:t>
      </w:r>
      <w:bookmarkEnd w:id="52"/>
    </w:p>
    <w:p w14:paraId="174B4B8E" w14:textId="67B8455C" w:rsidR="005A5DF3" w:rsidRPr="005A5DF3" w:rsidRDefault="007F24F9" w:rsidP="41683809">
      <w:r w:rsidRPr="41683809">
        <w:t xml:space="preserve">Morphology </w:t>
      </w:r>
      <w:r w:rsidR="003A1DA5" w:rsidRPr="41683809">
        <w:t xml:space="preserve">and behaviour codes describe the </w:t>
      </w:r>
      <w:r w:rsidR="00D95620" w:rsidRPr="41683809">
        <w:t>characteristics and type of cancer cells and how they behave.</w:t>
      </w:r>
      <w:r w:rsidR="00803866" w:rsidRPr="41683809">
        <w:t xml:space="preserve"> From 2016 onwards</w:t>
      </w:r>
      <w:r w:rsidR="00174FC9" w:rsidRPr="41683809">
        <w:t xml:space="preserve">, the WCISU have coded morphology in ICD-O3. Prior to this, coding used ICD-O2. A mapping has been developed and applied to cases </w:t>
      </w:r>
      <w:r w:rsidR="009F0E21" w:rsidRPr="41683809">
        <w:t xml:space="preserve">pre-2016 </w:t>
      </w:r>
      <w:proofErr w:type="gramStart"/>
      <w:r w:rsidR="009F0E21" w:rsidRPr="41683809">
        <w:t>in order to</w:t>
      </w:r>
      <w:proofErr w:type="gramEnd"/>
      <w:r w:rsidR="009F0E21" w:rsidRPr="41683809">
        <w:t xml:space="preserve"> determine the equivalent ICD-O3 morphology for consistency. A small number of cases have not be</w:t>
      </w:r>
      <w:r w:rsidR="007F3BD1" w:rsidRPr="41683809">
        <w:t>en able to be mapped. We are investigating these cases and developing tools for their inclusion in future.</w:t>
      </w:r>
    </w:p>
    <w:p w14:paraId="36DD2FAB" w14:textId="77777777" w:rsidR="00DC0C51" w:rsidRDefault="00DC0C51" w:rsidP="00317A89">
      <w:pPr>
        <w:jc w:val="both"/>
      </w:pPr>
    </w:p>
    <w:p w14:paraId="52C094C1" w14:textId="14D65BCB" w:rsidR="00F36767" w:rsidRPr="00F10586" w:rsidRDefault="00F36767" w:rsidP="00F10586">
      <w:pPr>
        <w:pStyle w:val="Heading3"/>
      </w:pPr>
      <w:bookmarkStart w:id="53" w:name="_Toc1975882798"/>
      <w:r>
        <w:t>4.</w:t>
      </w:r>
      <w:r w:rsidRPr="7BDE8E7A">
        <w:rPr>
          <w:rFonts w:asciiTheme="minorHAnsi" w:hAnsiTheme="minorHAnsi"/>
          <w:bCs/>
          <w:szCs w:val="28"/>
        </w:rPr>
        <w:t>1.</w:t>
      </w:r>
      <w:r w:rsidR="005A5DF3" w:rsidRPr="7BDE8E7A">
        <w:rPr>
          <w:rFonts w:asciiTheme="minorHAnsi" w:hAnsiTheme="minorHAnsi"/>
          <w:bCs/>
          <w:szCs w:val="28"/>
        </w:rPr>
        <w:t>3</w:t>
      </w:r>
      <w:r w:rsidRPr="7BDE8E7A">
        <w:rPr>
          <w:rFonts w:asciiTheme="minorHAnsi" w:hAnsiTheme="minorHAnsi"/>
          <w:bCs/>
          <w:szCs w:val="28"/>
        </w:rPr>
        <w:t xml:space="preserve"> O</w:t>
      </w:r>
      <w:r>
        <w:t>NS Data</w:t>
      </w:r>
      <w:bookmarkEnd w:id="53"/>
    </w:p>
    <w:p w14:paraId="41178A54" w14:textId="77777777" w:rsidR="00F36767" w:rsidRDefault="00F36767" w:rsidP="00F36767">
      <w:pPr>
        <w:jc w:val="both"/>
      </w:pPr>
      <w:r>
        <w:t xml:space="preserve">It is a legal requirement to register a death and so ONS mortality data provides a reliable and complete data source. </w:t>
      </w:r>
    </w:p>
    <w:p w14:paraId="3F2286AB" w14:textId="6BA4D84F" w:rsidR="00F36767" w:rsidRDefault="00F36767" w:rsidP="00F36767">
      <w:pPr>
        <w:jc w:val="both"/>
      </w:pPr>
      <w:r>
        <w:t xml:space="preserve">There have been two recent revisions to the </w:t>
      </w:r>
      <w:r w:rsidR="003C1FC8">
        <w:t>way</w:t>
      </w:r>
      <w:r>
        <w:t xml:space="preserve"> the death certificates are translated by the Office for National Statistics into International Classification of Diseases codes (10th revision). These changes mean that unrevised data are not comparable across years. The main change relates to the rules that govern which cause of death detailed </w:t>
      </w:r>
      <w:r>
        <w:lastRenderedPageBreak/>
        <w:t xml:space="preserve">on the death certificate is selected as the underlying cause. Comparability ratios have not been used in these analyses and therefore caution should be exercised when interpreting trends. See </w:t>
      </w:r>
      <w:hyperlink w:anchor="_2.7_Datasets_and" w:history="1">
        <w:r w:rsidR="00937104" w:rsidRPr="00937104">
          <w:rPr>
            <w:rStyle w:val="Hyperlink"/>
          </w:rPr>
          <w:t>section 2.7</w:t>
        </w:r>
      </w:hyperlink>
      <w:r w:rsidR="00937104">
        <w:t xml:space="preserve"> </w:t>
      </w:r>
      <w:r>
        <w:t xml:space="preserve">for information on the data used for this year’s publication. </w:t>
      </w:r>
    </w:p>
    <w:p w14:paraId="321115B2" w14:textId="77777777" w:rsidR="00DC0C51" w:rsidRDefault="00DC0C51" w:rsidP="00F36767">
      <w:pPr>
        <w:jc w:val="both"/>
      </w:pPr>
    </w:p>
    <w:p w14:paraId="4F736384" w14:textId="6CC0E972" w:rsidR="00CF0E06" w:rsidRPr="00BA219D" w:rsidRDefault="0067055C" w:rsidP="00E43A91">
      <w:pPr>
        <w:pStyle w:val="Heading2"/>
      </w:pPr>
      <w:bookmarkStart w:id="54" w:name="_4.1.2_Lifetables"/>
      <w:bookmarkStart w:id="55" w:name="_4.2_Life_tables"/>
      <w:bookmarkStart w:id="56" w:name="_Toc1198390470"/>
      <w:bookmarkEnd w:id="54"/>
      <w:bookmarkEnd w:id="55"/>
      <w:r>
        <w:t>4.</w:t>
      </w:r>
      <w:r w:rsidR="00BA219D">
        <w:t>2</w:t>
      </w:r>
      <w:r>
        <w:t xml:space="preserve"> Life</w:t>
      </w:r>
      <w:r w:rsidR="00BA219D">
        <w:t xml:space="preserve"> </w:t>
      </w:r>
      <w:r>
        <w:t>tables</w:t>
      </w:r>
      <w:bookmarkEnd w:id="56"/>
    </w:p>
    <w:p w14:paraId="18BDA2D6" w14:textId="77777777" w:rsidR="00CF0E06" w:rsidRDefault="00CF0E06" w:rsidP="00380778">
      <w:pPr>
        <w:jc w:val="both"/>
      </w:pPr>
      <w:r>
        <w:t xml:space="preserve">Survival analysis estimates the net survival (%) of patients with cancer. These survival figures have been used to produce unstandardised and age-standardised estimates. The model uses population life tables to remove background mortality, and assumes the remaining mortality is due to cancer. </w:t>
      </w:r>
    </w:p>
    <w:p w14:paraId="3E1CA417" w14:textId="3FB4F6E7" w:rsidR="00CF0E06" w:rsidRPr="00937104" w:rsidRDefault="00CF0E06" w:rsidP="00380778">
      <w:pPr>
        <w:jc w:val="both"/>
      </w:pPr>
      <w:r>
        <w:t xml:space="preserve">Net survival analysis involves comparing the survival of patients with cancer with background mortality (the survival of the general population). For reasons of practicality, our background mortality data includes cancer deaths. This is unlikely to skew our net survival figures for specific cancer sites, but it would likely </w:t>
      </w:r>
      <w:proofErr w:type="gramStart"/>
      <w:r>
        <w:t>have an effect on</w:t>
      </w:r>
      <w:proofErr w:type="gramEnd"/>
      <w:r>
        <w:t xml:space="preserve"> deaths from all cancers, because cancer accounts for about a quarter of all deaths. </w:t>
      </w:r>
      <w:r w:rsidRPr="00937104">
        <w:t xml:space="preserve">For that reason, </w:t>
      </w:r>
      <w:r w:rsidR="000F4E32" w:rsidRPr="00937104">
        <w:t>caution is advised when interpreting survival for all cancers combined, and focus should be on the change over time as opposed to the survival estimate.</w:t>
      </w:r>
      <w:r w:rsidRPr="00937104">
        <w:t xml:space="preserve"> </w:t>
      </w:r>
    </w:p>
    <w:p w14:paraId="47F7B092" w14:textId="397BD366" w:rsidR="00BA4EAA" w:rsidRDefault="527A0076" w:rsidP="00BA4EAA">
      <w:pPr>
        <w:jc w:val="both"/>
      </w:pPr>
      <w:r w:rsidRPr="00BA4EAA">
        <w:t>The life tables were developed in-house and modelled using a flexible Poisson model.  The modelled life tables use three years of death data and three years of population data centred around the year of interest in analysis.</w:t>
      </w:r>
      <w:r w:rsidRPr="00937104">
        <w:t xml:space="preserve"> </w:t>
      </w:r>
      <w:r w:rsidR="00BA4EAA" w:rsidRPr="00937104">
        <w:t>This methodology was based on the Rachet et al paper</w:t>
      </w:r>
      <w:r w:rsidR="00BA4EAA">
        <w:rPr>
          <w:rStyle w:val="FootnoteReference"/>
        </w:rPr>
        <w:footnoteReference w:id="14"/>
      </w:r>
      <w:r w:rsidR="00BA4EAA" w:rsidRPr="00937104">
        <w:t xml:space="preserve"> and a S</w:t>
      </w:r>
      <w:r w:rsidR="00BA4EAA">
        <w:t xml:space="preserve">tandard </w:t>
      </w:r>
      <w:r w:rsidR="00BA4EAA" w:rsidRPr="00937104">
        <w:t>O</w:t>
      </w:r>
      <w:r w:rsidR="00BA4EAA">
        <w:t xml:space="preserve">perating </w:t>
      </w:r>
      <w:r w:rsidR="00BA4EAA" w:rsidRPr="00937104">
        <w:t>P</w:t>
      </w:r>
      <w:r w:rsidR="00BA4EAA">
        <w:t>rocedure (SOP)</w:t>
      </w:r>
      <w:r w:rsidR="00BA4EAA" w:rsidRPr="00937104">
        <w:t xml:space="preserve"> is currently being produced by the United Kingdom and Ireland Association of Cancer Registries (UKIACR). </w:t>
      </w:r>
    </w:p>
    <w:p w14:paraId="000ED176" w14:textId="77777777" w:rsidR="00F46282" w:rsidRDefault="00F46282" w:rsidP="00BA4EAA">
      <w:pPr>
        <w:jc w:val="both"/>
      </w:pPr>
    </w:p>
    <w:p w14:paraId="634E1A9E" w14:textId="2AF2651E" w:rsidR="00F4141D" w:rsidRDefault="000549C7" w:rsidP="00F4141D">
      <w:pPr>
        <w:pStyle w:val="Heading3"/>
      </w:pPr>
      <w:bookmarkStart w:id="57" w:name="_Toc630487737"/>
      <w:r>
        <w:t>4.2.1</w:t>
      </w:r>
      <w:r w:rsidR="00044EAC">
        <w:t xml:space="preserve"> Methodology</w:t>
      </w:r>
      <w:bookmarkEnd w:id="57"/>
    </w:p>
    <w:p w14:paraId="29CF6A3D" w14:textId="3C81429B" w:rsidR="00F46282" w:rsidRPr="00B547E0" w:rsidRDefault="00F46282" w:rsidP="00F46282">
      <w:pPr>
        <w:pStyle w:val="Heading4"/>
        <w:rPr>
          <w:b/>
          <w:bCs/>
          <w:color w:val="325083"/>
        </w:rPr>
      </w:pPr>
      <w:r w:rsidRPr="00B547E0">
        <w:rPr>
          <w:b/>
          <w:bCs/>
          <w:color w:val="325083"/>
        </w:rPr>
        <w:t>Overarching methodology</w:t>
      </w:r>
    </w:p>
    <w:p w14:paraId="375F821C" w14:textId="56B6F433" w:rsidR="003A4FC7" w:rsidRPr="009C3118" w:rsidRDefault="001F595E" w:rsidP="3661C7DE">
      <w:r w:rsidRPr="3661C7DE">
        <w:t>In this analysis</w:t>
      </w:r>
      <w:r w:rsidR="003A4FC7" w:rsidRPr="3661C7DE">
        <w:t>, the methodology for constructing life tables has been refined to include deprivation quintile as a covariate in the flexible Poisson model, with an interaction effect between age and deprivation. This represents a change to last year’s approach, where separate models were fitted for each combination of year, sex, and deprivation quintile. The current approach allows for the borrowing of information across sub-groups, which is particularly beneficial for groups with small population sizes that may otherwise exhibit volatile mortality rate estimates. The inclusion of an age * deprivation interaction term allows the effect of deprivation on mortality to vary with age. This approach ensures that the model captures the complex relationship between deprivation and mortality across the life course.</w:t>
      </w:r>
    </w:p>
    <w:p w14:paraId="7095131B" w14:textId="25F21A8A" w:rsidR="000A3B73" w:rsidRPr="00B547E0" w:rsidRDefault="00F46282" w:rsidP="000A3B73">
      <w:pPr>
        <w:pStyle w:val="Heading4"/>
        <w:rPr>
          <w:b/>
          <w:bCs/>
          <w:color w:val="325083"/>
        </w:rPr>
      </w:pPr>
      <w:r w:rsidRPr="00B547E0">
        <w:rPr>
          <w:b/>
          <w:bCs/>
          <w:color w:val="325083"/>
        </w:rPr>
        <w:lastRenderedPageBreak/>
        <w:t>Modelling covariates</w:t>
      </w:r>
    </w:p>
    <w:p w14:paraId="5B69B244" w14:textId="58027025" w:rsidR="007D1A4C" w:rsidRPr="009C3118" w:rsidRDefault="007D1A4C" w:rsidP="3661C7DE">
      <w:r w:rsidRPr="3661C7DE">
        <w:t>For the main effect of age on mortality, the best-fitting cubic spline form of age was selected based on the Akaike Information Criterion (AIC) and visual assessments of model fit. The model considered 7-, 8-, and 9-knot solutions, with some knots fixed at key ages and others determined through simulation of multiple possible configurations.</w:t>
      </w:r>
    </w:p>
    <w:p w14:paraId="7BBBFAA5" w14:textId="1F532C91" w:rsidR="007D1A4C" w:rsidRPr="009C3118" w:rsidRDefault="007D1A4C" w:rsidP="3661C7DE">
      <w:r w:rsidRPr="3661C7DE">
        <w:t>For the age * deprivation interaction term, we assessed models using a simple linear form of age, as well as 3- and 4-knot cubic splines. The best-fitting approach, selected using the AIC, was the 3-knot cubic spline form of age for all interaction terms.</w:t>
      </w:r>
    </w:p>
    <w:p w14:paraId="061BFE44" w14:textId="6852A544" w:rsidR="007D1A4C" w:rsidRPr="009C3118" w:rsidRDefault="007D1A4C" w:rsidP="3661C7DE">
      <w:r w:rsidRPr="3661C7DE">
        <w:t>Separate models were applied for each year and sex combination to account for temporal and sex-specific differences in mortality.</w:t>
      </w:r>
    </w:p>
    <w:p w14:paraId="257188AB" w14:textId="77777777" w:rsidR="009C3118" w:rsidRPr="00B547E0" w:rsidRDefault="009C3118" w:rsidP="009C3118">
      <w:pPr>
        <w:spacing w:after="0"/>
        <w:rPr>
          <w:rFonts w:asciiTheme="majorHAnsi" w:eastAsiaTheme="majorEastAsia" w:hAnsiTheme="majorHAnsi" w:cstheme="majorBidi"/>
          <w:b/>
          <w:bCs/>
          <w:i/>
          <w:iCs/>
          <w:color w:val="325083"/>
        </w:rPr>
      </w:pPr>
      <w:r w:rsidRPr="00B547E0">
        <w:rPr>
          <w:rFonts w:asciiTheme="majorHAnsi" w:eastAsiaTheme="majorEastAsia" w:hAnsiTheme="majorHAnsi" w:cstheme="majorBidi"/>
          <w:b/>
          <w:bCs/>
          <w:i/>
          <w:iCs/>
          <w:color w:val="325083"/>
        </w:rPr>
        <w:t>Handling of Mortality Data for Ages 90+</w:t>
      </w:r>
    </w:p>
    <w:p w14:paraId="34A1107A" w14:textId="3EE655AC" w:rsidR="00A0719A" w:rsidRPr="009C3118" w:rsidRDefault="00A0719A" w:rsidP="3661C7DE">
      <w:r w:rsidRPr="3661C7DE">
        <w:t>In the dataset used for modelling (which contains raw population and death counts stratified by year, sex, deprivation quintile, and age), mortality data for individuals over 90 years is not provided in single-year increments. Instead, the total number of deaths for all individuals aged 90+ is supplied, while population estimates remain available for each individual year of age.</w:t>
      </w:r>
    </w:p>
    <w:p w14:paraId="072463FF" w14:textId="07EAE0A9" w:rsidR="6D01FCDB" w:rsidRDefault="00A0719A" w:rsidP="6D01FCDB">
      <w:r w:rsidRPr="3661C7DE">
        <w:t xml:space="preserve"> To address this, we estimate a median age of mortality for individuals over 90 and apply the aggregated 90+ mortality rate to this specific age. Since our model extrapolates trends in deprivation-specific mortality beyond this median </w:t>
      </w:r>
      <w:proofErr w:type="gramStart"/>
      <w:r w:rsidRPr="3661C7DE">
        <w:t>age, and</w:t>
      </w:r>
      <w:proofErr w:type="gramEnd"/>
      <w:r w:rsidRPr="3661C7DE">
        <w:t xml:space="preserve"> given that </w:t>
      </w:r>
      <w:r w:rsidR="009C3118" w:rsidRPr="3661C7DE">
        <w:t>deprivation</w:t>
      </w:r>
      <w:r w:rsidRPr="3661C7DE">
        <w:t xml:space="preserve"> inequalities in mortality tend to diminish at older ages, this approach can sometimes result in a crossover effect in death rates at the upper age range (approximately ages 93–99).</w:t>
      </w:r>
    </w:p>
    <w:p w14:paraId="1E82CABD" w14:textId="066872B6" w:rsidR="00CF0E06" w:rsidRPr="00937104" w:rsidRDefault="00CF0E06" w:rsidP="6D01FCDB">
      <w:r>
        <w:t xml:space="preserve">The effect of Covid-19 may be seen for diagnosis periods including 2019 onwards for one-year survival, 2015 onwards for five-year survival and 2010 onwards for ten-year survival. This analysis uses modelled life tables developed in-house which do not fully account for changes in background mortality due to the Covid-19 pandemic. </w:t>
      </w:r>
    </w:p>
    <w:p w14:paraId="1AA87507" w14:textId="28195BDD" w:rsidR="00CF0E06" w:rsidRDefault="6E07454D" w:rsidP="6D01FCDB">
      <w:pPr>
        <w:jc w:val="both"/>
      </w:pPr>
      <w:r w:rsidRPr="6D01FCDB">
        <w:t>Due to data availability for small area populations at the time of publication, cancer patients diagnosed in 2002 use the 2002-2004 lifetable</w:t>
      </w:r>
      <w:r w:rsidR="6958EB7B" w:rsidRPr="6D01FCDB">
        <w:t>.</w:t>
      </w:r>
      <w:r w:rsidRPr="6D01FCDB">
        <w:t xml:space="preserve"> As a result </w:t>
      </w:r>
      <w:r w:rsidR="7F75BF8C" w:rsidRPr="6D01FCDB">
        <w:t xml:space="preserve">of using three-year rolling average lifetables, </w:t>
      </w:r>
      <w:r w:rsidRPr="6D01FCDB">
        <w:t xml:space="preserve">survival for diagnoses in 2019 </w:t>
      </w:r>
      <w:r w:rsidR="61655447" w:rsidRPr="6D01FCDB">
        <w:t>and 2021</w:t>
      </w:r>
      <w:r w:rsidR="1802737A" w:rsidRPr="6D01FCDB">
        <w:t xml:space="preserve"> are</w:t>
      </w:r>
      <w:r w:rsidRPr="6D01FCDB">
        <w:t xml:space="preserve"> likely to be slightly overestimated (as background mortality was higher in 2020 due to the pandemic) and survival for diagnoses in 2020 is likely to be underestimated (as 2018 and 2019 deaths form part of the background mortality for this cohort).</w:t>
      </w:r>
      <w:r>
        <w:t xml:space="preserve"> We are currently considering methods to adjust for these issues and intend to implement these in future analyses.  However, it is important to acknowledge that consistency in methodology is important for comparisons across and between years, so the three-year rolling periods for life tables have been maintained.</w:t>
      </w:r>
    </w:p>
    <w:p w14:paraId="49E6E70F" w14:textId="3FC8B7C5" w:rsidR="00F96F12" w:rsidRDefault="00F96F12">
      <w:pPr>
        <w:rPr>
          <w:rFonts w:ascii="Ubuntu" w:eastAsiaTheme="majorEastAsia" w:hAnsi="Ubuntu" w:cstheme="minorHAnsi"/>
          <w:b/>
          <w:color w:val="325083"/>
          <w:sz w:val="40"/>
          <w:szCs w:val="40"/>
        </w:rPr>
      </w:pPr>
    </w:p>
    <w:p w14:paraId="5E2EA133" w14:textId="625AA132" w:rsidR="0067055C" w:rsidRPr="00CE310E" w:rsidRDefault="0067055C" w:rsidP="001F5B9A">
      <w:pPr>
        <w:pStyle w:val="Heading1"/>
      </w:pPr>
      <w:bookmarkStart w:id="58" w:name="_5_Timeliness_and"/>
      <w:bookmarkStart w:id="59" w:name="_Toc1228443124"/>
      <w:bookmarkEnd w:id="58"/>
      <w:r>
        <w:lastRenderedPageBreak/>
        <w:t>5 Timeliness and punctuality</w:t>
      </w:r>
      <w:bookmarkEnd w:id="59"/>
    </w:p>
    <w:p w14:paraId="22211D61" w14:textId="58A21F63" w:rsidR="0067055C" w:rsidRDefault="0067055C" w:rsidP="00317A89">
      <w:pPr>
        <w:jc w:val="both"/>
      </w:pPr>
      <w:r>
        <w:t>All outputs adhere to the Code of Practice by pre-announcing the date of publication through the upcoming calendar on the Welsh Government Statistics and research page. Furthermore, if publication needs to be postponed this will be announced and the reason for the change fully explained, as set out in the Code of Practice.</w:t>
      </w:r>
    </w:p>
    <w:p w14:paraId="5E9AF4FA" w14:textId="77777777" w:rsidR="001446E2" w:rsidRDefault="001446E2" w:rsidP="00317A89">
      <w:pPr>
        <w:jc w:val="both"/>
      </w:pPr>
    </w:p>
    <w:p w14:paraId="1F7654A4" w14:textId="1CEFE6E9" w:rsidR="0067055C" w:rsidRPr="00CE310E" w:rsidRDefault="0067055C" w:rsidP="00E43A91">
      <w:pPr>
        <w:pStyle w:val="Heading2"/>
      </w:pPr>
      <w:bookmarkStart w:id="60" w:name="_Toc99426749"/>
      <w:r>
        <w:t>5.1 Incidence and survival</w:t>
      </w:r>
      <w:bookmarkEnd w:id="60"/>
    </w:p>
    <w:p w14:paraId="1E7C7997" w14:textId="1BA86BE6" w:rsidR="0067055C" w:rsidRDefault="0067055C" w:rsidP="00317A89">
      <w:pPr>
        <w:jc w:val="both"/>
      </w:pPr>
      <w:r>
        <w:t xml:space="preserve">Historically, the WCISU has routinely published data on incidence and survival within 18 months of the end of the calendar year with a survival publication following. The lapse in time is due to the source data being completed and becoming available, the time taken to process and merge all cancer registrations for those </w:t>
      </w:r>
      <w:r w:rsidR="003C1FC8">
        <w:t>patients’</w:t>
      </w:r>
      <w:r>
        <w:t xml:space="preserve"> resident in Wales into one record for each tumour using the data sources provided to the WCISU, according to strict international rules and guidelines of coding, classification and staging. </w:t>
      </w:r>
    </w:p>
    <w:p w14:paraId="2A6FB024" w14:textId="19C512BF" w:rsidR="0067055C" w:rsidRDefault="0067055C" w:rsidP="00317A89">
      <w:pPr>
        <w:jc w:val="both"/>
      </w:pPr>
    </w:p>
    <w:p w14:paraId="386CEFAC" w14:textId="1687295B" w:rsidR="0067055C" w:rsidRPr="00CE310E" w:rsidRDefault="0067055C" w:rsidP="001F5B9A">
      <w:pPr>
        <w:pStyle w:val="Heading1"/>
      </w:pPr>
      <w:bookmarkStart w:id="61" w:name="_Toc2073923109"/>
      <w:r>
        <w:t>6 Accessibility and clarity</w:t>
      </w:r>
      <w:bookmarkEnd w:id="61"/>
    </w:p>
    <w:p w14:paraId="6E454C48" w14:textId="77777777" w:rsidR="0067055C" w:rsidRDefault="0067055C" w:rsidP="00317A89">
      <w:pPr>
        <w:jc w:val="both"/>
      </w:pPr>
      <w:r>
        <w:t xml:space="preserve">The statistics will be published in an accessible, orderly, pre-announced manner on the Welsh Cancer Intelligence and Surveillance Unit’s website at 9:30am on the day of publication. We also publicise the outputs on social media and to our stakeholders via email. All outputs are available and free to download. </w:t>
      </w:r>
    </w:p>
    <w:p w14:paraId="6BBB6F1E" w14:textId="6851C466" w:rsidR="0067055C" w:rsidRDefault="0067055C" w:rsidP="00317A89">
      <w:pPr>
        <w:jc w:val="both"/>
      </w:pPr>
      <w:r>
        <w:t xml:space="preserve">Official Statistics are sent to </w:t>
      </w:r>
      <w:r w:rsidR="003C1FC8">
        <w:t>several</w:t>
      </w:r>
      <w:r>
        <w:t xml:space="preserve"> individual</w:t>
      </w:r>
      <w:r w:rsidR="003C1FC8">
        <w:t>s</w:t>
      </w:r>
      <w:r>
        <w:t xml:space="preserve"> on the pre-release list five working days prior to the announcement in accordance with the Pre-publication Official Statistics Order Access (Wales) 2009. The individuals on the pre-release list can be found on the publication webpage</w:t>
      </w:r>
      <w:r w:rsidR="00AF2A5A">
        <w:t xml:space="preserve"> on the </w:t>
      </w:r>
      <w:hyperlink r:id="rId22" w:history="1">
        <w:r w:rsidR="00AF2A5A" w:rsidRPr="003C1FC8">
          <w:rPr>
            <w:rStyle w:val="Hyperlink"/>
          </w:rPr>
          <w:t>PHW website</w:t>
        </w:r>
      </w:hyperlink>
      <w:r>
        <w:t xml:space="preserve">. </w:t>
      </w:r>
    </w:p>
    <w:p w14:paraId="2C5894DD" w14:textId="66F34737" w:rsidR="0067055C" w:rsidRDefault="0067055C" w:rsidP="00317A89">
      <w:pPr>
        <w:jc w:val="both"/>
      </w:pPr>
      <w:r>
        <w:t xml:space="preserve">We aim to use plain English in our </w:t>
      </w:r>
      <w:r w:rsidR="00AF2A5A">
        <w:t>outputs,</w:t>
      </w:r>
      <w:r>
        <w:t xml:space="preserve"> and they adhere to the Public Health Wales’s accessibility policy. Furthermore, all our statistics are published in Welsh and English. Further information regarding the statistics can be obtained by emailing </w:t>
      </w:r>
      <w:hyperlink r:id="rId23" w:history="1">
        <w:r w:rsidR="0095536C" w:rsidRPr="00174DA4">
          <w:rPr>
            <w:rStyle w:val="Hyperlink"/>
          </w:rPr>
          <w:t>WCU.stats@wales.nhs.uk</w:t>
        </w:r>
      </w:hyperlink>
      <w:r>
        <w:t>.</w:t>
      </w:r>
    </w:p>
    <w:p w14:paraId="377AFA21" w14:textId="5AE6254D" w:rsidR="0095536C" w:rsidRDefault="0095536C" w:rsidP="00317A89">
      <w:pPr>
        <w:jc w:val="both"/>
      </w:pPr>
    </w:p>
    <w:p w14:paraId="4A31E1ED" w14:textId="38711182" w:rsidR="0095536C" w:rsidRPr="00CE310E" w:rsidRDefault="0095536C" w:rsidP="001F5B9A">
      <w:pPr>
        <w:pStyle w:val="Heading1"/>
      </w:pPr>
      <w:bookmarkStart w:id="62" w:name="_7_Comparability_and"/>
      <w:bookmarkStart w:id="63" w:name="_Toc1804505066"/>
      <w:bookmarkEnd w:id="62"/>
      <w:r>
        <w:t>7 Comparability and coherence</w:t>
      </w:r>
      <w:bookmarkEnd w:id="63"/>
    </w:p>
    <w:p w14:paraId="704DFC5A" w14:textId="4915D37F" w:rsidR="0095536C" w:rsidRDefault="0095536C" w:rsidP="00317A89">
      <w:pPr>
        <w:jc w:val="both"/>
      </w:pPr>
      <w:r>
        <w:t xml:space="preserve">While the WCISU does not hold cancer data about residents in Northern Ireland, Scotland, and England, comparable data can be located from the following: </w:t>
      </w:r>
    </w:p>
    <w:p w14:paraId="2A01E1C1" w14:textId="49EBCAFD" w:rsidR="0095536C" w:rsidRDefault="118C8B0B" w:rsidP="00317A89">
      <w:pPr>
        <w:pStyle w:val="ListParagraph"/>
        <w:numPr>
          <w:ilvl w:val="0"/>
          <w:numId w:val="12"/>
        </w:numPr>
        <w:jc w:val="both"/>
      </w:pPr>
      <w:hyperlink r:id="rId24" w:history="1">
        <w:r>
          <w:t xml:space="preserve">Northern Ireland Cancer Registry </w:t>
        </w:r>
        <w:r w:rsidR="663ADEC7" w:rsidRPr="5443D736">
          <w:rPr>
            <w:rStyle w:val="Hyperlink"/>
          </w:rPr>
          <w:t>(NICR)</w:t>
        </w:r>
      </w:hyperlink>
    </w:p>
    <w:p w14:paraId="649E0E2F" w14:textId="040005E1" w:rsidR="0095536C" w:rsidRDefault="004C5F48" w:rsidP="00317A89">
      <w:pPr>
        <w:pStyle w:val="ListParagraph"/>
        <w:numPr>
          <w:ilvl w:val="0"/>
          <w:numId w:val="12"/>
        </w:numPr>
        <w:jc w:val="both"/>
      </w:pPr>
      <w:hyperlink r:id="rId25" w:history="1">
        <w:r>
          <w:t>Public Health Scotland</w:t>
        </w:r>
        <w:r w:rsidR="0095536C">
          <w:t xml:space="preserve"> </w:t>
        </w:r>
        <w:r w:rsidRPr="5443D736">
          <w:rPr>
            <w:rStyle w:val="Hyperlink"/>
          </w:rPr>
          <w:t>(PHS)</w:t>
        </w:r>
      </w:hyperlink>
    </w:p>
    <w:p w14:paraId="1675D652" w14:textId="26A79143" w:rsidR="0095536C" w:rsidRDefault="0095536C" w:rsidP="00317A89">
      <w:pPr>
        <w:pStyle w:val="ListParagraph"/>
        <w:numPr>
          <w:ilvl w:val="0"/>
          <w:numId w:val="12"/>
        </w:numPr>
        <w:jc w:val="both"/>
      </w:pPr>
      <w:hyperlink r:id="rId26" w:history="1">
        <w:r>
          <w:t xml:space="preserve">Office for National Statistics </w:t>
        </w:r>
        <w:r w:rsidR="004C5F48" w:rsidRPr="66C9CF9A">
          <w:rPr>
            <w:rStyle w:val="Hyperlink"/>
          </w:rPr>
          <w:t>(ONS)</w:t>
        </w:r>
      </w:hyperlink>
    </w:p>
    <w:p w14:paraId="36E4F9AC" w14:textId="7CA0B981" w:rsidR="003B36C7" w:rsidRDefault="118C8B0B" w:rsidP="00317A89">
      <w:pPr>
        <w:pStyle w:val="ListParagraph"/>
        <w:numPr>
          <w:ilvl w:val="0"/>
          <w:numId w:val="12"/>
        </w:numPr>
        <w:jc w:val="both"/>
      </w:pPr>
      <w:hyperlink r:id="rId27">
        <w:r w:rsidRPr="7BDE8E7A">
          <w:rPr>
            <w:rStyle w:val="Hyperlink"/>
          </w:rPr>
          <w:t xml:space="preserve">National Disease Registration Service </w:t>
        </w:r>
        <w:r w:rsidR="663ADEC7" w:rsidRPr="7BDE8E7A">
          <w:rPr>
            <w:rStyle w:val="Hyperlink"/>
          </w:rPr>
          <w:t>(NDRS)</w:t>
        </w:r>
      </w:hyperlink>
    </w:p>
    <w:p w14:paraId="64E89C63" w14:textId="77777777" w:rsidR="003B36C7" w:rsidRDefault="1737BE45" w:rsidP="00317A89">
      <w:pPr>
        <w:jc w:val="both"/>
      </w:pPr>
      <w:r>
        <w:lastRenderedPageBreak/>
        <w:t xml:space="preserve">Details of cancer registries in the United Kingdom and Ireland can be found on the United Kingdom and Ireland Association of Cancer Registries </w:t>
      </w:r>
      <w:hyperlink r:id="rId28" w:history="1">
        <w:r w:rsidRPr="1B4B16F4">
          <w:rPr>
            <w:rStyle w:val="Hyperlink"/>
          </w:rPr>
          <w:t>website</w:t>
        </w:r>
      </w:hyperlink>
      <w:r>
        <w:t xml:space="preserve">. </w:t>
      </w:r>
    </w:p>
    <w:p w14:paraId="6C13A7B6" w14:textId="77852DD1" w:rsidR="003B36C7" w:rsidRDefault="1737BE45" w:rsidP="00317A89">
      <w:pPr>
        <w:jc w:val="both"/>
      </w:pPr>
      <w:r>
        <w:t xml:space="preserve">For comparable incidence </w:t>
      </w:r>
      <w:r w:rsidR="5FD83E87">
        <w:t xml:space="preserve">and mortality </w:t>
      </w:r>
      <w:r>
        <w:t>data</w:t>
      </w:r>
      <w:r w:rsidR="5FD83E87">
        <w:t>,</w:t>
      </w:r>
      <w:r>
        <w:t xml:space="preserve"> the latest international comparisons are available from </w:t>
      </w:r>
      <w:hyperlink r:id="rId29">
        <w:r w:rsidR="2B4A5081" w:rsidRPr="7BDE8E7A">
          <w:rPr>
            <w:rStyle w:val="Hyperlink"/>
          </w:rPr>
          <w:t>Cancer in Five Continents.</w:t>
        </w:r>
      </w:hyperlink>
      <w:r w:rsidR="2B4A5081">
        <w:t xml:space="preserve"> </w:t>
      </w:r>
    </w:p>
    <w:p w14:paraId="3D5B5082" w14:textId="0D73CA4A" w:rsidR="003B36C7" w:rsidRDefault="7A013286" w:rsidP="00317A89">
      <w:pPr>
        <w:jc w:val="both"/>
      </w:pPr>
      <w:r>
        <w:t xml:space="preserve">Due to differences in the life tables between different cancer registries, we advise against making direct comparisons between the different UK Jurisdictions. We are working with other registries towards improving comparability. In the interim, the European/world studies </w:t>
      </w:r>
      <w:r w:rsidR="7D0CFF45">
        <w:t>are</w:t>
      </w:r>
      <w:r>
        <w:t xml:space="preserve"> suitable for comparisons between the different UK Jurisdictions as the same methodology was applied, however data for recent periods is not yet available (</w:t>
      </w:r>
      <w:proofErr w:type="spellStart"/>
      <w:r>
        <w:fldChar w:fldCharType="begin"/>
      </w:r>
      <w:r>
        <w:instrText>HYPERLINK "https://www.iss.it/en/-/eurocare-5-3"</w:instrText>
      </w:r>
      <w:r>
        <w:fldChar w:fldCharType="separate"/>
      </w:r>
      <w:r w:rsidRPr="00F57E75">
        <w:rPr>
          <w:rStyle w:val="Hyperlink"/>
        </w:rPr>
        <w:t>Eurocare</w:t>
      </w:r>
      <w:proofErr w:type="spellEnd"/>
      <w:r>
        <w:fldChar w:fldCharType="end"/>
      </w:r>
      <w:r>
        <w:t xml:space="preserve">). </w:t>
      </w:r>
    </w:p>
    <w:p w14:paraId="6631FC24" w14:textId="355CBDFE" w:rsidR="003B36C7" w:rsidRDefault="7A013286" w:rsidP="00317A89">
      <w:pPr>
        <w:jc w:val="both"/>
      </w:pPr>
      <w:r>
        <w:t>The WCISU have recently published their 202</w:t>
      </w:r>
      <w:r w:rsidR="00F338FF">
        <w:t xml:space="preserve">1 </w:t>
      </w:r>
      <w:r>
        <w:t xml:space="preserve">UKIACR performance indicators. Further information regarding the data completeness and quality of cancer registry data is detailed in the </w:t>
      </w:r>
      <w:hyperlink r:id="rId30" w:history="1">
        <w:r w:rsidRPr="00F57E75">
          <w:rPr>
            <w:rStyle w:val="Hyperlink"/>
          </w:rPr>
          <w:t>UKIACR performance indicators reports</w:t>
        </w:r>
      </w:hyperlink>
      <w:r>
        <w:t>.</w:t>
      </w:r>
    </w:p>
    <w:p w14:paraId="59AD8CDE" w14:textId="3AF5AD3B" w:rsidR="00DC72BC" w:rsidRDefault="00DC72BC">
      <w:pPr>
        <w:rPr>
          <w:rFonts w:ascii="Ubuntu" w:eastAsiaTheme="majorEastAsia" w:hAnsi="Ubuntu" w:cstheme="minorHAnsi"/>
          <w:b/>
          <w:color w:val="325083"/>
          <w:sz w:val="40"/>
          <w:szCs w:val="40"/>
        </w:rPr>
      </w:pPr>
    </w:p>
    <w:p w14:paraId="458482E8" w14:textId="2BF7553B" w:rsidR="003B36C7" w:rsidRPr="00CE310E" w:rsidRDefault="003B36C7" w:rsidP="001F5B9A">
      <w:pPr>
        <w:pStyle w:val="Heading1"/>
      </w:pPr>
      <w:bookmarkStart w:id="64" w:name="_Toc414721201"/>
      <w:r>
        <w:t>8 Legislation</w:t>
      </w:r>
      <w:bookmarkEnd w:id="64"/>
    </w:p>
    <w:p w14:paraId="03966449" w14:textId="77777777" w:rsidR="003B36C7" w:rsidRPr="003B36C7" w:rsidRDefault="003B36C7" w:rsidP="00317A89">
      <w:pPr>
        <w:jc w:val="both"/>
        <w:rPr>
          <w:rFonts w:cstheme="minorHAnsi"/>
        </w:rPr>
      </w:pPr>
      <w:r w:rsidRPr="003B36C7">
        <w:rPr>
          <w:rFonts w:cstheme="minorHAnsi"/>
        </w:rPr>
        <w:t>Under the Data Protection Act, the lawful processing of patient/service user data for purposes other than that necessary for the direct provision of care requires one of the following conditions to be met:</w:t>
      </w:r>
    </w:p>
    <w:p w14:paraId="2C56DBCA" w14:textId="77777777" w:rsidR="003B36C7" w:rsidRDefault="003B36C7" w:rsidP="00317A89">
      <w:pPr>
        <w:pStyle w:val="ListParagraph"/>
        <w:numPr>
          <w:ilvl w:val="0"/>
          <w:numId w:val="14"/>
        </w:numPr>
        <w:jc w:val="both"/>
        <w:rPr>
          <w:rFonts w:cstheme="minorHAnsi"/>
        </w:rPr>
      </w:pPr>
      <w:r w:rsidRPr="003B36C7">
        <w:rPr>
          <w:rFonts w:cstheme="minorHAnsi"/>
        </w:rPr>
        <w:t>Explicit patient/service user consent for processing</w:t>
      </w:r>
    </w:p>
    <w:p w14:paraId="338B65C7" w14:textId="77777777" w:rsidR="003B36C7" w:rsidRDefault="003B36C7" w:rsidP="00317A89">
      <w:pPr>
        <w:pStyle w:val="ListParagraph"/>
        <w:numPr>
          <w:ilvl w:val="0"/>
          <w:numId w:val="14"/>
        </w:numPr>
        <w:jc w:val="both"/>
        <w:rPr>
          <w:rFonts w:cstheme="minorHAnsi"/>
        </w:rPr>
      </w:pPr>
      <w:r w:rsidRPr="003B36C7">
        <w:rPr>
          <w:rFonts w:cstheme="minorHAnsi"/>
        </w:rPr>
        <w:t>Explicit authorisation by statute</w:t>
      </w:r>
    </w:p>
    <w:p w14:paraId="04ADFDCC" w14:textId="5662603E" w:rsidR="003B36C7" w:rsidRPr="00232D89" w:rsidRDefault="003B36C7" w:rsidP="00317A89">
      <w:pPr>
        <w:pStyle w:val="ListParagraph"/>
        <w:numPr>
          <w:ilvl w:val="0"/>
          <w:numId w:val="14"/>
        </w:numPr>
        <w:jc w:val="both"/>
        <w:rPr>
          <w:rFonts w:cstheme="minorHAnsi"/>
        </w:rPr>
      </w:pPr>
      <w:r w:rsidRPr="003B36C7">
        <w:rPr>
          <w:rFonts w:cstheme="minorHAnsi"/>
        </w:rPr>
        <w:t>Approval under Section 251 of the NHS Act 2006</w:t>
      </w:r>
    </w:p>
    <w:p w14:paraId="21EE29CB" w14:textId="77777777" w:rsidR="003B36C7" w:rsidRPr="003B36C7" w:rsidRDefault="003B36C7" w:rsidP="00317A89">
      <w:pPr>
        <w:jc w:val="both"/>
        <w:rPr>
          <w:rFonts w:cstheme="minorHAnsi"/>
        </w:rPr>
      </w:pPr>
      <w:r w:rsidRPr="003B36C7">
        <w:rPr>
          <w:rFonts w:cstheme="minorHAnsi"/>
        </w:rPr>
        <w:t xml:space="preserve">Public Health Wales undertakes </w:t>
      </w:r>
      <w:proofErr w:type="gramStart"/>
      <w:r w:rsidRPr="003B36C7">
        <w:rPr>
          <w:rFonts w:cstheme="minorHAnsi"/>
        </w:rPr>
        <w:t>a number of</w:t>
      </w:r>
      <w:proofErr w:type="gramEnd"/>
      <w:r w:rsidRPr="003B36C7">
        <w:rPr>
          <w:rFonts w:cstheme="minorHAnsi"/>
        </w:rPr>
        <w:t xml:space="preserve"> activities that cannot be classed as direct care, but where the obtaining explicit consent would be impractical or would compromise the integrity of the relevant activity. Examples include:</w:t>
      </w:r>
    </w:p>
    <w:p w14:paraId="14BCD303" w14:textId="77777777" w:rsidR="003B36C7" w:rsidRDefault="003B36C7" w:rsidP="00317A89">
      <w:pPr>
        <w:pStyle w:val="ListParagraph"/>
        <w:numPr>
          <w:ilvl w:val="0"/>
          <w:numId w:val="15"/>
        </w:numPr>
        <w:jc w:val="both"/>
        <w:rPr>
          <w:rFonts w:cstheme="minorHAnsi"/>
        </w:rPr>
      </w:pPr>
      <w:r w:rsidRPr="003B36C7">
        <w:rPr>
          <w:rFonts w:cstheme="minorHAnsi"/>
        </w:rPr>
        <w:t>Evaluation of screening programmes</w:t>
      </w:r>
    </w:p>
    <w:p w14:paraId="024AC62F" w14:textId="77777777" w:rsidR="003B36C7" w:rsidRDefault="003B36C7" w:rsidP="00317A89">
      <w:pPr>
        <w:pStyle w:val="ListParagraph"/>
        <w:numPr>
          <w:ilvl w:val="0"/>
          <w:numId w:val="15"/>
        </w:numPr>
        <w:jc w:val="both"/>
        <w:rPr>
          <w:rFonts w:cstheme="minorHAnsi"/>
        </w:rPr>
      </w:pPr>
      <w:r w:rsidRPr="003B36C7">
        <w:rPr>
          <w:rFonts w:cstheme="minorHAnsi"/>
        </w:rPr>
        <w:t>Cancer registration</w:t>
      </w:r>
    </w:p>
    <w:p w14:paraId="2EC7478E" w14:textId="2AF7DFA0" w:rsidR="003B36C7" w:rsidRPr="003B36C7" w:rsidRDefault="003B36C7" w:rsidP="00317A89">
      <w:pPr>
        <w:pStyle w:val="ListParagraph"/>
        <w:numPr>
          <w:ilvl w:val="0"/>
          <w:numId w:val="15"/>
        </w:numPr>
        <w:jc w:val="both"/>
        <w:rPr>
          <w:rFonts w:cstheme="minorHAnsi"/>
        </w:rPr>
      </w:pPr>
      <w:r w:rsidRPr="003B36C7">
        <w:rPr>
          <w:rFonts w:cstheme="minorHAnsi"/>
        </w:rPr>
        <w:t>Registration of congenital anomalies</w:t>
      </w:r>
    </w:p>
    <w:p w14:paraId="2E10D98B" w14:textId="77777777" w:rsidR="003B36C7" w:rsidRPr="003B36C7" w:rsidRDefault="003B36C7" w:rsidP="00317A89">
      <w:pPr>
        <w:jc w:val="both"/>
        <w:rPr>
          <w:rFonts w:cstheme="minorHAnsi"/>
        </w:rPr>
      </w:pPr>
      <w:r w:rsidRPr="003B36C7">
        <w:rPr>
          <w:rFonts w:cstheme="minorHAnsi"/>
        </w:rPr>
        <w:t>So called ‘Section 251’ approval, therefore, remains the most appropriate means of ensuring that Public Health Wales complies with the Data Protection Act when undertaking such processing. Such approval needs to be obtained for new activities and renewed annually for existing activities.</w:t>
      </w:r>
    </w:p>
    <w:p w14:paraId="577683DC" w14:textId="77777777" w:rsidR="003B36C7" w:rsidRPr="003B36C7" w:rsidRDefault="003B36C7" w:rsidP="00317A89">
      <w:pPr>
        <w:jc w:val="both"/>
        <w:rPr>
          <w:rFonts w:cstheme="minorHAnsi"/>
        </w:rPr>
      </w:pPr>
      <w:r w:rsidRPr="003B36C7">
        <w:rPr>
          <w:rFonts w:cstheme="minorHAnsi"/>
        </w:rPr>
        <w:t>Section 251 was established to provide a secure legal basis for the disclosure and processing of confidential information in the NHS where it is not possible to use anonymised information or to obtain explicit consent. A mechanism was established to enable the Secretary of State for Health to exercise powers of approval under Section 251, advised by the National Information Governance Board (NIGB) and its Ethics and Confidentiality Committee (ECC). The mechanisms operated by NIGB and its ECC also applied to Wales.</w:t>
      </w:r>
    </w:p>
    <w:p w14:paraId="78AD6B01" w14:textId="77777777" w:rsidR="003B36C7" w:rsidRPr="003B36C7" w:rsidRDefault="003B36C7" w:rsidP="00317A89">
      <w:pPr>
        <w:jc w:val="both"/>
        <w:rPr>
          <w:rFonts w:cstheme="minorHAnsi"/>
        </w:rPr>
      </w:pPr>
      <w:r w:rsidRPr="003B36C7">
        <w:rPr>
          <w:rFonts w:cstheme="minorHAnsi"/>
        </w:rPr>
        <w:lastRenderedPageBreak/>
        <w:t xml:space="preserve">Under General Data Protection Regulation (GDPR), we follow: </w:t>
      </w:r>
    </w:p>
    <w:p w14:paraId="2FEF0EA2" w14:textId="77777777" w:rsidR="003B36C7" w:rsidRPr="00232D89" w:rsidRDefault="003B36C7" w:rsidP="00232D89">
      <w:pPr>
        <w:pStyle w:val="ListParagraph"/>
        <w:numPr>
          <w:ilvl w:val="0"/>
          <w:numId w:val="20"/>
        </w:numPr>
        <w:jc w:val="both"/>
        <w:rPr>
          <w:rFonts w:cstheme="minorHAnsi"/>
        </w:rPr>
      </w:pPr>
      <w:r w:rsidRPr="00232D89">
        <w:rPr>
          <w:rFonts w:cstheme="minorHAnsi"/>
        </w:rPr>
        <w:t xml:space="preserve">Article 6 (1) e - processing is necessary for the performance of a task carried out in the public interest or in the exercise of official authority vested in the </w:t>
      </w:r>
      <w:proofErr w:type="gramStart"/>
      <w:r w:rsidRPr="00232D89">
        <w:rPr>
          <w:rFonts w:cstheme="minorHAnsi"/>
        </w:rPr>
        <w:t>controller;</w:t>
      </w:r>
      <w:proofErr w:type="gramEnd"/>
    </w:p>
    <w:p w14:paraId="01112DB4" w14:textId="5041EDF5" w:rsidR="003B36C7" w:rsidRPr="003B36C7" w:rsidRDefault="00232D89" w:rsidP="00317A89">
      <w:pPr>
        <w:jc w:val="both"/>
        <w:rPr>
          <w:rFonts w:cstheme="minorHAnsi"/>
        </w:rPr>
      </w:pPr>
      <w:r>
        <w:rPr>
          <w:rFonts w:cstheme="minorHAnsi"/>
        </w:rPr>
        <w:t>a</w:t>
      </w:r>
      <w:r w:rsidR="003B36C7" w:rsidRPr="003B36C7">
        <w:rPr>
          <w:rFonts w:cstheme="minorHAnsi"/>
        </w:rPr>
        <w:t xml:space="preserve">nd </w:t>
      </w:r>
    </w:p>
    <w:p w14:paraId="0B13057F" w14:textId="77777777" w:rsidR="003B36C7" w:rsidRPr="00232D89" w:rsidRDefault="003B36C7" w:rsidP="00232D89">
      <w:pPr>
        <w:pStyle w:val="ListParagraph"/>
        <w:numPr>
          <w:ilvl w:val="0"/>
          <w:numId w:val="20"/>
        </w:numPr>
        <w:jc w:val="both"/>
        <w:rPr>
          <w:rFonts w:cstheme="minorHAnsi"/>
        </w:rPr>
      </w:pPr>
      <w:r w:rsidRPr="00232D89">
        <w:rPr>
          <w:rFonts w:cstheme="minorHAnsi"/>
        </w:rPr>
        <w:t>Article 9 (2) h -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w:t>
      </w:r>
    </w:p>
    <w:p w14:paraId="73C687F7" w14:textId="1A3EA20F" w:rsidR="003B36C7" w:rsidRPr="003B36C7" w:rsidRDefault="003B36C7" w:rsidP="7BDE8E7A">
      <w:pPr>
        <w:jc w:val="both"/>
      </w:pPr>
      <w:r w:rsidRPr="7BDE8E7A">
        <w:t xml:space="preserve">The key policy on cancer in Wales is set out in the </w:t>
      </w:r>
      <w:bookmarkStart w:id="65" w:name="_Hlk138055044"/>
      <w:r w:rsidR="004E4F67" w:rsidRPr="7BDE8E7A">
        <w:fldChar w:fldCharType="begin"/>
      </w:r>
      <w:r w:rsidR="004E4F67" w:rsidRPr="7BDE8E7A">
        <w:instrText xml:space="preserve"> HYPERLINK "https://executive.nhs.wales/networks/wales-cancer-network/cancer-improvement-plan-docs/full-plan/" </w:instrText>
      </w:r>
      <w:r w:rsidR="004E4F67" w:rsidRPr="7BDE8E7A">
        <w:fldChar w:fldCharType="separate"/>
      </w:r>
      <w:r w:rsidR="004E4F67" w:rsidRPr="7BDE8E7A">
        <w:rPr>
          <w:rStyle w:val="Hyperlink"/>
        </w:rPr>
        <w:t>Wales</w:t>
      </w:r>
      <w:r w:rsidRPr="7BDE8E7A">
        <w:rPr>
          <w:rStyle w:val="Hyperlink"/>
        </w:rPr>
        <w:t xml:space="preserve"> </w:t>
      </w:r>
      <w:r w:rsidR="004E4F67" w:rsidRPr="004E4F67">
        <w:rPr>
          <w:rStyle w:val="Hyperlink"/>
        </w:rPr>
        <w:t>Cancer</w:t>
      </w:r>
      <w:r w:rsidR="004E4F67">
        <w:rPr>
          <w:rStyle w:val="Hyperlink"/>
        </w:rPr>
        <w:t xml:space="preserve"> Network’s Cancer</w:t>
      </w:r>
      <w:r w:rsidR="004E4F67" w:rsidRPr="004E4F67">
        <w:rPr>
          <w:rStyle w:val="Hyperlink"/>
        </w:rPr>
        <w:t xml:space="preserve"> improvement plan 2023-2026</w:t>
      </w:r>
      <w:r w:rsidR="004E4F67" w:rsidRPr="7BDE8E7A">
        <w:fldChar w:fldCharType="end"/>
      </w:r>
      <w:r w:rsidR="004E4F67">
        <w:t>.</w:t>
      </w:r>
      <w:bookmarkEnd w:id="65"/>
    </w:p>
    <w:p w14:paraId="225B083B" w14:textId="11F2B815" w:rsidR="003B36C7" w:rsidRPr="003B36C7" w:rsidRDefault="003B36C7" w:rsidP="00317A89">
      <w:pPr>
        <w:jc w:val="both"/>
        <w:rPr>
          <w:rFonts w:cstheme="minorHAnsi"/>
        </w:rPr>
      </w:pPr>
      <w:r w:rsidRPr="003B36C7">
        <w:rPr>
          <w:rFonts w:cstheme="minorHAnsi"/>
        </w:rPr>
        <w:t xml:space="preserve">The Well-being of Future Generations Act 2015 is about improving the social, economic, </w:t>
      </w:r>
      <w:r w:rsidR="00D06BC6" w:rsidRPr="003B36C7">
        <w:rPr>
          <w:rFonts w:cstheme="minorHAnsi"/>
        </w:rPr>
        <w:t>environmental,</w:t>
      </w:r>
      <w:r w:rsidRPr="003B36C7">
        <w:rPr>
          <w:rFonts w:cstheme="minorHAnsi"/>
        </w:rPr>
        <w:t xml:space="preserve"> and cultural well-being of Wales. The Act puts in place seven well-being goals for Wales. These are for a more equal, prosperous, resilient, </w:t>
      </w:r>
      <w:r w:rsidR="00D06BC6" w:rsidRPr="003B36C7">
        <w:rPr>
          <w:rFonts w:cstheme="minorHAnsi"/>
        </w:rPr>
        <w:t>healthier,</w:t>
      </w:r>
      <w:r w:rsidRPr="003B36C7">
        <w:rPr>
          <w:rFonts w:cstheme="minorHAnsi"/>
        </w:rPr>
        <w:t xml:space="preserve"> and globally responsible Wales, with cohesive communities and a vibrant culture and thriving Welsh language. Under section (10) (1) of the Act, the Welsh Ministers must:</w:t>
      </w:r>
    </w:p>
    <w:p w14:paraId="1957741C"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 xml:space="preserve">publish indicators (“national indicators”) that must be applied for the purpose of measuring progress towards the achievement of the Well-being goals </w:t>
      </w:r>
    </w:p>
    <w:p w14:paraId="4B0E243F" w14:textId="77777777" w:rsidR="003B36C7" w:rsidRPr="003B36C7" w:rsidRDefault="003B36C7" w:rsidP="00317A89">
      <w:pPr>
        <w:pStyle w:val="ListParagraph"/>
        <w:numPr>
          <w:ilvl w:val="0"/>
          <w:numId w:val="13"/>
        </w:numPr>
        <w:spacing w:after="200" w:line="276" w:lineRule="auto"/>
        <w:jc w:val="both"/>
        <w:rPr>
          <w:rFonts w:cstheme="minorHAnsi"/>
        </w:rPr>
      </w:pPr>
      <w:r w:rsidRPr="003B36C7">
        <w:rPr>
          <w:rFonts w:cstheme="minorHAnsi"/>
        </w:rPr>
        <w:t>lay a copy of the national indicators before the National Assembly. The 46 national indicators were laid in March 2016</w:t>
      </w:r>
    </w:p>
    <w:p w14:paraId="78916910" w14:textId="358C3785" w:rsidR="003B36C7" w:rsidRPr="003B36C7" w:rsidRDefault="003B36C7" w:rsidP="00317A89">
      <w:pPr>
        <w:jc w:val="both"/>
      </w:pPr>
      <w:hyperlink r:id="rId31" w:history="1">
        <w:r w:rsidRPr="6D06B08A">
          <w:rPr>
            <w:rStyle w:val="Hyperlink"/>
          </w:rPr>
          <w:t>Information on indicators and associated technical information - How do you measure a nation’s progress? - National Indicators</w:t>
        </w:r>
      </w:hyperlink>
    </w:p>
    <w:p w14:paraId="7D788564" w14:textId="2D6208B2" w:rsidR="003B36C7" w:rsidRPr="003B36C7" w:rsidRDefault="003B36C7" w:rsidP="00317A89">
      <w:pPr>
        <w:jc w:val="both"/>
        <w:rPr>
          <w:rFonts w:cstheme="minorHAnsi"/>
        </w:rPr>
      </w:pPr>
      <w:r w:rsidRPr="003B36C7">
        <w:rPr>
          <w:rFonts w:cstheme="minorHAnsi"/>
        </w:rPr>
        <w:t xml:space="preserve">Further information on the </w:t>
      </w:r>
      <w:hyperlink r:id="rId32" w:history="1">
        <w:r w:rsidRPr="003B36C7">
          <w:rPr>
            <w:rStyle w:val="Hyperlink"/>
            <w:rFonts w:cstheme="minorHAnsi"/>
          </w:rPr>
          <w:t>Well-being of Future Generations (Wales) Act 2015</w:t>
        </w:r>
      </w:hyperlink>
      <w:r w:rsidRPr="003B36C7">
        <w:rPr>
          <w:rFonts w:cstheme="minorHAnsi"/>
        </w:rPr>
        <w:t>.</w:t>
      </w:r>
    </w:p>
    <w:p w14:paraId="13A253D4" w14:textId="77777777" w:rsidR="003B36C7" w:rsidRPr="003B36C7" w:rsidRDefault="003B36C7" w:rsidP="00317A89">
      <w:pPr>
        <w:jc w:val="both"/>
        <w:rPr>
          <w:rFonts w:cstheme="minorHAnsi"/>
        </w:rPr>
      </w:pPr>
      <w:r w:rsidRPr="003B36C7">
        <w:rPr>
          <w:rFonts w:cstheme="minorHAnsi"/>
        </w:rPr>
        <w:t>The statistics included in this release could also provide supporting narrative to the national indicators and be used by public services boards in relation to their local well-being assessments and local well-being plans.</w:t>
      </w:r>
    </w:p>
    <w:p w14:paraId="5576A14A" w14:textId="09D2818F" w:rsidR="003B36C7" w:rsidRPr="003B36C7" w:rsidRDefault="003B36C7" w:rsidP="7BDE8E7A">
      <w:pPr>
        <w:jc w:val="both"/>
      </w:pPr>
      <w:r w:rsidRPr="7BDE8E7A">
        <w:t xml:space="preserve">The WCISU adheres to the United Kingdom and Ireland Association of Cancer Registries (UKIACR) small numbers guidance for cancer </w:t>
      </w:r>
      <w:r w:rsidR="00232D89" w:rsidRPr="7BDE8E7A">
        <w:t>incidence,</w:t>
      </w:r>
      <w:r w:rsidRPr="7BDE8E7A">
        <w:t xml:space="preserve"> i.e. where a cancer incidence </w:t>
      </w:r>
      <w:proofErr w:type="gramStart"/>
      <w:r w:rsidRPr="7BDE8E7A">
        <w:t>count</w:t>
      </w:r>
      <w:proofErr w:type="gramEnd"/>
      <w:r w:rsidRPr="7BDE8E7A">
        <w:t xml:space="preserve"> of less than five is observed in any cell with the population at risk being less than 1,000 then the value is suppressed.</w:t>
      </w:r>
      <w:r w:rsidR="00826779" w:rsidRPr="7BDE8E7A">
        <w:t xml:space="preserve"> </w:t>
      </w:r>
      <w:r w:rsidRPr="7BDE8E7A">
        <w:t xml:space="preserve">WCISU also adheres to the </w:t>
      </w:r>
      <w:hyperlink r:id="rId33">
        <w:r w:rsidRPr="7BDE8E7A">
          <w:rPr>
            <w:rStyle w:val="Hyperlink"/>
          </w:rPr>
          <w:t>Office for National Statistics</w:t>
        </w:r>
      </w:hyperlink>
      <w:r w:rsidRPr="7BDE8E7A">
        <w:t xml:space="preserve"> disclosure control guidance for mortality statistics.</w:t>
      </w:r>
    </w:p>
    <w:p w14:paraId="3A2DA16B" w14:textId="589B8A07" w:rsidR="003B36C7" w:rsidRDefault="003B36C7" w:rsidP="00317A89">
      <w:pPr>
        <w:jc w:val="both"/>
      </w:pPr>
    </w:p>
    <w:p w14:paraId="594BD5ED" w14:textId="22AE95EA" w:rsidR="00F060FE" w:rsidRDefault="00F060FE">
      <w:r>
        <w:br w:type="page"/>
      </w:r>
    </w:p>
    <w:p w14:paraId="620B0EAD" w14:textId="2B38A522" w:rsidR="00760CF3" w:rsidRPr="00CE310E" w:rsidRDefault="00760CF3" w:rsidP="001F5B9A">
      <w:pPr>
        <w:pStyle w:val="Heading1"/>
      </w:pPr>
      <w:bookmarkStart w:id="66" w:name="_Toc1462000902"/>
      <w:r>
        <w:lastRenderedPageBreak/>
        <w:t>9 Glossary</w:t>
      </w:r>
      <w:bookmarkEnd w:id="66"/>
    </w:p>
    <w:p w14:paraId="46E41C65" w14:textId="77777777" w:rsidR="007E4F6D" w:rsidRDefault="007E4F6D" w:rsidP="00317A89">
      <w:pPr>
        <w:jc w:val="both"/>
        <w:rPr>
          <w:b/>
          <w:bCs/>
        </w:rPr>
      </w:pPr>
    </w:p>
    <w:p w14:paraId="654C2B75" w14:textId="69824CA3" w:rsidR="007E4F6D" w:rsidRDefault="007E4F6D" w:rsidP="00317A89">
      <w:pPr>
        <w:jc w:val="both"/>
      </w:pPr>
      <w:r>
        <w:rPr>
          <w:b/>
          <w:bCs/>
        </w:rPr>
        <w:t>ASR</w:t>
      </w:r>
      <w:r>
        <w:rPr>
          <w:b/>
          <w:bCs/>
        </w:rPr>
        <w:tab/>
      </w:r>
      <w:r>
        <w:rPr>
          <w:b/>
          <w:bCs/>
        </w:rPr>
        <w:tab/>
      </w:r>
      <w:r>
        <w:t>Age-specific rate</w:t>
      </w:r>
    </w:p>
    <w:p w14:paraId="3E6AE85C" w14:textId="3F9ABAFE" w:rsidR="00F338FF" w:rsidRDefault="00F338FF" w:rsidP="00317A89">
      <w:pPr>
        <w:jc w:val="both"/>
      </w:pPr>
      <w:r w:rsidRPr="00F338FF">
        <w:rPr>
          <w:b/>
          <w:bCs/>
        </w:rPr>
        <w:t>DHCW</w:t>
      </w:r>
      <w:r w:rsidRPr="00F338FF">
        <w:rPr>
          <w:b/>
          <w:bCs/>
        </w:rPr>
        <w:tab/>
      </w:r>
      <w:r>
        <w:tab/>
        <w:t>Digital Health &amp; Care Wales</w:t>
      </w:r>
    </w:p>
    <w:p w14:paraId="540417FA" w14:textId="46C30260" w:rsidR="007E4F6D" w:rsidRDefault="007E4F6D" w:rsidP="00317A89">
      <w:pPr>
        <w:jc w:val="both"/>
      </w:pPr>
      <w:r>
        <w:rPr>
          <w:b/>
          <w:bCs/>
        </w:rPr>
        <w:t>EASR</w:t>
      </w:r>
      <w:r>
        <w:tab/>
      </w:r>
      <w:r>
        <w:tab/>
        <w:t>European age-standardised rate</w:t>
      </w:r>
    </w:p>
    <w:p w14:paraId="31F2B66E" w14:textId="210397BC" w:rsidR="007E4F6D" w:rsidRDefault="007E4F6D" w:rsidP="00317A89">
      <w:pPr>
        <w:jc w:val="both"/>
      </w:pPr>
      <w:r>
        <w:rPr>
          <w:b/>
          <w:bCs/>
        </w:rPr>
        <w:t>ECC</w:t>
      </w:r>
      <w:r>
        <w:rPr>
          <w:b/>
          <w:bCs/>
        </w:rPr>
        <w:tab/>
      </w:r>
      <w:r>
        <w:rPr>
          <w:b/>
          <w:bCs/>
        </w:rPr>
        <w:tab/>
      </w:r>
      <w:r>
        <w:t xml:space="preserve">Ethics and </w:t>
      </w:r>
      <w:r w:rsidR="008C41B1">
        <w:t>C</w:t>
      </w:r>
      <w:r>
        <w:t xml:space="preserve">onfidentiality </w:t>
      </w:r>
      <w:r w:rsidR="008C41B1">
        <w:t>C</w:t>
      </w:r>
      <w:r>
        <w:t>ommittee</w:t>
      </w:r>
    </w:p>
    <w:p w14:paraId="163BEABC" w14:textId="02E50F2B" w:rsidR="007E4F6D" w:rsidRDefault="007E4F6D" w:rsidP="00317A89">
      <w:pPr>
        <w:jc w:val="both"/>
      </w:pPr>
      <w:r>
        <w:rPr>
          <w:b/>
          <w:bCs/>
        </w:rPr>
        <w:t>ENCR</w:t>
      </w:r>
      <w:r>
        <w:rPr>
          <w:b/>
          <w:bCs/>
        </w:rPr>
        <w:tab/>
      </w:r>
      <w:r>
        <w:rPr>
          <w:b/>
          <w:bCs/>
        </w:rPr>
        <w:tab/>
      </w:r>
      <w:r>
        <w:t>European Network of Cancer Registries</w:t>
      </w:r>
    </w:p>
    <w:p w14:paraId="11E647D6" w14:textId="28838FA2" w:rsidR="007E4F6D" w:rsidRDefault="007E4F6D" w:rsidP="00317A89">
      <w:pPr>
        <w:jc w:val="both"/>
      </w:pPr>
      <w:r>
        <w:rPr>
          <w:b/>
          <w:bCs/>
        </w:rPr>
        <w:t>ESP</w:t>
      </w:r>
      <w:r>
        <w:rPr>
          <w:b/>
          <w:bCs/>
        </w:rPr>
        <w:tab/>
      </w:r>
      <w:r>
        <w:rPr>
          <w:b/>
          <w:bCs/>
        </w:rPr>
        <w:tab/>
      </w:r>
      <w:r>
        <w:t>European standard population</w:t>
      </w:r>
    </w:p>
    <w:p w14:paraId="04DD2FEF" w14:textId="5A29F75E" w:rsidR="007E4F6D" w:rsidRDefault="007E4F6D" w:rsidP="00317A89">
      <w:pPr>
        <w:jc w:val="both"/>
      </w:pPr>
      <w:r>
        <w:rPr>
          <w:b/>
          <w:bCs/>
        </w:rPr>
        <w:t>FIGO</w:t>
      </w:r>
      <w:r>
        <w:rPr>
          <w:b/>
          <w:bCs/>
        </w:rPr>
        <w:tab/>
      </w:r>
      <w:r>
        <w:rPr>
          <w:b/>
          <w:bCs/>
        </w:rPr>
        <w:tab/>
      </w:r>
      <w:r>
        <w:t>International Federation of Gynaecology and Obstetrics</w:t>
      </w:r>
    </w:p>
    <w:p w14:paraId="5A8C9515" w14:textId="52588B21" w:rsidR="007E4F6D" w:rsidRDefault="007E4F6D" w:rsidP="00317A89">
      <w:pPr>
        <w:jc w:val="both"/>
      </w:pPr>
      <w:r>
        <w:rPr>
          <w:b/>
          <w:bCs/>
        </w:rPr>
        <w:t>GDPR</w:t>
      </w:r>
      <w:r>
        <w:rPr>
          <w:b/>
          <w:bCs/>
        </w:rPr>
        <w:tab/>
      </w:r>
      <w:r>
        <w:rPr>
          <w:b/>
          <w:bCs/>
        </w:rPr>
        <w:tab/>
      </w:r>
      <w:r>
        <w:t xml:space="preserve">General </w:t>
      </w:r>
      <w:r w:rsidR="008C41B1">
        <w:t>D</w:t>
      </w:r>
      <w:r>
        <w:t xml:space="preserve">ata </w:t>
      </w:r>
      <w:r w:rsidR="008C41B1">
        <w:t>P</w:t>
      </w:r>
      <w:r>
        <w:t xml:space="preserve">rotection </w:t>
      </w:r>
      <w:r w:rsidR="008C41B1">
        <w:t>R</w:t>
      </w:r>
      <w:r>
        <w:t>egulation</w:t>
      </w:r>
    </w:p>
    <w:p w14:paraId="7339754F" w14:textId="06F0CD7A" w:rsidR="007E4F6D" w:rsidRDefault="007E4F6D" w:rsidP="00317A89">
      <w:pPr>
        <w:jc w:val="both"/>
      </w:pPr>
      <w:r>
        <w:rPr>
          <w:b/>
          <w:bCs/>
        </w:rPr>
        <w:t>HB</w:t>
      </w:r>
      <w:r>
        <w:rPr>
          <w:b/>
          <w:bCs/>
        </w:rPr>
        <w:tab/>
      </w:r>
      <w:r>
        <w:rPr>
          <w:b/>
          <w:bCs/>
        </w:rPr>
        <w:tab/>
      </w:r>
      <w:r>
        <w:t>Health board</w:t>
      </w:r>
    </w:p>
    <w:p w14:paraId="0EE03B0B" w14:textId="584763EB" w:rsidR="007E4F6D" w:rsidRDefault="007E4F6D" w:rsidP="00317A89">
      <w:pPr>
        <w:jc w:val="both"/>
      </w:pPr>
      <w:r>
        <w:rPr>
          <w:b/>
          <w:bCs/>
        </w:rPr>
        <w:t>ICD</w:t>
      </w:r>
      <w:r>
        <w:rPr>
          <w:b/>
          <w:bCs/>
        </w:rPr>
        <w:tab/>
      </w:r>
      <w:r>
        <w:rPr>
          <w:b/>
          <w:bCs/>
        </w:rPr>
        <w:tab/>
      </w:r>
      <w:r>
        <w:t xml:space="preserve">International </w:t>
      </w:r>
      <w:r w:rsidR="008C41B1">
        <w:t>C</w:t>
      </w:r>
      <w:r>
        <w:t xml:space="preserve">lassification of </w:t>
      </w:r>
      <w:r w:rsidR="008C41B1">
        <w:t>D</w:t>
      </w:r>
      <w:r>
        <w:t>iseases</w:t>
      </w:r>
    </w:p>
    <w:p w14:paraId="45D10750" w14:textId="4FDECEE4" w:rsidR="003F4CB1" w:rsidRPr="003F4CB1" w:rsidRDefault="003F4CB1" w:rsidP="00317A89">
      <w:pPr>
        <w:jc w:val="both"/>
      </w:pPr>
      <w:r>
        <w:rPr>
          <w:b/>
          <w:bCs/>
        </w:rPr>
        <w:t xml:space="preserve">ICSS </w:t>
      </w:r>
      <w:r>
        <w:rPr>
          <w:b/>
          <w:bCs/>
        </w:rPr>
        <w:tab/>
      </w:r>
      <w:r>
        <w:rPr>
          <w:b/>
          <w:bCs/>
        </w:rPr>
        <w:tab/>
      </w:r>
      <w:r>
        <w:t>International Classification of Standard Weights</w:t>
      </w:r>
    </w:p>
    <w:p w14:paraId="13AA41DD" w14:textId="3C40C5F9" w:rsidR="007E4F6D" w:rsidRDefault="007E4F6D" w:rsidP="00317A89">
      <w:pPr>
        <w:jc w:val="both"/>
      </w:pPr>
      <w:r>
        <w:rPr>
          <w:b/>
          <w:bCs/>
        </w:rPr>
        <w:t>LA</w:t>
      </w:r>
      <w:r>
        <w:rPr>
          <w:b/>
          <w:bCs/>
        </w:rPr>
        <w:tab/>
      </w:r>
      <w:r>
        <w:rPr>
          <w:b/>
          <w:bCs/>
        </w:rPr>
        <w:tab/>
      </w:r>
      <w:r>
        <w:t>Local authority</w:t>
      </w:r>
    </w:p>
    <w:p w14:paraId="729A114F" w14:textId="1BF7A784" w:rsidR="007E4F6D" w:rsidRDefault="007E4F6D" w:rsidP="00317A89">
      <w:pPr>
        <w:jc w:val="both"/>
      </w:pPr>
      <w:r>
        <w:rPr>
          <w:b/>
          <w:bCs/>
        </w:rPr>
        <w:t>LSOA</w:t>
      </w:r>
      <w:r>
        <w:rPr>
          <w:b/>
          <w:bCs/>
        </w:rPr>
        <w:tab/>
      </w:r>
      <w:r>
        <w:rPr>
          <w:b/>
          <w:bCs/>
        </w:rPr>
        <w:tab/>
      </w:r>
      <w:r>
        <w:t>Lower super output area</w:t>
      </w:r>
    </w:p>
    <w:p w14:paraId="05A12C8A" w14:textId="06E2466D" w:rsidR="007E4F6D" w:rsidRDefault="007E4F6D" w:rsidP="00317A89">
      <w:pPr>
        <w:jc w:val="both"/>
      </w:pPr>
      <w:r>
        <w:rPr>
          <w:b/>
          <w:bCs/>
        </w:rPr>
        <w:t>MYE</w:t>
      </w:r>
      <w:r>
        <w:rPr>
          <w:b/>
          <w:bCs/>
        </w:rPr>
        <w:tab/>
      </w:r>
      <w:r>
        <w:rPr>
          <w:b/>
          <w:bCs/>
        </w:rPr>
        <w:tab/>
      </w:r>
      <w:r>
        <w:t>Mid-year population estimates</w:t>
      </w:r>
    </w:p>
    <w:p w14:paraId="34E37B8B" w14:textId="31B48469" w:rsidR="007E4F6D" w:rsidRDefault="007E4F6D" w:rsidP="00317A89">
      <w:pPr>
        <w:jc w:val="both"/>
      </w:pPr>
      <w:r>
        <w:rPr>
          <w:b/>
          <w:bCs/>
        </w:rPr>
        <w:t>NHS</w:t>
      </w:r>
      <w:r>
        <w:rPr>
          <w:b/>
          <w:bCs/>
        </w:rPr>
        <w:tab/>
      </w:r>
      <w:r>
        <w:rPr>
          <w:b/>
          <w:bCs/>
        </w:rPr>
        <w:tab/>
      </w:r>
      <w:r>
        <w:t>National Health Service</w:t>
      </w:r>
    </w:p>
    <w:p w14:paraId="1E0D87BF" w14:textId="0281FE3F" w:rsidR="007E4F6D" w:rsidRDefault="007E4F6D" w:rsidP="00317A89">
      <w:pPr>
        <w:jc w:val="both"/>
      </w:pPr>
      <w:r>
        <w:rPr>
          <w:b/>
          <w:bCs/>
        </w:rPr>
        <w:t>NDRS</w:t>
      </w:r>
      <w:r>
        <w:rPr>
          <w:b/>
          <w:bCs/>
        </w:rPr>
        <w:tab/>
      </w:r>
      <w:r>
        <w:rPr>
          <w:b/>
          <w:bCs/>
        </w:rPr>
        <w:tab/>
      </w:r>
      <w:r>
        <w:t>National Disease Registration Service</w:t>
      </w:r>
    </w:p>
    <w:p w14:paraId="500362A5" w14:textId="0F53F01F" w:rsidR="004C5F48" w:rsidRPr="004C5F48" w:rsidRDefault="004C5F48" w:rsidP="00317A89">
      <w:pPr>
        <w:jc w:val="both"/>
      </w:pPr>
      <w:r>
        <w:rPr>
          <w:b/>
          <w:bCs/>
        </w:rPr>
        <w:t>NICR</w:t>
      </w:r>
      <w:r>
        <w:rPr>
          <w:b/>
          <w:bCs/>
        </w:rPr>
        <w:tab/>
      </w:r>
      <w:r>
        <w:rPr>
          <w:b/>
          <w:bCs/>
        </w:rPr>
        <w:tab/>
      </w:r>
      <w:r>
        <w:t>Northern Ireland Cancer Registry</w:t>
      </w:r>
    </w:p>
    <w:p w14:paraId="109A5881" w14:textId="5A0B672D" w:rsidR="004C5F48" w:rsidRDefault="004C5F48" w:rsidP="00317A89">
      <w:pPr>
        <w:jc w:val="both"/>
      </w:pPr>
      <w:r>
        <w:rPr>
          <w:b/>
          <w:bCs/>
        </w:rPr>
        <w:t>NIGB</w:t>
      </w:r>
      <w:r>
        <w:rPr>
          <w:b/>
          <w:bCs/>
        </w:rPr>
        <w:tab/>
      </w:r>
      <w:r>
        <w:rPr>
          <w:b/>
          <w:bCs/>
        </w:rPr>
        <w:tab/>
      </w:r>
      <w:r>
        <w:t>National Information Governance Board</w:t>
      </w:r>
    </w:p>
    <w:p w14:paraId="164D00EC" w14:textId="1F732B24" w:rsidR="007E4F6D" w:rsidRDefault="007E4F6D" w:rsidP="00317A89">
      <w:pPr>
        <w:jc w:val="both"/>
      </w:pPr>
      <w:r>
        <w:rPr>
          <w:b/>
          <w:bCs/>
        </w:rPr>
        <w:t>NMSC</w:t>
      </w:r>
      <w:r>
        <w:rPr>
          <w:b/>
          <w:bCs/>
        </w:rPr>
        <w:tab/>
      </w:r>
      <w:r>
        <w:rPr>
          <w:b/>
          <w:bCs/>
        </w:rPr>
        <w:tab/>
      </w:r>
      <w:proofErr w:type="gramStart"/>
      <w:r>
        <w:t>Non-melanoma</w:t>
      </w:r>
      <w:proofErr w:type="gramEnd"/>
      <w:r>
        <w:t xml:space="preserve"> skin cancer</w:t>
      </w:r>
    </w:p>
    <w:p w14:paraId="3DED01C8" w14:textId="0FEE2870" w:rsidR="007E4F6D" w:rsidRDefault="007E4F6D" w:rsidP="00317A89">
      <w:pPr>
        <w:jc w:val="both"/>
      </w:pPr>
      <w:r>
        <w:rPr>
          <w:b/>
          <w:bCs/>
        </w:rPr>
        <w:t>ONS</w:t>
      </w:r>
      <w:r>
        <w:rPr>
          <w:b/>
          <w:bCs/>
        </w:rPr>
        <w:tab/>
      </w:r>
      <w:r>
        <w:rPr>
          <w:b/>
          <w:bCs/>
        </w:rPr>
        <w:tab/>
      </w:r>
      <w:r>
        <w:t>Office for National Statistics</w:t>
      </w:r>
    </w:p>
    <w:p w14:paraId="3E91FDCB" w14:textId="6865916D" w:rsidR="004C5F48" w:rsidRPr="004C5F48" w:rsidRDefault="004C5F48" w:rsidP="00317A89">
      <w:pPr>
        <w:jc w:val="both"/>
      </w:pPr>
      <w:r>
        <w:rPr>
          <w:b/>
          <w:bCs/>
        </w:rPr>
        <w:t>PHS</w:t>
      </w:r>
      <w:r>
        <w:rPr>
          <w:b/>
          <w:bCs/>
        </w:rPr>
        <w:tab/>
      </w:r>
      <w:r>
        <w:rPr>
          <w:b/>
          <w:bCs/>
        </w:rPr>
        <w:tab/>
      </w:r>
      <w:r>
        <w:t>Public Health Scotland</w:t>
      </w:r>
    </w:p>
    <w:p w14:paraId="02BD1ACF" w14:textId="222FA0F1" w:rsidR="007E4F6D" w:rsidRDefault="007E4F6D" w:rsidP="00317A89">
      <w:pPr>
        <w:jc w:val="both"/>
      </w:pPr>
      <w:r>
        <w:rPr>
          <w:b/>
          <w:bCs/>
        </w:rPr>
        <w:t>PHW</w:t>
      </w:r>
      <w:r>
        <w:rPr>
          <w:b/>
          <w:bCs/>
        </w:rPr>
        <w:tab/>
      </w:r>
      <w:r>
        <w:rPr>
          <w:b/>
          <w:bCs/>
        </w:rPr>
        <w:tab/>
      </w:r>
      <w:r>
        <w:t>Public Health Wales</w:t>
      </w:r>
    </w:p>
    <w:p w14:paraId="70A8118A" w14:textId="1337EA87" w:rsidR="00A12425" w:rsidRPr="00A12425" w:rsidRDefault="00A12425" w:rsidP="00317A89">
      <w:pPr>
        <w:jc w:val="both"/>
      </w:pPr>
      <w:r>
        <w:rPr>
          <w:b/>
          <w:bCs/>
        </w:rPr>
        <w:t>UHB</w:t>
      </w:r>
      <w:r>
        <w:rPr>
          <w:b/>
          <w:bCs/>
        </w:rPr>
        <w:tab/>
      </w:r>
      <w:r>
        <w:rPr>
          <w:b/>
          <w:bCs/>
        </w:rPr>
        <w:tab/>
      </w:r>
      <w:r>
        <w:t xml:space="preserve">University Health </w:t>
      </w:r>
      <w:r w:rsidRPr="00A12425">
        <w:t>B</w:t>
      </w:r>
      <w:r>
        <w:t>oard</w:t>
      </w:r>
    </w:p>
    <w:p w14:paraId="3BAF0AE7" w14:textId="123ED610" w:rsidR="007E4F6D" w:rsidRDefault="007E4F6D" w:rsidP="00317A89">
      <w:pPr>
        <w:jc w:val="both"/>
      </w:pPr>
      <w:r>
        <w:rPr>
          <w:b/>
          <w:bCs/>
        </w:rPr>
        <w:t>UKIACR</w:t>
      </w:r>
      <w:r>
        <w:rPr>
          <w:b/>
          <w:bCs/>
        </w:rPr>
        <w:tab/>
      </w:r>
      <w:r w:rsidR="008C41B1">
        <w:t>United Kingdom and Ireland Association of Cancer</w:t>
      </w:r>
    </w:p>
    <w:p w14:paraId="2E3F9343" w14:textId="6A717322" w:rsidR="008C41B1" w:rsidRDefault="008C41B1" w:rsidP="00317A89">
      <w:pPr>
        <w:jc w:val="both"/>
      </w:pPr>
      <w:r>
        <w:rPr>
          <w:b/>
          <w:bCs/>
        </w:rPr>
        <w:t>WCISU</w:t>
      </w:r>
      <w:r w:rsidR="00F338FF">
        <w:rPr>
          <w:b/>
          <w:bCs/>
        </w:rPr>
        <w:tab/>
      </w:r>
      <w:r>
        <w:rPr>
          <w:b/>
          <w:bCs/>
        </w:rPr>
        <w:tab/>
      </w:r>
      <w:r>
        <w:t>Welsh Cancer Intelligence and Surveillance Unit</w:t>
      </w:r>
    </w:p>
    <w:p w14:paraId="2BB3F96C" w14:textId="1C60397E" w:rsidR="008C41B1" w:rsidRDefault="008C41B1" w:rsidP="00317A89">
      <w:pPr>
        <w:jc w:val="both"/>
      </w:pPr>
      <w:r>
        <w:rPr>
          <w:b/>
          <w:bCs/>
        </w:rPr>
        <w:t>WIMD</w:t>
      </w:r>
      <w:r>
        <w:rPr>
          <w:b/>
          <w:bCs/>
        </w:rPr>
        <w:tab/>
      </w:r>
      <w:r>
        <w:rPr>
          <w:b/>
          <w:bCs/>
        </w:rPr>
        <w:tab/>
      </w:r>
      <w:r>
        <w:t>Welsh index of multiple deprivation</w:t>
      </w:r>
    </w:p>
    <w:p w14:paraId="22D0BEC8" w14:textId="00E7F6B8" w:rsidR="008C41B1" w:rsidRPr="008C41B1" w:rsidRDefault="008C41B1" w:rsidP="00317A89">
      <w:pPr>
        <w:jc w:val="both"/>
      </w:pPr>
      <w:r>
        <w:rPr>
          <w:b/>
          <w:bCs/>
        </w:rPr>
        <w:t>WHO</w:t>
      </w:r>
      <w:r>
        <w:rPr>
          <w:b/>
          <w:bCs/>
        </w:rPr>
        <w:tab/>
      </w:r>
      <w:r>
        <w:rPr>
          <w:b/>
          <w:bCs/>
        </w:rPr>
        <w:tab/>
      </w:r>
      <w:r>
        <w:t>World Health Organisation</w:t>
      </w:r>
    </w:p>
    <w:p w14:paraId="405CA4FE" w14:textId="77777777" w:rsidR="008C41B1" w:rsidRPr="007E4F6D" w:rsidRDefault="008C41B1" w:rsidP="00317A89">
      <w:pPr>
        <w:jc w:val="both"/>
      </w:pPr>
    </w:p>
    <w:p w14:paraId="6A0F140E" w14:textId="09277D4C" w:rsidR="0054030A" w:rsidRDefault="002E3EF3" w:rsidP="001F5B9A">
      <w:pPr>
        <w:pStyle w:val="Heading1"/>
      </w:pPr>
      <w:bookmarkStart w:id="67" w:name="_Appendix_A_-"/>
      <w:bookmarkStart w:id="68" w:name="_10_Appendix_A"/>
      <w:bookmarkStart w:id="69" w:name="_Toc1862848610"/>
      <w:bookmarkEnd w:id="67"/>
      <w:bookmarkEnd w:id="68"/>
      <w:r>
        <w:t xml:space="preserve">10 </w:t>
      </w:r>
      <w:r w:rsidR="00034BFB">
        <w:t>Appendix A</w:t>
      </w:r>
      <w:bookmarkEnd w:id="69"/>
    </w:p>
    <w:p w14:paraId="22F08DA0" w14:textId="7365B340" w:rsidR="2CE588DD" w:rsidRDefault="0054030A" w:rsidP="008E61A4">
      <w:pPr>
        <w:pStyle w:val="Heading2"/>
        <w:rPr>
          <w:noProof/>
        </w:rPr>
      </w:pPr>
      <w:bookmarkStart w:id="70" w:name="_10.1_Cancer_type"/>
      <w:bookmarkStart w:id="71" w:name="_Toc188561434"/>
      <w:r w:rsidRPr="7BDE8E7A">
        <w:rPr>
          <w:rStyle w:val="Heading2Char"/>
          <w:b/>
          <w:bCs/>
        </w:rPr>
        <w:t xml:space="preserve">10.1 </w:t>
      </w:r>
      <w:r w:rsidR="169ED904" w:rsidRPr="7BDE8E7A">
        <w:rPr>
          <w:rStyle w:val="Heading2Char"/>
          <w:b/>
          <w:bCs/>
        </w:rPr>
        <w:t>Cancer type map</w:t>
      </w:r>
      <w:r w:rsidR="00750DC3" w:rsidRPr="7BDE8E7A">
        <w:rPr>
          <w:rStyle w:val="Heading2Char"/>
          <w:b/>
          <w:bCs/>
        </w:rPr>
        <w:t xml:space="preserve"> 1</w:t>
      </w:r>
      <w:r w:rsidR="001952B0" w:rsidRPr="7BDE8E7A">
        <w:rPr>
          <w:rStyle w:val="Heading2Char"/>
          <w:b/>
          <w:bCs/>
        </w:rPr>
        <w:t xml:space="preserve">: </w:t>
      </w:r>
      <w:r w:rsidR="002530D3" w:rsidRPr="7BDE8E7A">
        <w:rPr>
          <w:rStyle w:val="Heading2Char"/>
          <w:b/>
          <w:bCs/>
        </w:rPr>
        <w:t xml:space="preserve">Malignant </w:t>
      </w:r>
      <w:r w:rsidR="002D5ADF" w:rsidRPr="7BDE8E7A">
        <w:rPr>
          <w:rStyle w:val="Heading2Char"/>
          <w:b/>
          <w:bCs/>
        </w:rPr>
        <w:t>cancers</w:t>
      </w:r>
      <w:bookmarkEnd w:id="70"/>
      <w:bookmarkEnd w:id="71"/>
    </w:p>
    <w:p w14:paraId="31D7EFE6" w14:textId="0D6280FF" w:rsidR="415785B6" w:rsidRPr="00766B88" w:rsidRDefault="415785B6" w:rsidP="415785B6">
      <w:pPr>
        <w:rPr>
          <w:rStyle w:val="Heading2Char"/>
          <w:bCs/>
        </w:rPr>
      </w:pPr>
    </w:p>
    <w:p w14:paraId="42FFAA87" w14:textId="051CD4B2" w:rsidR="008E61A4" w:rsidRPr="008E61A4" w:rsidRDefault="008E73E1" w:rsidP="008E61A4">
      <w:r>
        <w:rPr>
          <w:noProof/>
        </w:rPr>
        <w:drawing>
          <wp:inline distT="0" distB="0" distL="0" distR="0" wp14:anchorId="5A7ECB7C" wp14:editId="43731B3B">
            <wp:extent cx="5731510" cy="6134100"/>
            <wp:effectExtent l="0" t="0" r="2540" b="0"/>
            <wp:docPr id="115121585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4">
                      <a:extLst>
                        <a:ext uri="{28A0092B-C50C-407E-A947-70E740481C1C}">
                          <a14:useLocalDpi xmlns:a14="http://schemas.microsoft.com/office/drawing/2010/main" val="0"/>
                        </a:ext>
                      </a:extLst>
                    </a:blip>
                    <a:srcRect b="10273"/>
                    <a:stretch/>
                  </pic:blipFill>
                  <pic:spPr bwMode="auto">
                    <a:xfrm>
                      <a:off x="0" y="0"/>
                      <a:ext cx="5731510" cy="6134100"/>
                    </a:xfrm>
                    <a:prstGeom prst="rect">
                      <a:avLst/>
                    </a:prstGeom>
                    <a:noFill/>
                    <a:ln>
                      <a:noFill/>
                    </a:ln>
                    <a:extLst>
                      <a:ext uri="{53640926-AAD7-44D8-BBD7-CCE9431645EC}">
                        <a14:shadowObscured xmlns:a14="http://schemas.microsoft.com/office/drawing/2010/main"/>
                      </a:ext>
                    </a:extLst>
                  </pic:spPr>
                </pic:pic>
              </a:graphicData>
            </a:graphic>
          </wp:inline>
        </w:drawing>
      </w:r>
    </w:p>
    <w:p w14:paraId="1AD1D20C" w14:textId="5CB16A82" w:rsidR="003423CD" w:rsidRPr="003423CD" w:rsidRDefault="003423CD" w:rsidP="00D47FD1"/>
    <w:p w14:paraId="6316C088" w14:textId="48C65F58" w:rsidR="003607B5" w:rsidRDefault="003607B5" w:rsidP="53E329A5">
      <w:pPr>
        <w:pStyle w:val="Heading2"/>
        <w:rPr>
          <w:rStyle w:val="Heading2Char"/>
          <w:b/>
          <w:bCs/>
        </w:rPr>
      </w:pPr>
      <w:bookmarkStart w:id="72" w:name="_10.2_Cancer_type_1"/>
      <w:bookmarkStart w:id="73" w:name="_Toc1793283620"/>
      <w:r w:rsidRPr="7BDE8E7A">
        <w:rPr>
          <w:rStyle w:val="Heading2Char"/>
          <w:b/>
          <w:bCs/>
        </w:rPr>
        <w:lastRenderedPageBreak/>
        <w:t>10.</w:t>
      </w:r>
      <w:r w:rsidR="00C91358" w:rsidRPr="7BDE8E7A">
        <w:rPr>
          <w:rStyle w:val="Heading2Char"/>
          <w:b/>
          <w:bCs/>
        </w:rPr>
        <w:t>2</w:t>
      </w:r>
      <w:r w:rsidRPr="7BDE8E7A">
        <w:rPr>
          <w:rStyle w:val="Heading2Char"/>
          <w:b/>
          <w:bCs/>
        </w:rPr>
        <w:t xml:space="preserve"> Cancer type map</w:t>
      </w:r>
      <w:r w:rsidR="00750DC3" w:rsidRPr="7BDE8E7A">
        <w:rPr>
          <w:rStyle w:val="Heading2Char"/>
          <w:b/>
          <w:bCs/>
        </w:rPr>
        <w:t xml:space="preserve"> 2</w:t>
      </w:r>
      <w:r w:rsidRPr="7BDE8E7A">
        <w:rPr>
          <w:rStyle w:val="Heading2Char"/>
          <w:b/>
          <w:bCs/>
        </w:rPr>
        <w:t xml:space="preserve">: </w:t>
      </w:r>
      <w:proofErr w:type="spellStart"/>
      <w:r w:rsidR="00C91358" w:rsidRPr="7BDE8E7A">
        <w:rPr>
          <w:rStyle w:val="Heading2Char"/>
          <w:b/>
          <w:bCs/>
        </w:rPr>
        <w:t>Neuroendorine</w:t>
      </w:r>
      <w:proofErr w:type="spellEnd"/>
      <w:r w:rsidR="00C91358" w:rsidRPr="7BDE8E7A">
        <w:rPr>
          <w:rStyle w:val="Heading2Char"/>
          <w:b/>
          <w:bCs/>
        </w:rPr>
        <w:t xml:space="preserve"> neoplasms</w:t>
      </w:r>
      <w:r w:rsidR="00972133" w:rsidRPr="7BDE8E7A">
        <w:rPr>
          <w:rStyle w:val="Heading2Char"/>
          <w:b/>
          <w:bCs/>
        </w:rPr>
        <w:t xml:space="preserve"> (</w:t>
      </w:r>
      <w:proofErr w:type="gramStart"/>
      <w:r w:rsidR="00972133" w:rsidRPr="7BDE8E7A">
        <w:rPr>
          <w:rStyle w:val="Heading2Char"/>
          <w:b/>
          <w:bCs/>
        </w:rPr>
        <w:t>NEN)</w:t>
      </w:r>
      <w:r w:rsidR="001519B7" w:rsidRPr="7BDE8E7A">
        <w:rPr>
          <w:rStyle w:val="Heading2Char"/>
          <w:b/>
          <w:bCs/>
        </w:rPr>
        <w:t xml:space="preserve">  (</w:t>
      </w:r>
      <w:proofErr w:type="gramEnd"/>
      <w:r w:rsidR="001519B7" w:rsidRPr="7BDE8E7A">
        <w:rPr>
          <w:rStyle w:val="Heading2Char"/>
          <w:b/>
          <w:bCs/>
        </w:rPr>
        <w:t>also includes</w:t>
      </w:r>
      <w:r w:rsidR="000B7E22" w:rsidRPr="7BDE8E7A">
        <w:rPr>
          <w:rStyle w:val="Heading2Char"/>
          <w:b/>
          <w:bCs/>
        </w:rPr>
        <w:t xml:space="preserve"> small cell lung cancer in above table)</w:t>
      </w:r>
      <w:bookmarkEnd w:id="72"/>
      <w:bookmarkEnd w:id="73"/>
    </w:p>
    <w:p w14:paraId="66A59583" w14:textId="4D9BA677" w:rsidR="0096525B" w:rsidRDefault="00DF519F" w:rsidP="00D47FD1">
      <w:r>
        <w:rPr>
          <w:noProof/>
        </w:rPr>
        <w:drawing>
          <wp:inline distT="0" distB="0" distL="0" distR="0" wp14:anchorId="537B5BA2" wp14:editId="0EBEDC36">
            <wp:extent cx="5731510" cy="956945"/>
            <wp:effectExtent l="0" t="0" r="2540" b="0"/>
            <wp:docPr id="9099280" name="Picture 1" descr="A close-up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9280" name="Picture 1" descr="A close-up of a computer code&#10;&#10;AI-generated content may be incorrect."/>
                    <pic:cNvPicPr/>
                  </pic:nvPicPr>
                  <pic:blipFill>
                    <a:blip r:embed="rId35"/>
                    <a:stretch>
                      <a:fillRect/>
                    </a:stretch>
                  </pic:blipFill>
                  <pic:spPr>
                    <a:xfrm>
                      <a:off x="0" y="0"/>
                      <a:ext cx="5731510" cy="956945"/>
                    </a:xfrm>
                    <a:prstGeom prst="rect">
                      <a:avLst/>
                    </a:prstGeom>
                  </pic:spPr>
                </pic:pic>
              </a:graphicData>
            </a:graphic>
          </wp:inline>
        </w:drawing>
      </w:r>
    </w:p>
    <w:p w14:paraId="58EB8184" w14:textId="77777777" w:rsidR="005E09FE" w:rsidRPr="003423CD" w:rsidRDefault="005E09FE" w:rsidP="00D47FD1"/>
    <w:p w14:paraId="0EB9D8C2" w14:textId="3C4F3D3B" w:rsidR="002D5ADF" w:rsidRPr="002D5ADF" w:rsidRDefault="002D5ADF" w:rsidP="002D5ADF">
      <w:pPr>
        <w:pStyle w:val="Heading2"/>
      </w:pPr>
      <w:bookmarkStart w:id="74" w:name="_10.2_Cancer_type"/>
      <w:bookmarkStart w:id="75" w:name="_10.3_Cancer_type"/>
      <w:bookmarkStart w:id="76" w:name="_Toc1820499622"/>
      <w:bookmarkEnd w:id="74"/>
      <w:r>
        <w:t>10.</w:t>
      </w:r>
      <w:r w:rsidR="00C91358">
        <w:t>3</w:t>
      </w:r>
      <w:r>
        <w:t xml:space="preserve"> Cancer type map</w:t>
      </w:r>
      <w:r w:rsidR="00750DC3">
        <w:t xml:space="preserve"> 3</w:t>
      </w:r>
      <w:r w:rsidR="001952B0">
        <w:t>:</w:t>
      </w:r>
      <w:r>
        <w:t xml:space="preserve"> </w:t>
      </w:r>
      <w:r w:rsidR="27149335">
        <w:t>Benign</w:t>
      </w:r>
      <w:r>
        <w:t xml:space="preserve"> </w:t>
      </w:r>
      <w:r w:rsidR="30AE7DA0">
        <w:t xml:space="preserve">and uncertain </w:t>
      </w:r>
      <w:r>
        <w:t>cancers</w:t>
      </w:r>
      <w:bookmarkEnd w:id="75"/>
      <w:bookmarkEnd w:id="76"/>
    </w:p>
    <w:p w14:paraId="5AAC6CF5" w14:textId="758D0B72" w:rsidR="3745357E" w:rsidRDefault="4FE3BE14" w:rsidP="41683809">
      <w:r>
        <w:rPr>
          <w:noProof/>
        </w:rPr>
        <w:drawing>
          <wp:inline distT="0" distB="0" distL="0" distR="0" wp14:anchorId="4476517A" wp14:editId="200BFF2A">
            <wp:extent cx="5772150" cy="1344594"/>
            <wp:effectExtent l="0" t="0" r="0" b="0"/>
            <wp:docPr id="5719141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91414" name=""/>
                    <pic:cNvPicPr/>
                  </pic:nvPicPr>
                  <pic:blipFill>
                    <a:blip r:embed="rId36">
                      <a:extLst>
                        <a:ext uri="{28A0092B-C50C-407E-A947-70E740481C1C}">
                          <a14:useLocalDpi xmlns:a14="http://schemas.microsoft.com/office/drawing/2010/main"/>
                        </a:ext>
                      </a:extLst>
                    </a:blip>
                    <a:stretch>
                      <a:fillRect/>
                    </a:stretch>
                  </pic:blipFill>
                  <pic:spPr>
                    <a:xfrm>
                      <a:off x="0" y="0"/>
                      <a:ext cx="5772150" cy="1344594"/>
                    </a:xfrm>
                    <a:prstGeom prst="rect">
                      <a:avLst/>
                    </a:prstGeom>
                  </pic:spPr>
                </pic:pic>
              </a:graphicData>
            </a:graphic>
          </wp:inline>
        </w:drawing>
      </w:r>
    </w:p>
    <w:p w14:paraId="3B506C15" w14:textId="77777777" w:rsidR="005E09FE" w:rsidRDefault="005E09FE" w:rsidP="1B4B16F4"/>
    <w:p w14:paraId="76577548" w14:textId="22FA8066" w:rsidR="000363DA" w:rsidRDefault="000363DA" w:rsidP="000363DA">
      <w:pPr>
        <w:pStyle w:val="Heading2"/>
      </w:pPr>
      <w:bookmarkStart w:id="77" w:name="_10.4_Cancer_type"/>
      <w:bookmarkStart w:id="78" w:name="_Toc1462158592"/>
      <w:r>
        <w:t>10.4 Cancer type map 4: Stageable cancers</w:t>
      </w:r>
      <w:bookmarkEnd w:id="77"/>
      <w:bookmarkEnd w:id="78"/>
    </w:p>
    <w:p w14:paraId="58431F1A" w14:textId="47E82BFC" w:rsidR="00506292" w:rsidRDefault="002B7C12" w:rsidP="00506292">
      <w:r>
        <w:rPr>
          <w:noProof/>
        </w:rPr>
        <w:drawing>
          <wp:inline distT="0" distB="0" distL="0" distR="0" wp14:anchorId="5CF0D596" wp14:editId="65C785C7">
            <wp:extent cx="5731510" cy="758190"/>
            <wp:effectExtent l="0" t="0" r="2540" b="3810"/>
            <wp:docPr id="1190982903" name="Picture 1" descr="A close-up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982903" name="Picture 1" descr="A close-up of a computer screen&#10;&#10;AI-generated content may be incorrect."/>
                    <pic:cNvPicPr/>
                  </pic:nvPicPr>
                  <pic:blipFill>
                    <a:blip r:embed="rId37"/>
                    <a:stretch>
                      <a:fillRect/>
                    </a:stretch>
                  </pic:blipFill>
                  <pic:spPr>
                    <a:xfrm>
                      <a:off x="0" y="0"/>
                      <a:ext cx="5731510" cy="758190"/>
                    </a:xfrm>
                    <a:prstGeom prst="rect">
                      <a:avLst/>
                    </a:prstGeom>
                  </pic:spPr>
                </pic:pic>
              </a:graphicData>
            </a:graphic>
          </wp:inline>
        </w:drawing>
      </w:r>
    </w:p>
    <w:p w14:paraId="29B9C27F" w14:textId="38A15861" w:rsidR="00C3657E" w:rsidRDefault="00C3657E" w:rsidP="1B4B16F4"/>
    <w:p w14:paraId="6F715E36" w14:textId="2D48C2BE" w:rsidR="00FE0598" w:rsidRPr="00DC72BC" w:rsidRDefault="002E3EF3" w:rsidP="001F5B9A">
      <w:pPr>
        <w:pStyle w:val="Heading1"/>
        <w:rPr>
          <w:color w:val="4472C4" w:themeColor="accent1"/>
        </w:rPr>
      </w:pPr>
      <w:bookmarkStart w:id="79" w:name="_11_Appendix_B"/>
      <w:bookmarkStart w:id="80" w:name="_Toc1069504213"/>
      <w:bookmarkEnd w:id="79"/>
      <w:r>
        <w:t xml:space="preserve">11 </w:t>
      </w:r>
      <w:r w:rsidR="00FE0598">
        <w:t>Appendix B</w:t>
      </w:r>
      <w:bookmarkEnd w:id="80"/>
    </w:p>
    <w:p w14:paraId="379217C3" w14:textId="3D2B67D1" w:rsidR="002E3EF3" w:rsidRPr="002E3EF3" w:rsidRDefault="002E3EF3" w:rsidP="00A816BF">
      <w:pPr>
        <w:pStyle w:val="Heading2"/>
      </w:pPr>
      <w:bookmarkStart w:id="81" w:name="_11.1_International_Classification"/>
      <w:bookmarkStart w:id="82" w:name="_Toc1398685190"/>
      <w:bookmarkEnd w:id="81"/>
      <w:r>
        <w:t>11.1 International Classification of Standard Weights (ICSS)</w:t>
      </w:r>
      <w:bookmarkEnd w:id="82"/>
    </w:p>
    <w:p w14:paraId="71C3BAB0" w14:textId="7AA66F19" w:rsidR="002E3EF3" w:rsidRDefault="002E3EF3" w:rsidP="002E3EF3">
      <w:pPr>
        <w:jc w:val="center"/>
      </w:pPr>
      <w:r>
        <w:rPr>
          <w:noProof/>
          <w:lang w:eastAsia="en-GB"/>
        </w:rPr>
        <w:drawing>
          <wp:inline distT="0" distB="0" distL="0" distR="0" wp14:anchorId="408A4A15" wp14:editId="6108DE69">
            <wp:extent cx="3895725" cy="1310640"/>
            <wp:effectExtent l="0" t="0" r="952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95725" cy="1310640"/>
                    </a:xfrm>
                    <a:prstGeom prst="rect">
                      <a:avLst/>
                    </a:prstGeom>
                    <a:noFill/>
                  </pic:spPr>
                </pic:pic>
              </a:graphicData>
            </a:graphic>
          </wp:inline>
        </w:drawing>
      </w:r>
    </w:p>
    <w:p w14:paraId="423EE468" w14:textId="4A4E5AF1" w:rsidR="002E3EF3" w:rsidRPr="007C23B4" w:rsidRDefault="00A816BF" w:rsidP="34E65A94">
      <w:pPr>
        <w:pStyle w:val="Heading3"/>
        <w:rPr>
          <w:b w:val="0"/>
        </w:rPr>
      </w:pPr>
      <w:bookmarkStart w:id="83" w:name="_Toc511923249"/>
      <w:r>
        <w:t xml:space="preserve">11.1.1 </w:t>
      </w:r>
      <w:r w:rsidR="002E3EF3">
        <w:t>ICSS1</w:t>
      </w:r>
      <w:bookmarkEnd w:id="83"/>
      <w:r w:rsidR="002E3EF3">
        <w:t xml:space="preserve"> </w:t>
      </w:r>
    </w:p>
    <w:p w14:paraId="4B610223" w14:textId="77777777" w:rsidR="00A816BF" w:rsidRDefault="002E3EF3" w:rsidP="002E3EF3">
      <w:pPr>
        <w:spacing w:after="120"/>
        <w:jc w:val="both"/>
        <w:rPr>
          <w:rFonts w:cstheme="minorHAnsi"/>
          <w:iCs/>
        </w:rPr>
      </w:pPr>
      <w:r w:rsidRPr="00DE6D8C">
        <w:rPr>
          <w:rFonts w:cstheme="minorHAnsi"/>
          <w:iCs/>
        </w:rPr>
        <w:t xml:space="preserve">Lip, tongue, salivary glands, oral cavity, oropharynx, hypopharynx, head &amp; neck, oesophagus, stomach, small intestine, colon, rectum, liver, biliary tract, pancreas, nasal cavities, larynx, lung, pleura, breast, corpus uteri, ovary, vagina &amp; vulva, penis, bladder, kidney, choroid melanoma, non-Hodgkin lymphomas, multiple myeloma, </w:t>
      </w:r>
      <w:r w:rsidRPr="00DE6D8C">
        <w:rPr>
          <w:rFonts w:cstheme="minorHAnsi"/>
          <w:iCs/>
        </w:rPr>
        <w:lastRenderedPageBreak/>
        <w:t xml:space="preserve">chronic lymphatic leukaemia, acute myeloid leukaemia, chronic myeloid leukaemia, leukaemia, all cancers         </w:t>
      </w:r>
    </w:p>
    <w:p w14:paraId="01CD3311" w14:textId="4323B199" w:rsidR="002E3EF3" w:rsidRPr="00DE6D8C" w:rsidRDefault="002E3EF3" w:rsidP="002E3EF3">
      <w:pPr>
        <w:spacing w:after="120"/>
        <w:jc w:val="both"/>
        <w:rPr>
          <w:rFonts w:cstheme="minorHAnsi"/>
          <w:iCs/>
        </w:rPr>
      </w:pPr>
      <w:r w:rsidRPr="00DE6D8C">
        <w:rPr>
          <w:rFonts w:cstheme="minorHAnsi"/>
          <w:iCs/>
        </w:rPr>
        <w:t xml:space="preserve">                               </w:t>
      </w:r>
    </w:p>
    <w:p w14:paraId="382CB904" w14:textId="4CE5309B" w:rsidR="002E3EF3" w:rsidRPr="007C23B4" w:rsidRDefault="00A816BF" w:rsidP="34E65A94">
      <w:pPr>
        <w:pStyle w:val="Heading3"/>
        <w:rPr>
          <w:b w:val="0"/>
        </w:rPr>
      </w:pPr>
      <w:bookmarkStart w:id="84" w:name="_Toc36832762"/>
      <w:r>
        <w:t>11.1.2</w:t>
      </w:r>
      <w:r>
        <w:rPr>
          <w:b w:val="0"/>
        </w:rPr>
        <w:t xml:space="preserve"> </w:t>
      </w:r>
      <w:r w:rsidR="002E3EF3">
        <w:t>ICSS2</w:t>
      </w:r>
      <w:bookmarkEnd w:id="84"/>
      <w:r w:rsidR="002E3EF3">
        <w:t xml:space="preserve"> </w:t>
      </w:r>
    </w:p>
    <w:p w14:paraId="6E986459" w14:textId="77777777" w:rsidR="00A816BF" w:rsidRDefault="002E3EF3" w:rsidP="002E3EF3">
      <w:pPr>
        <w:spacing w:after="120"/>
        <w:jc w:val="both"/>
        <w:rPr>
          <w:rFonts w:cstheme="minorHAnsi"/>
          <w:iCs/>
        </w:rPr>
      </w:pPr>
      <w:r w:rsidRPr="00DE6D8C">
        <w:rPr>
          <w:rFonts w:cstheme="minorHAnsi"/>
          <w:iCs/>
        </w:rPr>
        <w:t xml:space="preserve">Nasopharynx, soft tissues, melanoma, cervix uteri, brain, thyroid gland, bone* </w:t>
      </w:r>
    </w:p>
    <w:p w14:paraId="26C29DE2" w14:textId="639BE476" w:rsidR="002E3EF3" w:rsidRPr="00DE6D8C" w:rsidRDefault="002E3EF3" w:rsidP="002E3EF3">
      <w:pPr>
        <w:spacing w:after="120"/>
        <w:jc w:val="both"/>
        <w:rPr>
          <w:rFonts w:cstheme="minorHAnsi"/>
          <w:iCs/>
        </w:rPr>
      </w:pPr>
      <w:r w:rsidRPr="00DE6D8C">
        <w:rPr>
          <w:rFonts w:cstheme="minorHAnsi"/>
          <w:iCs/>
        </w:rPr>
        <w:t xml:space="preserve">                                           </w:t>
      </w:r>
    </w:p>
    <w:p w14:paraId="132F9FE6" w14:textId="6F58F7B4" w:rsidR="002E3EF3" w:rsidRPr="007C23B4" w:rsidRDefault="00A816BF" w:rsidP="34E65A94">
      <w:pPr>
        <w:pStyle w:val="Heading3"/>
        <w:rPr>
          <w:b w:val="0"/>
        </w:rPr>
      </w:pPr>
      <w:bookmarkStart w:id="85" w:name="_Toc2111385307"/>
      <w:r>
        <w:t>11.1.3</w:t>
      </w:r>
      <w:r>
        <w:rPr>
          <w:b w:val="0"/>
        </w:rPr>
        <w:t xml:space="preserve"> </w:t>
      </w:r>
      <w:r w:rsidR="002E3EF3">
        <w:t>ICSS3</w:t>
      </w:r>
      <w:bookmarkEnd w:id="85"/>
      <w:r w:rsidR="002E3EF3">
        <w:t xml:space="preserve"> </w:t>
      </w:r>
    </w:p>
    <w:p w14:paraId="25160842" w14:textId="3B694E18" w:rsidR="002E3EF3" w:rsidRPr="00DE6D8C" w:rsidRDefault="002E3EF3" w:rsidP="002E3EF3">
      <w:pPr>
        <w:spacing w:after="120"/>
        <w:jc w:val="both"/>
        <w:rPr>
          <w:rFonts w:cstheme="minorHAnsi"/>
          <w:iCs/>
        </w:rPr>
      </w:pPr>
      <w:r w:rsidRPr="00DE6D8C">
        <w:rPr>
          <w:rFonts w:cstheme="minorHAnsi"/>
          <w:iCs/>
        </w:rPr>
        <w:t xml:space="preserve">Testis, Hodgkin lymphoma, acute lymphatic leukaemia                                           </w:t>
      </w:r>
    </w:p>
    <w:p w14:paraId="59478D50" w14:textId="2C02EBF8" w:rsidR="002E3EF3" w:rsidRPr="00DE6D8C" w:rsidRDefault="002E3EF3" w:rsidP="002E3EF3">
      <w:pPr>
        <w:spacing w:after="120"/>
        <w:jc w:val="both"/>
        <w:rPr>
          <w:rFonts w:cstheme="minorHAnsi"/>
          <w:iCs/>
        </w:rPr>
      </w:pPr>
      <w:r w:rsidRPr="0568E530">
        <w:t xml:space="preserve">* For bone cancers, </w:t>
      </w:r>
      <w:proofErr w:type="spellStart"/>
      <w:r w:rsidRPr="0568E530">
        <w:t>Corazziari</w:t>
      </w:r>
      <w:proofErr w:type="spellEnd"/>
      <w:r w:rsidRPr="0568E530">
        <w:t xml:space="preserve"> et al. (2004)</w:t>
      </w:r>
      <w:r w:rsidR="00466933" w:rsidRPr="0568E530">
        <w:rPr>
          <w:rStyle w:val="FootnoteReference"/>
        </w:rPr>
        <w:footnoteReference w:id="15"/>
      </w:r>
      <w:r w:rsidRPr="0568E530">
        <w:t xml:space="preserve"> recommend using ages 20+ for survival and so ICSS2 with lower age band 20-44 has been used.</w:t>
      </w:r>
    </w:p>
    <w:p w14:paraId="4E6F4E40" w14:textId="77777777" w:rsidR="002E3EF3" w:rsidRPr="00DE6D8C" w:rsidRDefault="002E3EF3" w:rsidP="002E3EF3">
      <w:pPr>
        <w:spacing w:after="120"/>
        <w:jc w:val="both"/>
        <w:rPr>
          <w:rFonts w:cstheme="minorHAnsi"/>
          <w:iCs/>
        </w:rPr>
      </w:pPr>
    </w:p>
    <w:p w14:paraId="29051EE4" w14:textId="0C47AA67" w:rsidR="002E3EF3" w:rsidRPr="00DE6D8C" w:rsidRDefault="002E3EF3" w:rsidP="002E3EF3">
      <w:pPr>
        <w:spacing w:after="120"/>
        <w:jc w:val="both"/>
        <w:rPr>
          <w:rFonts w:cstheme="minorHAnsi"/>
          <w:iCs/>
        </w:rPr>
      </w:pPr>
      <w:r w:rsidRPr="00DE6D8C">
        <w:rPr>
          <w:rFonts w:cstheme="minorHAnsi"/>
          <w:i/>
        </w:rPr>
        <w:t>Note:</w:t>
      </w:r>
      <w:r w:rsidRPr="00DE6D8C">
        <w:rPr>
          <w:rFonts w:cstheme="minorHAnsi"/>
          <w:iCs/>
        </w:rPr>
        <w:t xml:space="preserve"> On some occasions the age standardised survival rate for some cancer types and diagnosis periods will be slightly higher or lower for persons compared with men and women individually.  This is due to the survival rates by age band and the ICSS weights used to calculate the age standardised rates.  It should be noted that the age standardised survival rate for persons will be a better survival estimate compared to men and women individually due to the smaller 95% confidence interval.</w:t>
      </w:r>
    </w:p>
    <w:p w14:paraId="3460F8FA" w14:textId="073C5435" w:rsidR="002E3EF3" w:rsidRDefault="002E3EF3" w:rsidP="69ACC922">
      <w:pPr>
        <w:spacing w:after="120"/>
        <w:jc w:val="both"/>
        <w:rPr>
          <w:rFonts w:ascii="Verdana" w:hAnsi="Verdana"/>
          <w:sz w:val="20"/>
          <w:szCs w:val="20"/>
        </w:rPr>
      </w:pPr>
    </w:p>
    <w:p w14:paraId="69A10FB8" w14:textId="77777777" w:rsidR="005E09FE" w:rsidRDefault="005E09FE" w:rsidP="69ACC922">
      <w:pPr>
        <w:spacing w:after="120"/>
        <w:jc w:val="both"/>
        <w:rPr>
          <w:rFonts w:ascii="Verdana" w:hAnsi="Verdana"/>
          <w:sz w:val="20"/>
          <w:szCs w:val="20"/>
        </w:rPr>
      </w:pPr>
    </w:p>
    <w:p w14:paraId="04ECA5A4" w14:textId="77777777" w:rsidR="005E09FE" w:rsidRDefault="005E09FE" w:rsidP="69ACC922">
      <w:pPr>
        <w:spacing w:after="120"/>
        <w:jc w:val="both"/>
        <w:rPr>
          <w:rFonts w:ascii="Verdana" w:hAnsi="Verdana"/>
          <w:sz w:val="20"/>
          <w:szCs w:val="20"/>
        </w:rPr>
      </w:pPr>
    </w:p>
    <w:p w14:paraId="6B49C0D5" w14:textId="77777777" w:rsidR="005E09FE" w:rsidRDefault="005E09FE" w:rsidP="69ACC922">
      <w:pPr>
        <w:spacing w:after="120"/>
        <w:jc w:val="both"/>
        <w:rPr>
          <w:rFonts w:ascii="Verdana" w:hAnsi="Verdana"/>
          <w:sz w:val="20"/>
          <w:szCs w:val="20"/>
        </w:rPr>
      </w:pPr>
    </w:p>
    <w:p w14:paraId="293912AC" w14:textId="77777777" w:rsidR="005E09FE" w:rsidRDefault="005E09FE" w:rsidP="69ACC922">
      <w:pPr>
        <w:spacing w:after="120"/>
        <w:jc w:val="both"/>
        <w:rPr>
          <w:rFonts w:ascii="Verdana" w:hAnsi="Verdana"/>
          <w:sz w:val="20"/>
          <w:szCs w:val="20"/>
        </w:rPr>
      </w:pPr>
    </w:p>
    <w:p w14:paraId="2D1D24CD" w14:textId="77777777" w:rsidR="005E09FE" w:rsidRDefault="005E09FE" w:rsidP="69ACC922">
      <w:pPr>
        <w:spacing w:after="120"/>
        <w:jc w:val="both"/>
        <w:rPr>
          <w:rFonts w:ascii="Verdana" w:hAnsi="Verdana"/>
          <w:sz w:val="20"/>
          <w:szCs w:val="20"/>
        </w:rPr>
      </w:pPr>
    </w:p>
    <w:p w14:paraId="5B48D2DC" w14:textId="77777777" w:rsidR="005E09FE" w:rsidRDefault="005E09FE" w:rsidP="69ACC922">
      <w:pPr>
        <w:spacing w:after="120"/>
        <w:jc w:val="both"/>
        <w:rPr>
          <w:rFonts w:ascii="Verdana" w:hAnsi="Verdana"/>
          <w:sz w:val="20"/>
          <w:szCs w:val="20"/>
        </w:rPr>
      </w:pPr>
    </w:p>
    <w:p w14:paraId="2A527B59" w14:textId="77777777" w:rsidR="005E09FE" w:rsidRDefault="005E09FE" w:rsidP="69ACC922">
      <w:pPr>
        <w:spacing w:after="120"/>
        <w:jc w:val="both"/>
        <w:rPr>
          <w:rFonts w:ascii="Verdana" w:hAnsi="Verdana"/>
          <w:sz w:val="20"/>
          <w:szCs w:val="20"/>
        </w:rPr>
      </w:pPr>
    </w:p>
    <w:p w14:paraId="1F7A0F80" w14:textId="77777777" w:rsidR="005E09FE" w:rsidRDefault="005E09FE" w:rsidP="69ACC922">
      <w:pPr>
        <w:spacing w:after="120"/>
        <w:jc w:val="both"/>
        <w:rPr>
          <w:rFonts w:ascii="Verdana" w:hAnsi="Verdana"/>
          <w:sz w:val="20"/>
          <w:szCs w:val="20"/>
        </w:rPr>
      </w:pPr>
    </w:p>
    <w:p w14:paraId="2BFB20E6" w14:textId="77777777" w:rsidR="005E09FE" w:rsidRDefault="005E09FE" w:rsidP="69ACC922">
      <w:pPr>
        <w:spacing w:after="120"/>
        <w:jc w:val="both"/>
        <w:rPr>
          <w:rFonts w:ascii="Verdana" w:hAnsi="Verdana"/>
          <w:sz w:val="20"/>
          <w:szCs w:val="20"/>
        </w:rPr>
      </w:pPr>
    </w:p>
    <w:p w14:paraId="5738D80A" w14:textId="77777777" w:rsidR="005E09FE" w:rsidRDefault="005E09FE" w:rsidP="69ACC922">
      <w:pPr>
        <w:spacing w:after="120"/>
        <w:jc w:val="both"/>
        <w:rPr>
          <w:rFonts w:ascii="Verdana" w:hAnsi="Verdana"/>
          <w:sz w:val="20"/>
          <w:szCs w:val="20"/>
        </w:rPr>
      </w:pPr>
    </w:p>
    <w:p w14:paraId="06AA029F" w14:textId="57C192CE" w:rsidR="00F271CC" w:rsidRDefault="58657B9A" w:rsidP="34E65A94">
      <w:pPr>
        <w:pStyle w:val="Heading1"/>
      </w:pPr>
      <w:bookmarkStart w:id="86" w:name="_11.2_ICSS_combined"/>
      <w:bookmarkStart w:id="87" w:name="_12_Appendix_C"/>
      <w:bookmarkStart w:id="88" w:name="_Toc1763589122"/>
      <w:bookmarkStart w:id="89" w:name="_Hlk143255415"/>
      <w:bookmarkEnd w:id="86"/>
      <w:bookmarkEnd w:id="87"/>
      <w:r>
        <w:lastRenderedPageBreak/>
        <w:t>12 Appendix C</w:t>
      </w:r>
      <w:bookmarkEnd w:id="88"/>
    </w:p>
    <w:p w14:paraId="1DA2F222" w14:textId="5FA9DC9A" w:rsidR="00F271CC" w:rsidRDefault="00F271CC" w:rsidP="00E43A91">
      <w:pPr>
        <w:pStyle w:val="Heading2"/>
      </w:pPr>
      <w:bookmarkStart w:id="90" w:name="_Toc896156989"/>
      <w:r>
        <w:t>12.1 List of cancer groups used for de-duplication of pathology data</w:t>
      </w:r>
      <w:bookmarkEnd w:id="90"/>
    </w:p>
    <w:p w14:paraId="1280F1FD" w14:textId="77777777" w:rsidR="00C50BA2" w:rsidRPr="00C50BA2" w:rsidRDefault="00C50BA2" w:rsidP="00C50BA2"/>
    <w:bookmarkEnd w:id="89"/>
    <w:p w14:paraId="697C2C7F" w14:textId="63BB2613" w:rsidR="00C50BA2" w:rsidRDefault="00C50BA2" w:rsidP="00C50BA2">
      <w:r>
        <w:rPr>
          <w:noProof/>
          <w:lang w:eastAsia="en-GB"/>
        </w:rPr>
        <w:drawing>
          <wp:inline distT="0" distB="0" distL="0" distR="0" wp14:anchorId="1DB084DE" wp14:editId="082C955F">
            <wp:extent cx="5379085" cy="518480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79578" cy="5185279"/>
                    </a:xfrm>
                    <a:prstGeom prst="rect">
                      <a:avLst/>
                    </a:prstGeom>
                  </pic:spPr>
                </pic:pic>
              </a:graphicData>
            </a:graphic>
          </wp:inline>
        </w:drawing>
      </w:r>
    </w:p>
    <w:p w14:paraId="075ACCA3" w14:textId="41694B01" w:rsidR="00C50BA2" w:rsidRDefault="00C50BA2" w:rsidP="00C50BA2"/>
    <w:p w14:paraId="7F6F2B45" w14:textId="66DBE1F6" w:rsidR="00C50BA2" w:rsidRDefault="00C50BA2" w:rsidP="00C50BA2"/>
    <w:p w14:paraId="1C7889CA" w14:textId="574AC1AE" w:rsidR="00C50BA2" w:rsidRDefault="00C50BA2" w:rsidP="00C50BA2"/>
    <w:p w14:paraId="69F50BFF" w14:textId="78DA2307" w:rsidR="00C50BA2" w:rsidRDefault="00C50BA2" w:rsidP="00C50BA2"/>
    <w:p w14:paraId="637ECB3C" w14:textId="1247BB34" w:rsidR="00C50BA2" w:rsidRDefault="00C50BA2" w:rsidP="00C50BA2"/>
    <w:p w14:paraId="2941D078" w14:textId="2006DD45" w:rsidR="00440492" w:rsidRDefault="00440492" w:rsidP="001F5B9A">
      <w:pPr>
        <w:pStyle w:val="Heading1"/>
      </w:pPr>
      <w:bookmarkStart w:id="91" w:name="_13_Appendix_D"/>
      <w:bookmarkStart w:id="92" w:name="_Toc898602866"/>
      <w:bookmarkStart w:id="93" w:name="_Hlk143255377"/>
      <w:bookmarkEnd w:id="91"/>
      <w:r>
        <w:lastRenderedPageBreak/>
        <w:t>13 Appendix D</w:t>
      </w:r>
      <w:bookmarkEnd w:id="92"/>
    </w:p>
    <w:p w14:paraId="3DCE3567" w14:textId="4B9C9CB0" w:rsidR="00440492" w:rsidRDefault="00440492" w:rsidP="00E43A91">
      <w:pPr>
        <w:pStyle w:val="Heading2"/>
      </w:pPr>
      <w:bookmarkStart w:id="94" w:name="_Toc1013688422"/>
      <w:r>
        <w:t>13.1 Monthly pathology samples vs cancer registration data</w:t>
      </w:r>
      <w:bookmarkEnd w:id="94"/>
    </w:p>
    <w:p w14:paraId="28F5548C" w14:textId="1CB05306" w:rsidR="00815DD9" w:rsidRPr="00815DD9" w:rsidRDefault="008C2778" w:rsidP="00815DD9">
      <w:r>
        <w:rPr>
          <w:noProof/>
        </w:rPr>
        <w:drawing>
          <wp:inline distT="0" distB="0" distL="0" distR="0" wp14:anchorId="6A1EED94" wp14:editId="048235F5">
            <wp:extent cx="5940691" cy="3477401"/>
            <wp:effectExtent l="0" t="0" r="3175" b="8890"/>
            <wp:docPr id="6478186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60400" cy="3488938"/>
                    </a:xfrm>
                    <a:prstGeom prst="rect">
                      <a:avLst/>
                    </a:prstGeom>
                    <a:noFill/>
                  </pic:spPr>
                </pic:pic>
              </a:graphicData>
            </a:graphic>
          </wp:inline>
        </w:drawing>
      </w:r>
    </w:p>
    <w:p w14:paraId="6FC61A1C" w14:textId="3FF33836" w:rsidR="00815DD9" w:rsidRDefault="002C2388" w:rsidP="00031D1B">
      <w:bookmarkStart w:id="95" w:name="_14_Appendix_E"/>
      <w:bookmarkEnd w:id="93"/>
      <w:bookmarkEnd w:id="95"/>
      <w:r>
        <w:rPr>
          <w:noProof/>
        </w:rPr>
        <w:drawing>
          <wp:inline distT="0" distB="0" distL="0" distR="0" wp14:anchorId="7BD330DB" wp14:editId="044E1420">
            <wp:extent cx="5954233" cy="3424113"/>
            <wp:effectExtent l="0" t="0" r="8890" b="5080"/>
            <wp:docPr id="4334111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67764" cy="3431894"/>
                    </a:xfrm>
                    <a:prstGeom prst="rect">
                      <a:avLst/>
                    </a:prstGeom>
                    <a:noFill/>
                  </pic:spPr>
                </pic:pic>
              </a:graphicData>
            </a:graphic>
          </wp:inline>
        </w:drawing>
      </w:r>
    </w:p>
    <w:p w14:paraId="25E87505" w14:textId="5D893867" w:rsidR="00815DD9" w:rsidRDefault="00815DD9" w:rsidP="00031D1B"/>
    <w:p w14:paraId="3B961BAE" w14:textId="6C0894FA" w:rsidR="00815DD9" w:rsidRDefault="00815DD9" w:rsidP="00031D1B"/>
    <w:p w14:paraId="3DA507A9" w14:textId="41B8015A" w:rsidR="00815DD9" w:rsidRDefault="009D6AD9" w:rsidP="00031D1B">
      <w:r>
        <w:rPr>
          <w:noProof/>
        </w:rPr>
        <w:lastRenderedPageBreak/>
        <w:drawing>
          <wp:inline distT="0" distB="0" distL="0" distR="0" wp14:anchorId="545B0909" wp14:editId="13F92258">
            <wp:extent cx="5922527" cy="3461917"/>
            <wp:effectExtent l="0" t="0" r="2540" b="5715"/>
            <wp:docPr id="157132260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946156" cy="3475729"/>
                    </a:xfrm>
                    <a:prstGeom prst="rect">
                      <a:avLst/>
                    </a:prstGeom>
                    <a:noFill/>
                  </pic:spPr>
                </pic:pic>
              </a:graphicData>
            </a:graphic>
          </wp:inline>
        </w:drawing>
      </w:r>
    </w:p>
    <w:p w14:paraId="499FE8D6" w14:textId="590F31DC" w:rsidR="00815DD9" w:rsidRDefault="00494179" w:rsidP="00031D1B">
      <w:r>
        <w:rPr>
          <w:noProof/>
        </w:rPr>
        <w:drawing>
          <wp:inline distT="0" distB="0" distL="0" distR="0" wp14:anchorId="76232A8C" wp14:editId="74128528">
            <wp:extent cx="5943600" cy="3514624"/>
            <wp:effectExtent l="0" t="0" r="0" b="0"/>
            <wp:docPr id="146274226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55893" cy="3521893"/>
                    </a:xfrm>
                    <a:prstGeom prst="rect">
                      <a:avLst/>
                    </a:prstGeom>
                    <a:noFill/>
                  </pic:spPr>
                </pic:pic>
              </a:graphicData>
            </a:graphic>
          </wp:inline>
        </w:drawing>
      </w:r>
    </w:p>
    <w:p w14:paraId="03797CAE" w14:textId="01E5440B" w:rsidR="00815DD9" w:rsidRDefault="00FA0BA2" w:rsidP="00031D1B">
      <w:r>
        <w:rPr>
          <w:noProof/>
        </w:rPr>
        <w:lastRenderedPageBreak/>
        <w:drawing>
          <wp:inline distT="0" distB="0" distL="0" distR="0" wp14:anchorId="27BB92CD" wp14:editId="5F7E6B55">
            <wp:extent cx="6003059" cy="3549783"/>
            <wp:effectExtent l="0" t="0" r="0" b="0"/>
            <wp:docPr id="210860309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048027" cy="3576374"/>
                    </a:xfrm>
                    <a:prstGeom prst="rect">
                      <a:avLst/>
                    </a:prstGeom>
                    <a:noFill/>
                  </pic:spPr>
                </pic:pic>
              </a:graphicData>
            </a:graphic>
          </wp:inline>
        </w:drawing>
      </w:r>
    </w:p>
    <w:p w14:paraId="62CA10AD" w14:textId="77777777" w:rsidR="00815DD9" w:rsidRDefault="00815DD9" w:rsidP="00031D1B"/>
    <w:p w14:paraId="7EA48B02" w14:textId="77777777" w:rsidR="00815DD9" w:rsidRDefault="00815DD9" w:rsidP="00031D1B"/>
    <w:p w14:paraId="41AC8281" w14:textId="058B540C" w:rsidR="00815DD9" w:rsidRDefault="00815DD9" w:rsidP="00031D1B"/>
    <w:p w14:paraId="046BE90A" w14:textId="77777777" w:rsidR="00815DD9" w:rsidRDefault="00815DD9" w:rsidP="00031D1B"/>
    <w:p w14:paraId="2C7E059B" w14:textId="77777777" w:rsidR="00815DD9" w:rsidRDefault="00815DD9" w:rsidP="00031D1B"/>
    <w:p w14:paraId="3472DFE4" w14:textId="77777777" w:rsidR="00815DD9" w:rsidRDefault="00815DD9" w:rsidP="00031D1B"/>
    <w:p w14:paraId="0B667DE8" w14:textId="77777777" w:rsidR="00815DD9" w:rsidRDefault="00815DD9" w:rsidP="00031D1B"/>
    <w:p w14:paraId="4B2F2524" w14:textId="77777777" w:rsidR="00815DD9" w:rsidRDefault="00815DD9" w:rsidP="00031D1B"/>
    <w:p w14:paraId="10E35500" w14:textId="77777777" w:rsidR="00815DD9" w:rsidRDefault="00815DD9" w:rsidP="00031D1B"/>
    <w:p w14:paraId="32EED811" w14:textId="77777777" w:rsidR="00815DD9" w:rsidRDefault="00815DD9" w:rsidP="00031D1B"/>
    <w:p w14:paraId="0BE4451C" w14:textId="77777777" w:rsidR="00815DD9" w:rsidRDefault="00815DD9" w:rsidP="00031D1B"/>
    <w:p w14:paraId="7158BE80" w14:textId="77777777" w:rsidR="00815DD9" w:rsidRDefault="00815DD9" w:rsidP="00031D1B"/>
    <w:p w14:paraId="5E6C0E18" w14:textId="77777777" w:rsidR="00815DD9" w:rsidRDefault="00815DD9" w:rsidP="00031D1B"/>
    <w:p w14:paraId="4C40604F" w14:textId="77777777" w:rsidR="00815DD9" w:rsidRDefault="00815DD9" w:rsidP="00031D1B"/>
    <w:p w14:paraId="20C1E333" w14:textId="77777777" w:rsidR="00815DD9" w:rsidRDefault="00815DD9" w:rsidP="00031D1B"/>
    <w:p w14:paraId="13128EBC" w14:textId="77777777" w:rsidR="00815DD9" w:rsidRDefault="00815DD9" w:rsidP="00031D1B"/>
    <w:p w14:paraId="40A5A9F5" w14:textId="4744D062" w:rsidR="00FE0598" w:rsidRDefault="405C9186" w:rsidP="001F5B9A">
      <w:pPr>
        <w:pStyle w:val="Heading1"/>
      </w:pPr>
      <w:bookmarkStart w:id="96" w:name="_14_Appendix_E_1"/>
      <w:bookmarkStart w:id="97" w:name="_Toc1768931567"/>
      <w:bookmarkEnd w:id="96"/>
      <w:r>
        <w:lastRenderedPageBreak/>
        <w:t>1</w:t>
      </w:r>
      <w:r w:rsidR="1D955AA1">
        <w:t>4</w:t>
      </w:r>
      <w:r>
        <w:t xml:space="preserve"> </w:t>
      </w:r>
      <w:r w:rsidR="314F948D">
        <w:t xml:space="preserve">Appendix </w:t>
      </w:r>
      <w:r w:rsidR="1D955AA1">
        <w:t>E</w:t>
      </w:r>
      <w:bookmarkEnd w:id="97"/>
    </w:p>
    <w:p w14:paraId="502CB7CE" w14:textId="29567659" w:rsidR="00DE6D8C" w:rsidRDefault="00DE6D8C" w:rsidP="00E43A91">
      <w:pPr>
        <w:pStyle w:val="Heading2"/>
      </w:pPr>
      <w:bookmarkStart w:id="98" w:name="_Toc841943241"/>
      <w:r>
        <w:t>1</w:t>
      </w:r>
      <w:r w:rsidR="00440492">
        <w:t>4</w:t>
      </w:r>
      <w:r>
        <w:t>.1 2013 European Standard Population</w:t>
      </w:r>
      <w:bookmarkEnd w:id="98"/>
    </w:p>
    <w:p w14:paraId="3C3CA6A3" w14:textId="77777777" w:rsidR="00DE6D8C" w:rsidRPr="00DE6D8C" w:rsidRDefault="00DE6D8C" w:rsidP="00DE6D8C"/>
    <w:p w14:paraId="5604472D" w14:textId="67BF4026" w:rsidR="00DE6D8C" w:rsidRDefault="00DE6D8C" w:rsidP="001A471F">
      <w:pPr>
        <w:jc w:val="right"/>
      </w:pPr>
      <w:r>
        <w:rPr>
          <w:noProof/>
          <w:lang w:eastAsia="en-GB"/>
        </w:rPr>
        <w:drawing>
          <wp:inline distT="0" distB="0" distL="0" distR="0" wp14:anchorId="596DF8E7" wp14:editId="347FFDC8">
            <wp:extent cx="4590416" cy="4596766"/>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45">
                      <a:extLst>
                        <a:ext uri="{28A0092B-C50C-407E-A947-70E740481C1C}">
                          <a14:useLocalDpi xmlns:a14="http://schemas.microsoft.com/office/drawing/2010/main" val="0"/>
                        </a:ext>
                      </a:extLst>
                    </a:blip>
                    <a:stretch>
                      <a:fillRect/>
                    </a:stretch>
                  </pic:blipFill>
                  <pic:spPr>
                    <a:xfrm>
                      <a:off x="0" y="0"/>
                      <a:ext cx="4590416" cy="4596766"/>
                    </a:xfrm>
                    <a:prstGeom prst="rect">
                      <a:avLst/>
                    </a:prstGeom>
                  </pic:spPr>
                </pic:pic>
              </a:graphicData>
            </a:graphic>
          </wp:inline>
        </w:drawing>
      </w:r>
    </w:p>
    <w:p w14:paraId="2501809A" w14:textId="77777777" w:rsidR="005E09FE" w:rsidRDefault="005E09FE" w:rsidP="001F5B9A">
      <w:pPr>
        <w:pStyle w:val="Heading1"/>
      </w:pPr>
      <w:bookmarkStart w:id="99" w:name="_Toc1744936992"/>
    </w:p>
    <w:p w14:paraId="771C5FDB" w14:textId="58BEA65F" w:rsidR="001F73D0" w:rsidRDefault="001F73D0" w:rsidP="001F5B9A">
      <w:pPr>
        <w:pStyle w:val="Heading1"/>
      </w:pPr>
      <w:r>
        <w:t>15 Appendix F</w:t>
      </w:r>
      <w:bookmarkEnd w:id="99"/>
    </w:p>
    <w:p w14:paraId="16963F09" w14:textId="2C0A3120" w:rsidR="0085148C" w:rsidRDefault="001F73D0" w:rsidP="001F73D0">
      <w:pPr>
        <w:pStyle w:val="Heading2"/>
      </w:pPr>
      <w:bookmarkStart w:id="100" w:name="_Toc2064507541"/>
      <w:r>
        <w:t>15.1 A list of the broad cause groups and corresponding ICD-10 codes</w:t>
      </w:r>
      <w:r w:rsidR="00F056CB">
        <w:rPr>
          <w:noProof/>
        </w:rPr>
        <w:drawing>
          <wp:inline distT="0" distB="0" distL="0" distR="0" wp14:anchorId="1E0B6069" wp14:editId="57BEB0EA">
            <wp:extent cx="5576570" cy="1683385"/>
            <wp:effectExtent l="0" t="0" r="508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76570" cy="1683385"/>
                    </a:xfrm>
                    <a:prstGeom prst="rect">
                      <a:avLst/>
                    </a:prstGeom>
                    <a:noFill/>
                    <a:ln>
                      <a:noFill/>
                    </a:ln>
                  </pic:spPr>
                </pic:pic>
              </a:graphicData>
            </a:graphic>
          </wp:inline>
        </w:drawing>
      </w:r>
      <w:bookmarkEnd w:id="100"/>
    </w:p>
    <w:sectPr w:rsidR="0085148C" w:rsidSect="00EE1AC5">
      <w:headerReference w:type="default" r:id="rId47"/>
      <w:footerReference w:type="default" r:id="rId48"/>
      <w:headerReference w:type="first" r:id="rId49"/>
      <w:footerReference w:type="first" r:id="rId50"/>
      <w:pgSz w:w="11906" w:h="16838"/>
      <w:pgMar w:top="1701" w:right="1440" w:bottom="1440" w:left="1440"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A53E2" w14:textId="77777777" w:rsidR="00255815" w:rsidRDefault="00255815" w:rsidP="00416633">
      <w:pPr>
        <w:spacing w:after="0" w:line="240" w:lineRule="auto"/>
      </w:pPr>
      <w:r>
        <w:separator/>
      </w:r>
    </w:p>
    <w:p w14:paraId="0C70F20D" w14:textId="77777777" w:rsidR="00255815" w:rsidRDefault="00255815"/>
  </w:endnote>
  <w:endnote w:type="continuationSeparator" w:id="0">
    <w:p w14:paraId="51FDFF37" w14:textId="77777777" w:rsidR="00255815" w:rsidRDefault="00255815" w:rsidP="00416633">
      <w:pPr>
        <w:spacing w:after="0" w:line="240" w:lineRule="auto"/>
      </w:pPr>
      <w:r>
        <w:continuationSeparator/>
      </w:r>
    </w:p>
    <w:p w14:paraId="1834C204" w14:textId="77777777" w:rsidR="00255815" w:rsidRDefault="00255815"/>
  </w:endnote>
  <w:endnote w:type="continuationNotice" w:id="1">
    <w:p w14:paraId="1C3DFB43" w14:textId="77777777" w:rsidR="00255815" w:rsidRDefault="002558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buntu Light">
    <w:altName w:val="Calibri"/>
    <w:charset w:val="00"/>
    <w:family w:val="swiss"/>
    <w:pitch w:val="variable"/>
    <w:sig w:usb0="E00002FF" w:usb1="5000205B" w:usb2="00000000" w:usb3="00000000" w:csb0="0000009F" w:csb1="00000000"/>
  </w:font>
  <w:font w:name="Ubuntu">
    <w:altName w:val="Calibri"/>
    <w:charset w:val="00"/>
    <w:family w:val="swiss"/>
    <w:pitch w:val="variable"/>
    <w:sig w:usb0="E00002FF" w:usb1="5000205B"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78C59A" w14:textId="4F5EA9AF" w:rsidR="00176D76" w:rsidRDefault="00176D76">
    <w:pPr>
      <w:pStyle w:val="Footer"/>
      <w:jc w:val="right"/>
    </w:pPr>
    <w:r>
      <w:rPr>
        <w:noProof/>
        <w:lang w:eastAsia="en-GB"/>
      </w:rPr>
      <mc:AlternateContent>
        <mc:Choice Requires="wps">
          <w:drawing>
            <wp:anchor distT="0" distB="0" distL="114300" distR="114300" simplePos="0" relativeHeight="251658243" behindDoc="1" locked="0" layoutInCell="1" allowOverlap="1" wp14:anchorId="7CB4F25B" wp14:editId="79B9DCAE">
              <wp:simplePos x="0" y="0"/>
              <wp:positionH relativeFrom="page">
                <wp:posOffset>595906</wp:posOffset>
              </wp:positionH>
              <wp:positionV relativeFrom="page">
                <wp:posOffset>10217150</wp:posOffset>
              </wp:positionV>
              <wp:extent cx="6074796" cy="214685"/>
              <wp:effectExtent l="0" t="0" r="2540" b="1397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74796" cy="2146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CA9C4" w14:textId="1DF82537" w:rsidR="00176D76" w:rsidRDefault="00176D76"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B4F25B" id="_x0000_t202" coordsize="21600,21600" o:spt="202" path="m,l,21600r21600,l21600,xe">
              <v:stroke joinstyle="miter"/>
              <v:path gradientshapeok="t" o:connecttype="rect"/>
            </v:shapetype>
            <v:shape id="Text Box 32" o:spid="_x0000_s1031" type="#_x0000_t202" style="position:absolute;left:0;text-align:left;margin-left:46.9pt;margin-top:804.5pt;width:478.35pt;height:16.9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" filled="f" stroked="f">
              <v:path arrowok="t"/>
              <v:textbox inset="0,0,0,0">
                <w:txbxContent>
                  <w:p w14:paraId="477CA9C4" w14:textId="1DF82537" w:rsidR="00176D76" w:rsidRDefault="00176D76" w:rsidP="00EE1AC5">
                    <w:pPr>
                      <w:spacing w:before="21"/>
                      <w:ind w:left="20"/>
                      <w:rPr>
                        <w:rFonts w:ascii="Ubuntu"/>
                        <w:b/>
                        <w:sz w:val="17"/>
                      </w:rPr>
                    </w:pPr>
                    <w:r w:rsidRPr="00EE1AC5">
                      <w:rPr>
                        <w:rFonts w:ascii="Ubuntu"/>
                        <w:b/>
                        <w:color w:val="305787"/>
                        <w:sz w:val="17"/>
                      </w:rPr>
                      <w:t>Cancer Reporting Tool</w:t>
                    </w:r>
                    <w:r>
                      <w:rPr>
                        <w:rFonts w:ascii="Ubuntu"/>
                        <w:b/>
                        <w:color w:val="305787"/>
                        <w:sz w:val="17"/>
                      </w:rPr>
                      <w:t xml:space="preserve">: </w:t>
                    </w:r>
                    <w:r w:rsidRPr="00EE1AC5">
                      <w:rPr>
                        <w:rFonts w:ascii="Ubuntu"/>
                        <w:b/>
                        <w:color w:val="305787"/>
                        <w:sz w:val="17"/>
                      </w:rPr>
                      <w:t>Technical Guide</w:t>
                    </w:r>
                  </w:p>
                </w:txbxContent>
              </v:textbox>
              <w10:wrap anchorx="page" anchory="page"/>
            </v:shape>
          </w:pict>
        </mc:Fallback>
      </mc:AlternateContent>
    </w:r>
    <w:sdt>
      <w:sdtPr>
        <w:id w:val="1921438278"/>
        <w:docPartObj>
          <w:docPartGallery w:val="Page Numbers (Bottom of Page)"/>
          <w:docPartUnique/>
        </w:docPartObj>
      </w:sdtPr>
      <w:sdtEndPr>
        <w:rPr>
          <w:noProof/>
        </w:rPr>
      </w:sdtEndPr>
      <w:sdtContent>
        <w:r>
          <w:rPr>
            <w:noProof/>
            <w:lang w:eastAsia="en-GB"/>
          </w:rPr>
          <mc:AlternateContent>
            <mc:Choice Requires="wps">
              <w:drawing>
                <wp:anchor distT="0" distB="0" distL="114300" distR="114300" simplePos="0" relativeHeight="251658242" behindDoc="0" locked="0" layoutInCell="1" allowOverlap="1" wp14:anchorId="2C120B24" wp14:editId="4B0C41A2">
                  <wp:simplePos x="0" y="0"/>
                  <wp:positionH relativeFrom="column">
                    <wp:posOffset>-476885</wp:posOffset>
                  </wp:positionH>
                  <wp:positionV relativeFrom="paragraph">
                    <wp:posOffset>-135255</wp:posOffset>
                  </wp:positionV>
                  <wp:extent cx="6734287" cy="0"/>
                  <wp:effectExtent l="0" t="0" r="9525" b="12700"/>
                  <wp:wrapNone/>
                  <wp:docPr id="26" name="Straight Connector 26"/>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DACE1BA" id="Straight Connector 26"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37.55pt,-10.65pt" to="492.7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" strokecolor="#a5a5a5 [2092]" strokeweight=".5pt">
                  <v:stroke joinstyle="miter"/>
                </v:line>
              </w:pict>
            </mc:Fallback>
          </mc:AlternateContent>
        </w:r>
        <w:r>
          <w:fldChar w:fldCharType="begin"/>
        </w:r>
        <w:r>
          <w:instrText xml:space="preserve"> PAGE   \* MERGEFORMAT </w:instrText>
        </w:r>
        <w:r>
          <w:fldChar w:fldCharType="separate"/>
        </w:r>
        <w:r w:rsidR="00263668">
          <w:rPr>
            <w:noProof/>
          </w:rPr>
          <w:t>30</w:t>
        </w:r>
        <w:r>
          <w:rPr>
            <w:noProof/>
          </w:rPr>
          <w:fldChar w:fldCharType="end"/>
        </w:r>
      </w:sdtContent>
    </w:sdt>
  </w:p>
  <w:p w14:paraId="7FA3035E" w14:textId="404ECC1B" w:rsidR="00176D76" w:rsidRDefault="00176D7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176D76" w14:paraId="60381822" w14:textId="77777777" w:rsidTr="00644626">
      <w:trPr>
        <w:trHeight w:val="300"/>
      </w:trPr>
      <w:tc>
        <w:tcPr>
          <w:tcW w:w="3005" w:type="dxa"/>
        </w:tcPr>
        <w:p w14:paraId="3E48B7D5" w14:textId="15083B97" w:rsidR="00176D76" w:rsidRDefault="00176D76" w:rsidP="00644626">
          <w:pPr>
            <w:pStyle w:val="Header"/>
            <w:ind w:left="-115"/>
          </w:pPr>
        </w:p>
      </w:tc>
      <w:tc>
        <w:tcPr>
          <w:tcW w:w="3005" w:type="dxa"/>
        </w:tcPr>
        <w:p w14:paraId="2DEE2DB5" w14:textId="514AC73D" w:rsidR="00176D76" w:rsidRDefault="00176D76" w:rsidP="00644626">
          <w:pPr>
            <w:pStyle w:val="Header"/>
            <w:jc w:val="center"/>
          </w:pPr>
        </w:p>
      </w:tc>
      <w:tc>
        <w:tcPr>
          <w:tcW w:w="3005" w:type="dxa"/>
        </w:tcPr>
        <w:p w14:paraId="41390394" w14:textId="5DC9F98D" w:rsidR="00176D76" w:rsidRDefault="00176D76" w:rsidP="00644626">
          <w:pPr>
            <w:pStyle w:val="Header"/>
            <w:ind w:right="-115"/>
            <w:jc w:val="right"/>
          </w:pPr>
        </w:p>
      </w:tc>
    </w:tr>
  </w:tbl>
  <w:p w14:paraId="278F2C06" w14:textId="2392F6F4" w:rsidR="00176D76" w:rsidRDefault="00176D76" w:rsidP="00E102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D2D71D" w14:textId="77777777" w:rsidR="00255815" w:rsidRDefault="00255815" w:rsidP="00416633">
      <w:pPr>
        <w:spacing w:after="0" w:line="240" w:lineRule="auto"/>
      </w:pPr>
      <w:r>
        <w:separator/>
      </w:r>
    </w:p>
    <w:p w14:paraId="0493328E" w14:textId="77777777" w:rsidR="00255815" w:rsidRDefault="00255815"/>
  </w:footnote>
  <w:footnote w:type="continuationSeparator" w:id="0">
    <w:p w14:paraId="11C41865" w14:textId="77777777" w:rsidR="00255815" w:rsidRDefault="00255815" w:rsidP="00416633">
      <w:pPr>
        <w:spacing w:after="0" w:line="240" w:lineRule="auto"/>
      </w:pPr>
      <w:r>
        <w:continuationSeparator/>
      </w:r>
    </w:p>
    <w:p w14:paraId="2AE895E3" w14:textId="77777777" w:rsidR="00255815" w:rsidRDefault="00255815"/>
  </w:footnote>
  <w:footnote w:type="continuationNotice" w:id="1">
    <w:p w14:paraId="7ECB865F" w14:textId="77777777" w:rsidR="00255815" w:rsidRDefault="00255815">
      <w:pPr>
        <w:spacing w:after="0" w:line="240" w:lineRule="auto"/>
      </w:pPr>
    </w:p>
  </w:footnote>
  <w:footnote w:id="2">
    <w:p w14:paraId="2BD60F69" w14:textId="77777777" w:rsidR="00176D76" w:rsidRPr="00F96F12" w:rsidRDefault="00176D76" w:rsidP="006753B1">
      <w:pPr>
        <w:pStyle w:val="FootnoteText"/>
        <w:spacing w:after="240"/>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Clerc-</w:t>
      </w:r>
      <w:proofErr w:type="spellStart"/>
      <w:r w:rsidRPr="00F96F12">
        <w:rPr>
          <w:rFonts w:ascii="Ubuntu" w:hAnsi="Ubuntu"/>
          <w:sz w:val="16"/>
          <w:szCs w:val="16"/>
        </w:rPr>
        <w:t>Urmès</w:t>
      </w:r>
      <w:proofErr w:type="spellEnd"/>
      <w:r w:rsidRPr="00F96F12">
        <w:rPr>
          <w:rFonts w:ascii="Ubuntu" w:hAnsi="Ubuntu"/>
          <w:sz w:val="16"/>
          <w:szCs w:val="16"/>
        </w:rPr>
        <w:t xml:space="preserve"> I, Grzebyk M, </w:t>
      </w:r>
      <w:proofErr w:type="spellStart"/>
      <w:r w:rsidRPr="00F96F12">
        <w:rPr>
          <w:rFonts w:ascii="Ubuntu" w:hAnsi="Ubuntu"/>
          <w:sz w:val="16"/>
          <w:szCs w:val="16"/>
        </w:rPr>
        <w:t>Hédelin</w:t>
      </w:r>
      <w:proofErr w:type="spellEnd"/>
      <w:r w:rsidRPr="00F96F12">
        <w:rPr>
          <w:rFonts w:ascii="Ubuntu" w:hAnsi="Ubuntu"/>
          <w:sz w:val="16"/>
          <w:szCs w:val="16"/>
        </w:rPr>
        <w:t xml:space="preserve"> G, 2014. Net survival estimation with stns. Stata Journal. </w:t>
      </w:r>
      <w:proofErr w:type="gramStart"/>
      <w:r w:rsidRPr="00F96F12">
        <w:rPr>
          <w:rFonts w:ascii="Ubuntu" w:hAnsi="Ubuntu"/>
          <w:sz w:val="16"/>
          <w:szCs w:val="16"/>
        </w:rPr>
        <w:t>2014;14:87</w:t>
      </w:r>
      <w:proofErr w:type="gramEnd"/>
      <w:r w:rsidRPr="00F96F12">
        <w:rPr>
          <w:rFonts w:ascii="Ubuntu" w:hAnsi="Ubuntu"/>
          <w:sz w:val="16"/>
          <w:szCs w:val="16"/>
        </w:rPr>
        <w:t>-102</w:t>
      </w:r>
    </w:p>
  </w:footnote>
  <w:footnote w:id="3">
    <w:p w14:paraId="2E4C5E92" w14:textId="77777777" w:rsidR="00176D76" w:rsidRDefault="00176D76" w:rsidP="00EE1A87">
      <w:pPr>
        <w:pStyle w:val="FootnoteText"/>
        <w:rPr>
          <w:rFonts w:ascii="Ubuntu" w:hAnsi="Ubuntu"/>
          <w:sz w:val="16"/>
          <w:szCs w:val="16"/>
        </w:rPr>
      </w:pPr>
      <w:r>
        <w:rPr>
          <w:rStyle w:val="FootnoteReference"/>
        </w:rPr>
        <w:footnoteRef/>
      </w:r>
      <w:r>
        <w:t xml:space="preserve"> </w:t>
      </w:r>
      <w:r w:rsidRPr="008D414B">
        <w:rPr>
          <w:rFonts w:ascii="Ubuntu" w:hAnsi="Ubuntu"/>
          <w:sz w:val="16"/>
          <w:szCs w:val="16"/>
        </w:rPr>
        <w:t xml:space="preserve">Kaplan, E. L., and Paul Meier. “Nonparametric Estimation from Incomplete Observations.” Journal of the American Statistical Association, vol. 53, no. 282, 1958, pp. 457–81. JSTOR, </w:t>
      </w:r>
      <w:hyperlink r:id="rId1" w:history="1">
        <w:r w:rsidRPr="006F2D03">
          <w:rPr>
            <w:rStyle w:val="Hyperlink"/>
            <w:rFonts w:ascii="Ubuntu" w:hAnsi="Ubuntu"/>
            <w:sz w:val="16"/>
            <w:szCs w:val="16"/>
          </w:rPr>
          <w:t>https://doi.org/10.2307/2281868. Accessed 21 Nov. 2023</w:t>
        </w:r>
      </w:hyperlink>
    </w:p>
    <w:p w14:paraId="561F79AF" w14:textId="69116652" w:rsidR="00176D76" w:rsidRDefault="00176D76">
      <w:pPr>
        <w:pStyle w:val="FootnoteText"/>
      </w:pPr>
    </w:p>
  </w:footnote>
  <w:footnote w:id="4">
    <w:p w14:paraId="4E19F9C6" w14:textId="77777777" w:rsidR="00176D76" w:rsidRPr="00F96F12" w:rsidRDefault="00176D76" w:rsidP="006753B1">
      <w:pPr>
        <w:pStyle w:val="FootnoteText"/>
        <w:spacing w:before="120"/>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Pohar Perme M, Stare J, Estève J. 2012. “On estimation in relative survival.” Biometrics 68:113 -20</w:t>
      </w:r>
    </w:p>
    <w:p w14:paraId="558FF779" w14:textId="77777777" w:rsidR="00176D76" w:rsidRPr="00F96F12" w:rsidRDefault="00176D76" w:rsidP="006753B1">
      <w:pPr>
        <w:pStyle w:val="FootnoteText"/>
        <w:rPr>
          <w:rFonts w:ascii="Ubuntu" w:hAnsi="Ubuntu"/>
          <w:sz w:val="16"/>
          <w:szCs w:val="16"/>
        </w:rPr>
      </w:pPr>
    </w:p>
  </w:footnote>
  <w:footnote w:id="5">
    <w:p w14:paraId="0F15AEEF" w14:textId="77777777" w:rsidR="00176D76" w:rsidRPr="00F96F12" w:rsidRDefault="00176D76" w:rsidP="006753B1">
      <w:pPr>
        <w:ind w:right="-45"/>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proofErr w:type="spellStart"/>
      <w:r w:rsidRPr="00F96F12">
        <w:rPr>
          <w:rFonts w:ascii="Ubuntu" w:hAnsi="Ubuntu"/>
          <w:sz w:val="16"/>
          <w:szCs w:val="16"/>
        </w:rPr>
        <w:t>Corazziari</w:t>
      </w:r>
      <w:proofErr w:type="spellEnd"/>
      <w:r w:rsidRPr="00F96F12">
        <w:rPr>
          <w:rFonts w:ascii="Ubuntu" w:hAnsi="Ubuntu"/>
          <w:sz w:val="16"/>
          <w:szCs w:val="16"/>
        </w:rPr>
        <w:t xml:space="preserve"> I, Quinn M, </w:t>
      </w:r>
      <w:proofErr w:type="spellStart"/>
      <w:r w:rsidRPr="00F96F12">
        <w:rPr>
          <w:rFonts w:ascii="Ubuntu" w:hAnsi="Ubuntu"/>
          <w:sz w:val="16"/>
          <w:szCs w:val="16"/>
        </w:rPr>
        <w:t>Capocaccia</w:t>
      </w:r>
      <w:proofErr w:type="spellEnd"/>
      <w:r w:rsidRPr="00F96F12">
        <w:rPr>
          <w:rFonts w:ascii="Ubuntu" w:hAnsi="Ubuntu"/>
          <w:sz w:val="16"/>
          <w:szCs w:val="16"/>
        </w:rPr>
        <w:t xml:space="preserve"> R, 2004. Standard cancer patient population for age standardising survival ratio. European Journal of Cancer 40: 2307-2316</w:t>
      </w:r>
    </w:p>
    <w:p w14:paraId="4DE4AF5C" w14:textId="77777777" w:rsidR="00176D76" w:rsidRDefault="00176D76" w:rsidP="006753B1">
      <w:pPr>
        <w:pStyle w:val="FootnoteText"/>
      </w:pPr>
    </w:p>
  </w:footnote>
  <w:footnote w:id="6">
    <w:p w14:paraId="67DE74CB" w14:textId="77777777" w:rsidR="00176D76" w:rsidRDefault="00176D76" w:rsidP="00BE6425">
      <w:pPr>
        <w:pStyle w:val="FootnoteText"/>
        <w:rPr>
          <w:rFonts w:ascii="Verdana" w:hAnsi="Verdana"/>
          <w:sz w:val="16"/>
          <w:szCs w:val="16"/>
        </w:rPr>
      </w:pPr>
      <w:r>
        <w:rPr>
          <w:rStyle w:val="FootnoteReference"/>
        </w:rPr>
        <w:footnoteRef/>
      </w:r>
      <w:r>
        <w:t xml:space="preserve"> </w:t>
      </w:r>
      <w:r w:rsidRPr="00496530">
        <w:rPr>
          <w:rFonts w:ascii="Verdana" w:hAnsi="Verdana"/>
          <w:sz w:val="16"/>
          <w:szCs w:val="16"/>
        </w:rPr>
        <w:t>The TNM Classification of Malignant Tumours (TNM) is a globally recognised standard for classifying the extent of spread of cancer. T category describes the primary tumour site and size, N category describes the regional lymph node involvement, M category describes the presence or otherwise of distant metastatic spread</w:t>
      </w:r>
    </w:p>
    <w:p w14:paraId="5C337007" w14:textId="77777777" w:rsidR="00176D76" w:rsidRDefault="00176D76" w:rsidP="00BE6425">
      <w:pPr>
        <w:pStyle w:val="FootnoteText"/>
      </w:pPr>
    </w:p>
  </w:footnote>
  <w:footnote w:id="7">
    <w:p w14:paraId="1533CAE7" w14:textId="2B5162AF" w:rsidR="00176D76" w:rsidRPr="00DC72BC" w:rsidRDefault="00176D76" w:rsidP="00146130">
      <w:pPr>
        <w:tabs>
          <w:tab w:val="left" w:pos="2280"/>
        </w:tabs>
        <w:jc w:val="both"/>
        <w:rPr>
          <w:rFonts w:ascii="Ubuntu" w:hAnsi="Ubuntu"/>
          <w:sz w:val="16"/>
          <w:szCs w:val="16"/>
        </w:rPr>
      </w:pPr>
      <w:r w:rsidRPr="00DC72BC">
        <w:rPr>
          <w:rStyle w:val="FootnoteReference"/>
          <w:rFonts w:ascii="Ubuntu" w:hAnsi="Ubuntu"/>
          <w:sz w:val="16"/>
          <w:szCs w:val="16"/>
        </w:rPr>
        <w:footnoteRef/>
      </w:r>
      <w:r w:rsidRPr="00DC72BC">
        <w:rPr>
          <w:rFonts w:ascii="Ubuntu" w:hAnsi="Ubuntu"/>
          <w:sz w:val="16"/>
          <w:szCs w:val="16"/>
        </w:rPr>
        <w:t xml:space="preserve"> Office for National Statistics (ONS): Implementing the 2013 European Standard Population: the impact of selected upper age limits on mortality statistics: available on the </w:t>
      </w:r>
      <w:hyperlink r:id="rId2" w:history="1">
        <w:r w:rsidRPr="00DC72BC">
          <w:rPr>
            <w:rStyle w:val="Hyperlink"/>
            <w:rFonts w:ascii="Ubuntu" w:hAnsi="Ubuntu"/>
            <w:sz w:val="16"/>
            <w:szCs w:val="16"/>
          </w:rPr>
          <w:t>ONS website</w:t>
        </w:r>
      </w:hyperlink>
      <w:r w:rsidRPr="00DC72BC">
        <w:rPr>
          <w:rFonts w:ascii="Ubuntu" w:hAnsi="Ubuntu"/>
          <w:sz w:val="16"/>
          <w:szCs w:val="16"/>
        </w:rPr>
        <w:t>.</w:t>
      </w:r>
    </w:p>
    <w:p w14:paraId="7EFBB69D" w14:textId="77777777" w:rsidR="00176D76" w:rsidRDefault="00176D76" w:rsidP="00146130">
      <w:pPr>
        <w:pStyle w:val="FootnoteText"/>
      </w:pPr>
    </w:p>
  </w:footnote>
  <w:footnote w:id="8">
    <w:p w14:paraId="0CB36EA1" w14:textId="64BC8594" w:rsidR="00176D76" w:rsidRDefault="00176D76">
      <w:pPr>
        <w:pStyle w:val="FootnoteText"/>
        <w:rPr>
          <w:rFonts w:ascii="Ubuntu" w:hAnsi="Ubuntu"/>
          <w:sz w:val="16"/>
          <w:szCs w:val="16"/>
        </w:rPr>
      </w:pPr>
      <w:r>
        <w:rPr>
          <w:rStyle w:val="FootnoteReference"/>
        </w:rPr>
        <w:footnoteRef/>
      </w:r>
      <w:r>
        <w:t xml:space="preserve"> </w:t>
      </w:r>
      <w:proofErr w:type="spellStart"/>
      <w:r w:rsidRPr="00F96F12">
        <w:rPr>
          <w:rFonts w:ascii="Ubuntu" w:hAnsi="Ubuntu"/>
          <w:sz w:val="16"/>
          <w:szCs w:val="16"/>
        </w:rPr>
        <w:t>Corazziari</w:t>
      </w:r>
      <w:proofErr w:type="spellEnd"/>
      <w:r w:rsidRPr="00F96F12">
        <w:rPr>
          <w:rFonts w:ascii="Ubuntu" w:hAnsi="Ubuntu"/>
          <w:sz w:val="16"/>
          <w:szCs w:val="16"/>
        </w:rPr>
        <w:t xml:space="preserve"> I, Quinn M, </w:t>
      </w:r>
      <w:proofErr w:type="spellStart"/>
      <w:r w:rsidRPr="00F96F12">
        <w:rPr>
          <w:rFonts w:ascii="Ubuntu" w:hAnsi="Ubuntu"/>
          <w:sz w:val="16"/>
          <w:szCs w:val="16"/>
        </w:rPr>
        <w:t>Capocaccia</w:t>
      </w:r>
      <w:proofErr w:type="spellEnd"/>
      <w:r w:rsidRPr="00F96F12">
        <w:rPr>
          <w:rFonts w:ascii="Ubuntu" w:hAnsi="Ubuntu"/>
          <w:sz w:val="16"/>
          <w:szCs w:val="16"/>
        </w:rPr>
        <w:t xml:space="preserve"> R, 2004. Standard cancer patient population for age standardising survival ratio. European Journal of Cancer 40: 2307-2316</w:t>
      </w:r>
    </w:p>
    <w:p w14:paraId="2F5D657E" w14:textId="77777777" w:rsidR="00176D76" w:rsidRDefault="00176D76">
      <w:pPr>
        <w:pStyle w:val="FootnoteText"/>
      </w:pPr>
    </w:p>
  </w:footnote>
  <w:footnote w:id="9">
    <w:p w14:paraId="58D245A1" w14:textId="79455AE5" w:rsidR="00176D76" w:rsidRDefault="00176D76">
      <w:pPr>
        <w:pStyle w:val="FootnoteText"/>
        <w:rPr>
          <w:rFonts w:ascii="Ubuntu" w:hAnsi="Ubuntu"/>
          <w:sz w:val="16"/>
          <w:szCs w:val="16"/>
        </w:rPr>
      </w:pPr>
      <w:r>
        <w:rPr>
          <w:rStyle w:val="FootnoteReference"/>
        </w:rPr>
        <w:footnoteRef/>
      </w:r>
      <w:r>
        <w:t xml:space="preserve"> </w:t>
      </w:r>
      <w:r w:rsidRPr="008D414B">
        <w:rPr>
          <w:rFonts w:ascii="Ubuntu" w:hAnsi="Ubuntu"/>
          <w:sz w:val="16"/>
          <w:szCs w:val="16"/>
        </w:rPr>
        <w:t xml:space="preserve">Kaplan, E. L., and Paul Meier. “Nonparametric Estimation from Incomplete Observations.” Journal of the American Statistical Association, vol. 53, no. 282, 1958, pp. 457–81. JSTOR, </w:t>
      </w:r>
      <w:hyperlink r:id="rId3" w:history="1">
        <w:r w:rsidRPr="006F2D03">
          <w:rPr>
            <w:rStyle w:val="Hyperlink"/>
            <w:rFonts w:ascii="Ubuntu" w:hAnsi="Ubuntu"/>
            <w:sz w:val="16"/>
            <w:szCs w:val="16"/>
          </w:rPr>
          <w:t>https://doi.org/10.2307/2281868. Accessed 21 Nov. 2023</w:t>
        </w:r>
      </w:hyperlink>
    </w:p>
    <w:p w14:paraId="4977C667" w14:textId="77777777" w:rsidR="00176D76" w:rsidRDefault="00176D76">
      <w:pPr>
        <w:pStyle w:val="FootnoteText"/>
      </w:pPr>
    </w:p>
  </w:footnote>
  <w:footnote w:id="10">
    <w:p w14:paraId="76C0163C" w14:textId="585DC5C5" w:rsidR="00176D76" w:rsidRPr="00F96F12" w:rsidRDefault="00176D76" w:rsidP="00BE6425">
      <w:pPr>
        <w:tabs>
          <w:tab w:val="left" w:pos="2280"/>
        </w:tabs>
        <w:jc w:val="both"/>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Tiwari, Clegg and Zou (2006); Efficient interval estimation for age-adjusted cancer rates; Statistical Methods in Medical Research </w:t>
      </w:r>
      <w:r w:rsidRPr="00F96F12">
        <w:rPr>
          <w:rStyle w:val="HTMLTypewriter"/>
          <w:rFonts w:ascii="Ubuntu" w:eastAsiaTheme="minorHAnsi" w:hAnsi="Ubuntu"/>
          <w:sz w:val="16"/>
          <w:szCs w:val="16"/>
        </w:rPr>
        <w:t>15: 547–569</w:t>
      </w:r>
    </w:p>
  </w:footnote>
  <w:footnote w:id="11">
    <w:p w14:paraId="1622D15E" w14:textId="3BCA4156" w:rsidR="00176D76" w:rsidRPr="00F96F12" w:rsidRDefault="00176D76" w:rsidP="00BE6425">
      <w:pPr>
        <w:pStyle w:val="Footer"/>
        <w:keepLines/>
        <w:rPr>
          <w:rFonts w:ascii="Ubuntu"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Fay and Feuer (1997); Confidence intervals for directly standardized rates: A method based on the gamma distribution; Statistics in Medicine 16: 791-801</w:t>
      </w:r>
    </w:p>
    <w:p w14:paraId="59394759" w14:textId="77777777" w:rsidR="00176D76" w:rsidRPr="00F96F12" w:rsidRDefault="00176D76" w:rsidP="00BE6425">
      <w:pPr>
        <w:pStyle w:val="Footer"/>
        <w:keepLines/>
        <w:rPr>
          <w:rFonts w:ascii="Ubuntu" w:hAnsi="Ubuntu"/>
          <w:sz w:val="16"/>
          <w:szCs w:val="16"/>
        </w:rPr>
      </w:pPr>
    </w:p>
  </w:footnote>
  <w:footnote w:id="12">
    <w:p w14:paraId="0FB7F91E" w14:textId="77777777" w:rsidR="00176D76" w:rsidRPr="00F96F12" w:rsidRDefault="00176D76" w:rsidP="00BE6425">
      <w:pPr>
        <w:pStyle w:val="Footer"/>
        <w:keepLines/>
        <w:rPr>
          <w:rStyle w:val="HTMLTypewriter"/>
          <w:rFonts w:ascii="Ubuntu" w:eastAsiaTheme="minorHAnsi" w:hAnsi="Ubuntu"/>
          <w:sz w:val="16"/>
          <w:szCs w:val="16"/>
        </w:rPr>
      </w:pPr>
      <w:r w:rsidRPr="00F96F12">
        <w:rPr>
          <w:rStyle w:val="FootnoteReference"/>
          <w:rFonts w:ascii="Ubuntu" w:hAnsi="Ubuntu"/>
          <w:sz w:val="16"/>
          <w:szCs w:val="16"/>
        </w:rPr>
        <w:footnoteRef/>
      </w:r>
      <w:r w:rsidRPr="00F96F12">
        <w:rPr>
          <w:rFonts w:ascii="Ubuntu" w:hAnsi="Ubuntu"/>
          <w:sz w:val="16"/>
          <w:szCs w:val="16"/>
        </w:rPr>
        <w:t xml:space="preserve"> </w:t>
      </w:r>
      <w:r w:rsidRPr="00F96F12">
        <w:rPr>
          <w:rStyle w:val="HTMLTypewriter"/>
          <w:rFonts w:ascii="Ubuntu" w:eastAsiaTheme="minorHAnsi" w:hAnsi="Ubuntu"/>
          <w:sz w:val="16"/>
          <w:szCs w:val="16"/>
        </w:rPr>
        <w:t xml:space="preserve">Wilson, E.B. Probable inference, the law of succession, and statistical inference.  J Am Stat Assoc. 1927; 22:09-212.  Cited in Altman D.G. et </w:t>
      </w:r>
      <w:proofErr w:type="gramStart"/>
      <w:r w:rsidRPr="00F96F12">
        <w:rPr>
          <w:rStyle w:val="HTMLTypewriter"/>
          <w:rFonts w:ascii="Ubuntu" w:eastAsiaTheme="minorHAnsi" w:hAnsi="Ubuntu"/>
          <w:sz w:val="16"/>
          <w:szCs w:val="16"/>
        </w:rPr>
        <w:t>al  Statistics</w:t>
      </w:r>
      <w:proofErr w:type="gramEnd"/>
      <w:r w:rsidRPr="00F96F12">
        <w:rPr>
          <w:rStyle w:val="HTMLTypewriter"/>
          <w:rFonts w:ascii="Ubuntu" w:eastAsiaTheme="minorHAnsi" w:hAnsi="Ubuntu"/>
          <w:sz w:val="16"/>
          <w:szCs w:val="16"/>
        </w:rPr>
        <w:t xml:space="preserve"> with Confidence (2nd </w:t>
      </w:r>
      <w:proofErr w:type="spellStart"/>
      <w:r w:rsidRPr="00F96F12">
        <w:rPr>
          <w:rStyle w:val="HTMLTypewriter"/>
          <w:rFonts w:ascii="Ubuntu" w:eastAsiaTheme="minorHAnsi" w:hAnsi="Ubuntu"/>
          <w:sz w:val="16"/>
          <w:szCs w:val="16"/>
        </w:rPr>
        <w:t>edn</w:t>
      </w:r>
      <w:proofErr w:type="spellEnd"/>
      <w:r w:rsidRPr="00F96F12">
        <w:rPr>
          <w:rStyle w:val="HTMLTypewriter"/>
          <w:rFonts w:ascii="Ubuntu" w:eastAsiaTheme="minorHAnsi" w:hAnsi="Ubuntu"/>
          <w:sz w:val="16"/>
          <w:szCs w:val="16"/>
        </w:rPr>
        <w:t>). 2000. BMJ Books: UK (page 46)</w:t>
      </w:r>
    </w:p>
    <w:p w14:paraId="47D7F574" w14:textId="1FDCACD9" w:rsidR="00176D76" w:rsidRDefault="00176D76" w:rsidP="00BE6425">
      <w:pPr>
        <w:pStyle w:val="Footer"/>
        <w:keepLines/>
        <w:rPr>
          <w:rFonts w:ascii="Verdana" w:hAnsi="Verdana"/>
          <w:sz w:val="16"/>
          <w:szCs w:val="16"/>
        </w:rPr>
      </w:pPr>
    </w:p>
    <w:p w14:paraId="42F042F9" w14:textId="77777777" w:rsidR="00176D76" w:rsidRDefault="00176D76" w:rsidP="00BE6425">
      <w:pPr>
        <w:tabs>
          <w:tab w:val="left" w:pos="2280"/>
        </w:tabs>
        <w:jc w:val="both"/>
        <w:rPr>
          <w:rStyle w:val="HTMLTypewriter"/>
          <w:rFonts w:ascii="Verdana" w:eastAsiaTheme="minorHAnsi" w:hAnsi="Verdana"/>
          <w:sz w:val="16"/>
          <w:szCs w:val="16"/>
        </w:rPr>
      </w:pPr>
    </w:p>
    <w:p w14:paraId="16463083" w14:textId="77777777" w:rsidR="00176D76" w:rsidRPr="002D6569" w:rsidRDefault="00176D76" w:rsidP="00BE6425">
      <w:pPr>
        <w:tabs>
          <w:tab w:val="left" w:pos="2280"/>
        </w:tabs>
        <w:jc w:val="both"/>
        <w:rPr>
          <w:rFonts w:ascii="Verdana" w:hAnsi="Verdana"/>
          <w:sz w:val="20"/>
          <w:szCs w:val="20"/>
        </w:rPr>
      </w:pPr>
    </w:p>
    <w:p w14:paraId="1DBFD434" w14:textId="77777777" w:rsidR="00176D76" w:rsidRDefault="00176D76" w:rsidP="00BE6425">
      <w:pPr>
        <w:pStyle w:val="FootnoteText"/>
      </w:pPr>
    </w:p>
  </w:footnote>
  <w:footnote w:id="13">
    <w:p w14:paraId="03798DA0" w14:textId="77777777" w:rsidR="00176D76" w:rsidRPr="00F96F12" w:rsidRDefault="00176D76" w:rsidP="00CB041A">
      <w:pPr>
        <w:pStyle w:val="FootnoteText"/>
        <w:rPr>
          <w:rFonts w:ascii="Ubuntu" w:hAnsi="Ubuntu"/>
          <w:sz w:val="16"/>
          <w:szCs w:val="16"/>
        </w:rPr>
      </w:pPr>
      <w:r w:rsidRPr="00F96F12">
        <w:rPr>
          <w:rStyle w:val="FootnoteReference"/>
          <w:rFonts w:ascii="Ubuntu" w:hAnsi="Ubuntu"/>
          <w:sz w:val="16"/>
          <w:szCs w:val="16"/>
        </w:rPr>
        <w:footnoteRef/>
      </w:r>
      <w:r w:rsidRPr="00F96F12">
        <w:rPr>
          <w:rStyle w:val="Hyperlink"/>
          <w:rFonts w:ascii="Ubuntu" w:hAnsi="Ubuntu"/>
          <w:sz w:val="16"/>
          <w:szCs w:val="16"/>
        </w:rPr>
        <w:t xml:space="preserve"> </w:t>
      </w:r>
      <w:hyperlink r:id="rId4" w:history="1">
        <w:r w:rsidRPr="00F96F12">
          <w:rPr>
            <w:rStyle w:val="Hyperlink"/>
            <w:rFonts w:ascii="Ubuntu" w:hAnsi="Ubuntu"/>
            <w:sz w:val="16"/>
            <w:szCs w:val="16"/>
          </w:rPr>
          <w:t>https://www.encr.eu/sites/default/files/inline-files/Cancer%20Data%20Quality%20Checks%20Procedure%20Report%20online.pdf</w:t>
        </w:r>
      </w:hyperlink>
    </w:p>
  </w:footnote>
  <w:footnote w:id="14">
    <w:p w14:paraId="4E60D96F" w14:textId="77777777" w:rsidR="00BA4EAA" w:rsidRDefault="00BA4EAA" w:rsidP="00BA4EAA">
      <w:pPr>
        <w:pStyle w:val="FootnoteText"/>
      </w:pPr>
      <w:r>
        <w:rPr>
          <w:rStyle w:val="FootnoteReference"/>
        </w:rPr>
        <w:footnoteRef/>
      </w:r>
      <w:r>
        <w:t xml:space="preserve"> </w:t>
      </w:r>
      <w:hyperlink r:id="rId5" w:history="1">
        <w:r w:rsidRPr="00937104">
          <w:rPr>
            <w:rStyle w:val="Hyperlink"/>
          </w:rPr>
          <w:t>https://www.ncbi.nlm.nih.gov/pmc/articles/PMC4851786/pdf/12889_2015_Article_2534.pdf</w:t>
        </w:r>
      </w:hyperlink>
    </w:p>
  </w:footnote>
  <w:footnote w:id="15">
    <w:p w14:paraId="45BA4A61" w14:textId="77777777" w:rsidR="00176D76" w:rsidRPr="002E3EF3" w:rsidRDefault="00176D76" w:rsidP="00466933">
      <w:pPr>
        <w:spacing w:after="120"/>
        <w:jc w:val="both"/>
        <w:rPr>
          <w:rFonts w:ascii="Verdana" w:hAnsi="Verdana"/>
          <w:sz w:val="20"/>
          <w:szCs w:val="20"/>
        </w:rPr>
      </w:pPr>
      <w:r>
        <w:rPr>
          <w:rStyle w:val="FootnoteReference"/>
        </w:rPr>
        <w:footnoteRef/>
      </w:r>
      <w:r>
        <w:t xml:space="preserve"> </w:t>
      </w:r>
      <w:proofErr w:type="spellStart"/>
      <w:r w:rsidRPr="69ACC922">
        <w:rPr>
          <w:rFonts w:ascii="Verdana" w:hAnsi="Verdana"/>
          <w:sz w:val="16"/>
          <w:szCs w:val="16"/>
        </w:rPr>
        <w:t>Corazziari</w:t>
      </w:r>
      <w:proofErr w:type="spellEnd"/>
      <w:r w:rsidRPr="69ACC922">
        <w:rPr>
          <w:rFonts w:ascii="Verdana" w:hAnsi="Verdana"/>
          <w:sz w:val="16"/>
          <w:szCs w:val="16"/>
        </w:rPr>
        <w:t xml:space="preserve"> I, Quinn M, </w:t>
      </w:r>
      <w:proofErr w:type="spellStart"/>
      <w:r w:rsidRPr="69ACC922">
        <w:rPr>
          <w:rFonts w:ascii="Verdana" w:hAnsi="Verdana"/>
          <w:sz w:val="16"/>
          <w:szCs w:val="16"/>
        </w:rPr>
        <w:t>Capocaccia</w:t>
      </w:r>
      <w:proofErr w:type="spellEnd"/>
      <w:r w:rsidRPr="69ACC922">
        <w:rPr>
          <w:rFonts w:ascii="Verdana" w:hAnsi="Verdana"/>
          <w:sz w:val="16"/>
          <w:szCs w:val="16"/>
        </w:rPr>
        <w:t xml:space="preserve"> R, 2004. Standard cancer patient population for age standardising survival ratio. European Journal of Cancer 40: 2307-2316</w:t>
      </w:r>
    </w:p>
    <w:p w14:paraId="072363B0" w14:textId="5AB8D06E" w:rsidR="00176D76" w:rsidRDefault="00176D7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743774" w14:textId="4CBBD5BF" w:rsidR="00176D76" w:rsidRDefault="00176D76">
    <w:pPr>
      <w:pStyle w:val="Header"/>
    </w:pPr>
    <w:r>
      <w:rPr>
        <w:noProof/>
        <w:lang w:eastAsia="en-GB"/>
      </w:rPr>
      <w:drawing>
        <wp:anchor distT="0" distB="0" distL="114300" distR="114300" simplePos="0" relativeHeight="251658240" behindDoc="0" locked="0" layoutInCell="1" allowOverlap="1" wp14:anchorId="4B29907B" wp14:editId="2882650D">
          <wp:simplePos x="0" y="0"/>
          <wp:positionH relativeFrom="column">
            <wp:posOffset>-930303</wp:posOffset>
          </wp:positionH>
          <wp:positionV relativeFrom="paragraph">
            <wp:posOffset>0</wp:posOffset>
          </wp:positionV>
          <wp:extent cx="7617350" cy="897890"/>
          <wp:effectExtent l="0" t="0" r="3175" b="0"/>
          <wp:wrapNone/>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8069" cy="8979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1" behindDoc="0" locked="0" layoutInCell="1" allowOverlap="1" wp14:anchorId="1149B4C5" wp14:editId="35E932E1">
          <wp:simplePos x="0" y="0"/>
          <wp:positionH relativeFrom="column">
            <wp:posOffset>-572494</wp:posOffset>
          </wp:positionH>
          <wp:positionV relativeFrom="paragraph">
            <wp:posOffset>214382</wp:posOffset>
          </wp:positionV>
          <wp:extent cx="2210435" cy="517525"/>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210435" cy="5175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0176D76" w14:paraId="5185D13A" w14:textId="77777777" w:rsidTr="00644626">
      <w:trPr>
        <w:trHeight w:val="300"/>
      </w:trPr>
      <w:tc>
        <w:tcPr>
          <w:tcW w:w="3005" w:type="dxa"/>
        </w:tcPr>
        <w:p w14:paraId="39E1A2C7" w14:textId="68775D00" w:rsidR="00176D76" w:rsidRDefault="00176D76" w:rsidP="00644626">
          <w:pPr>
            <w:pStyle w:val="Header"/>
            <w:ind w:left="-115"/>
          </w:pPr>
        </w:p>
      </w:tc>
      <w:tc>
        <w:tcPr>
          <w:tcW w:w="3005" w:type="dxa"/>
        </w:tcPr>
        <w:p w14:paraId="501919B9" w14:textId="00AAD969" w:rsidR="00176D76" w:rsidRDefault="00176D76" w:rsidP="00644626">
          <w:pPr>
            <w:pStyle w:val="Header"/>
            <w:jc w:val="center"/>
          </w:pPr>
        </w:p>
      </w:tc>
      <w:tc>
        <w:tcPr>
          <w:tcW w:w="3005" w:type="dxa"/>
        </w:tcPr>
        <w:p w14:paraId="68CAAA9F" w14:textId="66CBE053" w:rsidR="00176D76" w:rsidRDefault="00176D76" w:rsidP="00644626">
          <w:pPr>
            <w:pStyle w:val="Header"/>
            <w:ind w:right="-115"/>
            <w:jc w:val="right"/>
          </w:pPr>
        </w:p>
      </w:tc>
    </w:tr>
  </w:tbl>
  <w:p w14:paraId="427BCDE8" w14:textId="44FF38A4" w:rsidR="00176D76" w:rsidRDefault="00176D76" w:rsidP="00E10281">
    <w:pPr>
      <w:pStyle w:val="Header"/>
    </w:pPr>
  </w:p>
</w:hdr>
</file>

<file path=word/intelligence2.xml><?xml version="1.0" encoding="utf-8"?>
<int2:intelligence xmlns:int2="http://schemas.microsoft.com/office/intelligence/2020/intelligence" xmlns:oel="http://schemas.microsoft.com/office/2019/extlst">
  <int2:observations>
    <int2:textHash int2:hashCode="yM4rDEaSQPcYqv" int2:id="xONopDsi">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D421F"/>
    <w:multiLevelType w:val="hybridMultilevel"/>
    <w:tmpl w:val="60F63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45A51"/>
    <w:multiLevelType w:val="multilevel"/>
    <w:tmpl w:val="5838C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AC20E4"/>
    <w:multiLevelType w:val="hybridMultilevel"/>
    <w:tmpl w:val="EDDEF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A20E8"/>
    <w:multiLevelType w:val="hybridMultilevel"/>
    <w:tmpl w:val="5CEC32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8A13AF"/>
    <w:multiLevelType w:val="hybridMultilevel"/>
    <w:tmpl w:val="C178A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1559E5"/>
    <w:multiLevelType w:val="hybridMultilevel"/>
    <w:tmpl w:val="EBD4D3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C71CA8"/>
    <w:multiLevelType w:val="hybridMultilevel"/>
    <w:tmpl w:val="11EE5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261F45"/>
    <w:multiLevelType w:val="hybridMultilevel"/>
    <w:tmpl w:val="F47240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0D6D44"/>
    <w:multiLevelType w:val="hybridMultilevel"/>
    <w:tmpl w:val="44D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6539A5"/>
    <w:multiLevelType w:val="hybridMultilevel"/>
    <w:tmpl w:val="59989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831BF1"/>
    <w:multiLevelType w:val="hybridMultilevel"/>
    <w:tmpl w:val="3F2E4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985899"/>
    <w:multiLevelType w:val="hybridMultilevel"/>
    <w:tmpl w:val="6B82B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2E704C"/>
    <w:multiLevelType w:val="hybridMultilevel"/>
    <w:tmpl w:val="AC2A5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1A315B"/>
    <w:multiLevelType w:val="hybridMultilevel"/>
    <w:tmpl w:val="584A7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8E17D0"/>
    <w:multiLevelType w:val="hybridMultilevel"/>
    <w:tmpl w:val="5B949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59575F"/>
    <w:multiLevelType w:val="multilevel"/>
    <w:tmpl w:val="29180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D6E3D20"/>
    <w:multiLevelType w:val="hybridMultilevel"/>
    <w:tmpl w:val="82CA0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EC47EA1"/>
    <w:multiLevelType w:val="hybridMultilevel"/>
    <w:tmpl w:val="71403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951170"/>
    <w:multiLevelType w:val="hybridMultilevel"/>
    <w:tmpl w:val="56C055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6151E31"/>
    <w:multiLevelType w:val="hybridMultilevel"/>
    <w:tmpl w:val="C5447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C622AA"/>
    <w:multiLevelType w:val="multilevel"/>
    <w:tmpl w:val="18641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3E17860"/>
    <w:multiLevelType w:val="hybridMultilevel"/>
    <w:tmpl w:val="B90CB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056040"/>
    <w:multiLevelType w:val="hybridMultilevel"/>
    <w:tmpl w:val="7DDA9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F37F39"/>
    <w:multiLevelType w:val="multilevel"/>
    <w:tmpl w:val="1220A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3D87D14"/>
    <w:multiLevelType w:val="hybridMultilevel"/>
    <w:tmpl w:val="9B8CD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ED7646"/>
    <w:multiLevelType w:val="hybridMultilevel"/>
    <w:tmpl w:val="4F5831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54B06B7"/>
    <w:multiLevelType w:val="hybridMultilevel"/>
    <w:tmpl w:val="8F1C9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5945D9"/>
    <w:multiLevelType w:val="hybridMultilevel"/>
    <w:tmpl w:val="D0C23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27623446">
    <w:abstractNumId w:val="7"/>
  </w:num>
  <w:num w:numId="2" w16cid:durableId="277106637">
    <w:abstractNumId w:val="26"/>
  </w:num>
  <w:num w:numId="3" w16cid:durableId="617024688">
    <w:abstractNumId w:val="5"/>
  </w:num>
  <w:num w:numId="4" w16cid:durableId="2026469020">
    <w:abstractNumId w:val="17"/>
  </w:num>
  <w:num w:numId="5" w16cid:durableId="1349217772">
    <w:abstractNumId w:val="4"/>
  </w:num>
  <w:num w:numId="6" w16cid:durableId="341664357">
    <w:abstractNumId w:val="27"/>
  </w:num>
  <w:num w:numId="7" w16cid:durableId="2142333896">
    <w:abstractNumId w:val="10"/>
  </w:num>
  <w:num w:numId="8" w16cid:durableId="753209326">
    <w:abstractNumId w:val="14"/>
  </w:num>
  <w:num w:numId="9" w16cid:durableId="739258419">
    <w:abstractNumId w:val="0"/>
  </w:num>
  <w:num w:numId="10" w16cid:durableId="765930157">
    <w:abstractNumId w:val="18"/>
  </w:num>
  <w:num w:numId="11" w16cid:durableId="1482966171">
    <w:abstractNumId w:val="16"/>
  </w:num>
  <w:num w:numId="12" w16cid:durableId="1477335402">
    <w:abstractNumId w:val="9"/>
  </w:num>
  <w:num w:numId="13" w16cid:durableId="1791777561">
    <w:abstractNumId w:val="8"/>
  </w:num>
  <w:num w:numId="14" w16cid:durableId="2038581027">
    <w:abstractNumId w:val="6"/>
  </w:num>
  <w:num w:numId="15" w16cid:durableId="431627993">
    <w:abstractNumId w:val="24"/>
  </w:num>
  <w:num w:numId="16" w16cid:durableId="1482848770">
    <w:abstractNumId w:val="19"/>
  </w:num>
  <w:num w:numId="17" w16cid:durableId="1022627205">
    <w:abstractNumId w:val="2"/>
  </w:num>
  <w:num w:numId="18" w16cid:durableId="897788484">
    <w:abstractNumId w:val="21"/>
  </w:num>
  <w:num w:numId="19" w16cid:durableId="773985744">
    <w:abstractNumId w:val="12"/>
  </w:num>
  <w:num w:numId="20" w16cid:durableId="514998815">
    <w:abstractNumId w:val="11"/>
  </w:num>
  <w:num w:numId="21" w16cid:durableId="1520050619">
    <w:abstractNumId w:val="25"/>
  </w:num>
  <w:num w:numId="22" w16cid:durableId="1203135790">
    <w:abstractNumId w:val="13"/>
  </w:num>
  <w:num w:numId="23" w16cid:durableId="1038973855">
    <w:abstractNumId w:val="3"/>
  </w:num>
  <w:num w:numId="24" w16cid:durableId="1810122257">
    <w:abstractNumId w:val="22"/>
  </w:num>
  <w:num w:numId="25" w16cid:durableId="2107192946">
    <w:abstractNumId w:val="23"/>
  </w:num>
  <w:num w:numId="26" w16cid:durableId="1815560653">
    <w:abstractNumId w:val="15"/>
  </w:num>
  <w:num w:numId="27" w16cid:durableId="169300979">
    <w:abstractNumId w:val="1"/>
  </w:num>
  <w:num w:numId="28" w16cid:durableId="94183760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2E8"/>
    <w:rsid w:val="00003BBD"/>
    <w:rsid w:val="00004822"/>
    <w:rsid w:val="00004964"/>
    <w:rsid w:val="00006738"/>
    <w:rsid w:val="00010F06"/>
    <w:rsid w:val="00014DF3"/>
    <w:rsid w:val="0001546F"/>
    <w:rsid w:val="00016011"/>
    <w:rsid w:val="0002085A"/>
    <w:rsid w:val="00020D68"/>
    <w:rsid w:val="000241BA"/>
    <w:rsid w:val="00026B97"/>
    <w:rsid w:val="00027121"/>
    <w:rsid w:val="00030721"/>
    <w:rsid w:val="00031000"/>
    <w:rsid w:val="00031D1B"/>
    <w:rsid w:val="00034BFB"/>
    <w:rsid w:val="00035DB6"/>
    <w:rsid w:val="000363DA"/>
    <w:rsid w:val="000407E0"/>
    <w:rsid w:val="00040D94"/>
    <w:rsid w:val="0004128B"/>
    <w:rsid w:val="000436AA"/>
    <w:rsid w:val="00044DD8"/>
    <w:rsid w:val="00044EAC"/>
    <w:rsid w:val="00046B00"/>
    <w:rsid w:val="00046FBA"/>
    <w:rsid w:val="00051661"/>
    <w:rsid w:val="000549C7"/>
    <w:rsid w:val="00054C98"/>
    <w:rsid w:val="00057B0C"/>
    <w:rsid w:val="000601C3"/>
    <w:rsid w:val="0006258E"/>
    <w:rsid w:val="000626A2"/>
    <w:rsid w:val="00062DF4"/>
    <w:rsid w:val="00065025"/>
    <w:rsid w:val="00066986"/>
    <w:rsid w:val="000673D3"/>
    <w:rsid w:val="0007010C"/>
    <w:rsid w:val="0007304F"/>
    <w:rsid w:val="00073620"/>
    <w:rsid w:val="00077DF6"/>
    <w:rsid w:val="00083989"/>
    <w:rsid w:val="00084B86"/>
    <w:rsid w:val="00094EA8"/>
    <w:rsid w:val="00097A32"/>
    <w:rsid w:val="000A0016"/>
    <w:rsid w:val="000A3B73"/>
    <w:rsid w:val="000B0890"/>
    <w:rsid w:val="000B191C"/>
    <w:rsid w:val="000B1974"/>
    <w:rsid w:val="000B1BED"/>
    <w:rsid w:val="000B2DC4"/>
    <w:rsid w:val="000B7E22"/>
    <w:rsid w:val="000D1011"/>
    <w:rsid w:val="000D1152"/>
    <w:rsid w:val="000D540B"/>
    <w:rsid w:val="000D5429"/>
    <w:rsid w:val="000D5A00"/>
    <w:rsid w:val="000D717F"/>
    <w:rsid w:val="000D7558"/>
    <w:rsid w:val="000E410C"/>
    <w:rsid w:val="000F043E"/>
    <w:rsid w:val="000F0487"/>
    <w:rsid w:val="000F29FF"/>
    <w:rsid w:val="000F34D6"/>
    <w:rsid w:val="000F4E32"/>
    <w:rsid w:val="000F58E5"/>
    <w:rsid w:val="000F5C77"/>
    <w:rsid w:val="001015B5"/>
    <w:rsid w:val="00103FD8"/>
    <w:rsid w:val="00104675"/>
    <w:rsid w:val="001055A5"/>
    <w:rsid w:val="00105D57"/>
    <w:rsid w:val="00106CE5"/>
    <w:rsid w:val="00107A79"/>
    <w:rsid w:val="0011208D"/>
    <w:rsid w:val="001120E9"/>
    <w:rsid w:val="00113C1D"/>
    <w:rsid w:val="00114FFB"/>
    <w:rsid w:val="00115657"/>
    <w:rsid w:val="00115CB6"/>
    <w:rsid w:val="001200C3"/>
    <w:rsid w:val="00122834"/>
    <w:rsid w:val="00123233"/>
    <w:rsid w:val="00124D08"/>
    <w:rsid w:val="001256A9"/>
    <w:rsid w:val="001310E9"/>
    <w:rsid w:val="0013125D"/>
    <w:rsid w:val="0013348C"/>
    <w:rsid w:val="0013470F"/>
    <w:rsid w:val="00135C78"/>
    <w:rsid w:val="001366A4"/>
    <w:rsid w:val="001407E8"/>
    <w:rsid w:val="001416A1"/>
    <w:rsid w:val="0014242E"/>
    <w:rsid w:val="00144037"/>
    <w:rsid w:val="001446E2"/>
    <w:rsid w:val="00145109"/>
    <w:rsid w:val="00146130"/>
    <w:rsid w:val="001519B7"/>
    <w:rsid w:val="00152A7F"/>
    <w:rsid w:val="001561A0"/>
    <w:rsid w:val="001567FC"/>
    <w:rsid w:val="001624F1"/>
    <w:rsid w:val="00165BFA"/>
    <w:rsid w:val="00171CA2"/>
    <w:rsid w:val="00172298"/>
    <w:rsid w:val="0017244F"/>
    <w:rsid w:val="00173F6B"/>
    <w:rsid w:val="00174FC9"/>
    <w:rsid w:val="00175A1C"/>
    <w:rsid w:val="00176D76"/>
    <w:rsid w:val="00177BE8"/>
    <w:rsid w:val="00182B4A"/>
    <w:rsid w:val="00186B72"/>
    <w:rsid w:val="001872FF"/>
    <w:rsid w:val="001877B5"/>
    <w:rsid w:val="00187D44"/>
    <w:rsid w:val="0019072B"/>
    <w:rsid w:val="00190901"/>
    <w:rsid w:val="00192F40"/>
    <w:rsid w:val="00193E30"/>
    <w:rsid w:val="00194531"/>
    <w:rsid w:val="001952B0"/>
    <w:rsid w:val="001A0418"/>
    <w:rsid w:val="001A0D37"/>
    <w:rsid w:val="001A21BE"/>
    <w:rsid w:val="001A2F5A"/>
    <w:rsid w:val="001A4438"/>
    <w:rsid w:val="001A471F"/>
    <w:rsid w:val="001A6327"/>
    <w:rsid w:val="001A6574"/>
    <w:rsid w:val="001B716B"/>
    <w:rsid w:val="001C186F"/>
    <w:rsid w:val="001C1C34"/>
    <w:rsid w:val="001C3F21"/>
    <w:rsid w:val="001C54FC"/>
    <w:rsid w:val="001D1DFB"/>
    <w:rsid w:val="001D3AE3"/>
    <w:rsid w:val="001D3E19"/>
    <w:rsid w:val="001E364E"/>
    <w:rsid w:val="001E4E3A"/>
    <w:rsid w:val="001E53D6"/>
    <w:rsid w:val="001E65E3"/>
    <w:rsid w:val="001E72A3"/>
    <w:rsid w:val="001E7BA6"/>
    <w:rsid w:val="001F0D5E"/>
    <w:rsid w:val="001F1E23"/>
    <w:rsid w:val="001F27D4"/>
    <w:rsid w:val="001F595E"/>
    <w:rsid w:val="001F5B9A"/>
    <w:rsid w:val="001F73D0"/>
    <w:rsid w:val="00201490"/>
    <w:rsid w:val="00201B3E"/>
    <w:rsid w:val="00207020"/>
    <w:rsid w:val="002126C9"/>
    <w:rsid w:val="002172CD"/>
    <w:rsid w:val="002173CA"/>
    <w:rsid w:val="00220A3A"/>
    <w:rsid w:val="00223AB5"/>
    <w:rsid w:val="00226640"/>
    <w:rsid w:val="00230640"/>
    <w:rsid w:val="0023141C"/>
    <w:rsid w:val="00232D89"/>
    <w:rsid w:val="0023536D"/>
    <w:rsid w:val="00236349"/>
    <w:rsid w:val="00246EBD"/>
    <w:rsid w:val="00252EE1"/>
    <w:rsid w:val="002530D3"/>
    <w:rsid w:val="00254116"/>
    <w:rsid w:val="00255815"/>
    <w:rsid w:val="0025648A"/>
    <w:rsid w:val="00256597"/>
    <w:rsid w:val="0026316F"/>
    <w:rsid w:val="00263668"/>
    <w:rsid w:val="0026378B"/>
    <w:rsid w:val="002650FE"/>
    <w:rsid w:val="00267D82"/>
    <w:rsid w:val="00272A1B"/>
    <w:rsid w:val="00272F8F"/>
    <w:rsid w:val="00273718"/>
    <w:rsid w:val="0027708B"/>
    <w:rsid w:val="002803A6"/>
    <w:rsid w:val="002803C3"/>
    <w:rsid w:val="00284835"/>
    <w:rsid w:val="00284F5A"/>
    <w:rsid w:val="00285089"/>
    <w:rsid w:val="00286D9A"/>
    <w:rsid w:val="00287C38"/>
    <w:rsid w:val="00292960"/>
    <w:rsid w:val="002A06D7"/>
    <w:rsid w:val="002A2E10"/>
    <w:rsid w:val="002A38C8"/>
    <w:rsid w:val="002A40F6"/>
    <w:rsid w:val="002A4AF5"/>
    <w:rsid w:val="002A4E55"/>
    <w:rsid w:val="002A4EA9"/>
    <w:rsid w:val="002A5A52"/>
    <w:rsid w:val="002A63DA"/>
    <w:rsid w:val="002B2A5A"/>
    <w:rsid w:val="002B516B"/>
    <w:rsid w:val="002B678D"/>
    <w:rsid w:val="002B7728"/>
    <w:rsid w:val="002B7C12"/>
    <w:rsid w:val="002C0366"/>
    <w:rsid w:val="002C04D8"/>
    <w:rsid w:val="002C069A"/>
    <w:rsid w:val="002C2388"/>
    <w:rsid w:val="002C2670"/>
    <w:rsid w:val="002C4088"/>
    <w:rsid w:val="002C70DD"/>
    <w:rsid w:val="002C7C60"/>
    <w:rsid w:val="002D2CA3"/>
    <w:rsid w:val="002D3E6D"/>
    <w:rsid w:val="002D448F"/>
    <w:rsid w:val="002D5ADF"/>
    <w:rsid w:val="002D6FB1"/>
    <w:rsid w:val="002D7B57"/>
    <w:rsid w:val="002E24F6"/>
    <w:rsid w:val="002E2A51"/>
    <w:rsid w:val="002E3EF3"/>
    <w:rsid w:val="002E4580"/>
    <w:rsid w:val="002F0D38"/>
    <w:rsid w:val="002F10D5"/>
    <w:rsid w:val="00304409"/>
    <w:rsid w:val="00304846"/>
    <w:rsid w:val="00307359"/>
    <w:rsid w:val="00311070"/>
    <w:rsid w:val="003117DA"/>
    <w:rsid w:val="003170BF"/>
    <w:rsid w:val="00317A89"/>
    <w:rsid w:val="00320855"/>
    <w:rsid w:val="0032228F"/>
    <w:rsid w:val="0032235B"/>
    <w:rsid w:val="00323B42"/>
    <w:rsid w:val="003311FE"/>
    <w:rsid w:val="00332331"/>
    <w:rsid w:val="0033764D"/>
    <w:rsid w:val="00340083"/>
    <w:rsid w:val="003423CD"/>
    <w:rsid w:val="00345DCD"/>
    <w:rsid w:val="0034614B"/>
    <w:rsid w:val="00347458"/>
    <w:rsid w:val="00351CAC"/>
    <w:rsid w:val="00354506"/>
    <w:rsid w:val="00357E74"/>
    <w:rsid w:val="003607B5"/>
    <w:rsid w:val="00361588"/>
    <w:rsid w:val="00362E0A"/>
    <w:rsid w:val="00363B74"/>
    <w:rsid w:val="00363EA0"/>
    <w:rsid w:val="00364090"/>
    <w:rsid w:val="0036424D"/>
    <w:rsid w:val="0036498D"/>
    <w:rsid w:val="003664DB"/>
    <w:rsid w:val="00366FFA"/>
    <w:rsid w:val="00367022"/>
    <w:rsid w:val="00374A1E"/>
    <w:rsid w:val="00380778"/>
    <w:rsid w:val="00380AD3"/>
    <w:rsid w:val="00383D3A"/>
    <w:rsid w:val="00387E63"/>
    <w:rsid w:val="00387E80"/>
    <w:rsid w:val="00390C2C"/>
    <w:rsid w:val="003917F1"/>
    <w:rsid w:val="0039722B"/>
    <w:rsid w:val="003A0B3E"/>
    <w:rsid w:val="003A1DA5"/>
    <w:rsid w:val="003A479A"/>
    <w:rsid w:val="003A4FC7"/>
    <w:rsid w:val="003A6061"/>
    <w:rsid w:val="003A7755"/>
    <w:rsid w:val="003B0CAC"/>
    <w:rsid w:val="003B1128"/>
    <w:rsid w:val="003B30CA"/>
    <w:rsid w:val="003B34AE"/>
    <w:rsid w:val="003B35DD"/>
    <w:rsid w:val="003B36C7"/>
    <w:rsid w:val="003B42C2"/>
    <w:rsid w:val="003B47ED"/>
    <w:rsid w:val="003B715F"/>
    <w:rsid w:val="003C1FC8"/>
    <w:rsid w:val="003C6225"/>
    <w:rsid w:val="003C730B"/>
    <w:rsid w:val="003D11DE"/>
    <w:rsid w:val="003D1EBC"/>
    <w:rsid w:val="003D2715"/>
    <w:rsid w:val="003D3C0A"/>
    <w:rsid w:val="003D4909"/>
    <w:rsid w:val="003D668B"/>
    <w:rsid w:val="003E00B6"/>
    <w:rsid w:val="003E342A"/>
    <w:rsid w:val="003E4027"/>
    <w:rsid w:val="003E4F54"/>
    <w:rsid w:val="003F126E"/>
    <w:rsid w:val="003F1F93"/>
    <w:rsid w:val="003F20BE"/>
    <w:rsid w:val="003F4CB1"/>
    <w:rsid w:val="003F615C"/>
    <w:rsid w:val="003F633F"/>
    <w:rsid w:val="00401158"/>
    <w:rsid w:val="004014DA"/>
    <w:rsid w:val="00401614"/>
    <w:rsid w:val="00402184"/>
    <w:rsid w:val="00404A87"/>
    <w:rsid w:val="00411998"/>
    <w:rsid w:val="00411E39"/>
    <w:rsid w:val="0041313E"/>
    <w:rsid w:val="00416633"/>
    <w:rsid w:val="004179CE"/>
    <w:rsid w:val="004215E3"/>
    <w:rsid w:val="004238E7"/>
    <w:rsid w:val="0042566E"/>
    <w:rsid w:val="004328A0"/>
    <w:rsid w:val="00437924"/>
    <w:rsid w:val="00440492"/>
    <w:rsid w:val="00442862"/>
    <w:rsid w:val="004433F1"/>
    <w:rsid w:val="00444166"/>
    <w:rsid w:val="004444D9"/>
    <w:rsid w:val="004450E3"/>
    <w:rsid w:val="00447F2A"/>
    <w:rsid w:val="00450EC0"/>
    <w:rsid w:val="0045142A"/>
    <w:rsid w:val="004547E5"/>
    <w:rsid w:val="00460AB7"/>
    <w:rsid w:val="004646F6"/>
    <w:rsid w:val="0046623D"/>
    <w:rsid w:val="00466933"/>
    <w:rsid w:val="004713A8"/>
    <w:rsid w:val="00474140"/>
    <w:rsid w:val="004762DC"/>
    <w:rsid w:val="00476BF8"/>
    <w:rsid w:val="0047A52E"/>
    <w:rsid w:val="00482210"/>
    <w:rsid w:val="00483218"/>
    <w:rsid w:val="0048597F"/>
    <w:rsid w:val="00487A8B"/>
    <w:rsid w:val="0049104A"/>
    <w:rsid w:val="00492B71"/>
    <w:rsid w:val="00494179"/>
    <w:rsid w:val="004A51D6"/>
    <w:rsid w:val="004A665E"/>
    <w:rsid w:val="004A77EE"/>
    <w:rsid w:val="004B033C"/>
    <w:rsid w:val="004B102D"/>
    <w:rsid w:val="004B1A50"/>
    <w:rsid w:val="004B4D3D"/>
    <w:rsid w:val="004C1F30"/>
    <w:rsid w:val="004C34CE"/>
    <w:rsid w:val="004C3B22"/>
    <w:rsid w:val="004C5F48"/>
    <w:rsid w:val="004D13FA"/>
    <w:rsid w:val="004D6AB2"/>
    <w:rsid w:val="004D7688"/>
    <w:rsid w:val="004D7C39"/>
    <w:rsid w:val="004E4A5C"/>
    <w:rsid w:val="004E4F67"/>
    <w:rsid w:val="004E4F9B"/>
    <w:rsid w:val="004F09B9"/>
    <w:rsid w:val="004F2203"/>
    <w:rsid w:val="004F40D6"/>
    <w:rsid w:val="004F480D"/>
    <w:rsid w:val="004F5922"/>
    <w:rsid w:val="004F7413"/>
    <w:rsid w:val="00500AB2"/>
    <w:rsid w:val="00502428"/>
    <w:rsid w:val="00506292"/>
    <w:rsid w:val="005076CB"/>
    <w:rsid w:val="005103F9"/>
    <w:rsid w:val="005117F5"/>
    <w:rsid w:val="00512AB3"/>
    <w:rsid w:val="00513295"/>
    <w:rsid w:val="005168AB"/>
    <w:rsid w:val="005201E8"/>
    <w:rsid w:val="005203A0"/>
    <w:rsid w:val="00520A64"/>
    <w:rsid w:val="00523A77"/>
    <w:rsid w:val="00524716"/>
    <w:rsid w:val="0052566A"/>
    <w:rsid w:val="005339F0"/>
    <w:rsid w:val="0053417D"/>
    <w:rsid w:val="00535183"/>
    <w:rsid w:val="0054030A"/>
    <w:rsid w:val="005434F8"/>
    <w:rsid w:val="0054406E"/>
    <w:rsid w:val="00544521"/>
    <w:rsid w:val="005465DF"/>
    <w:rsid w:val="005507F2"/>
    <w:rsid w:val="00552BDD"/>
    <w:rsid w:val="00553ACD"/>
    <w:rsid w:val="00554E2B"/>
    <w:rsid w:val="005608B9"/>
    <w:rsid w:val="00562E50"/>
    <w:rsid w:val="00564296"/>
    <w:rsid w:val="005658C9"/>
    <w:rsid w:val="00566E25"/>
    <w:rsid w:val="00571A21"/>
    <w:rsid w:val="00573CEF"/>
    <w:rsid w:val="0057428C"/>
    <w:rsid w:val="005756EB"/>
    <w:rsid w:val="0057593D"/>
    <w:rsid w:val="005764F6"/>
    <w:rsid w:val="005805E7"/>
    <w:rsid w:val="00593F42"/>
    <w:rsid w:val="00595110"/>
    <w:rsid w:val="005979CE"/>
    <w:rsid w:val="00597BF9"/>
    <w:rsid w:val="005A4155"/>
    <w:rsid w:val="005A44D8"/>
    <w:rsid w:val="005A5DF3"/>
    <w:rsid w:val="005A5EC8"/>
    <w:rsid w:val="005A6BA5"/>
    <w:rsid w:val="005B1F50"/>
    <w:rsid w:val="005B668C"/>
    <w:rsid w:val="005B6F9A"/>
    <w:rsid w:val="005C17F7"/>
    <w:rsid w:val="005C1A0D"/>
    <w:rsid w:val="005C2B0F"/>
    <w:rsid w:val="005C3681"/>
    <w:rsid w:val="005C41C9"/>
    <w:rsid w:val="005C454C"/>
    <w:rsid w:val="005C6006"/>
    <w:rsid w:val="005C64A7"/>
    <w:rsid w:val="005C757B"/>
    <w:rsid w:val="005D5329"/>
    <w:rsid w:val="005D53F5"/>
    <w:rsid w:val="005E003E"/>
    <w:rsid w:val="005E09FE"/>
    <w:rsid w:val="005E2E19"/>
    <w:rsid w:val="005E4208"/>
    <w:rsid w:val="005E4591"/>
    <w:rsid w:val="005F683D"/>
    <w:rsid w:val="005F7F84"/>
    <w:rsid w:val="00600CCB"/>
    <w:rsid w:val="0060117D"/>
    <w:rsid w:val="0060485A"/>
    <w:rsid w:val="00605B22"/>
    <w:rsid w:val="00607A8D"/>
    <w:rsid w:val="00611206"/>
    <w:rsid w:val="0061286D"/>
    <w:rsid w:val="006154EC"/>
    <w:rsid w:val="006156C8"/>
    <w:rsid w:val="00616A4F"/>
    <w:rsid w:val="006172A2"/>
    <w:rsid w:val="00617B9F"/>
    <w:rsid w:val="00621413"/>
    <w:rsid w:val="00626CC2"/>
    <w:rsid w:val="0063069F"/>
    <w:rsid w:val="006338F8"/>
    <w:rsid w:val="006364E1"/>
    <w:rsid w:val="00637ECF"/>
    <w:rsid w:val="00641258"/>
    <w:rsid w:val="00643300"/>
    <w:rsid w:val="00644626"/>
    <w:rsid w:val="00644B16"/>
    <w:rsid w:val="0064670D"/>
    <w:rsid w:val="00650944"/>
    <w:rsid w:val="00650CD8"/>
    <w:rsid w:val="0065188A"/>
    <w:rsid w:val="00657197"/>
    <w:rsid w:val="0066119F"/>
    <w:rsid w:val="00661C8E"/>
    <w:rsid w:val="00666A08"/>
    <w:rsid w:val="00666F6E"/>
    <w:rsid w:val="0067055C"/>
    <w:rsid w:val="0067349D"/>
    <w:rsid w:val="00674F44"/>
    <w:rsid w:val="006753B1"/>
    <w:rsid w:val="00677143"/>
    <w:rsid w:val="00677C68"/>
    <w:rsid w:val="00681141"/>
    <w:rsid w:val="00681F03"/>
    <w:rsid w:val="0068205D"/>
    <w:rsid w:val="0068376D"/>
    <w:rsid w:val="006848AE"/>
    <w:rsid w:val="00685877"/>
    <w:rsid w:val="00685CA0"/>
    <w:rsid w:val="00697307"/>
    <w:rsid w:val="006A08AF"/>
    <w:rsid w:val="006A09EE"/>
    <w:rsid w:val="006A0F8E"/>
    <w:rsid w:val="006A22B7"/>
    <w:rsid w:val="006A2BA1"/>
    <w:rsid w:val="006A3699"/>
    <w:rsid w:val="006A4858"/>
    <w:rsid w:val="006A5587"/>
    <w:rsid w:val="006A7E35"/>
    <w:rsid w:val="006A7F4A"/>
    <w:rsid w:val="006B2253"/>
    <w:rsid w:val="006B274D"/>
    <w:rsid w:val="006B38F2"/>
    <w:rsid w:val="006C2955"/>
    <w:rsid w:val="006C4CA0"/>
    <w:rsid w:val="006C6834"/>
    <w:rsid w:val="006C789A"/>
    <w:rsid w:val="006C7941"/>
    <w:rsid w:val="006D4826"/>
    <w:rsid w:val="006E1806"/>
    <w:rsid w:val="006E4118"/>
    <w:rsid w:val="006E48AD"/>
    <w:rsid w:val="006E54EC"/>
    <w:rsid w:val="006F01EC"/>
    <w:rsid w:val="006F08E8"/>
    <w:rsid w:val="006F1B47"/>
    <w:rsid w:val="006F63A6"/>
    <w:rsid w:val="007012BF"/>
    <w:rsid w:val="007022DD"/>
    <w:rsid w:val="0070402C"/>
    <w:rsid w:val="00706628"/>
    <w:rsid w:val="007076C0"/>
    <w:rsid w:val="007102E8"/>
    <w:rsid w:val="00715245"/>
    <w:rsid w:val="0071579B"/>
    <w:rsid w:val="00717A05"/>
    <w:rsid w:val="00721C3D"/>
    <w:rsid w:val="0072375D"/>
    <w:rsid w:val="007257D1"/>
    <w:rsid w:val="00725ADC"/>
    <w:rsid w:val="00725F5A"/>
    <w:rsid w:val="00726854"/>
    <w:rsid w:val="00736F64"/>
    <w:rsid w:val="007410CE"/>
    <w:rsid w:val="00741BC8"/>
    <w:rsid w:val="007420AC"/>
    <w:rsid w:val="00742386"/>
    <w:rsid w:val="007428EF"/>
    <w:rsid w:val="007436BC"/>
    <w:rsid w:val="00745D82"/>
    <w:rsid w:val="00750DC3"/>
    <w:rsid w:val="0075251A"/>
    <w:rsid w:val="00754C2A"/>
    <w:rsid w:val="00760CF3"/>
    <w:rsid w:val="00765C45"/>
    <w:rsid w:val="0076639E"/>
    <w:rsid w:val="00766B88"/>
    <w:rsid w:val="0077591A"/>
    <w:rsid w:val="007765DB"/>
    <w:rsid w:val="007775B2"/>
    <w:rsid w:val="0077F597"/>
    <w:rsid w:val="007819B0"/>
    <w:rsid w:val="007820A9"/>
    <w:rsid w:val="007828DE"/>
    <w:rsid w:val="007834E8"/>
    <w:rsid w:val="00784E60"/>
    <w:rsid w:val="00790192"/>
    <w:rsid w:val="00790E6C"/>
    <w:rsid w:val="00791349"/>
    <w:rsid w:val="00791C3D"/>
    <w:rsid w:val="007941F9"/>
    <w:rsid w:val="007A0F4A"/>
    <w:rsid w:val="007A5E12"/>
    <w:rsid w:val="007A612C"/>
    <w:rsid w:val="007B00F3"/>
    <w:rsid w:val="007B5BA4"/>
    <w:rsid w:val="007B7E86"/>
    <w:rsid w:val="007C0184"/>
    <w:rsid w:val="007C23B4"/>
    <w:rsid w:val="007C27DE"/>
    <w:rsid w:val="007C4574"/>
    <w:rsid w:val="007D1A4C"/>
    <w:rsid w:val="007D41E5"/>
    <w:rsid w:val="007D7544"/>
    <w:rsid w:val="007E48A5"/>
    <w:rsid w:val="007E4F6D"/>
    <w:rsid w:val="007E5409"/>
    <w:rsid w:val="007E6887"/>
    <w:rsid w:val="007F0A5A"/>
    <w:rsid w:val="007F11D2"/>
    <w:rsid w:val="007F1FAE"/>
    <w:rsid w:val="007F24F9"/>
    <w:rsid w:val="007F3BD1"/>
    <w:rsid w:val="007F426F"/>
    <w:rsid w:val="007F6988"/>
    <w:rsid w:val="007F6FC4"/>
    <w:rsid w:val="00800430"/>
    <w:rsid w:val="00803866"/>
    <w:rsid w:val="00803B06"/>
    <w:rsid w:val="00804256"/>
    <w:rsid w:val="008069A8"/>
    <w:rsid w:val="00807CFF"/>
    <w:rsid w:val="00810624"/>
    <w:rsid w:val="00811D9B"/>
    <w:rsid w:val="00813CE5"/>
    <w:rsid w:val="00815DD9"/>
    <w:rsid w:val="00816269"/>
    <w:rsid w:val="00816726"/>
    <w:rsid w:val="008174EF"/>
    <w:rsid w:val="00817C4A"/>
    <w:rsid w:val="008259FD"/>
    <w:rsid w:val="00826779"/>
    <w:rsid w:val="00826AD9"/>
    <w:rsid w:val="008308F9"/>
    <w:rsid w:val="0083255F"/>
    <w:rsid w:val="00834F50"/>
    <w:rsid w:val="0083527E"/>
    <w:rsid w:val="00842C4C"/>
    <w:rsid w:val="00845DBE"/>
    <w:rsid w:val="0085148C"/>
    <w:rsid w:val="0085373A"/>
    <w:rsid w:val="00854855"/>
    <w:rsid w:val="0085774A"/>
    <w:rsid w:val="00860570"/>
    <w:rsid w:val="00862B4E"/>
    <w:rsid w:val="0086498E"/>
    <w:rsid w:val="00866985"/>
    <w:rsid w:val="008728FF"/>
    <w:rsid w:val="00872CE7"/>
    <w:rsid w:val="00873650"/>
    <w:rsid w:val="00874D8A"/>
    <w:rsid w:val="008770F9"/>
    <w:rsid w:val="0087770A"/>
    <w:rsid w:val="00882DC3"/>
    <w:rsid w:val="00883A65"/>
    <w:rsid w:val="008841FC"/>
    <w:rsid w:val="0088620D"/>
    <w:rsid w:val="0088663C"/>
    <w:rsid w:val="0089017E"/>
    <w:rsid w:val="00893A15"/>
    <w:rsid w:val="00896AB9"/>
    <w:rsid w:val="00896D34"/>
    <w:rsid w:val="008A0831"/>
    <w:rsid w:val="008B604C"/>
    <w:rsid w:val="008C2778"/>
    <w:rsid w:val="008C30EE"/>
    <w:rsid w:val="008C3B7A"/>
    <w:rsid w:val="008C3CD6"/>
    <w:rsid w:val="008C41B1"/>
    <w:rsid w:val="008C6AAC"/>
    <w:rsid w:val="008D0CE5"/>
    <w:rsid w:val="008D414B"/>
    <w:rsid w:val="008E085E"/>
    <w:rsid w:val="008E4A31"/>
    <w:rsid w:val="008E5D0A"/>
    <w:rsid w:val="008E61A4"/>
    <w:rsid w:val="008E73E1"/>
    <w:rsid w:val="008F1A76"/>
    <w:rsid w:val="008F3FDE"/>
    <w:rsid w:val="008F75C3"/>
    <w:rsid w:val="008F79CA"/>
    <w:rsid w:val="00900A12"/>
    <w:rsid w:val="00901CAA"/>
    <w:rsid w:val="009033A0"/>
    <w:rsid w:val="00910413"/>
    <w:rsid w:val="00913042"/>
    <w:rsid w:val="00916023"/>
    <w:rsid w:val="009191A9"/>
    <w:rsid w:val="00921520"/>
    <w:rsid w:val="00922D02"/>
    <w:rsid w:val="00923B4F"/>
    <w:rsid w:val="00923E36"/>
    <w:rsid w:val="00925CBA"/>
    <w:rsid w:val="00926516"/>
    <w:rsid w:val="00927457"/>
    <w:rsid w:val="009306E4"/>
    <w:rsid w:val="00932846"/>
    <w:rsid w:val="00932C26"/>
    <w:rsid w:val="0093537F"/>
    <w:rsid w:val="00937104"/>
    <w:rsid w:val="009400B8"/>
    <w:rsid w:val="00943F59"/>
    <w:rsid w:val="00946667"/>
    <w:rsid w:val="00950FA9"/>
    <w:rsid w:val="00951111"/>
    <w:rsid w:val="0095332A"/>
    <w:rsid w:val="00954A88"/>
    <w:rsid w:val="00954AFE"/>
    <w:rsid w:val="0095536C"/>
    <w:rsid w:val="009600D9"/>
    <w:rsid w:val="009609CE"/>
    <w:rsid w:val="00961E9F"/>
    <w:rsid w:val="0096525B"/>
    <w:rsid w:val="00965560"/>
    <w:rsid w:val="00965DD4"/>
    <w:rsid w:val="0097004B"/>
    <w:rsid w:val="00971913"/>
    <w:rsid w:val="00971C67"/>
    <w:rsid w:val="00971F70"/>
    <w:rsid w:val="00972133"/>
    <w:rsid w:val="009729DF"/>
    <w:rsid w:val="00972BFD"/>
    <w:rsid w:val="00976EFA"/>
    <w:rsid w:val="009779F6"/>
    <w:rsid w:val="009814A7"/>
    <w:rsid w:val="00983107"/>
    <w:rsid w:val="00987D05"/>
    <w:rsid w:val="009906AE"/>
    <w:rsid w:val="0099160F"/>
    <w:rsid w:val="0099280A"/>
    <w:rsid w:val="0099453C"/>
    <w:rsid w:val="00997976"/>
    <w:rsid w:val="009A61E2"/>
    <w:rsid w:val="009A7328"/>
    <w:rsid w:val="009B1C00"/>
    <w:rsid w:val="009B1CF1"/>
    <w:rsid w:val="009B429A"/>
    <w:rsid w:val="009B4320"/>
    <w:rsid w:val="009B4431"/>
    <w:rsid w:val="009B4CD1"/>
    <w:rsid w:val="009B4F49"/>
    <w:rsid w:val="009B54EB"/>
    <w:rsid w:val="009B5B1B"/>
    <w:rsid w:val="009B5BE2"/>
    <w:rsid w:val="009C3118"/>
    <w:rsid w:val="009C3B37"/>
    <w:rsid w:val="009C5890"/>
    <w:rsid w:val="009C68E7"/>
    <w:rsid w:val="009D22B9"/>
    <w:rsid w:val="009D39C0"/>
    <w:rsid w:val="009D447A"/>
    <w:rsid w:val="009D6AD9"/>
    <w:rsid w:val="009E1FA4"/>
    <w:rsid w:val="009E5CAC"/>
    <w:rsid w:val="009F0C30"/>
    <w:rsid w:val="009F0E21"/>
    <w:rsid w:val="009F1D8E"/>
    <w:rsid w:val="009F4578"/>
    <w:rsid w:val="009F5532"/>
    <w:rsid w:val="009F5F56"/>
    <w:rsid w:val="009F738C"/>
    <w:rsid w:val="00A01EEE"/>
    <w:rsid w:val="00A0207B"/>
    <w:rsid w:val="00A03593"/>
    <w:rsid w:val="00A05379"/>
    <w:rsid w:val="00A0719A"/>
    <w:rsid w:val="00A071EC"/>
    <w:rsid w:val="00A07BB8"/>
    <w:rsid w:val="00A07FBF"/>
    <w:rsid w:val="00A12128"/>
    <w:rsid w:val="00A12425"/>
    <w:rsid w:val="00A129BA"/>
    <w:rsid w:val="00A15673"/>
    <w:rsid w:val="00A15D9F"/>
    <w:rsid w:val="00A1732E"/>
    <w:rsid w:val="00A21442"/>
    <w:rsid w:val="00A246CF"/>
    <w:rsid w:val="00A25763"/>
    <w:rsid w:val="00A30BCF"/>
    <w:rsid w:val="00A32AB7"/>
    <w:rsid w:val="00A33043"/>
    <w:rsid w:val="00A3503F"/>
    <w:rsid w:val="00A354E1"/>
    <w:rsid w:val="00A40F92"/>
    <w:rsid w:val="00A414BC"/>
    <w:rsid w:val="00A41D34"/>
    <w:rsid w:val="00A433E5"/>
    <w:rsid w:val="00A44E0E"/>
    <w:rsid w:val="00A46B53"/>
    <w:rsid w:val="00A4712E"/>
    <w:rsid w:val="00A513E4"/>
    <w:rsid w:val="00A53626"/>
    <w:rsid w:val="00A579C9"/>
    <w:rsid w:val="00A6050E"/>
    <w:rsid w:val="00A640C5"/>
    <w:rsid w:val="00A6693B"/>
    <w:rsid w:val="00A7024C"/>
    <w:rsid w:val="00A731EF"/>
    <w:rsid w:val="00A753C3"/>
    <w:rsid w:val="00A80D69"/>
    <w:rsid w:val="00A81651"/>
    <w:rsid w:val="00A816BF"/>
    <w:rsid w:val="00A81969"/>
    <w:rsid w:val="00A82C34"/>
    <w:rsid w:val="00A847F6"/>
    <w:rsid w:val="00A8756E"/>
    <w:rsid w:val="00A87D8F"/>
    <w:rsid w:val="00A92979"/>
    <w:rsid w:val="00A955EF"/>
    <w:rsid w:val="00A9744C"/>
    <w:rsid w:val="00AA46CD"/>
    <w:rsid w:val="00AA4EFB"/>
    <w:rsid w:val="00AA660C"/>
    <w:rsid w:val="00AB14CA"/>
    <w:rsid w:val="00AB20FE"/>
    <w:rsid w:val="00AB4AD6"/>
    <w:rsid w:val="00AB680F"/>
    <w:rsid w:val="00AC3E15"/>
    <w:rsid w:val="00AD1B0F"/>
    <w:rsid w:val="00AD1CDF"/>
    <w:rsid w:val="00AD348A"/>
    <w:rsid w:val="00AD4A4C"/>
    <w:rsid w:val="00AD59E7"/>
    <w:rsid w:val="00AD5D16"/>
    <w:rsid w:val="00AE3119"/>
    <w:rsid w:val="00AF2A5A"/>
    <w:rsid w:val="00AF5AF5"/>
    <w:rsid w:val="00B01417"/>
    <w:rsid w:val="00B020F9"/>
    <w:rsid w:val="00B10F5D"/>
    <w:rsid w:val="00B11862"/>
    <w:rsid w:val="00B11A39"/>
    <w:rsid w:val="00B20836"/>
    <w:rsid w:val="00B35BB7"/>
    <w:rsid w:val="00B36162"/>
    <w:rsid w:val="00B40C8E"/>
    <w:rsid w:val="00B41838"/>
    <w:rsid w:val="00B41C58"/>
    <w:rsid w:val="00B420A7"/>
    <w:rsid w:val="00B448E6"/>
    <w:rsid w:val="00B50C07"/>
    <w:rsid w:val="00B52F61"/>
    <w:rsid w:val="00B54359"/>
    <w:rsid w:val="00B547E0"/>
    <w:rsid w:val="00B54888"/>
    <w:rsid w:val="00B64137"/>
    <w:rsid w:val="00B64A58"/>
    <w:rsid w:val="00B67984"/>
    <w:rsid w:val="00B74E20"/>
    <w:rsid w:val="00B74E7E"/>
    <w:rsid w:val="00B7678B"/>
    <w:rsid w:val="00B768F4"/>
    <w:rsid w:val="00B76C51"/>
    <w:rsid w:val="00B77378"/>
    <w:rsid w:val="00B82EFE"/>
    <w:rsid w:val="00B8559E"/>
    <w:rsid w:val="00B870A1"/>
    <w:rsid w:val="00B92690"/>
    <w:rsid w:val="00B936DF"/>
    <w:rsid w:val="00B955AE"/>
    <w:rsid w:val="00B96A88"/>
    <w:rsid w:val="00BA009F"/>
    <w:rsid w:val="00BA0C85"/>
    <w:rsid w:val="00BA219D"/>
    <w:rsid w:val="00BA4EAA"/>
    <w:rsid w:val="00BA4FBD"/>
    <w:rsid w:val="00BA62DC"/>
    <w:rsid w:val="00BB15D8"/>
    <w:rsid w:val="00BB402C"/>
    <w:rsid w:val="00BB4686"/>
    <w:rsid w:val="00BB72B2"/>
    <w:rsid w:val="00BC2CA9"/>
    <w:rsid w:val="00BC2D57"/>
    <w:rsid w:val="00BC5D8D"/>
    <w:rsid w:val="00BC69C1"/>
    <w:rsid w:val="00BD0251"/>
    <w:rsid w:val="00BD24C1"/>
    <w:rsid w:val="00BD4778"/>
    <w:rsid w:val="00BD52D5"/>
    <w:rsid w:val="00BE0114"/>
    <w:rsid w:val="00BE1E71"/>
    <w:rsid w:val="00BE6425"/>
    <w:rsid w:val="00BE790D"/>
    <w:rsid w:val="00BE7C55"/>
    <w:rsid w:val="00BF3A04"/>
    <w:rsid w:val="00C00754"/>
    <w:rsid w:val="00C042E1"/>
    <w:rsid w:val="00C0585B"/>
    <w:rsid w:val="00C05956"/>
    <w:rsid w:val="00C0737C"/>
    <w:rsid w:val="00C07AB0"/>
    <w:rsid w:val="00C1116B"/>
    <w:rsid w:val="00C14ED9"/>
    <w:rsid w:val="00C212E8"/>
    <w:rsid w:val="00C2256F"/>
    <w:rsid w:val="00C22F9D"/>
    <w:rsid w:val="00C27CD8"/>
    <w:rsid w:val="00C30DEF"/>
    <w:rsid w:val="00C31D9E"/>
    <w:rsid w:val="00C32D58"/>
    <w:rsid w:val="00C32E8E"/>
    <w:rsid w:val="00C35493"/>
    <w:rsid w:val="00C36144"/>
    <w:rsid w:val="00C3657E"/>
    <w:rsid w:val="00C36812"/>
    <w:rsid w:val="00C42FC9"/>
    <w:rsid w:val="00C43149"/>
    <w:rsid w:val="00C437E0"/>
    <w:rsid w:val="00C43AAF"/>
    <w:rsid w:val="00C45430"/>
    <w:rsid w:val="00C47974"/>
    <w:rsid w:val="00C50BA2"/>
    <w:rsid w:val="00C5191C"/>
    <w:rsid w:val="00C545E4"/>
    <w:rsid w:val="00C56967"/>
    <w:rsid w:val="00C579CB"/>
    <w:rsid w:val="00C607C7"/>
    <w:rsid w:val="00C60C3F"/>
    <w:rsid w:val="00C61340"/>
    <w:rsid w:val="00C62A52"/>
    <w:rsid w:val="00C64A9F"/>
    <w:rsid w:val="00C64F27"/>
    <w:rsid w:val="00C65631"/>
    <w:rsid w:val="00C65D71"/>
    <w:rsid w:val="00C67BC3"/>
    <w:rsid w:val="00C70742"/>
    <w:rsid w:val="00C70C96"/>
    <w:rsid w:val="00C70ECB"/>
    <w:rsid w:val="00C73004"/>
    <w:rsid w:val="00C73D20"/>
    <w:rsid w:val="00C74405"/>
    <w:rsid w:val="00C80535"/>
    <w:rsid w:val="00C8288B"/>
    <w:rsid w:val="00C84450"/>
    <w:rsid w:val="00C8544E"/>
    <w:rsid w:val="00C864CD"/>
    <w:rsid w:val="00C8768D"/>
    <w:rsid w:val="00C8779E"/>
    <w:rsid w:val="00C91358"/>
    <w:rsid w:val="00C91426"/>
    <w:rsid w:val="00C92C9A"/>
    <w:rsid w:val="00CA2FC0"/>
    <w:rsid w:val="00CA4117"/>
    <w:rsid w:val="00CA651B"/>
    <w:rsid w:val="00CA7C1E"/>
    <w:rsid w:val="00CB041A"/>
    <w:rsid w:val="00CB2634"/>
    <w:rsid w:val="00CB499F"/>
    <w:rsid w:val="00CC3784"/>
    <w:rsid w:val="00CC5E6B"/>
    <w:rsid w:val="00CC626F"/>
    <w:rsid w:val="00CD0358"/>
    <w:rsid w:val="00CD3EC8"/>
    <w:rsid w:val="00CD6215"/>
    <w:rsid w:val="00CE08D5"/>
    <w:rsid w:val="00CE1940"/>
    <w:rsid w:val="00CE310E"/>
    <w:rsid w:val="00CF0E06"/>
    <w:rsid w:val="00CF0EEC"/>
    <w:rsid w:val="00CF161E"/>
    <w:rsid w:val="00CF19E2"/>
    <w:rsid w:val="00D01A21"/>
    <w:rsid w:val="00D04053"/>
    <w:rsid w:val="00D05578"/>
    <w:rsid w:val="00D06BC6"/>
    <w:rsid w:val="00D06C4E"/>
    <w:rsid w:val="00D10697"/>
    <w:rsid w:val="00D116AB"/>
    <w:rsid w:val="00D1180A"/>
    <w:rsid w:val="00D11C34"/>
    <w:rsid w:val="00D12171"/>
    <w:rsid w:val="00D127C0"/>
    <w:rsid w:val="00D15873"/>
    <w:rsid w:val="00D15F99"/>
    <w:rsid w:val="00D16E31"/>
    <w:rsid w:val="00D2078D"/>
    <w:rsid w:val="00D22F4B"/>
    <w:rsid w:val="00D2393C"/>
    <w:rsid w:val="00D27167"/>
    <w:rsid w:val="00D27AF0"/>
    <w:rsid w:val="00D27DB0"/>
    <w:rsid w:val="00D27DD1"/>
    <w:rsid w:val="00D27DF9"/>
    <w:rsid w:val="00D27F54"/>
    <w:rsid w:val="00D3520F"/>
    <w:rsid w:val="00D3634B"/>
    <w:rsid w:val="00D36E31"/>
    <w:rsid w:val="00D4246D"/>
    <w:rsid w:val="00D448B5"/>
    <w:rsid w:val="00D47190"/>
    <w:rsid w:val="00D47FD1"/>
    <w:rsid w:val="00D50C88"/>
    <w:rsid w:val="00D51A64"/>
    <w:rsid w:val="00D5694F"/>
    <w:rsid w:val="00D64B67"/>
    <w:rsid w:val="00D6578C"/>
    <w:rsid w:val="00D66260"/>
    <w:rsid w:val="00D71330"/>
    <w:rsid w:val="00D7482A"/>
    <w:rsid w:val="00D804C4"/>
    <w:rsid w:val="00D8147D"/>
    <w:rsid w:val="00D81752"/>
    <w:rsid w:val="00D826D7"/>
    <w:rsid w:val="00D836A2"/>
    <w:rsid w:val="00D837FA"/>
    <w:rsid w:val="00D83F49"/>
    <w:rsid w:val="00D8575D"/>
    <w:rsid w:val="00D85828"/>
    <w:rsid w:val="00D87072"/>
    <w:rsid w:val="00D8727F"/>
    <w:rsid w:val="00D8783C"/>
    <w:rsid w:val="00D902C6"/>
    <w:rsid w:val="00D924D2"/>
    <w:rsid w:val="00D92DFE"/>
    <w:rsid w:val="00D95620"/>
    <w:rsid w:val="00D965C6"/>
    <w:rsid w:val="00D9724A"/>
    <w:rsid w:val="00DA0270"/>
    <w:rsid w:val="00DA04F0"/>
    <w:rsid w:val="00DA1D2C"/>
    <w:rsid w:val="00DA4FC1"/>
    <w:rsid w:val="00DB35C9"/>
    <w:rsid w:val="00DB4D67"/>
    <w:rsid w:val="00DC0C51"/>
    <w:rsid w:val="00DC2A95"/>
    <w:rsid w:val="00DC5439"/>
    <w:rsid w:val="00DC54C0"/>
    <w:rsid w:val="00DC6CEB"/>
    <w:rsid w:val="00DC72BC"/>
    <w:rsid w:val="00DD299F"/>
    <w:rsid w:val="00DD5B27"/>
    <w:rsid w:val="00DD621C"/>
    <w:rsid w:val="00DE190B"/>
    <w:rsid w:val="00DE6D8C"/>
    <w:rsid w:val="00DF27F1"/>
    <w:rsid w:val="00DF519F"/>
    <w:rsid w:val="00DF52A8"/>
    <w:rsid w:val="00E00688"/>
    <w:rsid w:val="00E00C1C"/>
    <w:rsid w:val="00E02E02"/>
    <w:rsid w:val="00E07838"/>
    <w:rsid w:val="00E10281"/>
    <w:rsid w:val="00E111B0"/>
    <w:rsid w:val="00E11943"/>
    <w:rsid w:val="00E124A7"/>
    <w:rsid w:val="00E133DB"/>
    <w:rsid w:val="00E175FE"/>
    <w:rsid w:val="00E17AA0"/>
    <w:rsid w:val="00E21727"/>
    <w:rsid w:val="00E220A4"/>
    <w:rsid w:val="00E22715"/>
    <w:rsid w:val="00E26C35"/>
    <w:rsid w:val="00E316FE"/>
    <w:rsid w:val="00E32431"/>
    <w:rsid w:val="00E33018"/>
    <w:rsid w:val="00E3496C"/>
    <w:rsid w:val="00E35289"/>
    <w:rsid w:val="00E35584"/>
    <w:rsid w:val="00E35A5D"/>
    <w:rsid w:val="00E360AF"/>
    <w:rsid w:val="00E36A22"/>
    <w:rsid w:val="00E4315E"/>
    <w:rsid w:val="00E43A91"/>
    <w:rsid w:val="00E452A5"/>
    <w:rsid w:val="00E52C79"/>
    <w:rsid w:val="00E57F73"/>
    <w:rsid w:val="00E60AD8"/>
    <w:rsid w:val="00E63ACC"/>
    <w:rsid w:val="00E63D45"/>
    <w:rsid w:val="00E65DE2"/>
    <w:rsid w:val="00E66C15"/>
    <w:rsid w:val="00E72D62"/>
    <w:rsid w:val="00E77D73"/>
    <w:rsid w:val="00E81C8B"/>
    <w:rsid w:val="00E82275"/>
    <w:rsid w:val="00E8283C"/>
    <w:rsid w:val="00E87411"/>
    <w:rsid w:val="00E913D8"/>
    <w:rsid w:val="00E91BBF"/>
    <w:rsid w:val="00E9203F"/>
    <w:rsid w:val="00E96EB6"/>
    <w:rsid w:val="00EA2E8A"/>
    <w:rsid w:val="00EA333C"/>
    <w:rsid w:val="00EA3663"/>
    <w:rsid w:val="00EB0475"/>
    <w:rsid w:val="00EB056E"/>
    <w:rsid w:val="00EB258F"/>
    <w:rsid w:val="00EB4F0D"/>
    <w:rsid w:val="00EB64D2"/>
    <w:rsid w:val="00EB6679"/>
    <w:rsid w:val="00EC0F69"/>
    <w:rsid w:val="00EC2E50"/>
    <w:rsid w:val="00ED1561"/>
    <w:rsid w:val="00ED22FB"/>
    <w:rsid w:val="00ED2ACF"/>
    <w:rsid w:val="00ED2EAE"/>
    <w:rsid w:val="00ED5672"/>
    <w:rsid w:val="00ED67DA"/>
    <w:rsid w:val="00EE1A87"/>
    <w:rsid w:val="00EE1AC5"/>
    <w:rsid w:val="00EE4506"/>
    <w:rsid w:val="00EE69BE"/>
    <w:rsid w:val="00EE7A3F"/>
    <w:rsid w:val="00EF001A"/>
    <w:rsid w:val="00EF3059"/>
    <w:rsid w:val="00EF3A69"/>
    <w:rsid w:val="00EF595A"/>
    <w:rsid w:val="00EF5EFD"/>
    <w:rsid w:val="00EF60FA"/>
    <w:rsid w:val="00F02197"/>
    <w:rsid w:val="00F02E05"/>
    <w:rsid w:val="00F056CB"/>
    <w:rsid w:val="00F060FE"/>
    <w:rsid w:val="00F10586"/>
    <w:rsid w:val="00F10E52"/>
    <w:rsid w:val="00F12088"/>
    <w:rsid w:val="00F20CE6"/>
    <w:rsid w:val="00F2473A"/>
    <w:rsid w:val="00F271CC"/>
    <w:rsid w:val="00F3089E"/>
    <w:rsid w:val="00F338FF"/>
    <w:rsid w:val="00F3447F"/>
    <w:rsid w:val="00F356E7"/>
    <w:rsid w:val="00F36767"/>
    <w:rsid w:val="00F36DFB"/>
    <w:rsid w:val="00F4141D"/>
    <w:rsid w:val="00F41A38"/>
    <w:rsid w:val="00F46282"/>
    <w:rsid w:val="00F4691A"/>
    <w:rsid w:val="00F52446"/>
    <w:rsid w:val="00F56AAF"/>
    <w:rsid w:val="00F57E75"/>
    <w:rsid w:val="00F61C5F"/>
    <w:rsid w:val="00F64E05"/>
    <w:rsid w:val="00F64E84"/>
    <w:rsid w:val="00F67B35"/>
    <w:rsid w:val="00F715DC"/>
    <w:rsid w:val="00F73FA1"/>
    <w:rsid w:val="00F74728"/>
    <w:rsid w:val="00F74ADA"/>
    <w:rsid w:val="00F751DA"/>
    <w:rsid w:val="00F81496"/>
    <w:rsid w:val="00F8616A"/>
    <w:rsid w:val="00F9580F"/>
    <w:rsid w:val="00F96F12"/>
    <w:rsid w:val="00F9797A"/>
    <w:rsid w:val="00FA0BA2"/>
    <w:rsid w:val="00FA2464"/>
    <w:rsid w:val="00FA3D8F"/>
    <w:rsid w:val="00FA4541"/>
    <w:rsid w:val="00FA4A41"/>
    <w:rsid w:val="00FA4D16"/>
    <w:rsid w:val="00FA5149"/>
    <w:rsid w:val="00FB029E"/>
    <w:rsid w:val="00FB0919"/>
    <w:rsid w:val="00FB0AE4"/>
    <w:rsid w:val="00FB0F98"/>
    <w:rsid w:val="00FB3398"/>
    <w:rsid w:val="00FB5B45"/>
    <w:rsid w:val="00FB6CF5"/>
    <w:rsid w:val="00FC1874"/>
    <w:rsid w:val="00FC1925"/>
    <w:rsid w:val="00FC4481"/>
    <w:rsid w:val="00FC6089"/>
    <w:rsid w:val="00FD08A9"/>
    <w:rsid w:val="00FD205E"/>
    <w:rsid w:val="00FD50BB"/>
    <w:rsid w:val="00FD6266"/>
    <w:rsid w:val="00FD70D8"/>
    <w:rsid w:val="00FD7EBC"/>
    <w:rsid w:val="00FE0598"/>
    <w:rsid w:val="00FE383F"/>
    <w:rsid w:val="00FE5382"/>
    <w:rsid w:val="00FE67E4"/>
    <w:rsid w:val="00FF05C8"/>
    <w:rsid w:val="00FF0692"/>
    <w:rsid w:val="00FF094A"/>
    <w:rsid w:val="00FF1DF4"/>
    <w:rsid w:val="00FF1E3B"/>
    <w:rsid w:val="00FF5775"/>
    <w:rsid w:val="00FF6366"/>
    <w:rsid w:val="00FF6808"/>
    <w:rsid w:val="0140795A"/>
    <w:rsid w:val="016B9811"/>
    <w:rsid w:val="01782B7C"/>
    <w:rsid w:val="0196B998"/>
    <w:rsid w:val="01C9BFE4"/>
    <w:rsid w:val="02024B2E"/>
    <w:rsid w:val="023ABF81"/>
    <w:rsid w:val="02486C43"/>
    <w:rsid w:val="02696855"/>
    <w:rsid w:val="02A18CBE"/>
    <w:rsid w:val="02C91AC7"/>
    <w:rsid w:val="02E032A8"/>
    <w:rsid w:val="02EDF5F6"/>
    <w:rsid w:val="03D04E42"/>
    <w:rsid w:val="03D5D9CF"/>
    <w:rsid w:val="03DE2B21"/>
    <w:rsid w:val="042ED7BC"/>
    <w:rsid w:val="0431B6C6"/>
    <w:rsid w:val="04515A8F"/>
    <w:rsid w:val="04577560"/>
    <w:rsid w:val="0466E9CF"/>
    <w:rsid w:val="04C0C048"/>
    <w:rsid w:val="04DAF246"/>
    <w:rsid w:val="04F0523A"/>
    <w:rsid w:val="052AA3F9"/>
    <w:rsid w:val="0539884C"/>
    <w:rsid w:val="056203F0"/>
    <w:rsid w:val="05630DA4"/>
    <w:rsid w:val="0568E530"/>
    <w:rsid w:val="05FF91F2"/>
    <w:rsid w:val="0606F4F1"/>
    <w:rsid w:val="06511C9E"/>
    <w:rsid w:val="0677E892"/>
    <w:rsid w:val="06B57071"/>
    <w:rsid w:val="06B5FE85"/>
    <w:rsid w:val="06C99F5C"/>
    <w:rsid w:val="06D69868"/>
    <w:rsid w:val="06D89223"/>
    <w:rsid w:val="075969D8"/>
    <w:rsid w:val="07794861"/>
    <w:rsid w:val="07B00041"/>
    <w:rsid w:val="07D7A501"/>
    <w:rsid w:val="08031887"/>
    <w:rsid w:val="085E998A"/>
    <w:rsid w:val="086C7B3A"/>
    <w:rsid w:val="087C86BF"/>
    <w:rsid w:val="08ABA098"/>
    <w:rsid w:val="08B00C8B"/>
    <w:rsid w:val="08C37921"/>
    <w:rsid w:val="09060F82"/>
    <w:rsid w:val="09181081"/>
    <w:rsid w:val="0944D4B2"/>
    <w:rsid w:val="096DBD35"/>
    <w:rsid w:val="096DED09"/>
    <w:rsid w:val="0974C0B9"/>
    <w:rsid w:val="098A955C"/>
    <w:rsid w:val="09962E33"/>
    <w:rsid w:val="09E8A7E9"/>
    <w:rsid w:val="0A379F42"/>
    <w:rsid w:val="0A49A22D"/>
    <w:rsid w:val="0AAF0F23"/>
    <w:rsid w:val="0B2F8528"/>
    <w:rsid w:val="0B334EB3"/>
    <w:rsid w:val="0B67E426"/>
    <w:rsid w:val="0B725274"/>
    <w:rsid w:val="0B7381ED"/>
    <w:rsid w:val="0B8A75FE"/>
    <w:rsid w:val="0BA15C4E"/>
    <w:rsid w:val="0BB69146"/>
    <w:rsid w:val="0C0D19AD"/>
    <w:rsid w:val="0C1737A2"/>
    <w:rsid w:val="0C35BED3"/>
    <w:rsid w:val="0C6D3F51"/>
    <w:rsid w:val="0CB717EF"/>
    <w:rsid w:val="0CF80E28"/>
    <w:rsid w:val="0D5B0655"/>
    <w:rsid w:val="0D5BF051"/>
    <w:rsid w:val="0D8FFD0C"/>
    <w:rsid w:val="0DA1D36C"/>
    <w:rsid w:val="0DD009F1"/>
    <w:rsid w:val="0DD8A55C"/>
    <w:rsid w:val="0E05271D"/>
    <w:rsid w:val="0E2C158B"/>
    <w:rsid w:val="0E8AAE3C"/>
    <w:rsid w:val="0E8D7FF3"/>
    <w:rsid w:val="0E8DFDEA"/>
    <w:rsid w:val="0E995D7A"/>
    <w:rsid w:val="0EABA677"/>
    <w:rsid w:val="0EAC01CA"/>
    <w:rsid w:val="0F44BF8F"/>
    <w:rsid w:val="0F4F067A"/>
    <w:rsid w:val="0F7A08D3"/>
    <w:rsid w:val="0F860A26"/>
    <w:rsid w:val="0F9AE414"/>
    <w:rsid w:val="0FAD6863"/>
    <w:rsid w:val="0FEAB744"/>
    <w:rsid w:val="1007F702"/>
    <w:rsid w:val="10230A87"/>
    <w:rsid w:val="104760B4"/>
    <w:rsid w:val="104858E2"/>
    <w:rsid w:val="10682C60"/>
    <w:rsid w:val="10707E8D"/>
    <w:rsid w:val="10B0DA2D"/>
    <w:rsid w:val="10C20F9F"/>
    <w:rsid w:val="10C486A6"/>
    <w:rsid w:val="10CA0390"/>
    <w:rsid w:val="10D1EDFD"/>
    <w:rsid w:val="1100C2D3"/>
    <w:rsid w:val="1112D6AF"/>
    <w:rsid w:val="118C8B0B"/>
    <w:rsid w:val="118FC09B"/>
    <w:rsid w:val="11B66CD7"/>
    <w:rsid w:val="11CE8EDB"/>
    <w:rsid w:val="11D4CEA4"/>
    <w:rsid w:val="11D71044"/>
    <w:rsid w:val="11F2221A"/>
    <w:rsid w:val="120BEE8B"/>
    <w:rsid w:val="122B2276"/>
    <w:rsid w:val="12443460"/>
    <w:rsid w:val="127E0F08"/>
    <w:rsid w:val="12DD33E8"/>
    <w:rsid w:val="12E676ED"/>
    <w:rsid w:val="13B26C75"/>
    <w:rsid w:val="13E9D2AA"/>
    <w:rsid w:val="13F57943"/>
    <w:rsid w:val="13F88806"/>
    <w:rsid w:val="13FDBCA7"/>
    <w:rsid w:val="1403EB93"/>
    <w:rsid w:val="142ED431"/>
    <w:rsid w:val="14614639"/>
    <w:rsid w:val="1485A055"/>
    <w:rsid w:val="14A91C27"/>
    <w:rsid w:val="1525A1AF"/>
    <w:rsid w:val="15980CD2"/>
    <w:rsid w:val="1642A145"/>
    <w:rsid w:val="166FB379"/>
    <w:rsid w:val="1680A0A4"/>
    <w:rsid w:val="168A6A80"/>
    <w:rsid w:val="169ED904"/>
    <w:rsid w:val="16CB2BDD"/>
    <w:rsid w:val="16DD1726"/>
    <w:rsid w:val="16F308A2"/>
    <w:rsid w:val="171C44EB"/>
    <w:rsid w:val="1737BE45"/>
    <w:rsid w:val="17558521"/>
    <w:rsid w:val="175F7230"/>
    <w:rsid w:val="1768E814"/>
    <w:rsid w:val="176A0413"/>
    <w:rsid w:val="17AB5F01"/>
    <w:rsid w:val="1802737A"/>
    <w:rsid w:val="180EB532"/>
    <w:rsid w:val="18137632"/>
    <w:rsid w:val="181779C4"/>
    <w:rsid w:val="18335651"/>
    <w:rsid w:val="1848C8C5"/>
    <w:rsid w:val="185A231E"/>
    <w:rsid w:val="18FEE317"/>
    <w:rsid w:val="1917D710"/>
    <w:rsid w:val="19219049"/>
    <w:rsid w:val="1937C0BA"/>
    <w:rsid w:val="196DFB0E"/>
    <w:rsid w:val="19726F96"/>
    <w:rsid w:val="19781577"/>
    <w:rsid w:val="19F9205A"/>
    <w:rsid w:val="1A5F4187"/>
    <w:rsid w:val="1A8E4E9B"/>
    <w:rsid w:val="1AEFB9D4"/>
    <w:rsid w:val="1B01AA2B"/>
    <w:rsid w:val="1B01E1BB"/>
    <w:rsid w:val="1B119727"/>
    <w:rsid w:val="1B19DBAD"/>
    <w:rsid w:val="1B4B16F4"/>
    <w:rsid w:val="1B9B5383"/>
    <w:rsid w:val="1BA9C9F2"/>
    <w:rsid w:val="1BC86B55"/>
    <w:rsid w:val="1BCAD961"/>
    <w:rsid w:val="1BD603FC"/>
    <w:rsid w:val="1BE7681E"/>
    <w:rsid w:val="1BE864A9"/>
    <w:rsid w:val="1BF4DB8B"/>
    <w:rsid w:val="1BF761A4"/>
    <w:rsid w:val="1C00BE75"/>
    <w:rsid w:val="1C4D0EF8"/>
    <w:rsid w:val="1CB5FAB8"/>
    <w:rsid w:val="1D215FE5"/>
    <w:rsid w:val="1D218C11"/>
    <w:rsid w:val="1D34E517"/>
    <w:rsid w:val="1D370C6F"/>
    <w:rsid w:val="1D5D03FD"/>
    <w:rsid w:val="1D955AA1"/>
    <w:rsid w:val="1DAB57FF"/>
    <w:rsid w:val="1DF4C3E8"/>
    <w:rsid w:val="1E64700E"/>
    <w:rsid w:val="1E99AAC2"/>
    <w:rsid w:val="1EE5DE25"/>
    <w:rsid w:val="1EF6EA7A"/>
    <w:rsid w:val="1F17B9DF"/>
    <w:rsid w:val="1F255EA9"/>
    <w:rsid w:val="1F25C6BB"/>
    <w:rsid w:val="1F65B92F"/>
    <w:rsid w:val="1F68E0BF"/>
    <w:rsid w:val="1F8EFBB6"/>
    <w:rsid w:val="1F99CD0C"/>
    <w:rsid w:val="1FF0874F"/>
    <w:rsid w:val="202C8775"/>
    <w:rsid w:val="203C350E"/>
    <w:rsid w:val="2049D414"/>
    <w:rsid w:val="206C8E38"/>
    <w:rsid w:val="20AC5ECA"/>
    <w:rsid w:val="20B5ADC6"/>
    <w:rsid w:val="20F33997"/>
    <w:rsid w:val="211D82C3"/>
    <w:rsid w:val="211F321F"/>
    <w:rsid w:val="216DBD4B"/>
    <w:rsid w:val="21761C08"/>
    <w:rsid w:val="219D5CCA"/>
    <w:rsid w:val="21F543A9"/>
    <w:rsid w:val="21FBFD2A"/>
    <w:rsid w:val="2222F6E4"/>
    <w:rsid w:val="223CE359"/>
    <w:rsid w:val="224335A2"/>
    <w:rsid w:val="22525A35"/>
    <w:rsid w:val="2259D8D3"/>
    <w:rsid w:val="225A0E83"/>
    <w:rsid w:val="229313F6"/>
    <w:rsid w:val="22E35AA9"/>
    <w:rsid w:val="23052AD1"/>
    <w:rsid w:val="2365E3E4"/>
    <w:rsid w:val="237D20B2"/>
    <w:rsid w:val="237F8F60"/>
    <w:rsid w:val="23A5988E"/>
    <w:rsid w:val="23B82E2E"/>
    <w:rsid w:val="23C0A148"/>
    <w:rsid w:val="23DC2D00"/>
    <w:rsid w:val="24330925"/>
    <w:rsid w:val="2464E3C6"/>
    <w:rsid w:val="24AC13FF"/>
    <w:rsid w:val="24B65521"/>
    <w:rsid w:val="24C15753"/>
    <w:rsid w:val="254980C8"/>
    <w:rsid w:val="258100A7"/>
    <w:rsid w:val="2589A1F8"/>
    <w:rsid w:val="263223D7"/>
    <w:rsid w:val="2635494F"/>
    <w:rsid w:val="263EBD73"/>
    <w:rsid w:val="26767335"/>
    <w:rsid w:val="26ADBA09"/>
    <w:rsid w:val="27149335"/>
    <w:rsid w:val="271C6B1E"/>
    <w:rsid w:val="272B4100"/>
    <w:rsid w:val="278DFBDB"/>
    <w:rsid w:val="2795D8B1"/>
    <w:rsid w:val="279C5888"/>
    <w:rsid w:val="28360E5D"/>
    <w:rsid w:val="28BAE4C8"/>
    <w:rsid w:val="28C06C93"/>
    <w:rsid w:val="29200931"/>
    <w:rsid w:val="295AE65E"/>
    <w:rsid w:val="296F2A4A"/>
    <w:rsid w:val="297F6C2D"/>
    <w:rsid w:val="299954E3"/>
    <w:rsid w:val="29B2A721"/>
    <w:rsid w:val="29EE1740"/>
    <w:rsid w:val="2A03A716"/>
    <w:rsid w:val="2A2C4960"/>
    <w:rsid w:val="2A3D64EE"/>
    <w:rsid w:val="2A6CF1AB"/>
    <w:rsid w:val="2AC17DE7"/>
    <w:rsid w:val="2AF53827"/>
    <w:rsid w:val="2B1900DE"/>
    <w:rsid w:val="2B454F4A"/>
    <w:rsid w:val="2B4A5081"/>
    <w:rsid w:val="2B79C000"/>
    <w:rsid w:val="2B8AF5B3"/>
    <w:rsid w:val="2B8ED415"/>
    <w:rsid w:val="2BE766DC"/>
    <w:rsid w:val="2BEF9664"/>
    <w:rsid w:val="2C0AC4FB"/>
    <w:rsid w:val="2C1BB52A"/>
    <w:rsid w:val="2C24F1EA"/>
    <w:rsid w:val="2C892FFC"/>
    <w:rsid w:val="2C8FA26D"/>
    <w:rsid w:val="2CBC1B2D"/>
    <w:rsid w:val="2CDE074C"/>
    <w:rsid w:val="2CE588DD"/>
    <w:rsid w:val="2D078DB7"/>
    <w:rsid w:val="2D1F1CF8"/>
    <w:rsid w:val="2D2127A2"/>
    <w:rsid w:val="2D63A80B"/>
    <w:rsid w:val="2D7CCEC1"/>
    <w:rsid w:val="2D9DF16D"/>
    <w:rsid w:val="2DCE3AA7"/>
    <w:rsid w:val="2DD8B807"/>
    <w:rsid w:val="2DE25799"/>
    <w:rsid w:val="2E361708"/>
    <w:rsid w:val="2E4FF3CD"/>
    <w:rsid w:val="2E515FB2"/>
    <w:rsid w:val="2E58C44F"/>
    <w:rsid w:val="2E7354E1"/>
    <w:rsid w:val="2E945056"/>
    <w:rsid w:val="2E9D963D"/>
    <w:rsid w:val="2EB2AC50"/>
    <w:rsid w:val="2EC819BF"/>
    <w:rsid w:val="2EC8BA06"/>
    <w:rsid w:val="2ECE6488"/>
    <w:rsid w:val="2EEF2382"/>
    <w:rsid w:val="2F0E20C3"/>
    <w:rsid w:val="2F12E917"/>
    <w:rsid w:val="2F302322"/>
    <w:rsid w:val="2FA54AF6"/>
    <w:rsid w:val="2FBD8DE5"/>
    <w:rsid w:val="301D43B1"/>
    <w:rsid w:val="303EAB39"/>
    <w:rsid w:val="305A4BDB"/>
    <w:rsid w:val="306083DB"/>
    <w:rsid w:val="30AE7DA0"/>
    <w:rsid w:val="30C19DCC"/>
    <w:rsid w:val="30DF8881"/>
    <w:rsid w:val="312F4C65"/>
    <w:rsid w:val="314F948D"/>
    <w:rsid w:val="31D69617"/>
    <w:rsid w:val="3227B4E6"/>
    <w:rsid w:val="3234E6F4"/>
    <w:rsid w:val="32501D97"/>
    <w:rsid w:val="32A45C19"/>
    <w:rsid w:val="32D869F8"/>
    <w:rsid w:val="33476802"/>
    <w:rsid w:val="3362690B"/>
    <w:rsid w:val="33A1078C"/>
    <w:rsid w:val="33A80DD9"/>
    <w:rsid w:val="33EA45CB"/>
    <w:rsid w:val="33F02322"/>
    <w:rsid w:val="33F693E9"/>
    <w:rsid w:val="344C26F6"/>
    <w:rsid w:val="346ADD19"/>
    <w:rsid w:val="349931A2"/>
    <w:rsid w:val="34CE9800"/>
    <w:rsid w:val="34E65A94"/>
    <w:rsid w:val="34F6E22D"/>
    <w:rsid w:val="3506FE04"/>
    <w:rsid w:val="35198EF5"/>
    <w:rsid w:val="3530B863"/>
    <w:rsid w:val="35426BE7"/>
    <w:rsid w:val="35447DF7"/>
    <w:rsid w:val="355580D3"/>
    <w:rsid w:val="35B8E83F"/>
    <w:rsid w:val="35FE0F8D"/>
    <w:rsid w:val="361697D4"/>
    <w:rsid w:val="3625D7C0"/>
    <w:rsid w:val="362A01BA"/>
    <w:rsid w:val="365D80F7"/>
    <w:rsid w:val="3661C7DE"/>
    <w:rsid w:val="366D75F3"/>
    <w:rsid w:val="366F3DA9"/>
    <w:rsid w:val="3698E8B6"/>
    <w:rsid w:val="36CE116C"/>
    <w:rsid w:val="36DACA0F"/>
    <w:rsid w:val="36EFA9A8"/>
    <w:rsid w:val="36FD9A0E"/>
    <w:rsid w:val="3701FE93"/>
    <w:rsid w:val="370EC37E"/>
    <w:rsid w:val="3727760C"/>
    <w:rsid w:val="372D4CAF"/>
    <w:rsid w:val="37419870"/>
    <w:rsid w:val="3745357E"/>
    <w:rsid w:val="374C2A89"/>
    <w:rsid w:val="3775E72D"/>
    <w:rsid w:val="37965F85"/>
    <w:rsid w:val="379D5413"/>
    <w:rsid w:val="37C98B21"/>
    <w:rsid w:val="3821340B"/>
    <w:rsid w:val="382560F0"/>
    <w:rsid w:val="386B61C4"/>
    <w:rsid w:val="38F520C6"/>
    <w:rsid w:val="391D4762"/>
    <w:rsid w:val="39548F66"/>
    <w:rsid w:val="39816F35"/>
    <w:rsid w:val="39AA3E84"/>
    <w:rsid w:val="39C1499D"/>
    <w:rsid w:val="3A05BD5E"/>
    <w:rsid w:val="3A212DD9"/>
    <w:rsid w:val="3A24E1DD"/>
    <w:rsid w:val="3A48566C"/>
    <w:rsid w:val="3A4D17B6"/>
    <w:rsid w:val="3AB47880"/>
    <w:rsid w:val="3AF2D14A"/>
    <w:rsid w:val="3B17B190"/>
    <w:rsid w:val="3B3B35E7"/>
    <w:rsid w:val="3B5DF7F7"/>
    <w:rsid w:val="3BDF2095"/>
    <w:rsid w:val="3BFEB9FE"/>
    <w:rsid w:val="3C3DF7CD"/>
    <w:rsid w:val="3C655E2C"/>
    <w:rsid w:val="3CADA1A5"/>
    <w:rsid w:val="3CB1C99F"/>
    <w:rsid w:val="3D1B1CF4"/>
    <w:rsid w:val="3D360345"/>
    <w:rsid w:val="3D5362F9"/>
    <w:rsid w:val="3D697AA9"/>
    <w:rsid w:val="3D82D08A"/>
    <w:rsid w:val="3DC87F50"/>
    <w:rsid w:val="3DC9B147"/>
    <w:rsid w:val="3DCDEC05"/>
    <w:rsid w:val="3E2AA225"/>
    <w:rsid w:val="3E6F0B2E"/>
    <w:rsid w:val="3E7EF1AB"/>
    <w:rsid w:val="3E9D186E"/>
    <w:rsid w:val="3EAB9CA4"/>
    <w:rsid w:val="3EDBBDBD"/>
    <w:rsid w:val="3F1655F9"/>
    <w:rsid w:val="3F1EE943"/>
    <w:rsid w:val="3F2420D8"/>
    <w:rsid w:val="3F2D7E46"/>
    <w:rsid w:val="3F7275F3"/>
    <w:rsid w:val="3F911976"/>
    <w:rsid w:val="3FA113A2"/>
    <w:rsid w:val="3FB3737F"/>
    <w:rsid w:val="3FD18C75"/>
    <w:rsid w:val="4006CAA4"/>
    <w:rsid w:val="405C9186"/>
    <w:rsid w:val="408903C0"/>
    <w:rsid w:val="408B7841"/>
    <w:rsid w:val="40ABB61D"/>
    <w:rsid w:val="40AF9171"/>
    <w:rsid w:val="4100A784"/>
    <w:rsid w:val="411D5090"/>
    <w:rsid w:val="4133CE5E"/>
    <w:rsid w:val="415785B6"/>
    <w:rsid w:val="416567C6"/>
    <w:rsid w:val="41683809"/>
    <w:rsid w:val="4175CD90"/>
    <w:rsid w:val="418BD90D"/>
    <w:rsid w:val="419CCA75"/>
    <w:rsid w:val="41F151C4"/>
    <w:rsid w:val="42004723"/>
    <w:rsid w:val="4242E2A2"/>
    <w:rsid w:val="4285F396"/>
    <w:rsid w:val="4297F465"/>
    <w:rsid w:val="42BBF297"/>
    <w:rsid w:val="42D25958"/>
    <w:rsid w:val="42FD13F8"/>
    <w:rsid w:val="4312E8FF"/>
    <w:rsid w:val="43217A29"/>
    <w:rsid w:val="43530F52"/>
    <w:rsid w:val="435CFF2C"/>
    <w:rsid w:val="436EBC7F"/>
    <w:rsid w:val="4378C0B0"/>
    <w:rsid w:val="439F151C"/>
    <w:rsid w:val="43A3229C"/>
    <w:rsid w:val="43DAD19F"/>
    <w:rsid w:val="43E0D247"/>
    <w:rsid w:val="43EAB1CE"/>
    <w:rsid w:val="441CC85E"/>
    <w:rsid w:val="44447DE1"/>
    <w:rsid w:val="4475DFDE"/>
    <w:rsid w:val="44780928"/>
    <w:rsid w:val="447BEE61"/>
    <w:rsid w:val="44E63592"/>
    <w:rsid w:val="44F3DD9A"/>
    <w:rsid w:val="456F83B0"/>
    <w:rsid w:val="457FC76A"/>
    <w:rsid w:val="4588CBE9"/>
    <w:rsid w:val="459273F9"/>
    <w:rsid w:val="45CA6B79"/>
    <w:rsid w:val="460BE48B"/>
    <w:rsid w:val="462CD626"/>
    <w:rsid w:val="462D9EF5"/>
    <w:rsid w:val="4630158F"/>
    <w:rsid w:val="46483874"/>
    <w:rsid w:val="46563B74"/>
    <w:rsid w:val="46838768"/>
    <w:rsid w:val="469D2F27"/>
    <w:rsid w:val="46B38663"/>
    <w:rsid w:val="46BD2D68"/>
    <w:rsid w:val="46BE804A"/>
    <w:rsid w:val="46F4ACAC"/>
    <w:rsid w:val="47078DF5"/>
    <w:rsid w:val="470817CA"/>
    <w:rsid w:val="470F9C46"/>
    <w:rsid w:val="474A3299"/>
    <w:rsid w:val="476511AB"/>
    <w:rsid w:val="478EA022"/>
    <w:rsid w:val="47D08D5C"/>
    <w:rsid w:val="4800BF69"/>
    <w:rsid w:val="4816A41D"/>
    <w:rsid w:val="4851E740"/>
    <w:rsid w:val="4888D8C8"/>
    <w:rsid w:val="48AB27B3"/>
    <w:rsid w:val="48BF85DE"/>
    <w:rsid w:val="49040E50"/>
    <w:rsid w:val="492B7DBD"/>
    <w:rsid w:val="49318244"/>
    <w:rsid w:val="4990C062"/>
    <w:rsid w:val="49C474AE"/>
    <w:rsid w:val="49E657B7"/>
    <w:rsid w:val="49F2432E"/>
    <w:rsid w:val="4A03F74A"/>
    <w:rsid w:val="4A4D3E91"/>
    <w:rsid w:val="4A57DF7F"/>
    <w:rsid w:val="4A67E237"/>
    <w:rsid w:val="4A97E691"/>
    <w:rsid w:val="4B1E6A75"/>
    <w:rsid w:val="4B29F35A"/>
    <w:rsid w:val="4B2DFEE3"/>
    <w:rsid w:val="4B6F025D"/>
    <w:rsid w:val="4B89D33B"/>
    <w:rsid w:val="4BD2124F"/>
    <w:rsid w:val="4BD67CA8"/>
    <w:rsid w:val="4BDB5B80"/>
    <w:rsid w:val="4BE9B7A9"/>
    <w:rsid w:val="4C20A7E6"/>
    <w:rsid w:val="4C2CDB16"/>
    <w:rsid w:val="4C432F67"/>
    <w:rsid w:val="4C500911"/>
    <w:rsid w:val="4C631E7F"/>
    <w:rsid w:val="4C7BCAEF"/>
    <w:rsid w:val="4CCB4590"/>
    <w:rsid w:val="4CF72003"/>
    <w:rsid w:val="4D1EB200"/>
    <w:rsid w:val="4D2F177E"/>
    <w:rsid w:val="4D3B4DCA"/>
    <w:rsid w:val="4D5D5EDE"/>
    <w:rsid w:val="4D7CEE88"/>
    <w:rsid w:val="4D813701"/>
    <w:rsid w:val="4DDBD155"/>
    <w:rsid w:val="4E650032"/>
    <w:rsid w:val="4F0FEE96"/>
    <w:rsid w:val="4F29F625"/>
    <w:rsid w:val="4F748A28"/>
    <w:rsid w:val="4FE3BE14"/>
    <w:rsid w:val="4FF16971"/>
    <w:rsid w:val="507D656E"/>
    <w:rsid w:val="50898E26"/>
    <w:rsid w:val="50AEE5A1"/>
    <w:rsid w:val="50CD95C5"/>
    <w:rsid w:val="50F49EDE"/>
    <w:rsid w:val="50FAE53A"/>
    <w:rsid w:val="5154A2EF"/>
    <w:rsid w:val="515FCFD1"/>
    <w:rsid w:val="516A5A7D"/>
    <w:rsid w:val="51962013"/>
    <w:rsid w:val="51A24BF9"/>
    <w:rsid w:val="51EA0C80"/>
    <w:rsid w:val="5202045B"/>
    <w:rsid w:val="52125BCA"/>
    <w:rsid w:val="5264D6E6"/>
    <w:rsid w:val="526D4303"/>
    <w:rsid w:val="527A0076"/>
    <w:rsid w:val="5294A3B1"/>
    <w:rsid w:val="52B56BA6"/>
    <w:rsid w:val="53706E8B"/>
    <w:rsid w:val="5388FC88"/>
    <w:rsid w:val="53E329A5"/>
    <w:rsid w:val="5443D736"/>
    <w:rsid w:val="544FB6C5"/>
    <w:rsid w:val="547CBD66"/>
    <w:rsid w:val="54943F02"/>
    <w:rsid w:val="54D4DCA9"/>
    <w:rsid w:val="54DA873E"/>
    <w:rsid w:val="54DB2239"/>
    <w:rsid w:val="54FC09EC"/>
    <w:rsid w:val="54FD76CD"/>
    <w:rsid w:val="551E9273"/>
    <w:rsid w:val="5522F1F0"/>
    <w:rsid w:val="5539141A"/>
    <w:rsid w:val="55A418E5"/>
    <w:rsid w:val="55C430F9"/>
    <w:rsid w:val="56192E22"/>
    <w:rsid w:val="561DD262"/>
    <w:rsid w:val="562D6870"/>
    <w:rsid w:val="5639C70C"/>
    <w:rsid w:val="5686ECD9"/>
    <w:rsid w:val="5690D06E"/>
    <w:rsid w:val="5690E2DD"/>
    <w:rsid w:val="56BF5702"/>
    <w:rsid w:val="56E19F8E"/>
    <w:rsid w:val="571622DD"/>
    <w:rsid w:val="5771C44A"/>
    <w:rsid w:val="577DB651"/>
    <w:rsid w:val="579666BD"/>
    <w:rsid w:val="579EEC88"/>
    <w:rsid w:val="57C945DA"/>
    <w:rsid w:val="57D50005"/>
    <w:rsid w:val="57EECA6B"/>
    <w:rsid w:val="5805F308"/>
    <w:rsid w:val="585B5B42"/>
    <w:rsid w:val="58657B9A"/>
    <w:rsid w:val="5868C2B3"/>
    <w:rsid w:val="5881693B"/>
    <w:rsid w:val="58B4FC3E"/>
    <w:rsid w:val="5922F517"/>
    <w:rsid w:val="59A6DEC8"/>
    <w:rsid w:val="59DDD83C"/>
    <w:rsid w:val="59E2BCA1"/>
    <w:rsid w:val="59EDB39E"/>
    <w:rsid w:val="5A2E6F34"/>
    <w:rsid w:val="5A534609"/>
    <w:rsid w:val="5A5DFA7E"/>
    <w:rsid w:val="5A5E759D"/>
    <w:rsid w:val="5AB89D72"/>
    <w:rsid w:val="5B094135"/>
    <w:rsid w:val="5B3515A9"/>
    <w:rsid w:val="5B6BEE5B"/>
    <w:rsid w:val="5B7CC433"/>
    <w:rsid w:val="5BAF0DDD"/>
    <w:rsid w:val="5BB02261"/>
    <w:rsid w:val="5C236983"/>
    <w:rsid w:val="5C2E4733"/>
    <w:rsid w:val="5C65338B"/>
    <w:rsid w:val="5C6EC608"/>
    <w:rsid w:val="5CAC5847"/>
    <w:rsid w:val="5D004924"/>
    <w:rsid w:val="5D25CA40"/>
    <w:rsid w:val="5D72B999"/>
    <w:rsid w:val="5D99C2AA"/>
    <w:rsid w:val="5DBE5E25"/>
    <w:rsid w:val="5E0C76C4"/>
    <w:rsid w:val="5E411BC5"/>
    <w:rsid w:val="5F079506"/>
    <w:rsid w:val="5F71DCC3"/>
    <w:rsid w:val="5F7F254F"/>
    <w:rsid w:val="5FAE0DE1"/>
    <w:rsid w:val="5FD83E87"/>
    <w:rsid w:val="600F0F07"/>
    <w:rsid w:val="60821B52"/>
    <w:rsid w:val="60A53422"/>
    <w:rsid w:val="60F870BF"/>
    <w:rsid w:val="60FC5299"/>
    <w:rsid w:val="60FD4159"/>
    <w:rsid w:val="612A7F5B"/>
    <w:rsid w:val="61365F12"/>
    <w:rsid w:val="61655447"/>
    <w:rsid w:val="6167BDD1"/>
    <w:rsid w:val="61694568"/>
    <w:rsid w:val="618D86D6"/>
    <w:rsid w:val="61CD7C5C"/>
    <w:rsid w:val="61E3CC85"/>
    <w:rsid w:val="61EF29C1"/>
    <w:rsid w:val="626D5080"/>
    <w:rsid w:val="628F49A7"/>
    <w:rsid w:val="62BCE538"/>
    <w:rsid w:val="63B1ED92"/>
    <w:rsid w:val="63E48DF9"/>
    <w:rsid w:val="63E637FF"/>
    <w:rsid w:val="63FD25DF"/>
    <w:rsid w:val="64128D9F"/>
    <w:rsid w:val="64D371AC"/>
    <w:rsid w:val="6502C725"/>
    <w:rsid w:val="65215A30"/>
    <w:rsid w:val="657C56BB"/>
    <w:rsid w:val="65FFC1EB"/>
    <w:rsid w:val="66199907"/>
    <w:rsid w:val="663ADEC7"/>
    <w:rsid w:val="664EB7DE"/>
    <w:rsid w:val="66600D87"/>
    <w:rsid w:val="668C2956"/>
    <w:rsid w:val="66A0C307"/>
    <w:rsid w:val="66C9CF9A"/>
    <w:rsid w:val="66DEA541"/>
    <w:rsid w:val="66E8EC44"/>
    <w:rsid w:val="66EA8E5C"/>
    <w:rsid w:val="671A2B68"/>
    <w:rsid w:val="673DA465"/>
    <w:rsid w:val="67A3314B"/>
    <w:rsid w:val="67ABE85B"/>
    <w:rsid w:val="67AE0B81"/>
    <w:rsid w:val="67C468A2"/>
    <w:rsid w:val="67D18E03"/>
    <w:rsid w:val="67EEE556"/>
    <w:rsid w:val="68117459"/>
    <w:rsid w:val="68219ABD"/>
    <w:rsid w:val="68D6E6AD"/>
    <w:rsid w:val="68EBBB1A"/>
    <w:rsid w:val="68EF669B"/>
    <w:rsid w:val="68F8CBA2"/>
    <w:rsid w:val="68FB7246"/>
    <w:rsid w:val="691C4925"/>
    <w:rsid w:val="69514C2B"/>
    <w:rsid w:val="69549DC3"/>
    <w:rsid w:val="695554B5"/>
    <w:rsid w:val="6958EB7B"/>
    <w:rsid w:val="695BBDDB"/>
    <w:rsid w:val="6977084A"/>
    <w:rsid w:val="699B8EF6"/>
    <w:rsid w:val="699D33B2"/>
    <w:rsid w:val="69ACC922"/>
    <w:rsid w:val="69B53B17"/>
    <w:rsid w:val="69BB25F3"/>
    <w:rsid w:val="69CA4849"/>
    <w:rsid w:val="69D2391E"/>
    <w:rsid w:val="6A291D2E"/>
    <w:rsid w:val="6A44CCB6"/>
    <w:rsid w:val="6A6DB5E4"/>
    <w:rsid w:val="6A9E1D1E"/>
    <w:rsid w:val="6AB3B55A"/>
    <w:rsid w:val="6AB5D4CB"/>
    <w:rsid w:val="6AF76D36"/>
    <w:rsid w:val="6B07DE3A"/>
    <w:rsid w:val="6B630B06"/>
    <w:rsid w:val="6B7FEC08"/>
    <w:rsid w:val="6B929B82"/>
    <w:rsid w:val="6B971BA6"/>
    <w:rsid w:val="6B9AE183"/>
    <w:rsid w:val="6BA0B000"/>
    <w:rsid w:val="6BF92C2D"/>
    <w:rsid w:val="6C1CDC51"/>
    <w:rsid w:val="6C2C2C73"/>
    <w:rsid w:val="6C57F36C"/>
    <w:rsid w:val="6C68436B"/>
    <w:rsid w:val="6C7AC125"/>
    <w:rsid w:val="6CBFCE49"/>
    <w:rsid w:val="6CCCFB82"/>
    <w:rsid w:val="6CE80051"/>
    <w:rsid w:val="6D01FCDB"/>
    <w:rsid w:val="6D02CAFA"/>
    <w:rsid w:val="6D06B08A"/>
    <w:rsid w:val="6D207CA0"/>
    <w:rsid w:val="6D78ACC5"/>
    <w:rsid w:val="6DCBD3F0"/>
    <w:rsid w:val="6DDE1E78"/>
    <w:rsid w:val="6DFAA885"/>
    <w:rsid w:val="6E0563E0"/>
    <w:rsid w:val="6E07454D"/>
    <w:rsid w:val="6E1405DB"/>
    <w:rsid w:val="6E171C5D"/>
    <w:rsid w:val="6E5EE934"/>
    <w:rsid w:val="6E765738"/>
    <w:rsid w:val="6E925182"/>
    <w:rsid w:val="6ED49A76"/>
    <w:rsid w:val="6ED514CE"/>
    <w:rsid w:val="6F06366C"/>
    <w:rsid w:val="6F08AD94"/>
    <w:rsid w:val="6F2ED385"/>
    <w:rsid w:val="6F6AAF7D"/>
    <w:rsid w:val="6F7CD768"/>
    <w:rsid w:val="6FBEFEA0"/>
    <w:rsid w:val="6FC3205F"/>
    <w:rsid w:val="6FC4C7D4"/>
    <w:rsid w:val="70657E21"/>
    <w:rsid w:val="70AB1A90"/>
    <w:rsid w:val="70AE3E84"/>
    <w:rsid w:val="70B23A1D"/>
    <w:rsid w:val="70B2A241"/>
    <w:rsid w:val="70F5A412"/>
    <w:rsid w:val="710E2E6F"/>
    <w:rsid w:val="71314CD2"/>
    <w:rsid w:val="71508C4E"/>
    <w:rsid w:val="716D7EAE"/>
    <w:rsid w:val="7176FB92"/>
    <w:rsid w:val="71789160"/>
    <w:rsid w:val="7185875B"/>
    <w:rsid w:val="718B1CAE"/>
    <w:rsid w:val="71D01D37"/>
    <w:rsid w:val="72319DD0"/>
    <w:rsid w:val="723D5BA0"/>
    <w:rsid w:val="7248854A"/>
    <w:rsid w:val="724D0E74"/>
    <w:rsid w:val="729A0836"/>
    <w:rsid w:val="729D93AE"/>
    <w:rsid w:val="72B0D3B9"/>
    <w:rsid w:val="72DA4493"/>
    <w:rsid w:val="72E19C63"/>
    <w:rsid w:val="733210DD"/>
    <w:rsid w:val="7343A7DB"/>
    <w:rsid w:val="73C96863"/>
    <w:rsid w:val="73E89D69"/>
    <w:rsid w:val="74176523"/>
    <w:rsid w:val="742D8536"/>
    <w:rsid w:val="742DF7C9"/>
    <w:rsid w:val="7459C589"/>
    <w:rsid w:val="74A1B73F"/>
    <w:rsid w:val="74A64085"/>
    <w:rsid w:val="74B1757A"/>
    <w:rsid w:val="74B5C738"/>
    <w:rsid w:val="74F49AFE"/>
    <w:rsid w:val="75AA923E"/>
    <w:rsid w:val="75BB87A4"/>
    <w:rsid w:val="7607B046"/>
    <w:rsid w:val="7611B1A2"/>
    <w:rsid w:val="762215BF"/>
    <w:rsid w:val="7623C70C"/>
    <w:rsid w:val="762F6B51"/>
    <w:rsid w:val="762FD8BC"/>
    <w:rsid w:val="7648AB21"/>
    <w:rsid w:val="767ABC6E"/>
    <w:rsid w:val="76C4E729"/>
    <w:rsid w:val="76DA1473"/>
    <w:rsid w:val="76E7A7F2"/>
    <w:rsid w:val="76F1B826"/>
    <w:rsid w:val="77094A13"/>
    <w:rsid w:val="7776D2FF"/>
    <w:rsid w:val="777F813F"/>
    <w:rsid w:val="77AC7646"/>
    <w:rsid w:val="77CAA6DC"/>
    <w:rsid w:val="77E4B34D"/>
    <w:rsid w:val="7800D451"/>
    <w:rsid w:val="786D551D"/>
    <w:rsid w:val="78C43C9C"/>
    <w:rsid w:val="78D549DA"/>
    <w:rsid w:val="78DF747D"/>
    <w:rsid w:val="78E3B89C"/>
    <w:rsid w:val="790EBD90"/>
    <w:rsid w:val="79108807"/>
    <w:rsid w:val="79386588"/>
    <w:rsid w:val="79F2B6A5"/>
    <w:rsid w:val="7A013286"/>
    <w:rsid w:val="7A3C51AB"/>
    <w:rsid w:val="7A4C9D43"/>
    <w:rsid w:val="7A74D45A"/>
    <w:rsid w:val="7A75B404"/>
    <w:rsid w:val="7A8E24C8"/>
    <w:rsid w:val="7ADAA62B"/>
    <w:rsid w:val="7B016524"/>
    <w:rsid w:val="7B14A57D"/>
    <w:rsid w:val="7B27141D"/>
    <w:rsid w:val="7B7C823C"/>
    <w:rsid w:val="7B9556FE"/>
    <w:rsid w:val="7BC8D96E"/>
    <w:rsid w:val="7BD82557"/>
    <w:rsid w:val="7BDE8E7A"/>
    <w:rsid w:val="7C3031D4"/>
    <w:rsid w:val="7CC9C164"/>
    <w:rsid w:val="7CEBBFFF"/>
    <w:rsid w:val="7CF1B31F"/>
    <w:rsid w:val="7D00022C"/>
    <w:rsid w:val="7D07486A"/>
    <w:rsid w:val="7D0CFF45"/>
    <w:rsid w:val="7D89D29E"/>
    <w:rsid w:val="7DE43B2F"/>
    <w:rsid w:val="7DF7DFA1"/>
    <w:rsid w:val="7E91D1B4"/>
    <w:rsid w:val="7EAD27D8"/>
    <w:rsid w:val="7EB7E5CE"/>
    <w:rsid w:val="7ED8C8A6"/>
    <w:rsid w:val="7F00B57D"/>
    <w:rsid w:val="7F1A9656"/>
    <w:rsid w:val="7F2B471D"/>
    <w:rsid w:val="7F72F584"/>
    <w:rsid w:val="7F75BF8C"/>
    <w:rsid w:val="7F9EF8C9"/>
    <w:rsid w:val="7FD721EF"/>
    <w:rsid w:val="7FE34D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87B49D"/>
  <w15:chartTrackingRefBased/>
  <w15:docId w15:val="{6F1DB4B2-C684-4FF5-A4A1-1E8FD608B4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FC4"/>
    <w:rPr>
      <w:rFonts w:ascii="Ubuntu Light" w:hAnsi="Ubuntu Light"/>
      <w:sz w:val="24"/>
    </w:rPr>
  </w:style>
  <w:style w:type="paragraph" w:styleId="Heading1">
    <w:name w:val="heading 1"/>
    <w:basedOn w:val="Normal"/>
    <w:next w:val="Normal"/>
    <w:link w:val="Heading1Char"/>
    <w:autoRedefine/>
    <w:uiPriority w:val="9"/>
    <w:qFormat/>
    <w:rsid w:val="001F5B9A"/>
    <w:pPr>
      <w:keepNext/>
      <w:keepLines/>
      <w:spacing w:before="160"/>
      <w:jc w:val="both"/>
      <w:outlineLvl w:val="0"/>
    </w:pPr>
    <w:rPr>
      <w:rFonts w:ascii="Ubuntu" w:eastAsiaTheme="majorEastAsia" w:hAnsi="Ubuntu" w:cstheme="minorHAnsi"/>
      <w:b/>
      <w:color w:val="325083"/>
      <w:sz w:val="40"/>
      <w:szCs w:val="40"/>
    </w:rPr>
  </w:style>
  <w:style w:type="paragraph" w:styleId="Heading2">
    <w:name w:val="heading 2"/>
    <w:basedOn w:val="Normal"/>
    <w:next w:val="Normal"/>
    <w:link w:val="Heading2Char"/>
    <w:autoRedefine/>
    <w:uiPriority w:val="9"/>
    <w:unhideWhenUsed/>
    <w:qFormat/>
    <w:rsid w:val="00E43A91"/>
    <w:pPr>
      <w:keepNext/>
      <w:keepLines/>
      <w:spacing w:after="0"/>
      <w:outlineLvl w:val="1"/>
    </w:pPr>
    <w:rPr>
      <w:rFonts w:ascii="Ubuntu" w:eastAsiaTheme="majorEastAsia" w:hAnsi="Ubuntu" w:cstheme="minorHAnsi"/>
      <w:b/>
      <w:color w:val="E03882"/>
      <w:sz w:val="32"/>
      <w:szCs w:val="32"/>
    </w:rPr>
  </w:style>
  <w:style w:type="paragraph" w:styleId="Heading3">
    <w:name w:val="heading 3"/>
    <w:basedOn w:val="Normal"/>
    <w:next w:val="Normal"/>
    <w:link w:val="Heading3Char"/>
    <w:uiPriority w:val="9"/>
    <w:unhideWhenUsed/>
    <w:qFormat/>
    <w:rsid w:val="00F10586"/>
    <w:pPr>
      <w:keepNext/>
      <w:keepLines/>
      <w:spacing w:before="40" w:after="0"/>
      <w:outlineLvl w:val="2"/>
    </w:pPr>
    <w:rPr>
      <w:rFonts w:ascii="Ubuntu" w:eastAsiaTheme="majorEastAsia" w:hAnsi="Ubuntu" w:cstheme="majorBidi"/>
      <w:b/>
      <w:color w:val="40A294"/>
      <w:sz w:val="28"/>
      <w:szCs w:val="24"/>
    </w:rPr>
  </w:style>
  <w:style w:type="paragraph" w:styleId="Heading4">
    <w:name w:val="heading 4"/>
    <w:basedOn w:val="Normal"/>
    <w:next w:val="Normal"/>
    <w:link w:val="Heading4Char"/>
    <w:uiPriority w:val="9"/>
    <w:unhideWhenUsed/>
    <w:qFormat/>
    <w:rsid w:val="000A3B7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102E8"/>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102E8"/>
    <w:rPr>
      <w:rFonts w:eastAsiaTheme="minorEastAsia"/>
      <w:lang w:val="en-US"/>
    </w:rPr>
  </w:style>
  <w:style w:type="character" w:styleId="Hyperlink">
    <w:name w:val="Hyperlink"/>
    <w:basedOn w:val="DefaultParagraphFont"/>
    <w:uiPriority w:val="99"/>
    <w:unhideWhenUsed/>
    <w:rsid w:val="007102E8"/>
    <w:rPr>
      <w:color w:val="0563C1" w:themeColor="hyperlink"/>
      <w:u w:val="single"/>
    </w:rPr>
  </w:style>
  <w:style w:type="character" w:customStyle="1" w:styleId="Heading1Char">
    <w:name w:val="Heading 1 Char"/>
    <w:basedOn w:val="DefaultParagraphFont"/>
    <w:link w:val="Heading1"/>
    <w:uiPriority w:val="9"/>
    <w:rsid w:val="001F5B9A"/>
    <w:rPr>
      <w:rFonts w:ascii="Ubuntu" w:eastAsiaTheme="majorEastAsia" w:hAnsi="Ubuntu" w:cstheme="minorHAnsi"/>
      <w:b/>
      <w:color w:val="325083"/>
      <w:sz w:val="40"/>
      <w:szCs w:val="40"/>
    </w:rPr>
  </w:style>
  <w:style w:type="paragraph" w:styleId="TOCHeading">
    <w:name w:val="TOC Heading"/>
    <w:basedOn w:val="Heading1"/>
    <w:next w:val="Normal"/>
    <w:uiPriority w:val="39"/>
    <w:unhideWhenUsed/>
    <w:qFormat/>
    <w:rsid w:val="007102E8"/>
    <w:pPr>
      <w:outlineLvl w:val="9"/>
    </w:pPr>
    <w:rPr>
      <w:lang w:val="en-US"/>
    </w:rPr>
  </w:style>
  <w:style w:type="paragraph" w:styleId="ListParagraph">
    <w:name w:val="List Paragraph"/>
    <w:basedOn w:val="Normal"/>
    <w:uiPriority w:val="34"/>
    <w:qFormat/>
    <w:rsid w:val="007102E8"/>
    <w:pPr>
      <w:ind w:left="720"/>
      <w:contextualSpacing/>
    </w:pPr>
  </w:style>
  <w:style w:type="paragraph" w:styleId="TOC1">
    <w:name w:val="toc 1"/>
    <w:basedOn w:val="Normal"/>
    <w:next w:val="Normal"/>
    <w:autoRedefine/>
    <w:uiPriority w:val="39"/>
    <w:unhideWhenUsed/>
    <w:rsid w:val="007102E8"/>
    <w:pPr>
      <w:spacing w:after="100"/>
    </w:pPr>
  </w:style>
  <w:style w:type="character" w:customStyle="1" w:styleId="Heading2Char">
    <w:name w:val="Heading 2 Char"/>
    <w:basedOn w:val="DefaultParagraphFont"/>
    <w:link w:val="Heading2"/>
    <w:uiPriority w:val="9"/>
    <w:rsid w:val="00E43A91"/>
    <w:rPr>
      <w:rFonts w:ascii="Ubuntu" w:eastAsiaTheme="majorEastAsia" w:hAnsi="Ubuntu" w:cstheme="minorHAnsi"/>
      <w:b/>
      <w:color w:val="E03882"/>
      <w:sz w:val="32"/>
      <w:szCs w:val="32"/>
    </w:rPr>
  </w:style>
  <w:style w:type="paragraph" w:styleId="TOC2">
    <w:name w:val="toc 2"/>
    <w:basedOn w:val="Normal"/>
    <w:next w:val="Normal"/>
    <w:autoRedefine/>
    <w:uiPriority w:val="39"/>
    <w:unhideWhenUsed/>
    <w:rsid w:val="007102E8"/>
    <w:pPr>
      <w:spacing w:after="100"/>
      <w:ind w:left="220"/>
    </w:pPr>
  </w:style>
  <w:style w:type="character" w:styleId="CommentReference">
    <w:name w:val="annotation reference"/>
    <w:basedOn w:val="DefaultParagraphFont"/>
    <w:uiPriority w:val="99"/>
    <w:semiHidden/>
    <w:unhideWhenUsed/>
    <w:rsid w:val="00351CAC"/>
    <w:rPr>
      <w:sz w:val="16"/>
      <w:szCs w:val="16"/>
    </w:rPr>
  </w:style>
  <w:style w:type="paragraph" w:styleId="CommentText">
    <w:name w:val="annotation text"/>
    <w:basedOn w:val="Normal"/>
    <w:link w:val="CommentTextChar"/>
    <w:uiPriority w:val="99"/>
    <w:unhideWhenUsed/>
    <w:rsid w:val="00351CAC"/>
    <w:pPr>
      <w:spacing w:line="240" w:lineRule="auto"/>
    </w:pPr>
    <w:rPr>
      <w:sz w:val="20"/>
      <w:szCs w:val="20"/>
    </w:rPr>
  </w:style>
  <w:style w:type="character" w:customStyle="1" w:styleId="CommentTextChar">
    <w:name w:val="Comment Text Char"/>
    <w:basedOn w:val="DefaultParagraphFont"/>
    <w:link w:val="CommentText"/>
    <w:uiPriority w:val="99"/>
    <w:rsid w:val="00351CAC"/>
    <w:rPr>
      <w:sz w:val="20"/>
      <w:szCs w:val="20"/>
    </w:rPr>
  </w:style>
  <w:style w:type="paragraph" w:styleId="CommentSubject">
    <w:name w:val="annotation subject"/>
    <w:basedOn w:val="CommentText"/>
    <w:next w:val="CommentText"/>
    <w:link w:val="CommentSubjectChar"/>
    <w:uiPriority w:val="99"/>
    <w:semiHidden/>
    <w:unhideWhenUsed/>
    <w:rsid w:val="00351CAC"/>
    <w:rPr>
      <w:b/>
      <w:bCs/>
    </w:rPr>
  </w:style>
  <w:style w:type="character" w:customStyle="1" w:styleId="CommentSubjectChar">
    <w:name w:val="Comment Subject Char"/>
    <w:basedOn w:val="CommentTextChar"/>
    <w:link w:val="CommentSubject"/>
    <w:uiPriority w:val="99"/>
    <w:semiHidden/>
    <w:rsid w:val="00351CAC"/>
    <w:rPr>
      <w:b/>
      <w:bCs/>
      <w:sz w:val="20"/>
      <w:szCs w:val="20"/>
    </w:rPr>
  </w:style>
  <w:style w:type="character" w:customStyle="1" w:styleId="Heading3Char">
    <w:name w:val="Heading 3 Char"/>
    <w:basedOn w:val="DefaultParagraphFont"/>
    <w:link w:val="Heading3"/>
    <w:uiPriority w:val="9"/>
    <w:rsid w:val="00F10586"/>
    <w:rPr>
      <w:rFonts w:ascii="Ubuntu" w:eastAsiaTheme="majorEastAsia" w:hAnsi="Ubuntu" w:cstheme="majorBidi"/>
      <w:b/>
      <w:color w:val="40A294"/>
      <w:sz w:val="28"/>
      <w:szCs w:val="24"/>
    </w:rPr>
  </w:style>
  <w:style w:type="paragraph" w:styleId="TOC3">
    <w:name w:val="toc 3"/>
    <w:basedOn w:val="Normal"/>
    <w:next w:val="Normal"/>
    <w:autoRedefine/>
    <w:uiPriority w:val="39"/>
    <w:unhideWhenUsed/>
    <w:rsid w:val="0023536D"/>
    <w:pPr>
      <w:spacing w:after="100"/>
      <w:ind w:left="440"/>
    </w:pPr>
  </w:style>
  <w:style w:type="character" w:customStyle="1" w:styleId="UnresolvedMention1">
    <w:name w:val="Unresolved Mention1"/>
    <w:basedOn w:val="DefaultParagraphFont"/>
    <w:uiPriority w:val="99"/>
    <w:semiHidden/>
    <w:unhideWhenUsed/>
    <w:rsid w:val="0095536C"/>
    <w:rPr>
      <w:color w:val="605E5C"/>
      <w:shd w:val="clear" w:color="auto" w:fill="E1DFDD"/>
    </w:rPr>
  </w:style>
  <w:style w:type="paragraph" w:styleId="Header">
    <w:name w:val="header"/>
    <w:basedOn w:val="Normal"/>
    <w:link w:val="HeaderChar"/>
    <w:uiPriority w:val="99"/>
    <w:unhideWhenUsed/>
    <w:rsid w:val="004166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16633"/>
  </w:style>
  <w:style w:type="paragraph" w:styleId="Footer">
    <w:name w:val="footer"/>
    <w:basedOn w:val="Normal"/>
    <w:link w:val="FooterChar"/>
    <w:uiPriority w:val="99"/>
    <w:unhideWhenUsed/>
    <w:rsid w:val="004166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16633"/>
  </w:style>
  <w:style w:type="table" w:styleId="TableGrid">
    <w:name w:val="Table Grid"/>
    <w:basedOn w:val="TableNormal"/>
    <w:uiPriority w:val="39"/>
    <w:rsid w:val="000839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36424D"/>
    <w:rPr>
      <w:color w:val="954F72" w:themeColor="followedHyperlink"/>
      <w:u w:val="single"/>
    </w:rPr>
  </w:style>
  <w:style w:type="paragraph" w:styleId="EndnoteText">
    <w:name w:val="endnote text"/>
    <w:basedOn w:val="Normal"/>
    <w:link w:val="EndnoteTextChar"/>
    <w:uiPriority w:val="99"/>
    <w:semiHidden/>
    <w:unhideWhenUsed/>
    <w:rsid w:val="00FE059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E0598"/>
    <w:rPr>
      <w:sz w:val="20"/>
      <w:szCs w:val="20"/>
    </w:rPr>
  </w:style>
  <w:style w:type="character" w:styleId="EndnoteReference">
    <w:name w:val="endnote reference"/>
    <w:basedOn w:val="DefaultParagraphFont"/>
    <w:uiPriority w:val="99"/>
    <w:semiHidden/>
    <w:unhideWhenUsed/>
    <w:rsid w:val="00FE0598"/>
    <w:rPr>
      <w:vertAlign w:val="superscript"/>
    </w:rPr>
  </w:style>
  <w:style w:type="paragraph" w:styleId="FootnoteText">
    <w:name w:val="footnote text"/>
    <w:basedOn w:val="Normal"/>
    <w:link w:val="FootnoteTextChar"/>
    <w:uiPriority w:val="99"/>
    <w:unhideWhenUsed/>
    <w:rsid w:val="00F3447F"/>
    <w:pPr>
      <w:spacing w:after="0" w:line="240" w:lineRule="auto"/>
    </w:pPr>
    <w:rPr>
      <w:sz w:val="20"/>
      <w:szCs w:val="20"/>
    </w:rPr>
  </w:style>
  <w:style w:type="character" w:customStyle="1" w:styleId="FootnoteTextChar">
    <w:name w:val="Footnote Text Char"/>
    <w:basedOn w:val="DefaultParagraphFont"/>
    <w:link w:val="FootnoteText"/>
    <w:uiPriority w:val="99"/>
    <w:rsid w:val="00F3447F"/>
    <w:rPr>
      <w:sz w:val="20"/>
      <w:szCs w:val="20"/>
    </w:rPr>
  </w:style>
  <w:style w:type="character" w:styleId="FootnoteReference">
    <w:name w:val="footnote reference"/>
    <w:basedOn w:val="DefaultParagraphFont"/>
    <w:uiPriority w:val="99"/>
    <w:semiHidden/>
    <w:unhideWhenUsed/>
    <w:rsid w:val="00F3447F"/>
    <w:rPr>
      <w:vertAlign w:val="superscript"/>
    </w:rPr>
  </w:style>
  <w:style w:type="character" w:styleId="HTMLTypewriter">
    <w:name w:val="HTML Typewriter"/>
    <w:basedOn w:val="DefaultParagraphFont"/>
    <w:uiPriority w:val="99"/>
    <w:semiHidden/>
    <w:unhideWhenUsed/>
    <w:rsid w:val="00BE6425"/>
    <w:rPr>
      <w:rFonts w:ascii="Courier New" w:eastAsia="Times New Roman" w:hAnsi="Courier New" w:cs="Courier New"/>
      <w:sz w:val="20"/>
      <w:szCs w:val="20"/>
    </w:rPr>
  </w:style>
  <w:style w:type="character" w:customStyle="1" w:styleId="ui-provider">
    <w:name w:val="ui-provider"/>
    <w:basedOn w:val="DefaultParagraphFont"/>
    <w:rsid w:val="007F6FC4"/>
  </w:style>
  <w:style w:type="table" w:styleId="PlainTable2">
    <w:name w:val="Plain Table 2"/>
    <w:basedOn w:val="TableNormal"/>
    <w:uiPriority w:val="42"/>
    <w:rsid w:val="00173F6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173F6B"/>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alloonText">
    <w:name w:val="Balloon Text"/>
    <w:basedOn w:val="Normal"/>
    <w:link w:val="BalloonTextChar"/>
    <w:uiPriority w:val="99"/>
    <w:semiHidden/>
    <w:unhideWhenUsed/>
    <w:rsid w:val="0017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2298"/>
    <w:rPr>
      <w:rFonts w:ascii="Segoe UI" w:hAnsi="Segoe UI" w:cs="Segoe UI"/>
      <w:sz w:val="18"/>
      <w:szCs w:val="18"/>
    </w:rPr>
  </w:style>
  <w:style w:type="paragraph" w:styleId="Caption">
    <w:name w:val="caption"/>
    <w:basedOn w:val="Normal"/>
    <w:next w:val="Normal"/>
    <w:uiPriority w:val="35"/>
    <w:unhideWhenUsed/>
    <w:qFormat/>
    <w:rsid w:val="00401614"/>
    <w:pPr>
      <w:spacing w:after="200" w:line="240" w:lineRule="auto"/>
    </w:pPr>
    <w:rPr>
      <w:i/>
      <w:iCs/>
      <w:color w:val="44546A" w:themeColor="text2"/>
      <w:sz w:val="18"/>
      <w:szCs w:val="18"/>
    </w:rPr>
  </w:style>
  <w:style w:type="character" w:customStyle="1" w:styleId="UnresolvedMention2">
    <w:name w:val="Unresolved Mention2"/>
    <w:basedOn w:val="DefaultParagraphFont"/>
    <w:uiPriority w:val="99"/>
    <w:semiHidden/>
    <w:unhideWhenUsed/>
    <w:rsid w:val="00E43A91"/>
    <w:rPr>
      <w:color w:val="605E5C"/>
      <w:shd w:val="clear" w:color="auto" w:fill="E1DFDD"/>
    </w:rPr>
  </w:style>
  <w:style w:type="paragraph" w:styleId="Revision">
    <w:name w:val="Revision"/>
    <w:hidden/>
    <w:uiPriority w:val="99"/>
    <w:semiHidden/>
    <w:rsid w:val="00DC5439"/>
    <w:pPr>
      <w:spacing w:after="0" w:line="240" w:lineRule="auto"/>
    </w:pPr>
    <w:rPr>
      <w:rFonts w:ascii="Ubuntu Light" w:hAnsi="Ubuntu Light"/>
      <w:sz w:val="24"/>
    </w:rPr>
  </w:style>
  <w:style w:type="character" w:customStyle="1" w:styleId="UnresolvedMention3">
    <w:name w:val="Unresolved Mention3"/>
    <w:basedOn w:val="DefaultParagraphFont"/>
    <w:uiPriority w:val="99"/>
    <w:semiHidden/>
    <w:unhideWhenUsed/>
    <w:rsid w:val="009306E4"/>
    <w:rPr>
      <w:color w:val="605E5C"/>
      <w:shd w:val="clear" w:color="auto" w:fill="E1DFDD"/>
    </w:rPr>
  </w:style>
  <w:style w:type="character" w:customStyle="1" w:styleId="UnresolvedMention4">
    <w:name w:val="Unresolved Mention4"/>
    <w:basedOn w:val="DefaultParagraphFont"/>
    <w:uiPriority w:val="99"/>
    <w:semiHidden/>
    <w:unhideWhenUsed/>
    <w:rsid w:val="00B64A58"/>
    <w:rPr>
      <w:color w:val="605E5C"/>
      <w:shd w:val="clear" w:color="auto" w:fill="E1DFDD"/>
    </w:rPr>
  </w:style>
  <w:style w:type="character" w:customStyle="1" w:styleId="wacimagecontainer">
    <w:name w:val="wacimagecontainer"/>
    <w:basedOn w:val="DefaultParagraphFont"/>
    <w:rsid w:val="00FB0F98"/>
  </w:style>
  <w:style w:type="character" w:customStyle="1" w:styleId="Heading4Char">
    <w:name w:val="Heading 4 Char"/>
    <w:basedOn w:val="DefaultParagraphFont"/>
    <w:link w:val="Heading4"/>
    <w:uiPriority w:val="9"/>
    <w:rsid w:val="000A3B73"/>
    <w:rPr>
      <w:rFonts w:asciiTheme="majorHAnsi" w:eastAsiaTheme="majorEastAsia" w:hAnsiTheme="majorHAnsi" w:cstheme="majorBidi"/>
      <w:i/>
      <w:iCs/>
      <w:color w:val="2F5496" w:themeColor="accent1" w:themeShade="BF"/>
      <w:sz w:val="24"/>
    </w:rPr>
  </w:style>
  <w:style w:type="character" w:styleId="UnresolvedMention">
    <w:name w:val="Unresolved Mention"/>
    <w:basedOn w:val="DefaultParagraphFont"/>
    <w:uiPriority w:val="99"/>
    <w:semiHidden/>
    <w:unhideWhenUsed/>
    <w:rsid w:val="001952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492162">
      <w:bodyDiv w:val="1"/>
      <w:marLeft w:val="0"/>
      <w:marRight w:val="0"/>
      <w:marTop w:val="0"/>
      <w:marBottom w:val="0"/>
      <w:divBdr>
        <w:top w:val="none" w:sz="0" w:space="0" w:color="auto"/>
        <w:left w:val="none" w:sz="0" w:space="0" w:color="auto"/>
        <w:bottom w:val="none" w:sz="0" w:space="0" w:color="auto"/>
        <w:right w:val="none" w:sz="0" w:space="0" w:color="auto"/>
      </w:divBdr>
      <w:divsChild>
        <w:div w:id="498271242">
          <w:marLeft w:val="0"/>
          <w:marRight w:val="0"/>
          <w:marTop w:val="0"/>
          <w:marBottom w:val="0"/>
          <w:divBdr>
            <w:top w:val="none" w:sz="0" w:space="0" w:color="auto"/>
            <w:left w:val="none" w:sz="0" w:space="0" w:color="auto"/>
            <w:bottom w:val="none" w:sz="0" w:space="0" w:color="auto"/>
            <w:right w:val="none" w:sz="0" w:space="0" w:color="auto"/>
          </w:divBdr>
        </w:div>
        <w:div w:id="1198396174">
          <w:marLeft w:val="0"/>
          <w:marRight w:val="0"/>
          <w:marTop w:val="0"/>
          <w:marBottom w:val="0"/>
          <w:divBdr>
            <w:top w:val="none" w:sz="0" w:space="0" w:color="auto"/>
            <w:left w:val="none" w:sz="0" w:space="0" w:color="auto"/>
            <w:bottom w:val="none" w:sz="0" w:space="0" w:color="auto"/>
            <w:right w:val="none" w:sz="0" w:space="0" w:color="auto"/>
          </w:divBdr>
        </w:div>
        <w:div w:id="1369646984">
          <w:marLeft w:val="0"/>
          <w:marRight w:val="0"/>
          <w:marTop w:val="0"/>
          <w:marBottom w:val="0"/>
          <w:divBdr>
            <w:top w:val="none" w:sz="0" w:space="0" w:color="auto"/>
            <w:left w:val="none" w:sz="0" w:space="0" w:color="auto"/>
            <w:bottom w:val="none" w:sz="0" w:space="0" w:color="auto"/>
            <w:right w:val="none" w:sz="0" w:space="0" w:color="auto"/>
          </w:divBdr>
        </w:div>
        <w:div w:id="1548029905">
          <w:marLeft w:val="0"/>
          <w:marRight w:val="0"/>
          <w:marTop w:val="0"/>
          <w:marBottom w:val="0"/>
          <w:divBdr>
            <w:top w:val="none" w:sz="0" w:space="0" w:color="auto"/>
            <w:left w:val="none" w:sz="0" w:space="0" w:color="auto"/>
            <w:bottom w:val="none" w:sz="0" w:space="0" w:color="auto"/>
            <w:right w:val="none" w:sz="0" w:space="0" w:color="auto"/>
          </w:divBdr>
        </w:div>
        <w:div w:id="2092893311">
          <w:marLeft w:val="0"/>
          <w:marRight w:val="0"/>
          <w:marTop w:val="0"/>
          <w:marBottom w:val="0"/>
          <w:divBdr>
            <w:top w:val="none" w:sz="0" w:space="0" w:color="auto"/>
            <w:left w:val="none" w:sz="0" w:space="0" w:color="auto"/>
            <w:bottom w:val="none" w:sz="0" w:space="0" w:color="auto"/>
            <w:right w:val="none" w:sz="0" w:space="0" w:color="auto"/>
          </w:divBdr>
        </w:div>
      </w:divsChild>
    </w:div>
    <w:div w:id="1052581330">
      <w:bodyDiv w:val="1"/>
      <w:marLeft w:val="0"/>
      <w:marRight w:val="0"/>
      <w:marTop w:val="0"/>
      <w:marBottom w:val="0"/>
      <w:divBdr>
        <w:top w:val="none" w:sz="0" w:space="0" w:color="auto"/>
        <w:left w:val="none" w:sz="0" w:space="0" w:color="auto"/>
        <w:bottom w:val="none" w:sz="0" w:space="0" w:color="auto"/>
        <w:right w:val="none" w:sz="0" w:space="0" w:color="auto"/>
      </w:divBdr>
    </w:div>
    <w:div w:id="1119422536">
      <w:bodyDiv w:val="1"/>
      <w:marLeft w:val="0"/>
      <w:marRight w:val="0"/>
      <w:marTop w:val="0"/>
      <w:marBottom w:val="0"/>
      <w:divBdr>
        <w:top w:val="none" w:sz="0" w:space="0" w:color="auto"/>
        <w:left w:val="none" w:sz="0" w:space="0" w:color="auto"/>
        <w:bottom w:val="none" w:sz="0" w:space="0" w:color="auto"/>
        <w:right w:val="none" w:sz="0" w:space="0" w:color="auto"/>
      </w:divBdr>
    </w:div>
    <w:div w:id="1523517230">
      <w:bodyDiv w:val="1"/>
      <w:marLeft w:val="0"/>
      <w:marRight w:val="0"/>
      <w:marTop w:val="0"/>
      <w:marBottom w:val="0"/>
      <w:divBdr>
        <w:top w:val="none" w:sz="0" w:space="0" w:color="auto"/>
        <w:left w:val="none" w:sz="0" w:space="0" w:color="auto"/>
        <w:bottom w:val="none" w:sz="0" w:space="0" w:color="auto"/>
        <w:right w:val="none" w:sz="0" w:space="0" w:color="auto"/>
      </w:divBdr>
      <w:divsChild>
        <w:div w:id="387069659">
          <w:marLeft w:val="0"/>
          <w:marRight w:val="0"/>
          <w:marTop w:val="0"/>
          <w:marBottom w:val="0"/>
          <w:divBdr>
            <w:top w:val="none" w:sz="0" w:space="0" w:color="auto"/>
            <w:left w:val="none" w:sz="0" w:space="0" w:color="auto"/>
            <w:bottom w:val="none" w:sz="0" w:space="0" w:color="auto"/>
            <w:right w:val="none" w:sz="0" w:space="0" w:color="auto"/>
          </w:divBdr>
        </w:div>
        <w:div w:id="1283457240">
          <w:marLeft w:val="0"/>
          <w:marRight w:val="0"/>
          <w:marTop w:val="0"/>
          <w:marBottom w:val="0"/>
          <w:divBdr>
            <w:top w:val="none" w:sz="0" w:space="0" w:color="auto"/>
            <w:left w:val="none" w:sz="0" w:space="0" w:color="auto"/>
            <w:bottom w:val="none" w:sz="0" w:space="0" w:color="auto"/>
            <w:right w:val="none" w:sz="0" w:space="0" w:color="auto"/>
          </w:divBdr>
        </w:div>
        <w:div w:id="1561405475">
          <w:marLeft w:val="0"/>
          <w:marRight w:val="0"/>
          <w:marTop w:val="0"/>
          <w:marBottom w:val="0"/>
          <w:divBdr>
            <w:top w:val="none" w:sz="0" w:space="0" w:color="auto"/>
            <w:left w:val="none" w:sz="0" w:space="0" w:color="auto"/>
            <w:bottom w:val="none" w:sz="0" w:space="0" w:color="auto"/>
            <w:right w:val="none" w:sz="0" w:space="0" w:color="auto"/>
          </w:divBdr>
        </w:div>
        <w:div w:id="1689213233">
          <w:marLeft w:val="0"/>
          <w:marRight w:val="0"/>
          <w:marTop w:val="0"/>
          <w:marBottom w:val="0"/>
          <w:divBdr>
            <w:top w:val="none" w:sz="0" w:space="0" w:color="auto"/>
            <w:left w:val="none" w:sz="0" w:space="0" w:color="auto"/>
            <w:bottom w:val="none" w:sz="0" w:space="0" w:color="auto"/>
            <w:right w:val="none" w:sz="0" w:space="0" w:color="auto"/>
          </w:divBdr>
        </w:div>
        <w:div w:id="1802570911">
          <w:marLeft w:val="0"/>
          <w:marRight w:val="0"/>
          <w:marTop w:val="0"/>
          <w:marBottom w:val="0"/>
          <w:divBdr>
            <w:top w:val="none" w:sz="0" w:space="0" w:color="auto"/>
            <w:left w:val="none" w:sz="0" w:space="0" w:color="auto"/>
            <w:bottom w:val="none" w:sz="0" w:space="0" w:color="auto"/>
            <w:right w:val="none" w:sz="0" w:space="0" w:color="auto"/>
          </w:divBdr>
        </w:div>
      </w:divsChild>
    </w:div>
    <w:div w:id="1754084136">
      <w:bodyDiv w:val="1"/>
      <w:marLeft w:val="0"/>
      <w:marRight w:val="0"/>
      <w:marTop w:val="0"/>
      <w:marBottom w:val="0"/>
      <w:divBdr>
        <w:top w:val="none" w:sz="0" w:space="0" w:color="auto"/>
        <w:left w:val="none" w:sz="0" w:space="0" w:color="auto"/>
        <w:bottom w:val="none" w:sz="0" w:space="0" w:color="auto"/>
        <w:right w:val="none" w:sz="0" w:space="0" w:color="auto"/>
      </w:divBdr>
    </w:div>
    <w:div w:id="1814635438">
      <w:bodyDiv w:val="1"/>
      <w:marLeft w:val="0"/>
      <w:marRight w:val="0"/>
      <w:marTop w:val="0"/>
      <w:marBottom w:val="0"/>
      <w:divBdr>
        <w:top w:val="none" w:sz="0" w:space="0" w:color="auto"/>
        <w:left w:val="none" w:sz="0" w:space="0" w:color="auto"/>
        <w:bottom w:val="none" w:sz="0" w:space="0" w:color="auto"/>
        <w:right w:val="none" w:sz="0" w:space="0" w:color="auto"/>
      </w:divBdr>
    </w:div>
    <w:div w:id="1818767149">
      <w:bodyDiv w:val="1"/>
      <w:marLeft w:val="0"/>
      <w:marRight w:val="0"/>
      <w:marTop w:val="0"/>
      <w:marBottom w:val="0"/>
      <w:divBdr>
        <w:top w:val="none" w:sz="0" w:space="0" w:color="auto"/>
        <w:left w:val="none" w:sz="0" w:space="0" w:color="auto"/>
        <w:bottom w:val="none" w:sz="0" w:space="0" w:color="auto"/>
        <w:right w:val="none" w:sz="0" w:space="0" w:color="auto"/>
      </w:divBdr>
    </w:div>
    <w:div w:id="21160924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cu.stats@wales.nhs.uk" TargetMode="External"/><Relationship Id="rId18" Type="http://schemas.openxmlformats.org/officeDocument/2006/relationships/hyperlink" Target="https://www.gov.wales/welsh-index-multiple-deprivation-index-guidance" TargetMode="External"/><Relationship Id="rId26" Type="http://schemas.openxmlformats.org/officeDocument/2006/relationships/hyperlink" Target="https://www.ons.gov.uk/" TargetMode="External"/><Relationship Id="rId39" Type="http://schemas.openxmlformats.org/officeDocument/2006/relationships/image" Target="media/image10.png"/><Relationship Id="rId21" Type="http://schemas.openxmlformats.org/officeDocument/2006/relationships/hyperlink" Target="https://www.ons.gov.uk/peoplepopulationandcommunity/populationandmigration/populationestimates/bulletins/rebasingofmidyearpopulationestimatesfollowing/rebasingofmidyearpopulationestimatesfollowingcensus2021englandandwales" TargetMode="External"/><Relationship Id="rId34" Type="http://schemas.openxmlformats.org/officeDocument/2006/relationships/image" Target="media/image5.emf"/><Relationship Id="rId42" Type="http://schemas.openxmlformats.org/officeDocument/2006/relationships/image" Target="media/image13.png"/><Relationship Id="rId47" Type="http://schemas.openxmlformats.org/officeDocument/2006/relationships/header" Target="header1.xml"/><Relationship Id="rId50" Type="http://schemas.openxmlformats.org/officeDocument/2006/relationships/footer" Target="footer2.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de.statisticsauthority.gov.uk/wp-content/uploads/2022/05/Code-of-Practice-for-Statistics-REVISED.pdf" TargetMode="External"/><Relationship Id="rId29" Type="http://schemas.openxmlformats.org/officeDocument/2006/relationships/hyperlink" Target="https://ci5.iarc.fr/" TargetMode="External"/><Relationship Id="rId11" Type="http://schemas.openxmlformats.org/officeDocument/2006/relationships/image" Target="media/image1.png"/><Relationship Id="rId24" Type="http://schemas.openxmlformats.org/officeDocument/2006/relationships/hyperlink" Target="https://www.qub.ac.uk/research-centres/nicr/CancerInformation/official-statistics/" TargetMode="External"/><Relationship Id="rId32" Type="http://schemas.openxmlformats.org/officeDocument/2006/relationships/hyperlink" Target="https://www.gov.wales/well-being-future-generations-act-essentials-html" TargetMode="External"/><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image" Target="media/image16.png"/><Relationship Id="rId53" Type="http://schemas.microsoft.com/office/2020/10/relationships/intelligence" Target="intelligence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hyperlink" Target="https://www.gov.wales/sites/default/files/consultations/2018-02/160322-wg-response-en.pdf" TargetMode="External"/><Relationship Id="rId44" Type="http://schemas.openxmlformats.org/officeDocument/2006/relationships/image" Target="media/image15.pn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services-and-teams/welsh-cancer-intelligence-and-surveillance-unit-wcisu/" TargetMode="External"/><Relationship Id="rId22" Type="http://schemas.openxmlformats.org/officeDocument/2006/relationships/hyperlink" Target="https://phw.nhs.wales/services-and-teams/welsh-cancer-intelligence-and-surveillance-unit-wcisu/cancer-reporting-tool-official-statistics/" TargetMode="External"/><Relationship Id="rId27" Type="http://schemas.openxmlformats.org/officeDocument/2006/relationships/hyperlink" Target="https://digital.nhs.uk/ndrs/data/data-outputs/cancer-data-hub" TargetMode="External"/><Relationship Id="rId30" Type="http://schemas.openxmlformats.org/officeDocument/2006/relationships/hyperlink" Target="https://web.archive.org/web/20250211224456/https:/ukiacr.org/kpis" TargetMode="External"/><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3.png"/><Relationship Id="rId25" Type="http://schemas.openxmlformats.org/officeDocument/2006/relationships/hyperlink" Target="https://publichealthscotland.scot/publications/" TargetMode="External"/><Relationship Id="rId33" Type="http://schemas.openxmlformats.org/officeDocument/2006/relationships/hyperlink" Target="https://www.ons.gov.uk/methodology/methodologytopicsandstatisticalconcepts/disclosurecontrol/policyonprotectingconfidentialityintablesofbirthanddeathstatistics" TargetMode="External"/><Relationship Id="rId38" Type="http://schemas.openxmlformats.org/officeDocument/2006/relationships/image" Target="media/image9.png"/><Relationship Id="rId46" Type="http://schemas.openxmlformats.org/officeDocument/2006/relationships/image" Target="media/image17.emf"/><Relationship Id="rId20" Type="http://schemas.openxmlformats.org/officeDocument/2006/relationships/hyperlink" Target="https://www.ons.gov.uk/peoplepopulationandcommunity/populationandmigration/populationestimates/methodologies/populationestimatesfortheukmid2020methodsguide" TargetMode="External"/><Relationship Id="rId41"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nationalarchives.gov.uk/doc/open-government-licence/version/3/" TargetMode="External"/><Relationship Id="rId23" Type="http://schemas.openxmlformats.org/officeDocument/2006/relationships/hyperlink" Target="mailto:WCU.stats@wales.nhs.uk" TargetMode="External"/><Relationship Id="rId28" Type="http://schemas.openxmlformats.org/officeDocument/2006/relationships/hyperlink" Target="https://www.ukiacr.org/" TargetMode="External"/><Relationship Id="rId36" Type="http://schemas.openxmlformats.org/officeDocument/2006/relationships/image" Target="media/image7.png"/><Relationship Id="rId49"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doi.org/10.2307/2281868.%20Accessed%2021%20Nov.%202023" TargetMode="External"/><Relationship Id="rId2" Type="http://schemas.openxmlformats.org/officeDocument/2006/relationships/hyperlink" Target="https://webarchive.nationalarchives.gov.uk/20160106020035/http:/www.ons.gov.uk/ons/guide-method/user-guidance/health-and-life-events/revised-european-standard-population-2013--2013-esp-/index.html" TargetMode="External"/><Relationship Id="rId1" Type="http://schemas.openxmlformats.org/officeDocument/2006/relationships/hyperlink" Target="https://doi.org/10.2307/2281868.%20Accessed%2021%20Nov.%202023" TargetMode="External"/><Relationship Id="rId5" Type="http://schemas.openxmlformats.org/officeDocument/2006/relationships/hyperlink" Target="https://www.ncbi.nlm.nih.gov/pmc/articles/PMC4851786/pdf/12889_2015_Article_2534.pdf" TargetMode="External"/><Relationship Id="rId4" Type="http://schemas.openxmlformats.org/officeDocument/2006/relationships/hyperlink" Target="https://www.encr.eu/sites/default/files/inline-files/Cancer%20Data%20Quality%20Checks%20Procedure%20Report%20online.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BB4C5C2C0478E49A9245F01B243DEE2" ma:contentTypeVersion="10" ma:contentTypeDescription="Create a new document." ma:contentTypeScope="" ma:versionID="b70e01ed3827e8ea84190b651caa8ef2">
  <xsd:schema xmlns:xsd="http://www.w3.org/2001/XMLSchema" xmlns:xs="http://www.w3.org/2001/XMLSchema" xmlns:p="http://schemas.microsoft.com/office/2006/metadata/properties" xmlns:ns2="5f1573fc-1d5f-43b0-bb61-00841e0eab8a" xmlns:ns3="de9fab15-d7be-40d8-a32c-0dcc66cf05b5" targetNamespace="http://schemas.microsoft.com/office/2006/metadata/properties" ma:root="true" ma:fieldsID="3c1a0032be1dffcd01bcc02eb35f871f" ns2:_="" ns3:_="">
    <xsd:import namespace="5f1573fc-1d5f-43b0-bb61-00841e0eab8a"/>
    <xsd:import namespace="de9fab15-d7be-40d8-a32c-0dcc66cf05b5"/>
    <xsd:element name="properties">
      <xsd:complexType>
        <xsd:sequence>
          <xsd:element name="documentManagement">
            <xsd:complexType>
              <xsd:all>
                <xsd:element ref="ns2:DocumentType" minOccurs="0"/>
                <xsd:element ref="ns2:Retentionend" minOccurs="0"/>
                <xsd:element ref="ns2:MediaServiceMetadata" minOccurs="0"/>
                <xsd:element ref="ns2:MediaServiceFastMetadata" minOccurs="0"/>
                <xsd:element ref="ns2:MediaServiceObjectDetectorVersions" minOccurs="0"/>
                <xsd:element ref="ns2:ProjectTitle" minOccurs="0"/>
                <xsd:element ref="ns2:Topic"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1573fc-1d5f-43b0-bb61-00841e0eab8a" elementFormDefault="qualified">
    <xsd:import namespace="http://schemas.microsoft.com/office/2006/documentManagement/types"/>
    <xsd:import namespace="http://schemas.microsoft.com/office/infopath/2007/PartnerControls"/>
    <xsd:element name="DocumentType" ma:index="8" nillable="true" ma:displayName="Document Type" ma:format="Dropdown" ma:internalName="DocumentType">
      <xsd:simpleType>
        <xsd:restriction base="dms:Choice">
          <xsd:enumeration value="Agenda"/>
          <xsd:enumeration value="Workplan"/>
          <xsd:enumeration value="Technical Guide"/>
          <xsd:enumeration value="SOP"/>
          <xsd:enumeration value="Report"/>
          <xsd:enumeration value="Background/Scoping"/>
          <xsd:enumeration value="General"/>
          <xsd:enumeration value="Data table"/>
          <xsd:enumeration value="QC file"/>
          <xsd:enumeration value="Code"/>
          <xsd:enumeration value="Presentation"/>
          <xsd:enumeration value="Translations"/>
          <xsd:enumeration value="Form"/>
          <xsd:enumeration value="Statement"/>
          <xsd:enumeration value="Communications"/>
          <xsd:enumeration value="Notes"/>
          <xsd:enumeration value="Template"/>
          <xsd:enumeration value="Chart"/>
          <xsd:enumeration value="Main Messages"/>
          <xsd:enumeration value="Press Release"/>
          <xsd:enumeration value="Abstract"/>
          <xsd:enumeration value="Guidance"/>
        </xsd:restriction>
      </xsd:simpleType>
    </xsd:element>
    <xsd:element name="Retentionend" ma:index="9" nillable="true" ma:displayName="Retention end" ma:format="DateOnly" ma:internalName="Retentionend">
      <xsd:simpleType>
        <xsd:restriction base="dms:DateTim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ProjectTitle" ma:index="13" nillable="true" ma:displayName="Project Title " ma:format="Dropdown" ma:internalName="ProjectTitle">
      <xsd:simpleType>
        <xsd:restriction base="dms:Choice">
          <xsd:enumeration value="Mortality OS 2022"/>
          <xsd:enumeration value="Inequalities in cancer (SAIL)"/>
          <xsd:enumeration value="Workplan"/>
          <xsd:enumeration value="NMSC Incidence OS 2020"/>
          <xsd:enumeration value="Official statistics general"/>
          <xsd:enumeration value="Analytical requests"/>
          <xsd:enumeration value="Data requests"/>
          <xsd:enumeration value="Cancer pathology"/>
          <xsd:enumeration value="Life tables"/>
          <xsd:enumeration value="Survival index"/>
          <xsd:enumeration value="Incidence OS 2021"/>
          <xsd:enumeration value="Survival OS 2021"/>
          <xsd:enumeration value="CPD"/>
          <xsd:enumeration value="Miscellaneous"/>
          <xsd:enumeration value="Mortality OS 2024"/>
          <xsd:enumeration value="Incidence OS 2022"/>
        </xsd:restriction>
      </xsd:simpleType>
    </xsd:element>
    <xsd:element name="Topic" ma:index="14" nillable="true" ma:displayName="Topic " ma:format="Dropdown" ma:internalName="Topic">
      <xsd:complexType>
        <xsd:complexContent>
          <xsd:extension base="dms:MultiChoice">
            <xsd:sequence>
              <xsd:element name="Value" maxOccurs="unbounded" minOccurs="0" nillable="true">
                <xsd:simpleType>
                  <xsd:restriction base="dms:Choice">
                    <xsd:enumeration value="Project Support"/>
                    <xsd:enumeration value="Mortality"/>
                    <xsd:enumeration value="Survival"/>
                    <xsd:enumeration value="Incidence"/>
                    <xsd:enumeration value="Cancer"/>
                    <xsd:enumeration value="Ad-hoc request"/>
                    <xsd:enumeration value="Agile"/>
                    <xsd:enumeration value="UKIACR"/>
                    <xsd:enumeration value="SAIL"/>
                    <xsd:enumeration value="Life tables"/>
                    <xsd:enumeration value="Deprivation"/>
                    <xsd:enumeration value="Geography"/>
                    <xsd:enumeration value="Stage"/>
                    <xsd:enumeration value="ICD-10"/>
                    <xsd:enumeration value="Covid-19"/>
                    <xsd:enumeration value="UK"/>
                    <xsd:enumeration value="Pathology"/>
                    <xsd:enumeration value="Age"/>
                    <xsd:enumeration value="Analysis"/>
                    <xsd:enumeration value="Main Messages"/>
                    <xsd:enumeration value="Methodology"/>
                    <xsd:enumeration value="R"/>
                    <xsd:enumeration value="SQL"/>
                    <xsd:enumeration value="STATA"/>
                    <xsd:enumeration value="Welsh language"/>
                    <xsd:enumeration value="Press Release"/>
                    <xsd:enumeration value="Website"/>
                    <xsd:enumeration value="Documentation"/>
                    <xsd:enumeration value="Official Statistics"/>
                    <xsd:enumeration value="Accessibility"/>
                    <xsd:enumeration value="Cancer Reporting Tool"/>
                    <xsd:enumeration value="CAS"/>
                    <xsd:enumeration value="Training/Courses"/>
                    <xsd:enumeration value="Sharepoint"/>
                    <xsd:enumeration value="Show and Tell"/>
                    <xsd:enumeration value="Miro/Trello"/>
                    <xsd:enumeration value="WCISU"/>
                    <xsd:enumeration value="Sub-team"/>
                    <xsd:enumeration value="Induction"/>
                  </xsd:restriction>
                </xsd:simpleType>
              </xsd:element>
            </xsd:sequence>
          </xsd:extension>
        </xsd:complexContent>
      </xsd:complex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Retentionend xmlns="5f1573fc-1d5f-43b0-bb61-00841e0eab8a" xsi:nil="true"/>
    <DocumentType xmlns="5f1573fc-1d5f-43b0-bb61-00841e0eab8a">Technical Guide</DocumentType>
    <ProjectTitle xmlns="5f1573fc-1d5f-43b0-bb61-00841e0eab8a">Incidence OS 2022</ProjectTitle>
    <Topic xmlns="5f1573fc-1d5f-43b0-bb61-00841e0eab8a">
      <Value>Documentation</Value>
      <Value>Cancer Reporting Tool</Value>
      <Value>Official Statistics</Value>
      <Value>Survival</Value>
    </Topic>
  </documentManagement>
</p:properties>
</file>

<file path=customXml/item3.xml><?xml version="1.0" encoding="utf-8"?>
<b:Sources xmlns:b="http://schemas.openxmlformats.org/officeDocument/2006/bibliography" xmlns="http://schemas.openxmlformats.org/officeDocument/2006/bibliography" SelectedStyle="\MLASeventhEditionOfficeOnline.xsl" StyleName="MLA" Version="7"/>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B08E98-5333-4A73-B8FC-B909B8710B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1573fc-1d5f-43b0-bb61-00841e0eab8a"/>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EF1A3A-87C5-4641-91BD-10DAA9ADE0A4}">
  <ds:schemaRefs>
    <ds:schemaRef ds:uri="http://schemas.openxmlformats.org/package/2006/metadata/core-properties"/>
    <ds:schemaRef ds:uri="http://purl.org/dc/dcmitype/"/>
    <ds:schemaRef ds:uri="de9fab15-d7be-40d8-a32c-0dcc66cf05b5"/>
    <ds:schemaRef ds:uri="5f1573fc-1d5f-43b0-bb61-00841e0eab8a"/>
    <ds:schemaRef ds:uri="http://purl.org/dc/terms/"/>
    <ds:schemaRef ds:uri="http://schemas.microsoft.com/office/2006/documentManagement/types"/>
    <ds:schemaRef ds:uri="http://schemas.microsoft.com/office/2006/metadata/properties"/>
    <ds:schemaRef ds:uri="http://www.w3.org/XML/1998/namespace"/>
    <ds:schemaRef ds:uri="http://purl.org/dc/elements/1.1/"/>
    <ds:schemaRef ds:uri="http://schemas.microsoft.com/office/infopath/2007/PartnerControls"/>
  </ds:schemaRefs>
</ds:datastoreItem>
</file>

<file path=customXml/itemProps3.xml><?xml version="1.0" encoding="utf-8"?>
<ds:datastoreItem xmlns:ds="http://schemas.openxmlformats.org/officeDocument/2006/customXml" ds:itemID="{A32DD70D-8B92-4C37-8C86-36CF023487E2}">
  <ds:schemaRefs>
    <ds:schemaRef ds:uri="http://schemas.openxmlformats.org/officeDocument/2006/bibliography"/>
  </ds:schemaRefs>
</ds:datastoreItem>
</file>

<file path=customXml/itemProps4.xml><?xml version="1.0" encoding="utf-8"?>
<ds:datastoreItem xmlns:ds="http://schemas.openxmlformats.org/officeDocument/2006/customXml" ds:itemID="{67B9AA74-6EB7-4CB5-AC6F-BD8131BD830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39</Pages>
  <Words>10806</Words>
  <Characters>61595</Characters>
  <Application>Microsoft Office Word</Application>
  <DocSecurity>0</DocSecurity>
  <Lines>513</Lines>
  <Paragraphs>144</Paragraphs>
  <ScaleCrop>false</ScaleCrop>
  <Company>Public Health Wales</Company>
  <LinksUpToDate>false</LinksUpToDate>
  <CharactersWithSpaces>72257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Cancer Reporting Tool Technical Guide</dc:title>
  <dc:subject/>
  <dc:creator>Ffion Thomas</dc:creator>
  <cp:keywords/>
  <dc:description/>
  <cp:lastModifiedBy>Rebecca Thomas (Public Health Wales - No. 2 Capital Quarter)</cp:lastModifiedBy>
  <cp:revision>3</cp:revision>
  <dcterms:created xsi:type="dcterms:W3CDTF">2025-12-17T17:38:00Z</dcterms:created>
  <dcterms:modified xsi:type="dcterms:W3CDTF">2025-12-17T17:44:00Z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0x0101007BB4C5C2C0478E49A9245F01B243DEE2</vt:lpwstr>
  </property>
  <property fmtid="{D5CDD505-2E9C-101B-9397-08002B2CF9AE}" pid="3" name="docLang">
    <vt:lpwstr>en</vt:lpwstr>
  </property>
</Properties>
</file>