
<file path=[Content_Types].xml><?xml version="1.0" encoding="utf-8"?>
<Types xmlns="http://schemas.openxmlformats.org/package/2006/content-types">
  <Override PartName="/word/footnotes.xml" ContentType="application/vnd.openxmlformats-officedocument.wordprocessingml.footnotes+xml"/>
  <Override PartName="/word/webextensions/taskpanes.xml" ContentType="application/vnd.ms-office.webextensiontaskpan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docProps/custom.xml" ContentType="application/vnd.openxmlformats-officedocument.custom-propertie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extensions/webextension1.xml" ContentType="application/vnd.ms-office.webextension+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11/relationships/webextensiontaskpanes" Target="word/webextensions/taskpanes.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546" w:type="dxa"/>
        <w:tblLook w:val="01E0"/>
      </w:tblPr>
      <w:tblGrid>
        <w:gridCol w:w="4651"/>
        <w:gridCol w:w="4650"/>
        <w:gridCol w:w="245"/>
      </w:tblGrid>
      <w:tr w:rsidR="00E24A32" w:rsidTr="00411D1C">
        <w:tc>
          <w:tcPr>
            <w:tcW w:w="9546" w:type="dxa"/>
            <w:gridSpan w:val="3"/>
          </w:tcPr>
          <w:p w:rsidR="00E24A32" w:rsidRDefault="003A7FA8" w:rsidP="00DC3444">
            <w:pPr>
              <w:spacing w:before="0"/>
              <w:jc w:val="center"/>
            </w:pPr>
            <w:r>
              <w:rPr>
                <w:rFonts w:ascii="Times New Roman" w:hAnsi="Times New Roman"/>
                <w:b/>
                <w:noProof/>
                <w:lang w:eastAsia="en-GB"/>
              </w:rPr>
              <w:drawing>
                <wp:inline distT="0" distB="0" distL="0" distR="0">
                  <wp:extent cx="5905500" cy="1390650"/>
                  <wp:effectExtent l="19050" t="0" r="0" b="0"/>
                  <wp:docPr id="2"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5905500" cy="1390650"/>
                          </a:xfrm>
                          <a:prstGeom prst="rect">
                            <a:avLst/>
                          </a:prstGeom>
                          <a:noFill/>
                          <a:ln w="9525">
                            <a:noFill/>
                            <a:miter lim="800000"/>
                            <a:headEnd/>
                            <a:tailEnd/>
                          </a:ln>
                        </pic:spPr>
                      </pic:pic>
                    </a:graphicData>
                  </a:graphic>
                </wp:inline>
              </w:drawing>
            </w:r>
          </w:p>
        </w:tc>
      </w:tr>
      <w:tr w:rsidR="00CB4224" w:rsidTr="00411D1C">
        <w:tc>
          <w:tcPr>
            <w:tcW w:w="9546" w:type="dxa"/>
            <w:gridSpan w:val="3"/>
          </w:tcPr>
          <w:p w:rsidR="00CB4224" w:rsidRPr="00DC3444" w:rsidRDefault="00CB4224" w:rsidP="00DC3444">
            <w:pPr>
              <w:spacing w:before="0"/>
              <w:jc w:val="center"/>
              <w:rPr>
                <w:rFonts w:ascii="Times New Roman" w:hAnsi="Times New Roman"/>
                <w:b/>
              </w:rPr>
            </w:pPr>
          </w:p>
        </w:tc>
      </w:tr>
      <w:tr w:rsidR="00146B0B" w:rsidTr="00411D1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45" w:type="dxa"/>
        </w:trPr>
        <w:tc>
          <w:tcPr>
            <w:tcW w:w="9301" w:type="dxa"/>
            <w:gridSpan w:val="2"/>
          </w:tcPr>
          <w:p w:rsidR="00146B0B" w:rsidRPr="003255BB" w:rsidRDefault="00CB4224" w:rsidP="00511003">
            <w:pPr>
              <w:pStyle w:val="Title"/>
              <w:rPr>
                <w:rFonts w:ascii="Verdana" w:hAnsi="Verdana"/>
              </w:rPr>
            </w:pPr>
            <w:r w:rsidRPr="00CB4224">
              <w:rPr>
                <w:rFonts w:ascii="Verdana" w:hAnsi="Verdana"/>
                <w:sz w:val="48"/>
              </w:rPr>
              <w:t xml:space="preserve">Background Paper – </w:t>
            </w:r>
            <w:r w:rsidR="00511003">
              <w:rPr>
                <w:rFonts w:ascii="Verdana" w:hAnsi="Verdana"/>
                <w:i/>
                <w:sz w:val="48"/>
              </w:rPr>
              <w:t>Public Health Wales supports the introduction of Graduated Driving Licensing (GDL) for new drivers in Great Britain</w:t>
            </w:r>
          </w:p>
        </w:tc>
      </w:tr>
      <w:tr w:rsidR="00146B0B" w:rsidTr="00411D1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45" w:type="dxa"/>
        </w:trPr>
        <w:tc>
          <w:tcPr>
            <w:tcW w:w="9301" w:type="dxa"/>
            <w:gridSpan w:val="2"/>
          </w:tcPr>
          <w:p w:rsidR="00146B0B" w:rsidRDefault="005056E7" w:rsidP="00235099">
            <w:pPr>
              <w:pStyle w:val="CoverSheet"/>
              <w:rPr>
                <w:rFonts w:ascii="Verdana" w:hAnsi="Verdana"/>
              </w:rPr>
            </w:pPr>
            <w:bookmarkStart w:id="0" w:name="OLE_LINK11"/>
            <w:bookmarkStart w:id="1" w:name="OLE_LINK3"/>
            <w:r w:rsidRPr="003255BB">
              <w:rPr>
                <w:rFonts w:ascii="Verdana" w:hAnsi="Verdana"/>
                <w:b/>
              </w:rPr>
              <w:t>Author:</w:t>
            </w:r>
            <w:r w:rsidR="00FA2329" w:rsidRPr="003255BB">
              <w:rPr>
                <w:rFonts w:ascii="Verdana" w:hAnsi="Verdana"/>
              </w:rPr>
              <w:t xml:space="preserve"> </w:t>
            </w:r>
            <w:bookmarkEnd w:id="0"/>
            <w:bookmarkEnd w:id="1"/>
            <w:r w:rsidR="00511003">
              <w:rPr>
                <w:rFonts w:ascii="Verdana" w:hAnsi="Verdana"/>
              </w:rPr>
              <w:t>Dr. Sarah J Jones, Consultant in Environmental Health Protection</w:t>
            </w:r>
          </w:p>
          <w:p w:rsidR="00511003" w:rsidRDefault="00511003" w:rsidP="00511003">
            <w:pPr>
              <w:pStyle w:val="CoverSheet"/>
              <w:ind w:left="720"/>
              <w:rPr>
                <w:rFonts w:ascii="Verdana" w:hAnsi="Verdana"/>
              </w:rPr>
            </w:pPr>
            <w:r>
              <w:rPr>
                <w:rFonts w:ascii="Verdana" w:hAnsi="Verdana"/>
              </w:rPr>
              <w:t xml:space="preserve">     Adam Jones, Public Health Practitioner – Policy</w:t>
            </w:r>
          </w:p>
          <w:p w:rsidR="00511003" w:rsidRPr="003255BB" w:rsidRDefault="00511003" w:rsidP="00511003">
            <w:pPr>
              <w:pStyle w:val="CoverSheet"/>
              <w:ind w:left="720"/>
              <w:rPr>
                <w:rFonts w:ascii="Verdana" w:hAnsi="Verdana"/>
              </w:rPr>
            </w:pPr>
            <w:r>
              <w:rPr>
                <w:rFonts w:ascii="Verdana" w:hAnsi="Verdana"/>
              </w:rPr>
              <w:t xml:space="preserve">     Dr. Sumina Azam, Consultant in Public Health</w:t>
            </w:r>
          </w:p>
        </w:tc>
      </w:tr>
      <w:tr w:rsidR="00CF52B4" w:rsidTr="00411D1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45" w:type="dxa"/>
        </w:trPr>
        <w:tc>
          <w:tcPr>
            <w:tcW w:w="4651" w:type="dxa"/>
          </w:tcPr>
          <w:p w:rsidR="00CF52B4" w:rsidRPr="003255BB" w:rsidRDefault="00CF52B4" w:rsidP="006B02DC">
            <w:pPr>
              <w:pStyle w:val="CoverSheet"/>
              <w:rPr>
                <w:rFonts w:ascii="Verdana" w:hAnsi="Verdana"/>
              </w:rPr>
            </w:pPr>
            <w:bookmarkStart w:id="2" w:name="OLE_LINK14"/>
            <w:bookmarkStart w:id="3" w:name="OLE_LINK25"/>
            <w:r w:rsidRPr="003255BB">
              <w:rPr>
                <w:rFonts w:ascii="Verdana" w:hAnsi="Verdana"/>
                <w:b/>
              </w:rPr>
              <w:t>Date:</w:t>
            </w:r>
            <w:r w:rsidR="00146B0B" w:rsidRPr="003255BB">
              <w:rPr>
                <w:rFonts w:ascii="Verdana" w:hAnsi="Verdana"/>
              </w:rPr>
              <w:t xml:space="preserve"> </w:t>
            </w:r>
            <w:bookmarkEnd w:id="2"/>
            <w:bookmarkEnd w:id="3"/>
            <w:r w:rsidR="006B02DC">
              <w:rPr>
                <w:rFonts w:ascii="Verdana" w:hAnsi="Verdana"/>
              </w:rPr>
              <w:t>29 November</w:t>
            </w:r>
            <w:r w:rsidR="00890230">
              <w:rPr>
                <w:rFonts w:ascii="Verdana" w:hAnsi="Verdana"/>
              </w:rPr>
              <w:t xml:space="preserve"> 2016</w:t>
            </w:r>
          </w:p>
        </w:tc>
        <w:tc>
          <w:tcPr>
            <w:tcW w:w="4650" w:type="dxa"/>
          </w:tcPr>
          <w:p w:rsidR="00CF52B4" w:rsidRPr="003255BB" w:rsidRDefault="00304E0B" w:rsidP="00511003">
            <w:pPr>
              <w:pStyle w:val="CoverSheet"/>
              <w:rPr>
                <w:rFonts w:ascii="Verdana" w:hAnsi="Verdana"/>
              </w:rPr>
            </w:pPr>
            <w:bookmarkStart w:id="4" w:name="OLE_LINK13"/>
            <w:bookmarkStart w:id="5" w:name="OLE_LINK4"/>
            <w:r>
              <w:rPr>
                <w:rFonts w:ascii="Verdana" w:hAnsi="Verdana"/>
                <w:b/>
              </w:rPr>
              <w:t>Version</w:t>
            </w:r>
            <w:r w:rsidR="000E2BB4" w:rsidRPr="003255BB">
              <w:rPr>
                <w:rFonts w:ascii="Verdana" w:hAnsi="Verdana"/>
                <w:b/>
              </w:rPr>
              <w:t>:</w:t>
            </w:r>
            <w:r w:rsidR="00A54EB2" w:rsidRPr="003255BB">
              <w:rPr>
                <w:rFonts w:ascii="Verdana" w:hAnsi="Verdana"/>
              </w:rPr>
              <w:t xml:space="preserve"> </w:t>
            </w:r>
            <w:bookmarkEnd w:id="4"/>
            <w:bookmarkEnd w:id="5"/>
            <w:r w:rsidR="00C37BDD">
              <w:rPr>
                <w:rFonts w:ascii="Verdana" w:hAnsi="Verdana"/>
              </w:rPr>
              <w:t>2</w:t>
            </w:r>
          </w:p>
        </w:tc>
      </w:tr>
      <w:tr w:rsidR="001412E2" w:rsidTr="00411D1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45" w:type="dxa"/>
        </w:trPr>
        <w:tc>
          <w:tcPr>
            <w:tcW w:w="9301" w:type="dxa"/>
            <w:gridSpan w:val="2"/>
          </w:tcPr>
          <w:p w:rsidR="005D4445" w:rsidRPr="003255BB" w:rsidRDefault="005D4445" w:rsidP="004F16F4">
            <w:pPr>
              <w:pStyle w:val="CoverSheet"/>
              <w:rPr>
                <w:rFonts w:ascii="Verdana" w:hAnsi="Verdana"/>
              </w:rPr>
            </w:pPr>
            <w:bookmarkStart w:id="6" w:name="OLE_LINK16"/>
            <w:bookmarkStart w:id="7" w:name="OLE_LINK27"/>
            <w:bookmarkStart w:id="8" w:name="OLE_LINK10"/>
            <w:r w:rsidRPr="003255BB">
              <w:rPr>
                <w:rFonts w:ascii="Verdana" w:hAnsi="Verdana"/>
                <w:b/>
              </w:rPr>
              <w:t>Publication/ Distribution</w:t>
            </w:r>
            <w:r w:rsidR="00937742" w:rsidRPr="003255BB">
              <w:rPr>
                <w:rFonts w:ascii="Verdana" w:hAnsi="Verdana"/>
                <w:b/>
              </w:rPr>
              <w:t>:</w:t>
            </w:r>
            <w:r w:rsidR="00E24A32" w:rsidRPr="003255BB">
              <w:rPr>
                <w:rFonts w:ascii="Verdana" w:hAnsi="Verdana"/>
                <w:b/>
              </w:rPr>
              <w:t xml:space="preserve"> </w:t>
            </w:r>
            <w:r w:rsidR="00E24A32" w:rsidRPr="003255BB">
              <w:rPr>
                <w:rFonts w:ascii="Verdana" w:hAnsi="Verdana"/>
              </w:rPr>
              <w:t xml:space="preserve"> </w:t>
            </w:r>
          </w:p>
          <w:p w:rsidR="005D4445" w:rsidRPr="003255BB" w:rsidRDefault="005D4445" w:rsidP="005D4445">
            <w:pPr>
              <w:pStyle w:val="CoverSheet"/>
              <w:numPr>
                <w:ilvl w:val="0"/>
                <w:numId w:val="12"/>
              </w:numPr>
              <w:rPr>
                <w:rFonts w:ascii="Verdana" w:hAnsi="Verdana"/>
              </w:rPr>
            </w:pPr>
            <w:r w:rsidRPr="003255BB">
              <w:rPr>
                <w:rFonts w:ascii="Verdana" w:hAnsi="Verdana"/>
              </w:rPr>
              <w:t>Public (Internet)</w:t>
            </w:r>
          </w:p>
          <w:p w:rsidR="005D4445" w:rsidRPr="003255BB" w:rsidRDefault="005D4445" w:rsidP="005D4445">
            <w:pPr>
              <w:pStyle w:val="CoverSheet"/>
              <w:numPr>
                <w:ilvl w:val="0"/>
                <w:numId w:val="12"/>
              </w:numPr>
              <w:rPr>
                <w:rFonts w:ascii="Verdana" w:hAnsi="Verdana"/>
              </w:rPr>
            </w:pPr>
            <w:r w:rsidRPr="003255BB">
              <w:rPr>
                <w:rFonts w:ascii="Verdana" w:hAnsi="Verdana"/>
              </w:rPr>
              <w:t>NHS Wales (Intranet)</w:t>
            </w:r>
          </w:p>
          <w:p w:rsidR="001412E2" w:rsidRPr="003255BB" w:rsidRDefault="005D4445" w:rsidP="005D4445">
            <w:pPr>
              <w:pStyle w:val="CoverSheet"/>
              <w:numPr>
                <w:ilvl w:val="0"/>
                <w:numId w:val="12"/>
              </w:numPr>
              <w:rPr>
                <w:rFonts w:ascii="Verdana" w:hAnsi="Verdana"/>
              </w:rPr>
            </w:pPr>
            <w:r w:rsidRPr="003255BB">
              <w:rPr>
                <w:rFonts w:ascii="Verdana" w:hAnsi="Verdana"/>
              </w:rPr>
              <w:t>Public Health Wales</w:t>
            </w:r>
            <w:r w:rsidR="00937742" w:rsidRPr="003255BB">
              <w:rPr>
                <w:rFonts w:ascii="Verdana" w:hAnsi="Verdana"/>
              </w:rPr>
              <w:t xml:space="preserve"> (Intranet)</w:t>
            </w:r>
            <w:bookmarkEnd w:id="6"/>
            <w:bookmarkEnd w:id="7"/>
          </w:p>
        </w:tc>
      </w:tr>
      <w:bookmarkEnd w:id="8"/>
      <w:tr w:rsidR="006C3E76" w:rsidTr="00411D1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45" w:type="dxa"/>
        </w:trPr>
        <w:tc>
          <w:tcPr>
            <w:tcW w:w="9301" w:type="dxa"/>
            <w:gridSpan w:val="2"/>
          </w:tcPr>
          <w:p w:rsidR="006C3E76" w:rsidRPr="003255BB" w:rsidRDefault="005D4445" w:rsidP="00CB4224">
            <w:pPr>
              <w:pStyle w:val="CoverSheet"/>
              <w:rPr>
                <w:rFonts w:ascii="Verdana" w:hAnsi="Verdana"/>
              </w:rPr>
            </w:pPr>
            <w:r w:rsidRPr="003255BB">
              <w:rPr>
                <w:rFonts w:ascii="Verdana" w:hAnsi="Verdana"/>
                <w:b/>
              </w:rPr>
              <w:t>Review Date</w:t>
            </w:r>
            <w:r w:rsidR="006C3E76" w:rsidRPr="003255BB">
              <w:rPr>
                <w:rFonts w:ascii="Verdana" w:hAnsi="Verdana"/>
                <w:b/>
              </w:rPr>
              <w:t>:</w:t>
            </w:r>
            <w:r w:rsidRPr="003255BB">
              <w:rPr>
                <w:rFonts w:ascii="Verdana" w:hAnsi="Verdana"/>
                <w:b/>
              </w:rPr>
              <w:t xml:space="preserve"> </w:t>
            </w:r>
            <w:r w:rsidR="00CB4224">
              <w:rPr>
                <w:rFonts w:ascii="Verdana" w:hAnsi="Verdana"/>
              </w:rPr>
              <w:t>Position statement</w:t>
            </w:r>
            <w:r w:rsidR="00235099">
              <w:rPr>
                <w:rFonts w:ascii="Verdana" w:hAnsi="Verdana"/>
              </w:rPr>
              <w:t>, and associated evidence present within this paper,</w:t>
            </w:r>
            <w:r w:rsidR="00CB4224">
              <w:rPr>
                <w:rFonts w:ascii="Verdana" w:hAnsi="Verdana"/>
              </w:rPr>
              <w:t xml:space="preserve"> to be subject to regular reviews, twelve months from publication</w:t>
            </w:r>
            <w:r w:rsidR="00235099">
              <w:rPr>
                <w:rFonts w:ascii="Verdana" w:hAnsi="Verdana"/>
              </w:rPr>
              <w:t>,</w:t>
            </w:r>
            <w:r w:rsidR="00CB4224">
              <w:rPr>
                <w:rFonts w:ascii="Verdana" w:hAnsi="Verdana"/>
              </w:rPr>
              <w:t xml:space="preserve"> or on emergence of new evidence. </w:t>
            </w:r>
            <w:r w:rsidR="006C3E76" w:rsidRPr="003255BB">
              <w:rPr>
                <w:rFonts w:ascii="Verdana" w:hAnsi="Verdana"/>
              </w:rPr>
              <w:t xml:space="preserve"> </w:t>
            </w:r>
          </w:p>
        </w:tc>
      </w:tr>
      <w:tr w:rsidR="00F00170" w:rsidTr="00411D1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45" w:type="dxa"/>
        </w:trPr>
        <w:tc>
          <w:tcPr>
            <w:tcW w:w="9301" w:type="dxa"/>
            <w:gridSpan w:val="2"/>
          </w:tcPr>
          <w:p w:rsidR="00F00170" w:rsidRPr="003255BB" w:rsidRDefault="00F00170" w:rsidP="00146B0B">
            <w:pPr>
              <w:pStyle w:val="CoverSheet"/>
              <w:rPr>
                <w:rFonts w:ascii="Verdana" w:hAnsi="Verdana"/>
                <w:b/>
              </w:rPr>
            </w:pPr>
            <w:r w:rsidRPr="003255BB">
              <w:rPr>
                <w:rFonts w:ascii="Verdana" w:hAnsi="Verdana"/>
                <w:b/>
              </w:rPr>
              <w:t>Purpose and Summary of Document:</w:t>
            </w:r>
          </w:p>
          <w:p w:rsidR="00F00170" w:rsidRPr="003255BB" w:rsidRDefault="00CB4224" w:rsidP="00B65A4F">
            <w:pPr>
              <w:pStyle w:val="CoverSheet"/>
              <w:rPr>
                <w:rFonts w:ascii="Verdana" w:hAnsi="Verdana"/>
              </w:rPr>
            </w:pPr>
            <w:r>
              <w:rPr>
                <w:rFonts w:ascii="Verdana" w:hAnsi="Verdana"/>
              </w:rPr>
              <w:t xml:space="preserve">This document provides </w:t>
            </w:r>
            <w:r w:rsidR="0013128C">
              <w:rPr>
                <w:rFonts w:ascii="Verdana" w:hAnsi="Verdana"/>
              </w:rPr>
              <w:t xml:space="preserve">the background to our </w:t>
            </w:r>
            <w:r w:rsidR="00732C92">
              <w:rPr>
                <w:rFonts w:ascii="Verdana" w:hAnsi="Verdana"/>
              </w:rPr>
              <w:t xml:space="preserve">updated </w:t>
            </w:r>
            <w:r w:rsidR="0013128C">
              <w:rPr>
                <w:rFonts w:ascii="Verdana" w:hAnsi="Verdana"/>
              </w:rPr>
              <w:t xml:space="preserve">position statement on </w:t>
            </w:r>
            <w:r w:rsidR="00B65A4F">
              <w:rPr>
                <w:rFonts w:ascii="Verdana" w:hAnsi="Verdana"/>
              </w:rPr>
              <w:t>graduated driving licensing (GDL)</w:t>
            </w:r>
            <w:r w:rsidR="0013128C">
              <w:rPr>
                <w:rFonts w:ascii="Verdana" w:hAnsi="Verdana"/>
              </w:rPr>
              <w:t xml:space="preserve">, </w:t>
            </w:r>
            <w:r w:rsidR="00235099">
              <w:rPr>
                <w:rFonts w:ascii="Verdana" w:hAnsi="Verdana"/>
              </w:rPr>
              <w:t>featuring</w:t>
            </w:r>
            <w:r w:rsidR="0013128C">
              <w:rPr>
                <w:rFonts w:ascii="Verdana" w:hAnsi="Verdana"/>
              </w:rPr>
              <w:t xml:space="preserve"> </w:t>
            </w:r>
            <w:r>
              <w:rPr>
                <w:rFonts w:ascii="Verdana" w:hAnsi="Verdana"/>
              </w:rPr>
              <w:t>an extensive review of the available evidence</w:t>
            </w:r>
            <w:r w:rsidR="0013128C">
              <w:rPr>
                <w:rFonts w:ascii="Verdana" w:hAnsi="Verdana"/>
              </w:rPr>
              <w:t>, the policy</w:t>
            </w:r>
            <w:r w:rsidR="00732C92">
              <w:rPr>
                <w:rFonts w:ascii="Verdana" w:hAnsi="Verdana"/>
              </w:rPr>
              <w:t>, regulatory</w:t>
            </w:r>
            <w:r w:rsidR="0013128C">
              <w:rPr>
                <w:rFonts w:ascii="Verdana" w:hAnsi="Verdana"/>
              </w:rPr>
              <w:t xml:space="preserve"> and legislative context</w:t>
            </w:r>
            <w:r w:rsidR="00732C92">
              <w:rPr>
                <w:rFonts w:ascii="Verdana" w:hAnsi="Verdana"/>
              </w:rPr>
              <w:t>,</w:t>
            </w:r>
            <w:r w:rsidR="0013128C">
              <w:rPr>
                <w:rFonts w:ascii="Verdana" w:hAnsi="Verdana"/>
              </w:rPr>
              <w:t xml:space="preserve"> and global perspectives</w:t>
            </w:r>
            <w:r w:rsidR="00732C92">
              <w:rPr>
                <w:rFonts w:ascii="Verdana" w:hAnsi="Verdana"/>
              </w:rPr>
              <w:t>.</w:t>
            </w:r>
          </w:p>
        </w:tc>
      </w:tr>
      <w:tr w:rsidR="00F00170" w:rsidTr="00411D1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45" w:type="dxa"/>
        </w:trPr>
        <w:tc>
          <w:tcPr>
            <w:tcW w:w="9301" w:type="dxa"/>
            <w:gridSpan w:val="2"/>
          </w:tcPr>
          <w:p w:rsidR="00CB4224" w:rsidRDefault="005D4445" w:rsidP="00CB4224">
            <w:pPr>
              <w:pStyle w:val="CoverSheet"/>
              <w:rPr>
                <w:rFonts w:ascii="Verdana" w:hAnsi="Verdana"/>
                <w:b/>
              </w:rPr>
            </w:pPr>
            <w:r w:rsidRPr="003255BB">
              <w:rPr>
                <w:rFonts w:ascii="Verdana" w:hAnsi="Verdana"/>
                <w:b/>
              </w:rPr>
              <w:t xml:space="preserve">Work Plan reference: </w:t>
            </w:r>
          </w:p>
          <w:p w:rsidR="00F00170" w:rsidRDefault="00CB4224" w:rsidP="00CB4224">
            <w:pPr>
              <w:pStyle w:val="CoverSheet"/>
              <w:numPr>
                <w:ilvl w:val="0"/>
                <w:numId w:val="23"/>
              </w:numPr>
              <w:rPr>
                <w:rFonts w:ascii="Verdana" w:hAnsi="Verdana"/>
              </w:rPr>
            </w:pPr>
            <w:r>
              <w:rPr>
                <w:rFonts w:ascii="Verdana" w:hAnsi="Verdana"/>
              </w:rPr>
              <w:t>Strategic Priority 5</w:t>
            </w:r>
          </w:p>
          <w:p w:rsidR="00CB4224" w:rsidRPr="003255BB" w:rsidRDefault="00CB4224" w:rsidP="00B65A4F">
            <w:pPr>
              <w:pStyle w:val="CoverSheet"/>
              <w:numPr>
                <w:ilvl w:val="0"/>
                <w:numId w:val="23"/>
              </w:numPr>
              <w:rPr>
                <w:rFonts w:ascii="Verdana" w:hAnsi="Verdana"/>
              </w:rPr>
            </w:pPr>
            <w:r>
              <w:rPr>
                <w:rFonts w:ascii="Verdana" w:hAnsi="Verdana"/>
              </w:rPr>
              <w:t xml:space="preserve">Position Statement </w:t>
            </w:r>
            <w:r w:rsidR="00B65A4F">
              <w:rPr>
                <w:rFonts w:ascii="Verdana" w:hAnsi="Verdana"/>
              </w:rPr>
              <w:t>PRID/S/001</w:t>
            </w:r>
          </w:p>
        </w:tc>
      </w:tr>
    </w:tbl>
    <w:p w:rsidR="00304E0B" w:rsidRDefault="00304E0B" w:rsidP="00013471">
      <w:pPr>
        <w:sectPr w:rsidR="00304E0B" w:rsidSect="00304E0B">
          <w:headerReference w:type="default" r:id="rId9"/>
          <w:footerReference w:type="default" r:id="rId10"/>
          <w:headerReference w:type="first" r:id="rId11"/>
          <w:footerReference w:type="first" r:id="rId12"/>
          <w:pgSz w:w="11909" w:h="16834" w:code="9"/>
          <w:pgMar w:top="1440" w:right="1412" w:bottom="1440" w:left="1412" w:header="720" w:footer="720" w:gutter="0"/>
          <w:cols w:space="720"/>
          <w:noEndnote/>
          <w:titlePg/>
        </w:sectPr>
      </w:pPr>
    </w:p>
    <w:p w:rsidR="00013471" w:rsidRDefault="00013471" w:rsidP="00013471"/>
    <w:p w:rsidR="00235099" w:rsidRDefault="00235099" w:rsidP="00013471"/>
    <w:p w:rsidR="004F4C37" w:rsidRPr="003255BB" w:rsidRDefault="00CB4224" w:rsidP="00B321BD">
      <w:pPr>
        <w:pStyle w:val="Heading1"/>
      </w:pPr>
      <w:r>
        <w:lastRenderedPageBreak/>
        <w:t>Introduction</w:t>
      </w:r>
    </w:p>
    <w:p w:rsidR="00CB4224" w:rsidRDefault="00CB4224" w:rsidP="008B582D">
      <w:r>
        <w:t>This document provides a broad background to explain why Public Health Wales has reached the conclusions present in the organisation’s</w:t>
      </w:r>
      <w:r w:rsidR="00411D1C">
        <w:t xml:space="preserve"> </w:t>
      </w:r>
      <w:r>
        <w:t xml:space="preserve">position statement on </w:t>
      </w:r>
      <w:r w:rsidR="00B65A4F">
        <w:t>Graduated Driving Licensing (GDL)</w:t>
      </w:r>
      <w:r w:rsidR="00351057">
        <w:t xml:space="preserve">. </w:t>
      </w:r>
    </w:p>
    <w:p w:rsidR="00315554" w:rsidRDefault="00315554" w:rsidP="00315554">
      <w:pPr>
        <w:spacing w:after="120"/>
        <w:rPr>
          <w:szCs w:val="24"/>
          <w:lang w:eastAsia="zh-CN"/>
        </w:rPr>
      </w:pPr>
      <w:r>
        <w:rPr>
          <w:szCs w:val="24"/>
          <w:lang w:eastAsia="zh-CN"/>
        </w:rPr>
        <w:t xml:space="preserve">GDL </w:t>
      </w:r>
      <w:r w:rsidR="00B65A4F" w:rsidRPr="00D22553">
        <w:rPr>
          <w:szCs w:val="24"/>
          <w:lang w:eastAsia="zh-CN"/>
        </w:rPr>
        <w:t>enables new drivers to gain valuable driving experience under low risk conditions.</w:t>
      </w:r>
      <w:r>
        <w:rPr>
          <w:szCs w:val="24"/>
          <w:lang w:eastAsia="zh-CN"/>
        </w:rPr>
        <w:t xml:space="preserve"> In the context of new young drivers (YD), </w:t>
      </w:r>
      <w:r w:rsidRPr="00D22553">
        <w:rPr>
          <w:szCs w:val="24"/>
          <w:lang w:eastAsia="zh-CN"/>
        </w:rPr>
        <w:t xml:space="preserve">GDL gives the new </w:t>
      </w:r>
      <w:r>
        <w:rPr>
          <w:szCs w:val="24"/>
          <w:lang w:eastAsia="zh-CN"/>
        </w:rPr>
        <w:t>YD</w:t>
      </w:r>
      <w:r w:rsidRPr="00D22553">
        <w:rPr>
          <w:szCs w:val="24"/>
          <w:lang w:eastAsia="zh-CN"/>
        </w:rPr>
        <w:t xml:space="preserve"> permission to drive unaccompanied, but not in high risk conditions, unless they are supervised by a fully qualified driver. It does this by adding an ‘intermediate’ phase between the learner and full licences, when these permissions are applied.</w:t>
      </w:r>
      <w:r>
        <w:rPr>
          <w:szCs w:val="24"/>
          <w:lang w:eastAsia="zh-CN"/>
        </w:rPr>
        <w:t xml:space="preserve"> </w:t>
      </w:r>
    </w:p>
    <w:p w:rsidR="00315554" w:rsidRDefault="00315554" w:rsidP="00315554">
      <w:pPr>
        <w:spacing w:after="120"/>
        <w:rPr>
          <w:szCs w:val="24"/>
          <w:lang w:eastAsia="zh-CN"/>
        </w:rPr>
      </w:pPr>
      <w:r w:rsidRPr="00D22553">
        <w:rPr>
          <w:szCs w:val="24"/>
          <w:lang w:eastAsia="zh-CN"/>
        </w:rPr>
        <w:t xml:space="preserve">This intermediate phase lasts for a fixed period, up to </w:t>
      </w:r>
      <w:r w:rsidR="004976E7">
        <w:rPr>
          <w:szCs w:val="24"/>
          <w:lang w:eastAsia="zh-CN"/>
        </w:rPr>
        <w:t>4</w:t>
      </w:r>
      <w:r w:rsidRPr="00D22553">
        <w:rPr>
          <w:szCs w:val="24"/>
          <w:lang w:eastAsia="zh-CN"/>
        </w:rPr>
        <w:t xml:space="preserve"> years in some places, and is linked to a fixed learner period of up to 1 year</w:t>
      </w:r>
      <w:r>
        <w:rPr>
          <w:szCs w:val="24"/>
          <w:lang w:eastAsia="zh-CN"/>
        </w:rPr>
        <w:t xml:space="preserve">. </w:t>
      </w:r>
      <w:r w:rsidRPr="00D22553">
        <w:rPr>
          <w:szCs w:val="24"/>
          <w:lang w:eastAsia="zh-CN"/>
        </w:rPr>
        <w:t>The learner period also encourages certified driving over a set number of hours and in set conditions</w:t>
      </w:r>
      <w:r>
        <w:rPr>
          <w:szCs w:val="24"/>
          <w:lang w:eastAsia="zh-CN"/>
        </w:rPr>
        <w:t>.</w:t>
      </w:r>
    </w:p>
    <w:p w:rsidR="00976626" w:rsidRDefault="00840C46" w:rsidP="00976626">
      <w:pPr>
        <w:pStyle w:val="Heading1"/>
      </w:pPr>
      <w:r>
        <w:t>Literature Review</w:t>
      </w:r>
    </w:p>
    <w:p w:rsidR="00976626" w:rsidRDefault="00235099" w:rsidP="00976626">
      <w:pPr>
        <w:pStyle w:val="Heading2"/>
      </w:pPr>
      <w:r>
        <w:t xml:space="preserve">Specific </w:t>
      </w:r>
      <w:r w:rsidR="003D33F1">
        <w:t>Factors</w:t>
      </w:r>
    </w:p>
    <w:p w:rsidR="00FF5607" w:rsidRPr="00315554" w:rsidRDefault="00FF5607" w:rsidP="00FF5607">
      <w:pPr>
        <w:pStyle w:val="Heading3"/>
      </w:pPr>
      <w:r w:rsidRPr="00315554">
        <w:t xml:space="preserve">On how GDL </w:t>
      </w:r>
      <w:r w:rsidR="00763DDF" w:rsidRPr="00315554">
        <w:t>reduc</w:t>
      </w:r>
      <w:r w:rsidR="00763DDF">
        <w:t>es</w:t>
      </w:r>
      <w:r w:rsidR="00763DDF" w:rsidRPr="00315554">
        <w:t xml:space="preserve"> </w:t>
      </w:r>
      <w:r w:rsidRPr="00315554">
        <w:t>young people’s exposure to high risk situations</w:t>
      </w:r>
    </w:p>
    <w:p w:rsidR="00C27730" w:rsidRDefault="00FF5607" w:rsidP="00FF5607">
      <w:pPr>
        <w:pStyle w:val="Heading3"/>
        <w:numPr>
          <w:ilvl w:val="0"/>
          <w:numId w:val="0"/>
        </w:numPr>
      </w:pPr>
      <w:r w:rsidRPr="00315554">
        <w:t xml:space="preserve">A number of papers consider how a GDL system can reduce a young person’s exposure to high risk situations, such as driving at night, driving with young passengers or driving having consumed alcohol </w:t>
      </w:r>
      <w:r w:rsidR="00A46D03" w:rsidRPr="00330D84">
        <w:fldChar w:fldCharType="begin"/>
      </w:r>
      <w:r w:rsidR="00846148">
        <w:instrText xml:space="preserve"> ADDIN ZOTERO_ITEM CSL_CITATION {"citationID":"tzDgYMXW","properties":{"formattedCitation":"{\\rtf [1\\uc0\\u8211{}3]}","plainCitation":"[1–3]"},"citationItems":[{"id":31,"uris":["http://zotero.org/users/1859298/items/2VPWT5N2"],"uri":["http://zotero.org/users/1859298/items/2VPWT5N2"],"itemData":{"id":31,"type":"article-journal","title":"Sixteen-Year-Old Drivers in Fatal Crashes, United States, 2003","container-title":"Traffic Injury Prevention","page":"202-206","volume":"6","issue":"3","source":"Taylor and Francis+NEJM","abstract":"Objective. Key features of graduated licensing were introduced in 46 states and the District of Columbia between 1993 and 2003. State evaluations consistently have reported positive overall effects and positive effects of nighttime and passenger restrictions. Sixteen year-olds are the main target of graduated licensing, and the present study investigated changes in their fatal crash involvement and crash characteristics that have taken place nationally during 1993–2003. By looking at 16 year-olds nationally, the study does not constitute a direct test of the effect of graduated licensing laws per se. Methods. Data on fatal crashes were obtained from the Fatality Analysis Reporting System. Sixteen year-olds were compared with older drivers. Results. During these years, the extent to which 16-year-old drivers were in fatal crashes decreased substantially compared with older age groups. The drop in the per capita crash rate for 16 year-olds was 26%. The major change was a reduction in crashes involving transporting young passengers, especially in jurisdictions with restrictions that target these crashes. There was no change in the proportion of fatal late-night crashes even in states restricting this activity. Conclusions. There has been some progress nationally in reducing the crash problem for 16 year-olds, but this still is a big problem. To achieve further progress, the gaps and weaknesses in present graduated licensing laws will need to be addressed.","DOI":"10.1080/15389580590969085","ISSN":"1538-9588","note":"PMID: 16087458","author":[{"family":"Williams","given":"Allan F."},{"family":"Ferguson","given":"Susan A."},{"family":"Wells","given":"Joann K."}],"issued":{"date-parts":[["2005",9,1]]},"PMID":"16087458"}},{"id":854,"uris":["http://zotero.org/users/1859298/items/VJJRR6K6"],"uri":["http://zotero.org/users/1859298/items/VJJRR6K6"],"itemData":{"id":854,"type":"article-journal","title":"Crashes of novice teenage drivers: Characteristics and contributing factors","container-title":"Journal of Safety Research","page":"47-54","volume":"39","issue":"1","source":"ScienceDirect","abstract":"Objective: The initial months of licensure are especially hazardous for teenagers. Factors leading to crashes of novice 16-year-old drivers were identified. Method: Sixteen year-olds in Connecticut who were involved in nonfatal crashes during the first 8 months of licensure were interviewed, and police crash reports were examined. Crash types and contributing factors were identified. Results: Three-fourths of the crash-involved teenagers were at fault. Their crashes resulted primarily when they ran off the road, rear ended another vehicle, or collided with another vehicle that had the right-of-way. Three factors contributed about equally to their crashes: failing to detect another vehicle or traffic control, speeding, and losing control of the vehicle or sliding. Slippery roads also were an important factor. Most failures to detect another vehicle or traffic control involved not looking thoroughly, distraction, or inattention. Discussion: Based on the findings, potential countermeasures for reducing crashes of novice teenage drivers include adequate practice driving, in-vehicle monitoring devices, and electronic stability control. Impact on industry: More than half of the nonfatal, at-fault crashes of newly licensed 16-year-old drivers involved more than one contributing factor including speed, loss of control, and slippery roads. Efforts to reduce teenage crashes should focus on these factors.","DOI":"10.1016/j.jsr.2007.12.002","ISSN":"0022-4375","shortTitle":"Crashes of novice teenage drivers","journalAbbreviation":"Journal of Safety Research","author":[{"family":"Braitman","given":"Keli A."},{"family":"Kirley","given":"Bevan B."},{"family":"McCartt","given":"Anne T."},{"family":"Chaudhary","given":"Neil K."}],"issued":{"date-parts":[["2008"]]}}},{"id":773,"uris":["http://zotero.org/users/1859298/items/STZ6XJI5"],"uri":["http://zotero.org/users/1859298/items/STZ6XJI5"],"itemData":{"id":773,"type":"article-journal","title":"Nighttime driving, passenger transport, and injury crash rates of young drivers","container-title":"Injury Prevention","page":"245-250","volume":"9","issue":"3","source":"injuryprevention.bmj.com","abstract":"Objective: This study examines the association of nighttime driving and the carrying of passengers with the rate of motor vehicle crashes that resulted in severe or fatal injury to young drivers in California before the implementation of a graduated licensing system.\nMethod: Passenger vehicle drivers aged 16 or 17 involved in injury crashes in California from 1 January 1993 to 30 June 1998 were identified through a police crash database. An induced exposure method was used to estimate driving exposure. Odds ratios for driver injury crashes were estimated with logistic regression.\nResults: Driving at night, driving without adult supervision, driving with passengers, using alcohol, being 16, and being male were associated with high rates of driver injury crash.\nConclusions: The injury crash rate for drivers aged 16 or 17 increases during nighttime hours and in the absence of adult supervision, with or without other passengers. Driving between 10 pm and midnight is particularly dangerous for young drivers. Nighttime driving restrictions that begin at 10 pm or earlier and restrictions on carrying passengers at any hour may increase the effectiveness of graduated licensing systems.","DOI":"10.1136/ip.9.3.245","ISSN":", 1475-5785","note":"PMID: 12966014","journalAbbreviation":"Inj Prev","language":"en","author":[{"family":"Rice","given":"T. M."},{"family":"Peek-Asa","given":"C."},{"family":"Kraus","given":"J. F."}],"issued":{"date-parts":[["2003",1,9]]},"PMID":"12966014"}}],"schema":"https://github.com/citation-style-language/schema/raw/master/csl-citation.json"} </w:instrText>
      </w:r>
      <w:r w:rsidR="00A46D03" w:rsidRPr="00330D84">
        <w:fldChar w:fldCharType="separate"/>
      </w:r>
      <w:r w:rsidR="00846148" w:rsidRPr="00846148">
        <w:rPr>
          <w:szCs w:val="24"/>
        </w:rPr>
        <w:t>[1–3]</w:t>
      </w:r>
      <w:r w:rsidR="00A46D03" w:rsidRPr="00330D84">
        <w:fldChar w:fldCharType="end"/>
      </w:r>
      <w:r w:rsidRPr="00315554">
        <w:t>.</w:t>
      </w:r>
      <w:r>
        <w:t xml:space="preserve"> </w:t>
      </w:r>
    </w:p>
    <w:p w:rsidR="00315554" w:rsidRDefault="00C27730" w:rsidP="00FF5607">
      <w:pPr>
        <w:pStyle w:val="Heading3"/>
        <w:numPr>
          <w:ilvl w:val="0"/>
          <w:numId w:val="0"/>
        </w:numPr>
      </w:pPr>
      <w:r>
        <w:t xml:space="preserve">Another paper found, following analysis of police crash data, that </w:t>
      </w:r>
      <w:r>
        <w:rPr>
          <w:lang w:eastAsia="zh-CN"/>
        </w:rPr>
        <w:t>many fatalities, crashes and casualties occur every year</w:t>
      </w:r>
      <w:r w:rsidR="007958BC">
        <w:rPr>
          <w:lang w:eastAsia="zh-CN"/>
        </w:rPr>
        <w:t>, in GB,</w:t>
      </w:r>
      <w:r>
        <w:rPr>
          <w:lang w:eastAsia="zh-CN"/>
        </w:rPr>
        <w:t xml:space="preserve"> in the high risk situations that are typically covered by </w:t>
      </w:r>
      <w:r w:rsidRPr="00D314A9">
        <w:rPr>
          <w:szCs w:val="24"/>
          <w:lang w:eastAsia="zh-CN"/>
        </w:rPr>
        <w:t>GDL</w:t>
      </w:r>
      <w:r>
        <w:rPr>
          <w:szCs w:val="24"/>
          <w:lang w:eastAsia="zh-CN"/>
        </w:rPr>
        <w:t xml:space="preserve"> </w:t>
      </w:r>
      <w:r w:rsidR="00A46D03">
        <w:rPr>
          <w:szCs w:val="24"/>
          <w:lang w:eastAsia="zh-CN"/>
        </w:rPr>
        <w:fldChar w:fldCharType="begin"/>
      </w:r>
      <w:r w:rsidR="00015D7A">
        <w:rPr>
          <w:szCs w:val="24"/>
          <w:lang w:eastAsia="zh-CN"/>
        </w:rPr>
        <w:instrText xml:space="preserve"> ADDIN ZOTERO_ITEM CSL_CITATION {"citationID":"27m1rb7ksh","properties":{"formattedCitation":"[4]","plainCitation":"[4]"},"citationItems":[{"id":2093,"uris":["http://zotero.org/users/1859298/items/RX8I3ZSB"],"uri":["http://zotero.org/users/1859298/items/RX8I3ZSB"],"itemData":{"id":2093,"type":"article-journal","title":"Reducing young driver crash casualties in Great Britain – Use of routine police crash data to estimate the potential benefits of graduated driver licensing","container-title":"International Journal of Injury Control and Safety Promotion","page":"321-330","volume":"20","issue":"4","source":"CrossRef","DOI":"10.1080/17457300.2012.726631","ISSN":"1745-7300, 1745-7319","language":"en","author":[{"family":"Jones","given":"Sarah J."},{"family":"Begg","given":"Dorothy J."},{"family":"Palmer","given":"Stephen R."}],"issued":{"date-parts":[["2013",12]]}}}],"schema":"https://github.com/citation-style-language/schema/raw/master/csl-citation.json"} </w:instrText>
      </w:r>
      <w:r w:rsidR="00A46D03">
        <w:rPr>
          <w:szCs w:val="24"/>
          <w:lang w:eastAsia="zh-CN"/>
        </w:rPr>
        <w:fldChar w:fldCharType="separate"/>
      </w:r>
      <w:r w:rsidR="00846148" w:rsidRPr="00846148">
        <w:t>[4]</w:t>
      </w:r>
      <w:r w:rsidR="00A46D03">
        <w:rPr>
          <w:szCs w:val="24"/>
          <w:lang w:eastAsia="zh-CN"/>
        </w:rPr>
        <w:fldChar w:fldCharType="end"/>
      </w:r>
    </w:p>
    <w:p w:rsidR="00315554" w:rsidRDefault="00315554" w:rsidP="00315554">
      <w:pPr>
        <w:pStyle w:val="Heading3"/>
      </w:pPr>
      <w:r>
        <w:t>On crash risk of an 18 year old newly qualified driver</w:t>
      </w:r>
    </w:p>
    <w:p w:rsidR="00483E06" w:rsidRDefault="00315554" w:rsidP="00315554">
      <w:pPr>
        <w:pStyle w:val="Heading3"/>
        <w:numPr>
          <w:ilvl w:val="0"/>
          <w:numId w:val="0"/>
        </w:numPr>
      </w:pPr>
      <w:r w:rsidRPr="00D22553">
        <w:rPr>
          <w:szCs w:val="24"/>
          <w:lang w:eastAsia="zh-CN"/>
        </w:rPr>
        <w:t>The crash risk of an 18 year old newly qualified driver is around 6 times higher than that of their parents and three times higher than that of a</w:t>
      </w:r>
      <w:r>
        <w:rPr>
          <w:szCs w:val="24"/>
          <w:lang w:eastAsia="zh-CN"/>
        </w:rPr>
        <w:t xml:space="preserve"> newly qualified driver aged 35 </w:t>
      </w:r>
      <w:r w:rsidR="00A46D03">
        <w:rPr>
          <w:szCs w:val="24"/>
          <w:lang w:eastAsia="zh-CN"/>
        </w:rPr>
        <w:fldChar w:fldCharType="begin"/>
      </w:r>
      <w:r w:rsidR="00015D7A">
        <w:rPr>
          <w:szCs w:val="24"/>
          <w:lang w:eastAsia="zh-CN"/>
        </w:rPr>
        <w:instrText xml:space="preserve"> ADDIN ZOTERO_ITEM CSL_CITATION {"citationID":"168tdvn4do","properties":{"formattedCitation":"[5]","plainCitation":"[5]"},"citationItems":[{"id":314,"uris":["http://zotero.org/users/1859298/items/CBRE8G2E"],"uri":["http://zotero.org/users/1859298/items/CBRE8G2E"],"itemData":{"id":314,"type":"article-journal","title":"Trends in young driver risk and countermeasures in European countries","container-title":"Journal of Safety Research","page":"245-257","volume":"38","issue":"2","source":"CrossRef","DOI":"10.1016/j.jsr.2007.03.006","ISSN":"00224375","language":"en","author":[{"family":"Twisk","given":"Divera A.M."},{"family":"Stacey","given":"Colin"}],"issued":{"date-parts":[["2007",1]]}}}],"schema":"https://github.com/citation-style-language/schema/raw/master/csl-citation.json"} </w:instrText>
      </w:r>
      <w:r w:rsidR="00A46D03">
        <w:rPr>
          <w:szCs w:val="24"/>
          <w:lang w:eastAsia="zh-CN"/>
        </w:rPr>
        <w:fldChar w:fldCharType="separate"/>
      </w:r>
      <w:r w:rsidR="00846148" w:rsidRPr="00846148">
        <w:t>[5]</w:t>
      </w:r>
      <w:r w:rsidR="00A46D03">
        <w:rPr>
          <w:szCs w:val="24"/>
          <w:lang w:eastAsia="zh-CN"/>
        </w:rPr>
        <w:fldChar w:fldCharType="end"/>
      </w:r>
      <w:r>
        <w:rPr>
          <w:szCs w:val="24"/>
          <w:lang w:eastAsia="zh-CN"/>
        </w:rPr>
        <w:t>.</w:t>
      </w:r>
      <w:r w:rsidR="00483E06">
        <w:t xml:space="preserve"> </w:t>
      </w:r>
      <w:r w:rsidR="009016F7">
        <w:t xml:space="preserve"> </w:t>
      </w:r>
    </w:p>
    <w:p w:rsidR="00315554" w:rsidRDefault="00315554" w:rsidP="00315554">
      <w:pPr>
        <w:pStyle w:val="Heading3"/>
      </w:pPr>
      <w:r>
        <w:t>On crashes involving young drivers</w:t>
      </w:r>
      <w:r w:rsidR="00C37BDD">
        <w:t xml:space="preserve"> (YDs)</w:t>
      </w:r>
    </w:p>
    <w:p w:rsidR="00315554" w:rsidRPr="00D22553" w:rsidRDefault="00315554" w:rsidP="00315554">
      <w:pPr>
        <w:spacing w:after="120"/>
        <w:rPr>
          <w:szCs w:val="24"/>
          <w:lang w:eastAsia="zh-CN"/>
        </w:rPr>
      </w:pPr>
      <w:r w:rsidRPr="00D22553">
        <w:rPr>
          <w:rFonts w:eastAsiaTheme="minorHAnsi"/>
          <w:szCs w:val="24"/>
        </w:rPr>
        <w:t>Recent data from the RAC Foundation</w:t>
      </w:r>
      <w:r>
        <w:rPr>
          <w:rFonts w:eastAsiaTheme="minorHAnsi"/>
          <w:szCs w:val="24"/>
        </w:rPr>
        <w:t xml:space="preserve"> </w:t>
      </w:r>
      <w:r w:rsidR="00A46D03">
        <w:rPr>
          <w:rFonts w:eastAsiaTheme="minorHAnsi"/>
          <w:szCs w:val="24"/>
        </w:rPr>
        <w:fldChar w:fldCharType="begin"/>
      </w:r>
      <w:r w:rsidR="00015D7A">
        <w:rPr>
          <w:rFonts w:eastAsiaTheme="minorHAnsi"/>
          <w:szCs w:val="24"/>
        </w:rPr>
        <w:instrText xml:space="preserve"> ADDIN ZOTERO_ITEM CSL_CITATION {"citationID":"23tgn8adiv","properties":{"formattedCitation":"[6]","plainCitation":"[6]"},"citationItems":[{"id":2095,"uris":["http://zotero.org/users/1859298/items/9HK34HE2"],"uri":["http://zotero.org/users/1859298/items/9HK34HE2"],"itemData":{"id":2095,"type":"report","title":"Graduated Driver Licensing. A regional analysis of potential casualty savings in Great Britain","publisher":"RAC Foundation","publisher-place":"London","page":"102","event-place":"London","URL":"http://www.racfoundation.org/assets/rac_foundation/content/downloadables/graduated_driver_licensing_regional_analysis_trl_270514.pdf","author":[{"family":"Kinnear","given":"N"},{"family":"Lloyd","given":"L"},{"family":"Scoons","given":"J"},{"family":"Helman","given":"S"}],"issued":{"date-parts":[["2014",5]]},"accessed":{"date-parts":[["2016",9,29]]}}}],"schema":"https://github.com/citation-style-language/schema/raw/master/csl-citation.json"} </w:instrText>
      </w:r>
      <w:r w:rsidR="00A46D03">
        <w:rPr>
          <w:rFonts w:eastAsiaTheme="minorHAnsi"/>
          <w:szCs w:val="24"/>
        </w:rPr>
        <w:fldChar w:fldCharType="separate"/>
      </w:r>
      <w:r w:rsidR="00846148" w:rsidRPr="00846148">
        <w:rPr>
          <w:rFonts w:eastAsiaTheme="minorHAnsi"/>
        </w:rPr>
        <w:t>[6]</w:t>
      </w:r>
      <w:r w:rsidR="00A46D03">
        <w:rPr>
          <w:rFonts w:eastAsiaTheme="minorHAnsi"/>
          <w:szCs w:val="24"/>
        </w:rPr>
        <w:fldChar w:fldCharType="end"/>
      </w:r>
      <w:r w:rsidRPr="00D22553">
        <w:rPr>
          <w:rFonts w:eastAsiaTheme="minorHAnsi"/>
          <w:szCs w:val="24"/>
        </w:rPr>
        <w:t xml:space="preserve"> show that in Wales, in particular, a greater proportion of crashes involve </w:t>
      </w:r>
      <w:r>
        <w:rPr>
          <w:rFonts w:eastAsiaTheme="minorHAnsi"/>
          <w:szCs w:val="24"/>
        </w:rPr>
        <w:t>YDs</w:t>
      </w:r>
      <w:r w:rsidRPr="00D22553">
        <w:rPr>
          <w:rFonts w:eastAsiaTheme="minorHAnsi"/>
          <w:szCs w:val="24"/>
        </w:rPr>
        <w:t xml:space="preserve"> than anywhere else in Great Britain (table 1). Dyfed-Powys has a higher proportion of </w:t>
      </w:r>
      <w:r w:rsidR="004C422E">
        <w:rPr>
          <w:rFonts w:eastAsiaTheme="minorHAnsi"/>
          <w:szCs w:val="24"/>
        </w:rPr>
        <w:t>crashes</w:t>
      </w:r>
      <w:r w:rsidR="004C422E" w:rsidRPr="00D22553">
        <w:rPr>
          <w:rFonts w:eastAsiaTheme="minorHAnsi"/>
          <w:szCs w:val="24"/>
        </w:rPr>
        <w:t xml:space="preserve"> </w:t>
      </w:r>
      <w:r w:rsidRPr="00D22553">
        <w:rPr>
          <w:rFonts w:eastAsiaTheme="minorHAnsi"/>
          <w:szCs w:val="24"/>
        </w:rPr>
        <w:t xml:space="preserve">that involve a </w:t>
      </w:r>
      <w:r>
        <w:rPr>
          <w:rFonts w:eastAsiaTheme="minorHAnsi"/>
          <w:szCs w:val="24"/>
        </w:rPr>
        <w:t>YD</w:t>
      </w:r>
      <w:r w:rsidRPr="00D22553">
        <w:rPr>
          <w:rFonts w:eastAsiaTheme="minorHAnsi"/>
          <w:szCs w:val="24"/>
        </w:rPr>
        <w:t xml:space="preserve"> than any other region of Great Britain at 18.2%. </w:t>
      </w:r>
    </w:p>
    <w:p w:rsidR="00315554" w:rsidRPr="00A52C33" w:rsidRDefault="00315554" w:rsidP="00315554">
      <w:pPr>
        <w:rPr>
          <w:b/>
          <w:sz w:val="20"/>
          <w:lang w:eastAsia="zh-CN"/>
        </w:rPr>
      </w:pPr>
      <w:r>
        <w:rPr>
          <w:b/>
          <w:sz w:val="20"/>
          <w:lang w:eastAsia="zh-CN"/>
        </w:rPr>
        <w:lastRenderedPageBreak/>
        <w:t>Table</w:t>
      </w:r>
      <w:r w:rsidRPr="00A52C33">
        <w:rPr>
          <w:b/>
          <w:sz w:val="20"/>
          <w:lang w:eastAsia="zh-CN"/>
        </w:rPr>
        <w:t xml:space="preserve"> 1:- </w:t>
      </w:r>
      <w:r>
        <w:rPr>
          <w:b/>
          <w:sz w:val="20"/>
          <w:lang w:eastAsia="zh-CN"/>
        </w:rPr>
        <w:t>Impact of young driver crashes by country and expected effect of GDL</w:t>
      </w:r>
    </w:p>
    <w:tbl>
      <w:tblPr>
        <w:tblStyle w:val="TableGrid"/>
        <w:tblW w:w="9933" w:type="dxa"/>
        <w:jc w:val="center"/>
        <w:tblLook w:val="04A0"/>
      </w:tblPr>
      <w:tblGrid>
        <w:gridCol w:w="1771"/>
        <w:gridCol w:w="2063"/>
        <w:gridCol w:w="2024"/>
        <w:gridCol w:w="2393"/>
        <w:gridCol w:w="1682"/>
      </w:tblGrid>
      <w:tr w:rsidR="00315554" w:rsidRPr="00BE384C" w:rsidTr="00EC0F0D">
        <w:trPr>
          <w:jc w:val="center"/>
        </w:trPr>
        <w:tc>
          <w:tcPr>
            <w:tcW w:w="1771" w:type="dxa"/>
          </w:tcPr>
          <w:p w:rsidR="00315554" w:rsidRPr="00BE384C" w:rsidRDefault="00315554" w:rsidP="00315554">
            <w:pPr>
              <w:spacing w:before="0"/>
              <w:jc w:val="center"/>
              <w:rPr>
                <w:b/>
                <w:lang w:eastAsia="zh-CN"/>
              </w:rPr>
            </w:pPr>
          </w:p>
        </w:tc>
        <w:tc>
          <w:tcPr>
            <w:tcW w:w="2063" w:type="dxa"/>
          </w:tcPr>
          <w:p w:rsidR="00315554" w:rsidRPr="00BE384C" w:rsidRDefault="00315554" w:rsidP="00315554">
            <w:pPr>
              <w:spacing w:before="0"/>
              <w:jc w:val="center"/>
              <w:rPr>
                <w:b/>
                <w:lang w:eastAsia="zh-CN"/>
              </w:rPr>
            </w:pPr>
            <w:r w:rsidRPr="00BE384C">
              <w:rPr>
                <w:b/>
                <w:lang w:eastAsia="zh-CN"/>
              </w:rPr>
              <w:t>Proportion of casualties that involved a young car driver (aged 17 to 19 years)</w:t>
            </w:r>
          </w:p>
        </w:tc>
        <w:tc>
          <w:tcPr>
            <w:tcW w:w="2024" w:type="dxa"/>
          </w:tcPr>
          <w:p w:rsidR="00315554" w:rsidRPr="00BE384C" w:rsidRDefault="00315554" w:rsidP="00315554">
            <w:pPr>
              <w:spacing w:before="0"/>
              <w:jc w:val="center"/>
              <w:rPr>
                <w:b/>
                <w:lang w:eastAsia="zh-CN"/>
              </w:rPr>
            </w:pPr>
            <w:r w:rsidRPr="00BE384C">
              <w:rPr>
                <w:b/>
                <w:lang w:eastAsia="zh-CN"/>
              </w:rPr>
              <w:t>Expected annual reduction in annual casualties associated with GDL</w:t>
            </w:r>
          </w:p>
        </w:tc>
        <w:tc>
          <w:tcPr>
            <w:tcW w:w="2393" w:type="dxa"/>
          </w:tcPr>
          <w:p w:rsidR="00315554" w:rsidRPr="00BE384C" w:rsidRDefault="00315554" w:rsidP="00315554">
            <w:pPr>
              <w:spacing w:before="0"/>
              <w:jc w:val="center"/>
              <w:rPr>
                <w:b/>
                <w:lang w:eastAsia="zh-CN"/>
              </w:rPr>
            </w:pPr>
            <w:r w:rsidRPr="00BE384C">
              <w:rPr>
                <w:b/>
                <w:lang w:eastAsia="zh-CN"/>
              </w:rPr>
              <w:t>Expected annual reduction in annual KSI casualties associated with GDL</w:t>
            </w:r>
          </w:p>
        </w:tc>
        <w:tc>
          <w:tcPr>
            <w:tcW w:w="1682" w:type="dxa"/>
          </w:tcPr>
          <w:p w:rsidR="00315554" w:rsidRPr="00BE384C" w:rsidRDefault="00315554" w:rsidP="00315554">
            <w:pPr>
              <w:spacing w:before="0"/>
              <w:jc w:val="center"/>
              <w:rPr>
                <w:b/>
                <w:lang w:eastAsia="zh-CN"/>
              </w:rPr>
            </w:pPr>
            <w:r w:rsidRPr="00BE384C">
              <w:rPr>
                <w:b/>
                <w:lang w:eastAsia="zh-CN"/>
              </w:rPr>
              <w:t>Expected benefit of GDL</w:t>
            </w:r>
          </w:p>
          <w:p w:rsidR="00315554" w:rsidRPr="00BE384C" w:rsidRDefault="00315554" w:rsidP="00315554">
            <w:pPr>
              <w:spacing w:before="0"/>
              <w:jc w:val="center"/>
              <w:rPr>
                <w:b/>
                <w:lang w:eastAsia="zh-CN"/>
              </w:rPr>
            </w:pPr>
            <w:r w:rsidRPr="00BE384C">
              <w:rPr>
                <w:b/>
                <w:lang w:eastAsia="zh-CN"/>
              </w:rPr>
              <w:t>(£M)</w:t>
            </w:r>
          </w:p>
        </w:tc>
      </w:tr>
      <w:tr w:rsidR="00315554" w:rsidRPr="00BE384C" w:rsidTr="00EC0F0D">
        <w:trPr>
          <w:jc w:val="center"/>
        </w:trPr>
        <w:tc>
          <w:tcPr>
            <w:tcW w:w="1771" w:type="dxa"/>
          </w:tcPr>
          <w:p w:rsidR="00315554" w:rsidRPr="00BE384C" w:rsidRDefault="00315554" w:rsidP="00315554">
            <w:pPr>
              <w:spacing w:before="0"/>
              <w:rPr>
                <w:lang w:eastAsia="zh-CN"/>
              </w:rPr>
            </w:pPr>
            <w:r w:rsidRPr="00BE384C">
              <w:rPr>
                <w:lang w:eastAsia="zh-CN"/>
              </w:rPr>
              <w:t>England</w:t>
            </w:r>
          </w:p>
        </w:tc>
        <w:tc>
          <w:tcPr>
            <w:tcW w:w="2063" w:type="dxa"/>
          </w:tcPr>
          <w:p w:rsidR="00315554" w:rsidRPr="00BE384C" w:rsidRDefault="00315554" w:rsidP="00315554">
            <w:pPr>
              <w:spacing w:before="0"/>
              <w:jc w:val="center"/>
              <w:rPr>
                <w:lang w:eastAsia="zh-CN"/>
              </w:rPr>
            </w:pPr>
            <w:r>
              <w:rPr>
                <w:lang w:eastAsia="zh-CN"/>
              </w:rPr>
              <w:t>11.6%</w:t>
            </w:r>
          </w:p>
        </w:tc>
        <w:tc>
          <w:tcPr>
            <w:tcW w:w="2024" w:type="dxa"/>
          </w:tcPr>
          <w:p w:rsidR="00315554" w:rsidRPr="00BE384C" w:rsidRDefault="00315554" w:rsidP="00315554">
            <w:pPr>
              <w:spacing w:before="0"/>
              <w:jc w:val="center"/>
              <w:rPr>
                <w:lang w:eastAsia="zh-CN"/>
              </w:rPr>
            </w:pPr>
            <w:r>
              <w:rPr>
                <w:lang w:eastAsia="zh-CN"/>
              </w:rPr>
              <w:t>3883</w:t>
            </w:r>
          </w:p>
        </w:tc>
        <w:tc>
          <w:tcPr>
            <w:tcW w:w="2393" w:type="dxa"/>
          </w:tcPr>
          <w:p w:rsidR="00315554" w:rsidRPr="00BE384C" w:rsidRDefault="00315554" w:rsidP="00315554">
            <w:pPr>
              <w:spacing w:before="0"/>
              <w:jc w:val="center"/>
              <w:rPr>
                <w:lang w:eastAsia="zh-CN"/>
              </w:rPr>
            </w:pPr>
            <w:r>
              <w:rPr>
                <w:lang w:eastAsia="zh-CN"/>
              </w:rPr>
              <w:t>361</w:t>
            </w:r>
          </w:p>
        </w:tc>
        <w:tc>
          <w:tcPr>
            <w:tcW w:w="1682" w:type="dxa"/>
          </w:tcPr>
          <w:p w:rsidR="00315554" w:rsidRPr="00BE384C" w:rsidRDefault="00315554" w:rsidP="00315554">
            <w:pPr>
              <w:spacing w:before="0"/>
              <w:jc w:val="center"/>
              <w:rPr>
                <w:lang w:eastAsia="zh-CN"/>
              </w:rPr>
            </w:pPr>
            <w:r>
              <w:rPr>
                <w:lang w:eastAsia="zh-CN"/>
              </w:rPr>
              <w:t>169.1</w:t>
            </w:r>
          </w:p>
        </w:tc>
      </w:tr>
      <w:tr w:rsidR="00315554" w:rsidRPr="00BE384C" w:rsidTr="00EC0F0D">
        <w:trPr>
          <w:jc w:val="center"/>
        </w:trPr>
        <w:tc>
          <w:tcPr>
            <w:tcW w:w="1771" w:type="dxa"/>
          </w:tcPr>
          <w:p w:rsidR="00315554" w:rsidRPr="00BE384C" w:rsidRDefault="00315554" w:rsidP="00315554">
            <w:pPr>
              <w:spacing w:before="0"/>
              <w:rPr>
                <w:lang w:eastAsia="zh-CN"/>
              </w:rPr>
            </w:pPr>
            <w:r w:rsidRPr="00BE384C">
              <w:rPr>
                <w:lang w:eastAsia="zh-CN"/>
              </w:rPr>
              <w:t>Scotland</w:t>
            </w:r>
          </w:p>
        </w:tc>
        <w:tc>
          <w:tcPr>
            <w:tcW w:w="2063" w:type="dxa"/>
          </w:tcPr>
          <w:p w:rsidR="00315554" w:rsidRPr="00BE384C" w:rsidRDefault="00315554" w:rsidP="00315554">
            <w:pPr>
              <w:spacing w:before="0"/>
              <w:jc w:val="center"/>
              <w:rPr>
                <w:lang w:eastAsia="zh-CN"/>
              </w:rPr>
            </w:pPr>
            <w:r>
              <w:rPr>
                <w:lang w:eastAsia="zh-CN"/>
              </w:rPr>
              <w:t>12.5%</w:t>
            </w:r>
          </w:p>
        </w:tc>
        <w:tc>
          <w:tcPr>
            <w:tcW w:w="2024" w:type="dxa"/>
          </w:tcPr>
          <w:p w:rsidR="00315554" w:rsidRPr="00BE384C" w:rsidRDefault="00315554" w:rsidP="00315554">
            <w:pPr>
              <w:spacing w:before="0"/>
              <w:jc w:val="center"/>
              <w:rPr>
                <w:lang w:eastAsia="zh-CN"/>
              </w:rPr>
            </w:pPr>
            <w:r>
              <w:rPr>
                <w:lang w:eastAsia="zh-CN"/>
              </w:rPr>
              <w:t>299</w:t>
            </w:r>
          </w:p>
        </w:tc>
        <w:tc>
          <w:tcPr>
            <w:tcW w:w="2393" w:type="dxa"/>
          </w:tcPr>
          <w:p w:rsidR="00315554" w:rsidRPr="00BE384C" w:rsidRDefault="00315554" w:rsidP="00315554">
            <w:pPr>
              <w:spacing w:before="0"/>
              <w:jc w:val="center"/>
              <w:rPr>
                <w:lang w:eastAsia="zh-CN"/>
              </w:rPr>
            </w:pPr>
            <w:r>
              <w:rPr>
                <w:lang w:eastAsia="zh-CN"/>
              </w:rPr>
              <w:t>45</w:t>
            </w:r>
          </w:p>
        </w:tc>
        <w:tc>
          <w:tcPr>
            <w:tcW w:w="1682" w:type="dxa"/>
          </w:tcPr>
          <w:p w:rsidR="00315554" w:rsidRPr="00BE384C" w:rsidRDefault="00315554" w:rsidP="00315554">
            <w:pPr>
              <w:spacing w:before="0"/>
              <w:jc w:val="center"/>
              <w:rPr>
                <w:lang w:eastAsia="zh-CN"/>
              </w:rPr>
            </w:pPr>
            <w:r>
              <w:rPr>
                <w:lang w:eastAsia="zh-CN"/>
              </w:rPr>
              <w:t>18.3</w:t>
            </w:r>
          </w:p>
        </w:tc>
      </w:tr>
      <w:tr w:rsidR="00315554" w:rsidRPr="00BE384C" w:rsidTr="00EC0F0D">
        <w:trPr>
          <w:jc w:val="center"/>
        </w:trPr>
        <w:tc>
          <w:tcPr>
            <w:tcW w:w="1771" w:type="dxa"/>
          </w:tcPr>
          <w:p w:rsidR="00315554" w:rsidRPr="00BE384C" w:rsidRDefault="00315554" w:rsidP="00315554">
            <w:pPr>
              <w:spacing w:before="0"/>
              <w:rPr>
                <w:lang w:eastAsia="zh-CN"/>
              </w:rPr>
            </w:pPr>
            <w:r w:rsidRPr="00BE384C">
              <w:rPr>
                <w:lang w:eastAsia="zh-CN"/>
              </w:rPr>
              <w:t>Wales</w:t>
            </w:r>
          </w:p>
        </w:tc>
        <w:tc>
          <w:tcPr>
            <w:tcW w:w="2063" w:type="dxa"/>
          </w:tcPr>
          <w:p w:rsidR="00315554" w:rsidRPr="00BE384C" w:rsidRDefault="00315554" w:rsidP="00315554">
            <w:pPr>
              <w:spacing w:before="0"/>
              <w:jc w:val="center"/>
              <w:rPr>
                <w:lang w:eastAsia="zh-CN"/>
              </w:rPr>
            </w:pPr>
            <w:r>
              <w:rPr>
                <w:lang w:eastAsia="zh-CN"/>
              </w:rPr>
              <w:t>16.2%</w:t>
            </w:r>
          </w:p>
        </w:tc>
        <w:tc>
          <w:tcPr>
            <w:tcW w:w="2024" w:type="dxa"/>
          </w:tcPr>
          <w:p w:rsidR="00315554" w:rsidRPr="00BE384C" w:rsidRDefault="00315554" w:rsidP="00315554">
            <w:pPr>
              <w:spacing w:before="0"/>
              <w:jc w:val="center"/>
              <w:rPr>
                <w:lang w:eastAsia="zh-CN"/>
              </w:rPr>
            </w:pPr>
            <w:r>
              <w:rPr>
                <w:lang w:eastAsia="zh-CN"/>
              </w:rPr>
              <w:t>296</w:t>
            </w:r>
          </w:p>
        </w:tc>
        <w:tc>
          <w:tcPr>
            <w:tcW w:w="2393" w:type="dxa"/>
          </w:tcPr>
          <w:p w:rsidR="00315554" w:rsidRPr="00BE384C" w:rsidRDefault="00315554" w:rsidP="00315554">
            <w:pPr>
              <w:spacing w:before="0"/>
              <w:jc w:val="center"/>
              <w:rPr>
                <w:lang w:eastAsia="zh-CN"/>
              </w:rPr>
            </w:pPr>
            <w:r>
              <w:rPr>
                <w:lang w:eastAsia="zh-CN"/>
              </w:rPr>
              <w:t>27</w:t>
            </w:r>
          </w:p>
        </w:tc>
        <w:tc>
          <w:tcPr>
            <w:tcW w:w="1682" w:type="dxa"/>
          </w:tcPr>
          <w:p w:rsidR="00315554" w:rsidRPr="00BE384C" w:rsidRDefault="00315554" w:rsidP="00315554">
            <w:pPr>
              <w:spacing w:before="0"/>
              <w:jc w:val="center"/>
              <w:rPr>
                <w:lang w:eastAsia="zh-CN"/>
              </w:rPr>
            </w:pPr>
            <w:r>
              <w:rPr>
                <w:lang w:eastAsia="zh-CN"/>
              </w:rPr>
              <w:t>12.8</w:t>
            </w:r>
          </w:p>
        </w:tc>
      </w:tr>
      <w:tr w:rsidR="00315554" w:rsidRPr="00BE384C" w:rsidTr="00EC0F0D">
        <w:trPr>
          <w:jc w:val="center"/>
        </w:trPr>
        <w:tc>
          <w:tcPr>
            <w:tcW w:w="1771" w:type="dxa"/>
          </w:tcPr>
          <w:p w:rsidR="00315554" w:rsidRPr="00BE384C" w:rsidRDefault="00315554" w:rsidP="00315554">
            <w:pPr>
              <w:spacing w:before="0"/>
              <w:rPr>
                <w:lang w:eastAsia="zh-CN"/>
              </w:rPr>
            </w:pPr>
            <w:r w:rsidRPr="00BE384C">
              <w:rPr>
                <w:lang w:eastAsia="zh-CN"/>
              </w:rPr>
              <w:t>Great Britain</w:t>
            </w:r>
          </w:p>
        </w:tc>
        <w:tc>
          <w:tcPr>
            <w:tcW w:w="2063" w:type="dxa"/>
          </w:tcPr>
          <w:p w:rsidR="00315554" w:rsidRPr="00BE384C" w:rsidRDefault="00315554" w:rsidP="00315554">
            <w:pPr>
              <w:spacing w:before="0"/>
              <w:jc w:val="center"/>
              <w:rPr>
                <w:lang w:eastAsia="zh-CN"/>
              </w:rPr>
            </w:pPr>
            <w:r>
              <w:rPr>
                <w:lang w:eastAsia="zh-CN"/>
              </w:rPr>
              <w:t>11.9%</w:t>
            </w:r>
          </w:p>
        </w:tc>
        <w:tc>
          <w:tcPr>
            <w:tcW w:w="2024" w:type="dxa"/>
          </w:tcPr>
          <w:p w:rsidR="00315554" w:rsidRPr="00BE384C" w:rsidRDefault="00315554" w:rsidP="00315554">
            <w:pPr>
              <w:spacing w:before="0"/>
              <w:jc w:val="center"/>
              <w:rPr>
                <w:lang w:eastAsia="zh-CN"/>
              </w:rPr>
            </w:pPr>
            <w:r>
              <w:rPr>
                <w:lang w:eastAsia="zh-CN"/>
              </w:rPr>
              <w:t>4478</w:t>
            </w:r>
          </w:p>
        </w:tc>
        <w:tc>
          <w:tcPr>
            <w:tcW w:w="2393" w:type="dxa"/>
          </w:tcPr>
          <w:p w:rsidR="00315554" w:rsidRPr="00BE384C" w:rsidRDefault="00315554" w:rsidP="00315554">
            <w:pPr>
              <w:spacing w:before="0"/>
              <w:jc w:val="center"/>
              <w:rPr>
                <w:lang w:eastAsia="zh-CN"/>
              </w:rPr>
            </w:pPr>
            <w:r>
              <w:rPr>
                <w:lang w:eastAsia="zh-CN"/>
              </w:rPr>
              <w:t>433</w:t>
            </w:r>
          </w:p>
        </w:tc>
        <w:tc>
          <w:tcPr>
            <w:tcW w:w="1682" w:type="dxa"/>
          </w:tcPr>
          <w:p w:rsidR="00315554" w:rsidRPr="00BE384C" w:rsidRDefault="00315554" w:rsidP="00315554">
            <w:pPr>
              <w:spacing w:before="0"/>
              <w:jc w:val="center"/>
              <w:rPr>
                <w:lang w:eastAsia="zh-CN"/>
              </w:rPr>
            </w:pPr>
            <w:r>
              <w:rPr>
                <w:lang w:eastAsia="zh-CN"/>
              </w:rPr>
              <w:t>200.1</w:t>
            </w:r>
          </w:p>
        </w:tc>
      </w:tr>
    </w:tbl>
    <w:p w:rsidR="00315554" w:rsidRDefault="00EC0F0D" w:rsidP="00EC0F0D">
      <w:pPr>
        <w:pStyle w:val="Heading3"/>
      </w:pPr>
      <w:r>
        <w:t>Comparison between crash rates of all drivers and young drivers</w:t>
      </w:r>
    </w:p>
    <w:p w:rsidR="00EC0F0D" w:rsidRDefault="00EC0F0D" w:rsidP="00EC0F0D">
      <w:pPr>
        <w:rPr>
          <w:lang w:eastAsia="zh-CN"/>
        </w:rPr>
      </w:pPr>
      <w:r w:rsidRPr="0091284B">
        <w:rPr>
          <w:lang w:eastAsia="zh-CN"/>
        </w:rPr>
        <w:t xml:space="preserve">Across Great Britain, crash rates (per 1000 licensed drivers) for all crashes </w:t>
      </w:r>
      <w:r w:rsidR="00C37BDD" w:rsidRPr="0091284B">
        <w:rPr>
          <w:lang w:eastAsia="zh-CN"/>
        </w:rPr>
        <w:t>and crashes</w:t>
      </w:r>
      <w:r w:rsidR="00763DDF">
        <w:rPr>
          <w:lang w:eastAsia="zh-CN"/>
        </w:rPr>
        <w:t xml:space="preserve"> resulting in deaths or serious injuries (KSI)</w:t>
      </w:r>
      <w:r w:rsidRPr="0091284B">
        <w:rPr>
          <w:lang w:eastAsia="zh-CN"/>
        </w:rPr>
        <w:t xml:space="preserve"> amongst all drivers have been decreasing during recent years (figure 2).</w:t>
      </w:r>
      <w:r>
        <w:rPr>
          <w:lang w:eastAsia="zh-CN"/>
        </w:rPr>
        <w:t xml:space="preserve"> </w:t>
      </w:r>
    </w:p>
    <w:p w:rsidR="00EC0F0D" w:rsidRDefault="00EC0F0D" w:rsidP="00EC0F0D">
      <w:pPr>
        <w:rPr>
          <w:lang w:eastAsia="zh-CN"/>
        </w:rPr>
      </w:pPr>
      <w:r w:rsidRPr="00AB2E71">
        <w:rPr>
          <w:lang w:eastAsia="zh-CN"/>
        </w:rPr>
        <w:t xml:space="preserve">As a result, the ‘gap’ between </w:t>
      </w:r>
      <w:r w:rsidR="004C422E">
        <w:rPr>
          <w:lang w:eastAsia="zh-CN"/>
        </w:rPr>
        <w:t>YD</w:t>
      </w:r>
      <w:r w:rsidRPr="00AB2E71">
        <w:rPr>
          <w:lang w:eastAsia="zh-CN"/>
        </w:rPr>
        <w:t xml:space="preserve"> and older driver</w:t>
      </w:r>
      <w:r w:rsidR="004C422E">
        <w:rPr>
          <w:lang w:eastAsia="zh-CN"/>
        </w:rPr>
        <w:t xml:space="preserve"> (OD)</w:t>
      </w:r>
      <w:r w:rsidRPr="00AB2E71">
        <w:rPr>
          <w:lang w:eastAsia="zh-CN"/>
        </w:rPr>
        <w:t xml:space="preserve"> crash rates has narrowed from around 6 times to around 4 times for all crashes and KSI crashes (figure 3). </w:t>
      </w:r>
    </w:p>
    <w:p w:rsidR="00EC0F0D" w:rsidRPr="00A52C33" w:rsidRDefault="00EC0F0D" w:rsidP="00EC0F0D">
      <w:pPr>
        <w:rPr>
          <w:b/>
          <w:sz w:val="20"/>
          <w:lang w:eastAsia="zh-CN"/>
        </w:rPr>
      </w:pPr>
      <w:r w:rsidRPr="00A52C33">
        <w:rPr>
          <w:b/>
          <w:sz w:val="20"/>
          <w:lang w:eastAsia="zh-CN"/>
        </w:rPr>
        <w:t xml:space="preserve">Figure </w:t>
      </w:r>
      <w:r>
        <w:rPr>
          <w:b/>
          <w:sz w:val="20"/>
          <w:lang w:eastAsia="zh-CN"/>
        </w:rPr>
        <w:t>2</w:t>
      </w:r>
      <w:r w:rsidRPr="00A52C33">
        <w:rPr>
          <w:b/>
          <w:sz w:val="20"/>
          <w:lang w:eastAsia="zh-CN"/>
        </w:rPr>
        <w:t xml:space="preserve">:- </w:t>
      </w:r>
      <w:r>
        <w:rPr>
          <w:b/>
          <w:sz w:val="20"/>
          <w:lang w:eastAsia="zh-CN"/>
        </w:rPr>
        <w:t>Crash rates, per 1000 licensed drivers.</w:t>
      </w:r>
      <w:r w:rsidRPr="00A52C33">
        <w:rPr>
          <w:b/>
          <w:sz w:val="20"/>
          <w:lang w:eastAsia="zh-CN"/>
        </w:rPr>
        <w:t xml:space="preserve"> Source: STATS19</w:t>
      </w:r>
    </w:p>
    <w:p w:rsidR="00EC0F0D" w:rsidRDefault="00EC0F0D" w:rsidP="00EC0F0D">
      <w:pPr>
        <w:jc w:val="center"/>
        <w:rPr>
          <w:lang w:eastAsia="zh-CN"/>
        </w:rPr>
      </w:pPr>
      <w:r w:rsidRPr="0091284B">
        <w:rPr>
          <w:noProof/>
          <w:lang w:eastAsia="en-GB"/>
        </w:rPr>
        <w:drawing>
          <wp:inline distT="0" distB="0" distL="0" distR="0">
            <wp:extent cx="2819400" cy="2114550"/>
            <wp:effectExtent l="19050" t="0" r="19050" b="0"/>
            <wp:docPr id="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91284B">
        <w:rPr>
          <w:noProof/>
          <w:lang w:eastAsia="en-GB"/>
        </w:rPr>
        <w:drawing>
          <wp:inline distT="0" distB="0" distL="0" distR="0">
            <wp:extent cx="2819400" cy="2114550"/>
            <wp:effectExtent l="19050" t="0" r="19050" b="0"/>
            <wp:docPr id="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135C3" w:rsidRDefault="006135C3" w:rsidP="00EC0F0D">
      <w:pPr>
        <w:rPr>
          <w:b/>
          <w:sz w:val="20"/>
          <w:lang w:eastAsia="zh-CN"/>
        </w:rPr>
      </w:pPr>
    </w:p>
    <w:p w:rsidR="006135C3" w:rsidRDefault="006135C3" w:rsidP="00EC0F0D">
      <w:pPr>
        <w:rPr>
          <w:b/>
          <w:sz w:val="20"/>
          <w:lang w:eastAsia="zh-CN"/>
        </w:rPr>
      </w:pPr>
    </w:p>
    <w:p w:rsidR="006135C3" w:rsidRDefault="006135C3" w:rsidP="00EC0F0D">
      <w:pPr>
        <w:rPr>
          <w:b/>
          <w:sz w:val="20"/>
          <w:lang w:eastAsia="zh-CN"/>
        </w:rPr>
      </w:pPr>
    </w:p>
    <w:p w:rsidR="006135C3" w:rsidRDefault="006135C3" w:rsidP="00EC0F0D">
      <w:pPr>
        <w:rPr>
          <w:b/>
          <w:sz w:val="20"/>
          <w:lang w:eastAsia="zh-CN"/>
        </w:rPr>
      </w:pPr>
    </w:p>
    <w:p w:rsidR="00890230" w:rsidRDefault="00890230" w:rsidP="00EC0F0D">
      <w:pPr>
        <w:rPr>
          <w:b/>
          <w:sz w:val="20"/>
          <w:lang w:eastAsia="zh-CN"/>
        </w:rPr>
      </w:pPr>
    </w:p>
    <w:p w:rsidR="006135C3" w:rsidRDefault="006135C3" w:rsidP="00EC0F0D">
      <w:pPr>
        <w:rPr>
          <w:b/>
          <w:sz w:val="20"/>
          <w:lang w:eastAsia="zh-CN"/>
        </w:rPr>
      </w:pPr>
    </w:p>
    <w:p w:rsidR="00EC0F0D" w:rsidRPr="00A52C33" w:rsidRDefault="00EC0F0D" w:rsidP="00EC0F0D">
      <w:pPr>
        <w:rPr>
          <w:b/>
          <w:sz w:val="20"/>
          <w:lang w:eastAsia="zh-CN"/>
        </w:rPr>
      </w:pPr>
      <w:r w:rsidRPr="00A52C33">
        <w:rPr>
          <w:b/>
          <w:sz w:val="20"/>
          <w:lang w:eastAsia="zh-CN"/>
        </w:rPr>
        <w:lastRenderedPageBreak/>
        <w:t xml:space="preserve">Figure </w:t>
      </w:r>
      <w:r>
        <w:rPr>
          <w:b/>
          <w:sz w:val="20"/>
          <w:lang w:eastAsia="zh-CN"/>
        </w:rPr>
        <w:t>3</w:t>
      </w:r>
      <w:r w:rsidRPr="00A52C33">
        <w:rPr>
          <w:b/>
          <w:sz w:val="20"/>
          <w:lang w:eastAsia="zh-CN"/>
        </w:rPr>
        <w:t xml:space="preserve">:- </w:t>
      </w:r>
      <w:r>
        <w:rPr>
          <w:b/>
          <w:sz w:val="20"/>
          <w:lang w:eastAsia="zh-CN"/>
        </w:rPr>
        <w:t>Crash rate ratios Young Driver v Older Driver, per 1000 licensed drivers.</w:t>
      </w:r>
      <w:r w:rsidRPr="00A52C33">
        <w:rPr>
          <w:b/>
          <w:sz w:val="20"/>
          <w:lang w:eastAsia="zh-CN"/>
        </w:rPr>
        <w:t xml:space="preserve"> Source: STATS19</w:t>
      </w:r>
    </w:p>
    <w:p w:rsidR="00EC0F0D" w:rsidRDefault="00EC0F0D" w:rsidP="00EC0F0D">
      <w:pPr>
        <w:jc w:val="center"/>
        <w:rPr>
          <w:lang w:eastAsia="zh-CN"/>
        </w:rPr>
      </w:pPr>
      <w:r w:rsidRPr="0091284B">
        <w:rPr>
          <w:noProof/>
          <w:lang w:eastAsia="en-GB"/>
        </w:rPr>
        <w:drawing>
          <wp:inline distT="0" distB="0" distL="0" distR="0">
            <wp:extent cx="2657475" cy="1866900"/>
            <wp:effectExtent l="19050" t="0" r="9525" b="0"/>
            <wp:docPr id="31"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Pr="0091284B">
        <w:rPr>
          <w:noProof/>
          <w:lang w:eastAsia="en-GB"/>
        </w:rPr>
        <w:drawing>
          <wp:inline distT="0" distB="0" distL="0" distR="0">
            <wp:extent cx="2695575" cy="1866900"/>
            <wp:effectExtent l="19050" t="0" r="9525" b="0"/>
            <wp:docPr id="32"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15554" w:rsidRDefault="00315554" w:rsidP="00315554">
      <w:pPr>
        <w:pStyle w:val="Heading3"/>
      </w:pPr>
      <w:r>
        <w:t>Driver Fatalities</w:t>
      </w:r>
    </w:p>
    <w:p w:rsidR="00315554" w:rsidRPr="00315554" w:rsidRDefault="00315554" w:rsidP="00315554">
      <w:r w:rsidRPr="00D22553">
        <w:rPr>
          <w:szCs w:val="24"/>
          <w:lang w:eastAsia="zh-CN"/>
        </w:rPr>
        <w:t>In England, driver fatalities amongst males aged 17 to 20 years have been found to be 19.4 times higher than males aged 40 to 49. For females in the same age groups, the risk was 10 times greater</w:t>
      </w:r>
      <w:r>
        <w:rPr>
          <w:szCs w:val="24"/>
          <w:lang w:eastAsia="zh-CN"/>
        </w:rPr>
        <w:t xml:space="preserve"> </w:t>
      </w:r>
      <w:r w:rsidR="00A46D03">
        <w:rPr>
          <w:szCs w:val="24"/>
          <w:lang w:eastAsia="zh-CN"/>
        </w:rPr>
        <w:fldChar w:fldCharType="begin"/>
      </w:r>
      <w:r w:rsidR="00015D7A">
        <w:rPr>
          <w:szCs w:val="24"/>
          <w:lang w:eastAsia="zh-CN"/>
        </w:rPr>
        <w:instrText xml:space="preserve"> ADDIN ZOTERO_ITEM CSL_CITATION {"citationID":"2dobbfc41n","properties":{"formattedCitation":"[7]","plainCitation":"[7]"},"citationItems":[{"id":793,"uris":["http://zotero.org/users/1859298/items/TEAN7UHK"],"uri":["http://zotero.org/users/1859298/items/TEAN7UHK"],"itemData":{"id":793,"type":"article-journal","title":"Exposure-Based, ‘Like-for-Like’ Assessment of Road Safety by Travel Mode Using Routine Health Data","container-title":"PLoS ONE","page":"e50606","volume":"7","issue":"12","source":"CrossRef","DOI":"10.1371/journal.pone.0050606","ISSN":"1932-6203","language":"en","author":[{"family":"Mindell","given":"Jennifer S."},{"family":"Leslie","given":"Deborah"},{"family":"Wardlaw","given":"Malcolm"}],"editor":[{"family":"Baradaran","given":"Hamid Reza"}],"issued":{"date-parts":[["2012",12,5]]}}}],"schema":"https://github.com/citation-style-language/schema/raw/master/csl-citation.json"} </w:instrText>
      </w:r>
      <w:r w:rsidR="00A46D03">
        <w:rPr>
          <w:szCs w:val="24"/>
          <w:lang w:eastAsia="zh-CN"/>
        </w:rPr>
        <w:fldChar w:fldCharType="separate"/>
      </w:r>
      <w:r w:rsidR="00846148" w:rsidRPr="00846148">
        <w:t>[7]</w:t>
      </w:r>
      <w:r w:rsidR="00A46D03">
        <w:rPr>
          <w:szCs w:val="24"/>
          <w:lang w:eastAsia="zh-CN"/>
        </w:rPr>
        <w:fldChar w:fldCharType="end"/>
      </w:r>
      <w:r>
        <w:rPr>
          <w:szCs w:val="24"/>
          <w:lang w:eastAsia="zh-CN"/>
        </w:rPr>
        <w:t>.</w:t>
      </w:r>
    </w:p>
    <w:p w:rsidR="00172B56" w:rsidRDefault="00EC0F0D" w:rsidP="00EC0F0D">
      <w:pPr>
        <w:pStyle w:val="Heading3"/>
      </w:pPr>
      <w:r>
        <w:t>Single vehicle crashes, by age and sex</w:t>
      </w:r>
    </w:p>
    <w:p w:rsidR="00EC0F0D" w:rsidRDefault="00EC0F0D" w:rsidP="00EC0F0D">
      <w:pPr>
        <w:rPr>
          <w:lang w:eastAsia="zh-CN"/>
        </w:rPr>
      </w:pPr>
      <w:r>
        <w:rPr>
          <w:lang w:eastAsia="zh-CN"/>
        </w:rPr>
        <w:t>A</w:t>
      </w:r>
      <w:r w:rsidRPr="00AB2E71">
        <w:rPr>
          <w:lang w:eastAsia="zh-CN"/>
        </w:rPr>
        <w:t>lthough male crash rates have been much higher than female rates, the decrease in male crash rates has been greater, in particular for young males</w:t>
      </w:r>
      <w:r>
        <w:rPr>
          <w:lang w:eastAsia="zh-CN"/>
        </w:rPr>
        <w:t xml:space="preserve"> (</w:t>
      </w:r>
      <w:r w:rsidR="00846148">
        <w:rPr>
          <w:lang w:eastAsia="zh-CN"/>
        </w:rPr>
        <w:t>F</w:t>
      </w:r>
      <w:r>
        <w:rPr>
          <w:lang w:eastAsia="zh-CN"/>
        </w:rPr>
        <w:t>igure 4).</w:t>
      </w:r>
    </w:p>
    <w:p w:rsidR="00EC0F0D" w:rsidRDefault="00EC0F0D" w:rsidP="00EC0F0D">
      <w:pPr>
        <w:rPr>
          <w:b/>
          <w:sz w:val="20"/>
          <w:lang w:eastAsia="zh-CN"/>
        </w:rPr>
      </w:pPr>
      <w:r w:rsidRPr="00AB2E71">
        <w:t>As a result, the gap between young males and young females has narrowed significantly (</w:t>
      </w:r>
      <w:r w:rsidR="00846148">
        <w:t>F</w:t>
      </w:r>
      <w:r w:rsidRPr="00AB2E71">
        <w:t>igure 5).</w:t>
      </w:r>
    </w:p>
    <w:p w:rsidR="00EC0F0D" w:rsidRPr="00A52C33" w:rsidRDefault="00EC0F0D" w:rsidP="00EC0F0D">
      <w:pPr>
        <w:rPr>
          <w:b/>
          <w:sz w:val="20"/>
          <w:lang w:eastAsia="zh-CN"/>
        </w:rPr>
      </w:pPr>
      <w:r w:rsidRPr="00A52C33">
        <w:rPr>
          <w:b/>
          <w:sz w:val="20"/>
          <w:lang w:eastAsia="zh-CN"/>
        </w:rPr>
        <w:t xml:space="preserve">Figure </w:t>
      </w:r>
      <w:r>
        <w:rPr>
          <w:b/>
          <w:sz w:val="20"/>
          <w:lang w:eastAsia="zh-CN"/>
        </w:rPr>
        <w:t>4</w:t>
      </w:r>
      <w:r w:rsidRPr="00A52C33">
        <w:rPr>
          <w:b/>
          <w:sz w:val="20"/>
          <w:lang w:eastAsia="zh-CN"/>
        </w:rPr>
        <w:t xml:space="preserve">:- </w:t>
      </w:r>
      <w:r>
        <w:rPr>
          <w:b/>
          <w:sz w:val="20"/>
          <w:lang w:eastAsia="zh-CN"/>
        </w:rPr>
        <w:t>Single vehicle crash rates, per 1000 licensed drivers.</w:t>
      </w:r>
      <w:r w:rsidRPr="00A52C33">
        <w:rPr>
          <w:b/>
          <w:sz w:val="20"/>
          <w:lang w:eastAsia="zh-CN"/>
        </w:rPr>
        <w:t xml:space="preserve"> Source: STATS19</w:t>
      </w:r>
    </w:p>
    <w:p w:rsidR="00EC0F0D" w:rsidRPr="00BB2B3E" w:rsidRDefault="00EC0F0D" w:rsidP="00EC0F0D">
      <w:pPr>
        <w:jc w:val="center"/>
        <w:rPr>
          <w:lang w:eastAsia="zh-CN"/>
        </w:rPr>
      </w:pPr>
      <w:r w:rsidRPr="00AB2E71">
        <w:rPr>
          <w:noProof/>
          <w:lang w:eastAsia="en-GB"/>
        </w:rPr>
        <w:drawing>
          <wp:inline distT="0" distB="0" distL="0" distR="0">
            <wp:extent cx="2857500" cy="2000250"/>
            <wp:effectExtent l="19050" t="0" r="19050" b="0"/>
            <wp:docPr id="4"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AB2E71">
        <w:rPr>
          <w:noProof/>
          <w:lang w:eastAsia="en-GB"/>
        </w:rPr>
        <w:drawing>
          <wp:inline distT="0" distB="0" distL="0" distR="0">
            <wp:extent cx="2705100" cy="2000250"/>
            <wp:effectExtent l="19050" t="0" r="19050" b="0"/>
            <wp:docPr id="5"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135C3" w:rsidRDefault="006135C3" w:rsidP="00EC0F0D">
      <w:pPr>
        <w:rPr>
          <w:b/>
          <w:sz w:val="20"/>
          <w:lang w:eastAsia="zh-CN"/>
        </w:rPr>
      </w:pPr>
    </w:p>
    <w:p w:rsidR="006135C3" w:rsidRDefault="006135C3" w:rsidP="00EC0F0D">
      <w:pPr>
        <w:rPr>
          <w:b/>
          <w:sz w:val="20"/>
          <w:lang w:eastAsia="zh-CN"/>
        </w:rPr>
      </w:pPr>
    </w:p>
    <w:p w:rsidR="00846148" w:rsidRDefault="00846148" w:rsidP="00EC0F0D">
      <w:pPr>
        <w:rPr>
          <w:b/>
          <w:sz w:val="20"/>
          <w:lang w:eastAsia="zh-CN"/>
        </w:rPr>
      </w:pPr>
    </w:p>
    <w:p w:rsidR="00EC0F0D" w:rsidRDefault="00EC0F0D" w:rsidP="00EC0F0D">
      <w:pPr>
        <w:rPr>
          <w:b/>
          <w:sz w:val="20"/>
          <w:lang w:eastAsia="zh-CN"/>
        </w:rPr>
      </w:pPr>
      <w:r w:rsidRPr="00A52C33">
        <w:rPr>
          <w:b/>
          <w:sz w:val="20"/>
          <w:lang w:eastAsia="zh-CN"/>
        </w:rPr>
        <w:lastRenderedPageBreak/>
        <w:t xml:space="preserve">Figure </w:t>
      </w:r>
      <w:r>
        <w:rPr>
          <w:b/>
          <w:sz w:val="20"/>
          <w:lang w:eastAsia="zh-CN"/>
        </w:rPr>
        <w:t>5</w:t>
      </w:r>
      <w:r w:rsidRPr="00A52C33">
        <w:rPr>
          <w:b/>
          <w:sz w:val="20"/>
          <w:lang w:eastAsia="zh-CN"/>
        </w:rPr>
        <w:t xml:space="preserve">:- </w:t>
      </w:r>
      <w:r>
        <w:rPr>
          <w:b/>
          <w:sz w:val="20"/>
          <w:lang w:eastAsia="zh-CN"/>
        </w:rPr>
        <w:t>Single vehicle crash rate ratios.</w:t>
      </w:r>
      <w:r w:rsidRPr="00A52C33">
        <w:rPr>
          <w:b/>
          <w:sz w:val="20"/>
          <w:lang w:eastAsia="zh-CN"/>
        </w:rPr>
        <w:t xml:space="preserve"> Source: STATS19</w:t>
      </w:r>
    </w:p>
    <w:p w:rsidR="00EC0F0D" w:rsidRDefault="00EC0F0D" w:rsidP="00EC0F0D">
      <w:r w:rsidRPr="00AB2E71">
        <w:rPr>
          <w:b/>
          <w:noProof/>
          <w:sz w:val="20"/>
          <w:lang w:eastAsia="en-GB"/>
        </w:rPr>
        <w:drawing>
          <wp:inline distT="0" distB="0" distL="0" distR="0">
            <wp:extent cx="4696618" cy="2824162"/>
            <wp:effectExtent l="19050" t="0" r="27782" b="0"/>
            <wp:docPr id="7"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27730" w:rsidRDefault="00C27730" w:rsidP="00C27730">
      <w:pPr>
        <w:pStyle w:val="Heading3"/>
      </w:pPr>
      <w:r>
        <w:t>On the overall effect of a GDL system</w:t>
      </w:r>
    </w:p>
    <w:p w:rsidR="00C27730" w:rsidRDefault="00C27730" w:rsidP="00C27730">
      <w:pPr>
        <w:spacing w:after="120"/>
        <w:rPr>
          <w:szCs w:val="24"/>
          <w:lang w:eastAsia="zh-CN"/>
        </w:rPr>
      </w:pPr>
      <w:r w:rsidRPr="00D22553">
        <w:rPr>
          <w:szCs w:val="24"/>
          <w:lang w:eastAsia="zh-CN"/>
        </w:rPr>
        <w:t>Calculating an overall effect of GDL is impossible because of the different social, cultural and environmental settings in which different programmes exist. Ho</w:t>
      </w:r>
      <w:r>
        <w:rPr>
          <w:szCs w:val="24"/>
          <w:lang w:eastAsia="zh-CN"/>
        </w:rPr>
        <w:t>wever, summary findings from a</w:t>
      </w:r>
      <w:r w:rsidRPr="00D22553">
        <w:rPr>
          <w:szCs w:val="24"/>
          <w:lang w:eastAsia="zh-CN"/>
        </w:rPr>
        <w:t xml:space="preserve"> Cochrane review </w:t>
      </w:r>
      <w:r>
        <w:rPr>
          <w:szCs w:val="24"/>
          <w:lang w:eastAsia="zh-CN"/>
        </w:rPr>
        <w:t xml:space="preserve">conducted in 2011 </w:t>
      </w:r>
      <w:r w:rsidRPr="00D22553">
        <w:rPr>
          <w:szCs w:val="24"/>
          <w:lang w:eastAsia="zh-CN"/>
        </w:rPr>
        <w:t xml:space="preserve">have been produced (table </w:t>
      </w:r>
      <w:r w:rsidR="00917DE1">
        <w:rPr>
          <w:szCs w:val="24"/>
          <w:lang w:eastAsia="zh-CN"/>
        </w:rPr>
        <w:t>2</w:t>
      </w:r>
      <w:r w:rsidRPr="00D22553">
        <w:rPr>
          <w:szCs w:val="24"/>
          <w:lang w:eastAsia="zh-CN"/>
        </w:rPr>
        <w:t>)</w:t>
      </w:r>
      <w:r>
        <w:rPr>
          <w:szCs w:val="24"/>
          <w:lang w:eastAsia="zh-CN"/>
        </w:rPr>
        <w:t xml:space="preserve"> </w:t>
      </w:r>
      <w:r w:rsidR="00A46D03">
        <w:rPr>
          <w:szCs w:val="24"/>
          <w:lang w:eastAsia="zh-CN"/>
        </w:rPr>
        <w:fldChar w:fldCharType="begin"/>
      </w:r>
      <w:r w:rsidR="00015D7A">
        <w:rPr>
          <w:szCs w:val="24"/>
          <w:lang w:eastAsia="zh-CN"/>
        </w:rPr>
        <w:instrText xml:space="preserve"> ADDIN ZOTERO_ITEM CSL_CITATION {"citationID":"1dca74m8ji","properties":{"formattedCitation":"[8]","plainCitation":"[8]"},"citationItems":[{"id":193,"uris":["http://zotero.org/users/1859298/items/8F635CHP"],"uri":["http://zotero.org/users/1859298/items/8F635CHP"],"itemData":{"id":193,"type":"report","title":"Graduated driver licensing for reducing motor vehicle crashes among young drivers","collection-title":"Cochrane Database of Systematic Reviews","publisher":"The Cochrane Collaboration","page":"68","source":"Cochrane Database of Systematic Reviews","archive":"Issue 10","archive_location":"CD003300","abstract":"Background\nBackground\n\nGraduated driver licensing (GDL) has been proposed as a means of reducing crash rates among novice drivers by gradually introducing them to higher risk driving situations.\n\nObjectives\nObjectives\n\nTo examine the effectiveness of GDL in reducing crash rates among young drivers.\n\nSearch methods\nSearch methods\n\nStudies were identified through searching MEDLINE, EMBASE, CINAHL, Healthstar, Web of Science, NTIS Bibliographic Database, TRIS Online, SIGLE, the World Wide Web, conference proceedings, consultation with experts and reference lists in relevant published literature. The searches were conducted from the time of inception to May 2009, and the Cochrane Injuries Group conducted an updated search of the TRANSPORT database in September 2009.\n\nSelection criteria\nSelection criteria\n\nStudies were included if: 1) they compared outcomes pre- and post-implementation of a GDL program within the same jurisdiction, 2) comparisons were made between jurisdictions with and without GDL, or 3) both. Studies had to report at least one objective, quantified outcome.\n\nData collection and analysis\nData collection and analysis\n\nResults were not pooled due to substantial heterogeneity. Percentage change was calculated for each year after the intervention, using one year prior to the intervention as baseline. Results were adjusted by internal controls. Analyses were stratified by denominators (population, licensed drivers). Results were calculated for the different crash types and presented for 16 year-olds alone as well as all teenage drivers.\n\nMain results\nMain results\n\nWe included 34 studies evaluating 21 GDL programs and 2 analyses of &gt;40 US states. GDL programs were implemented in the US (n=16), Canada (n=3), New Zealand (n=1), and Australia (n=1) and varied in their restrictions during the intermediate stage. Based on the Insurance Institute for Highway Safety (IIHS) classification, eleven programs were good, four were fair, five were marginal, one was poor and two could not be assessed. Reductions in crash rates were seen in all jurisdictions and for all crash types. Among 16 year-old drivers, the median decrease in per population adjusted overall crash rates during the first year was 15.5% (range -27 to -8%, five studies). There was a decrease in per population adjusted injury crash rates (median -21%, range -46 to -2%, five studies). Results for all teenage drivers, rates per licensed driver, and rates adjusting for internal controls were generally reduced when comparing within jurisdictions.\n\nAuthors' conclusions\nAuthors' conclusions\n\nGDL is effective in reducing crash rates among young drivers, although the magnitude of the effect varies. The conclusions are supported by consistent findings, temporal relationship, and plausibility of the association. Stronger GDL programs (i.e. more restrictions or higher quality based on IIHS classification) appear to result in greater fatality reduction. Future studies should focus on which components and combination of components yield the greatest reductions.","URL":"http://onlinelibrary.wiley.com/doi/10.1002/14651858.CD003300.pub3/abstract","number":"CD003300","language":"en","author":[{"family":"Russell","given":"Kelly F"},{"family":"Vandermeer","given":"Ben"},{"family":"Hartling","given":"Lisa"}],"issued":{"date-parts":[["2011",10,5]]},"accessed":{"date-parts":[["2016",4,28]]}}}],"schema":"https://github.com/citation-style-language/schema/raw/master/csl-citation.json"} </w:instrText>
      </w:r>
      <w:r w:rsidR="00A46D03">
        <w:rPr>
          <w:szCs w:val="24"/>
          <w:lang w:eastAsia="zh-CN"/>
        </w:rPr>
        <w:fldChar w:fldCharType="separate"/>
      </w:r>
      <w:r w:rsidR="00846148" w:rsidRPr="00846148">
        <w:t>[8]</w:t>
      </w:r>
      <w:r w:rsidR="00A46D03">
        <w:rPr>
          <w:szCs w:val="24"/>
          <w:lang w:eastAsia="zh-CN"/>
        </w:rPr>
        <w:fldChar w:fldCharType="end"/>
      </w:r>
      <w:r w:rsidRPr="00D22553">
        <w:rPr>
          <w:szCs w:val="24"/>
          <w:lang w:eastAsia="zh-CN"/>
        </w:rPr>
        <w:t>. The biggest effect demonstrated by this review has been on fatal crashes, with a decrease of up to 57%.</w:t>
      </w:r>
    </w:p>
    <w:p w:rsidR="00C27730" w:rsidRPr="00A52C33" w:rsidRDefault="00C27730" w:rsidP="00C27730">
      <w:pPr>
        <w:rPr>
          <w:b/>
          <w:sz w:val="20"/>
          <w:lang w:eastAsia="zh-CN"/>
        </w:rPr>
      </w:pPr>
      <w:r w:rsidRPr="00A52C33">
        <w:rPr>
          <w:b/>
          <w:sz w:val="20"/>
          <w:lang w:eastAsia="zh-CN"/>
        </w:rPr>
        <w:t xml:space="preserve">Table </w:t>
      </w:r>
      <w:r>
        <w:rPr>
          <w:b/>
          <w:sz w:val="20"/>
          <w:lang w:eastAsia="zh-CN"/>
        </w:rPr>
        <w:t>2</w:t>
      </w:r>
      <w:r w:rsidRPr="00A52C33">
        <w:rPr>
          <w:b/>
          <w:sz w:val="20"/>
          <w:lang w:eastAsia="zh-CN"/>
        </w:rPr>
        <w:t>:- Summa</w:t>
      </w:r>
      <w:r>
        <w:rPr>
          <w:b/>
          <w:sz w:val="20"/>
          <w:lang w:eastAsia="zh-CN"/>
        </w:rPr>
        <w:t xml:space="preserve">ry findings of Cochrane Review </w:t>
      </w:r>
      <w:r w:rsidR="00A46D03">
        <w:rPr>
          <w:b/>
          <w:sz w:val="20"/>
          <w:lang w:eastAsia="zh-CN"/>
        </w:rPr>
        <w:fldChar w:fldCharType="begin"/>
      </w:r>
      <w:r w:rsidR="00015D7A">
        <w:rPr>
          <w:b/>
          <w:sz w:val="20"/>
          <w:lang w:eastAsia="zh-CN"/>
        </w:rPr>
        <w:instrText xml:space="preserve"> ADDIN ZOTERO_ITEM CSL_CITATION {"citationID":"vpd5f10sm","properties":{"formattedCitation":"[8]","plainCitation":"[8]"},"citationItems":[{"id":193,"uris":["http://zotero.org/users/1859298/items/8F635CHP"],"uri":["http://zotero.org/users/1859298/items/8F635CHP"],"itemData":{"id":193,"type":"report","title":"Graduated driver licensing for reducing motor vehicle crashes among young drivers","collection-title":"Cochrane Database of Systematic Reviews","publisher":"The Cochrane Collaboration","page":"68","source":"Cochrane Database of Systematic Reviews","archive":"Issue 10","archive_location":"CD003300","abstract":"Background\nBackground\n\nGraduated driver licensing (GDL) has been proposed as a means of reducing crash rates among novice drivers by gradually introducing them to higher risk driving situations.\n\nObjectives\nObjectives\n\nTo examine the effectiveness of GDL in reducing crash rates among young drivers.\n\nSearch methods\nSearch methods\n\nStudies were identified through searching MEDLINE, EMBASE, CINAHL, Healthstar, Web of Science, NTIS Bibliographic Database, TRIS Online, SIGLE, the World Wide Web, conference proceedings, consultation with experts and reference lists in relevant published literature. The searches were conducted from the time of inception to May 2009, and the Cochrane Injuries Group conducted an updated search of the TRANSPORT database in September 2009.\n\nSelection criteria\nSelection criteria\n\nStudies were included if: 1) they compared outcomes pre- and post-implementation of a GDL program within the same jurisdiction, 2) comparisons were made between jurisdictions with and without GDL, or 3) both. Studies had to report at least one objective, quantified outcome.\n\nData collection and analysis\nData collection and analysis\n\nResults were not pooled due to substantial heterogeneity. Percentage change was calculated for each year after the intervention, using one year prior to the intervention as baseline. Results were adjusted by internal controls. Analyses were stratified by denominators (population, licensed drivers). Results were calculated for the different crash types and presented for 16 year-olds alone as well as all teenage drivers.\n\nMain results\nMain results\n\nWe included 34 studies evaluating 21 GDL programs and 2 analyses of &gt;40 US states. GDL programs were implemented in the US (n=16), Canada (n=3), New Zealand (n=1), and Australia (n=1) and varied in their restrictions during the intermediate stage. Based on the Insurance Institute for Highway Safety (IIHS) classification, eleven programs were good, four were fair, five were marginal, one was poor and two could not be assessed. Reductions in crash rates were seen in all jurisdictions and for all crash types. Among 16 year-old drivers, the median decrease in per population adjusted overall crash rates during the first year was 15.5% (range -27 to -8%, five studies). There was a decrease in per population adjusted injury crash rates (median -21%, range -46 to -2%, five studies). Results for all teenage drivers, rates per licensed driver, and rates adjusting for internal controls were generally reduced when comparing within jurisdictions.\n\nAuthors' conclusions\nAuthors' conclusions\n\nGDL is effective in reducing crash rates among young drivers, although the magnitude of the effect varies. The conclusions are supported by consistent findings, temporal relationship, and plausibility of the association. Stronger GDL programs (i.e. more restrictions or higher quality based on IIHS classification) appear to result in greater fatality reduction. Future studies should focus on which components and combination of components yield the greatest reductions.","URL":"http://onlinelibrary.wiley.com/doi/10.1002/14651858.CD003300.pub3/abstract","number":"CD003300","language":"en","author":[{"family":"Russell","given":"Kelly F"},{"family":"Vandermeer","given":"Ben"},{"family":"Hartling","given":"Lisa"}],"issued":{"date-parts":[["2011",10,5]]},"accessed":{"date-parts":[["2016",4,28]]}}}],"schema":"https://github.com/citation-style-language/schema/raw/master/csl-citation.json"} </w:instrText>
      </w:r>
      <w:r w:rsidR="00A46D03">
        <w:rPr>
          <w:b/>
          <w:sz w:val="20"/>
          <w:lang w:eastAsia="zh-CN"/>
        </w:rPr>
        <w:fldChar w:fldCharType="separate"/>
      </w:r>
      <w:r w:rsidR="00846148" w:rsidRPr="00846148">
        <w:rPr>
          <w:sz w:val="20"/>
        </w:rPr>
        <w:t>[8]</w:t>
      </w:r>
      <w:r w:rsidR="00A46D03">
        <w:rPr>
          <w:b/>
          <w:sz w:val="20"/>
          <w:lang w:eastAsia="zh-CN"/>
        </w:rPr>
        <w:fldChar w:fldCharType="end"/>
      </w:r>
    </w:p>
    <w:tbl>
      <w:tblPr>
        <w:tblStyle w:val="TableGrid"/>
        <w:tblW w:w="9322" w:type="dxa"/>
        <w:jc w:val="center"/>
        <w:tblLook w:val="04A0"/>
      </w:tblPr>
      <w:tblGrid>
        <w:gridCol w:w="2106"/>
        <w:gridCol w:w="1665"/>
        <w:gridCol w:w="1971"/>
        <w:gridCol w:w="2099"/>
        <w:gridCol w:w="1652"/>
      </w:tblGrid>
      <w:tr w:rsidR="00C27730" w:rsidRPr="00295AA6" w:rsidTr="00C27730">
        <w:trPr>
          <w:jc w:val="center"/>
        </w:trPr>
        <w:tc>
          <w:tcPr>
            <w:tcW w:w="1948" w:type="dxa"/>
          </w:tcPr>
          <w:p w:rsidR="00C27730" w:rsidRPr="00295AA6" w:rsidRDefault="00C27730" w:rsidP="00C27730">
            <w:pPr>
              <w:spacing w:before="0"/>
              <w:jc w:val="center"/>
              <w:rPr>
                <w:b/>
                <w:lang w:eastAsia="zh-CN"/>
              </w:rPr>
            </w:pPr>
            <w:r w:rsidRPr="00295AA6">
              <w:rPr>
                <w:b/>
                <w:lang w:eastAsia="zh-CN"/>
              </w:rPr>
              <w:t>Crash type</w:t>
            </w:r>
          </w:p>
        </w:tc>
        <w:tc>
          <w:tcPr>
            <w:tcW w:w="1808" w:type="dxa"/>
          </w:tcPr>
          <w:p w:rsidR="00C27730" w:rsidRPr="00295AA6" w:rsidRDefault="00C27730" w:rsidP="00C27730">
            <w:pPr>
              <w:spacing w:before="0"/>
              <w:jc w:val="center"/>
              <w:rPr>
                <w:b/>
                <w:lang w:eastAsia="zh-CN"/>
              </w:rPr>
            </w:pPr>
            <w:r w:rsidRPr="00295AA6">
              <w:rPr>
                <w:b/>
                <w:lang w:eastAsia="zh-CN"/>
              </w:rPr>
              <w:t>Population</w:t>
            </w:r>
          </w:p>
        </w:tc>
        <w:tc>
          <w:tcPr>
            <w:tcW w:w="1940" w:type="dxa"/>
          </w:tcPr>
          <w:p w:rsidR="00C27730" w:rsidRPr="00295AA6" w:rsidRDefault="00C27730" w:rsidP="00C27730">
            <w:pPr>
              <w:spacing w:before="0"/>
              <w:jc w:val="center"/>
              <w:rPr>
                <w:b/>
                <w:lang w:eastAsia="zh-CN"/>
              </w:rPr>
            </w:pPr>
            <w:r w:rsidRPr="00295AA6">
              <w:rPr>
                <w:b/>
                <w:lang w:eastAsia="zh-CN"/>
              </w:rPr>
              <w:t>Denominator</w:t>
            </w:r>
          </w:p>
        </w:tc>
        <w:tc>
          <w:tcPr>
            <w:tcW w:w="1942" w:type="dxa"/>
          </w:tcPr>
          <w:p w:rsidR="00C27730" w:rsidRPr="00295AA6" w:rsidRDefault="00C27730" w:rsidP="00C27730">
            <w:pPr>
              <w:spacing w:before="0"/>
              <w:jc w:val="center"/>
              <w:rPr>
                <w:b/>
                <w:lang w:eastAsia="zh-CN"/>
              </w:rPr>
            </w:pPr>
            <w:r w:rsidRPr="00295AA6">
              <w:rPr>
                <w:b/>
                <w:lang w:eastAsia="zh-CN"/>
              </w:rPr>
              <w:t>Time period</w:t>
            </w:r>
          </w:p>
        </w:tc>
        <w:tc>
          <w:tcPr>
            <w:tcW w:w="1684" w:type="dxa"/>
          </w:tcPr>
          <w:p w:rsidR="00C27730" w:rsidRPr="00295AA6" w:rsidRDefault="00C27730" w:rsidP="00C27730">
            <w:pPr>
              <w:spacing w:before="0"/>
              <w:jc w:val="center"/>
              <w:rPr>
                <w:b/>
                <w:lang w:eastAsia="zh-CN"/>
              </w:rPr>
            </w:pPr>
            <w:r w:rsidRPr="00295AA6">
              <w:rPr>
                <w:b/>
                <w:lang w:eastAsia="zh-CN"/>
              </w:rPr>
              <w:t>Effect (adjusted)</w:t>
            </w:r>
          </w:p>
        </w:tc>
      </w:tr>
      <w:tr w:rsidR="00C27730" w:rsidRPr="00295AA6" w:rsidTr="00C27730">
        <w:trPr>
          <w:jc w:val="center"/>
        </w:trPr>
        <w:tc>
          <w:tcPr>
            <w:tcW w:w="1948" w:type="dxa"/>
            <w:vMerge w:val="restart"/>
          </w:tcPr>
          <w:p w:rsidR="00C27730" w:rsidRPr="00295AA6" w:rsidRDefault="00C27730" w:rsidP="00C27730">
            <w:pPr>
              <w:spacing w:before="0"/>
              <w:rPr>
                <w:lang w:eastAsia="zh-CN"/>
              </w:rPr>
            </w:pPr>
            <w:r w:rsidRPr="00295AA6">
              <w:rPr>
                <w:lang w:eastAsia="zh-CN"/>
              </w:rPr>
              <w:t>All crashes</w:t>
            </w:r>
          </w:p>
        </w:tc>
        <w:tc>
          <w:tcPr>
            <w:tcW w:w="1808" w:type="dxa"/>
            <w:vMerge w:val="restart"/>
          </w:tcPr>
          <w:p w:rsidR="00C27730" w:rsidRPr="00295AA6" w:rsidRDefault="00C27730" w:rsidP="00C27730">
            <w:pPr>
              <w:spacing w:before="0"/>
              <w:rPr>
                <w:lang w:eastAsia="zh-CN"/>
              </w:rPr>
            </w:pPr>
            <w:r w:rsidRPr="00295AA6">
              <w:rPr>
                <w:lang w:eastAsia="zh-CN"/>
              </w:rPr>
              <w:t>All teenage drivers</w:t>
            </w:r>
          </w:p>
        </w:tc>
        <w:tc>
          <w:tcPr>
            <w:tcW w:w="1940" w:type="dxa"/>
          </w:tcPr>
          <w:p w:rsidR="00C27730" w:rsidRPr="00295AA6" w:rsidRDefault="00C27730" w:rsidP="00C27730">
            <w:pPr>
              <w:spacing w:before="0"/>
              <w:rPr>
                <w:lang w:eastAsia="zh-CN"/>
              </w:rPr>
            </w:pPr>
            <w:r w:rsidRPr="00295AA6">
              <w:rPr>
                <w:lang w:eastAsia="zh-CN"/>
              </w:rPr>
              <w:t>Population</w:t>
            </w:r>
          </w:p>
        </w:tc>
        <w:tc>
          <w:tcPr>
            <w:tcW w:w="1942" w:type="dxa"/>
            <w:vMerge w:val="restart"/>
          </w:tcPr>
          <w:p w:rsidR="00C27730" w:rsidRPr="00295AA6" w:rsidRDefault="00C27730" w:rsidP="00C27730">
            <w:pPr>
              <w:spacing w:before="0"/>
              <w:rPr>
                <w:lang w:eastAsia="zh-CN"/>
              </w:rPr>
            </w:pPr>
            <w:r w:rsidRPr="00295AA6">
              <w:rPr>
                <w:lang w:eastAsia="zh-CN"/>
              </w:rPr>
              <w:t>1 year post implementation</w:t>
            </w:r>
          </w:p>
        </w:tc>
        <w:tc>
          <w:tcPr>
            <w:tcW w:w="1684" w:type="dxa"/>
          </w:tcPr>
          <w:p w:rsidR="00C27730" w:rsidRPr="00295AA6" w:rsidRDefault="00C27730" w:rsidP="00C27730">
            <w:pPr>
              <w:spacing w:before="0"/>
              <w:rPr>
                <w:lang w:eastAsia="zh-CN"/>
              </w:rPr>
            </w:pPr>
            <w:r w:rsidRPr="00295AA6">
              <w:rPr>
                <w:lang w:eastAsia="zh-CN"/>
              </w:rPr>
              <w:t>4 – 7% reduction</w:t>
            </w:r>
          </w:p>
        </w:tc>
      </w:tr>
      <w:tr w:rsidR="00C27730" w:rsidRPr="00295AA6" w:rsidTr="00C27730">
        <w:trPr>
          <w:jc w:val="center"/>
        </w:trPr>
        <w:tc>
          <w:tcPr>
            <w:tcW w:w="1948" w:type="dxa"/>
            <w:vMerge/>
          </w:tcPr>
          <w:p w:rsidR="00C27730" w:rsidRPr="00295AA6" w:rsidRDefault="00C27730" w:rsidP="00C27730">
            <w:pPr>
              <w:spacing w:before="0"/>
              <w:rPr>
                <w:lang w:eastAsia="zh-CN"/>
              </w:rPr>
            </w:pPr>
          </w:p>
        </w:tc>
        <w:tc>
          <w:tcPr>
            <w:tcW w:w="1808" w:type="dxa"/>
            <w:vMerge/>
          </w:tcPr>
          <w:p w:rsidR="00C27730" w:rsidRPr="00295AA6" w:rsidRDefault="00C27730" w:rsidP="00C27730">
            <w:pPr>
              <w:spacing w:before="0"/>
              <w:rPr>
                <w:lang w:eastAsia="zh-CN"/>
              </w:rPr>
            </w:pPr>
          </w:p>
        </w:tc>
        <w:tc>
          <w:tcPr>
            <w:tcW w:w="1940" w:type="dxa"/>
          </w:tcPr>
          <w:p w:rsidR="00C27730" w:rsidRPr="00295AA6" w:rsidRDefault="00C27730" w:rsidP="00C27730">
            <w:pPr>
              <w:spacing w:before="0"/>
              <w:rPr>
                <w:lang w:eastAsia="zh-CN"/>
              </w:rPr>
            </w:pPr>
            <w:r w:rsidRPr="00295AA6">
              <w:rPr>
                <w:lang w:eastAsia="zh-CN"/>
              </w:rPr>
              <w:t>Licensed drivers</w:t>
            </w:r>
          </w:p>
        </w:tc>
        <w:tc>
          <w:tcPr>
            <w:tcW w:w="1942" w:type="dxa"/>
            <w:vMerge/>
          </w:tcPr>
          <w:p w:rsidR="00C27730" w:rsidRPr="00295AA6" w:rsidRDefault="00C27730" w:rsidP="00C27730">
            <w:pPr>
              <w:spacing w:before="0"/>
              <w:rPr>
                <w:lang w:eastAsia="zh-CN"/>
              </w:rPr>
            </w:pPr>
          </w:p>
        </w:tc>
        <w:tc>
          <w:tcPr>
            <w:tcW w:w="1684" w:type="dxa"/>
          </w:tcPr>
          <w:p w:rsidR="00C27730" w:rsidRPr="00295AA6" w:rsidRDefault="00C27730" w:rsidP="00C27730">
            <w:pPr>
              <w:spacing w:before="0"/>
              <w:rPr>
                <w:lang w:eastAsia="zh-CN"/>
              </w:rPr>
            </w:pPr>
            <w:r w:rsidRPr="00295AA6">
              <w:rPr>
                <w:lang w:eastAsia="zh-CN"/>
              </w:rPr>
              <w:t>11 – 19% reduction</w:t>
            </w:r>
          </w:p>
        </w:tc>
      </w:tr>
      <w:tr w:rsidR="00C27730" w:rsidRPr="00295AA6" w:rsidTr="00C27730">
        <w:trPr>
          <w:jc w:val="center"/>
        </w:trPr>
        <w:tc>
          <w:tcPr>
            <w:tcW w:w="1948" w:type="dxa"/>
            <w:vMerge w:val="restart"/>
          </w:tcPr>
          <w:p w:rsidR="00C27730" w:rsidRPr="00295AA6" w:rsidRDefault="00C27730" w:rsidP="00C27730">
            <w:pPr>
              <w:spacing w:before="0"/>
              <w:rPr>
                <w:lang w:eastAsia="zh-CN"/>
              </w:rPr>
            </w:pPr>
            <w:r w:rsidRPr="00295AA6">
              <w:rPr>
                <w:lang w:eastAsia="zh-CN"/>
              </w:rPr>
              <w:t>Injury crashes</w:t>
            </w:r>
          </w:p>
        </w:tc>
        <w:tc>
          <w:tcPr>
            <w:tcW w:w="1808" w:type="dxa"/>
            <w:vMerge w:val="restart"/>
          </w:tcPr>
          <w:p w:rsidR="00C27730" w:rsidRPr="00295AA6" w:rsidRDefault="00C27730" w:rsidP="00C27730">
            <w:pPr>
              <w:spacing w:before="0"/>
              <w:rPr>
                <w:lang w:eastAsia="zh-CN"/>
              </w:rPr>
            </w:pPr>
            <w:r w:rsidRPr="00295AA6">
              <w:rPr>
                <w:lang w:eastAsia="zh-CN"/>
              </w:rPr>
              <w:t>All teenage drivers</w:t>
            </w:r>
          </w:p>
        </w:tc>
        <w:tc>
          <w:tcPr>
            <w:tcW w:w="1940" w:type="dxa"/>
          </w:tcPr>
          <w:p w:rsidR="00C27730" w:rsidRPr="00295AA6" w:rsidRDefault="00C27730" w:rsidP="00C27730">
            <w:pPr>
              <w:spacing w:before="0"/>
              <w:rPr>
                <w:lang w:eastAsia="zh-CN"/>
              </w:rPr>
            </w:pPr>
            <w:r w:rsidRPr="00295AA6">
              <w:rPr>
                <w:lang w:eastAsia="zh-CN"/>
              </w:rPr>
              <w:t>Population</w:t>
            </w:r>
          </w:p>
        </w:tc>
        <w:tc>
          <w:tcPr>
            <w:tcW w:w="1942" w:type="dxa"/>
            <w:vMerge w:val="restart"/>
          </w:tcPr>
          <w:p w:rsidR="00C27730" w:rsidRPr="00295AA6" w:rsidRDefault="00C27730" w:rsidP="00C27730">
            <w:pPr>
              <w:spacing w:before="0"/>
              <w:rPr>
                <w:lang w:eastAsia="zh-CN"/>
              </w:rPr>
            </w:pPr>
            <w:r w:rsidRPr="00295AA6">
              <w:rPr>
                <w:lang w:eastAsia="zh-CN"/>
              </w:rPr>
              <w:t>1 year post implementation</w:t>
            </w:r>
          </w:p>
        </w:tc>
        <w:tc>
          <w:tcPr>
            <w:tcW w:w="1684" w:type="dxa"/>
          </w:tcPr>
          <w:p w:rsidR="00C27730" w:rsidRPr="00295AA6" w:rsidRDefault="00C27730" w:rsidP="00C27730">
            <w:pPr>
              <w:spacing w:before="0"/>
              <w:rPr>
                <w:lang w:eastAsia="zh-CN"/>
              </w:rPr>
            </w:pPr>
            <w:r w:rsidRPr="00295AA6">
              <w:rPr>
                <w:lang w:eastAsia="zh-CN"/>
              </w:rPr>
              <w:t>4 – 23% reduction</w:t>
            </w:r>
          </w:p>
        </w:tc>
      </w:tr>
      <w:tr w:rsidR="00C27730" w:rsidRPr="00295AA6" w:rsidTr="00C27730">
        <w:trPr>
          <w:jc w:val="center"/>
        </w:trPr>
        <w:tc>
          <w:tcPr>
            <w:tcW w:w="1948" w:type="dxa"/>
            <w:vMerge/>
          </w:tcPr>
          <w:p w:rsidR="00C27730" w:rsidRPr="00295AA6" w:rsidRDefault="00C27730" w:rsidP="00C27730">
            <w:pPr>
              <w:spacing w:before="0"/>
              <w:rPr>
                <w:lang w:eastAsia="zh-CN"/>
              </w:rPr>
            </w:pPr>
          </w:p>
        </w:tc>
        <w:tc>
          <w:tcPr>
            <w:tcW w:w="1808" w:type="dxa"/>
            <w:vMerge/>
          </w:tcPr>
          <w:p w:rsidR="00C27730" w:rsidRPr="00295AA6" w:rsidRDefault="00C27730" w:rsidP="00C27730">
            <w:pPr>
              <w:spacing w:before="0"/>
              <w:rPr>
                <w:lang w:eastAsia="zh-CN"/>
              </w:rPr>
            </w:pPr>
          </w:p>
        </w:tc>
        <w:tc>
          <w:tcPr>
            <w:tcW w:w="1940" w:type="dxa"/>
          </w:tcPr>
          <w:p w:rsidR="00C27730" w:rsidRPr="00295AA6" w:rsidRDefault="00C27730" w:rsidP="00C27730">
            <w:pPr>
              <w:spacing w:before="0"/>
              <w:rPr>
                <w:lang w:eastAsia="zh-CN"/>
              </w:rPr>
            </w:pPr>
            <w:r w:rsidRPr="00295AA6">
              <w:rPr>
                <w:lang w:eastAsia="zh-CN"/>
              </w:rPr>
              <w:t>Licensed drivers</w:t>
            </w:r>
          </w:p>
        </w:tc>
        <w:tc>
          <w:tcPr>
            <w:tcW w:w="1942" w:type="dxa"/>
            <w:vMerge/>
          </w:tcPr>
          <w:p w:rsidR="00C27730" w:rsidRPr="00295AA6" w:rsidRDefault="00C27730" w:rsidP="00C27730">
            <w:pPr>
              <w:spacing w:before="0"/>
              <w:rPr>
                <w:lang w:eastAsia="zh-CN"/>
              </w:rPr>
            </w:pPr>
          </w:p>
        </w:tc>
        <w:tc>
          <w:tcPr>
            <w:tcW w:w="1684" w:type="dxa"/>
          </w:tcPr>
          <w:p w:rsidR="00C27730" w:rsidRPr="00295AA6" w:rsidRDefault="00C27730" w:rsidP="00C27730">
            <w:pPr>
              <w:spacing w:before="0"/>
              <w:rPr>
                <w:lang w:eastAsia="zh-CN"/>
              </w:rPr>
            </w:pPr>
            <w:r w:rsidRPr="00295AA6">
              <w:rPr>
                <w:lang w:eastAsia="zh-CN"/>
              </w:rPr>
              <w:t>17% reduction</w:t>
            </w:r>
          </w:p>
        </w:tc>
      </w:tr>
      <w:tr w:rsidR="00C27730" w:rsidRPr="00295AA6" w:rsidTr="00C27730">
        <w:trPr>
          <w:jc w:val="center"/>
        </w:trPr>
        <w:tc>
          <w:tcPr>
            <w:tcW w:w="1948" w:type="dxa"/>
          </w:tcPr>
          <w:p w:rsidR="00C27730" w:rsidRPr="00295AA6" w:rsidRDefault="00C27730" w:rsidP="00C27730">
            <w:pPr>
              <w:spacing w:before="0"/>
              <w:rPr>
                <w:lang w:eastAsia="zh-CN"/>
              </w:rPr>
            </w:pPr>
            <w:r w:rsidRPr="00295AA6">
              <w:rPr>
                <w:lang w:eastAsia="zh-CN"/>
              </w:rPr>
              <w:t>Hospitalisations</w:t>
            </w:r>
          </w:p>
        </w:tc>
        <w:tc>
          <w:tcPr>
            <w:tcW w:w="1808" w:type="dxa"/>
          </w:tcPr>
          <w:p w:rsidR="00C27730" w:rsidRPr="00295AA6" w:rsidRDefault="00C27730" w:rsidP="00C27730">
            <w:pPr>
              <w:spacing w:before="0"/>
              <w:rPr>
                <w:lang w:eastAsia="zh-CN"/>
              </w:rPr>
            </w:pPr>
            <w:r w:rsidRPr="00295AA6">
              <w:rPr>
                <w:lang w:eastAsia="zh-CN"/>
              </w:rPr>
              <w:t>All teenage drivers</w:t>
            </w:r>
          </w:p>
        </w:tc>
        <w:tc>
          <w:tcPr>
            <w:tcW w:w="1940" w:type="dxa"/>
          </w:tcPr>
          <w:p w:rsidR="00C27730" w:rsidRPr="00295AA6" w:rsidRDefault="00C27730" w:rsidP="00C27730">
            <w:pPr>
              <w:spacing w:before="0"/>
              <w:rPr>
                <w:lang w:eastAsia="zh-CN"/>
              </w:rPr>
            </w:pPr>
            <w:r w:rsidRPr="00295AA6">
              <w:rPr>
                <w:lang w:eastAsia="zh-CN"/>
              </w:rPr>
              <w:t>Population</w:t>
            </w:r>
          </w:p>
        </w:tc>
        <w:tc>
          <w:tcPr>
            <w:tcW w:w="1942" w:type="dxa"/>
          </w:tcPr>
          <w:p w:rsidR="00C27730" w:rsidRPr="00295AA6" w:rsidRDefault="00C27730" w:rsidP="00C27730">
            <w:pPr>
              <w:spacing w:before="0"/>
              <w:rPr>
                <w:lang w:eastAsia="zh-CN"/>
              </w:rPr>
            </w:pPr>
            <w:r w:rsidRPr="00295AA6">
              <w:rPr>
                <w:lang w:eastAsia="zh-CN"/>
              </w:rPr>
              <w:t>1 year post implementation</w:t>
            </w:r>
          </w:p>
        </w:tc>
        <w:tc>
          <w:tcPr>
            <w:tcW w:w="1684" w:type="dxa"/>
          </w:tcPr>
          <w:p w:rsidR="00C27730" w:rsidRPr="00295AA6" w:rsidRDefault="00C27730" w:rsidP="00C27730">
            <w:pPr>
              <w:spacing w:before="0"/>
              <w:rPr>
                <w:lang w:eastAsia="zh-CN"/>
              </w:rPr>
            </w:pPr>
            <w:r w:rsidRPr="00295AA6">
              <w:rPr>
                <w:lang w:eastAsia="zh-CN"/>
              </w:rPr>
              <w:t>19 – 20% reduction</w:t>
            </w:r>
          </w:p>
        </w:tc>
      </w:tr>
      <w:tr w:rsidR="00C27730" w:rsidRPr="00295AA6" w:rsidTr="00C27730">
        <w:trPr>
          <w:jc w:val="center"/>
        </w:trPr>
        <w:tc>
          <w:tcPr>
            <w:tcW w:w="1948" w:type="dxa"/>
            <w:vMerge w:val="restart"/>
          </w:tcPr>
          <w:p w:rsidR="00C27730" w:rsidRPr="00295AA6" w:rsidRDefault="00C27730" w:rsidP="00C27730">
            <w:pPr>
              <w:spacing w:before="0"/>
              <w:rPr>
                <w:lang w:eastAsia="zh-CN"/>
              </w:rPr>
            </w:pPr>
            <w:r w:rsidRPr="00295AA6">
              <w:rPr>
                <w:lang w:eastAsia="zh-CN"/>
              </w:rPr>
              <w:t>Fatal crashes</w:t>
            </w:r>
          </w:p>
        </w:tc>
        <w:tc>
          <w:tcPr>
            <w:tcW w:w="1808" w:type="dxa"/>
            <w:vMerge w:val="restart"/>
          </w:tcPr>
          <w:p w:rsidR="00C27730" w:rsidRPr="00295AA6" w:rsidRDefault="00C27730" w:rsidP="00C27730">
            <w:pPr>
              <w:spacing w:before="0"/>
              <w:rPr>
                <w:lang w:eastAsia="zh-CN"/>
              </w:rPr>
            </w:pPr>
            <w:r w:rsidRPr="00295AA6">
              <w:rPr>
                <w:lang w:eastAsia="zh-CN"/>
              </w:rPr>
              <w:t>All teenage drivers</w:t>
            </w:r>
          </w:p>
        </w:tc>
        <w:tc>
          <w:tcPr>
            <w:tcW w:w="1940" w:type="dxa"/>
          </w:tcPr>
          <w:p w:rsidR="00C27730" w:rsidRPr="00295AA6" w:rsidRDefault="00C27730" w:rsidP="00C27730">
            <w:pPr>
              <w:spacing w:before="0"/>
              <w:rPr>
                <w:lang w:eastAsia="zh-CN"/>
              </w:rPr>
            </w:pPr>
            <w:r w:rsidRPr="00295AA6">
              <w:rPr>
                <w:lang w:eastAsia="zh-CN"/>
              </w:rPr>
              <w:t>Population</w:t>
            </w:r>
          </w:p>
        </w:tc>
        <w:tc>
          <w:tcPr>
            <w:tcW w:w="1942" w:type="dxa"/>
          </w:tcPr>
          <w:p w:rsidR="00C27730" w:rsidRPr="00295AA6" w:rsidRDefault="00C27730" w:rsidP="00C27730">
            <w:pPr>
              <w:spacing w:before="0"/>
              <w:rPr>
                <w:lang w:eastAsia="zh-CN"/>
              </w:rPr>
            </w:pPr>
            <w:r w:rsidRPr="00295AA6">
              <w:rPr>
                <w:lang w:eastAsia="zh-CN"/>
              </w:rPr>
              <w:t>1 year post implementation</w:t>
            </w:r>
          </w:p>
        </w:tc>
        <w:tc>
          <w:tcPr>
            <w:tcW w:w="1684" w:type="dxa"/>
          </w:tcPr>
          <w:p w:rsidR="00C27730" w:rsidRPr="00295AA6" w:rsidRDefault="00C27730" w:rsidP="00C27730">
            <w:pPr>
              <w:spacing w:before="0"/>
              <w:rPr>
                <w:lang w:eastAsia="zh-CN"/>
              </w:rPr>
            </w:pPr>
            <w:r w:rsidRPr="00295AA6">
              <w:rPr>
                <w:lang w:eastAsia="zh-CN"/>
              </w:rPr>
              <w:t>15 – 57% reduction</w:t>
            </w:r>
          </w:p>
        </w:tc>
      </w:tr>
      <w:tr w:rsidR="00C27730" w:rsidRPr="00295AA6" w:rsidTr="00C27730">
        <w:trPr>
          <w:jc w:val="center"/>
        </w:trPr>
        <w:tc>
          <w:tcPr>
            <w:tcW w:w="1948" w:type="dxa"/>
            <w:vMerge/>
          </w:tcPr>
          <w:p w:rsidR="00C27730" w:rsidRPr="00295AA6" w:rsidRDefault="00C27730" w:rsidP="00C27730">
            <w:pPr>
              <w:spacing w:before="0"/>
              <w:rPr>
                <w:lang w:eastAsia="zh-CN"/>
              </w:rPr>
            </w:pPr>
          </w:p>
        </w:tc>
        <w:tc>
          <w:tcPr>
            <w:tcW w:w="1808" w:type="dxa"/>
            <w:vMerge/>
          </w:tcPr>
          <w:p w:rsidR="00C27730" w:rsidRPr="00295AA6" w:rsidRDefault="00C27730" w:rsidP="00C27730">
            <w:pPr>
              <w:spacing w:before="0"/>
              <w:rPr>
                <w:lang w:eastAsia="zh-CN"/>
              </w:rPr>
            </w:pPr>
          </w:p>
        </w:tc>
        <w:tc>
          <w:tcPr>
            <w:tcW w:w="1940" w:type="dxa"/>
          </w:tcPr>
          <w:p w:rsidR="00C27730" w:rsidRPr="00295AA6" w:rsidRDefault="00C27730" w:rsidP="00C27730">
            <w:pPr>
              <w:spacing w:before="0"/>
              <w:rPr>
                <w:lang w:eastAsia="zh-CN"/>
              </w:rPr>
            </w:pPr>
            <w:r w:rsidRPr="00295AA6">
              <w:rPr>
                <w:lang w:eastAsia="zh-CN"/>
              </w:rPr>
              <w:t>Licensed drivers</w:t>
            </w:r>
          </w:p>
        </w:tc>
        <w:tc>
          <w:tcPr>
            <w:tcW w:w="1942" w:type="dxa"/>
          </w:tcPr>
          <w:p w:rsidR="00C27730" w:rsidRPr="00295AA6" w:rsidRDefault="00C27730" w:rsidP="00C27730">
            <w:pPr>
              <w:spacing w:before="0"/>
              <w:rPr>
                <w:lang w:eastAsia="zh-CN"/>
              </w:rPr>
            </w:pPr>
            <w:r w:rsidRPr="00295AA6">
              <w:rPr>
                <w:lang w:eastAsia="zh-CN"/>
              </w:rPr>
              <w:t>1 year post implementation</w:t>
            </w:r>
          </w:p>
        </w:tc>
        <w:tc>
          <w:tcPr>
            <w:tcW w:w="1684" w:type="dxa"/>
          </w:tcPr>
          <w:p w:rsidR="00C27730" w:rsidRPr="00295AA6" w:rsidRDefault="00C27730" w:rsidP="00C27730">
            <w:pPr>
              <w:spacing w:before="0"/>
              <w:rPr>
                <w:lang w:eastAsia="zh-CN"/>
              </w:rPr>
            </w:pPr>
            <w:r w:rsidRPr="00295AA6">
              <w:rPr>
                <w:lang w:eastAsia="zh-CN"/>
              </w:rPr>
              <w:t>6 – 19% reduction</w:t>
            </w:r>
          </w:p>
        </w:tc>
      </w:tr>
      <w:tr w:rsidR="00C27730" w:rsidRPr="00295AA6" w:rsidTr="00C27730">
        <w:trPr>
          <w:jc w:val="center"/>
        </w:trPr>
        <w:tc>
          <w:tcPr>
            <w:tcW w:w="1948" w:type="dxa"/>
          </w:tcPr>
          <w:p w:rsidR="00C27730" w:rsidRPr="00295AA6" w:rsidRDefault="00C27730" w:rsidP="00C27730">
            <w:pPr>
              <w:spacing w:before="0"/>
              <w:rPr>
                <w:lang w:eastAsia="zh-CN"/>
              </w:rPr>
            </w:pPr>
            <w:r w:rsidRPr="00295AA6">
              <w:rPr>
                <w:lang w:eastAsia="zh-CN"/>
              </w:rPr>
              <w:t>Night time crashes</w:t>
            </w:r>
          </w:p>
        </w:tc>
        <w:tc>
          <w:tcPr>
            <w:tcW w:w="1808" w:type="dxa"/>
          </w:tcPr>
          <w:p w:rsidR="00C27730" w:rsidRPr="00295AA6" w:rsidRDefault="00C27730" w:rsidP="00C27730">
            <w:pPr>
              <w:spacing w:before="0"/>
              <w:rPr>
                <w:lang w:eastAsia="zh-CN"/>
              </w:rPr>
            </w:pPr>
            <w:r w:rsidRPr="00295AA6">
              <w:rPr>
                <w:lang w:eastAsia="zh-CN"/>
              </w:rPr>
              <w:t>All teenage drivers</w:t>
            </w:r>
          </w:p>
        </w:tc>
        <w:tc>
          <w:tcPr>
            <w:tcW w:w="1940" w:type="dxa"/>
          </w:tcPr>
          <w:p w:rsidR="00C27730" w:rsidRPr="00295AA6" w:rsidRDefault="00C27730" w:rsidP="00C27730">
            <w:pPr>
              <w:spacing w:before="0"/>
              <w:rPr>
                <w:lang w:eastAsia="zh-CN"/>
              </w:rPr>
            </w:pPr>
            <w:r w:rsidRPr="00295AA6">
              <w:rPr>
                <w:lang w:eastAsia="zh-CN"/>
              </w:rPr>
              <w:t>Licensed drivers</w:t>
            </w:r>
          </w:p>
        </w:tc>
        <w:tc>
          <w:tcPr>
            <w:tcW w:w="1942" w:type="dxa"/>
          </w:tcPr>
          <w:p w:rsidR="00C27730" w:rsidRPr="00295AA6" w:rsidRDefault="00C27730" w:rsidP="00C27730">
            <w:pPr>
              <w:spacing w:before="0"/>
              <w:rPr>
                <w:lang w:eastAsia="zh-CN"/>
              </w:rPr>
            </w:pPr>
            <w:r w:rsidRPr="00295AA6">
              <w:rPr>
                <w:lang w:eastAsia="zh-CN"/>
              </w:rPr>
              <w:t>1 year post implementation</w:t>
            </w:r>
          </w:p>
        </w:tc>
        <w:tc>
          <w:tcPr>
            <w:tcW w:w="1684" w:type="dxa"/>
          </w:tcPr>
          <w:p w:rsidR="00C27730" w:rsidRPr="00295AA6" w:rsidRDefault="00C27730" w:rsidP="00C27730">
            <w:pPr>
              <w:spacing w:before="0"/>
              <w:rPr>
                <w:lang w:eastAsia="zh-CN"/>
              </w:rPr>
            </w:pPr>
            <w:r w:rsidRPr="00295AA6">
              <w:rPr>
                <w:lang w:eastAsia="zh-CN"/>
              </w:rPr>
              <w:t>3 – 48% reduction</w:t>
            </w:r>
          </w:p>
        </w:tc>
      </w:tr>
      <w:tr w:rsidR="00C27730" w:rsidRPr="00295AA6" w:rsidTr="00C27730">
        <w:trPr>
          <w:jc w:val="center"/>
        </w:trPr>
        <w:tc>
          <w:tcPr>
            <w:tcW w:w="1948" w:type="dxa"/>
          </w:tcPr>
          <w:p w:rsidR="00C27730" w:rsidRPr="00295AA6" w:rsidRDefault="00C27730" w:rsidP="00C27730">
            <w:pPr>
              <w:spacing w:before="0"/>
              <w:rPr>
                <w:lang w:eastAsia="zh-CN"/>
              </w:rPr>
            </w:pPr>
            <w:r w:rsidRPr="00295AA6">
              <w:rPr>
                <w:lang w:eastAsia="zh-CN"/>
              </w:rPr>
              <w:t>Alcohol related crashes</w:t>
            </w:r>
          </w:p>
        </w:tc>
        <w:tc>
          <w:tcPr>
            <w:tcW w:w="1808" w:type="dxa"/>
          </w:tcPr>
          <w:p w:rsidR="00C27730" w:rsidRPr="00295AA6" w:rsidRDefault="00C27730" w:rsidP="00C27730">
            <w:pPr>
              <w:spacing w:before="0"/>
              <w:rPr>
                <w:lang w:eastAsia="zh-CN"/>
              </w:rPr>
            </w:pPr>
            <w:r w:rsidRPr="00295AA6">
              <w:rPr>
                <w:lang w:eastAsia="zh-CN"/>
              </w:rPr>
              <w:t>All teenage drivers</w:t>
            </w:r>
          </w:p>
        </w:tc>
        <w:tc>
          <w:tcPr>
            <w:tcW w:w="1940" w:type="dxa"/>
          </w:tcPr>
          <w:p w:rsidR="00C27730" w:rsidRPr="00295AA6" w:rsidRDefault="00C27730" w:rsidP="00C27730">
            <w:pPr>
              <w:spacing w:before="0"/>
              <w:rPr>
                <w:lang w:eastAsia="zh-CN"/>
              </w:rPr>
            </w:pPr>
            <w:r w:rsidRPr="00295AA6">
              <w:rPr>
                <w:lang w:eastAsia="zh-CN"/>
              </w:rPr>
              <w:t>Licensed drivers</w:t>
            </w:r>
          </w:p>
        </w:tc>
        <w:tc>
          <w:tcPr>
            <w:tcW w:w="1942" w:type="dxa"/>
          </w:tcPr>
          <w:p w:rsidR="00C27730" w:rsidRPr="00295AA6" w:rsidRDefault="00C27730" w:rsidP="00C27730">
            <w:pPr>
              <w:spacing w:before="0"/>
              <w:rPr>
                <w:lang w:eastAsia="zh-CN"/>
              </w:rPr>
            </w:pPr>
            <w:r w:rsidRPr="00295AA6">
              <w:rPr>
                <w:lang w:eastAsia="zh-CN"/>
              </w:rPr>
              <w:t>1 year post implementation</w:t>
            </w:r>
          </w:p>
        </w:tc>
        <w:tc>
          <w:tcPr>
            <w:tcW w:w="1684" w:type="dxa"/>
          </w:tcPr>
          <w:p w:rsidR="00C27730" w:rsidRPr="00295AA6" w:rsidRDefault="00C27730" w:rsidP="00C27730">
            <w:pPr>
              <w:spacing w:before="0"/>
              <w:rPr>
                <w:lang w:eastAsia="zh-CN"/>
              </w:rPr>
            </w:pPr>
            <w:r w:rsidRPr="00295AA6">
              <w:rPr>
                <w:lang w:eastAsia="zh-CN"/>
              </w:rPr>
              <w:t>19% reduction</w:t>
            </w:r>
          </w:p>
        </w:tc>
      </w:tr>
    </w:tbl>
    <w:p w:rsidR="00172B56" w:rsidRDefault="00172B56" w:rsidP="00976626">
      <w:pPr>
        <w:pStyle w:val="Heading2"/>
      </w:pPr>
      <w:r>
        <w:lastRenderedPageBreak/>
        <w:t>Views of other NHS bodies</w:t>
      </w:r>
    </w:p>
    <w:p w:rsidR="00015D7A" w:rsidRPr="00015D7A" w:rsidRDefault="00015D7A" w:rsidP="00015D7A">
      <w:r w:rsidRPr="00015D7A">
        <w:t xml:space="preserve">To our knowledge, despite the clear public health benefits of the introduction of GDL, no other NHS organisation has published a position or a report on the subject. </w:t>
      </w:r>
    </w:p>
    <w:p w:rsidR="00172B56" w:rsidRDefault="00172B56" w:rsidP="00976626">
      <w:pPr>
        <w:pStyle w:val="Heading2"/>
      </w:pPr>
      <w:r>
        <w:t>Views of other organisations</w:t>
      </w:r>
    </w:p>
    <w:p w:rsidR="00172B56" w:rsidRDefault="00172B56" w:rsidP="00E13F73">
      <w:pPr>
        <w:pStyle w:val="Heading3"/>
      </w:pPr>
      <w:r>
        <w:t>UK Organisations</w:t>
      </w:r>
    </w:p>
    <w:p w:rsidR="00015D7A" w:rsidRDefault="000514BF" w:rsidP="00E13F73">
      <w:r w:rsidRPr="000514BF">
        <w:t>The</w:t>
      </w:r>
      <w:r w:rsidR="00015D7A">
        <w:t xml:space="preserve"> </w:t>
      </w:r>
      <w:r w:rsidRPr="000514BF">
        <w:rPr>
          <w:b/>
        </w:rPr>
        <w:t>Faculty of Public Health</w:t>
      </w:r>
      <w:r w:rsidR="00015D7A">
        <w:t xml:space="preserve"> (FPH) Transport Special Interest Group (SIG) </w:t>
      </w:r>
      <w:r w:rsidR="00A46D03">
        <w:fldChar w:fldCharType="begin"/>
      </w:r>
      <w:r w:rsidR="00015D7A">
        <w:instrText xml:space="preserve"> ADDIN ZOTERO_ITEM CSL_CITATION {"citationID":"2b3kscqson","properties":{"formattedCitation":"[9]","plainCitation":"[9]"},"citationItems":[{"id":2511,"uris":["http://zotero.org/users/1859298/items/5KKAAX4F"],"uri":["http://zotero.org/users/1859298/items/5KKAAX4F"],"itemData":{"id":2511,"type":"webpage","title":"Welcome to the homepage of FPH’s Transport SIG","container-title":"Faculty of Public Health","URL":"http://www.fph.org.uk/welcome_to_the_homepage_of_fph%E2%80%99s_transport_sig","author":[{"literal":"Faculty of Public Health"}],"accessed":{"date-parts":[["2016",10,24]]}}}],"schema":"https://github.com/citation-style-language/schema/raw/master/csl-citation.json"} </w:instrText>
      </w:r>
      <w:r w:rsidR="00A46D03">
        <w:fldChar w:fldCharType="separate"/>
      </w:r>
      <w:r w:rsidR="00846148" w:rsidRPr="00846148">
        <w:t>[9]</w:t>
      </w:r>
      <w:r w:rsidR="00A46D03">
        <w:fldChar w:fldCharType="end"/>
      </w:r>
      <w:r w:rsidR="00015D7A">
        <w:t xml:space="preserve"> are broadly supportive of calls for GDL, but as they are only recently established, they have yet to make an explicit statement with regard to GDL.</w:t>
      </w:r>
    </w:p>
    <w:p w:rsidR="00846148" w:rsidRDefault="00846148" w:rsidP="00846148">
      <w:r>
        <w:t xml:space="preserve">An </w:t>
      </w:r>
      <w:r w:rsidRPr="00846148">
        <w:rPr>
          <w:b/>
        </w:rPr>
        <w:t>Transport Research Laboratory (TRL)</w:t>
      </w:r>
      <w:r>
        <w:rPr>
          <w:rFonts w:ascii="Arial" w:hAnsi="Arial" w:cs="Arial"/>
          <w:color w:val="6A7681"/>
        </w:rPr>
        <w:t xml:space="preserve"> </w:t>
      </w:r>
      <w:r>
        <w:t>r</w:t>
      </w:r>
      <w:r w:rsidR="000C5A4C">
        <w:t>eport</w:t>
      </w:r>
      <w:r>
        <w:t xml:space="preserve"> published in 2014 </w:t>
      </w:r>
      <w:r w:rsidR="00A46D03">
        <w:fldChar w:fldCharType="begin"/>
      </w:r>
      <w:r w:rsidR="00A47720">
        <w:instrText xml:space="preserve"> ADDIN ZOTERO_ITEM CSL_CITATION {"citationID":"2o9rml0t2k","properties":{"formattedCitation":"[10]","plainCitation":"[10]"},"citationItems":[{"id":269,"uris":["http://zotero.org/users/1859298/items/AV6XAIDH"],"uri":["http://zotero.org/users/1859298/items/AV6XAIDH"],"itemData":{"id":269,"type":"webpage","title":"Young drivers crashes - mapping the casualties","container-title":"RAC Foundation","abstract":"For the first time the human cost of crashes involving young drivers has been plotted across 49 different areas of Britain highlighting significant regional variations.\nNearly one in eight (11.9%) of all road casualties are hurt or killed in collisions involving a car driver aged 17-19.\nThis is desp...","URL":"http://www.racfoundation.org/media-centre/young-driver-crashes-mapping-the-casualties-press","author":[{"literal":"RAC Foundation"}],"issued":{"date-parts":[["2014",5,27]]},"accessed":{"date-parts":[["2016",4,28]]}}}],"schema":"https://github.com/citation-style-language/schema/raw/master/csl-citation.json"} </w:instrText>
      </w:r>
      <w:r w:rsidR="00A46D03">
        <w:fldChar w:fldCharType="separate"/>
      </w:r>
      <w:r w:rsidRPr="00846148">
        <w:t>[10]</w:t>
      </w:r>
      <w:r w:rsidR="00A46D03">
        <w:fldChar w:fldCharType="end"/>
      </w:r>
      <w:r>
        <w:t xml:space="preserve"> highlighted the impact of young driver crashes </w:t>
      </w:r>
      <w:r w:rsidRPr="00846148">
        <w:t>across 49 different areas of Britain</w:t>
      </w:r>
      <w:r>
        <w:t xml:space="preserve">. The report looks into the possible reduction in casualties should a GDL system </w:t>
      </w:r>
      <w:r w:rsidR="00917DE1">
        <w:t xml:space="preserve">be </w:t>
      </w:r>
      <w:r>
        <w:t xml:space="preserve">introduced in Britain, </w:t>
      </w:r>
      <w:r w:rsidRPr="00846148">
        <w:t>concluding that</w:t>
      </w:r>
      <w:r>
        <w:t xml:space="preserve"> if this was legislated for,</w:t>
      </w:r>
      <w:r w:rsidRPr="00846148">
        <w:t xml:space="preserve"> about 4,500 fewer people would be hurt in an average year.</w:t>
      </w:r>
    </w:p>
    <w:p w:rsidR="00172B56" w:rsidRDefault="00172B56" w:rsidP="00846148">
      <w:pPr>
        <w:pStyle w:val="Heading3"/>
      </w:pPr>
      <w:r>
        <w:t>European Organisations</w:t>
      </w:r>
    </w:p>
    <w:p w:rsidR="00986E07" w:rsidRDefault="00986E07">
      <w:pPr>
        <w:spacing w:before="0"/>
      </w:pPr>
    </w:p>
    <w:p w:rsidR="00986E07" w:rsidRDefault="000514BF">
      <w:pPr>
        <w:spacing w:before="0"/>
      </w:pPr>
      <w:r w:rsidRPr="000514BF">
        <w:t>The</w:t>
      </w:r>
      <w:r w:rsidR="00202EA0">
        <w:t xml:space="preserve"> </w:t>
      </w:r>
      <w:r w:rsidRPr="000514BF">
        <w:rPr>
          <w:b/>
        </w:rPr>
        <w:t>European Child Safety Alliance</w:t>
      </w:r>
      <w:r w:rsidR="00202EA0">
        <w:t xml:space="preserve">’s </w:t>
      </w:r>
      <w:r w:rsidR="00E9129B">
        <w:t>‘</w:t>
      </w:r>
      <w:r w:rsidR="00202EA0">
        <w:t>Child Safety Report Card</w:t>
      </w:r>
      <w:r w:rsidR="00E9129B">
        <w:t>’</w:t>
      </w:r>
      <w:r w:rsidR="00202EA0">
        <w:t xml:space="preserve"> for 2012 </w:t>
      </w:r>
      <w:r w:rsidR="00A46D03">
        <w:fldChar w:fldCharType="begin"/>
      </w:r>
      <w:r w:rsidR="00846148">
        <w:instrText xml:space="preserve"> ADDIN ZOTERO_ITEM CSL_CITATION {"citationID":"2jkkavmgu2","properties":{"formattedCitation":"[11]","plainCitation":"[11]"},"citationItems":[{"id":2517,"uris":["http://zotero.org/users/1859298/items/26IAD7FC"],"uri":["http://zotero.org/users/1859298/items/26IAD7FC"],"itemData":{"id":2517,"type":"report","title":"Child Safety Report Card 2012: Europe Summary for 31 Countries","publisher":"European Child Safety Alliance","publisher-place":"Birmingham","event-place":"Birmingham","URL":"http://www.childsafetyeurope.org/publications/info/child-safety-report-cards-europe-summary-2012.pdf","author":[{"family":"MacKay","given":"M"},{"family":"Vincenten","given":"J"}],"issued":{"date-parts":[["2012"]]},"accessed":{"date-parts":[["2016",10,24]]}}}],"schema":"https://github.com/citation-style-language/schema/raw/master/csl-citation.json"} </w:instrText>
      </w:r>
      <w:r w:rsidR="00A46D03">
        <w:fldChar w:fldCharType="separate"/>
      </w:r>
      <w:r w:rsidR="00846148" w:rsidRPr="00846148">
        <w:t>[11]</w:t>
      </w:r>
      <w:r w:rsidR="00A46D03">
        <w:fldChar w:fldCharType="end"/>
      </w:r>
      <w:r w:rsidR="00E9129B">
        <w:t xml:space="preserve"> includes reference to 16 European countries that have ‘multi-stage</w:t>
      </w:r>
      <w:r w:rsidR="004976E7">
        <w:t xml:space="preserve"> </w:t>
      </w:r>
      <w:r w:rsidR="00E9129B">
        <w:t xml:space="preserve">programmes with graduated privileges that allow new drivers on-road experience under conditions of reduced risk such as: zero tolerance for alcohol, no driving at night, limiting passengers, speed, and so on.’ </w:t>
      </w:r>
      <w:r w:rsidR="00A46D03">
        <w:fldChar w:fldCharType="begin"/>
      </w:r>
      <w:r w:rsidR="00846148">
        <w:instrText xml:space="preserve"> ADDIN ZOTERO_ITEM CSL_CITATION {"citationID":"2gg39lvgt0","properties":{"formattedCitation":"[11]","plainCitation":"[11]"},"citationItems":[{"id":2517,"uris":["http://zotero.org/users/1859298/items/26IAD7FC"],"uri":["http://zotero.org/users/1859298/items/26IAD7FC"],"itemData":{"id":2517,"type":"report","title":"Child Safety Report Card 2012: Europe Summary for 31 Countries","publisher":"European Child Safety Alliance","publisher-place":"Birmingham","event-place":"Birmingham","URL":"http://www.childsafetyeurope.org/publications/info/child-safety-report-cards-europe-summary-2012.pdf","author":[{"family":"MacKay","given":"M"},{"family":"Vincenten","given":"J"}],"issued":{"date-parts":[["2012"]]},"accessed":{"date-parts":[["2016",10,24]]}}}],"schema":"https://github.com/citation-style-language/schema/raw/master/csl-citation.json"} </w:instrText>
      </w:r>
      <w:r w:rsidR="00A46D03">
        <w:fldChar w:fldCharType="separate"/>
      </w:r>
      <w:r w:rsidR="00846148" w:rsidRPr="00846148">
        <w:t>[11]</w:t>
      </w:r>
      <w:r w:rsidR="00A46D03">
        <w:fldChar w:fldCharType="end"/>
      </w:r>
      <w:r w:rsidR="00E9129B">
        <w:t xml:space="preserve">. </w:t>
      </w:r>
    </w:p>
    <w:p w:rsidR="00986E07" w:rsidRDefault="00986E07">
      <w:pPr>
        <w:spacing w:before="0"/>
      </w:pPr>
    </w:p>
    <w:p w:rsidR="00986E07" w:rsidRDefault="00E9129B">
      <w:pPr>
        <w:spacing w:before="0"/>
      </w:pPr>
      <w:r>
        <w:t xml:space="preserve">A Child Safety Report Card for Wales was also released in 2012 </w:t>
      </w:r>
      <w:r w:rsidR="00A46D03">
        <w:fldChar w:fldCharType="begin"/>
      </w:r>
      <w:r w:rsidR="00846148">
        <w:instrText xml:space="preserve"> ADDIN ZOTERO_ITEM CSL_CITATION {"citationID":"2mg479ttq2","properties":{"formattedCitation":"[12]","plainCitation":"[12]"},"citationItems":[{"id":531,"uris":["http://zotero.org/users/1859298/items/IVS7VAGN"],"uri":["http://zotero.org/users/1859298/items/IVS7VAGN"],"itemData":{"id":531,"type":"report","title":"Child Safety Report Card 2012 - Wales","collection-title":"Child Safety Report Cards","publisher":"European Child Safety Alliance","publisher-place":"Birmingham","event-place":"Birmingham","URL":"http://www.childsafetyeurope.org/reportcards/info/wales-report-card.pdf","author":[{"family":"MacKay","given":"M"},{"family":"Vincenten","given":"J"}],"issued":{"date-parts":[["2012",11,6]]},"accessed":{"date-parts":[["2016",4,28]]}}}],"schema":"https://github.com/citation-style-language/schema/raw/master/csl-citation.json"} </w:instrText>
      </w:r>
      <w:r w:rsidR="00A46D03">
        <w:fldChar w:fldCharType="separate"/>
      </w:r>
      <w:r w:rsidR="00846148" w:rsidRPr="00846148">
        <w:t>[12]</w:t>
      </w:r>
      <w:r w:rsidR="00A46D03">
        <w:fldChar w:fldCharType="end"/>
      </w:r>
      <w:r>
        <w:t xml:space="preserve"> – one of the actions highlighted for future policy work was to ‘introduce graduated licensing for newly licensed drivers’. </w:t>
      </w:r>
    </w:p>
    <w:p w:rsidR="00172B56" w:rsidRDefault="00172B56" w:rsidP="00BF0F34">
      <w:pPr>
        <w:pStyle w:val="Heading3"/>
      </w:pPr>
      <w:r>
        <w:t>International Organisations</w:t>
      </w:r>
    </w:p>
    <w:p w:rsidR="00172B56" w:rsidRDefault="00E9129B" w:rsidP="00BF0F34">
      <w:r>
        <w:t xml:space="preserve">The </w:t>
      </w:r>
      <w:r w:rsidR="000514BF" w:rsidRPr="000514BF">
        <w:rPr>
          <w:b/>
        </w:rPr>
        <w:t>World Health Organization</w:t>
      </w:r>
      <w:r>
        <w:rPr>
          <w:b/>
        </w:rPr>
        <w:t xml:space="preserve"> (WHO)</w:t>
      </w:r>
      <w:r>
        <w:t xml:space="preserve"> report ’Ten strategies for keeping children safe on the road’ </w:t>
      </w:r>
      <w:r w:rsidR="00A46D03">
        <w:fldChar w:fldCharType="begin"/>
      </w:r>
      <w:r w:rsidR="00846148">
        <w:instrText xml:space="preserve"> ADDIN ZOTERO_ITEM CSL_CITATION {"citationID":"270luf9aph","properties":{"formattedCitation":"[13]","plainCitation":"[13]"},"citationItems":[{"id":2519,"uris":["http://zotero.org/users/1859298/items/26RVED9I"],"uri":["http://zotero.org/users/1859298/items/26RVED9I"],"itemData":{"id":2519,"type":"report","title":"Ten strategies for keeping children safe on the road","URL":"http://apps.who.int/iris/bitstream/10665/162176/1/WHO_NMH_NVI_15.3_eng.pdf?ua=1","number":"WHO/NMH/NVI/15.3","author":[{"literal":"World Health Organization"}],"issued":{"date-parts":[["2015"]]},"accessed":{"date-parts":[["2016",10,24]]}}}],"schema":"https://github.com/citation-style-language/schema/raw/master/csl-citation.json"} </w:instrText>
      </w:r>
      <w:r w:rsidR="00A46D03">
        <w:fldChar w:fldCharType="separate"/>
      </w:r>
      <w:r w:rsidR="00846148" w:rsidRPr="00846148">
        <w:t>[13]</w:t>
      </w:r>
      <w:r w:rsidR="00A46D03">
        <w:fldChar w:fldCharType="end"/>
      </w:r>
      <w:r w:rsidR="00166181">
        <w:t xml:space="preserve"> recommends the introduction of graduated driver licensing programmes as one of its ten featured strategies. This recommendation highlights the fact that ‘where these programmes exist, road traffic crashes among this group have declined by as much as 46%</w:t>
      </w:r>
      <w:r w:rsidR="00917DE1">
        <w:t>’</w:t>
      </w:r>
      <w:r w:rsidR="00166181">
        <w:t xml:space="preserve">. </w:t>
      </w:r>
    </w:p>
    <w:p w:rsidR="00C04798" w:rsidRDefault="00C04798" w:rsidP="00C04798">
      <w:pPr>
        <w:pStyle w:val="Heading2"/>
      </w:pPr>
      <w:r>
        <w:lastRenderedPageBreak/>
        <w:t>Public Views</w:t>
      </w:r>
    </w:p>
    <w:p w:rsidR="00C04798" w:rsidRDefault="00C04798" w:rsidP="00C04798">
      <w:r>
        <w:t xml:space="preserve">In June 2014, the </w:t>
      </w:r>
      <w:r w:rsidRPr="002015C0">
        <w:rPr>
          <w:b/>
        </w:rPr>
        <w:t>RAC Foundation</w:t>
      </w:r>
      <w:r>
        <w:t xml:space="preserve"> commissioned IPSOS Mori to undertake a survey into people’s views on young driver safety </w:t>
      </w:r>
      <w:r w:rsidR="00A46D03">
        <w:fldChar w:fldCharType="begin"/>
      </w:r>
      <w:r>
        <w:instrText xml:space="preserve"> ADDIN ZOTERO_ITEM CSL_CITATION {"citationID":"s841qo8is","properties":{"formattedCitation":"[14]","plainCitation":"[14]"},"citationItems":[{"id":2637,"uris":["http://zotero.org/users/1859298/items/2PZICWRT"],"uri":["http://zotero.org/users/1859298/items/2PZICWRT"],"itemData":{"id":2637,"type":"report","title":"Young Driver Safety A public attitude survey","publisher":"RAC Foundation","publisher-place":"London","page":"26","event-place":"London","URL":"http://www.racfoundation.org/assets/rac_foundation/content/downloadables/ipsos_mori_young_driver_safety_survey_final_june_2014.pdf","author":[{"family":"Marshall","given":"Ben"},{"family":"Parish","given":"Alpha"}],"issued":{"date-parts":[["2014",6]]}}}],"schema":"https://github.com/citation-style-language/schema/raw/master/csl-citation.json"} </w:instrText>
      </w:r>
      <w:r w:rsidR="00A46D03">
        <w:fldChar w:fldCharType="separate"/>
      </w:r>
      <w:r w:rsidRPr="00C04798">
        <w:t>[14]</w:t>
      </w:r>
      <w:r w:rsidR="00A46D03">
        <w:fldChar w:fldCharType="end"/>
      </w:r>
      <w:r>
        <w:t>. Amongst the findings within this report, 69% of</w:t>
      </w:r>
      <w:r w:rsidR="002015C0">
        <w:t xml:space="preserve"> the 2010 British adults aged 16-75 asked</w:t>
      </w:r>
      <w:r>
        <w:t xml:space="preserve"> either strongly supported or tended to support  the introduction of a graduated driver licence for young car or van drivers aged 24 or under in Britain. </w:t>
      </w:r>
      <w:r w:rsidR="002015C0">
        <w:t xml:space="preserve">Three quarters of those who thought road safety was a problem supported the introduction of a GDL scheme, with 61% of those who didn’t see road safety as problem also supporting the introduction of GDL. </w:t>
      </w:r>
    </w:p>
    <w:p w:rsidR="002015C0" w:rsidRDefault="002015C0" w:rsidP="00C04798">
      <w:r>
        <w:t xml:space="preserve">The main concern for the public with regards to introducing GDL in relation to the restrictions on passenger numbers was with regard to how the police and others could enforce the restriction. The main concern cited with regard to restrictions on driving hours was the difficulty for some young people to get to and from work at night or early in the morning. </w:t>
      </w:r>
    </w:p>
    <w:p w:rsidR="002015C0" w:rsidRPr="00C04798" w:rsidRDefault="008D5C42" w:rsidP="00C04798">
      <w:r>
        <w:t>(</w:t>
      </w:r>
      <w:r w:rsidR="002015C0">
        <w:t xml:space="preserve">For a full analysis of the findings of this survey with regards to GDL, please see sections 3.3-3.7 of the </w:t>
      </w:r>
      <w:r>
        <w:t xml:space="preserve">cited </w:t>
      </w:r>
      <w:r w:rsidR="002015C0">
        <w:t>report</w:t>
      </w:r>
      <w:r>
        <w:t>)</w:t>
      </w:r>
      <w:r w:rsidR="002015C0">
        <w:t xml:space="preserve">. </w:t>
      </w:r>
    </w:p>
    <w:p w:rsidR="00172B56" w:rsidRDefault="00172B56">
      <w:pPr>
        <w:spacing w:before="0"/>
        <w:jc w:val="left"/>
        <w:rPr>
          <w:b/>
          <w:kern w:val="28"/>
          <w:sz w:val="32"/>
        </w:rPr>
      </w:pPr>
      <w:r>
        <w:br w:type="page"/>
      </w:r>
    </w:p>
    <w:p w:rsidR="00172B56" w:rsidRDefault="00172B56" w:rsidP="00754BB7">
      <w:pPr>
        <w:pStyle w:val="Heading1"/>
      </w:pPr>
      <w:r>
        <w:lastRenderedPageBreak/>
        <w:t>Legislative and Regulatory Context</w:t>
      </w:r>
    </w:p>
    <w:p w:rsidR="00986E07" w:rsidRDefault="00172B56">
      <w:pPr>
        <w:pStyle w:val="Heading2"/>
      </w:pPr>
      <w:r>
        <w:t xml:space="preserve">UK </w:t>
      </w:r>
      <w:r w:rsidR="00BA00E7">
        <w:t>Legislative Approaches</w:t>
      </w:r>
    </w:p>
    <w:p w:rsidR="00986E07" w:rsidRDefault="00166181">
      <w:pPr>
        <w:pStyle w:val="Heading3"/>
      </w:pPr>
      <w:r>
        <w:t>Northern Ireland</w:t>
      </w:r>
    </w:p>
    <w:p w:rsidR="00166181" w:rsidRDefault="00166181" w:rsidP="00166181">
      <w:pPr>
        <w:pStyle w:val="NoSpacing"/>
      </w:pPr>
    </w:p>
    <w:p w:rsidR="00166181" w:rsidRDefault="00166181" w:rsidP="00166181">
      <w:pPr>
        <w:pStyle w:val="NoSpacing"/>
      </w:pPr>
      <w:r w:rsidRPr="00B96181">
        <w:t>In Northern Ireland, the Road Traffic (Amendment) Bill gain</w:t>
      </w:r>
      <w:r>
        <w:t>ed</w:t>
      </w:r>
      <w:r w:rsidRPr="00B96181">
        <w:t xml:space="preserve"> Royal Assent on 26</w:t>
      </w:r>
      <w:r w:rsidRPr="00B96181">
        <w:rPr>
          <w:vertAlign w:val="superscript"/>
        </w:rPr>
        <w:t>th</w:t>
      </w:r>
      <w:r w:rsidRPr="00B96181">
        <w:t xml:space="preserve"> March 2016</w:t>
      </w:r>
      <w:r>
        <w:t xml:space="preserve"> </w:t>
      </w:r>
      <w:r w:rsidR="00A46D03">
        <w:fldChar w:fldCharType="begin"/>
      </w:r>
      <w:r w:rsidR="00C04798">
        <w:instrText xml:space="preserve"> ADDIN ZOTERO_ITEM CSL_CITATION {"citationID":"s0q4kb19a","properties":{"formattedCitation":"[15]","plainCitation":"[15]"},"citationItems":[{"id":107,"uris":["http://zotero.org/users/1859298/items/588CUZ48"],"uri":["http://zotero.org/users/1859298/items/588CUZ48"],"itemData":{"id":107,"type":"legislation","title":"Road Traffic (Amendment) Act (Northern Ireland) 2016","URL":"http://www.legislation.gov.uk/nia/2016/11/contents/enacted","shortTitle":"Road Traffic (Amendment) Act (Northern Ireland) 2016","author":[{"literal":"Northern Ireland Assembly"}],"issued":{"date-parts":[["2016",3,23]]}}}],"schema":"https://github.com/citation-style-language/schema/raw/master/csl-citation.json"} </w:instrText>
      </w:r>
      <w:r w:rsidR="00A46D03">
        <w:fldChar w:fldCharType="separate"/>
      </w:r>
      <w:r w:rsidR="00C04798" w:rsidRPr="00C04798">
        <w:t>[15]</w:t>
      </w:r>
      <w:r w:rsidR="00A46D03">
        <w:fldChar w:fldCharType="end"/>
      </w:r>
      <w:r w:rsidRPr="00B96181">
        <w:t xml:space="preserve">. </w:t>
      </w:r>
      <w:r>
        <w:t>This will see the introduction of a</w:t>
      </w:r>
      <w:r w:rsidRPr="00B96181">
        <w:t xml:space="preserve"> six month minimum learning period, a </w:t>
      </w:r>
      <w:r>
        <w:t xml:space="preserve">compulsory </w:t>
      </w:r>
      <w:r w:rsidRPr="00B96181">
        <w:t>programme of training</w:t>
      </w:r>
      <w:r>
        <w:t xml:space="preserve"> and</w:t>
      </w:r>
      <w:r w:rsidRPr="00B96181">
        <w:t xml:space="preserve"> </w:t>
      </w:r>
      <w:r>
        <w:t>intermediate drivers restricted to no more than one 14 to 20 year old passenger</w:t>
      </w:r>
      <w:r w:rsidRPr="00B96181">
        <w:t xml:space="preserve"> between 11pm and 6am for</w:t>
      </w:r>
      <w:r>
        <w:t xml:space="preserve"> all</w:t>
      </w:r>
      <w:r w:rsidRPr="00B96181">
        <w:t xml:space="preserve"> drivers under the age of 24 during the first six months post test. </w:t>
      </w:r>
      <w:r>
        <w:t>In addition, learner and intermediate drivers will have a</w:t>
      </w:r>
      <w:r w:rsidRPr="00B96181">
        <w:t xml:space="preserve"> drink drive limit of </w:t>
      </w:r>
      <w:r w:rsidRPr="00B96181">
        <w:rPr>
          <w:rFonts w:cs="ArialMT"/>
        </w:rPr>
        <w:t xml:space="preserve">20mg/100ml. </w:t>
      </w:r>
      <w:r>
        <w:rPr>
          <w:rFonts w:cs="ArialMT"/>
        </w:rPr>
        <w:t>The date for implementation has not yet been agreed.</w:t>
      </w:r>
    </w:p>
    <w:p w:rsidR="00986E07" w:rsidRDefault="00166181">
      <w:pPr>
        <w:pStyle w:val="Heading3"/>
      </w:pPr>
      <w:r>
        <w:t>Isle of Man</w:t>
      </w:r>
    </w:p>
    <w:p w:rsidR="00166181" w:rsidRDefault="00166181" w:rsidP="00166181">
      <w:pPr>
        <w:pStyle w:val="Body"/>
        <w:spacing w:before="0" w:line="240" w:lineRule="auto"/>
        <w:rPr>
          <w:lang w:val="en-GB"/>
        </w:rPr>
      </w:pPr>
    </w:p>
    <w:p w:rsidR="00166181" w:rsidRDefault="00166181" w:rsidP="00166181">
      <w:pPr>
        <w:pStyle w:val="Body"/>
        <w:spacing w:before="0" w:line="240" w:lineRule="auto"/>
      </w:pPr>
      <w:r>
        <w:rPr>
          <w:lang w:val="en-GB"/>
        </w:rPr>
        <w:t xml:space="preserve">On the Isle of Man, new proposals </w:t>
      </w:r>
      <w:r w:rsidR="00A46D03">
        <w:rPr>
          <w:lang w:val="en-GB"/>
        </w:rPr>
        <w:fldChar w:fldCharType="begin"/>
      </w:r>
      <w:r w:rsidR="00C04798">
        <w:rPr>
          <w:lang w:val="en-GB"/>
        </w:rPr>
        <w:instrText xml:space="preserve"> ADDIN ZOTERO_ITEM CSL_CITATION {"citationID":"24762fui54","properties":{"formattedCitation":"[16]","plainCitation":"[16]"},"citationItems":[{"id":968,"uris":["http://zotero.org/users/1859298/items/ZFJHRP5V"],"uri":["http://zotero.org/users/1859298/items/ZFJHRP5V"],"itemData":{"id":968,"type":"webpage","title":"New measures proposed to improve road safety","URL":"https://www.gov.im/news/2015/oct/22/new-measures-proposed-to-improve-road-safety/","author":[{"literal":"Department of Infrastructure, Isle of Man Government"}],"issued":{"date-parts":[["2015",10,22]]},"accessed":{"date-parts":[["2016",5,18]]}}}],"schema":"https://github.com/citation-style-language/schema/raw/master/csl-citation.json"} </w:instrText>
      </w:r>
      <w:r w:rsidR="00A46D03">
        <w:rPr>
          <w:lang w:val="en-GB"/>
        </w:rPr>
        <w:fldChar w:fldCharType="separate"/>
      </w:r>
      <w:r w:rsidR="00C04798" w:rsidRPr="00C04798">
        <w:t>[16]</w:t>
      </w:r>
      <w:r w:rsidR="00A46D03">
        <w:rPr>
          <w:lang w:val="en-GB"/>
        </w:rPr>
        <w:fldChar w:fldCharType="end"/>
      </w:r>
      <w:r>
        <w:rPr>
          <w:lang w:val="en-GB"/>
        </w:rPr>
        <w:t xml:space="preserve">, including a passenger and night time driving restriction for new drivers, have been put forward to ‘promote a safer environment </w:t>
      </w:r>
      <w:r>
        <w:t>while new drivers build up their experience and competence’.</w:t>
      </w:r>
    </w:p>
    <w:p w:rsidR="00986E07" w:rsidRDefault="00166181">
      <w:pPr>
        <w:pStyle w:val="Heading3"/>
      </w:pPr>
      <w:r>
        <w:t>Scotland</w:t>
      </w:r>
    </w:p>
    <w:p w:rsidR="00166181" w:rsidRDefault="00166181" w:rsidP="00166181">
      <w:pPr>
        <w:pStyle w:val="Body"/>
        <w:spacing w:before="0" w:line="240" w:lineRule="auto"/>
      </w:pPr>
    </w:p>
    <w:p w:rsidR="00166181" w:rsidRPr="00023DB6" w:rsidRDefault="00166181" w:rsidP="00166181">
      <w:pPr>
        <w:pStyle w:val="Body"/>
        <w:spacing w:before="0" w:line="240" w:lineRule="auto"/>
      </w:pPr>
      <w:r>
        <w:t xml:space="preserve">Scotland is keen to introduce GDL but does not have legislative power to do so and permission to draw down this power has been refused. However, Scotland has introduced a reduction in the drink drive limit to 50mg per 100ml of blood </w:t>
      </w:r>
      <w:r w:rsidR="00A46D03">
        <w:fldChar w:fldCharType="begin"/>
      </w:r>
      <w:r w:rsidR="00C04798">
        <w:instrText xml:space="preserve"> ADDIN ZOTERO_ITEM CSL_CITATION {"citationID":"2agdn8cbpg","properties":{"formattedCitation":"[17]","plainCitation":"[17]"},"citationItems":[{"id":398,"uris":["http://zotero.org/users/1859298/items/EZTRAG52"],"uri":["http://zotero.org/users/1859298/items/EZTRAG52"],"itemData":{"id":398,"type":"webpage","title":"Lower drink drive limit","URL":"http://news.scotland.gov.uk/News/Lower-drink-drive-limit-12f8.aspx","author":[{"literal":"Scottish Government"}],"issued":{"date-parts":[["2014",5,12]]},"accessed":{"date-parts":[["2016",5,18]]}}}],"schema":"https://github.com/citation-style-language/schema/raw/master/csl-citation.json"} </w:instrText>
      </w:r>
      <w:r w:rsidR="00A46D03">
        <w:fldChar w:fldCharType="separate"/>
      </w:r>
      <w:r w:rsidR="00C04798" w:rsidRPr="00C04798">
        <w:t>[17]</w:t>
      </w:r>
      <w:r w:rsidR="00A46D03">
        <w:fldChar w:fldCharType="end"/>
      </w:r>
      <w:r>
        <w:t>, the impacts of which have been highlighted in the 2015 Road Safety Framework Annual Report</w:t>
      </w:r>
      <w:r w:rsidR="00BA00E7">
        <w:t xml:space="preserve"> </w:t>
      </w:r>
      <w:r w:rsidR="00A46D03">
        <w:fldChar w:fldCharType="begin"/>
      </w:r>
      <w:r w:rsidR="00C04798">
        <w:instrText xml:space="preserve"> ADDIN ZOTERO_ITEM CSL_CITATION {"citationID":"1flkaiei88","properties":{"formattedCitation":"[18]","plainCitation":"[18]"},"citationItems":[{"id":2520,"uris":["http://zotero.org/users/1859298/items/9K2QNFC6"],"uri":["http://zotero.org/users/1859298/items/9K2QNFC6"],"itemData":{"id":2520,"type":"report","title":"Road Safety Framework Annual Report 2015","publisher":"Transport Scotland","publisher-place":"Glasgow","event-place":"Glasgow","URL":"http://www.transport.gov.scot/sites/default/files/documents/rrd_reports/uploaded_reports/j419424/j419424.pdf","author":[{"literal":"Transport Scotland"}],"issued":{"date-parts":[["2016",3]]},"accessed":{"date-parts":[["2016",10,24]]}}}],"schema":"https://github.com/citation-style-language/schema/raw/master/csl-citation.json"} </w:instrText>
      </w:r>
      <w:r w:rsidR="00A46D03">
        <w:fldChar w:fldCharType="separate"/>
      </w:r>
      <w:r w:rsidR="00C04798" w:rsidRPr="00C04798">
        <w:t>[18]</w:t>
      </w:r>
      <w:r w:rsidR="00A46D03">
        <w:fldChar w:fldCharType="end"/>
      </w:r>
      <w:r>
        <w:t xml:space="preserve">. </w:t>
      </w:r>
    </w:p>
    <w:p w:rsidR="00172B56" w:rsidRDefault="00172B56" w:rsidP="006931F3">
      <w:pPr>
        <w:pStyle w:val="Heading1"/>
      </w:pPr>
      <w:bookmarkStart w:id="9" w:name="_Health_(Tobacco,_Nicotine,"/>
      <w:bookmarkEnd w:id="9"/>
      <w:r>
        <w:t>Global Perspectives – by country</w:t>
      </w:r>
    </w:p>
    <w:p w:rsidR="00172B56" w:rsidRDefault="00172B56" w:rsidP="001B1F84">
      <w:pPr>
        <w:pStyle w:val="Heading2"/>
      </w:pPr>
      <w:r>
        <w:t>United States of America</w:t>
      </w:r>
    </w:p>
    <w:p w:rsidR="00DC032F" w:rsidRDefault="008E1008" w:rsidP="00DC032F">
      <w:r>
        <w:t>All states in the USA, except North Dakota, have a full three-stage GDL.</w:t>
      </w:r>
      <w:r w:rsidR="00E246A3">
        <w:t xml:space="preserve"> A useful overview is provided by the </w:t>
      </w:r>
      <w:proofErr w:type="spellStart"/>
      <w:r w:rsidR="00E246A3" w:rsidRPr="00E246A3">
        <w:t>Center</w:t>
      </w:r>
      <w:proofErr w:type="spellEnd"/>
      <w:r w:rsidR="00E246A3" w:rsidRPr="00E246A3">
        <w:t xml:space="preserve"> for Disease Control and Prevention (CDC)</w:t>
      </w:r>
      <w:r w:rsidR="00E246A3">
        <w:t xml:space="preserve"> </w:t>
      </w:r>
      <w:r w:rsidR="00A46D03">
        <w:fldChar w:fldCharType="begin"/>
      </w:r>
      <w:r w:rsidR="00C04798">
        <w:instrText xml:space="preserve"> ADDIN ZOTERO_ITEM CSL_CITATION {"citationID":"1ijol7gu0k","properties":{"formattedCitation":"[19]","plainCitation":"[19]"},"citationItems":[{"id":2570,"uris":["http://zotero.org/users/1859298/items/ZQ67JPS7"],"uri":["http://zotero.org/users/1859298/items/ZQ67JPS7"],"itemData":{"id":2570,"type":"webpage","title":"Graduated Driver Licensing","container-title":"Center for Disease Control and Prevention (CDC)","URL":"http://www.cdc.gov/phlp/publications/type/gdl.html","author":[{"literal":"Center for Disease Control and Prevention (CDC)"}],"issued":{"date-parts":[["2016",8,19]]},"accessed":{"date-parts":[["2016",10,26]]}}}],"schema":"https://github.com/citation-style-language/schema/raw/master/csl-citation.json"} </w:instrText>
      </w:r>
      <w:r w:rsidR="00A46D03">
        <w:fldChar w:fldCharType="separate"/>
      </w:r>
      <w:r w:rsidR="00C04798" w:rsidRPr="00C04798">
        <w:t>[19]</w:t>
      </w:r>
      <w:r w:rsidR="00A46D03">
        <w:fldChar w:fldCharType="end"/>
      </w:r>
      <w:r w:rsidR="003A5F3D">
        <w:t>.</w:t>
      </w:r>
    </w:p>
    <w:p w:rsidR="008E1008" w:rsidRDefault="008E1008" w:rsidP="008E1008">
      <w:pPr>
        <w:pStyle w:val="Heading2"/>
      </w:pPr>
      <w:r>
        <w:t>Canada</w:t>
      </w:r>
    </w:p>
    <w:p w:rsidR="008E1008" w:rsidRPr="008E1008" w:rsidRDefault="008E1008" w:rsidP="008E1008">
      <w:r>
        <w:t xml:space="preserve">All Canadian provinces and territories, except Nunavut, have implemented a full three-stage GDL. A good overview of the system in </w:t>
      </w:r>
      <w:r w:rsidR="00E246A3">
        <w:t xml:space="preserve">Ontario is provided in a new report from the Traffic Injury Research Foundation </w:t>
      </w:r>
      <w:r w:rsidR="00A46D03">
        <w:fldChar w:fldCharType="begin"/>
      </w:r>
      <w:r w:rsidR="00C04798">
        <w:instrText xml:space="preserve"> ADDIN ZOTERO_ITEM CSL_CITATION {"citationID":"20v4oh82i8","properties":{"formattedCitation":"[20]","plainCitation":"[20]"},"citationItems":[{"id":2567,"uris":["http://zotero.org/users/1859298/items/U866SDWQ"],"uri":["http://zotero.org/users/1859298/items/U866SDWQ"],"itemData":{"id":2567,"type":"report","title":"Progression through Graduated Driver Licensing Programs: Final Report","publisher":"Traffic Injury Research Foundation","publisher-place":"Ottawa : Ontario : Canada","page":"39","event-place":"Ottawa : Ontario : Canada","URL":"http://www.tirf.ca/publications/PDF_publications/ProgressionthroughGDL-Report-21.pdf","author":[{"family":"Mayhew","given":"Dan"},{"family":"Hing","given":"Marisela Mainegra"},{"family":"Vanlaar","given":"Ward"}],"issued":{"date-parts":[["2016",7]]},"accessed":{"date-parts":[["2016",10,26]]}}}],"schema":"https://github.com/citation-style-language/schema/raw/master/csl-citation.json"} </w:instrText>
      </w:r>
      <w:r w:rsidR="00A46D03">
        <w:fldChar w:fldCharType="separate"/>
      </w:r>
      <w:r w:rsidR="00C04798" w:rsidRPr="00C04798">
        <w:t>[20]</w:t>
      </w:r>
      <w:r w:rsidR="00A46D03">
        <w:fldChar w:fldCharType="end"/>
      </w:r>
      <w:r w:rsidR="00E246A3">
        <w:t>.</w:t>
      </w:r>
    </w:p>
    <w:p w:rsidR="00172B56" w:rsidRDefault="008E1008" w:rsidP="001B1F84">
      <w:pPr>
        <w:pStyle w:val="Heading2"/>
      </w:pPr>
      <w:r>
        <w:lastRenderedPageBreak/>
        <w:t>Australia</w:t>
      </w:r>
    </w:p>
    <w:p w:rsidR="004976E7" w:rsidRDefault="004976E7" w:rsidP="008E1008">
      <w:r>
        <w:t xml:space="preserve">GDL is present in all Australian states. </w:t>
      </w:r>
    </w:p>
    <w:p w:rsidR="008E1008" w:rsidRPr="008E1008" w:rsidRDefault="004976E7" w:rsidP="008E1008">
      <w:r>
        <w:t>In South Australia</w:t>
      </w:r>
      <w:r w:rsidR="008E1008">
        <w:t xml:space="preserve"> </w:t>
      </w:r>
      <w:r w:rsidR="00A46D03">
        <w:fldChar w:fldCharType="begin"/>
      </w:r>
      <w:r w:rsidR="00C04798">
        <w:instrText xml:space="preserve"> ADDIN ZOTERO_ITEM CSL_CITATION {"citationID":"7fs5u2phu","properties":{"formattedCitation":"[21]","plainCitation":"[21]"},"citationItems":[{"id":113,"uris":["http://zotero.org/users/1859298/items/5HHUB4HC"],"uri":["http://zotero.org/users/1859298/items/5HHUB4HC"],"itemData":{"id":113,"type":"webpage","title":"Graduated Licensing Scheme","URL":"http://mylicence.sa.gov.au/my-car-licence/graduated-licensing-scheme","author":[{"literal":"Government of South Australia"}],"accessed":{"date-parts":[["2016",5,18]]}}}],"schema":"https://github.com/citation-style-language/schema/raw/master/csl-citation.json"} </w:instrText>
      </w:r>
      <w:r w:rsidR="00A46D03">
        <w:fldChar w:fldCharType="separate"/>
      </w:r>
      <w:r w:rsidR="00C04798" w:rsidRPr="00C04798">
        <w:t>[21]</w:t>
      </w:r>
      <w:r w:rsidR="00A46D03">
        <w:fldChar w:fldCharType="end"/>
      </w:r>
      <w:r>
        <w:t>, GDL</w:t>
      </w:r>
      <w:r w:rsidR="008E1008">
        <w:t xml:space="preserve"> has evolved since its introduction in 1989. Currently YDs cannot drive between midnight and 5am (though there are exemptions </w:t>
      </w:r>
      <w:r w:rsidR="00A46D03">
        <w:fldChar w:fldCharType="begin"/>
      </w:r>
      <w:r w:rsidR="00C04798">
        <w:instrText xml:space="preserve"> ADDIN ZOTERO_ITEM CSL_CITATION {"citationID":"tra408q7m","properties":{"formattedCitation":"[22]","plainCitation":"[22]"},"citationItems":[{"id":15,"uris":["http://zotero.org/users/1859298/items/2D7WG286"],"uri":["http://zotero.org/users/1859298/items/2D7WG286"],"itemData":{"id":15,"type":"webpage","title":"GLS - The New Rules","URL":"http://mylicence.sa.gov.au/gls/the_new_rules","author":[{"literal":"Government of South Australia"}],"accessed":{"date-parts":[["2016",5,18]]}}}],"schema":"https://github.com/citation-style-language/schema/raw/master/csl-citation.json"} </w:instrText>
      </w:r>
      <w:r w:rsidR="00A46D03">
        <w:fldChar w:fldCharType="separate"/>
      </w:r>
      <w:r w:rsidR="00C04798" w:rsidRPr="00C04798">
        <w:t>[22]</w:t>
      </w:r>
      <w:r w:rsidR="00A46D03">
        <w:fldChar w:fldCharType="end"/>
      </w:r>
      <w:r w:rsidR="008E1008">
        <w:t>) and they are not permitted to carry more than one passenger aged 16-20.</w:t>
      </w:r>
    </w:p>
    <w:p w:rsidR="00291779" w:rsidRDefault="00291779" w:rsidP="00291779">
      <w:pPr>
        <w:pStyle w:val="Heading2"/>
      </w:pPr>
      <w:r>
        <w:t>Hong Kong</w:t>
      </w:r>
    </w:p>
    <w:p w:rsidR="00291779" w:rsidRDefault="00291779" w:rsidP="00291779">
      <w:r>
        <w:t xml:space="preserve">Hong Kong has a Probationary Driving Licence Scheme </w:t>
      </w:r>
      <w:r w:rsidR="00A46D03">
        <w:fldChar w:fldCharType="begin"/>
      </w:r>
      <w:r w:rsidR="00C04798">
        <w:instrText xml:space="preserve"> ADDIN ZOTERO_ITEM CSL_CITATION {"citationID":"1op8hr309u","properties":{"formattedCitation":"[23]","plainCitation":"[23]"},"citationItems":[{"id":7,"uris":["http://zotero.org/users/1859298/items/23X7D48M"],"uri":["http://zotero.org/users/1859298/items/23X7D48M"],"itemData":{"id":7,"type":"webpage","title":"Probationary Driving Licence Scheme","URL":"http://www.gov.hk/en/residents/transport/drivinglicense/pdls.htm","author":[{"literal":"GovHK"}],"issued":{"date-parts":[["2015",2]]},"accessed":{"date-parts":[["2016",5,18]]}}}],"schema":"https://github.com/citation-style-language/schema/raw/master/csl-citation.json"} </w:instrText>
      </w:r>
      <w:r w:rsidR="00A46D03">
        <w:fldChar w:fldCharType="separate"/>
      </w:r>
      <w:r w:rsidR="00C04798" w:rsidRPr="00C04798">
        <w:t>[23]</w:t>
      </w:r>
      <w:r w:rsidR="00A46D03">
        <w:fldChar w:fldCharType="end"/>
      </w:r>
      <w:r>
        <w:t xml:space="preserve">. </w:t>
      </w:r>
      <w:r w:rsidRPr="00291779">
        <w:t>All probationary driving licence holders are subject to additional driving restrictions and only eligible to apply for full driving licences after satisfactory completion of the probationary driving periods.</w:t>
      </w:r>
      <w:r>
        <w:t xml:space="preserve"> This is in place for any new learner driver, and </w:t>
      </w:r>
      <w:r w:rsidR="00917DE1">
        <w:t xml:space="preserve">includes </w:t>
      </w:r>
      <w:r>
        <w:t>the following restrictions:</w:t>
      </w:r>
    </w:p>
    <w:p w:rsidR="00291779" w:rsidRDefault="00291779" w:rsidP="00291779">
      <w:pPr>
        <w:pStyle w:val="ListParagraph"/>
        <w:numPr>
          <w:ilvl w:val="0"/>
          <w:numId w:val="43"/>
        </w:numPr>
      </w:pPr>
      <w:r>
        <w:t xml:space="preserve">They are required to display a “P” plate at the front and rear of the vehicle </w:t>
      </w:r>
    </w:p>
    <w:p w:rsidR="00291779" w:rsidRDefault="00291779" w:rsidP="00291779">
      <w:pPr>
        <w:pStyle w:val="ListParagraph"/>
        <w:numPr>
          <w:ilvl w:val="0"/>
          <w:numId w:val="43"/>
        </w:numPr>
      </w:pPr>
      <w:r>
        <w:t>They are not allowed to drive at a speed in excess of 70km/h even on roads with speed limit above 70 km/h;</w:t>
      </w:r>
    </w:p>
    <w:p w:rsidR="00291779" w:rsidRDefault="00291779" w:rsidP="00291779">
      <w:pPr>
        <w:pStyle w:val="ListParagraph"/>
        <w:numPr>
          <w:ilvl w:val="0"/>
          <w:numId w:val="43"/>
        </w:numPr>
      </w:pPr>
      <w:r>
        <w:t>They are not allowed to drive on the offside lane of expressways where there are 3 or more traffic lanes.</w:t>
      </w:r>
    </w:p>
    <w:p w:rsidR="00DC032F" w:rsidRPr="000C5A4C" w:rsidRDefault="00291779" w:rsidP="00DC032F">
      <w:pPr>
        <w:pStyle w:val="Heading2"/>
      </w:pPr>
      <w:r>
        <w:t>European Countries</w:t>
      </w:r>
    </w:p>
    <w:p w:rsidR="000C5A4C" w:rsidRDefault="00900FF5" w:rsidP="000C5A4C">
      <w:r>
        <w:t xml:space="preserve">As highlighted in section 2.3.2, the European Child Safety Alliance published report cards on 31 European countries. From their summary report </w:t>
      </w:r>
      <w:r w:rsidR="00A46D03">
        <w:fldChar w:fldCharType="begin"/>
      </w:r>
      <w:r w:rsidR="00846148">
        <w:instrText xml:space="preserve"> ADDIN ZOTERO_ITEM CSL_CITATION {"citationID":"1ieiltjvr5","properties":{"formattedCitation":"[11]","plainCitation":"[11]"},"citationItems":[{"id":2517,"uris":["http://zotero.org/users/1859298/items/26IAD7FC"],"uri":["http://zotero.org/users/1859298/items/26IAD7FC"],"itemData":{"id":2517,"type":"report","title":"Child Safety Report Card 2012: Europe Summary for 31 Countries","publisher":"European Child Safety Alliance","publisher-place":"Birmingham","event-place":"Birmingham","URL":"http://www.childsafetyeurope.org/publications/info/child-safety-report-cards-europe-summary-2012.pdf","author":[{"family":"MacKay","given":"M"},{"family":"Vincenten","given":"J"}],"issued":{"date-parts":[["2012"]]},"accessed":{"date-parts":[["2016",10,24]]}}}],"schema":"https://github.com/citation-style-language/schema/raw/master/csl-citation.json"} </w:instrText>
      </w:r>
      <w:r w:rsidR="00A46D03">
        <w:fldChar w:fldCharType="separate"/>
      </w:r>
      <w:r w:rsidR="00846148" w:rsidRPr="00846148">
        <w:t>[11]</w:t>
      </w:r>
      <w:r w:rsidR="00A46D03">
        <w:fldChar w:fldCharType="end"/>
      </w:r>
      <w:r>
        <w:t xml:space="preserve">, sixteen European countries were noted as having introduced a GDL system. </w:t>
      </w:r>
      <w:r w:rsidR="000C5A4C">
        <w:t xml:space="preserve">The sixteen European </w:t>
      </w:r>
      <w:r>
        <w:t xml:space="preserve">countries </w:t>
      </w:r>
      <w:r w:rsidR="000F6F77">
        <w:t>with a national law that requires</w:t>
      </w:r>
      <w:r>
        <w:t xml:space="preserve"> GDL</w:t>
      </w:r>
      <w:r w:rsidR="000F6F77">
        <w:t xml:space="preserve"> for new drivers, as at</w:t>
      </w:r>
      <w:r>
        <w:t xml:space="preserve"> 2011, are as follows:</w:t>
      </w:r>
    </w:p>
    <w:p w:rsidR="00291779" w:rsidRDefault="00291779" w:rsidP="00B55380">
      <w:pPr>
        <w:spacing w:before="0"/>
      </w:pPr>
    </w:p>
    <w:p w:rsidR="00B55380" w:rsidRDefault="00B55380" w:rsidP="0086274E">
      <w:pPr>
        <w:sectPr w:rsidR="00B55380" w:rsidSect="00304E0B">
          <w:type w:val="continuous"/>
          <w:pgSz w:w="11909" w:h="16834" w:code="9"/>
          <w:pgMar w:top="1440" w:right="1412" w:bottom="1440" w:left="1412" w:header="720" w:footer="720" w:gutter="0"/>
          <w:cols w:space="720"/>
          <w:noEndnote/>
          <w:titlePg/>
        </w:sectPr>
      </w:pPr>
    </w:p>
    <w:p w:rsidR="00900FF5" w:rsidRDefault="00900FF5" w:rsidP="00291779">
      <w:pPr>
        <w:pStyle w:val="ListParagraph"/>
        <w:numPr>
          <w:ilvl w:val="0"/>
          <w:numId w:val="41"/>
        </w:numPr>
        <w:spacing w:before="0"/>
        <w:ind w:left="448" w:hanging="357"/>
      </w:pPr>
      <w:r>
        <w:lastRenderedPageBreak/>
        <w:t>Austria</w:t>
      </w:r>
      <w:r w:rsidR="000F6F77">
        <w:t xml:space="preserve"> </w:t>
      </w:r>
      <w:r w:rsidR="00A46D03">
        <w:fldChar w:fldCharType="begin"/>
      </w:r>
      <w:r w:rsidR="00C04798">
        <w:instrText xml:space="preserve"> ADDIN ZOTERO_ITEM CSL_CITATION {"citationID":"9m8af1v1p","properties":{"formattedCitation":"[24]","plainCitation":"[24]"},"citationItems":[{"id":2549,"uris":["http://zotero.org/users/1859298/items/REXJ7IAS"],"uri":["http://zotero.org/users/1859298/items/REXJ7IAS"],"itemData":{"id":2549,"type":"report","title":"Child Safety Report Card 2012 - Austria","collection-title":"Child Safety Report Cards","publisher":"European Child Safety Alliance","publisher-place":"Birmingham","event-place":"Birmingham","URL":"http://www.childsafetyeurope.org/reportcards/info/austria-report-card.pdf","author":[{"family":"MacKay","given":"M"},{"family":"Vincenten","given":"J"}],"issued":{"date-parts":[["2012",11,6]]},"accessed":{"date-parts":[["2016",10,26]]}}}],"schema":"https://github.com/citation-style-language/schema/raw/master/csl-citation.json"} </w:instrText>
      </w:r>
      <w:r w:rsidR="00A46D03">
        <w:fldChar w:fldCharType="separate"/>
      </w:r>
      <w:r w:rsidR="00C04798" w:rsidRPr="00C04798">
        <w:t>[24]</w:t>
      </w:r>
      <w:r w:rsidR="00A46D03">
        <w:fldChar w:fldCharType="end"/>
      </w:r>
    </w:p>
    <w:p w:rsidR="00900FF5" w:rsidRDefault="00900FF5" w:rsidP="00291779">
      <w:pPr>
        <w:pStyle w:val="ListParagraph"/>
        <w:numPr>
          <w:ilvl w:val="0"/>
          <w:numId w:val="41"/>
        </w:numPr>
        <w:spacing w:before="0"/>
        <w:ind w:left="448" w:hanging="357"/>
      </w:pPr>
      <w:r>
        <w:t>Belgium</w:t>
      </w:r>
      <w:r w:rsidR="000F6F77">
        <w:t xml:space="preserve"> </w:t>
      </w:r>
      <w:r w:rsidR="00A46D03">
        <w:fldChar w:fldCharType="begin"/>
      </w:r>
      <w:r w:rsidR="00C04798">
        <w:instrText xml:space="preserve"> ADDIN ZOTERO_ITEM CSL_CITATION {"citationID":"2it2k2735r","properties":{"formattedCitation":"[25]","plainCitation":"[25]"},"citationItems":[{"id":2550,"uris":["http://zotero.org/users/1859298/items/B525Z8ZJ"],"uri":["http://zotero.org/users/1859298/items/B525Z8ZJ"],"itemData":{"id":2550,"type":"report","title":"Child Safety Report Card 2012 - Belgium","collection-title":"Child Safety Report Cards","publisher":"European Child Safety Alliance","publisher-place":"Birmingham","event-place":"Birmingham","URL":"http://www.childsafetyeurope.org/reportcards/info/belgium-report-card.pdf","author":[{"family":"MacKay","given":"M"},{"family":"Vincenten","given":"J"}],"issued":{"date-parts":[["2012",11,6]]},"accessed":{"date-parts":[["2016",10,26]]}}}],"schema":"https://github.com/citation-style-language/schema/raw/master/csl-citation.json"} </w:instrText>
      </w:r>
      <w:r w:rsidR="00A46D03">
        <w:fldChar w:fldCharType="separate"/>
      </w:r>
      <w:r w:rsidR="00C04798" w:rsidRPr="00C04798">
        <w:t>[25]</w:t>
      </w:r>
      <w:r w:rsidR="00A46D03">
        <w:fldChar w:fldCharType="end"/>
      </w:r>
    </w:p>
    <w:p w:rsidR="00900FF5" w:rsidRDefault="000F6F77" w:rsidP="00291779">
      <w:pPr>
        <w:pStyle w:val="ListParagraph"/>
        <w:numPr>
          <w:ilvl w:val="0"/>
          <w:numId w:val="41"/>
        </w:numPr>
        <w:spacing w:before="0"/>
        <w:ind w:left="448" w:hanging="357"/>
      </w:pPr>
      <w:r>
        <w:t xml:space="preserve">Finland </w:t>
      </w:r>
      <w:r w:rsidR="00A46D03">
        <w:fldChar w:fldCharType="begin"/>
      </w:r>
      <w:r w:rsidR="00C04798">
        <w:instrText xml:space="preserve"> ADDIN ZOTERO_ITEM CSL_CITATION {"citationID":"2bkn5tuuio","properties":{"formattedCitation":"[26]","plainCitation":"[26]"},"citationItems":[{"id":2551,"uris":["http://zotero.org/users/1859298/items/ZMAWRR9S"],"uri":["http://zotero.org/users/1859298/items/ZMAWRR9S"],"itemData":{"id":2551,"type":"report","title":"Child Safety Report Card 2012 - Finland","collection-title":"Child Safety Report Cards","publisher":"European Child Safety Alliance","publisher-place":"Birmingham","event-place":"Birmingham","URL":"http://www.childsafetyeurope.org/reportcards/info/finland-report-card.pdf","author":[{"family":"MacKay","given":"M"},{"family":"Vincenten","given":"J"}],"issued":{"date-parts":[["2012",11,6]]},"accessed":{"date-parts":[["2016",10,26]]}}}],"schema":"https://github.com/citation-style-language/schema/raw/master/csl-citation.json"} </w:instrText>
      </w:r>
      <w:r w:rsidR="00A46D03">
        <w:fldChar w:fldCharType="separate"/>
      </w:r>
      <w:r w:rsidR="00C04798" w:rsidRPr="00C04798">
        <w:t>[26]</w:t>
      </w:r>
      <w:r w:rsidR="00A46D03">
        <w:fldChar w:fldCharType="end"/>
      </w:r>
    </w:p>
    <w:p w:rsidR="000F6F77" w:rsidRDefault="000F6F77" w:rsidP="00291779">
      <w:pPr>
        <w:pStyle w:val="ListParagraph"/>
        <w:numPr>
          <w:ilvl w:val="0"/>
          <w:numId w:val="41"/>
        </w:numPr>
        <w:spacing w:before="0"/>
        <w:ind w:left="448" w:hanging="357"/>
      </w:pPr>
      <w:r>
        <w:t xml:space="preserve">France </w:t>
      </w:r>
      <w:r w:rsidR="00A46D03">
        <w:fldChar w:fldCharType="begin"/>
      </w:r>
      <w:r w:rsidR="00C04798">
        <w:instrText xml:space="preserve"> ADDIN ZOTERO_ITEM CSL_CITATION {"citationID":"frtjq8aas","properties":{"formattedCitation":"[27]","plainCitation":"[27]"},"citationItems":[{"id":2552,"uris":["http://zotero.org/users/1859298/items/XKWP25UU"],"uri":["http://zotero.org/users/1859298/items/XKWP25UU"],"itemData":{"id":2552,"type":"report","title":"Child Safety Report Card 2012 - France","collection-title":"Child Safety Report Cards","publisher":"European Child Safety Alliance","publisher-place":"Birmingham","event-place":"Birmingham","URL":"http://www.childsafetyeurope.org/reportcards/info/france-report-card.pdf","author":[{"family":"MacKay","given":"M"},{"family":"Vincenten","given":"J"}],"issued":{"date-parts":[["2012",11,6]]},"accessed":{"date-parts":[["2016",10,26]]}}}],"schema":"https://github.com/citation-style-language/schema/raw/master/csl-citation.json"} </w:instrText>
      </w:r>
      <w:r w:rsidR="00A46D03">
        <w:fldChar w:fldCharType="separate"/>
      </w:r>
      <w:r w:rsidR="00C04798" w:rsidRPr="00C04798">
        <w:t>[27]</w:t>
      </w:r>
      <w:r w:rsidR="00A46D03">
        <w:fldChar w:fldCharType="end"/>
      </w:r>
    </w:p>
    <w:p w:rsidR="000F6F77" w:rsidRDefault="000F6F77" w:rsidP="00291779">
      <w:pPr>
        <w:pStyle w:val="ListParagraph"/>
        <w:numPr>
          <w:ilvl w:val="0"/>
          <w:numId w:val="41"/>
        </w:numPr>
        <w:spacing w:before="0"/>
        <w:ind w:left="448" w:hanging="357"/>
      </w:pPr>
      <w:r>
        <w:t xml:space="preserve">Germany </w:t>
      </w:r>
      <w:r w:rsidR="00A46D03">
        <w:fldChar w:fldCharType="begin"/>
      </w:r>
      <w:r w:rsidR="00C04798">
        <w:instrText xml:space="preserve"> ADDIN ZOTERO_ITEM CSL_CITATION {"citationID":"1qndgcokhp","properties":{"formattedCitation":"[28]","plainCitation":"[28]"},"citationItems":[{"id":2553,"uris":["http://zotero.org/users/1859298/items/SPUV39K4"],"uri":["http://zotero.org/users/1859298/items/SPUV39K4"],"itemData":{"id":2553,"type":"report","title":"Child Safety Report Card 2012 - Germany","collection-title":"Child Safety Report Cards","publisher":"European Child Safety Alliance","publisher-place":"Birmingham","event-place":"Birmingham","URL":"http://www.childsafetyeurope.org/reportcards/info/germany-report-card.pdf","author":[{"family":"MacKay","given":"M"},{"family":"Vincenten","given":"J"}],"issued":{"date-parts":[["2012",11,6]]},"accessed":{"date-parts":[["2016",10,26]]}}}],"schema":"https://github.com/citation-style-language/schema/raw/master/csl-citation.json"} </w:instrText>
      </w:r>
      <w:r w:rsidR="00A46D03">
        <w:fldChar w:fldCharType="separate"/>
      </w:r>
      <w:r w:rsidR="00C04798" w:rsidRPr="00C04798">
        <w:t>[28]</w:t>
      </w:r>
      <w:r w:rsidR="00A46D03">
        <w:fldChar w:fldCharType="end"/>
      </w:r>
    </w:p>
    <w:p w:rsidR="000F6F77" w:rsidRDefault="000F6F77" w:rsidP="00291779">
      <w:pPr>
        <w:pStyle w:val="ListParagraph"/>
        <w:numPr>
          <w:ilvl w:val="0"/>
          <w:numId w:val="41"/>
        </w:numPr>
        <w:spacing w:before="0"/>
        <w:ind w:left="448" w:hanging="357"/>
      </w:pPr>
      <w:r>
        <w:t>Hungary</w:t>
      </w:r>
      <w:r w:rsidR="00B55380">
        <w:rPr>
          <w:vertAlign w:val="superscript"/>
        </w:rPr>
        <w:t>*</w:t>
      </w:r>
      <w:r>
        <w:t xml:space="preserve"> </w:t>
      </w:r>
      <w:r w:rsidR="00A46D03">
        <w:fldChar w:fldCharType="begin"/>
      </w:r>
      <w:r w:rsidR="00C04798">
        <w:instrText xml:space="preserve"> ADDIN ZOTERO_ITEM CSL_CITATION {"citationID":"11vj2rptgh","properties":{"formattedCitation":"[29]","plainCitation":"[29]"},"citationItems":[{"id":2554,"uris":["http://zotero.org/users/1859298/items/KTKD9NHW"],"uri":["http://zotero.org/users/1859298/items/KTKD9NHW"],"itemData":{"id":2554,"type":"report","title":"Child Safety Report Card 2012 - Hungary","collection-title":"Child Safety Report Cards","publisher":"European Child Safety Alliance","publisher-place":"Birmingham","event-place":"Birmingham","URL":"http://www.childsafetyeurope.org/reportcards/info/hungary-report-card.pdf","author":[{"family":"MacKay","given":"M"},{"family":"Vincenten","given":"J"}],"issued":{"date-parts":[["2012",11,6]]},"accessed":{"date-parts":[["2016",10,26]]}}}],"schema":"https://github.com/citation-style-language/schema/raw/master/csl-citation.json"} </w:instrText>
      </w:r>
      <w:r w:rsidR="00A46D03">
        <w:fldChar w:fldCharType="separate"/>
      </w:r>
      <w:r w:rsidR="00C04798" w:rsidRPr="00C04798">
        <w:t>[29]</w:t>
      </w:r>
      <w:r w:rsidR="00A46D03">
        <w:fldChar w:fldCharType="end"/>
      </w:r>
    </w:p>
    <w:p w:rsidR="000F6F77" w:rsidRDefault="000F6F77" w:rsidP="00291779">
      <w:pPr>
        <w:pStyle w:val="ListParagraph"/>
        <w:numPr>
          <w:ilvl w:val="0"/>
          <w:numId w:val="41"/>
        </w:numPr>
        <w:spacing w:before="0"/>
        <w:ind w:left="448" w:hanging="357"/>
      </w:pPr>
      <w:r>
        <w:t xml:space="preserve">Iceland </w:t>
      </w:r>
      <w:r w:rsidR="00A46D03">
        <w:fldChar w:fldCharType="begin"/>
      </w:r>
      <w:r w:rsidR="00C04798">
        <w:instrText xml:space="preserve"> ADDIN ZOTERO_ITEM CSL_CITATION {"citationID":"1rbc90h5f3","properties":{"formattedCitation":"[30]","plainCitation":"[30]"},"citationItems":[{"id":2555,"uris":["http://zotero.org/users/1859298/items/8RVGTI7F"],"uri":["http://zotero.org/users/1859298/items/8RVGTI7F"],"itemData":{"id":2555,"type":"report","title":"Child Safety Report Card 2012 - Iceland","collection-title":"Child Safety Report Cards","publisher":"European Child Safety Alliance","publisher-place":"Birmingham","event-place":"Birmingham","URL":"http://www.childsafetyeurope.org/reportcards/info/iceland-report-card.pdf","author":[{"family":"MacKay","given":"M"},{"family":"Vincenten","given":"J"}],"issued":{"date-parts":[["2012",11,6]]},"accessed":{"date-parts":[["2016",10,26]]}}}],"schema":"https://github.com/citation-style-language/schema/raw/master/csl-citation.json"} </w:instrText>
      </w:r>
      <w:r w:rsidR="00A46D03">
        <w:fldChar w:fldCharType="separate"/>
      </w:r>
      <w:r w:rsidR="00C04798" w:rsidRPr="00C04798">
        <w:t>[30]</w:t>
      </w:r>
      <w:r w:rsidR="00A46D03">
        <w:fldChar w:fldCharType="end"/>
      </w:r>
    </w:p>
    <w:p w:rsidR="0086274E" w:rsidRDefault="0086274E" w:rsidP="00291779">
      <w:pPr>
        <w:pStyle w:val="ListParagraph"/>
        <w:numPr>
          <w:ilvl w:val="0"/>
          <w:numId w:val="41"/>
        </w:numPr>
        <w:spacing w:before="0"/>
        <w:ind w:left="448" w:hanging="357"/>
      </w:pPr>
      <w:r>
        <w:lastRenderedPageBreak/>
        <w:t>Ireland</w:t>
      </w:r>
      <w:r w:rsidR="00B55380">
        <w:rPr>
          <w:vertAlign w:val="superscript"/>
        </w:rPr>
        <w:t>*</w:t>
      </w:r>
      <w:r>
        <w:t xml:space="preserve"> </w:t>
      </w:r>
      <w:r w:rsidR="00A46D03">
        <w:fldChar w:fldCharType="begin"/>
      </w:r>
      <w:r w:rsidR="00C04798">
        <w:instrText xml:space="preserve"> ADDIN ZOTERO_ITEM CSL_CITATION {"citationID":"7566jftsj","properties":{"formattedCitation":"[31]","plainCitation":"[31]"},"citationItems":[{"id":2557,"uris":["http://zotero.org/users/1859298/items/F5QZZXJQ"],"uri":["http://zotero.org/users/1859298/items/F5QZZXJQ"],"itemData":{"id":2557,"type":"report","title":"Child Safety Report Card 2012 - Ireland","collection-title":"Child Safety Report Cards","publisher":"European Child Safety Alliance","publisher-place":"Birmingham","event-place":"Birmingham","URL":"http://www.childsafetyeurope.org/reportcards/info/ireland-report-card.pdf","author":[{"family":"MacKay","given":"M"},{"family":"Vincenten","given":"J"}],"issued":{"date-parts":[["2012",11,6]]},"accessed":{"date-parts":[["2016",10,26]]}}}],"schema":"https://github.com/citation-style-language/schema/raw/master/csl-citation.json"} </w:instrText>
      </w:r>
      <w:r w:rsidR="00A46D03">
        <w:fldChar w:fldCharType="separate"/>
      </w:r>
      <w:r w:rsidR="00C04798" w:rsidRPr="00C04798">
        <w:t>[31]</w:t>
      </w:r>
      <w:r w:rsidR="00A46D03">
        <w:fldChar w:fldCharType="end"/>
      </w:r>
    </w:p>
    <w:p w:rsidR="0086274E" w:rsidRDefault="0086274E" w:rsidP="00291779">
      <w:pPr>
        <w:pStyle w:val="ListParagraph"/>
        <w:numPr>
          <w:ilvl w:val="0"/>
          <w:numId w:val="41"/>
        </w:numPr>
        <w:spacing w:before="0"/>
        <w:ind w:left="448" w:hanging="357"/>
      </w:pPr>
      <w:r>
        <w:t xml:space="preserve">Italy </w:t>
      </w:r>
      <w:r w:rsidR="00A46D03">
        <w:fldChar w:fldCharType="begin"/>
      </w:r>
      <w:r w:rsidR="00C04798">
        <w:instrText xml:space="preserve"> ADDIN ZOTERO_ITEM CSL_CITATION {"citationID":"2cqbccc8cr","properties":{"formattedCitation":"[32]","plainCitation":"[32]"},"citationItems":[{"id":2558,"uris":["http://zotero.org/users/1859298/items/B5PTRMWG"],"uri":["http://zotero.org/users/1859298/items/B5PTRMWG"],"itemData":{"id":2558,"type":"report","title":"Child Safety Report Card 2012 - Italy","collection-title":"Child Safety Report Cards","publisher":"European Child Safety Alliance","publisher-place":"Birmingham","event-place":"Birmingham","URL":"http://www.childsafetyeurope.org/reportcards/info/italy-report-card.pdf","author":[{"family":"MacKay","given":"M"},{"family":"Vincenten","given":"J"}],"issued":{"date-parts":[["2012",11,6]]},"accessed":{"date-parts":[["2016",10,26]]}}}],"schema":"https://github.com/citation-style-language/schema/raw/master/csl-citation.json"} </w:instrText>
      </w:r>
      <w:r w:rsidR="00A46D03">
        <w:fldChar w:fldCharType="separate"/>
      </w:r>
      <w:r w:rsidR="00C04798" w:rsidRPr="00C04798">
        <w:t>[32]</w:t>
      </w:r>
      <w:r w:rsidR="00A46D03">
        <w:fldChar w:fldCharType="end"/>
      </w:r>
    </w:p>
    <w:p w:rsidR="0086274E" w:rsidRDefault="0086274E" w:rsidP="00291779">
      <w:pPr>
        <w:pStyle w:val="ListParagraph"/>
        <w:numPr>
          <w:ilvl w:val="0"/>
          <w:numId w:val="41"/>
        </w:numPr>
        <w:spacing w:before="0"/>
        <w:ind w:left="448" w:hanging="357"/>
      </w:pPr>
      <w:r>
        <w:t xml:space="preserve">Latvia </w:t>
      </w:r>
      <w:r w:rsidR="00A46D03">
        <w:fldChar w:fldCharType="begin"/>
      </w:r>
      <w:r w:rsidR="00C04798">
        <w:instrText xml:space="preserve"> ADDIN ZOTERO_ITEM CSL_CITATION {"citationID":"2tkfe2m7g","properties":{"formattedCitation":"[33]","plainCitation":"[33]"},"citationItems":[{"id":2559,"uris":["http://zotero.org/users/1859298/items/TS8PH66D"],"uri":["http://zotero.org/users/1859298/items/TS8PH66D"],"itemData":{"id":2559,"type":"report","title":"Child Safety Report Card 2012 - Latvia","collection-title":"Child Safety Report Cards","publisher":"European Child Safety Alliance","publisher-place":"Birmingham","event-place":"Birmingham","URL":"http://www.childsafetyeurope.org/reportcards/info/latvia-report-card.pdf","author":[{"family":"MacKay","given":"M"},{"family":"Vincenten","given":"J"}],"issued":{"date-parts":[["2012",11,6]]},"accessed":{"date-parts":[["2016",10,26]]}}}],"schema":"https://github.com/citation-style-language/schema/raw/master/csl-citation.json"} </w:instrText>
      </w:r>
      <w:r w:rsidR="00A46D03">
        <w:fldChar w:fldCharType="separate"/>
      </w:r>
      <w:r w:rsidR="00C04798" w:rsidRPr="00C04798">
        <w:t>[33]</w:t>
      </w:r>
      <w:r w:rsidR="00A46D03">
        <w:fldChar w:fldCharType="end"/>
      </w:r>
    </w:p>
    <w:p w:rsidR="0086274E" w:rsidRDefault="003C07F4" w:rsidP="00291779">
      <w:pPr>
        <w:pStyle w:val="ListParagraph"/>
        <w:numPr>
          <w:ilvl w:val="0"/>
          <w:numId w:val="41"/>
        </w:numPr>
        <w:spacing w:before="0"/>
        <w:ind w:left="448" w:hanging="357"/>
      </w:pPr>
      <w:r>
        <w:t xml:space="preserve">Luxembourg </w:t>
      </w:r>
      <w:r w:rsidR="00A46D03">
        <w:fldChar w:fldCharType="begin"/>
      </w:r>
      <w:r w:rsidR="00C04798">
        <w:instrText xml:space="preserve"> ADDIN ZOTERO_ITEM CSL_CITATION {"citationID":"17aa3d7gk1","properties":{"formattedCitation":"[34]","plainCitation":"[34]"},"citationItems":[{"id":2560,"uris":["http://zotero.org/users/1859298/items/RIAGBFA3"],"uri":["http://zotero.org/users/1859298/items/RIAGBFA3"],"itemData":{"id":2560,"type":"report","title":"Child Safety Report Card 2012 - Luxembourg","collection-title":"Child Safety Report Cards","publisher":"European Child Safety Alliance","publisher-place":"Birmingham","event-place":"Birmingham","URL":"http://www.childsafetyeurope.org/reportcards/info/luxembourg-report-card.pdf","author":[{"family":"MacKay","given":"M"},{"family":"Vincenten","given":"J"}],"issued":{"date-parts":[["2012",11,6]]},"accessed":{"date-parts":[["2016",10,26]]}}}],"schema":"https://github.com/citation-style-language/schema/raw/master/csl-citation.json"} </w:instrText>
      </w:r>
      <w:r w:rsidR="00A46D03">
        <w:fldChar w:fldCharType="separate"/>
      </w:r>
      <w:r w:rsidR="00C04798" w:rsidRPr="00C04798">
        <w:t>[34]</w:t>
      </w:r>
      <w:r w:rsidR="00A46D03">
        <w:fldChar w:fldCharType="end"/>
      </w:r>
    </w:p>
    <w:p w:rsidR="003C07F4" w:rsidRDefault="003C07F4" w:rsidP="00291779">
      <w:pPr>
        <w:pStyle w:val="ListParagraph"/>
        <w:numPr>
          <w:ilvl w:val="0"/>
          <w:numId w:val="41"/>
        </w:numPr>
        <w:spacing w:before="0"/>
        <w:ind w:left="448" w:hanging="357"/>
      </w:pPr>
      <w:r>
        <w:t xml:space="preserve">Poland </w:t>
      </w:r>
      <w:r w:rsidR="00A46D03">
        <w:fldChar w:fldCharType="begin"/>
      </w:r>
      <w:r w:rsidR="00C04798">
        <w:instrText xml:space="preserve"> ADDIN ZOTERO_ITEM CSL_CITATION {"citationID":"2oua26196k","properties":{"formattedCitation":"[35]","plainCitation":"[35]"},"citationItems":[{"id":2561,"uris":["http://zotero.org/users/1859298/items/ZDMH59VB"],"uri":["http://zotero.org/users/1859298/items/ZDMH59VB"],"itemData":{"id":2561,"type":"report","title":"Child Safety Report Card 2012 - Poland","collection-title":"Child Safety Report Cards","publisher":"European Child Safety Alliance","publisher-place":"Birmingham","event-place":"Birmingham","URL":"http://www.childsafetyeurope.org/reportcards/info/poland-report-card.pdf","author":[{"family":"MacKay","given":"M"},{"family":"Vincenten","given":"J"}],"issued":{"date-parts":[["2012",11,6]]},"accessed":{"date-parts":[["2016",10,26]]}}}],"schema":"https://github.com/citation-style-language/schema/raw/master/csl-citation.json"} </w:instrText>
      </w:r>
      <w:r w:rsidR="00A46D03">
        <w:fldChar w:fldCharType="separate"/>
      </w:r>
      <w:r w:rsidR="00C04798" w:rsidRPr="00C04798">
        <w:t>[35]</w:t>
      </w:r>
      <w:r w:rsidR="00A46D03">
        <w:fldChar w:fldCharType="end"/>
      </w:r>
    </w:p>
    <w:p w:rsidR="003C07F4" w:rsidRPr="003C07F4" w:rsidRDefault="003C07F4" w:rsidP="00291779">
      <w:pPr>
        <w:pStyle w:val="ListParagraph"/>
        <w:numPr>
          <w:ilvl w:val="0"/>
          <w:numId w:val="41"/>
        </w:numPr>
        <w:spacing w:before="0"/>
        <w:ind w:left="448" w:hanging="357"/>
      </w:pPr>
      <w:r>
        <w:t>Portugal</w:t>
      </w:r>
      <w:r>
        <w:rPr>
          <w:vertAlign w:val="superscript"/>
        </w:rPr>
        <w:t xml:space="preserve">* </w:t>
      </w:r>
      <w:r w:rsidR="00A46D03">
        <w:rPr>
          <w:vertAlign w:val="superscript"/>
        </w:rPr>
        <w:fldChar w:fldCharType="begin"/>
      </w:r>
      <w:r w:rsidR="00C04798">
        <w:rPr>
          <w:vertAlign w:val="superscript"/>
        </w:rPr>
        <w:instrText xml:space="preserve"> ADDIN ZOTERO_ITEM CSL_CITATION {"citationID":"1o3n909ote","properties":{"formattedCitation":"[36]","plainCitation":"[36]"},"citationItems":[{"id":2562,"uris":["http://zotero.org/users/1859298/items/VW5I6NZX"],"uri":["http://zotero.org/users/1859298/items/VW5I6NZX"],"itemData":{"id":2562,"type":"report","title":"Child Safety Report Card 2012 - Portugal","collection-title":"Child Safety Report Cards","publisher":"European Child Safety Alliance","publisher-place":"Birmingham","event-place":"Birmingham","URL":"http://www.childsafetyeurope.org/reportcards/info/portugal-report-card-en.pdf","author":[{"family":"MacKay","given":"M"},{"family":"Vincenten","given":"J"}],"issued":{"date-parts":[["2012",11,6]]},"accessed":{"date-parts":[["2016",10,26]]}}}],"schema":"https://github.com/citation-style-language/schema/raw/master/csl-citation.json"} </w:instrText>
      </w:r>
      <w:r w:rsidR="00A46D03">
        <w:rPr>
          <w:vertAlign w:val="superscript"/>
        </w:rPr>
        <w:fldChar w:fldCharType="separate"/>
      </w:r>
      <w:r w:rsidR="00C04798" w:rsidRPr="00C04798">
        <w:t>[36]</w:t>
      </w:r>
      <w:r w:rsidR="00A46D03">
        <w:rPr>
          <w:vertAlign w:val="superscript"/>
        </w:rPr>
        <w:fldChar w:fldCharType="end"/>
      </w:r>
    </w:p>
    <w:p w:rsidR="00291779" w:rsidRDefault="003C07F4" w:rsidP="00291779">
      <w:pPr>
        <w:pStyle w:val="ListParagraph"/>
        <w:numPr>
          <w:ilvl w:val="0"/>
          <w:numId w:val="41"/>
        </w:numPr>
        <w:spacing w:before="0"/>
        <w:ind w:left="448" w:hanging="357"/>
      </w:pPr>
      <w:r>
        <w:t>Slovenia</w:t>
      </w:r>
      <w:r w:rsidR="00A46D03">
        <w:fldChar w:fldCharType="begin"/>
      </w:r>
      <w:r w:rsidR="00C04798">
        <w:instrText xml:space="preserve"> ADDIN ZOTERO_ITEM CSL_CITATION {"citationID":"1t7734tpkj","properties":{"formattedCitation":"[37]","plainCitation":"[37]"},"citationItems":[{"id":2563,"uris":["http://zotero.org/users/1859298/items/RRA5WEQZ"],"uri":["http://zotero.org/users/1859298/items/RRA5WEQZ"],"itemData":{"id":2563,"type":"report","title":"Child Safety Report Card 2012 - Slovenia","collection-title":"Child Safety Report Cards","publisher":"European Child Safety Alliance","publisher-place":"Birmingham","event-place":"Birmingham","URL":"http://www.childsafetyeurope.org/reportcards/info/slovenia-report-card.pdf","author":[{"family":"MacKay","given":"M"},{"family":"Vincenten","given":"J"}],"issued":{"date-parts":[["2012",11,6]]},"accessed":{"date-parts":[["2016",10,26]]}}}],"schema":"https://github.com/citation-style-language/schema/raw/master/csl-citation.json"} </w:instrText>
      </w:r>
      <w:r w:rsidR="00A46D03">
        <w:fldChar w:fldCharType="separate"/>
      </w:r>
      <w:r w:rsidR="00C04798" w:rsidRPr="00C04798">
        <w:t>[37]</w:t>
      </w:r>
      <w:r w:rsidR="00A46D03">
        <w:fldChar w:fldCharType="end"/>
      </w:r>
    </w:p>
    <w:p w:rsidR="00B55380" w:rsidRDefault="00B55380" w:rsidP="00B55380">
      <w:pPr>
        <w:spacing w:before="0"/>
        <w:sectPr w:rsidR="00B55380" w:rsidSect="00291779">
          <w:type w:val="continuous"/>
          <w:pgSz w:w="11909" w:h="16834" w:code="9"/>
          <w:pgMar w:top="1440" w:right="1412" w:bottom="1440" w:left="1412" w:header="720" w:footer="720" w:gutter="0"/>
          <w:cols w:num="2" w:space="720"/>
          <w:noEndnote/>
          <w:titlePg/>
        </w:sectPr>
      </w:pPr>
    </w:p>
    <w:p w:rsidR="00B55380" w:rsidRDefault="00B55380" w:rsidP="00B55380">
      <w:pPr>
        <w:spacing w:before="0"/>
      </w:pPr>
    </w:p>
    <w:p w:rsidR="00B55380" w:rsidRDefault="00B55380" w:rsidP="00B55380">
      <w:pPr>
        <w:spacing w:before="0"/>
        <w:jc w:val="left"/>
        <w:sectPr w:rsidR="00B55380" w:rsidSect="00B55380">
          <w:type w:val="continuous"/>
          <w:pgSz w:w="11909" w:h="16834" w:code="9"/>
          <w:pgMar w:top="1440" w:right="1412" w:bottom="1440" w:left="1412" w:header="720" w:footer="720" w:gutter="0"/>
          <w:cols w:space="720"/>
          <w:noEndnote/>
          <w:titlePg/>
        </w:sectPr>
      </w:pPr>
      <w:r w:rsidRPr="00B55380">
        <w:rPr>
          <w:vertAlign w:val="superscript"/>
        </w:rPr>
        <w:t>*</w:t>
      </w:r>
      <w:r w:rsidRPr="00B55380">
        <w:rPr>
          <w:sz w:val="20"/>
        </w:rPr>
        <w:t>defined within the report card as ‘Existing, clearly stated but only partly implemented or enforced’</w:t>
      </w:r>
    </w:p>
    <w:p w:rsidR="00890230" w:rsidRDefault="00890230">
      <w:pPr>
        <w:spacing w:before="0"/>
        <w:jc w:val="left"/>
        <w:rPr>
          <w:b/>
          <w:kern w:val="28"/>
          <w:sz w:val="32"/>
        </w:rPr>
      </w:pPr>
      <w:r>
        <w:lastRenderedPageBreak/>
        <w:br w:type="page"/>
      </w:r>
    </w:p>
    <w:p w:rsidR="00D2234A" w:rsidRDefault="00D4115C" w:rsidP="00E13F73">
      <w:pPr>
        <w:pStyle w:val="Heading1"/>
      </w:pPr>
      <w:r>
        <w:lastRenderedPageBreak/>
        <w:t>Alternative Options</w:t>
      </w:r>
    </w:p>
    <w:p w:rsidR="00986E07" w:rsidRDefault="00D4115C">
      <w:r>
        <w:t xml:space="preserve">There are a number of other potential legislative options that could enhance road safety and injury prevention. </w:t>
      </w:r>
    </w:p>
    <w:p w:rsidR="00D2234A" w:rsidRDefault="00D4115C" w:rsidP="00D2234A">
      <w:pPr>
        <w:pStyle w:val="Heading2"/>
      </w:pPr>
      <w:r>
        <w:t xml:space="preserve">Increasing </w:t>
      </w:r>
      <w:r w:rsidR="006E5AC2">
        <w:t>learner driver a</w:t>
      </w:r>
      <w:r>
        <w:t>ge</w:t>
      </w:r>
    </w:p>
    <w:p w:rsidR="00D4115C" w:rsidRDefault="00D4115C" w:rsidP="00D2234A">
      <w:pPr>
        <w:pStyle w:val="NoSpacing"/>
      </w:pPr>
    </w:p>
    <w:p w:rsidR="00D4115C" w:rsidRDefault="000514BF" w:rsidP="00D2234A">
      <w:pPr>
        <w:pStyle w:val="NoSpacing"/>
      </w:pPr>
      <w:r w:rsidRPr="000514BF">
        <w:rPr>
          <w:b/>
        </w:rPr>
        <w:t>Legislative Competence</w:t>
      </w:r>
      <w:r w:rsidR="00D4115C">
        <w:t>: United Kingdom</w:t>
      </w:r>
    </w:p>
    <w:p w:rsidR="006E5AC2" w:rsidRDefault="006E5AC2" w:rsidP="006E5AC2">
      <w:r>
        <w:t xml:space="preserve">Age and inexperience are the key underlying factors in young driver crash risk and one of the ways in which GDL works is to delay the age at which a full licence is obtained. An alternative therefore is merely to </w:t>
      </w:r>
      <w:proofErr w:type="gramStart"/>
      <w:r>
        <w:t>raise</w:t>
      </w:r>
      <w:proofErr w:type="gramEnd"/>
      <w:r>
        <w:t xml:space="preserve"> the learner driver age. Evidence suggests that, in areas where the learner age is 16 years, a delay to 16.5 years reduces fatal crashes by 7%; a delay to 17 years is associated with a 13% reduction </w:t>
      </w:r>
      <w:r w:rsidR="00A46D03">
        <w:fldChar w:fldCharType="begin"/>
      </w:r>
      <w:r w:rsidR="00C04798">
        <w:instrText xml:space="preserve"> ADDIN ZOTERO_ITEM CSL_CITATION {"citationID":"h563nlmht","properties":{"formattedCitation":"[38]","plainCitation":"[38]"},"citationItems":[{"id":2536,"uris":["http://zotero.org/users/1859298/items/4GAS6TGD"],"uri":["http://zotero.org/users/1859298/items/4GAS6TGD"],"itemData":{"id":2536,"type":"article-journal","title":"Effects of age and experience on young driver crashes: review of recent literature","container-title":"Traffic Injury Prevention","page":"209-219","volume":"10","issue":"3","source":"PubMed","abstract":"OBJECTIVE: Although both youth and inexperience contribute to the elevated crash rates of teenage drivers, the relative contribution of these factors has not been firmly established.\nMETHODS: A review was undertaken of eleven recent (1990 or newer) studies that tried to separate the crash effects of age and experience, represented by length of licensure.\nRESULTS: The weight of evidence is that age and experience have important, independent effects on crash risk, even after differences in driving mileage are accounted for. The studies consistently found that teenage drivers had dramatically higher crash rates than older drivers, particularly drivers older than 25, after controlling for length of licensure. Studies that distinguished 16-year-olds found that crash rates for novice 16-year-olds were higher than rates for novice 17-year-olds, but crash rates for novice 17-year-olds were not consistently higher than rates for novice 18- to 19-year-olds. With regard to experience, the weight of evidence suggests a steep learning curve among drivers of all ages, particularly teenagers, and strong benefits from longer licensure. Of the studies that attempted to quantify the relative importance of age and experience factors, most found a more powerful effect from length of licensure.\nCONCLUSIONS: The findings lend support to delaying licensure among teenagers in the United States, where licensure commonly is allowed at age 16, and to graduated licensing systems that phase in unsupervised driving during high-risk situations as teenagers gain independent driving experience.","DOI":"10.1080/15389580802677807","ISSN":"1538-957X","note":"PMID: 19452361","shortTitle":"Effects of age and experience on young driver crashes","journalAbbreviation":"Traffic Inj Prev","language":"ENG","author":[{"family":"McCartt","given":"Anne T."},{"family":"Mayhew","given":"Daniel R."},{"family":"Braitman","given":"Keli A."},{"family":"Ferguson","given":"Susan A."},{"family":"Simpson","given":"Herbert M."}],"issued":{"date-parts":[["2009",6]]},"PMID":"19452361"}}],"schema":"https://github.com/citation-style-language/schema/raw/master/csl-citation.json"} </w:instrText>
      </w:r>
      <w:r w:rsidR="00A46D03">
        <w:fldChar w:fldCharType="separate"/>
      </w:r>
      <w:r w:rsidR="00C04798" w:rsidRPr="00C04798">
        <w:t>[38]</w:t>
      </w:r>
      <w:r w:rsidR="00A46D03">
        <w:fldChar w:fldCharType="end"/>
      </w:r>
      <w:r>
        <w:t xml:space="preserve">. In the UK, </w:t>
      </w:r>
      <w:proofErr w:type="spellStart"/>
      <w:r>
        <w:t>Kinnear</w:t>
      </w:r>
      <w:proofErr w:type="spellEnd"/>
      <w:r>
        <w:t xml:space="preserve"> et al</w:t>
      </w:r>
      <w:r w:rsidR="00614545">
        <w:t xml:space="preserve"> </w:t>
      </w:r>
      <w:r w:rsidR="00A46D03">
        <w:fldChar w:fldCharType="begin"/>
      </w:r>
      <w:r w:rsidR="00C04798">
        <w:instrText xml:space="preserve"> ADDIN ZOTERO_ITEM CSL_CITATION {"citationID":"29be570kmh","properties":{"formattedCitation":"[39]","plainCitation":"[39]"},"citationItems":[{"id":834,"uris":["http://zotero.org/users/1859298/items/V4CQDU84"],"uri":["http://zotero.org/users/1859298/items/V4CQDU84"],"itemData":{"id":834,"type":"report","title":"Novice drivers: evidence review and evaluation pre-driver education and training, graduated driver licensing, and the new drivers act","publisher":"Transport Research Laboratory","publisher-place":"Crowthorne","source":"Open WorldCat","event-place":"Crowthorne","URL":"https://www.gov.uk/government/uploads/system/uploads/attachment_data/file/249282/novice-driver-research-findings.pdf","number":"PPR673","language":"English","author":[{"family":"Kinnear","given":"N"},{"family":"Lloyd","given":"L"},{"family":"Helman","given":"S"},{"family":"Husband","given":"P"},{"family":"Scoons","given":"J"},{"family":"Jones","given":"S"},{"family":"Stradling","given":"S"},{"family":"McKenna","given":"F"},{"family":"Broughton","given":"J"}],"issued":{"date-parts":[["2013"]]},"accessed":{"date-parts":[["2016",5,19]]}}}],"schema":"https://github.com/citation-style-language/schema/raw/master/csl-citation.json"} </w:instrText>
      </w:r>
      <w:r w:rsidR="00A46D03">
        <w:fldChar w:fldCharType="separate"/>
      </w:r>
      <w:r w:rsidR="00C04798" w:rsidRPr="00C04798">
        <w:t>[39]</w:t>
      </w:r>
      <w:r w:rsidR="00A46D03">
        <w:fldChar w:fldCharType="end"/>
      </w:r>
      <w:r w:rsidR="00614545">
        <w:t xml:space="preserve"> </w:t>
      </w:r>
      <w:r>
        <w:t>argue that delaying licensure from 17 to 18 years would reduce collision risk solely because of the effect of age.</w:t>
      </w:r>
    </w:p>
    <w:p w:rsidR="00986E07" w:rsidRDefault="00D4115C">
      <w:pPr>
        <w:pStyle w:val="Heading2"/>
      </w:pPr>
      <w:r>
        <w:t>Reducing the current “drink drive” limit</w:t>
      </w:r>
    </w:p>
    <w:p w:rsidR="00986E07" w:rsidRDefault="000514BF">
      <w:r w:rsidRPr="000514BF">
        <w:rPr>
          <w:b/>
        </w:rPr>
        <w:t>Legislative Competence</w:t>
      </w:r>
      <w:r w:rsidR="00D4115C">
        <w:t>: United Kingdom</w:t>
      </w:r>
    </w:p>
    <w:p w:rsidR="00986E07" w:rsidRDefault="00D4115C">
      <w:r>
        <w:t>The current legal blood alcohol concentration</w:t>
      </w:r>
      <w:r w:rsidR="006E5AC2">
        <w:t xml:space="preserve"> (BAC)</w:t>
      </w:r>
      <w:r>
        <w:t xml:space="preserve"> in England and Wales is 0.8g/l; Scotland and most of the rest of Europe have a limit of 0.5g/l or lower. In some jurisdictions, new drivers are set a limit of 0.2g/l because young and inexperienced drivers are particularly vulnerable to the effects of even a small amount of alcohol</w:t>
      </w:r>
      <w:r w:rsidR="006E5AC2">
        <w:t xml:space="preserve"> </w:t>
      </w:r>
      <w:r w:rsidR="00A46D03">
        <w:fldChar w:fldCharType="begin"/>
      </w:r>
      <w:r w:rsidR="00C04798">
        <w:instrText xml:space="preserve"> ADDIN ZOTERO_ITEM CSL_CITATION {"citationID":"2e1r0p0p1b","properties":{"formattedCitation":"{\\rtf [40\\uc0\\u8211{}42]}","plainCitation":"[40–42]"},"citationItems":[{"id":2522,"uris":["http://zotero.org/users/1859298/items/HSVDVCHB"],"uri":["http://zotero.org/users/1859298/items/HSVDVCHB"],"itemData":{"id":2522,"type":"article-journal","title":"The relationship between blood alcohol concentration (BAC), age, and crash risk","container-title":"Journal of Safety Research","page":"311-319","volume":"39","issue":"3","source":"CrossRef","abstract":"Problem\n\nThe role of age (youth and driving inexperience) and alcohol as major risk factors in traffic crash causation has been firmly established by numerous studies over the past 50 years. Less well established is how the two variables interrelate to influence crash risk. Some investigations have hypothesized an interactive or synergistic effect in which young drivers with less experience and a greater tendency to take risks are more adversely affected at lower blood alcohol concentrations (BACs) than are older drivers. The evidence for this hypothesis is mixed. Resolution of this issue has important implication for developing countermeasures directed at the young driver crash problem.\n\nMethod\n\nCase control data previously collected in Long Beach and Fort Lauderdale were reanalyzed using a more sensitive method for detecting interaction effects than used in the original analysis. A conditional logistic regression analyses found a highly significant age × BAC interaction (P &lt; .0001) involving differences between drivers under 21 and those 21 and older.\n\nDiscussion\n\nThe results clearly indicate that positive BACs in drivers under 21 are associated with higher relative crash risks than would be predicted from the additive effect of BAC and age. It is likely that two mechanisms are operating to cause the interaction. First, it seems likely that the crash avoidance skill of young novice drivers would be more adversely affected by alcohol due to their driving inexperience, immaturity, and less experience with alcohol. Second, drivers under 21 who choose to drink and to drive after drinking probably have pre-existing characteristics that predisposed them to risk taking and crash involvement apart from any increased vulnerability to alcohol impairment.\n\nImpact on Industry\n\nThe results support increased enforcement of zero-tolerance BAC laws for minors.","DOI":"10.1016/j.jsr.2008.02.030","ISSN":"00224375","language":"en","author":[{"family":"Peck","given":"Raymond C."},{"family":"Gebers","given":"Michael A."},{"family":"Voas","given":"Robert B."},{"family":"Romano","given":"Eduardo"}],"issued":{"date-parts":[["2008",1]]}}},{"id":2523,"uris":["http://zotero.org/users/1859298/items/I3QWXPPW"],"uri":["http://zotero.org/users/1859298/items/I3QWXPPW"],"itemData":{"id":2523,"type":"article-journal","title":"Crash Types: Markers of Increased Risk of Alcohol-Involved Crashes Among Teen Drivers","container-title":"Journal of Studies on Alcohol and Drugs","page":"528-535","volume":"70","issue":"4","source":"CrossRef","abstract":"Objective: Teens drink/drive less often than adults but are more likely to crash when they do drink/drive. This study identified alcohol-related crash types for which teen drivers were at greater risk compared with adults. Method: Michigan State Police crash records for drivers ages 16-19 (teens) and 45-65 years (adults) who experienced at least one crash from 1989 to 1996 were used to create alcohol crash types consisting of alcohol-related crashes that included specific combinations of other crash characteristics, such as drinking and driving at night (i.e., alcohol/nighttime). These data were combined with data from the 1990 and 1995 National Personal Travel Surveys and the 2001 National Household Travel Survey to estimate rates and rate ratios of alcohol-related crash types based on person-miles driven. Results: Teens were relatively less likely than adults to be involved in alcohol-related crashes but were significantly more likely to be in alcohol-related crashes that included other crash characteristics. Teen males' crash risk was highest when drinking and driving with a passenger, at night, at night with a passenger, and at night on the weekend, and casualties were more likely to result from alcohol-related nighttime crashes. All the highest risk alcohol-related crash types for teen female drinking drivers involved casualties and were most likely to include speeding, passenger presence, and nighttime driving. Conclusions: The frequency with which passengers, nighttime or weekend driving, and speeding occurred in the highest risk alcohol-related crash types for teens suggests that these characteristics should be targeted by policies, programs, and enforcement to reduce teen alcohol-related crash rates.","DOI":"10.15288/jsad.2009.70.528","ISSN":"1937-1888, 1938-4114","shortTitle":"Crash Types","language":"en","author":[{"family":"Bingham","given":"C. Raymond"},{"family":"Shope","given":"Jean T."},{"family":"Parow","given":"Julie E."},{"family":"Raghunathan","given":"Trivellore E."}],"issued":{"date-parts":[["2009",7]]}}},{"id":2528,"uris":["http://zotero.org/users/1859298/items/H3PWTTX4"],"uri":["http://zotero.org/users/1859298/items/H3PWTTX4"],"itemData":{"id":2528,"type":"article-journal","title":"Graduated Driver Licensing Research, 2010-Present","container-title":"Journal of Safety Research","page":"195-203","volume":"43","issue":"3","source":"CrossRef","abstract":"This is the latest in a series of reviews of research on graduated driver licensing (GDL) published in the Journal of Safety Research, covering the period January 1, 2010-June 1, 2012 and works in progress. The intent is to keep researchers and policy makers current regarding the existing state of knowledge about GDL, and to identify information gaps and areas where clarification of research findings are needed. The recent research indicates that we continue to learn about ways to extend GDL benefits, but there remain important questions in need of further inquiry. In terms of impact on industry, the review provides guidance for the future GDL research agenda.","DOI":"10.1016/j.jsr.2012.07.004","ISSN":"00224375","language":"en","author":[{"family":"Williams","given":"Allan F."},{"family":"Tefft","given":"Brian C."},{"family":"Grabowski","given":"Jurek G."}],"issued":{"date-parts":[["2012",7]]}}}],"schema":"https://github.com/citation-style-language/schema/raw/master/csl-citation.json"} </w:instrText>
      </w:r>
      <w:r w:rsidR="00A46D03">
        <w:fldChar w:fldCharType="separate"/>
      </w:r>
      <w:r w:rsidR="00C04798" w:rsidRPr="00C04798">
        <w:rPr>
          <w:szCs w:val="24"/>
        </w:rPr>
        <w:t>[40–42]</w:t>
      </w:r>
      <w:r w:rsidR="00A46D03">
        <w:fldChar w:fldCharType="end"/>
      </w:r>
      <w:r>
        <w:rPr>
          <w:rStyle w:val="TRLBodyTextChar"/>
        </w:rPr>
        <w:t>. In the US, a zero tolerance approach has been found to reduce crashes involving 15 to 20 year olds</w:t>
      </w:r>
      <w:r>
        <w:t>. In New Zealand (limit 0.3g/l for learner,  intermediate drivers and under 20 year old drivers) there was a significant reduction in alcohol related crashes as a result of changes in the legal BAC</w:t>
      </w:r>
      <w:r w:rsidR="006E5AC2">
        <w:t xml:space="preserve"> </w:t>
      </w:r>
      <w:r w:rsidR="00A46D03">
        <w:fldChar w:fldCharType="begin"/>
      </w:r>
      <w:r w:rsidR="00C04798">
        <w:instrText xml:space="preserve"> ADDIN ZOTERO_ITEM CSL_CITATION {"citationID":"b9s7l4cjg","properties":{"formattedCitation":"[43, 44]","plainCitation":"[43, 44]"},"citationItems":[{"id":2531,"uris":["http://zotero.org/users/1859298/items/UDIUDPVV"],"uri":["http://zotero.org/users/1859298/items/UDIUDPVV"],"itemData":{"id":2531,"type":"article-journal","title":"Lower legal blood alcohol limits for young drivers.","container-title":"Public Health Reports","page":"738-744","volume":"109","issue":"6","source":"PubMed Central","abstract":"To reduce the involvement of young drivers in alcohol-related crashes, 29 States and the District of Columbia have established lower legal blood alcohol limits for drivers younger than age 21 than for adult drivers. Of these, 12 lowered the legal limit for young people prior to 1991. To assess the impact, these 12 States were paired for comparison with 12 nearby States matched for legal drinking age and timing of changes in that law. Among drivers ages 15-20, fatal crashes involving a single vehicle at night are three times more likely than other fatal crashes to be alcohol-related. Whether the proportion of fatal crashes that involved single vehicles at night declined more among young drivers targeted by lower blood alcohol limits than among young drivers of the same age in comparison States was examined. The maximum available equal number of pre- and post-law years were compared in each pair of States. During the post-law period, the proportion of fatal crashes that involved single vehicles at night declined 16 percent among young drivers targeted by lower blood alcohol laws, whereas it rose 1 percent among drivers of the same age in comparison States where blood alcohol limits were not changed (P &lt; .001). Among adults, the proportion of fatal nocturnal crashes that involved single vehicles declined 5 percent in the group of States with the lowered levels for young people during the period after the law was enacted and 6 percent in the group of neighboring comparison States.(ABSTRACT TRUNCATED AT 250 WORDS)","ISSN":"0033-3549","note":"PMID: 7800781\nPMCID: PMC1403574","journalAbbreviation":"Public Health Rep","author":[{"family":"Hingson","given":"R"},{"family":"Heeren","given":"T"},{"family":"Winter","given":"M"}],"issued":{"date-parts":[["1994"]]},"PMID":"7800781","PMCID":"PMC1403574"}},{"id":2534,"uris":["http://zotero.org/users/1859298/items/RFM9VX5T"],"uri":["http://zotero.org/users/1859298/items/RFM9VX5T"],"itemData":{"id":2534,"type":"article-journal","title":"Reviews of evidence regarding interventions to reduce alcohol-impaired driving","container-title":"American Journal of Preventive Medicine","page":"66-88","volume":"21","issue":"4 Suppl","source":"PubMed","abstract":"BACKGROUND: Alcohol-related motor vehicle crashes are a major public health problem, resulting in 15,786 deaths and more than 300,000 injuries in 1999. This report presents the results of systematic reviews of the effectiveness and economic efficiency of selected population-based interventions to reduce alcohol-impaired driving.\nMETHODS: The Guide to Community Preventive Services's methods for systematic reviews were used to evaluate the effectiveness of five interventions to decrease alcohol-impaired driving, using changes in alcohol-related crashes as the primary outcome measure.\nRESULTS: Strong evidence was found for the effectiveness of .08 blood alcohol concentration laws, minimum legal drinking age laws, and sobriety checkpoints. Sufficient evidence was found for the effectiveness of lower blood alcohol concentration laws for young and inexperienced drivers and of intervention training programs for servers of alcoholic beverages. Additional information is provided about the applicability, other effects, and barriers to implementation of these interventions.\nCONCLUSION: These reviews form the basis of the recommendations by the Task Force on Community Preventive Services presented elsewhere in this supplement. They can help decision makers identify and implement effective interventions that fit within an overall strategy to prevent impaired driving.","ISSN":"0749-3797","note":"PMID: 11691562","journalAbbreviation":"Am J Prev Med","language":"ENG","author":[{"family":"Shults","given":"R. A."},{"family":"Elder","given":"R. W."},{"family":"Sleet","given":"D. A."},{"family":"Nichols","given":"J. L."},{"family":"Alao","given":"M. O."},{"family":"Carande-Kulis","given":"V. G."},{"family":"Zaza","given":"S."},{"family":"Sosin","given":"D. M."},{"family":"Thompson","given":"R. S."},{"literal":"Task Force on Community Preventive Services"}],"issued":{"date-parts":[["2001",11]]},"PMID":"11691562"}}],"schema":"https://github.com/citation-style-language/schema/raw/master/csl-citation.json"} </w:instrText>
      </w:r>
      <w:r w:rsidR="00A46D03">
        <w:fldChar w:fldCharType="separate"/>
      </w:r>
      <w:r w:rsidR="00C04798" w:rsidRPr="00C04798">
        <w:t>[43, 44]</w:t>
      </w:r>
      <w:r w:rsidR="00A46D03">
        <w:fldChar w:fldCharType="end"/>
      </w:r>
      <w:r w:rsidR="006E5AC2">
        <w:t xml:space="preserve">. </w:t>
      </w:r>
    </w:p>
    <w:p w:rsidR="00986E07" w:rsidRDefault="00D4115C">
      <w:pPr>
        <w:pStyle w:val="Heading2"/>
      </w:pPr>
      <w:r>
        <w:t>In</w:t>
      </w:r>
      <w:r w:rsidR="00614545">
        <w:t>troducing</w:t>
      </w:r>
      <w:r>
        <w:t xml:space="preserve"> 20mph </w:t>
      </w:r>
      <w:r w:rsidR="00614545">
        <w:t>as the default speed limit</w:t>
      </w:r>
    </w:p>
    <w:p w:rsidR="00986E07" w:rsidRDefault="000514BF">
      <w:r w:rsidRPr="000514BF">
        <w:rPr>
          <w:b/>
        </w:rPr>
        <w:t>Legislative Competence</w:t>
      </w:r>
      <w:r w:rsidR="00D4115C" w:rsidRPr="00614545">
        <w:t>: Local Authorities</w:t>
      </w:r>
    </w:p>
    <w:p w:rsidR="00614545" w:rsidRDefault="00614545" w:rsidP="00614545">
      <w:r>
        <w:t>As stated previously, young drivers are at increased risk, in part, because of their inexperience. Driving is a complex motor task that takes time practice to master in a safe and consistent</w:t>
      </w:r>
      <w:r w:rsidR="00683507">
        <w:t xml:space="preserve"> manner</w:t>
      </w:r>
      <w:r>
        <w:t>. Some of this difficulty is linked to undertaking these tasks more rapidly than competence allows for to “</w:t>
      </w:r>
      <w:proofErr w:type="gramStart"/>
      <w:r>
        <w:t>keep</w:t>
      </w:r>
      <w:proofErr w:type="gramEnd"/>
      <w:r>
        <w:t xml:space="preserve"> up” with surrounding traffic. By reducing all current 30mph speed limits to 20mph, the “gap” between new young drivers and more experienced drivers would, in effect, be reduced by reducing the </w:t>
      </w:r>
      <w:r w:rsidR="00683507">
        <w:t>speed at which tasks need</w:t>
      </w:r>
      <w:r>
        <w:t xml:space="preserve"> to be undertaken.</w:t>
      </w:r>
    </w:p>
    <w:p w:rsidR="00614545" w:rsidRDefault="00614545" w:rsidP="00614545">
      <w:pPr>
        <w:autoSpaceDE w:val="0"/>
        <w:autoSpaceDN w:val="0"/>
      </w:pPr>
      <w:r>
        <w:t xml:space="preserve">However, the benefit of a default 20mph limit would extend far beyond young drivers to all road users, in terms of casualty risk </w:t>
      </w:r>
      <w:r w:rsidR="00A46D03">
        <w:fldChar w:fldCharType="begin"/>
      </w:r>
      <w:r w:rsidR="00C04798">
        <w:instrText xml:space="preserve"> ADDIN ZOTERO_ITEM CSL_CITATION {"citationID":"nvifgcki0","properties":{"formattedCitation":"[45]","plainCitation":"[45]"},"citationItems":[{"id":774,"uris":["http://zotero.org/users/1859298/items/SV5KK59V"],"uri":["http://zotero.org/users/1859298/items/SV5KK59V"],"itemData":{"id":774,"type":"article-journal","title":"Effect of 20 mph traffic speed zones on road injuries in London, 1986-2006: controlled interrupted time series analysis","container-title":"BMJ","page":"b4469-b4469","volume":"339","issue":"dec10 3","source":"CrossRef","DOI":"10.1136/bmj.b4469","ISSN":"0959-8138, 1468-5833","shortTitle":"Effect of 20 mph traffic speed zones on road injuries in London, 1986-2006","language":"en","author":[{"family":"Grundy","given":"C."},{"family":"Steinbach","given":"R."},{"family":"Edwards","given":"P."},{"family":"Green","given":"J."},{"family":"Armstrong","given":"B."},{"family":"Wilkinson","given":"P."}],"issued":{"date-parts":[["2009",12,10]]}}}],"schema":"https://github.com/citation-style-language/schema/raw/master/csl-citation.json"} </w:instrText>
      </w:r>
      <w:r w:rsidR="00A46D03">
        <w:fldChar w:fldCharType="separate"/>
      </w:r>
      <w:r w:rsidR="00C04798" w:rsidRPr="00C04798">
        <w:t>[45]</w:t>
      </w:r>
      <w:r w:rsidR="00A46D03">
        <w:fldChar w:fldCharType="end"/>
      </w:r>
      <w:r>
        <w:t xml:space="preserve"> and the </w:t>
      </w:r>
      <w:r>
        <w:lastRenderedPageBreak/>
        <w:t xml:space="preserve">entire population in terms of associated health gains, for example, improved air quality </w:t>
      </w:r>
      <w:r w:rsidR="00A46D03">
        <w:fldChar w:fldCharType="begin"/>
      </w:r>
      <w:r w:rsidR="00C04798">
        <w:instrText xml:space="preserve"> ADDIN ZOTERO_ITEM CSL_CITATION {"citationID":"171mcm0067","properties":{"formattedCitation":"{\\rtf [46\\uc0\\u8211{}49]}","plainCitation":"[46–49]"},"citationItems":[{"id":374,"uris":["http://zotero.org/users/1859298/items/EECJXS7E"],"uri":["http://zotero.org/users/1859298/items/EECJXS7E"],"itemData":{"id":374,"type":"report","title":"20mph Speed Limits for Cars in Residential Areas by Shops and Schools","collection-title":"\"If you could do one thing...\" Nine local actions to reduce health inequalities","URL":"http://www.roadsafetygb.org.uk/misc/fckeditorFiles/file/Danny%20Dorling%20-%2020mph%20Speed%20Limits%20for%20Cars%20in%20Residential%20Areas%20by%20Shops%20and%20Schools.pdf","author":[{"family":"Dorling","given":"Danny"}],"issued":{"date-parts":[["2014"]]},"accessed":{"date-parts":[["2016",1,28]]}}},{"id":2539,"uris":["http://zotero.org/users/1859298/items/34V85DIJ"],"uri":["http://zotero.org/users/1859298/items/34V85DIJ"],"itemData":{"id":2539,"type":"report","title":"An illustrated guide to traffic calming. The future way of managing traffic.","publisher":"Transport and Road Research Laboratory (TRRL)","publisher-place":"Wokingham, Berkshire United Kingdom","event-place":"Wokingham, Berkshire United Kingdom","abstract":"The first well documented practical applications of traffic calming were the Dutch 'Woonerven' designed during the late 1960's and early 1970's. The early Woonerf streets abandoned the traditional division between carriageway and pavement. One surface was created, for use by all road users, and motor vehicle speed was restricted to walking pace. Traffic calming was initially applied primarily to residential areas, but is now starting to be extended to whole cities. In the widest sense, traffic calming can be defined as an overall transport policy which includes, apart from a reduction of the average motor vehicle speed in built up areas, design features to encourage walking, cycling, and the use of public transport. It can also be defined more narrowly, as a policy to reduce motor vehicle speeds to about 20 mph in urban areas. The street environment and design requires improvement with the objectives of: (a) reduction in the severity and number of accidents in built up areas; (b) reduction on air and noise pollution; (c) increasing the use of non-motorised forms of transport. Examples of traffic calming are given from several towns in West Germany.","author":[{"family":"Hass-Klau","given":"C"}],"issued":{"date-parts":[["1991",3,31]]}}},{"id":2542,"uris":["http://zotero.org/users/1859298/items/NC662JBV"],"uri":["http://zotero.org/users/1859298/items/NC662JBV"],"itemData":{"id":2542,"type":"article-journal","title":"Focus on traffic calming in West Europe","container-title":"Planning Practice &amp; Research","volume":"8","issue":"1","author":[{"family":"Pharoah","given":"Tim"}],"issued":{"date-parts":[["1993",1]]}}},{"id":2543,"uris":["http://zotero.org/users/1859298/items/P73AG32H"],"uri":["http://zotero.org/users/1859298/items/P73AG32H"],"itemData":{"id":2543,"type":"book","title":"The Impact of Lowered Speed Limits in Urban/Metropolitan Areas","publisher":"Monash University","publisher-place":"Clayton, Victoria, Australia","number-of-pages":"276","source":"trid.trb.org","event-place":"Clayton, Victoria, Australia","abstract":"The majority of all traffic accidents occur in the urban environment, when there is a more complex traffic environment and a higher predominance of road users that are more susceptible to injury and fatality in the event of an accident. A relatively straightforward and cost-effective speed management measure involves reducing speed limits. The relationship between vehicle speed, accident risk and accident outcome severity is well established in traffic safety literature. Research shows that reduced speed is likely to bring about a reduction in average travel speed and have a positive impact on both the number of accidents and accident outcome severity. Other secondary benefits are also derived including reduced fuel and vehicle operating costs, and significant reductions in vehicle emissions and noise. A key issue surrounding the effects of lowering speed limits in urban and metropolitan areas concerns the impact on mobility and the environment. A hypothesis that is investigated in this literature review is that a reduction in average travel speed brought about by reducing urban speed limits, is only likely to have a marginal impact on travel time. Research tends to support this notion given that average speeds are influenced by many other factors including driver attitudes and preferences; roadway design; forms of traffic regulation at intersections; and prevailing traffic conditions (level of congestion; weather; etc.). Research studies in Australia in relation to the then proposed reduction of the default urban speed limit from 60 to 50 km/h indicated only minimal impact on individual travel times and large benefits to society as a result of the reduction in crash trauma. Findings following the introduction of the default urban speed limit indicate the overall success of this measure and high level of community support. Recent research suggests that there are still large benefits to be gained by introducing an \"across the board\" reduction of speed limits to 50 km/h on all types of urban and metropolitan roads that presently have a 60 km/h speed limit. National traffic safety philosophies such as the Swedish Vision Zero recognise the importance of restricting sped to appropriate levels to ensure that there are no serious or fatal injuries. Safety and energy efficiency must be prioritised in order to achieve sustainability in the transport system. As a first step in this direction, the default urban speed limit on residential streets in Stockholm, Sweden has been reduced to 30 km/h. Other European towns are now following this example, and a growing interest can be noticed in Australia for similar speed limits to be introduced in order to meet the designated targets of the national Safe System approach and State and Territorial road safety strategies and action plans.","URL":"http://www.monash.edu/__data/assets/pdf_file/0007/216736/muarc276.pdf","ISBN":"978-0-7326-2346-3","language":"English","author":[{"family":"Archer","given":"J."},{"family":"Fotheringham","given":"N."},{"family":"Symmons","given":"M."},{"family":"Corben","given":"B."}],"issued":{"date-parts":[["2008",1]]},"accessed":{"date-parts":[["2016",10,26]]}}}],"schema":"https://github.com/citation-style-language/schema/raw/master/csl-citation.json"} </w:instrText>
      </w:r>
      <w:r w:rsidR="00A46D03">
        <w:fldChar w:fldCharType="separate"/>
      </w:r>
      <w:r w:rsidR="00C04798" w:rsidRPr="00C04798">
        <w:rPr>
          <w:szCs w:val="24"/>
        </w:rPr>
        <w:t>[46–49]</w:t>
      </w:r>
      <w:r w:rsidR="00A46D03">
        <w:fldChar w:fldCharType="end"/>
      </w:r>
      <w:r>
        <w:t>, increased active travel</w:t>
      </w:r>
      <w:r w:rsidR="000F6F77">
        <w:t xml:space="preserve"> </w:t>
      </w:r>
      <w:r w:rsidR="00A46D03">
        <w:fldChar w:fldCharType="begin"/>
      </w:r>
      <w:r w:rsidR="00C04798">
        <w:instrText xml:space="preserve"> ADDIN ZOTERO_ITEM CSL_CITATION {"citationID":"1t13tn4ska","properties":{"formattedCitation":"[46, 50]","plainCitation":"[46, 50]"},"citationItems":[{"id":374,"uris":["http://zotero.org/users/1859298/items/EECJXS7E"],"uri":["http://zotero.org/users/1859298/items/EECJXS7E"],"itemData":{"id":374,"type":"report","title":"20mph Speed Limits for Cars in Residential Areas by Shops and Schools","collection-title":"\"If you could do one thing...\" Nine local actions to reduce health inequalities","URL":"http://www.roadsafetygb.org.uk/misc/fckeditorFiles/file/Danny%20Dorling%20-%2020mph%20Speed%20Limits%20for%20Cars%20in%20Residential%20Areas%20by%20Shops%20and%20Schools.pdf","author":[{"family":"Dorling","given":"Danny"}],"issued":{"date-parts":[["2014"]]},"accessed":{"date-parts":[["2016",1,28]]}}},{"id":2546,"uris":["http://zotero.org/users/1859298/items/7DHZVR36"],"uri":["http://zotero.org/users/1859298/items/7DHZVR36"],"itemData":{"id":2546,"type":"article-journal","title":"Health implications of transport planning, development and operations","container-title":"Journal of Transport &amp; Health","page":"63-72","volume":"1","issue":"1","source":"CrossRef","abstract":"The links between transport and health are well documented, but the extent of these benefits and disbenefits is not widely understood by non-health professionals. Additionally, there are less obvious, indirect ways in which transport and health are linked. This paper provides a broad overview of the literature, compiling empirical evidence that describes, and where possible quantifies, the health effects of transport planning for the reference of transport professionals. The paper makes the case for considering health alongside the environment when assessing a policy or development′s sustainability, and provides empirical evidence to assist transport professionals in considering benefits or disbenefits involved.","DOI":"10.1016/j.jth.2013.12.004","ISSN":"22141405","language":"en","author":[{"family":"Cohen","given":"Judith M."},{"family":"Boniface","given":"Sadie"},{"family":"Watkins","given":"Stephen"}],"issued":{"date-parts":[["2014",3]]}}}],"schema":"https://github.com/citation-style-language/schema/raw/master/csl-citation.json"} </w:instrText>
      </w:r>
      <w:r w:rsidR="00A46D03">
        <w:fldChar w:fldCharType="separate"/>
      </w:r>
      <w:r w:rsidR="00C04798" w:rsidRPr="00C04798">
        <w:t>[46, 50]</w:t>
      </w:r>
      <w:r w:rsidR="00A46D03">
        <w:fldChar w:fldCharType="end"/>
      </w:r>
      <w:r>
        <w:t>, narrowing of inequalities</w:t>
      </w:r>
      <w:r w:rsidR="000F6F77">
        <w:t xml:space="preserve"> </w:t>
      </w:r>
      <w:r w:rsidR="00A46D03">
        <w:fldChar w:fldCharType="begin"/>
      </w:r>
      <w:r w:rsidR="00C04798">
        <w:instrText xml:space="preserve"> ADDIN ZOTERO_ITEM CSL_CITATION {"citationID":"ba884mepa","properties":{"formattedCitation":"[46, 51, 52]","plainCitation":"[46, 51, 52]"},"citationItems":[{"id":374,"uris":["http://zotero.org/users/1859298/items/EECJXS7E"],"uri":["http://zotero.org/users/1859298/items/EECJXS7E"],"itemData":{"id":374,"type":"report","title":"20mph Speed Limits for Cars in Residential Areas by Shops and Schools","collection-title":"\"If you could do one thing...\" Nine local actions to reduce health inequalities","URL":"http://www.roadsafetygb.org.uk/misc/fckeditorFiles/file/Danny%20Dorling%20-%2020mph%20Speed%20Limits%20for%20Cars%20in%20Residential%20Areas%20by%20Shops%20and%20Schools.pdf","author":[{"family":"Dorling","given":"Danny"}],"issued":{"date-parts":[["2014"]]},"accessed":{"date-parts":[["2016",1,28]]}}},{"id":2541,"uris":["http://zotero.org/users/1859298/items/RMJKZ7EU"],"uri":["http://zotero.org/users/1859298/items/RMJKZ7EU"],"itemData":{"id":2541,"type":"report","title":"Unintentional injuries on the road: interventions for under 15s","collection-title":"Public health guideline","publisher":"National Institute for Health and Care Excellence (NICE)","publisher-place":"Manchester","genre":"Public health guideline","event-place":"Manchester","URL":"https://www.nice.org.uk/guidance/ph31/resources/unintentional-injuries-on-the-road-interventions-for-under-15s-1996292434885","number":"PH31","author":[{"literal":"National Institute for Health and Care Excellence (NICE)"}],"issued":{"date-parts":[["2010",11,24]]},"accessed":{"date-parts":[["2016",10,26]]}}},{"id":2547,"uris":["http://zotero.org/users/1859298/items/FSQ7G3QG"],"uri":["http://zotero.org/users/1859298/items/FSQ7G3QG"],"itemData":{"id":2547,"type":"report","title":"A summary of the evidence on the costs and benefits of speed limit reduction","publisher":"Transport Research Laboratory","genre":"Client Project Report","abstract":"Explores some of the issues surrounding speed limit reduction, such as vehicle speeds, road safety, vehicle emissions, air quality, noise, communities and health, traffic flows and behavioural factors.","number":"CPR1398","author":[{"family":"Lawton","given":"B"},{"family":"Charman","given":"S"},{"family":"Kinnear","given":"N"},{"family":"Ainge","given":"M"},{"family":"Barlow","given":"T"},{"family":"Emmerson","given":"P"},{"family":"Jones","given":"M"}],"issued":{"date-parts":[["2012"]]}}}],"schema":"https://github.com/citation-style-language/schema/raw/master/csl-citation.json"} </w:instrText>
      </w:r>
      <w:r w:rsidR="00A46D03">
        <w:fldChar w:fldCharType="separate"/>
      </w:r>
      <w:r w:rsidR="00C04798" w:rsidRPr="00C04798">
        <w:t>[46, 51, 52]</w:t>
      </w:r>
      <w:r w:rsidR="00A46D03">
        <w:fldChar w:fldCharType="end"/>
      </w:r>
      <w:r>
        <w:t>, greater social inclusion</w:t>
      </w:r>
      <w:r w:rsidR="000F6F77">
        <w:t xml:space="preserve"> </w:t>
      </w:r>
      <w:r w:rsidR="00A46D03">
        <w:fldChar w:fldCharType="begin"/>
      </w:r>
      <w:r w:rsidR="00C04798">
        <w:instrText xml:space="preserve"> ADDIN ZOTERO_ITEM CSL_CITATION {"citationID":"2hu22i2v0g","properties":{"formattedCitation":"[46, 52]","plainCitation":"[46, 52]"},"citationItems":[{"id":374,"uris":["http://zotero.org/users/1859298/items/EECJXS7E"],"uri":["http://zotero.org/users/1859298/items/EECJXS7E"],"itemData":{"id":374,"type":"report","title":"20mph Speed Limits for Cars in Residential Areas by Shops and Schools","collection-title":"\"If you could do one thing...\" Nine local actions to reduce health inequalities","URL":"http://www.roadsafetygb.org.uk/misc/fckeditorFiles/file/Danny%20Dorling%20-%2020mph%20Speed%20Limits%20for%20Cars%20in%20Residential%20Areas%20by%20Shops%20and%20Schools.pdf","author":[{"family":"Dorling","given":"Danny"}],"issued":{"date-parts":[["2014"]]},"accessed":{"date-parts":[["2016",1,28]]}}},{"id":2547,"uris":["http://zotero.org/users/1859298/items/FSQ7G3QG"],"uri":["http://zotero.org/users/1859298/items/FSQ7G3QG"],"itemData":{"id":2547,"type":"report","title":"A summary of the evidence on the costs and benefits of speed limit reduction","publisher":"Transport Research Laboratory","genre":"Client Project Report","abstract":"Explores some of the issues surrounding speed limit reduction, such as vehicle speeds, road safety, vehicle emissions, air quality, noise, communities and health, traffic flows and behavioural factors.","number":"CPR1398","author":[{"family":"Lawton","given":"B"},{"family":"Charman","given":"S"},{"family":"Kinnear","given":"N"},{"family":"Ainge","given":"M"},{"family":"Barlow","given":"T"},{"family":"Emmerson","given":"P"},{"family":"Jones","given":"M"}],"issued":{"date-parts":[["2012"]]}}}],"schema":"https://github.com/citation-style-language/schema/raw/master/csl-citation.json"} </w:instrText>
      </w:r>
      <w:r w:rsidR="00A46D03">
        <w:fldChar w:fldCharType="separate"/>
      </w:r>
      <w:r w:rsidR="00C04798" w:rsidRPr="00C04798">
        <w:t>[46, 52]</w:t>
      </w:r>
      <w:r w:rsidR="00A46D03">
        <w:fldChar w:fldCharType="end"/>
      </w:r>
      <w:r>
        <w:t>, reduced noise pollution</w:t>
      </w:r>
      <w:r w:rsidR="000F6F77">
        <w:t xml:space="preserve"> </w:t>
      </w:r>
      <w:r w:rsidR="00A46D03">
        <w:fldChar w:fldCharType="begin"/>
      </w:r>
      <w:r w:rsidR="00C04798">
        <w:instrText xml:space="preserve"> ADDIN ZOTERO_ITEM CSL_CITATION {"citationID":"6nqtd4mfb","properties":{"formattedCitation":"[49, 52, 53]","plainCitation":"[49, 52, 53]"},"citationItems":[{"id":2543,"uris":["http://zotero.org/users/1859298/items/P73AG32H"],"uri":["http://zotero.org/users/1859298/items/P73AG32H"],"itemData":{"id":2543,"type":"book","title":"The Impact of Lowered Speed Limits in Urban/Metropolitan Areas","publisher":"Monash University","publisher-place":"Clayton, Victoria, Australia","number-of-pages":"276","source":"trid.trb.org","event-place":"Clayton, Victoria, Australia","abstract":"The majority of all traffic accidents occur in the urban environment, when there is a more complex traffic environment and a higher predominance of road users that are more susceptible to injury and fatality in the event of an accident. A relatively straightforward and cost-effective speed management measure involves reducing speed limits. The relationship between vehicle speed, accident risk and accident outcome severity is well established in traffic safety literature. Research shows that reduced speed is likely to bring about a reduction in average travel speed and have a positive impact on both the number of accidents and accident outcome severity. Other secondary benefits are also derived including reduced fuel and vehicle operating costs, and significant reductions in vehicle emissions and noise. A key issue surrounding the effects of lowering speed limits in urban and metropolitan areas concerns the impact on mobility and the environment. A hypothesis that is investigated in this literature review is that a reduction in average travel speed brought about by reducing urban speed limits, is only likely to have a marginal impact on travel time. Research tends to support this notion given that average speeds are influenced by many other factors including driver attitudes and preferences; roadway design; forms of traffic regulation at intersections; and prevailing traffic conditions (level of congestion; weather; etc.). Research studies in Australia in relation to the then proposed reduction of the default urban speed limit from 60 to 50 km/h indicated only minimal impact on individual travel times and large benefits to society as a result of the reduction in crash trauma. Findings following the introduction of the default urban speed limit indicate the overall success of this measure and high level of community support. Recent research suggests that there are still large benefits to be gained by introducing an \"across the board\" reduction of speed limits to 50 km/h on all types of urban and metropolitan roads that presently have a 60 km/h speed limit. National traffic safety philosophies such as the Swedish Vision Zero recognise the importance of restricting sped to appropriate levels to ensure that there are no serious or fatal injuries. Safety and energy efficiency must be prioritised in order to achieve sustainability in the transport system. As a first step in this direction, the default urban speed limit on residential streets in Stockholm, Sweden has been reduced to 30 km/h. Other European towns are now following this example, and a growing interest can be noticed in Australia for similar speed limits to be introduced in order to meet the designated targets of the national Safe System approach and State and Territorial road safety strategies and action plans.","URL":"http://www.monash.edu/__data/assets/pdf_file/0007/216736/muarc276.pdf","ISBN":"978-0-7326-2346-3","language":"English","author":[{"family":"Archer","given":"J."},{"family":"Fotheringham","given":"N."},{"family":"Symmons","given":"M."},{"family":"Corben","given":"B."}],"issued":{"date-parts":[["2008",1]]},"accessed":{"date-parts":[["2016",10,26]]}}},{"id":2547,"uris":["http://zotero.org/users/1859298/items/FSQ7G3QG"],"uri":["http://zotero.org/users/1859298/items/FSQ7G3QG"],"itemData":{"id":2547,"type":"report","title":"A summary of the evidence on the costs and benefits of speed limit reduction","publisher":"Transport Research Laboratory","genre":"Client Project Report","abstract":"Explores some of the issues surrounding speed limit reduction, such as vehicle speeds, road safety, vehicle emissions, air quality, noise, communities and health, traffic flows and behavioural factors.","number":"CPR1398","author":[{"family":"Lawton","given":"B"},{"family":"Charman","given":"S"},{"family":"Kinnear","given":"N"},{"family":"Ainge","given":"M"},{"family":"Barlow","given":"T"},{"family":"Emmerson","given":"P"},{"family":"Jones","given":"M"}],"issued":{"date-parts":[["2012"]]}}},{"id":2548,"uris":["http://zotero.org/users/1859298/items/U4HATPZZ"],"uri":["http://zotero.org/users/1859298/items/U4HATPZZ"],"itemData":{"id":2548,"type":"book","title":"The Cost of Air Pollution: Health Impacts of Road Transport","publisher":"OECD Publishing","number-of-pages":"80","source":"CrossRef","abstract":"Outdoor air pollution kills more than 3 million people across the world every year, and causes health problems from asthma to heart disease for many more. This is costing societies very large amounts in terms of the value of lives lost and ill health. Based on extensive new epidemiological evidence since the 2010 Global Burden of Disease study, and OECD estimates of the Value of Statistical Life, this report provides evidence on the health impacts from air pollution and the related economic costs.","URL":"http://dx.doi.org/10.1787/9789264210448-en","ISBN":"978-92-64-21042-4","language":"en","author":[{"literal":"OECD"}],"issued":{"date-parts":[["2014",5,21]]},"accessed":{"date-parts":[["2016",10,26]]}}}],"schema":"https://github.com/citation-style-language/schema/raw/master/csl-citation.json"} </w:instrText>
      </w:r>
      <w:r w:rsidR="00A46D03">
        <w:fldChar w:fldCharType="separate"/>
      </w:r>
      <w:r w:rsidR="00C04798" w:rsidRPr="00C04798">
        <w:t>[49, 52, 53]</w:t>
      </w:r>
      <w:r w:rsidR="00A46D03">
        <w:fldChar w:fldCharType="end"/>
      </w:r>
      <w:r>
        <w:t xml:space="preserve"> and greater community cohesion</w:t>
      </w:r>
      <w:r w:rsidR="000F6F77">
        <w:t xml:space="preserve"> </w:t>
      </w:r>
      <w:r w:rsidR="00A46D03">
        <w:fldChar w:fldCharType="begin"/>
      </w:r>
      <w:r w:rsidR="00C04798">
        <w:instrText xml:space="preserve"> ADDIN ZOTERO_ITEM CSL_CITATION {"citationID":"2eomkukibi","properties":{"formattedCitation":"[46, 52]","plainCitation":"[46, 52]"},"citationItems":[{"id":374,"uris":["http://zotero.org/users/1859298/items/EECJXS7E"],"uri":["http://zotero.org/users/1859298/items/EECJXS7E"],"itemData":{"id":374,"type":"report","title":"20mph Speed Limits for Cars in Residential Areas by Shops and Schools","collection-title":"\"If you could do one thing...\" Nine local actions to reduce health inequalities","URL":"http://www.roadsafetygb.org.uk/misc/fckeditorFiles/file/Danny%20Dorling%20-%2020mph%20Speed%20Limits%20for%20Cars%20in%20Residential%20Areas%20by%20Shops%20and%20Schools.pdf","author":[{"family":"Dorling","given":"Danny"}],"issued":{"date-parts":[["2014"]]},"accessed":{"date-parts":[["2016",1,28]]}}},{"id":2547,"uris":["http://zotero.org/users/1859298/items/FSQ7G3QG"],"uri":["http://zotero.org/users/1859298/items/FSQ7G3QG"],"itemData":{"id":2547,"type":"report","title":"A summary of the evidence on the costs and benefits of speed limit reduction","publisher":"Transport Research Laboratory","genre":"Client Project Report","abstract":"Explores some of the issues surrounding speed limit reduction, such as vehicle speeds, road safety, vehicle emissions, air quality, noise, communities and health, traffic flows and behavioural factors.","number":"CPR1398","author":[{"family":"Lawton","given":"B"},{"family":"Charman","given":"S"},{"family":"Kinnear","given":"N"},{"family":"Ainge","given":"M"},{"family":"Barlow","given":"T"},{"family":"Emmerson","given":"P"},{"family":"Jones","given":"M"}],"issued":{"date-parts":[["2012"]]}}}],"schema":"https://github.com/citation-style-language/schema/raw/master/csl-citation.json"} </w:instrText>
      </w:r>
      <w:r w:rsidR="00A46D03">
        <w:fldChar w:fldCharType="separate"/>
      </w:r>
      <w:r w:rsidR="00C04798" w:rsidRPr="00C04798">
        <w:t>[46, 52]</w:t>
      </w:r>
      <w:r w:rsidR="00A46D03">
        <w:fldChar w:fldCharType="end"/>
      </w:r>
      <w:r>
        <w:t>, including viability of local businesses</w:t>
      </w:r>
      <w:r w:rsidR="000F6F77">
        <w:t xml:space="preserve"> </w:t>
      </w:r>
      <w:r w:rsidR="00A46D03">
        <w:fldChar w:fldCharType="begin"/>
      </w:r>
      <w:r w:rsidR="00C04798">
        <w:instrText xml:space="preserve"> ADDIN ZOTERO_ITEM CSL_CITATION {"citationID":"16pll19nqk","properties":{"formattedCitation":"[46]","plainCitation":"[46]"},"citationItems":[{"id":374,"uris":["http://zotero.org/users/1859298/items/EECJXS7E"],"uri":["http://zotero.org/users/1859298/items/EECJXS7E"],"itemData":{"id":374,"type":"report","title":"20mph Speed Limits for Cars in Residential Areas by Shops and Schools","collection-title":"\"If you could do one thing...\" Nine local actions to reduce health inequalities","URL":"http://www.roadsafetygb.org.uk/misc/fckeditorFiles/file/Danny%20Dorling%20-%2020mph%20Speed%20Limits%20for%20Cars%20in%20Residential%20Areas%20by%20Shops%20and%20Schools.pdf","author":[{"family":"Dorling","given":"Danny"}],"issued":{"date-parts":[["2014"]]},"accessed":{"date-parts":[["2016",1,28]]}}}],"schema":"https://github.com/citation-style-language/schema/raw/master/csl-citation.json"} </w:instrText>
      </w:r>
      <w:r w:rsidR="00A46D03">
        <w:fldChar w:fldCharType="separate"/>
      </w:r>
      <w:r w:rsidR="00C04798" w:rsidRPr="00C04798">
        <w:t>[46]</w:t>
      </w:r>
      <w:r w:rsidR="00A46D03">
        <w:fldChar w:fldCharType="end"/>
      </w:r>
      <w:r>
        <w:t>. It would also fit with a</w:t>
      </w:r>
      <w:r w:rsidR="000F6F77">
        <w:t>ll of the goals within the Well-</w:t>
      </w:r>
      <w:r>
        <w:t xml:space="preserve">Being of Future Generations </w:t>
      </w:r>
      <w:r w:rsidR="000F6F77">
        <w:t xml:space="preserve">(Wales) </w:t>
      </w:r>
      <w:r>
        <w:t>Act</w:t>
      </w:r>
      <w:r w:rsidR="000F6F77">
        <w:t xml:space="preserve"> </w:t>
      </w:r>
      <w:r w:rsidR="00A46D03">
        <w:fldChar w:fldCharType="begin"/>
      </w:r>
      <w:r w:rsidR="00C04798">
        <w:instrText xml:space="preserve"> ADDIN ZOTERO_ITEM CSL_CITATION {"citationID":"2nboemh04o","properties":{"formattedCitation":"[54]","plainCitation":"[54]"},"citationItems":[{"id":963,"uris":["http://zotero.org/users/1859298/items/Z6UWPGC9"],"uri":["http://zotero.org/users/1859298/items/Z6UWPGC9"],"itemData":{"id":963,"type":"legislation","title":"Well-being of Future Generations (Wales) Act 2015","abstract":"An Act of the National Assembly for Wales to make provision requiring public bodies to do things\nin pursuit of the economic, social, environmental and cultural well-being of Wales in a way that\naccords with the sustainable development principle; to require public bodies to report on such\naction; to establish a Commissioner for Future Generations to advise and assist public bodies in\ndoing things in accordance with this Act; to establish public services boards in local authority\nareas; to make provision requiring those boards to plan and take action in pursuit of economic,\nsocial, environmental and cultural well-being in their area; and for connected purposes.","URL":"http://www.legislation.gov.uk/anaw/2015/2/contents","number":"2015 anaw2","chapter-number":"2015","author":[{"literal":"National Assembly for Wales"}],"issued":{"date-parts":[["2015",4,29]]},"accessed":{"date-parts":[["2016",4,12]]}}}],"schema":"https://github.com/citation-style-language/schema/raw/master/csl-citation.json"} </w:instrText>
      </w:r>
      <w:r w:rsidR="00A46D03">
        <w:fldChar w:fldCharType="separate"/>
      </w:r>
      <w:r w:rsidR="00C04798" w:rsidRPr="00C04798">
        <w:t>[54]</w:t>
      </w:r>
      <w:r w:rsidR="00A46D03">
        <w:fldChar w:fldCharType="end"/>
      </w:r>
      <w:r>
        <w:t>.</w:t>
      </w:r>
    </w:p>
    <w:p w:rsidR="00890230" w:rsidRPr="00890230" w:rsidRDefault="00890230" w:rsidP="00890230">
      <w:r w:rsidRPr="00890230">
        <w:t>Although local authorities have existing powers in this area, implementation to date tends to have been limited to specific areas such as outside schools. This risks causing confusion within and between areas and adds to what is already believed to be excess signage. Most importantly, it risks drivers not being aware of the changes and failing to reduce their speed meaning that the benefits are not realised.</w:t>
      </w:r>
    </w:p>
    <w:p w:rsidR="007E2E0C" w:rsidRDefault="007E2E0C" w:rsidP="00E646AA">
      <w:pPr>
        <w:pStyle w:val="Heading1"/>
      </w:pPr>
      <w:r>
        <w:t>Conclusion and Recommendations</w:t>
      </w:r>
    </w:p>
    <w:p w:rsidR="007E2E0C" w:rsidRDefault="007E2E0C" w:rsidP="007E2E0C">
      <w:pPr>
        <w:pStyle w:val="NoSpacing"/>
      </w:pPr>
    </w:p>
    <w:p w:rsidR="007E2E0C" w:rsidRDefault="007E2E0C" w:rsidP="00C971CD">
      <w:pPr>
        <w:pStyle w:val="NoSpacing"/>
      </w:pPr>
      <w:r w:rsidRPr="00D74D64">
        <w:t>Public Health Wales believes that the introduction of Graduated Driving Licensing in Great Britain would save lives, reduce injuries and improve safety, for everyone.</w:t>
      </w:r>
    </w:p>
    <w:p w:rsidR="00C971CD" w:rsidRDefault="00C971CD" w:rsidP="00C971CD">
      <w:pPr>
        <w:pStyle w:val="NoSpacing"/>
      </w:pPr>
    </w:p>
    <w:p w:rsidR="007E2E0C" w:rsidRDefault="007E2E0C" w:rsidP="007E2E0C">
      <w:pPr>
        <w:pStyle w:val="Body"/>
        <w:spacing w:before="0" w:after="120" w:line="240" w:lineRule="auto"/>
        <w:jc w:val="both"/>
      </w:pPr>
      <w:r w:rsidRPr="008E275C">
        <w:t>The evidence base is consistent and compelling; Cochrane</w:t>
      </w:r>
      <w:r w:rsidR="002C7A04">
        <w:t xml:space="preserve"> </w:t>
      </w:r>
      <w:r w:rsidR="002C7A04" w:rsidRPr="002C7A04">
        <w:t>[8]</w:t>
      </w:r>
      <w:r w:rsidRPr="008E275C">
        <w:t xml:space="preserve"> concluded only positive effects</w:t>
      </w:r>
      <w:r>
        <w:t>:</w:t>
      </w:r>
      <w:r w:rsidRPr="008E275C">
        <w:t xml:space="preserve"> reductions in crashes, casualties and fatalities associated with young drivers,</w:t>
      </w:r>
      <w:r>
        <w:rPr>
          <w:lang w:val="en-GB"/>
        </w:rPr>
        <w:t xml:space="preserve"> as well as secondary effects of parents and teens feeling more empowered by the legislation.</w:t>
      </w:r>
    </w:p>
    <w:p w:rsidR="007E2E0C" w:rsidRDefault="007E2E0C" w:rsidP="007E2E0C">
      <w:pPr>
        <w:pStyle w:val="Body"/>
        <w:spacing w:before="0" w:after="120" w:line="240" w:lineRule="auto"/>
        <w:jc w:val="both"/>
        <w:rPr>
          <w:lang w:val="en-GB"/>
        </w:rPr>
      </w:pPr>
      <w:r>
        <w:rPr>
          <w:lang w:val="en-GB"/>
        </w:rPr>
        <w:t>As driver licensing is currently a non-devolved power, we recommend that:</w:t>
      </w:r>
    </w:p>
    <w:p w:rsidR="007E2E0C" w:rsidRPr="0013667D" w:rsidRDefault="007E2E0C" w:rsidP="007E2E0C">
      <w:pPr>
        <w:pStyle w:val="NoSpacing"/>
        <w:numPr>
          <w:ilvl w:val="0"/>
          <w:numId w:val="12"/>
        </w:numPr>
        <w:pBdr>
          <w:top w:val="nil"/>
          <w:left w:val="nil"/>
          <w:bottom w:val="nil"/>
          <w:right w:val="nil"/>
          <w:between w:val="nil"/>
          <w:bar w:val="nil"/>
        </w:pBdr>
        <w:spacing w:after="120"/>
        <w:rPr>
          <w:rStyle w:val="IntenseEmphasis"/>
          <w:b w:val="0"/>
          <w:bCs w:val="0"/>
          <w:i w:val="0"/>
          <w:iCs w:val="0"/>
        </w:rPr>
      </w:pPr>
      <w:r w:rsidRPr="0013667D">
        <w:rPr>
          <w:rStyle w:val="IntenseEmphasis"/>
        </w:rPr>
        <w:t>The UK Government consider the introduction of a Graduated Driving Licence in Great Britain</w:t>
      </w:r>
    </w:p>
    <w:p w:rsidR="007E2E0C" w:rsidRPr="0013667D" w:rsidRDefault="007E2E0C" w:rsidP="007E2E0C">
      <w:pPr>
        <w:pStyle w:val="NoSpacing"/>
        <w:numPr>
          <w:ilvl w:val="0"/>
          <w:numId w:val="12"/>
        </w:numPr>
        <w:pBdr>
          <w:top w:val="nil"/>
          <w:left w:val="nil"/>
          <w:bottom w:val="nil"/>
          <w:right w:val="nil"/>
          <w:between w:val="nil"/>
          <w:bar w:val="nil"/>
        </w:pBdr>
        <w:spacing w:after="120"/>
        <w:rPr>
          <w:rStyle w:val="IntenseEmphasis"/>
          <w:b w:val="0"/>
          <w:bCs w:val="0"/>
          <w:i w:val="0"/>
          <w:iCs w:val="0"/>
        </w:rPr>
      </w:pPr>
      <w:r w:rsidRPr="0013667D">
        <w:rPr>
          <w:rStyle w:val="IntenseEmphasis"/>
        </w:rPr>
        <w:t>Any scheme introduced in Great Britain covers all novice drivers</w:t>
      </w:r>
    </w:p>
    <w:p w:rsidR="007E2E0C" w:rsidRPr="0013667D" w:rsidRDefault="007E2E0C" w:rsidP="007E2E0C">
      <w:pPr>
        <w:pStyle w:val="NoSpacing"/>
        <w:numPr>
          <w:ilvl w:val="0"/>
          <w:numId w:val="12"/>
        </w:numPr>
        <w:pBdr>
          <w:top w:val="nil"/>
          <w:left w:val="nil"/>
          <w:bottom w:val="nil"/>
          <w:right w:val="nil"/>
          <w:between w:val="nil"/>
          <w:bar w:val="nil"/>
        </w:pBdr>
        <w:spacing w:after="120"/>
        <w:rPr>
          <w:rStyle w:val="IntenseEmphasis"/>
          <w:b w:val="0"/>
          <w:bCs w:val="0"/>
          <w:i w:val="0"/>
          <w:iCs w:val="0"/>
        </w:rPr>
      </w:pPr>
      <w:r w:rsidRPr="0013667D">
        <w:rPr>
          <w:rStyle w:val="IntenseEmphasis"/>
        </w:rPr>
        <w:t>Any scheme introduced in Great Britain should include a passenger restriction (for new young drivers), a night time driving restriction and a drink drive limit of 20mg per 100ml of blood.</w:t>
      </w:r>
    </w:p>
    <w:p w:rsidR="00C971CD" w:rsidRDefault="00C971CD" w:rsidP="007E2E0C">
      <w:pPr>
        <w:pStyle w:val="NoSpacing"/>
      </w:pPr>
    </w:p>
    <w:p w:rsidR="00C971CD" w:rsidRDefault="00C971CD" w:rsidP="007E2E0C">
      <w:pPr>
        <w:pStyle w:val="NoSpacing"/>
      </w:pPr>
      <w:r>
        <w:t xml:space="preserve">In accordance with the Nuffield Council’s Intervention Ladder </w:t>
      </w:r>
      <w:r w:rsidR="00A46D03">
        <w:fldChar w:fldCharType="begin"/>
      </w:r>
      <w:r>
        <w:instrText xml:space="preserve"> ADDIN ZOTERO_ITEM CSL_CITATION {"citationID":"1agdob3vuu","properties":{"formattedCitation":"[55]","plainCitation":"[55]"},"citationItems":[{"id":2642,"uris":["http://zotero.org/users/1859298/items/HAJT9DA5"],"uri":["http://zotero.org/users/1859298/items/HAJT9DA5"],"itemData":{"id":2642,"type":"chapter","title":"Box 3.2: The Intervention Ladder","container-title":"Public health: ethical issues","publisher":"Nuffield Council on Bioethics","publisher-place":"London","page":"42","source":"Library of Congress ISBN","event-place":"London","URL":"http://nuffieldbioethics.org/wp-content/uploads/2014/07/Public-health-ethical-issues.pdf","ISBN":"978-1-904384-17-5","call-number":"HN18 .P84 2007","note":"OCLC: ocn182555188","editor":[{"family":"Hepple","given":"Bob"},{"literal":"Nuffield Council on Bioethics"}],"issued":{"date-parts":[["2007"]]},"accessed":{"date-parts":[["2016",10,31]]}}}],"schema":"https://github.com/citation-style-language/schema/raw/master/csl-citation.json"} </w:instrText>
      </w:r>
      <w:r w:rsidR="00A46D03">
        <w:fldChar w:fldCharType="separate"/>
      </w:r>
      <w:r w:rsidRPr="00C971CD">
        <w:t>[55]</w:t>
      </w:r>
      <w:r w:rsidR="00A46D03">
        <w:fldChar w:fldCharType="end"/>
      </w:r>
      <w:r>
        <w:t xml:space="preserve">, we believe that the best way forward for driver licensing to improve road safety is to </w:t>
      </w:r>
      <w:r w:rsidR="00314CDC">
        <w:t>restrict choice</w:t>
      </w:r>
      <w:r>
        <w:t>.</w:t>
      </w:r>
    </w:p>
    <w:p w:rsidR="00C971CD" w:rsidRDefault="00C971CD" w:rsidP="007E2E0C">
      <w:pPr>
        <w:pStyle w:val="NoSpacing"/>
      </w:pPr>
    </w:p>
    <w:p w:rsidR="007E2E0C" w:rsidRDefault="007E2E0C" w:rsidP="007E2E0C">
      <w:pPr>
        <w:pStyle w:val="NoSpacing"/>
      </w:pPr>
      <w:r>
        <w:t xml:space="preserve">For more information, please contact: </w:t>
      </w:r>
      <w:hyperlink r:id="rId20" w:history="1">
        <w:r w:rsidRPr="00AB3DAA">
          <w:rPr>
            <w:rStyle w:val="Hyperlink"/>
          </w:rPr>
          <w:t>publichealth.policy@wales.nhs.uk</w:t>
        </w:r>
      </w:hyperlink>
      <w:r>
        <w:t xml:space="preserve"> </w:t>
      </w:r>
    </w:p>
    <w:p w:rsidR="007E2E0C" w:rsidRPr="007E2E0C" w:rsidRDefault="007E2E0C" w:rsidP="007E2E0C"/>
    <w:p w:rsidR="00DC032F" w:rsidRDefault="00DC032F" w:rsidP="007E2E0C">
      <w:pPr>
        <w:pStyle w:val="Heading1"/>
      </w:pPr>
      <w:r>
        <w:br w:type="page"/>
      </w:r>
    </w:p>
    <w:p w:rsidR="00E13F73" w:rsidRDefault="00840C46" w:rsidP="00E646AA">
      <w:pPr>
        <w:pStyle w:val="Heading1"/>
        <w:numPr>
          <w:ilvl w:val="0"/>
          <w:numId w:val="46"/>
        </w:numPr>
      </w:pPr>
      <w:r>
        <w:lastRenderedPageBreak/>
        <w:t>Frequently Asked Questions (FAQs)</w:t>
      </w:r>
      <w:r w:rsidR="00E13F73">
        <w:t xml:space="preserve"> </w:t>
      </w:r>
    </w:p>
    <w:p w:rsidR="00840C46" w:rsidRDefault="00840C46" w:rsidP="00840C46">
      <w:pPr>
        <w:pStyle w:val="Heading2"/>
      </w:pPr>
      <w:r>
        <w:t xml:space="preserve">Does </w:t>
      </w:r>
      <w:r w:rsidR="00911FCD">
        <w:t>National Assembly for Wales</w:t>
      </w:r>
      <w:r>
        <w:t xml:space="preserve"> have legislative competence to make laws on this issue? </w:t>
      </w:r>
    </w:p>
    <w:p w:rsidR="00DC032F" w:rsidRDefault="00911FCD" w:rsidP="00911FCD">
      <w:r>
        <w:t xml:space="preserve">The Assembly does not have the legislative competence to </w:t>
      </w:r>
      <w:r w:rsidR="00DC032F">
        <w:t xml:space="preserve">introduce </w:t>
      </w:r>
      <w:r w:rsidR="00A25F99">
        <w:t>GDL</w:t>
      </w:r>
      <w:r w:rsidR="00DC032F">
        <w:t xml:space="preserve"> in Wales, as driver licensing is a non-devolved area of legislative competence. Nevertheless, we know that the Welsh Government </w:t>
      </w:r>
      <w:r w:rsidR="00E646AA">
        <w:t>is</w:t>
      </w:r>
      <w:r w:rsidR="00DC032F">
        <w:t xml:space="preserve"> supportive of calls for Graduated Driving Licensing, announcing in January 2016 that:</w:t>
      </w:r>
    </w:p>
    <w:p w:rsidR="00DC032F" w:rsidRPr="0078520A" w:rsidRDefault="00DC032F" w:rsidP="00DC032F">
      <w:pPr>
        <w:spacing w:before="120" w:after="120"/>
        <w:ind w:left="567" w:right="567"/>
        <w:rPr>
          <w:rFonts w:cs="Arial"/>
          <w:szCs w:val="24"/>
        </w:rPr>
      </w:pPr>
      <w:r w:rsidRPr="0078520A">
        <w:rPr>
          <w:szCs w:val="24"/>
        </w:rPr>
        <w:t>“</w:t>
      </w:r>
      <w:r w:rsidRPr="00FC5CBD">
        <w:rPr>
          <w:rFonts w:cs="Arial"/>
          <w:i/>
          <w:szCs w:val="24"/>
        </w:rPr>
        <w:t>The Minister considers that graduated driver licensing (GDL)</w:t>
      </w:r>
      <w:r w:rsidRPr="00FC5CBD">
        <w:rPr>
          <w:rFonts w:cs="Arial"/>
          <w:i/>
          <w:color w:val="1F497D"/>
          <w:szCs w:val="24"/>
        </w:rPr>
        <w:t xml:space="preserve"> </w:t>
      </w:r>
      <w:r w:rsidRPr="00FC5CBD">
        <w:rPr>
          <w:rFonts w:cs="Arial"/>
          <w:i/>
          <w:szCs w:val="24"/>
        </w:rPr>
        <w:t>systems are a proven approach to reducing casualties amongst newly qualified drivers. Whilst GDL would not be the only measure required to meet our casualty reduction targets for young people in Wales, the estimates produced by the RAC Foundation would indicate that it would provide a significant contribution</w:t>
      </w:r>
      <w:r w:rsidRPr="0078520A">
        <w:rPr>
          <w:rFonts w:cs="Arial"/>
          <w:szCs w:val="24"/>
        </w:rPr>
        <w:t>.”</w:t>
      </w:r>
    </w:p>
    <w:p w:rsidR="00911FCD" w:rsidRDefault="00A25F99" w:rsidP="00911FCD">
      <w:r>
        <w:t>However, since the establishment of the Fifth Assembly in May 2016, it is yet to be agreed how this will be taken forward.</w:t>
      </w:r>
      <w:r w:rsidR="00911FCD">
        <w:t xml:space="preserve"> </w:t>
      </w:r>
    </w:p>
    <w:p w:rsidR="004D2430" w:rsidRDefault="00A25F99" w:rsidP="004D2430">
      <w:pPr>
        <w:pStyle w:val="Heading2"/>
      </w:pPr>
      <w:r>
        <w:t>Is GDL needed in the UK?</w:t>
      </w:r>
    </w:p>
    <w:p w:rsidR="00A25F99" w:rsidRDefault="00A25F99" w:rsidP="00A25F99">
      <w:pPr>
        <w:spacing w:after="120"/>
        <w:rPr>
          <w:lang w:eastAsia="zh-CN"/>
        </w:rPr>
      </w:pPr>
      <w:r>
        <w:rPr>
          <w:lang w:eastAsia="zh-CN"/>
        </w:rPr>
        <w:t xml:space="preserve">Yes. </w:t>
      </w:r>
    </w:p>
    <w:p w:rsidR="00A25F99" w:rsidRDefault="00A25F99" w:rsidP="00A25F99">
      <w:pPr>
        <w:spacing w:after="120"/>
        <w:rPr>
          <w:lang w:eastAsia="zh-CN"/>
        </w:rPr>
      </w:pPr>
      <w:r>
        <w:rPr>
          <w:lang w:eastAsia="zh-CN"/>
        </w:rPr>
        <w:t xml:space="preserve">Around one in five newly qualified drivers in the UK crash within six months of obtaining their driving licence; most of these are aged </w:t>
      </w:r>
      <w:proofErr w:type="gramStart"/>
      <w:r>
        <w:rPr>
          <w:lang w:eastAsia="zh-CN"/>
        </w:rPr>
        <w:t>under</w:t>
      </w:r>
      <w:proofErr w:type="gramEnd"/>
      <w:r>
        <w:rPr>
          <w:lang w:eastAsia="zh-CN"/>
        </w:rPr>
        <w:t xml:space="preserve"> 25. Around four people are killed or seriously injured each day in the UK in crashes involving YDs.</w:t>
      </w:r>
    </w:p>
    <w:p w:rsidR="00A25F99" w:rsidRDefault="00A25F99" w:rsidP="00A25F99">
      <w:pPr>
        <w:spacing w:after="120"/>
        <w:rPr>
          <w:lang w:eastAsia="zh-CN"/>
        </w:rPr>
      </w:pPr>
      <w:r>
        <w:rPr>
          <w:lang w:eastAsia="zh-CN"/>
        </w:rPr>
        <w:t>Drivers aged 17 to 19 years old hold around 2% of driving licences in the UK, but are involved in 10 to 14% of crashes, 12 to 17% of casualty crashes a</w:t>
      </w:r>
      <w:r w:rsidR="00E646AA">
        <w:rPr>
          <w:lang w:eastAsia="zh-CN"/>
        </w:rPr>
        <w:t>nd 10 to 13% of fatal crashes (F</w:t>
      </w:r>
      <w:r>
        <w:rPr>
          <w:lang w:eastAsia="zh-CN"/>
        </w:rPr>
        <w:t xml:space="preserve">igure </w:t>
      </w:r>
      <w:r w:rsidR="00E646AA">
        <w:rPr>
          <w:lang w:eastAsia="zh-CN"/>
        </w:rPr>
        <w:t>6</w:t>
      </w:r>
      <w:r>
        <w:rPr>
          <w:lang w:eastAsia="zh-CN"/>
        </w:rPr>
        <w:t xml:space="preserve">). </w:t>
      </w:r>
    </w:p>
    <w:p w:rsidR="00683507" w:rsidRDefault="00890230" w:rsidP="00A25F99">
      <w:pPr>
        <w:spacing w:after="120"/>
        <w:rPr>
          <w:lang w:eastAsia="zh-CN"/>
        </w:rPr>
      </w:pPr>
      <w:r>
        <w:rPr>
          <w:lang w:eastAsia="zh-CN"/>
        </w:rPr>
        <w:t>(</w:t>
      </w:r>
      <w:r w:rsidR="00683507">
        <w:rPr>
          <w:lang w:eastAsia="zh-CN"/>
        </w:rPr>
        <w:t>See also section</w:t>
      </w:r>
      <w:r>
        <w:rPr>
          <w:lang w:eastAsia="zh-CN"/>
        </w:rPr>
        <w:t>s</w:t>
      </w:r>
      <w:r w:rsidR="00683507">
        <w:rPr>
          <w:lang w:eastAsia="zh-CN"/>
        </w:rPr>
        <w:t xml:space="preserve"> 2.1.2, 2.1.3, 2.1.4, 2.1.5, 2.1.6</w:t>
      </w:r>
      <w:r>
        <w:rPr>
          <w:lang w:eastAsia="zh-CN"/>
        </w:rPr>
        <w:t>.)</w:t>
      </w:r>
    </w:p>
    <w:p w:rsidR="00A25F99" w:rsidRDefault="00A25F99">
      <w:pPr>
        <w:spacing w:before="0"/>
        <w:jc w:val="left"/>
        <w:rPr>
          <w:b/>
          <w:sz w:val="20"/>
          <w:lang w:eastAsia="zh-CN"/>
        </w:rPr>
      </w:pPr>
      <w:r>
        <w:rPr>
          <w:b/>
          <w:sz w:val="20"/>
          <w:lang w:eastAsia="zh-CN"/>
        </w:rPr>
        <w:br w:type="page"/>
      </w:r>
    </w:p>
    <w:p w:rsidR="00A25F99" w:rsidRPr="00A52C33" w:rsidRDefault="00A25F99" w:rsidP="00A25F99">
      <w:pPr>
        <w:rPr>
          <w:b/>
          <w:sz w:val="20"/>
          <w:lang w:eastAsia="zh-CN"/>
        </w:rPr>
      </w:pPr>
      <w:r w:rsidRPr="00A52C33">
        <w:rPr>
          <w:b/>
          <w:sz w:val="20"/>
          <w:lang w:eastAsia="zh-CN"/>
        </w:rPr>
        <w:lastRenderedPageBreak/>
        <w:t xml:space="preserve">Figure </w:t>
      </w:r>
      <w:r w:rsidR="00E646AA">
        <w:rPr>
          <w:b/>
          <w:sz w:val="20"/>
          <w:lang w:eastAsia="zh-CN"/>
        </w:rPr>
        <w:t>6</w:t>
      </w:r>
      <w:r w:rsidRPr="00A52C33">
        <w:rPr>
          <w:b/>
          <w:sz w:val="20"/>
          <w:lang w:eastAsia="zh-CN"/>
        </w:rPr>
        <w:t xml:space="preserve">:- </w:t>
      </w:r>
      <w:r>
        <w:rPr>
          <w:b/>
          <w:sz w:val="20"/>
          <w:lang w:eastAsia="zh-CN"/>
        </w:rPr>
        <w:t>Proportion of driving</w:t>
      </w:r>
      <w:r w:rsidRPr="00A52C33">
        <w:rPr>
          <w:b/>
          <w:sz w:val="20"/>
          <w:lang w:eastAsia="zh-CN"/>
        </w:rPr>
        <w:t xml:space="preserve"> licences held by 17 to 19 year olds and proportion of 17 to 19 year olds involved in crashes, casualty crashes and fatal crashes (2009-2011), England, Scotland and Wales. Source: STATS19</w:t>
      </w:r>
    </w:p>
    <w:p w:rsidR="00A25F99" w:rsidRPr="00DB317F" w:rsidRDefault="00A25F99" w:rsidP="00A25F99">
      <w:pPr>
        <w:jc w:val="center"/>
        <w:rPr>
          <w:lang w:eastAsia="zh-CN"/>
        </w:rPr>
      </w:pPr>
      <w:r w:rsidRPr="00DB317F">
        <w:rPr>
          <w:noProof/>
          <w:lang w:eastAsia="en-GB"/>
        </w:rPr>
        <w:drawing>
          <wp:inline distT="0" distB="0" distL="0" distR="0">
            <wp:extent cx="4476750" cy="2819400"/>
            <wp:effectExtent l="19050" t="0" r="19050" b="0"/>
            <wp:docPr id="2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B3EB4" w:rsidRDefault="00CB3EB4" w:rsidP="0006754D">
      <w:pPr>
        <w:spacing w:after="120" w:line="276" w:lineRule="auto"/>
      </w:pPr>
    </w:p>
    <w:p w:rsidR="0006754D" w:rsidRDefault="0006754D" w:rsidP="0006754D">
      <w:pPr>
        <w:spacing w:after="120" w:line="276" w:lineRule="auto"/>
      </w:pPr>
      <w:r w:rsidRPr="00AB2E71">
        <w:t>As a result, the gap between young males and young females has narrowed significantly (</w:t>
      </w:r>
      <w:r w:rsidR="00E646AA">
        <w:t>F</w:t>
      </w:r>
      <w:r w:rsidRPr="00AB2E71">
        <w:t xml:space="preserve">igure </w:t>
      </w:r>
      <w:r w:rsidR="00E646AA">
        <w:t>9</w:t>
      </w:r>
      <w:r w:rsidRPr="00AB2E71">
        <w:t>).</w:t>
      </w:r>
    </w:p>
    <w:p w:rsidR="0006754D" w:rsidRDefault="0006754D" w:rsidP="0006754D">
      <w:pPr>
        <w:rPr>
          <w:b/>
          <w:sz w:val="20"/>
          <w:lang w:eastAsia="zh-CN"/>
        </w:rPr>
      </w:pPr>
    </w:p>
    <w:p w:rsidR="0006754D" w:rsidRPr="0006754D" w:rsidRDefault="0006754D" w:rsidP="0006754D">
      <w:pPr>
        <w:rPr>
          <w:b/>
          <w:sz w:val="20"/>
          <w:lang w:eastAsia="zh-CN"/>
        </w:rPr>
      </w:pPr>
      <w:r w:rsidRPr="00A52C33">
        <w:rPr>
          <w:b/>
          <w:sz w:val="20"/>
          <w:lang w:eastAsia="zh-CN"/>
        </w:rPr>
        <w:t xml:space="preserve">Figure </w:t>
      </w:r>
      <w:r w:rsidR="00E646AA">
        <w:rPr>
          <w:b/>
          <w:sz w:val="20"/>
          <w:lang w:eastAsia="zh-CN"/>
        </w:rPr>
        <w:t>9</w:t>
      </w:r>
      <w:r w:rsidRPr="00A52C33">
        <w:rPr>
          <w:b/>
          <w:sz w:val="20"/>
          <w:lang w:eastAsia="zh-CN"/>
        </w:rPr>
        <w:t xml:space="preserve">:- </w:t>
      </w:r>
      <w:r>
        <w:rPr>
          <w:b/>
          <w:sz w:val="20"/>
          <w:lang w:eastAsia="zh-CN"/>
        </w:rPr>
        <w:t>Single vehicle crash rate ratios.</w:t>
      </w:r>
      <w:r w:rsidRPr="00A52C33">
        <w:rPr>
          <w:b/>
          <w:sz w:val="20"/>
          <w:lang w:eastAsia="zh-CN"/>
        </w:rPr>
        <w:t xml:space="preserve"> Source: STATS19</w:t>
      </w:r>
    </w:p>
    <w:p w:rsidR="00A25F99" w:rsidRDefault="0006754D" w:rsidP="00A25F99">
      <w:r w:rsidRPr="0006754D">
        <w:rPr>
          <w:noProof/>
          <w:lang w:eastAsia="en-GB"/>
        </w:rPr>
        <w:drawing>
          <wp:inline distT="0" distB="0" distL="0" distR="0">
            <wp:extent cx="4696618" cy="2824162"/>
            <wp:effectExtent l="19050" t="0" r="27782" b="0"/>
            <wp:docPr id="35"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6754D" w:rsidRDefault="0006754D" w:rsidP="0006754D">
      <w:pPr>
        <w:pStyle w:val="Heading2"/>
      </w:pPr>
      <w:r>
        <w:lastRenderedPageBreak/>
        <w:t>Does GDL work?</w:t>
      </w:r>
    </w:p>
    <w:p w:rsidR="0006754D" w:rsidRPr="00D22553" w:rsidRDefault="0006754D" w:rsidP="0006754D">
      <w:pPr>
        <w:spacing w:after="120"/>
        <w:rPr>
          <w:szCs w:val="24"/>
          <w:lang w:eastAsia="zh-CN"/>
        </w:rPr>
      </w:pPr>
      <w:r w:rsidRPr="00D22553">
        <w:rPr>
          <w:szCs w:val="24"/>
          <w:lang w:eastAsia="zh-CN"/>
        </w:rPr>
        <w:t xml:space="preserve">GDL has been demonstrated to have only positive effects, both in terms </w:t>
      </w:r>
      <w:r>
        <w:rPr>
          <w:szCs w:val="24"/>
          <w:lang w:eastAsia="zh-CN"/>
        </w:rPr>
        <w:t xml:space="preserve">of </w:t>
      </w:r>
      <w:r w:rsidRPr="00D22553">
        <w:rPr>
          <w:szCs w:val="24"/>
          <w:lang w:eastAsia="zh-CN"/>
        </w:rPr>
        <w:t>fatalities, casualties and crashes, and in terms of outcomes such as teen and parent empowerment.</w:t>
      </w:r>
    </w:p>
    <w:p w:rsidR="0006754D" w:rsidRPr="00D22553" w:rsidRDefault="0006754D" w:rsidP="0006754D">
      <w:pPr>
        <w:spacing w:after="120"/>
        <w:rPr>
          <w:szCs w:val="24"/>
          <w:lang w:eastAsia="zh-CN"/>
        </w:rPr>
      </w:pPr>
      <w:r w:rsidRPr="00D22553">
        <w:rPr>
          <w:szCs w:val="24"/>
          <w:lang w:eastAsia="zh-CN"/>
        </w:rPr>
        <w:t xml:space="preserve">In 2013, a review by the Transport Research Laboratory, commissioned by the UK Department for Transport, found that there is compelling evidence that GDL has been effective at reducing collisions involving novice drivers wherever it has been implemented. It also noted that the quality and consistency of the evidence base is high and reductions in collisions are seen for novice drivers of all ages </w:t>
      </w:r>
      <w:r w:rsidR="00A46D03">
        <w:rPr>
          <w:szCs w:val="24"/>
          <w:lang w:eastAsia="zh-CN"/>
        </w:rPr>
        <w:fldChar w:fldCharType="begin"/>
      </w:r>
      <w:r w:rsidR="00C04798">
        <w:rPr>
          <w:szCs w:val="24"/>
          <w:lang w:eastAsia="zh-CN"/>
        </w:rPr>
        <w:instrText xml:space="preserve"> ADDIN ZOTERO_ITEM CSL_CITATION {"citationID":"2632idm556","properties":{"formattedCitation":"[39]","plainCitation":"[39]"},"citationItems":[{"id":834,"uris":["http://zotero.org/users/1859298/items/V4CQDU84"],"uri":["http://zotero.org/users/1859298/items/V4CQDU84"],"itemData":{"id":834,"type":"report","title":"Novice drivers: evidence review and evaluation pre-driver education and training, graduated driver licensing, and the new drivers act","publisher":"Transport Research Laboratory","publisher-place":"Crowthorne","source":"Open WorldCat","event-place":"Crowthorne","URL":"https://www.gov.uk/government/uploads/system/uploads/attachment_data/file/249282/novice-driver-research-findings.pdf","number":"PPR673","language":"English","author":[{"family":"Kinnear","given":"N"},{"family":"Lloyd","given":"L"},{"family":"Helman","given":"S"},{"family":"Husband","given":"P"},{"family":"Scoons","given":"J"},{"family":"Jones","given":"S"},{"family":"Stradling","given":"S"},{"family":"McKenna","given":"F"},{"family":"Broughton","given":"J"}],"issued":{"date-parts":[["2013"]]},"accessed":{"date-parts":[["2016",5,19]]}}}],"schema":"https://github.com/citation-style-language/schema/raw/master/csl-citation.json"} </w:instrText>
      </w:r>
      <w:r w:rsidR="00A46D03">
        <w:rPr>
          <w:szCs w:val="24"/>
          <w:lang w:eastAsia="zh-CN"/>
        </w:rPr>
        <w:fldChar w:fldCharType="separate"/>
      </w:r>
      <w:r w:rsidR="00C04798" w:rsidRPr="00C04798">
        <w:t>[39]</w:t>
      </w:r>
      <w:r w:rsidR="00A46D03">
        <w:rPr>
          <w:szCs w:val="24"/>
          <w:lang w:eastAsia="zh-CN"/>
        </w:rPr>
        <w:fldChar w:fldCharType="end"/>
      </w:r>
      <w:r w:rsidRPr="00D22553">
        <w:rPr>
          <w:szCs w:val="24"/>
          <w:lang w:eastAsia="zh-CN"/>
        </w:rPr>
        <w:t>.</w:t>
      </w:r>
    </w:p>
    <w:p w:rsidR="0006754D" w:rsidRPr="00D22553" w:rsidRDefault="0006754D" w:rsidP="0006754D">
      <w:pPr>
        <w:spacing w:after="120"/>
        <w:rPr>
          <w:szCs w:val="24"/>
          <w:lang w:eastAsia="zh-CN"/>
        </w:rPr>
      </w:pPr>
      <w:r w:rsidRPr="00D22553">
        <w:rPr>
          <w:szCs w:val="24"/>
          <w:lang w:eastAsia="zh-CN"/>
        </w:rPr>
        <w:t>In 2011, a Cochrane review</w:t>
      </w:r>
      <w:r w:rsidR="00A47720">
        <w:rPr>
          <w:szCs w:val="24"/>
          <w:lang w:eastAsia="zh-CN"/>
        </w:rPr>
        <w:t xml:space="preserve"> </w:t>
      </w:r>
      <w:r w:rsidR="00A46D03">
        <w:rPr>
          <w:szCs w:val="24"/>
          <w:lang w:eastAsia="zh-CN"/>
        </w:rPr>
        <w:fldChar w:fldCharType="begin"/>
      </w:r>
      <w:r w:rsidR="00A47720">
        <w:rPr>
          <w:szCs w:val="24"/>
          <w:lang w:eastAsia="zh-CN"/>
        </w:rPr>
        <w:instrText xml:space="preserve"> ADDIN ZOTERO_ITEM CSL_CITATION {"citationID":"d8mlu3jio","properties":{"formattedCitation":"[8]","plainCitation":"[8]"},"citationItems":[{"id":193,"uris":["http://zotero.org/users/1859298/items/8F635CHP"],"uri":["http://zotero.org/users/1859298/items/8F635CHP"],"itemData":{"id":193,"type":"report","title":"Graduated driver licensing for reducing motor vehicle crashes among young drivers","collection-title":"Cochrane Database of Systematic Reviews","publisher":"The Cochrane Collaboration","page":"68","source":"Cochrane Database of Systematic Reviews","archive":"Issue 10","archive_location":"CD003300","abstract":"Background\nBackground\n\nGraduated driver licensing (GDL) has been proposed as a means of reducing crash rates among novice drivers by gradually introducing them to higher risk driving situations.\n\nObjectives\nObjectives\n\nTo examine the effectiveness of GDL in reducing crash rates among young drivers.\n\nSearch methods\nSearch methods\n\nStudies were identified through searching MEDLINE, EMBASE, CINAHL, Healthstar, Web of Science, NTIS Bibliographic Database, TRIS Online, SIGLE, the World Wide Web, conference proceedings, consultation with experts and reference lists in relevant published literature. The searches were conducted from the time of inception to May 2009, and the Cochrane Injuries Group conducted an updated search of the TRANSPORT database in September 2009.\n\nSelection criteria\nSelection criteria\n\nStudies were included if: 1) they compared outcomes pre- and post-implementation of a GDL program within the same jurisdiction, 2) comparisons were made between jurisdictions with and without GDL, or 3) both. Studies had to report at least one objective, quantified outcome.\n\nData collection and analysis\nData collection and analysis\n\nResults were not pooled due to substantial heterogeneity. Percentage change was calculated for each year after the intervention, using one year prior to the intervention as baseline. Results were adjusted by internal controls. Analyses were stratified by denominators (population, licensed drivers). Results were calculated for the different crash types and presented for 16 year-olds alone as well as all teenage drivers.\n\nMain results\nMain results\n\nWe included 34 studies evaluating 21 GDL programs and 2 analyses of &gt;40 US states. GDL programs were implemented in the US (n=16), Canada (n=3), New Zealand (n=1), and Australia (n=1) and varied in their restrictions during the intermediate stage. Based on the Insurance Institute for Highway Safety (IIHS) classification, eleven programs were good, four were fair, five were marginal, one was poor and two could not be assessed. Reductions in crash rates were seen in all jurisdictions and for all crash types. Among 16 year-old drivers, the median decrease in per population adjusted overall crash rates during the first year was 15.5% (range -27 to -8%, five studies). There was a decrease in per population adjusted injury crash rates (median -21%, range -46 to -2%, five studies). Results for all teenage drivers, rates per licensed driver, and rates adjusting for internal controls were generally reduced when comparing within jurisdictions.\n\nAuthors' conclusions\nAuthors' conclusions\n\nGDL is effective in reducing crash rates among young drivers, although the magnitude of the effect varies. The conclusions are supported by consistent findings, temporal relationship, and plausibility of the association. Stronger GDL programs (i.e. more restrictions or higher quality based on IIHS classification) appear to result in greater fatality reduction. Future studies should focus on which components and combination of components yield the greatest reductions.","URL":"http://onlinelibrary.wiley.com/doi/10.1002/14651858.CD003300.pub3/abstract","number":"CD003300","language":"en","author":[{"family":"Russell","given":"Kelly F"},{"family":"Vandermeer","given":"Ben"},{"family":"Hartling","given":"Lisa"}],"issued":{"date-parts":[["2011",10,5]]},"accessed":{"date-parts":[["2016",4,28]]}}}],"schema":"https://github.com/citation-style-language/schema/raw/master/csl-citation.json"} </w:instrText>
      </w:r>
      <w:r w:rsidR="00A46D03">
        <w:rPr>
          <w:szCs w:val="24"/>
          <w:lang w:eastAsia="zh-CN"/>
        </w:rPr>
        <w:fldChar w:fldCharType="separate"/>
      </w:r>
      <w:r w:rsidR="00A47720" w:rsidRPr="00A47720">
        <w:t>[8]</w:t>
      </w:r>
      <w:r w:rsidR="00A46D03">
        <w:rPr>
          <w:szCs w:val="24"/>
          <w:lang w:eastAsia="zh-CN"/>
        </w:rPr>
        <w:fldChar w:fldCharType="end"/>
      </w:r>
      <w:r w:rsidRPr="00D22553">
        <w:rPr>
          <w:szCs w:val="24"/>
          <w:lang w:eastAsia="zh-CN"/>
        </w:rPr>
        <w:t xml:space="preserve"> found that </w:t>
      </w:r>
    </w:p>
    <w:p w:rsidR="0006754D" w:rsidRDefault="0006754D" w:rsidP="0006754D">
      <w:pPr>
        <w:spacing w:after="120"/>
        <w:ind w:left="720" w:right="720"/>
        <w:rPr>
          <w:szCs w:val="24"/>
          <w:lang w:eastAsia="zh-CN"/>
        </w:rPr>
      </w:pPr>
      <w:r w:rsidRPr="00D22553">
        <w:rPr>
          <w:szCs w:val="24"/>
          <w:lang w:eastAsia="zh-CN"/>
        </w:rPr>
        <w:t>“GDL is effective in reducing crash rates among young drivers, although the magnitude of the effect varies. The conclusions are supported by consistent findings, temporal relationship, and plausibility of the association. Stronger GDL programmes (i.e. more restrictions or higher quality based on IIHS classification) appear to result</w:t>
      </w:r>
      <w:r w:rsidR="00A47720">
        <w:rPr>
          <w:szCs w:val="24"/>
          <w:lang w:eastAsia="zh-CN"/>
        </w:rPr>
        <w:t xml:space="preserve"> in greater fatality reduction.”</w:t>
      </w:r>
    </w:p>
    <w:p w:rsidR="004976E7" w:rsidRDefault="00890230">
      <w:pPr>
        <w:spacing w:after="120"/>
        <w:ind w:right="720"/>
        <w:rPr>
          <w:szCs w:val="24"/>
          <w:lang w:eastAsia="zh-CN"/>
        </w:rPr>
      </w:pPr>
      <w:r>
        <w:rPr>
          <w:szCs w:val="24"/>
          <w:lang w:eastAsia="zh-CN"/>
        </w:rPr>
        <w:t>(</w:t>
      </w:r>
      <w:r w:rsidR="00683507">
        <w:rPr>
          <w:szCs w:val="24"/>
          <w:lang w:eastAsia="zh-CN"/>
        </w:rPr>
        <w:t>See also section 2.1.7</w:t>
      </w:r>
      <w:r>
        <w:rPr>
          <w:szCs w:val="24"/>
          <w:lang w:eastAsia="zh-CN"/>
        </w:rPr>
        <w:t>)</w:t>
      </w:r>
    </w:p>
    <w:p w:rsidR="0006754D" w:rsidRDefault="0006754D" w:rsidP="0006754D">
      <w:pPr>
        <w:pStyle w:val="Heading2"/>
      </w:pPr>
      <w:r>
        <w:t>Would it work in the United Kingdom?</w:t>
      </w:r>
    </w:p>
    <w:p w:rsidR="0006754D" w:rsidRDefault="0006754D" w:rsidP="0006754D">
      <w:pPr>
        <w:spacing w:after="120"/>
        <w:rPr>
          <w:lang w:eastAsia="zh-CN"/>
        </w:rPr>
      </w:pPr>
      <w:r w:rsidRPr="006C32BD">
        <w:rPr>
          <w:lang w:eastAsia="zh-CN"/>
        </w:rPr>
        <w:t>There is no good reason why it would not work in the UK.</w:t>
      </w:r>
      <w:r>
        <w:rPr>
          <w:lang w:eastAsia="zh-CN"/>
        </w:rPr>
        <w:t xml:space="preserve"> </w:t>
      </w:r>
    </w:p>
    <w:p w:rsidR="0006754D" w:rsidRDefault="0006754D" w:rsidP="0006754D">
      <w:pPr>
        <w:spacing w:after="120"/>
        <w:rPr>
          <w:lang w:eastAsia="zh-CN"/>
        </w:rPr>
      </w:pPr>
      <w:r>
        <w:rPr>
          <w:lang w:eastAsia="zh-CN"/>
        </w:rPr>
        <w:t>Obviously, it may be suggested that the UK is different to the countries in which GDL works, but, as shown by the Cochrane review, the countries in which it has been implemented, and in which it works, are all very different, yet there is still a significant impact on fatalities, casualties and crashes. It seems very unlikely that the UK would be the first place where that trend would be countered.</w:t>
      </w:r>
    </w:p>
    <w:p w:rsidR="0006754D" w:rsidRDefault="0006754D" w:rsidP="0006754D">
      <w:pPr>
        <w:spacing w:after="120"/>
        <w:rPr>
          <w:lang w:eastAsia="zh-CN"/>
        </w:rPr>
      </w:pPr>
      <w:r>
        <w:rPr>
          <w:lang w:eastAsia="zh-CN"/>
        </w:rPr>
        <w:t xml:space="preserve">In addition, analysis of police crash data for the UK indicates that many fatalities, crashes and casualties occur every year in the high risk situations that are typically covered by </w:t>
      </w:r>
      <w:r w:rsidRPr="00D314A9">
        <w:rPr>
          <w:szCs w:val="24"/>
          <w:lang w:eastAsia="zh-CN"/>
        </w:rPr>
        <w:t>GDL</w:t>
      </w:r>
      <w:r w:rsidR="00A47720">
        <w:rPr>
          <w:szCs w:val="24"/>
          <w:lang w:eastAsia="zh-CN"/>
        </w:rPr>
        <w:t xml:space="preserve"> </w:t>
      </w:r>
      <w:r w:rsidR="00A47720" w:rsidRPr="00A47720">
        <w:rPr>
          <w:szCs w:val="24"/>
          <w:lang w:eastAsia="zh-CN"/>
        </w:rPr>
        <w:t>[4]</w:t>
      </w:r>
      <w:r w:rsidRPr="00D314A9">
        <w:rPr>
          <w:szCs w:val="24"/>
          <w:lang w:eastAsia="zh-CN"/>
        </w:rPr>
        <w:t xml:space="preserve"> </w:t>
      </w:r>
      <w:r>
        <w:rPr>
          <w:lang w:eastAsia="zh-CN"/>
        </w:rPr>
        <w:t>and there is significant potential for crash, casualty and cost s</w:t>
      </w:r>
      <w:r w:rsidR="00A47720">
        <w:rPr>
          <w:lang w:eastAsia="zh-CN"/>
        </w:rPr>
        <w:t>avings if GDL was implemented (T</w:t>
      </w:r>
      <w:r>
        <w:rPr>
          <w:lang w:eastAsia="zh-CN"/>
        </w:rPr>
        <w:t xml:space="preserve">able </w:t>
      </w:r>
      <w:r w:rsidR="00A47720">
        <w:rPr>
          <w:lang w:eastAsia="zh-CN"/>
        </w:rPr>
        <w:t>3</w:t>
      </w:r>
      <w:r>
        <w:rPr>
          <w:lang w:eastAsia="zh-CN"/>
        </w:rPr>
        <w:t>).</w:t>
      </w:r>
    </w:p>
    <w:p w:rsidR="0006754D" w:rsidRDefault="0006754D" w:rsidP="0006754D">
      <w:pPr>
        <w:pStyle w:val="Heading2"/>
      </w:pPr>
      <w:r>
        <w:t>Aren’t the police too busy to enforce GDL?</w:t>
      </w:r>
    </w:p>
    <w:p w:rsidR="0006754D" w:rsidRPr="00D22553" w:rsidRDefault="0006754D" w:rsidP="0006754D">
      <w:pPr>
        <w:pStyle w:val="ListParagraph"/>
        <w:spacing w:after="120"/>
        <w:ind w:left="0"/>
        <w:rPr>
          <w:lang w:eastAsia="zh-CN"/>
        </w:rPr>
      </w:pPr>
      <w:r w:rsidRPr="00D22553">
        <w:rPr>
          <w:lang w:eastAsia="zh-CN"/>
        </w:rPr>
        <w:t>The police themselves, in the form of head of ACPO Roads Policing, Suzette Davenport, have expressed the need for GDL to be implemented.  CC Davenport has stated that the police will find ways to address enforcement and the driver identification issues that go with this.</w:t>
      </w:r>
    </w:p>
    <w:p w:rsidR="0006754D" w:rsidRDefault="0006754D" w:rsidP="0006754D">
      <w:pPr>
        <w:pStyle w:val="ListParagraph"/>
        <w:tabs>
          <w:tab w:val="left" w:pos="4725"/>
        </w:tabs>
        <w:spacing w:after="120"/>
        <w:ind w:left="0"/>
        <w:rPr>
          <w:lang w:eastAsia="zh-CN"/>
        </w:rPr>
      </w:pPr>
    </w:p>
    <w:p w:rsidR="0006754D" w:rsidRDefault="0006754D" w:rsidP="0006754D">
      <w:pPr>
        <w:pStyle w:val="ListParagraph"/>
        <w:tabs>
          <w:tab w:val="left" w:pos="4725"/>
        </w:tabs>
        <w:spacing w:after="120"/>
        <w:ind w:left="0"/>
        <w:rPr>
          <w:lang w:eastAsia="zh-CN"/>
        </w:rPr>
      </w:pPr>
      <w:r w:rsidRPr="00D22553">
        <w:rPr>
          <w:lang w:eastAsia="zh-CN"/>
        </w:rPr>
        <w:lastRenderedPageBreak/>
        <w:t>However, in all GDL systems, parents are the primary enforcers</w:t>
      </w:r>
      <w:bookmarkStart w:id="10" w:name="_GoBack"/>
      <w:bookmarkEnd w:id="10"/>
      <w:r w:rsidRPr="00D22553">
        <w:rPr>
          <w:lang w:eastAsia="zh-CN"/>
        </w:rPr>
        <w:t xml:space="preserve"> </w:t>
      </w:r>
      <w:r w:rsidR="00A46D03">
        <w:rPr>
          <w:lang w:eastAsia="zh-CN"/>
        </w:rPr>
        <w:fldChar w:fldCharType="begin"/>
      </w:r>
      <w:r w:rsidR="00C971CD">
        <w:rPr>
          <w:lang w:eastAsia="zh-CN"/>
        </w:rPr>
        <w:instrText xml:space="preserve"> ADDIN ZOTERO_ITEM CSL_CITATION {"citationID":"kpuudn1rr","properties":{"formattedCitation":"[56]","plainCitation":"[56]"},"citationItems":[{"id":2102,"uris":["http://zotero.org/users/1859298/items/QV4GMRDJ"],"uri":["http://zotero.org/users/1859298/items/QV4GMRDJ"],"itemData":{"id":2102,"type":"article-journal","title":"Graduated licensing comes to the United States","container-title":"Injury Prevention","page":"133-135","volume":"1999","issue":"5","author":[{"family":"Williams","given":"Allan F."}],"issued":{"date-parts":[["1999"]]}}}],"schema":"https://github.com/citation-style-language/schema/raw/master/csl-citation.json"} </w:instrText>
      </w:r>
      <w:r w:rsidR="00A46D03">
        <w:rPr>
          <w:lang w:eastAsia="zh-CN"/>
        </w:rPr>
        <w:fldChar w:fldCharType="separate"/>
      </w:r>
      <w:r w:rsidR="00C971CD" w:rsidRPr="00C971CD">
        <w:t>[56]</w:t>
      </w:r>
      <w:r w:rsidR="00A46D03">
        <w:rPr>
          <w:lang w:eastAsia="zh-CN"/>
        </w:rPr>
        <w:fldChar w:fldCharType="end"/>
      </w:r>
      <w:r w:rsidRPr="00D22553">
        <w:rPr>
          <w:lang w:eastAsia="zh-CN"/>
        </w:rPr>
        <w:t xml:space="preserve">. Research has found that parents are strongly supportive of GDL and do not feel that the restrictions are inconvenient </w:t>
      </w:r>
      <w:r w:rsidR="00A46D03">
        <w:rPr>
          <w:lang w:eastAsia="zh-CN"/>
        </w:rPr>
        <w:fldChar w:fldCharType="begin"/>
      </w:r>
      <w:r w:rsidR="00C971CD">
        <w:rPr>
          <w:lang w:eastAsia="zh-CN"/>
        </w:rPr>
        <w:instrText xml:space="preserve"> ADDIN ZOTERO_ITEM CSL_CITATION {"citationID":"2mjrlcn6vl","properties":{"formattedCitation":"[57]","plainCitation":"[57]"},"citationItems":[{"id":2085,"uris":["http://zotero.org/users/1859298/items/N2CD23R4"],"uri":["http://zotero.org/users/1859298/items/N2CD23R4"],"itemData":{"id":2085,"type":"article-journal","title":"Adolescent, and their parents, attitudes towards graduated driver licensing and subsequent risky driving and crashes in young adulthood","container-title":"Journal of Safety Research","page":"109-115","volume":"42","issue":"2","source":"CrossRef","DOI":"10.1016/j.jsr.2011.01.002","ISSN":"00224375","language":"en","author":[{"family":"Brookland","given":"Rebecca"},{"family":"Begg","given":"Dorothy"}],"issued":{"date-parts":[["2011",4]]}}}],"schema":"https://github.com/citation-style-language/schema/raw/master/csl-citation.json"} </w:instrText>
      </w:r>
      <w:r w:rsidR="00A46D03">
        <w:rPr>
          <w:lang w:eastAsia="zh-CN"/>
        </w:rPr>
        <w:fldChar w:fldCharType="separate"/>
      </w:r>
      <w:r w:rsidR="00C971CD" w:rsidRPr="00C971CD">
        <w:t>[57]</w:t>
      </w:r>
      <w:r w:rsidR="00A46D03">
        <w:rPr>
          <w:lang w:eastAsia="zh-CN"/>
        </w:rPr>
        <w:fldChar w:fldCharType="end"/>
      </w:r>
      <w:r w:rsidRPr="00D22553">
        <w:rPr>
          <w:lang w:eastAsia="zh-CN"/>
        </w:rPr>
        <w:t>.</w:t>
      </w:r>
    </w:p>
    <w:p w:rsidR="0006754D" w:rsidRPr="00D22553" w:rsidRDefault="0006754D" w:rsidP="0006754D">
      <w:pPr>
        <w:pStyle w:val="ListParagraph"/>
        <w:tabs>
          <w:tab w:val="left" w:pos="4725"/>
        </w:tabs>
        <w:spacing w:after="120"/>
        <w:ind w:left="0"/>
        <w:rPr>
          <w:lang w:eastAsia="zh-CN"/>
        </w:rPr>
      </w:pPr>
    </w:p>
    <w:p w:rsidR="0006754D" w:rsidRDefault="0006754D" w:rsidP="0006754D">
      <w:pPr>
        <w:pStyle w:val="ListParagraph"/>
        <w:spacing w:before="120" w:after="120"/>
        <w:ind w:left="0"/>
        <w:rPr>
          <w:lang w:eastAsia="zh-CN"/>
        </w:rPr>
      </w:pPr>
      <w:r w:rsidRPr="00D22553">
        <w:rPr>
          <w:lang w:eastAsia="zh-CN"/>
        </w:rPr>
        <w:t>In addition, there is no evidence that enforcing GDL is any more difficult than any other road safety legislation and could be made easier with the requirement for new drivers to carry an identifier (e.g. a “P” plate). Even where GDL is not strongly enforced, it still demonstrates effectiveness</w:t>
      </w:r>
      <w:r w:rsidR="00A47720">
        <w:rPr>
          <w:lang w:eastAsia="zh-CN"/>
        </w:rPr>
        <w:t xml:space="preserve"> </w:t>
      </w:r>
      <w:r w:rsidR="00A46D03">
        <w:rPr>
          <w:lang w:eastAsia="zh-CN"/>
        </w:rPr>
        <w:fldChar w:fldCharType="begin"/>
      </w:r>
      <w:r w:rsidR="00C04798">
        <w:rPr>
          <w:lang w:eastAsia="zh-CN"/>
        </w:rPr>
        <w:instrText xml:space="preserve"> ADDIN ZOTERO_ITEM CSL_CITATION {"citationID":"iumquikle","properties":{"formattedCitation":"[39]","plainCitation":"[39]"},"citationItems":[{"id":834,"uris":["http://zotero.org/users/1859298/items/V4CQDU84"],"uri":["http://zotero.org/users/1859298/items/V4CQDU84"],"itemData":{"id":834,"type":"report","title":"Novice drivers: evidence review and evaluation pre-driver education and training, graduated driver licensing, and the new drivers act","publisher":"Transport Research Laboratory","publisher-place":"Crowthorne","source":"Open WorldCat","event-place":"Crowthorne","URL":"https://www.gov.uk/government/uploads/system/uploads/attachment_data/file/249282/novice-driver-research-findings.pdf","number":"PPR673","language":"English","author":[{"family":"Kinnear","given":"N"},{"family":"Lloyd","given":"L"},{"family":"Helman","given":"S"},{"family":"Husband","given":"P"},{"family":"Scoons","given":"J"},{"family":"Jones","given":"S"},{"family":"Stradling","given":"S"},{"family":"McKenna","given":"F"},{"family":"Broughton","given":"J"}],"issued":{"date-parts":[["2013"]]},"accessed":{"date-parts":[["2016",5,19]]}}}],"schema":"https://github.com/citation-style-language/schema/raw/master/csl-citation.json"} </w:instrText>
      </w:r>
      <w:r w:rsidR="00A46D03">
        <w:rPr>
          <w:lang w:eastAsia="zh-CN"/>
        </w:rPr>
        <w:fldChar w:fldCharType="separate"/>
      </w:r>
      <w:r w:rsidR="00C04798" w:rsidRPr="00C04798">
        <w:t>[39]</w:t>
      </w:r>
      <w:r w:rsidR="00A46D03">
        <w:rPr>
          <w:lang w:eastAsia="zh-CN"/>
        </w:rPr>
        <w:fldChar w:fldCharType="end"/>
      </w:r>
      <w:r w:rsidRPr="00D22553">
        <w:rPr>
          <w:lang w:eastAsia="zh-CN"/>
        </w:rPr>
        <w:t>.</w:t>
      </w:r>
    </w:p>
    <w:p w:rsidR="0006754D" w:rsidRDefault="0006754D" w:rsidP="0006754D">
      <w:pPr>
        <w:pStyle w:val="Heading2"/>
      </w:pPr>
      <w:r>
        <w:t>Would GDL penalise the majority of law abiding teenagers?</w:t>
      </w:r>
    </w:p>
    <w:p w:rsidR="0006754D" w:rsidRPr="0006754D" w:rsidRDefault="0006754D" w:rsidP="0006754D">
      <w:r w:rsidRPr="00D22553">
        <w:rPr>
          <w:szCs w:val="24"/>
          <w:lang w:eastAsia="zh-CN"/>
        </w:rPr>
        <w:t xml:space="preserve">Research in other places suggests that most teens involved in fatal crashes do not have prior violations or crashes on their records and so potential problem drivers cannot be identified easily </w:t>
      </w:r>
      <w:r w:rsidR="00A46D03">
        <w:rPr>
          <w:szCs w:val="24"/>
          <w:lang w:eastAsia="zh-CN"/>
        </w:rPr>
        <w:fldChar w:fldCharType="begin"/>
      </w:r>
      <w:r w:rsidR="00C971CD">
        <w:rPr>
          <w:szCs w:val="24"/>
          <w:lang w:eastAsia="zh-CN"/>
        </w:rPr>
        <w:instrText xml:space="preserve"> ADDIN ZOTERO_ITEM CSL_CITATION {"citationID":"gr514q50","properties":{"formattedCitation":"[56]","plainCitation":"[56]"},"citationItems":[{"id":2102,"uris":["http://zotero.org/users/1859298/items/QV4GMRDJ"],"uri":["http://zotero.org/users/1859298/items/QV4GMRDJ"],"itemData":{"id":2102,"type":"article-journal","title":"Graduated licensing comes to the United States","container-title":"Injury Prevention","page":"133-135","volume":"1999","issue":"5","author":[{"family":"Williams","given":"Allan F."}],"issued":{"date-parts":[["1999"]]}}}],"schema":"https://github.com/citation-style-language/schema/raw/master/csl-citation.json"} </w:instrText>
      </w:r>
      <w:r w:rsidR="00A46D03">
        <w:rPr>
          <w:szCs w:val="24"/>
          <w:lang w:eastAsia="zh-CN"/>
        </w:rPr>
        <w:fldChar w:fldCharType="separate"/>
      </w:r>
      <w:r w:rsidR="00C971CD" w:rsidRPr="00C971CD">
        <w:t>[56]</w:t>
      </w:r>
      <w:r w:rsidR="00A46D03">
        <w:rPr>
          <w:szCs w:val="24"/>
          <w:lang w:eastAsia="zh-CN"/>
        </w:rPr>
        <w:fldChar w:fldCharType="end"/>
      </w:r>
      <w:r w:rsidRPr="00D22553">
        <w:rPr>
          <w:szCs w:val="24"/>
          <w:lang w:eastAsia="zh-CN"/>
        </w:rPr>
        <w:t>. Many “model” teens are killed in car crashes</w:t>
      </w:r>
      <w:r w:rsidR="00A47720">
        <w:rPr>
          <w:szCs w:val="24"/>
          <w:lang w:eastAsia="zh-CN"/>
        </w:rPr>
        <w:t xml:space="preserve"> </w:t>
      </w:r>
      <w:r w:rsidR="00A46D03">
        <w:rPr>
          <w:szCs w:val="24"/>
          <w:lang w:eastAsia="zh-CN"/>
        </w:rPr>
        <w:fldChar w:fldCharType="begin"/>
      </w:r>
      <w:r w:rsidR="00C971CD">
        <w:rPr>
          <w:szCs w:val="24"/>
          <w:lang w:eastAsia="zh-CN"/>
        </w:rPr>
        <w:instrText xml:space="preserve"> ADDIN ZOTERO_ITEM CSL_CITATION {"citationID":"3efd69tsq","properties":{"formattedCitation":"[58]","plainCitation":"[58]"},"citationItems":[{"id":2103,"uris":["http://zotero.org/users/1859298/items/GPGKZX4A"],"uri":["http://zotero.org/users/1859298/items/GPGKZX4A"],"itemData":{"id":2103,"type":"article-journal","title":"Young driver risk factors: successful and unsuccessful approaches for dealing with them and an agenda for the future","container-title":"Injury Prevention","collection-title":"The science of safe driving among adolescents","page":"i4-i8","volume":"12","issue":"suppl_1","source":"CrossRef","DOI":"10.1136/ip.2006.011783","ISSN":"1353-8047","shortTitle":"Young driver risk factors","language":"en","author":[{"family":"Williams","given":"A F"}],"issued":{"date-parts":[["2006",6,1]]}}}],"schema":"https://github.com/citation-style-language/schema/raw/master/csl-citation.json"} </w:instrText>
      </w:r>
      <w:r w:rsidR="00A46D03">
        <w:rPr>
          <w:szCs w:val="24"/>
          <w:lang w:eastAsia="zh-CN"/>
        </w:rPr>
        <w:fldChar w:fldCharType="separate"/>
      </w:r>
      <w:r w:rsidR="00C971CD" w:rsidRPr="00C971CD">
        <w:t>[58]</w:t>
      </w:r>
      <w:r w:rsidR="00A46D03">
        <w:rPr>
          <w:szCs w:val="24"/>
          <w:lang w:eastAsia="zh-CN"/>
        </w:rPr>
        <w:fldChar w:fldCharType="end"/>
      </w:r>
      <w:r w:rsidRPr="00D22553">
        <w:rPr>
          <w:szCs w:val="24"/>
          <w:lang w:eastAsia="zh-CN"/>
        </w:rPr>
        <w:t xml:space="preserve">. These findings are supported by the disproportionately high crash rate amongst </w:t>
      </w:r>
      <w:r>
        <w:rPr>
          <w:szCs w:val="24"/>
          <w:lang w:eastAsia="zh-CN"/>
        </w:rPr>
        <w:t>young drivers</w:t>
      </w:r>
      <w:r w:rsidRPr="00D22553">
        <w:rPr>
          <w:szCs w:val="24"/>
          <w:lang w:eastAsia="zh-CN"/>
        </w:rPr>
        <w:t>.</w:t>
      </w:r>
      <w:r w:rsidR="00AC7A8D">
        <w:rPr>
          <w:szCs w:val="24"/>
          <w:lang w:eastAsia="zh-CN"/>
        </w:rPr>
        <w:t xml:space="preserve"> </w:t>
      </w:r>
    </w:p>
    <w:p w:rsidR="004D2430" w:rsidRPr="004D2430" w:rsidRDefault="004D2430" w:rsidP="004D2430"/>
    <w:p w:rsidR="00840C46" w:rsidRDefault="00840C46" w:rsidP="00840C46"/>
    <w:p w:rsidR="00AA6275" w:rsidRDefault="00AA6275" w:rsidP="00840C46"/>
    <w:p w:rsidR="00A47720" w:rsidRDefault="00A47720" w:rsidP="00840C46"/>
    <w:p w:rsidR="00840C46" w:rsidRDefault="00840C46" w:rsidP="00840C46"/>
    <w:p w:rsidR="00840C46" w:rsidRDefault="00840C46" w:rsidP="00840C46"/>
    <w:p w:rsidR="003A5F3D" w:rsidRDefault="003A5F3D" w:rsidP="00840C46">
      <w:pPr>
        <w:sectPr w:rsidR="003A5F3D" w:rsidSect="00304E0B">
          <w:type w:val="continuous"/>
          <w:pgSz w:w="11909" w:h="16834" w:code="9"/>
          <w:pgMar w:top="1440" w:right="1412" w:bottom="1440" w:left="1412" w:header="720" w:footer="720" w:gutter="0"/>
          <w:cols w:space="720"/>
          <w:noEndnote/>
          <w:titlePg/>
        </w:sectPr>
      </w:pPr>
    </w:p>
    <w:p w:rsidR="00840C46" w:rsidRDefault="00840C46" w:rsidP="00840C46"/>
    <w:p w:rsidR="003A5F3D" w:rsidRDefault="003A5F3D" w:rsidP="00840C46"/>
    <w:p w:rsidR="003A5F3D" w:rsidRDefault="003A5F3D" w:rsidP="00840C46"/>
    <w:p w:rsidR="003A5F3D" w:rsidRDefault="003A5F3D" w:rsidP="00840C46">
      <w:pPr>
        <w:sectPr w:rsidR="003A5F3D" w:rsidSect="003A5F3D">
          <w:type w:val="continuous"/>
          <w:pgSz w:w="11909" w:h="16834" w:code="9"/>
          <w:pgMar w:top="1440" w:right="1412" w:bottom="1440" w:left="1412" w:header="720" w:footer="720" w:gutter="0"/>
          <w:cols w:space="720"/>
          <w:noEndnote/>
          <w:titlePg/>
        </w:sectPr>
      </w:pPr>
    </w:p>
    <w:p w:rsidR="00A649E2" w:rsidRDefault="00A649E2" w:rsidP="00A649E2">
      <w:pPr>
        <w:sectPr w:rsidR="00A649E2" w:rsidSect="003A5F3D">
          <w:type w:val="continuous"/>
          <w:pgSz w:w="11909" w:h="16834" w:code="9"/>
          <w:pgMar w:top="1440" w:right="1412" w:bottom="1440" w:left="1412" w:header="720" w:footer="720" w:gutter="0"/>
          <w:cols w:space="720"/>
          <w:noEndnote/>
          <w:titlePg/>
        </w:sectPr>
      </w:pPr>
    </w:p>
    <w:p w:rsidR="00890230" w:rsidRDefault="00890230">
      <w:pPr>
        <w:spacing w:before="0"/>
        <w:jc w:val="left"/>
        <w:rPr>
          <w:b/>
          <w:kern w:val="28"/>
          <w:sz w:val="32"/>
        </w:rPr>
      </w:pPr>
      <w:r>
        <w:lastRenderedPageBreak/>
        <w:br w:type="page"/>
      </w:r>
    </w:p>
    <w:p w:rsidR="00DF5ED8" w:rsidRDefault="003A5F3D" w:rsidP="00A61C8D">
      <w:pPr>
        <w:pStyle w:val="Heading1"/>
      </w:pPr>
      <w:r>
        <w:lastRenderedPageBreak/>
        <w:t>References</w:t>
      </w:r>
    </w:p>
    <w:p w:rsidR="00C971CD" w:rsidRDefault="00A46D03" w:rsidP="00C971CD">
      <w:pPr>
        <w:pStyle w:val="Bibliography"/>
      </w:pPr>
      <w:r>
        <w:fldChar w:fldCharType="begin"/>
      </w:r>
      <w:r w:rsidR="00C04798">
        <w:instrText xml:space="preserve"> ADDIN ZOTERO_BIBL {"custom":[]} CSL_BIBLIOGRAPHY </w:instrText>
      </w:r>
      <w:r>
        <w:fldChar w:fldCharType="separate"/>
      </w:r>
      <w:r w:rsidR="00C971CD">
        <w:t xml:space="preserve">[1] </w:t>
      </w:r>
      <w:r w:rsidR="00C971CD">
        <w:tab/>
        <w:t xml:space="preserve">Williams AF, Ferguson SA, Wells JK. Sixteen-Year-Old Drivers in Fatal Crashes, United States, 2003. </w:t>
      </w:r>
      <w:r w:rsidR="00C971CD">
        <w:rPr>
          <w:i/>
          <w:iCs/>
        </w:rPr>
        <w:t>Traffic Inj Prev</w:t>
      </w:r>
      <w:r w:rsidR="00C971CD">
        <w:t xml:space="preserve"> 2005; 6: 202–206.</w:t>
      </w:r>
    </w:p>
    <w:p w:rsidR="00C971CD" w:rsidRDefault="00C971CD" w:rsidP="00C971CD">
      <w:pPr>
        <w:pStyle w:val="Bibliography"/>
      </w:pPr>
      <w:r>
        <w:t xml:space="preserve">[2] </w:t>
      </w:r>
      <w:r>
        <w:tab/>
        <w:t xml:space="preserve">Braitman KA, Kirley BB, McCartt AT, et al. Crashes of novice teenage drivers: Characteristics and contributing factors. </w:t>
      </w:r>
      <w:r>
        <w:rPr>
          <w:i/>
          <w:iCs/>
        </w:rPr>
        <w:t>J Safety Res</w:t>
      </w:r>
      <w:r>
        <w:t xml:space="preserve"> 2008; 39: 47–54.</w:t>
      </w:r>
    </w:p>
    <w:p w:rsidR="00C971CD" w:rsidRDefault="00C971CD" w:rsidP="00C971CD">
      <w:pPr>
        <w:pStyle w:val="Bibliography"/>
      </w:pPr>
      <w:r>
        <w:t xml:space="preserve">[3] </w:t>
      </w:r>
      <w:r>
        <w:tab/>
        <w:t xml:space="preserve">Rice TM, Peek-Asa C, Kraus JF. Nighttime driving, passenger transport, and injury crash rates of young drivers. </w:t>
      </w:r>
      <w:r>
        <w:rPr>
          <w:i/>
          <w:iCs/>
        </w:rPr>
        <w:t>Inj Prev</w:t>
      </w:r>
      <w:r>
        <w:t xml:space="preserve"> 2003; 9: 245–250.</w:t>
      </w:r>
    </w:p>
    <w:p w:rsidR="00C971CD" w:rsidRDefault="00C971CD" w:rsidP="00C971CD">
      <w:pPr>
        <w:pStyle w:val="Bibliography"/>
      </w:pPr>
      <w:r>
        <w:t xml:space="preserve">[4] </w:t>
      </w:r>
      <w:r>
        <w:tab/>
        <w:t xml:space="preserve">Jones SJ, Begg DJ, Palmer SR. Reducing young driver crash casualties in Great Britain – Use of routine police crash data to estimate the potential benefits of graduated driver licensing. </w:t>
      </w:r>
      <w:r>
        <w:rPr>
          <w:i/>
          <w:iCs/>
        </w:rPr>
        <w:t>Int J Inj Contr Saf Promot</w:t>
      </w:r>
      <w:r>
        <w:t xml:space="preserve"> 2013; 20: 321–330.</w:t>
      </w:r>
    </w:p>
    <w:p w:rsidR="00C971CD" w:rsidRDefault="00C971CD" w:rsidP="00C971CD">
      <w:pPr>
        <w:pStyle w:val="Bibliography"/>
      </w:pPr>
      <w:r>
        <w:t xml:space="preserve">[5] </w:t>
      </w:r>
      <w:r>
        <w:tab/>
        <w:t xml:space="preserve">Twisk DAM, Stacey C. Trends in young driver risk and countermeasures in European countries. </w:t>
      </w:r>
      <w:r>
        <w:rPr>
          <w:i/>
          <w:iCs/>
        </w:rPr>
        <w:t>J Safety Res</w:t>
      </w:r>
      <w:r>
        <w:t xml:space="preserve"> 2007; 38: 245–257.</w:t>
      </w:r>
    </w:p>
    <w:p w:rsidR="00C971CD" w:rsidRDefault="00C971CD" w:rsidP="00C971CD">
      <w:pPr>
        <w:pStyle w:val="Bibliography"/>
      </w:pPr>
      <w:r>
        <w:t xml:space="preserve">[6] </w:t>
      </w:r>
      <w:r>
        <w:tab/>
        <w:t xml:space="preserve">Kinnear N, Lloyd L, Scoons J, et al. </w:t>
      </w:r>
      <w:r>
        <w:rPr>
          <w:i/>
          <w:iCs/>
        </w:rPr>
        <w:t>Graduated Driver Licensing. A regional analysis of potential casualty savings in Great Britain</w:t>
      </w:r>
      <w:r>
        <w:t>. London: RAC Foundation.</w:t>
      </w:r>
    </w:p>
    <w:p w:rsidR="00C971CD" w:rsidRDefault="00C971CD" w:rsidP="00C971CD">
      <w:pPr>
        <w:pStyle w:val="Bibliography"/>
      </w:pPr>
      <w:r>
        <w:t xml:space="preserve">[7] </w:t>
      </w:r>
      <w:r>
        <w:tab/>
        <w:t xml:space="preserve">Mindell JS, Leslie D, Wardlaw M. Exposure-Based, ‘Like-for-Like’ Assessment of Road Safety by Travel Mode Using Routine Health Data. </w:t>
      </w:r>
      <w:r>
        <w:rPr>
          <w:i/>
          <w:iCs/>
        </w:rPr>
        <w:t>PLoS ONE</w:t>
      </w:r>
      <w:r>
        <w:t xml:space="preserve"> 2012; 7: e50606.</w:t>
      </w:r>
    </w:p>
    <w:p w:rsidR="00C971CD" w:rsidRDefault="00C971CD" w:rsidP="00C971CD">
      <w:pPr>
        <w:pStyle w:val="Bibliography"/>
      </w:pPr>
      <w:r>
        <w:t xml:space="preserve">[8] </w:t>
      </w:r>
      <w:r>
        <w:tab/>
        <w:t xml:space="preserve">Russell KF, Vandermeer B, Hartling L. </w:t>
      </w:r>
      <w:r>
        <w:rPr>
          <w:i/>
          <w:iCs/>
        </w:rPr>
        <w:t>Graduated driver licensing for reducing motor vehicle crashes among young drivers</w:t>
      </w:r>
      <w:r>
        <w:t>. CD003300, The Cochrane Collaboration.</w:t>
      </w:r>
    </w:p>
    <w:p w:rsidR="00C971CD" w:rsidRDefault="00C971CD" w:rsidP="00C971CD">
      <w:pPr>
        <w:pStyle w:val="Bibliography"/>
      </w:pPr>
      <w:r>
        <w:t xml:space="preserve">[9] </w:t>
      </w:r>
      <w:r>
        <w:tab/>
        <w:t xml:space="preserve">Faculty of Public Health. Welcome to the homepage of FPH’s Transport SIG. </w:t>
      </w:r>
      <w:r>
        <w:rPr>
          <w:i/>
          <w:iCs/>
        </w:rPr>
        <w:t>Faculty of Public Health</w:t>
      </w:r>
      <w:r>
        <w:t>http://www.fph.org.uk/welcome_to_the_homepage_of_fph%E2%80%99s_transport_sig (accessed 24 October 2016).</w:t>
      </w:r>
    </w:p>
    <w:p w:rsidR="00C971CD" w:rsidRDefault="00C971CD" w:rsidP="00C971CD">
      <w:pPr>
        <w:pStyle w:val="Bibliography"/>
      </w:pPr>
      <w:r>
        <w:t xml:space="preserve">[10] </w:t>
      </w:r>
      <w:r>
        <w:tab/>
        <w:t xml:space="preserve">RAC Foundation. Young drivers crashes - mapping the casualties. </w:t>
      </w:r>
      <w:r>
        <w:rPr>
          <w:i/>
          <w:iCs/>
        </w:rPr>
        <w:t>RAC Foundation</w:t>
      </w:r>
      <w:r>
        <w:t>http://www.racfoundation.org/media-centre/young-driver-crashes-mapping-the-casualties-press (2014, accessed 28 April 2016).</w:t>
      </w:r>
    </w:p>
    <w:p w:rsidR="00C971CD" w:rsidRDefault="00C971CD" w:rsidP="00C971CD">
      <w:pPr>
        <w:pStyle w:val="Bibliography"/>
      </w:pPr>
      <w:r>
        <w:t xml:space="preserve">[11] </w:t>
      </w:r>
      <w:r>
        <w:tab/>
        <w:t xml:space="preserve">MacKay M, Vincenten J. </w:t>
      </w:r>
      <w:r>
        <w:rPr>
          <w:i/>
          <w:iCs/>
        </w:rPr>
        <w:t>Child Safety Report Card 2012: Europe Summary for 31 Countries</w:t>
      </w:r>
      <w:r>
        <w:t>. Birmingham: European Child Safety Alliancehttp://www.childsafetyeurope.org/publications/info/child-safety-report-cards-europe-summary-2012.pdf (2012, accessed 24 October 2016).</w:t>
      </w:r>
    </w:p>
    <w:p w:rsidR="00C971CD" w:rsidRDefault="00C971CD" w:rsidP="00C971CD">
      <w:pPr>
        <w:pStyle w:val="Bibliography"/>
      </w:pPr>
      <w:r>
        <w:lastRenderedPageBreak/>
        <w:t xml:space="preserve">[12] </w:t>
      </w:r>
      <w:r>
        <w:tab/>
        <w:t xml:space="preserve">MacKay M, Vincenten J. </w:t>
      </w:r>
      <w:r>
        <w:rPr>
          <w:i/>
          <w:iCs/>
        </w:rPr>
        <w:t>Child Safety Report Card 2012 - Wales</w:t>
      </w:r>
      <w:r>
        <w:t>. Birmingham: European Child Safety Alliancehttp://www.childsafetyeurope.org/reportcards/info/wales-report-card.pdf (6 November 2012, accessed 28 April 2016).</w:t>
      </w:r>
    </w:p>
    <w:p w:rsidR="00C971CD" w:rsidRDefault="00C971CD" w:rsidP="00C971CD">
      <w:pPr>
        <w:pStyle w:val="Bibliography"/>
      </w:pPr>
      <w:r>
        <w:t xml:space="preserve">[13] </w:t>
      </w:r>
      <w:r>
        <w:tab/>
        <w:t xml:space="preserve">World Health Organization. </w:t>
      </w:r>
      <w:r>
        <w:rPr>
          <w:i/>
          <w:iCs/>
        </w:rPr>
        <w:t>Ten strategies for keeping children safe on the road</w:t>
      </w:r>
      <w:r>
        <w:t>. WHO/NMH/NVI/15.3http://apps.who.int/iris/bitstream/10665/162176/1/WHO_NMH_NVI_15.3_eng.pdf?ua=1 (2015, accessed 24 October 2016).</w:t>
      </w:r>
    </w:p>
    <w:p w:rsidR="00C971CD" w:rsidRDefault="00C971CD" w:rsidP="00C971CD">
      <w:pPr>
        <w:pStyle w:val="Bibliography"/>
      </w:pPr>
      <w:r>
        <w:t xml:space="preserve">[14] </w:t>
      </w:r>
      <w:r>
        <w:tab/>
        <w:t xml:space="preserve">Marshall B, Parish A. </w:t>
      </w:r>
      <w:r>
        <w:rPr>
          <w:i/>
          <w:iCs/>
        </w:rPr>
        <w:t>Young Driver Safety A public attitude survey</w:t>
      </w:r>
      <w:r>
        <w:t>. London: RAC Foundation.</w:t>
      </w:r>
    </w:p>
    <w:p w:rsidR="00C971CD" w:rsidRDefault="00C971CD" w:rsidP="00C971CD">
      <w:pPr>
        <w:pStyle w:val="Bibliography"/>
      </w:pPr>
      <w:r>
        <w:t xml:space="preserve">[15] </w:t>
      </w:r>
      <w:r>
        <w:tab/>
        <w:t>Northern Ireland Assembly. Road Traffic (Amendment) Act (Northern Ireland) 2016http://www.legislation.gov.uk/nia/2016/11/contents/enacted (2016).</w:t>
      </w:r>
    </w:p>
    <w:p w:rsidR="00C971CD" w:rsidRDefault="00C971CD" w:rsidP="00C971CD">
      <w:pPr>
        <w:pStyle w:val="Bibliography"/>
      </w:pPr>
      <w:r>
        <w:t xml:space="preserve">[16] </w:t>
      </w:r>
      <w:r>
        <w:tab/>
        <w:t>Department of Infrastructure, Isle of Man Government. New measures proposed to improve road safetyhttps://www.gov.im/news/2015/oct/22/new-measures-proposed-to-improve-road-safety/ (2015, accessed 18 May 2016).</w:t>
      </w:r>
    </w:p>
    <w:p w:rsidR="00C971CD" w:rsidRDefault="00C971CD" w:rsidP="00C971CD">
      <w:pPr>
        <w:pStyle w:val="Bibliography"/>
      </w:pPr>
      <w:r>
        <w:t xml:space="preserve">[17] </w:t>
      </w:r>
      <w:r>
        <w:tab/>
        <w:t>Scottish Government. Lower drink drive limithttp://news.scotland.gov.uk/News/Lower-drink-drive-limit-12f8.aspx (2014, accessed 18 May 2016).</w:t>
      </w:r>
    </w:p>
    <w:p w:rsidR="00C971CD" w:rsidRDefault="00C971CD" w:rsidP="00C971CD">
      <w:pPr>
        <w:pStyle w:val="Bibliography"/>
      </w:pPr>
      <w:r>
        <w:t xml:space="preserve">[18] </w:t>
      </w:r>
      <w:r>
        <w:tab/>
        <w:t xml:space="preserve">Transport Scotland. </w:t>
      </w:r>
      <w:r>
        <w:rPr>
          <w:i/>
          <w:iCs/>
        </w:rPr>
        <w:t>Road Safety Framework Annual Report 2015</w:t>
      </w:r>
      <w:r>
        <w:t>. Glasgow: Transport Scotlandhttp://www.transport.gov.scot/sites/default/files/documents/rrd_reports/uploaded_reports/j419424/j419424.pdf (March 2016, accessed 24 October 2016).</w:t>
      </w:r>
    </w:p>
    <w:p w:rsidR="00C971CD" w:rsidRDefault="00C971CD" w:rsidP="00C971CD">
      <w:pPr>
        <w:pStyle w:val="Bibliography"/>
      </w:pPr>
      <w:r>
        <w:t xml:space="preserve">[19] </w:t>
      </w:r>
      <w:r>
        <w:tab/>
        <w:t xml:space="preserve">Center for Disease Control and Prevention (CDC). Graduated Driver Licensing. </w:t>
      </w:r>
      <w:r>
        <w:rPr>
          <w:i/>
          <w:iCs/>
        </w:rPr>
        <w:t>Center for Disease Control and Prevention (CDC)</w:t>
      </w:r>
      <w:r>
        <w:t>http://www.cdc.gov/phlp/publications/type/gdl.html (2016, accessed 26 October 2016).</w:t>
      </w:r>
    </w:p>
    <w:p w:rsidR="00C971CD" w:rsidRDefault="00C971CD" w:rsidP="00C971CD">
      <w:pPr>
        <w:pStyle w:val="Bibliography"/>
      </w:pPr>
      <w:r>
        <w:t xml:space="preserve">[20] </w:t>
      </w:r>
      <w:r>
        <w:tab/>
        <w:t xml:space="preserve">Mayhew D, Hing MM, Vanlaar W. </w:t>
      </w:r>
      <w:r>
        <w:rPr>
          <w:i/>
          <w:iCs/>
        </w:rPr>
        <w:t>Progression through Graduated Driver Licensing Programs: Final Report</w:t>
      </w:r>
      <w:r>
        <w:t>. Ottawa : Ontario : Canada: Traffic Injury Research Foundation.</w:t>
      </w:r>
    </w:p>
    <w:p w:rsidR="00C971CD" w:rsidRDefault="00C971CD" w:rsidP="00C971CD">
      <w:pPr>
        <w:pStyle w:val="Bibliography"/>
      </w:pPr>
      <w:r>
        <w:t xml:space="preserve">[21] </w:t>
      </w:r>
      <w:r>
        <w:tab/>
        <w:t>Government of South Australia. Graduated Licensing Schemehttp://mylicence.sa.gov.au/my-car-licence/graduated-licensing-scheme (accessed 18 May 2016).</w:t>
      </w:r>
    </w:p>
    <w:p w:rsidR="00C971CD" w:rsidRDefault="00C971CD" w:rsidP="00C971CD">
      <w:pPr>
        <w:pStyle w:val="Bibliography"/>
      </w:pPr>
      <w:r>
        <w:lastRenderedPageBreak/>
        <w:t xml:space="preserve">[22] </w:t>
      </w:r>
      <w:r>
        <w:tab/>
        <w:t>Government of South Australia. GLS - The New Ruleshttp://mylicence.sa.gov.au/gls/the_new_rules (accessed 18 May 2016).</w:t>
      </w:r>
    </w:p>
    <w:p w:rsidR="00C971CD" w:rsidRDefault="00C971CD" w:rsidP="00C971CD">
      <w:pPr>
        <w:pStyle w:val="Bibliography"/>
      </w:pPr>
      <w:r>
        <w:t xml:space="preserve">[23] </w:t>
      </w:r>
      <w:r>
        <w:tab/>
        <w:t>GovHK. Probationary Driving Licence Schemehttp://www.gov.hk/en/residents/transport/drivinglicense/pdls.htm (2015, accessed 18 May 2016).</w:t>
      </w:r>
    </w:p>
    <w:p w:rsidR="00C971CD" w:rsidRDefault="00C971CD" w:rsidP="00C971CD">
      <w:pPr>
        <w:pStyle w:val="Bibliography"/>
      </w:pPr>
      <w:r>
        <w:t xml:space="preserve">[24] </w:t>
      </w:r>
      <w:r>
        <w:tab/>
        <w:t xml:space="preserve">MacKay M, Vincenten J. </w:t>
      </w:r>
      <w:r>
        <w:rPr>
          <w:i/>
          <w:iCs/>
        </w:rPr>
        <w:t>Child Safety Report Card 2012 - Austria</w:t>
      </w:r>
      <w:r>
        <w:t>. Birmingham: European Child Safety Alliancehttp://www.childsafetyeurope.org/reportcards/info/austria-report-card.pdf (6 November 2012, accessed 26 October 2016).</w:t>
      </w:r>
    </w:p>
    <w:p w:rsidR="00C971CD" w:rsidRDefault="00C971CD" w:rsidP="00C971CD">
      <w:pPr>
        <w:pStyle w:val="Bibliography"/>
      </w:pPr>
      <w:r>
        <w:t xml:space="preserve">[25] </w:t>
      </w:r>
      <w:r>
        <w:tab/>
        <w:t xml:space="preserve">MacKay M, Vincenten J. </w:t>
      </w:r>
      <w:r>
        <w:rPr>
          <w:i/>
          <w:iCs/>
        </w:rPr>
        <w:t>Child Safety Report Card 2012 - Belgium</w:t>
      </w:r>
      <w:r>
        <w:t>. Birmingham: European Child Safety Alliancehttp://www.childsafetyeurope.org/reportcards/info/belgium-report-card.pdf (6 November 2012, accessed 26 October 2016).</w:t>
      </w:r>
    </w:p>
    <w:p w:rsidR="00C971CD" w:rsidRDefault="00C971CD" w:rsidP="00C971CD">
      <w:pPr>
        <w:pStyle w:val="Bibliography"/>
      </w:pPr>
      <w:r>
        <w:t xml:space="preserve">[26] </w:t>
      </w:r>
      <w:r>
        <w:tab/>
        <w:t xml:space="preserve">MacKay M, Vincenten J. </w:t>
      </w:r>
      <w:r>
        <w:rPr>
          <w:i/>
          <w:iCs/>
        </w:rPr>
        <w:t>Child Safety Report Card 2012 - Finland</w:t>
      </w:r>
      <w:r>
        <w:t>. Birmingham: European Child Safety Alliancehttp://www.childsafetyeurope.org/reportcards/info/finland-report-card.pdf (6 November 2012, accessed 26 October 2016).</w:t>
      </w:r>
    </w:p>
    <w:p w:rsidR="00C971CD" w:rsidRDefault="00C971CD" w:rsidP="00C971CD">
      <w:pPr>
        <w:pStyle w:val="Bibliography"/>
      </w:pPr>
      <w:r>
        <w:t xml:space="preserve">[27] </w:t>
      </w:r>
      <w:r>
        <w:tab/>
        <w:t xml:space="preserve">MacKay M, Vincenten J. </w:t>
      </w:r>
      <w:r>
        <w:rPr>
          <w:i/>
          <w:iCs/>
        </w:rPr>
        <w:t>Child Safety Report Card 2012 - France</w:t>
      </w:r>
      <w:r>
        <w:t>. Birmingham: European Child Safety Alliancehttp://www.childsafetyeurope.org/reportcards/info/france-report-card.pdf (6 November 2012, accessed 26 October 2016).</w:t>
      </w:r>
    </w:p>
    <w:p w:rsidR="00C971CD" w:rsidRDefault="00C971CD" w:rsidP="00C971CD">
      <w:pPr>
        <w:pStyle w:val="Bibliography"/>
      </w:pPr>
      <w:r>
        <w:t xml:space="preserve">[28] </w:t>
      </w:r>
      <w:r>
        <w:tab/>
        <w:t xml:space="preserve">MacKay M, Vincenten J. </w:t>
      </w:r>
      <w:r>
        <w:rPr>
          <w:i/>
          <w:iCs/>
        </w:rPr>
        <w:t>Child Safety Report Card 2012 - Germany</w:t>
      </w:r>
      <w:r>
        <w:t>. Birmingham: European Child Safety Alliancehttp://www.childsafetyeurope.org/reportcards/info/germany-report-card.pdf (6 November 2012, accessed 26 October 2016).</w:t>
      </w:r>
    </w:p>
    <w:p w:rsidR="00C971CD" w:rsidRDefault="00C971CD" w:rsidP="00C971CD">
      <w:pPr>
        <w:pStyle w:val="Bibliography"/>
      </w:pPr>
      <w:r>
        <w:t xml:space="preserve">[29] </w:t>
      </w:r>
      <w:r>
        <w:tab/>
        <w:t xml:space="preserve">MacKay M, Vincenten J. </w:t>
      </w:r>
      <w:r>
        <w:rPr>
          <w:i/>
          <w:iCs/>
        </w:rPr>
        <w:t>Child Safety Report Card 2012 - Hungary</w:t>
      </w:r>
      <w:r>
        <w:t>. Birmingham: European Child Safety Alliancehttp://www.childsafetyeurope.org/reportcards/info/hungary-report-card.pdf (6 November 2012, accessed 26 October 2016).</w:t>
      </w:r>
    </w:p>
    <w:p w:rsidR="00C971CD" w:rsidRDefault="00C971CD" w:rsidP="00C971CD">
      <w:pPr>
        <w:pStyle w:val="Bibliography"/>
      </w:pPr>
      <w:r>
        <w:t xml:space="preserve">[30] </w:t>
      </w:r>
      <w:r>
        <w:tab/>
        <w:t xml:space="preserve">MacKay M, Vincenten J. </w:t>
      </w:r>
      <w:r>
        <w:rPr>
          <w:i/>
          <w:iCs/>
        </w:rPr>
        <w:t>Child Safety Report Card 2012 - Iceland</w:t>
      </w:r>
      <w:r>
        <w:t>. Birmingham: European Child Safety Alliancehttp://www.childsafetyeurope.org/reportcards/info/iceland-report-card.pdf (6 November 2012, accessed 26 October 2016).</w:t>
      </w:r>
    </w:p>
    <w:p w:rsidR="00C971CD" w:rsidRDefault="00C971CD" w:rsidP="00C971CD">
      <w:pPr>
        <w:pStyle w:val="Bibliography"/>
      </w:pPr>
      <w:r>
        <w:t xml:space="preserve">[31] </w:t>
      </w:r>
      <w:r>
        <w:tab/>
        <w:t xml:space="preserve">MacKay M, Vincenten J. </w:t>
      </w:r>
      <w:r>
        <w:rPr>
          <w:i/>
          <w:iCs/>
        </w:rPr>
        <w:t>Child Safety Report Card 2012 - Ireland</w:t>
      </w:r>
      <w:r>
        <w:t>. Birmingham: European Child Safety Alliancehttp://www.childsafetyeurope.org/reportcards/info/ireland-report-card.pdf (6 November 2012, accessed 26 October 2016).</w:t>
      </w:r>
    </w:p>
    <w:p w:rsidR="00C971CD" w:rsidRDefault="00C971CD" w:rsidP="00C971CD">
      <w:pPr>
        <w:pStyle w:val="Bibliography"/>
      </w:pPr>
      <w:r>
        <w:lastRenderedPageBreak/>
        <w:t xml:space="preserve">[32] </w:t>
      </w:r>
      <w:r>
        <w:tab/>
        <w:t xml:space="preserve">MacKay M, Vincenten J. </w:t>
      </w:r>
      <w:r>
        <w:rPr>
          <w:i/>
          <w:iCs/>
        </w:rPr>
        <w:t>Child Safety Report Card 2012 - Italy</w:t>
      </w:r>
      <w:r>
        <w:t>. Birmingham: European Child Safety Alliancehttp://www.childsafetyeurope.org/reportcards/info/italy-report-card.pdf (6 November 2012, accessed 26 October 2016).</w:t>
      </w:r>
    </w:p>
    <w:p w:rsidR="00C971CD" w:rsidRDefault="00C971CD" w:rsidP="00C971CD">
      <w:pPr>
        <w:pStyle w:val="Bibliography"/>
      </w:pPr>
      <w:r>
        <w:t xml:space="preserve">[33] </w:t>
      </w:r>
      <w:r>
        <w:tab/>
        <w:t xml:space="preserve">MacKay M, Vincenten J. </w:t>
      </w:r>
      <w:r>
        <w:rPr>
          <w:i/>
          <w:iCs/>
        </w:rPr>
        <w:t>Child Safety Report Card 2012 - Latvia</w:t>
      </w:r>
      <w:r>
        <w:t>. Birmingham: European Child Safety Alliancehttp://www.childsafetyeurope.org/reportcards/info/latvia-report-card.pdf (6 November 2012, accessed 26 October 2016).</w:t>
      </w:r>
    </w:p>
    <w:p w:rsidR="00C971CD" w:rsidRDefault="00C971CD" w:rsidP="00C971CD">
      <w:pPr>
        <w:pStyle w:val="Bibliography"/>
      </w:pPr>
      <w:r>
        <w:t xml:space="preserve">[34] </w:t>
      </w:r>
      <w:r>
        <w:tab/>
        <w:t xml:space="preserve">MacKay M, Vincenten J. </w:t>
      </w:r>
      <w:r>
        <w:rPr>
          <w:i/>
          <w:iCs/>
        </w:rPr>
        <w:t>Child Safety Report Card 2012 - Luxembourg</w:t>
      </w:r>
      <w:r>
        <w:t>. Birmingham: European Child Safety Alliancehttp://www.childsafetyeurope.org/reportcards/info/luxembourg-report-card.pdf (6 November 2012, accessed 26 October 2016).</w:t>
      </w:r>
    </w:p>
    <w:p w:rsidR="00C971CD" w:rsidRDefault="00C971CD" w:rsidP="00C971CD">
      <w:pPr>
        <w:pStyle w:val="Bibliography"/>
      </w:pPr>
      <w:r>
        <w:t xml:space="preserve">[35] </w:t>
      </w:r>
      <w:r>
        <w:tab/>
        <w:t xml:space="preserve">MacKay M, Vincenten J. </w:t>
      </w:r>
      <w:r>
        <w:rPr>
          <w:i/>
          <w:iCs/>
        </w:rPr>
        <w:t>Child Safety Report Card 2012 - Poland</w:t>
      </w:r>
      <w:r>
        <w:t>. Birmingham: European Child Safety Alliancehttp://www.childsafetyeurope.org/reportcards/info/poland-report-card.pdf (6 November 2012, accessed 26 October 2016).</w:t>
      </w:r>
    </w:p>
    <w:p w:rsidR="00C971CD" w:rsidRDefault="00C971CD" w:rsidP="00C971CD">
      <w:pPr>
        <w:pStyle w:val="Bibliography"/>
      </w:pPr>
      <w:r>
        <w:t xml:space="preserve">[36] </w:t>
      </w:r>
      <w:r>
        <w:tab/>
        <w:t xml:space="preserve">MacKay M, Vincenten J. </w:t>
      </w:r>
      <w:r>
        <w:rPr>
          <w:i/>
          <w:iCs/>
        </w:rPr>
        <w:t>Child Safety Report Card 2012 - Portugal</w:t>
      </w:r>
      <w:r>
        <w:t>. Birmingham: European Child Safety Alliancehttp://www.childsafetyeurope.org/reportcards/info/portugal-report-card-en.pdf (6 November 2012, accessed 26 October 2016).</w:t>
      </w:r>
    </w:p>
    <w:p w:rsidR="00C971CD" w:rsidRDefault="00C971CD" w:rsidP="00C971CD">
      <w:pPr>
        <w:pStyle w:val="Bibliography"/>
      </w:pPr>
      <w:r>
        <w:t xml:space="preserve">[37] </w:t>
      </w:r>
      <w:r>
        <w:tab/>
        <w:t xml:space="preserve">MacKay M, Vincenten J. </w:t>
      </w:r>
      <w:r>
        <w:rPr>
          <w:i/>
          <w:iCs/>
        </w:rPr>
        <w:t>Child Safety Report Card 2012 - Slovenia</w:t>
      </w:r>
      <w:r>
        <w:t>. Birmingham: European Child Safety Alliancehttp://www.childsafetyeurope.org/reportcards/info/slovenia-report-card.pdf (6 November 2012, accessed 26 October 2016).</w:t>
      </w:r>
    </w:p>
    <w:p w:rsidR="00C971CD" w:rsidRDefault="00C971CD" w:rsidP="00C971CD">
      <w:pPr>
        <w:pStyle w:val="Bibliography"/>
      </w:pPr>
      <w:r>
        <w:t xml:space="preserve">[38] </w:t>
      </w:r>
      <w:r>
        <w:tab/>
        <w:t xml:space="preserve">McCartt AT, Mayhew DR, Braitman KA, et al. Effects of age and experience on young driver crashes: review of recent literature. </w:t>
      </w:r>
      <w:r>
        <w:rPr>
          <w:i/>
          <w:iCs/>
        </w:rPr>
        <w:t>Traffic Inj Prev</w:t>
      </w:r>
      <w:r>
        <w:t xml:space="preserve"> 2009; 10: 209–219.</w:t>
      </w:r>
    </w:p>
    <w:p w:rsidR="00C971CD" w:rsidRDefault="00C971CD" w:rsidP="00C971CD">
      <w:pPr>
        <w:pStyle w:val="Bibliography"/>
      </w:pPr>
      <w:r>
        <w:t xml:space="preserve">[39] </w:t>
      </w:r>
      <w:r>
        <w:tab/>
        <w:t xml:space="preserve">Kinnear N, Lloyd L, Helman S, et al. </w:t>
      </w:r>
      <w:r>
        <w:rPr>
          <w:i/>
          <w:iCs/>
        </w:rPr>
        <w:t>Novice drivers: evidence review and evaluation pre-driver education and training, graduated driver licensing, and the new drivers act</w:t>
      </w:r>
      <w:r>
        <w:t>. PPR673, Crowthorne: Transport Research Laboratoryhttps://www.gov.uk/government/uploads/system/uploads/attachment_data/file/249282/novice-driver-research-findings.pdf (2013, accessed 19 May 2016).</w:t>
      </w:r>
    </w:p>
    <w:p w:rsidR="00C971CD" w:rsidRDefault="00C971CD" w:rsidP="00C971CD">
      <w:pPr>
        <w:pStyle w:val="Bibliography"/>
      </w:pPr>
      <w:r>
        <w:t xml:space="preserve">[40] </w:t>
      </w:r>
      <w:r>
        <w:tab/>
        <w:t xml:space="preserve">Peck RC, Gebers MA, Voas RB, et al. The relationship between blood alcohol concentration (BAC), age, and crash risk. </w:t>
      </w:r>
      <w:r>
        <w:rPr>
          <w:i/>
          <w:iCs/>
        </w:rPr>
        <w:t>J Safety Res</w:t>
      </w:r>
      <w:r>
        <w:t xml:space="preserve"> 2008; 39: 311–319.</w:t>
      </w:r>
    </w:p>
    <w:p w:rsidR="00C971CD" w:rsidRDefault="00C971CD" w:rsidP="00C971CD">
      <w:pPr>
        <w:pStyle w:val="Bibliography"/>
      </w:pPr>
      <w:r>
        <w:t xml:space="preserve">[41] </w:t>
      </w:r>
      <w:r>
        <w:tab/>
        <w:t xml:space="preserve">Bingham CR, Shope JT, Parow JE, et al. Crash Types: Markers of Increased Risk of Alcohol-Involved Crashes Among Teen Drivers. </w:t>
      </w:r>
      <w:r>
        <w:rPr>
          <w:i/>
          <w:iCs/>
        </w:rPr>
        <w:t>J Stud Alcohol Drugs</w:t>
      </w:r>
      <w:r>
        <w:t xml:space="preserve"> 2009; 70: 528–535.</w:t>
      </w:r>
    </w:p>
    <w:p w:rsidR="00C971CD" w:rsidRDefault="00C971CD" w:rsidP="00C971CD">
      <w:pPr>
        <w:pStyle w:val="Bibliography"/>
      </w:pPr>
      <w:r>
        <w:lastRenderedPageBreak/>
        <w:t xml:space="preserve">[42] </w:t>
      </w:r>
      <w:r>
        <w:tab/>
        <w:t xml:space="preserve">Williams AF, Tefft BC, Grabowski JG. Graduated Driver Licensing Research, 2010-Present. </w:t>
      </w:r>
      <w:r>
        <w:rPr>
          <w:i/>
          <w:iCs/>
        </w:rPr>
        <w:t>J Safety Res</w:t>
      </w:r>
      <w:r>
        <w:t xml:space="preserve"> 2012; 43: 195–203.</w:t>
      </w:r>
    </w:p>
    <w:p w:rsidR="00C971CD" w:rsidRDefault="00C971CD" w:rsidP="00C971CD">
      <w:pPr>
        <w:pStyle w:val="Bibliography"/>
      </w:pPr>
      <w:r>
        <w:t xml:space="preserve">[43] </w:t>
      </w:r>
      <w:r>
        <w:tab/>
        <w:t xml:space="preserve">Hingson R, Heeren T, Winter M. Lower legal blood alcohol limits for young drivers. </w:t>
      </w:r>
      <w:r>
        <w:rPr>
          <w:i/>
          <w:iCs/>
        </w:rPr>
        <w:t>Public Health Rep</w:t>
      </w:r>
      <w:r>
        <w:t xml:space="preserve"> 1994; 109: 738–744.</w:t>
      </w:r>
    </w:p>
    <w:p w:rsidR="00C971CD" w:rsidRDefault="00C971CD" w:rsidP="00C971CD">
      <w:pPr>
        <w:pStyle w:val="Bibliography"/>
      </w:pPr>
      <w:r>
        <w:t xml:space="preserve">[44] </w:t>
      </w:r>
      <w:r>
        <w:tab/>
        <w:t xml:space="preserve">Shults RA, Elder RW, Sleet DA, et al. Reviews of evidence regarding interventions to reduce alcohol-impaired driving. </w:t>
      </w:r>
      <w:r>
        <w:rPr>
          <w:i/>
          <w:iCs/>
        </w:rPr>
        <w:t>Am J Prev Med</w:t>
      </w:r>
      <w:r>
        <w:t xml:space="preserve"> 2001; 21: 66–88.</w:t>
      </w:r>
    </w:p>
    <w:p w:rsidR="00C971CD" w:rsidRDefault="00C971CD" w:rsidP="00C971CD">
      <w:pPr>
        <w:pStyle w:val="Bibliography"/>
      </w:pPr>
      <w:r>
        <w:t xml:space="preserve">[45] </w:t>
      </w:r>
      <w:r>
        <w:tab/>
        <w:t xml:space="preserve">Grundy C, Steinbach R, Edwards P, et al. Effect of 20 mph traffic speed zones on road injuries in London, 1986-2006: controlled interrupted time series analysis. </w:t>
      </w:r>
      <w:r>
        <w:rPr>
          <w:i/>
          <w:iCs/>
        </w:rPr>
        <w:t>BMJ</w:t>
      </w:r>
      <w:r>
        <w:t xml:space="preserve"> 2009; 339: b4469–b4469.</w:t>
      </w:r>
    </w:p>
    <w:p w:rsidR="00C971CD" w:rsidRDefault="00C971CD" w:rsidP="00C971CD">
      <w:pPr>
        <w:pStyle w:val="Bibliography"/>
      </w:pPr>
      <w:r>
        <w:t xml:space="preserve">[46] </w:t>
      </w:r>
      <w:r>
        <w:tab/>
        <w:t xml:space="preserve">Dorling D. </w:t>
      </w:r>
      <w:r>
        <w:rPr>
          <w:i/>
          <w:iCs/>
        </w:rPr>
        <w:t>20mph Speed Limits for Cars in Residential Areas by Shops and Schools</w:t>
      </w:r>
      <w:r>
        <w:t>http://www.roadsafetygb.org.uk/misc/fckeditorFiles/file/Danny%20Dorling%20-%2020mph%20Speed%20Limits%20for%20Cars%20in%20Residential%20Areas%20by%20Shops%20and%20Schools.pdf (2014, accessed 28 January 2016).</w:t>
      </w:r>
    </w:p>
    <w:p w:rsidR="00C971CD" w:rsidRDefault="00C971CD" w:rsidP="00C971CD">
      <w:pPr>
        <w:pStyle w:val="Bibliography"/>
      </w:pPr>
      <w:r>
        <w:t xml:space="preserve">[47] </w:t>
      </w:r>
      <w:r>
        <w:tab/>
        <w:t xml:space="preserve">Hass-Klau C. </w:t>
      </w:r>
      <w:r>
        <w:rPr>
          <w:i/>
          <w:iCs/>
        </w:rPr>
        <w:t>An illustrated guide to traffic calming. The future way of managing traffic.</w:t>
      </w:r>
      <w:r>
        <w:t xml:space="preserve"> Wokingham, Berkshire United Kingdom: Transport and Road Research Laboratory (TRRL), 31 March 1991.</w:t>
      </w:r>
    </w:p>
    <w:p w:rsidR="00C971CD" w:rsidRDefault="00C971CD" w:rsidP="00C971CD">
      <w:pPr>
        <w:pStyle w:val="Bibliography"/>
      </w:pPr>
      <w:r>
        <w:t xml:space="preserve">[48] </w:t>
      </w:r>
      <w:r>
        <w:tab/>
        <w:t xml:space="preserve">Pharoah T. Focus on traffic calming in West Europe. </w:t>
      </w:r>
      <w:r>
        <w:rPr>
          <w:i/>
          <w:iCs/>
        </w:rPr>
        <w:t>Plan Pract Res</w:t>
      </w:r>
      <w:r>
        <w:t>; 8.</w:t>
      </w:r>
    </w:p>
    <w:p w:rsidR="00C971CD" w:rsidRDefault="00C971CD" w:rsidP="00C971CD">
      <w:pPr>
        <w:pStyle w:val="Bibliography"/>
      </w:pPr>
      <w:r>
        <w:t xml:space="preserve">[49] </w:t>
      </w:r>
      <w:r>
        <w:tab/>
        <w:t xml:space="preserve">Archer J, Fotheringham N, Symmons M, et al. </w:t>
      </w:r>
      <w:r>
        <w:rPr>
          <w:i/>
          <w:iCs/>
        </w:rPr>
        <w:t>The Impact of Lowered Speed Limits in Urban/Metropolitan Areas</w:t>
      </w:r>
      <w:r>
        <w:t>. Clayton, Victoria, Australia: Monash Universityhttp://www.monash.edu/__data/assets/pdf_file/0007/216736/muarc276.pdf (2008, accessed 26 October 2016).</w:t>
      </w:r>
    </w:p>
    <w:p w:rsidR="00C971CD" w:rsidRDefault="00C971CD" w:rsidP="00C971CD">
      <w:pPr>
        <w:pStyle w:val="Bibliography"/>
      </w:pPr>
      <w:r>
        <w:t xml:space="preserve">[50] </w:t>
      </w:r>
      <w:r>
        <w:tab/>
        <w:t xml:space="preserve">Cohen JM, Boniface S, Watkins S. Health implications of transport planning, development and operations. </w:t>
      </w:r>
      <w:r>
        <w:rPr>
          <w:i/>
          <w:iCs/>
        </w:rPr>
        <w:t>J Transp Health</w:t>
      </w:r>
      <w:r>
        <w:t xml:space="preserve"> 2014; 1: 63–72.</w:t>
      </w:r>
    </w:p>
    <w:p w:rsidR="00C971CD" w:rsidRDefault="00C971CD" w:rsidP="00C971CD">
      <w:pPr>
        <w:pStyle w:val="Bibliography"/>
      </w:pPr>
      <w:r>
        <w:t xml:space="preserve">[51] </w:t>
      </w:r>
      <w:r>
        <w:tab/>
        <w:t xml:space="preserve">National Institute for Health and Care Excellence (NICE). </w:t>
      </w:r>
      <w:r>
        <w:rPr>
          <w:i/>
          <w:iCs/>
        </w:rPr>
        <w:t>Unintentional injuries on the road: interventions for under 15s</w:t>
      </w:r>
      <w:r>
        <w:t>. Public Health Guideline PH31, Manchester: National Institute for Health and Care Excellence (NICE)https://www.nice.org.uk/guidance/ph31/resources/unintentional-injuries-on-the-road-interventions-for-under-15s-1996292434885 (24 November 2010, accessed 26 October 2016).</w:t>
      </w:r>
    </w:p>
    <w:p w:rsidR="00C971CD" w:rsidRDefault="00C971CD" w:rsidP="00C971CD">
      <w:pPr>
        <w:pStyle w:val="Bibliography"/>
      </w:pPr>
      <w:r>
        <w:lastRenderedPageBreak/>
        <w:t xml:space="preserve">[52] </w:t>
      </w:r>
      <w:r>
        <w:tab/>
        <w:t xml:space="preserve">Lawton B, Charman S, Kinnear N, et al. </w:t>
      </w:r>
      <w:r>
        <w:rPr>
          <w:i/>
          <w:iCs/>
        </w:rPr>
        <w:t>A summary of the evidence on the costs and benefits of speed limit reduction</w:t>
      </w:r>
      <w:r>
        <w:t>. Client Project Report CPR1398, Transport Research Laboratory, 2012.</w:t>
      </w:r>
    </w:p>
    <w:p w:rsidR="00C971CD" w:rsidRDefault="00C971CD" w:rsidP="00C971CD">
      <w:pPr>
        <w:pStyle w:val="Bibliography"/>
      </w:pPr>
      <w:r>
        <w:t xml:space="preserve">[53] </w:t>
      </w:r>
      <w:r>
        <w:tab/>
        <w:t xml:space="preserve">OECD. </w:t>
      </w:r>
      <w:r>
        <w:rPr>
          <w:i/>
          <w:iCs/>
        </w:rPr>
        <w:t>The Cost of Air Pollution: Health Impacts of Road Transport</w:t>
      </w:r>
      <w:r>
        <w:t>. OECD Publishinghttp://dx.doi.org/10.1787/9789264210448-en (2014, accessed 26 October 2016).</w:t>
      </w:r>
    </w:p>
    <w:p w:rsidR="00C971CD" w:rsidRDefault="00C971CD" w:rsidP="00C971CD">
      <w:pPr>
        <w:pStyle w:val="Bibliography"/>
      </w:pPr>
      <w:r>
        <w:t xml:space="preserve">[54] </w:t>
      </w:r>
      <w:r>
        <w:tab/>
        <w:t>National Assembly for Wales. Well-being of Future Generations (Wales) Act 2015. 2015 anaw2http://www.legislation.gov.uk/anaw/2015/2/contents (2015, accessed 12 April 2016).</w:t>
      </w:r>
    </w:p>
    <w:p w:rsidR="00C971CD" w:rsidRDefault="00C971CD" w:rsidP="00C971CD">
      <w:pPr>
        <w:pStyle w:val="Bibliography"/>
      </w:pPr>
      <w:r>
        <w:t xml:space="preserve">[55] </w:t>
      </w:r>
      <w:r>
        <w:tab/>
        <w:t xml:space="preserve">Hepple B, Nuffield Council on Bioethics (eds). Box 3.2: The Intervention Ladder. In: </w:t>
      </w:r>
      <w:r>
        <w:rPr>
          <w:i/>
          <w:iCs/>
        </w:rPr>
        <w:t>Public health: ethical issues</w:t>
      </w:r>
      <w:r>
        <w:t>. London: Nuffield Council on Bioethics, p. 42.</w:t>
      </w:r>
    </w:p>
    <w:p w:rsidR="00C971CD" w:rsidRDefault="00C971CD" w:rsidP="00C971CD">
      <w:pPr>
        <w:pStyle w:val="Bibliography"/>
      </w:pPr>
      <w:r>
        <w:t xml:space="preserve">[56] </w:t>
      </w:r>
      <w:r>
        <w:tab/>
        <w:t xml:space="preserve">Williams AF. Graduated licensing comes to the United States. </w:t>
      </w:r>
      <w:r>
        <w:rPr>
          <w:i/>
          <w:iCs/>
        </w:rPr>
        <w:t>Inj Prev</w:t>
      </w:r>
      <w:r>
        <w:t xml:space="preserve"> 1999; 1999: 133–135.</w:t>
      </w:r>
    </w:p>
    <w:p w:rsidR="00C971CD" w:rsidRDefault="00C971CD" w:rsidP="00C971CD">
      <w:pPr>
        <w:pStyle w:val="Bibliography"/>
      </w:pPr>
      <w:r>
        <w:t xml:space="preserve">[57] </w:t>
      </w:r>
      <w:r>
        <w:tab/>
        <w:t xml:space="preserve">Brookland R, Begg D. Adolescent, and their parents, attitudes towards graduated driver licensing and subsequent risky driving and crashes in young adulthood. </w:t>
      </w:r>
      <w:r>
        <w:rPr>
          <w:i/>
          <w:iCs/>
        </w:rPr>
        <w:t>J Safety Res</w:t>
      </w:r>
      <w:r>
        <w:t xml:space="preserve"> 2011; 42: 109–115.</w:t>
      </w:r>
    </w:p>
    <w:p w:rsidR="00C971CD" w:rsidRDefault="00C971CD" w:rsidP="00C971CD">
      <w:pPr>
        <w:pStyle w:val="Bibliography"/>
      </w:pPr>
      <w:r>
        <w:t xml:space="preserve">[58] </w:t>
      </w:r>
      <w:r>
        <w:tab/>
        <w:t xml:space="preserve">Williams AF. Young driver risk factors: successful and unsuccessful approaches for dealing with them and an agenda for the future. </w:t>
      </w:r>
      <w:r>
        <w:rPr>
          <w:i/>
          <w:iCs/>
        </w:rPr>
        <w:t>Inj Prev</w:t>
      </w:r>
      <w:r>
        <w:t xml:space="preserve"> 2006; 12: i4–i8.</w:t>
      </w:r>
    </w:p>
    <w:p w:rsidR="00986E07" w:rsidRDefault="00A46D03" w:rsidP="0081360A">
      <w:pPr>
        <w:pStyle w:val="Bibliography"/>
        <w:jc w:val="left"/>
      </w:pPr>
      <w:r>
        <w:fldChar w:fldCharType="end"/>
      </w:r>
    </w:p>
    <w:sectPr w:rsidR="00986E07" w:rsidSect="003A5F3D">
      <w:type w:val="continuous"/>
      <w:pgSz w:w="11909" w:h="16834" w:code="9"/>
      <w:pgMar w:top="1440" w:right="1412" w:bottom="1440" w:left="1412" w:header="720" w:footer="720" w:gutter="0"/>
      <w:cols w:space="72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4CDC" w:rsidRDefault="00314CDC">
      <w:r>
        <w:separator/>
      </w:r>
    </w:p>
  </w:endnote>
  <w:endnote w:type="continuationSeparator" w:id="0">
    <w:p w:rsidR="00314CDC" w:rsidRDefault="00314CD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Arial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0"/>
      <w:gridCol w:w="3100"/>
      <w:gridCol w:w="3101"/>
    </w:tblGrid>
    <w:tr w:rsidR="00314CDC" w:rsidRPr="0021053E" w:rsidTr="00A649E2">
      <w:trPr>
        <w:jc w:val="center"/>
      </w:trPr>
      <w:tc>
        <w:tcPr>
          <w:tcW w:w="3100" w:type="dxa"/>
        </w:tcPr>
        <w:p w:rsidR="00314CDC" w:rsidRPr="00DC3444" w:rsidRDefault="00314CDC" w:rsidP="006B02DC">
          <w:pPr>
            <w:pStyle w:val="Footer"/>
            <w:tabs>
              <w:tab w:val="clear" w:pos="4320"/>
              <w:tab w:val="clear" w:pos="8640"/>
              <w:tab w:val="center" w:pos="4500"/>
              <w:tab w:val="right" w:pos="9090"/>
            </w:tabs>
            <w:jc w:val="center"/>
            <w:rPr>
              <w:rFonts w:ascii="Verdana" w:hAnsi="Verdana"/>
              <w:b/>
            </w:rPr>
          </w:pPr>
          <w:r>
            <w:rPr>
              <w:rFonts w:ascii="Verdana" w:hAnsi="Verdana"/>
              <w:b/>
            </w:rPr>
            <w:t xml:space="preserve">Date: </w:t>
          </w:r>
          <w:r w:rsidR="006B02DC">
            <w:rPr>
              <w:rFonts w:ascii="Verdana" w:hAnsi="Verdana"/>
              <w:b/>
            </w:rPr>
            <w:t>29/11</w:t>
          </w:r>
          <w:r w:rsidRPr="00DC3444">
            <w:rPr>
              <w:rFonts w:ascii="Verdana" w:hAnsi="Verdana"/>
              <w:b/>
            </w:rPr>
            <w:t>/2016</w:t>
          </w:r>
        </w:p>
      </w:tc>
      <w:tc>
        <w:tcPr>
          <w:tcW w:w="3100" w:type="dxa"/>
        </w:tcPr>
        <w:p w:rsidR="00314CDC" w:rsidRPr="00DC3444" w:rsidRDefault="00314CDC" w:rsidP="00890230">
          <w:pPr>
            <w:pStyle w:val="Footer"/>
            <w:tabs>
              <w:tab w:val="clear" w:pos="4320"/>
              <w:tab w:val="clear" w:pos="8640"/>
              <w:tab w:val="center" w:pos="4500"/>
              <w:tab w:val="right" w:pos="9090"/>
            </w:tabs>
            <w:jc w:val="center"/>
            <w:rPr>
              <w:rFonts w:ascii="Verdana" w:hAnsi="Verdana"/>
              <w:b/>
            </w:rPr>
          </w:pPr>
          <w:r w:rsidRPr="00DC3444">
            <w:rPr>
              <w:rFonts w:ascii="Verdana" w:hAnsi="Verdana"/>
              <w:b/>
            </w:rPr>
            <w:t xml:space="preserve">Version: </w:t>
          </w:r>
          <w:r>
            <w:rPr>
              <w:rFonts w:ascii="Verdana" w:hAnsi="Verdana"/>
              <w:b/>
            </w:rPr>
            <w:t>2</w:t>
          </w:r>
        </w:p>
      </w:tc>
      <w:tc>
        <w:tcPr>
          <w:tcW w:w="3101" w:type="dxa"/>
        </w:tcPr>
        <w:p w:rsidR="00314CDC" w:rsidRPr="00DC3444" w:rsidRDefault="00314CDC" w:rsidP="00DC3444">
          <w:pPr>
            <w:pStyle w:val="Footer"/>
            <w:tabs>
              <w:tab w:val="clear" w:pos="4320"/>
              <w:tab w:val="clear" w:pos="8640"/>
              <w:tab w:val="center" w:pos="4500"/>
              <w:tab w:val="right" w:pos="9090"/>
            </w:tabs>
            <w:jc w:val="center"/>
            <w:rPr>
              <w:rFonts w:ascii="Verdana" w:hAnsi="Verdana"/>
              <w:b/>
            </w:rPr>
          </w:pPr>
          <w:r w:rsidRPr="00DC3444">
            <w:rPr>
              <w:rFonts w:ascii="Verdana" w:hAnsi="Verdana"/>
              <w:b/>
            </w:rPr>
            <w:t xml:space="preserve">Page: </w:t>
          </w:r>
          <w:r w:rsidR="00A46D03" w:rsidRPr="00DC3444">
            <w:rPr>
              <w:rStyle w:val="PageNumber"/>
              <w:rFonts w:ascii="Verdana" w:hAnsi="Verdana"/>
            </w:rPr>
            <w:fldChar w:fldCharType="begin"/>
          </w:r>
          <w:r w:rsidRPr="00DC3444">
            <w:rPr>
              <w:rStyle w:val="PageNumber"/>
              <w:rFonts w:ascii="Verdana" w:hAnsi="Verdana"/>
            </w:rPr>
            <w:instrText xml:space="preserve"> PAGE </w:instrText>
          </w:r>
          <w:r w:rsidR="00A46D03" w:rsidRPr="00DC3444">
            <w:rPr>
              <w:rStyle w:val="PageNumber"/>
              <w:rFonts w:ascii="Verdana" w:hAnsi="Verdana"/>
            </w:rPr>
            <w:fldChar w:fldCharType="separate"/>
          </w:r>
          <w:r w:rsidR="006B02DC">
            <w:rPr>
              <w:rStyle w:val="PageNumber"/>
              <w:rFonts w:ascii="Verdana" w:hAnsi="Verdana"/>
              <w:noProof/>
            </w:rPr>
            <w:t>21</w:t>
          </w:r>
          <w:r w:rsidR="00A46D03" w:rsidRPr="00DC3444">
            <w:rPr>
              <w:rStyle w:val="PageNumber"/>
              <w:rFonts w:ascii="Verdana" w:hAnsi="Verdana"/>
            </w:rPr>
            <w:fldChar w:fldCharType="end"/>
          </w:r>
          <w:r w:rsidRPr="00DC3444">
            <w:rPr>
              <w:rStyle w:val="PageNumber"/>
              <w:rFonts w:ascii="Verdana" w:hAnsi="Verdana"/>
            </w:rPr>
            <w:t xml:space="preserve"> of </w:t>
          </w:r>
          <w:r w:rsidR="00A46D03" w:rsidRPr="00DC3444">
            <w:rPr>
              <w:rStyle w:val="PageNumber"/>
              <w:rFonts w:ascii="Verdana" w:hAnsi="Verdana"/>
            </w:rPr>
            <w:fldChar w:fldCharType="begin"/>
          </w:r>
          <w:r w:rsidRPr="00DC3444">
            <w:rPr>
              <w:rStyle w:val="PageNumber"/>
              <w:rFonts w:ascii="Verdana" w:hAnsi="Verdana"/>
            </w:rPr>
            <w:instrText xml:space="preserve"> NUMPAGES </w:instrText>
          </w:r>
          <w:r w:rsidR="00A46D03" w:rsidRPr="00DC3444">
            <w:rPr>
              <w:rStyle w:val="PageNumber"/>
              <w:rFonts w:ascii="Verdana" w:hAnsi="Verdana"/>
            </w:rPr>
            <w:fldChar w:fldCharType="separate"/>
          </w:r>
          <w:r w:rsidR="006B02DC">
            <w:rPr>
              <w:rStyle w:val="PageNumber"/>
              <w:rFonts w:ascii="Verdana" w:hAnsi="Verdana"/>
              <w:noProof/>
            </w:rPr>
            <w:t>21</w:t>
          </w:r>
          <w:r w:rsidR="00A46D03" w:rsidRPr="00DC3444">
            <w:rPr>
              <w:rStyle w:val="PageNumber"/>
              <w:rFonts w:ascii="Verdana" w:hAnsi="Verdana"/>
            </w:rPr>
            <w:fldChar w:fldCharType="end"/>
          </w:r>
        </w:p>
      </w:tc>
    </w:tr>
  </w:tbl>
  <w:p w:rsidR="00314CDC" w:rsidRDefault="00314CDC" w:rsidP="00304E0B">
    <w:pPr>
      <w:pStyle w:val="Footer"/>
      <w:tabs>
        <w:tab w:val="clear" w:pos="4320"/>
        <w:tab w:val="clear" w:pos="8640"/>
        <w:tab w:val="center" w:pos="4500"/>
        <w:tab w:val="right" w:pos="9090"/>
      </w:tabs>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0"/>
      <w:gridCol w:w="3100"/>
      <w:gridCol w:w="3101"/>
    </w:tblGrid>
    <w:tr w:rsidR="00314CDC" w:rsidRPr="0021053E" w:rsidTr="00A649E2">
      <w:trPr>
        <w:jc w:val="center"/>
      </w:trPr>
      <w:tc>
        <w:tcPr>
          <w:tcW w:w="3100" w:type="dxa"/>
        </w:tcPr>
        <w:p w:rsidR="00314CDC" w:rsidRPr="00DC3444" w:rsidRDefault="00314CDC" w:rsidP="006B02DC">
          <w:pPr>
            <w:pStyle w:val="Footer"/>
            <w:tabs>
              <w:tab w:val="clear" w:pos="4320"/>
              <w:tab w:val="clear" w:pos="8640"/>
              <w:tab w:val="center" w:pos="4500"/>
              <w:tab w:val="right" w:pos="9090"/>
            </w:tabs>
            <w:jc w:val="center"/>
            <w:rPr>
              <w:rFonts w:ascii="Verdana" w:hAnsi="Verdana"/>
              <w:b/>
            </w:rPr>
          </w:pPr>
          <w:r>
            <w:rPr>
              <w:rFonts w:ascii="Verdana" w:hAnsi="Verdana"/>
              <w:b/>
            </w:rPr>
            <w:t xml:space="preserve">Date: </w:t>
          </w:r>
          <w:r w:rsidR="006B02DC">
            <w:rPr>
              <w:rFonts w:ascii="Verdana" w:hAnsi="Verdana"/>
              <w:b/>
            </w:rPr>
            <w:t>29/11/2016</w:t>
          </w:r>
        </w:p>
      </w:tc>
      <w:tc>
        <w:tcPr>
          <w:tcW w:w="3100" w:type="dxa"/>
        </w:tcPr>
        <w:p w:rsidR="00314CDC" w:rsidRPr="00DC3444" w:rsidRDefault="00314CDC" w:rsidP="00B65A4F">
          <w:pPr>
            <w:pStyle w:val="Footer"/>
            <w:tabs>
              <w:tab w:val="clear" w:pos="4320"/>
              <w:tab w:val="clear" w:pos="8640"/>
              <w:tab w:val="center" w:pos="4500"/>
              <w:tab w:val="right" w:pos="9090"/>
            </w:tabs>
            <w:jc w:val="center"/>
            <w:rPr>
              <w:rFonts w:ascii="Verdana" w:hAnsi="Verdana"/>
              <w:b/>
            </w:rPr>
          </w:pPr>
          <w:r w:rsidRPr="00DC3444">
            <w:rPr>
              <w:rFonts w:ascii="Verdana" w:hAnsi="Verdana"/>
              <w:b/>
            </w:rPr>
            <w:t>Version:</w:t>
          </w:r>
          <w:r>
            <w:rPr>
              <w:rFonts w:ascii="Verdana" w:hAnsi="Verdana"/>
              <w:b/>
            </w:rPr>
            <w:t xml:space="preserve"> 2</w:t>
          </w:r>
        </w:p>
      </w:tc>
      <w:tc>
        <w:tcPr>
          <w:tcW w:w="3101" w:type="dxa"/>
        </w:tcPr>
        <w:p w:rsidR="00314CDC" w:rsidRPr="00DC3444" w:rsidRDefault="00314CDC" w:rsidP="00A649E2">
          <w:pPr>
            <w:pStyle w:val="Footer"/>
            <w:tabs>
              <w:tab w:val="clear" w:pos="4320"/>
              <w:tab w:val="clear" w:pos="8640"/>
              <w:tab w:val="center" w:pos="4500"/>
              <w:tab w:val="right" w:pos="9090"/>
            </w:tabs>
            <w:jc w:val="center"/>
            <w:rPr>
              <w:rFonts w:ascii="Verdana" w:hAnsi="Verdana"/>
              <w:b/>
            </w:rPr>
          </w:pPr>
          <w:r w:rsidRPr="00DC3444">
            <w:rPr>
              <w:rFonts w:ascii="Verdana" w:hAnsi="Verdana"/>
              <w:b/>
            </w:rPr>
            <w:t xml:space="preserve">Page: </w:t>
          </w:r>
          <w:r w:rsidR="00A46D03" w:rsidRPr="00DC3444">
            <w:rPr>
              <w:rStyle w:val="PageNumber"/>
              <w:rFonts w:ascii="Verdana" w:hAnsi="Verdana"/>
            </w:rPr>
            <w:fldChar w:fldCharType="begin"/>
          </w:r>
          <w:r w:rsidRPr="00DC3444">
            <w:rPr>
              <w:rStyle w:val="PageNumber"/>
              <w:rFonts w:ascii="Verdana" w:hAnsi="Verdana"/>
            </w:rPr>
            <w:instrText xml:space="preserve"> PAGE </w:instrText>
          </w:r>
          <w:r w:rsidR="00A46D03" w:rsidRPr="00DC3444">
            <w:rPr>
              <w:rStyle w:val="PageNumber"/>
              <w:rFonts w:ascii="Verdana" w:hAnsi="Verdana"/>
            </w:rPr>
            <w:fldChar w:fldCharType="separate"/>
          </w:r>
          <w:r w:rsidR="006B02DC">
            <w:rPr>
              <w:rStyle w:val="PageNumber"/>
              <w:rFonts w:ascii="Verdana" w:hAnsi="Verdana"/>
              <w:noProof/>
            </w:rPr>
            <w:t>1</w:t>
          </w:r>
          <w:r w:rsidR="00A46D03" w:rsidRPr="00DC3444">
            <w:rPr>
              <w:rStyle w:val="PageNumber"/>
              <w:rFonts w:ascii="Verdana" w:hAnsi="Verdana"/>
            </w:rPr>
            <w:fldChar w:fldCharType="end"/>
          </w:r>
          <w:r w:rsidRPr="00DC3444">
            <w:rPr>
              <w:rStyle w:val="PageNumber"/>
              <w:rFonts w:ascii="Verdana" w:hAnsi="Verdana"/>
            </w:rPr>
            <w:t xml:space="preserve"> of </w:t>
          </w:r>
          <w:r w:rsidR="00A46D03" w:rsidRPr="00DC3444">
            <w:rPr>
              <w:rStyle w:val="PageNumber"/>
              <w:rFonts w:ascii="Verdana" w:hAnsi="Verdana"/>
            </w:rPr>
            <w:fldChar w:fldCharType="begin"/>
          </w:r>
          <w:r w:rsidRPr="00DC3444">
            <w:rPr>
              <w:rStyle w:val="PageNumber"/>
              <w:rFonts w:ascii="Verdana" w:hAnsi="Verdana"/>
            </w:rPr>
            <w:instrText xml:space="preserve"> NUMPAGES </w:instrText>
          </w:r>
          <w:r w:rsidR="00A46D03" w:rsidRPr="00DC3444">
            <w:rPr>
              <w:rStyle w:val="PageNumber"/>
              <w:rFonts w:ascii="Verdana" w:hAnsi="Verdana"/>
            </w:rPr>
            <w:fldChar w:fldCharType="separate"/>
          </w:r>
          <w:r w:rsidR="006B02DC">
            <w:rPr>
              <w:rStyle w:val="PageNumber"/>
              <w:rFonts w:ascii="Verdana" w:hAnsi="Verdana"/>
              <w:noProof/>
            </w:rPr>
            <w:t>21</w:t>
          </w:r>
          <w:r w:rsidR="00A46D03" w:rsidRPr="00DC3444">
            <w:rPr>
              <w:rStyle w:val="PageNumber"/>
              <w:rFonts w:ascii="Verdana" w:hAnsi="Verdana"/>
            </w:rPr>
            <w:fldChar w:fldCharType="end"/>
          </w:r>
        </w:p>
      </w:tc>
    </w:tr>
  </w:tbl>
  <w:p w:rsidR="00314CDC" w:rsidRDefault="00314CD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4CDC" w:rsidRDefault="00314CDC">
      <w:r>
        <w:separator/>
      </w:r>
    </w:p>
  </w:footnote>
  <w:footnote w:type="continuationSeparator" w:id="0">
    <w:p w:rsidR="00314CDC" w:rsidRDefault="00314CD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9"/>
      <w:gridCol w:w="7492"/>
    </w:tblGrid>
    <w:tr w:rsidR="00314CDC" w:rsidRPr="0021053E" w:rsidTr="00B65A4F">
      <w:trPr>
        <w:jc w:val="center"/>
      </w:trPr>
      <w:tc>
        <w:tcPr>
          <w:tcW w:w="1809" w:type="dxa"/>
        </w:tcPr>
        <w:p w:rsidR="00314CDC" w:rsidRPr="00DC3444" w:rsidRDefault="00314CDC">
          <w:pPr>
            <w:pStyle w:val="Header"/>
            <w:rPr>
              <w:rFonts w:ascii="Verdana" w:hAnsi="Verdana"/>
            </w:rPr>
          </w:pPr>
          <w:r w:rsidRPr="00DC3444">
            <w:rPr>
              <w:rFonts w:ascii="Verdana" w:hAnsi="Verdana"/>
            </w:rPr>
            <w:t>Public Health Wales</w:t>
          </w:r>
        </w:p>
      </w:tc>
      <w:tc>
        <w:tcPr>
          <w:tcW w:w="7492" w:type="dxa"/>
        </w:tcPr>
        <w:p w:rsidR="00314CDC" w:rsidRDefault="00314CDC" w:rsidP="00DC3444">
          <w:pPr>
            <w:pStyle w:val="Header"/>
            <w:jc w:val="right"/>
            <w:rPr>
              <w:rFonts w:ascii="Verdana" w:hAnsi="Verdana"/>
              <w:i/>
            </w:rPr>
          </w:pPr>
          <w:r w:rsidRPr="00B65A4F">
            <w:rPr>
              <w:rFonts w:ascii="Verdana" w:hAnsi="Verdana"/>
            </w:rPr>
            <w:t xml:space="preserve">Background Paper – </w:t>
          </w:r>
          <w:r w:rsidRPr="00B65A4F">
            <w:rPr>
              <w:rFonts w:ascii="Verdana" w:hAnsi="Verdana"/>
              <w:i/>
            </w:rPr>
            <w:t xml:space="preserve">Public Health Wales </w:t>
          </w:r>
          <w:r>
            <w:rPr>
              <w:rFonts w:ascii="Verdana" w:hAnsi="Verdana"/>
              <w:i/>
            </w:rPr>
            <w:t>supports the introduction</w:t>
          </w:r>
        </w:p>
        <w:p w:rsidR="00314CDC" w:rsidRPr="00B65A4F" w:rsidRDefault="00314CDC" w:rsidP="00DC3444">
          <w:pPr>
            <w:pStyle w:val="Header"/>
            <w:jc w:val="right"/>
            <w:rPr>
              <w:rFonts w:ascii="Verdana" w:hAnsi="Verdana"/>
            </w:rPr>
          </w:pPr>
          <w:r w:rsidRPr="00B65A4F">
            <w:rPr>
              <w:rFonts w:ascii="Verdana" w:hAnsi="Verdana"/>
              <w:i/>
            </w:rPr>
            <w:t>of Graduated Driving Licensing (GDL) for new drivers in Great Britain</w:t>
          </w:r>
        </w:p>
      </w:tc>
    </w:tr>
  </w:tbl>
  <w:p w:rsidR="00314CDC" w:rsidRDefault="00314CD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5"/>
      <w:gridCol w:w="7066"/>
    </w:tblGrid>
    <w:tr w:rsidR="00314CDC" w:rsidRPr="0021053E" w:rsidTr="00A649E2">
      <w:trPr>
        <w:jc w:val="center"/>
      </w:trPr>
      <w:tc>
        <w:tcPr>
          <w:tcW w:w="2235" w:type="dxa"/>
        </w:tcPr>
        <w:p w:rsidR="00314CDC" w:rsidRPr="00DC3444" w:rsidRDefault="00314CDC" w:rsidP="00A649E2">
          <w:pPr>
            <w:pStyle w:val="Header"/>
            <w:rPr>
              <w:rFonts w:ascii="Verdana" w:hAnsi="Verdana"/>
            </w:rPr>
          </w:pPr>
          <w:r w:rsidRPr="00DC3444">
            <w:rPr>
              <w:rFonts w:ascii="Verdana" w:hAnsi="Verdana"/>
            </w:rPr>
            <w:t>Public Health Wales</w:t>
          </w:r>
        </w:p>
      </w:tc>
      <w:tc>
        <w:tcPr>
          <w:tcW w:w="7066" w:type="dxa"/>
        </w:tcPr>
        <w:p w:rsidR="00314CDC" w:rsidRPr="00DC3444" w:rsidRDefault="00314CDC" w:rsidP="00C37BDD">
          <w:pPr>
            <w:pStyle w:val="Header"/>
            <w:jc w:val="right"/>
            <w:rPr>
              <w:rFonts w:ascii="Verdana" w:hAnsi="Verdana"/>
            </w:rPr>
          </w:pPr>
          <w:r w:rsidRPr="00DC3444">
            <w:rPr>
              <w:rFonts w:ascii="Verdana" w:hAnsi="Verdana"/>
            </w:rPr>
            <w:t xml:space="preserve">Background Paper – </w:t>
          </w:r>
          <w:r>
            <w:rPr>
              <w:rFonts w:ascii="Verdana" w:hAnsi="Verdana"/>
            </w:rPr>
            <w:t>Position Statement on Graduated Driver Licensing</w:t>
          </w:r>
        </w:p>
      </w:tc>
    </w:tr>
  </w:tbl>
  <w:p w:rsidR="00314CDC" w:rsidRDefault="00314CD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03421B50"/>
    <w:multiLevelType w:val="multilevel"/>
    <w:tmpl w:val="10A29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nsid w:val="07CA70B1"/>
    <w:multiLevelType w:val="hybridMultilevel"/>
    <w:tmpl w:val="FEB633A2"/>
    <w:lvl w:ilvl="0" w:tplc="0809000F">
      <w:start w:val="1"/>
      <w:numFmt w:val="decimal"/>
      <w:lvlText w:val="%1."/>
      <w:lvlJc w:val="left"/>
      <w:pPr>
        <w:ind w:left="900" w:hanging="360"/>
      </w:pPr>
    </w:lvl>
    <w:lvl w:ilvl="1" w:tplc="08090019" w:tentative="1">
      <w:start w:val="1"/>
      <w:numFmt w:val="lowerLetter"/>
      <w:lvlText w:val="%2."/>
      <w:lvlJc w:val="left"/>
      <w:pPr>
        <w:ind w:left="1620" w:hanging="360"/>
      </w:pPr>
    </w:lvl>
    <w:lvl w:ilvl="2" w:tplc="0809001B" w:tentative="1">
      <w:start w:val="1"/>
      <w:numFmt w:val="lowerRoman"/>
      <w:lvlText w:val="%3."/>
      <w:lvlJc w:val="right"/>
      <w:pPr>
        <w:ind w:left="2340" w:hanging="180"/>
      </w:pPr>
    </w:lvl>
    <w:lvl w:ilvl="3" w:tplc="0809000F" w:tentative="1">
      <w:start w:val="1"/>
      <w:numFmt w:val="decimal"/>
      <w:lvlText w:val="%4."/>
      <w:lvlJc w:val="left"/>
      <w:pPr>
        <w:ind w:left="3060" w:hanging="360"/>
      </w:pPr>
    </w:lvl>
    <w:lvl w:ilvl="4" w:tplc="08090019" w:tentative="1">
      <w:start w:val="1"/>
      <w:numFmt w:val="lowerLetter"/>
      <w:lvlText w:val="%5."/>
      <w:lvlJc w:val="left"/>
      <w:pPr>
        <w:ind w:left="3780" w:hanging="360"/>
      </w:pPr>
    </w:lvl>
    <w:lvl w:ilvl="5" w:tplc="0809001B" w:tentative="1">
      <w:start w:val="1"/>
      <w:numFmt w:val="lowerRoman"/>
      <w:lvlText w:val="%6."/>
      <w:lvlJc w:val="right"/>
      <w:pPr>
        <w:ind w:left="4500" w:hanging="180"/>
      </w:pPr>
    </w:lvl>
    <w:lvl w:ilvl="6" w:tplc="0809000F" w:tentative="1">
      <w:start w:val="1"/>
      <w:numFmt w:val="decimal"/>
      <w:lvlText w:val="%7."/>
      <w:lvlJc w:val="left"/>
      <w:pPr>
        <w:ind w:left="5220" w:hanging="360"/>
      </w:pPr>
    </w:lvl>
    <w:lvl w:ilvl="7" w:tplc="08090019" w:tentative="1">
      <w:start w:val="1"/>
      <w:numFmt w:val="lowerLetter"/>
      <w:lvlText w:val="%8."/>
      <w:lvlJc w:val="left"/>
      <w:pPr>
        <w:ind w:left="5940" w:hanging="360"/>
      </w:pPr>
    </w:lvl>
    <w:lvl w:ilvl="8" w:tplc="0809001B" w:tentative="1">
      <w:start w:val="1"/>
      <w:numFmt w:val="lowerRoman"/>
      <w:lvlText w:val="%9."/>
      <w:lvlJc w:val="right"/>
      <w:pPr>
        <w:ind w:left="6660" w:hanging="180"/>
      </w:pPr>
    </w:lvl>
  </w:abstractNum>
  <w:abstractNum w:abstractNumId="6">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7">
    <w:nsid w:val="097873FC"/>
    <w:multiLevelType w:val="hybridMultilevel"/>
    <w:tmpl w:val="AF0842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9">
    <w:nsid w:val="0DA81287"/>
    <w:multiLevelType w:val="hybridMultilevel"/>
    <w:tmpl w:val="054C7EE4"/>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38E6A97"/>
    <w:multiLevelType w:val="multilevel"/>
    <w:tmpl w:val="0809001D"/>
    <w:numStyleLink w:val="Listalphabetical"/>
  </w:abstractNum>
  <w:abstractNum w:abstractNumId="11">
    <w:nsid w:val="17F8446D"/>
    <w:multiLevelType w:val="hybridMultilevel"/>
    <w:tmpl w:val="76B0C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8761D2A"/>
    <w:multiLevelType w:val="hybridMultilevel"/>
    <w:tmpl w:val="2C5C55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8BE692F"/>
    <w:multiLevelType w:val="hybridMultilevel"/>
    <w:tmpl w:val="E2C64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nsid w:val="22EF5303"/>
    <w:multiLevelType w:val="multilevel"/>
    <w:tmpl w:val="0809001D"/>
    <w:numStyleLink w:val="Listalphabetical"/>
  </w:abstractNum>
  <w:abstractNum w:abstractNumId="16">
    <w:nsid w:val="27F22152"/>
    <w:multiLevelType w:val="hybridMultilevel"/>
    <w:tmpl w:val="1402F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nsid w:val="28BB5A1B"/>
    <w:multiLevelType w:val="hybridMultilevel"/>
    <w:tmpl w:val="288AA9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29E20F29"/>
    <w:multiLevelType w:val="hybridMultilevel"/>
    <w:tmpl w:val="AB901F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2DD75D94"/>
    <w:multiLevelType w:val="hybridMultilevel"/>
    <w:tmpl w:val="3CA4B3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36021685"/>
    <w:multiLevelType w:val="hybridMultilevel"/>
    <w:tmpl w:val="4CF83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nsid w:val="40141134"/>
    <w:multiLevelType w:val="hybridMultilevel"/>
    <w:tmpl w:val="690A283A"/>
    <w:lvl w:ilvl="0" w:tplc="AE8EEA62">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40717CF4"/>
    <w:multiLevelType w:val="multilevel"/>
    <w:tmpl w:val="0809001D"/>
    <w:numStyleLink w:val="Listnumerals"/>
  </w:abstractNum>
  <w:abstractNum w:abstractNumId="25">
    <w:nsid w:val="486227D9"/>
    <w:multiLevelType w:val="hybridMultilevel"/>
    <w:tmpl w:val="0540C4AA"/>
    <w:lvl w:ilvl="0" w:tplc="08090001">
      <w:start w:val="1"/>
      <w:numFmt w:val="bullet"/>
      <w:lvlText w:val=""/>
      <w:lvlJc w:val="left"/>
      <w:pPr>
        <w:ind w:left="450" w:hanging="360"/>
      </w:pPr>
      <w:rPr>
        <w:rFonts w:ascii="Symbol" w:hAnsi="Symbol"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26">
    <w:nsid w:val="49EE7C8B"/>
    <w:multiLevelType w:val="multilevel"/>
    <w:tmpl w:val="564AE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8">
    <w:nsid w:val="54103D08"/>
    <w:multiLevelType w:val="multilevel"/>
    <w:tmpl w:val="0809001D"/>
    <w:numStyleLink w:val="Listalphabetical"/>
  </w:abstractNum>
  <w:abstractNum w:abstractNumId="29">
    <w:nsid w:val="558B72FF"/>
    <w:multiLevelType w:val="hybridMultilevel"/>
    <w:tmpl w:val="D6B80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56A139A9"/>
    <w:multiLevelType w:val="hybridMultilevel"/>
    <w:tmpl w:val="7F848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5A233DF5"/>
    <w:multiLevelType w:val="hybridMultilevel"/>
    <w:tmpl w:val="2E722A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5F120EE4"/>
    <w:multiLevelType w:val="multilevel"/>
    <w:tmpl w:val="0809001D"/>
    <w:numStyleLink w:val="Listnumerals"/>
  </w:abstractNum>
  <w:abstractNum w:abstractNumId="33">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nsid w:val="60915B39"/>
    <w:multiLevelType w:val="multilevel"/>
    <w:tmpl w:val="BA1A1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4A0179E"/>
    <w:multiLevelType w:val="hybridMultilevel"/>
    <w:tmpl w:val="5CEC6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7">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8">
    <w:nsid w:val="6EEF1D38"/>
    <w:multiLevelType w:val="hybridMultilevel"/>
    <w:tmpl w:val="4B7E7B10"/>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9">
    <w:nsid w:val="727549FF"/>
    <w:multiLevelType w:val="multilevel"/>
    <w:tmpl w:val="C1206D92"/>
    <w:lvl w:ilvl="0">
      <w:start w:val="1"/>
      <w:numFmt w:val="decimal"/>
      <w:pStyle w:val="Heading1"/>
      <w:lvlText w:val="%1"/>
      <w:lvlJc w:val="left"/>
      <w:pPr>
        <w:tabs>
          <w:tab w:val="num" w:pos="1008"/>
        </w:tabs>
        <w:ind w:left="1008" w:hanging="1008"/>
      </w:pPr>
      <w:rPr>
        <w:rFonts w:cs="Times New Roman" w:hint="default"/>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
      <w:pStyle w:val="Heading2"/>
      <w:lvlText w:val="%1.%2"/>
      <w:lvlJc w:val="left"/>
      <w:pPr>
        <w:tabs>
          <w:tab w:val="num" w:pos="1008"/>
        </w:tabs>
        <w:ind w:left="1008" w:hanging="1008"/>
      </w:pPr>
      <w:rPr>
        <w:rFonts w:hint="default"/>
      </w:rPr>
    </w:lvl>
    <w:lvl w:ilvl="2">
      <w:start w:val="1"/>
      <w:numFmt w:val="decimal"/>
      <w:pStyle w:val="Heading3"/>
      <w:lvlText w:val="%1.%2.%3"/>
      <w:lvlJc w:val="left"/>
      <w:pPr>
        <w:tabs>
          <w:tab w:val="num" w:pos="1008"/>
        </w:tabs>
        <w:ind w:left="1008" w:hanging="1008"/>
      </w:pPr>
      <w:rPr>
        <w:rFonts w:hint="default"/>
      </w:rPr>
    </w:lvl>
    <w:lvl w:ilvl="3">
      <w:start w:val="1"/>
      <w:numFmt w:val="none"/>
      <w:lvlText w:val="%1.%2.%3.%4"/>
      <w:lvlJc w:val="left"/>
      <w:pPr>
        <w:tabs>
          <w:tab w:val="num" w:pos="1080"/>
        </w:tabs>
        <w:ind w:left="0" w:firstLine="0"/>
      </w:pPr>
      <w:rPr>
        <w:rFonts w:hint="default"/>
      </w:rPr>
    </w:lvl>
    <w:lvl w:ilvl="4">
      <w:start w:val="1"/>
      <w:numFmt w:val="none"/>
      <w:pStyle w:val="Heading5"/>
      <w:lvlText w:val=""/>
      <w:lvlJc w:val="left"/>
      <w:pPr>
        <w:tabs>
          <w:tab w:val="num" w:pos="360"/>
        </w:tabs>
        <w:ind w:left="0" w:firstLine="0"/>
      </w:pPr>
      <w:rPr>
        <w:rFonts w:hint="default"/>
      </w:rPr>
    </w:lvl>
    <w:lvl w:ilvl="5">
      <w:start w:val="1"/>
      <w:numFmt w:val="none"/>
      <w:lvlText w:val=""/>
      <w:lvlJc w:val="left"/>
      <w:pPr>
        <w:tabs>
          <w:tab w:val="num" w:pos="360"/>
        </w:tabs>
        <w:ind w:left="0" w:firstLine="0"/>
      </w:pPr>
      <w:rPr>
        <w:rFonts w:hint="default"/>
      </w:rPr>
    </w:lvl>
    <w:lvl w:ilvl="6">
      <w:start w:val="1"/>
      <w:numFmt w:val="none"/>
      <w:pStyle w:val="Heading7"/>
      <w:lvlText w:val=""/>
      <w:lvlJc w:val="left"/>
      <w:pPr>
        <w:tabs>
          <w:tab w:val="num" w:pos="360"/>
        </w:tabs>
        <w:ind w:left="0" w:firstLine="0"/>
      </w:pPr>
      <w:rPr>
        <w:rFonts w:hint="default"/>
      </w:rPr>
    </w:lvl>
    <w:lvl w:ilvl="7">
      <w:start w:val="1"/>
      <w:numFmt w:val="none"/>
      <w:pStyle w:val="Heading8"/>
      <w:lvlText w:val=""/>
      <w:lvlJc w:val="left"/>
      <w:pPr>
        <w:tabs>
          <w:tab w:val="num" w:pos="360"/>
        </w:tabs>
        <w:ind w:left="0" w:firstLine="0"/>
      </w:pPr>
      <w:rPr>
        <w:rFonts w:hint="default"/>
      </w:rPr>
    </w:lvl>
    <w:lvl w:ilvl="8">
      <w:start w:val="1"/>
      <w:numFmt w:val="none"/>
      <w:pStyle w:val="Heading9"/>
      <w:lvlText w:val=""/>
      <w:lvlJc w:val="left"/>
      <w:pPr>
        <w:tabs>
          <w:tab w:val="num" w:pos="360"/>
        </w:tabs>
        <w:ind w:left="0" w:firstLine="0"/>
      </w:pPr>
      <w:rPr>
        <w:rFonts w:hint="default"/>
      </w:rPr>
    </w:lvl>
  </w:abstractNum>
  <w:abstractNum w:abstractNumId="4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1">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2">
    <w:nsid w:val="7E4F72F7"/>
    <w:multiLevelType w:val="hybridMultilevel"/>
    <w:tmpl w:val="718A1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39"/>
  </w:num>
  <w:num w:numId="4">
    <w:abstractNumId w:val="1"/>
  </w:num>
  <w:num w:numId="5">
    <w:abstractNumId w:val="22"/>
  </w:num>
  <w:num w:numId="6">
    <w:abstractNumId w:val="39"/>
  </w:num>
  <w:num w:numId="7">
    <w:abstractNumId w:val="14"/>
  </w:num>
  <w:num w:numId="8">
    <w:abstractNumId w:val="40"/>
  </w:num>
  <w:num w:numId="9">
    <w:abstractNumId w:val="4"/>
  </w:num>
  <w:num w:numId="10">
    <w:abstractNumId w:val="37"/>
  </w:num>
  <w:num w:numId="11">
    <w:abstractNumId w:val="36"/>
  </w:num>
  <w:num w:numId="12">
    <w:abstractNumId w:val="33"/>
  </w:num>
  <w:num w:numId="13">
    <w:abstractNumId w:val="8"/>
  </w:num>
  <w:num w:numId="14">
    <w:abstractNumId w:val="17"/>
  </w:num>
  <w:num w:numId="15">
    <w:abstractNumId w:val="41"/>
  </w:num>
  <w:num w:numId="16">
    <w:abstractNumId w:val="24"/>
  </w:num>
  <w:num w:numId="17">
    <w:abstractNumId w:val="15"/>
  </w:num>
  <w:num w:numId="18">
    <w:abstractNumId w:val="3"/>
  </w:num>
  <w:num w:numId="19">
    <w:abstractNumId w:val="10"/>
  </w:num>
  <w:num w:numId="20">
    <w:abstractNumId w:val="32"/>
  </w:num>
  <w:num w:numId="21">
    <w:abstractNumId w:val="28"/>
  </w:num>
  <w:num w:numId="22">
    <w:abstractNumId w:val="27"/>
  </w:num>
  <w:num w:numId="23">
    <w:abstractNumId w:val="42"/>
  </w:num>
  <w:num w:numId="24">
    <w:abstractNumId w:val="12"/>
  </w:num>
  <w:num w:numId="25">
    <w:abstractNumId w:val="11"/>
  </w:num>
  <w:num w:numId="26">
    <w:abstractNumId w:val="2"/>
  </w:num>
  <w:num w:numId="27">
    <w:abstractNumId w:val="16"/>
  </w:num>
  <w:num w:numId="28">
    <w:abstractNumId w:val="34"/>
  </w:num>
  <w:num w:numId="29">
    <w:abstractNumId w:val="13"/>
  </w:num>
  <w:num w:numId="30">
    <w:abstractNumId w:val="21"/>
  </w:num>
  <w:num w:numId="31">
    <w:abstractNumId w:val="26"/>
  </w:num>
  <w:num w:numId="32">
    <w:abstractNumId w:val="5"/>
  </w:num>
  <w:num w:numId="33">
    <w:abstractNumId w:val="38"/>
  </w:num>
  <w:num w:numId="34">
    <w:abstractNumId w:val="31"/>
  </w:num>
  <w:num w:numId="35">
    <w:abstractNumId w:val="20"/>
  </w:num>
  <w:num w:numId="36">
    <w:abstractNumId w:val="19"/>
  </w:num>
  <w:num w:numId="37">
    <w:abstractNumId w:val="30"/>
  </w:num>
  <w:num w:numId="38">
    <w:abstractNumId w:val="29"/>
  </w:num>
  <w:num w:numId="39">
    <w:abstractNumId w:val="35"/>
  </w:num>
  <w:num w:numId="40">
    <w:abstractNumId w:val="9"/>
  </w:num>
  <w:num w:numId="41">
    <w:abstractNumId w:val="25"/>
  </w:num>
  <w:num w:numId="42">
    <w:abstractNumId w:val="23"/>
  </w:num>
  <w:num w:numId="43">
    <w:abstractNumId w:val="18"/>
  </w:num>
  <w:num w:numId="4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
  </w:num>
  <w:num w:numId="46">
    <w:abstractNumId w:val="3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2801"/>
  <w:defaultTabStop w:val="720"/>
  <w:displayHorizontalDrawingGridEvery w:val="0"/>
  <w:displayVerticalDrawingGridEvery w:val="0"/>
  <w:doNotUseMarginsForDrawingGridOrigin/>
  <w:noPunctuationKerning/>
  <w:characterSpacingControl w:val="doNotCompress"/>
  <w:footnotePr>
    <w:footnote w:id="-1"/>
    <w:footnote w:id="0"/>
  </w:footnotePr>
  <w:endnotePr>
    <w:pos w:val="sectEnd"/>
    <w:endnote w:id="-1"/>
    <w:endnote w:id="0"/>
  </w:endnotePr>
  <w:compat/>
  <w:rsids>
    <w:rsidRoot w:val="00FF3166"/>
    <w:rsid w:val="0000333B"/>
    <w:rsid w:val="00013471"/>
    <w:rsid w:val="00015D7A"/>
    <w:rsid w:val="000164FA"/>
    <w:rsid w:val="00031B72"/>
    <w:rsid w:val="000514BF"/>
    <w:rsid w:val="00057978"/>
    <w:rsid w:val="0006754D"/>
    <w:rsid w:val="00094796"/>
    <w:rsid w:val="000966B5"/>
    <w:rsid w:val="000A4C4B"/>
    <w:rsid w:val="000A5CA8"/>
    <w:rsid w:val="000C06A3"/>
    <w:rsid w:val="000C3AEB"/>
    <w:rsid w:val="000C53F6"/>
    <w:rsid w:val="000C5A4C"/>
    <w:rsid w:val="000D4D44"/>
    <w:rsid w:val="000E2BB4"/>
    <w:rsid w:val="000E6165"/>
    <w:rsid w:val="000F188C"/>
    <w:rsid w:val="000F6F77"/>
    <w:rsid w:val="001039D0"/>
    <w:rsid w:val="001071E0"/>
    <w:rsid w:val="00122EA7"/>
    <w:rsid w:val="0013128C"/>
    <w:rsid w:val="001316EA"/>
    <w:rsid w:val="00135C4A"/>
    <w:rsid w:val="001412E2"/>
    <w:rsid w:val="00146B0B"/>
    <w:rsid w:val="00161314"/>
    <w:rsid w:val="00166181"/>
    <w:rsid w:val="00172B56"/>
    <w:rsid w:val="00182DCF"/>
    <w:rsid w:val="00186F50"/>
    <w:rsid w:val="00193BEA"/>
    <w:rsid w:val="001A2C30"/>
    <w:rsid w:val="001A7E2D"/>
    <w:rsid w:val="001B057F"/>
    <w:rsid w:val="001B1780"/>
    <w:rsid w:val="001B1F84"/>
    <w:rsid w:val="001B48B7"/>
    <w:rsid w:val="001D229B"/>
    <w:rsid w:val="001E47B5"/>
    <w:rsid w:val="001F0346"/>
    <w:rsid w:val="001F56D4"/>
    <w:rsid w:val="002015C0"/>
    <w:rsid w:val="00202EA0"/>
    <w:rsid w:val="0021053E"/>
    <w:rsid w:val="002255E5"/>
    <w:rsid w:val="00233131"/>
    <w:rsid w:val="00235099"/>
    <w:rsid w:val="0026498C"/>
    <w:rsid w:val="00265BD8"/>
    <w:rsid w:val="002822A7"/>
    <w:rsid w:val="00284987"/>
    <w:rsid w:val="00291779"/>
    <w:rsid w:val="0029498F"/>
    <w:rsid w:val="002A5C03"/>
    <w:rsid w:val="002A768F"/>
    <w:rsid w:val="002B3B1F"/>
    <w:rsid w:val="002C74BD"/>
    <w:rsid w:val="002C7A04"/>
    <w:rsid w:val="002D4580"/>
    <w:rsid w:val="002E3F6D"/>
    <w:rsid w:val="002E544A"/>
    <w:rsid w:val="00304A8B"/>
    <w:rsid w:val="00304E0B"/>
    <w:rsid w:val="0031385B"/>
    <w:rsid w:val="00314CDC"/>
    <w:rsid w:val="00315554"/>
    <w:rsid w:val="003213F0"/>
    <w:rsid w:val="00324B89"/>
    <w:rsid w:val="003255BB"/>
    <w:rsid w:val="00330D84"/>
    <w:rsid w:val="00351057"/>
    <w:rsid w:val="0035431D"/>
    <w:rsid w:val="00354916"/>
    <w:rsid w:val="0035775E"/>
    <w:rsid w:val="00365B6B"/>
    <w:rsid w:val="00367041"/>
    <w:rsid w:val="00384A11"/>
    <w:rsid w:val="00384DE0"/>
    <w:rsid w:val="003A5F3D"/>
    <w:rsid w:val="003A7FA8"/>
    <w:rsid w:val="003B30D3"/>
    <w:rsid w:val="003B460A"/>
    <w:rsid w:val="003B49FC"/>
    <w:rsid w:val="003C07F4"/>
    <w:rsid w:val="003C20C9"/>
    <w:rsid w:val="003D33F1"/>
    <w:rsid w:val="003D42DA"/>
    <w:rsid w:val="003D443B"/>
    <w:rsid w:val="003E2A1A"/>
    <w:rsid w:val="003F0DE4"/>
    <w:rsid w:val="00411D1C"/>
    <w:rsid w:val="00416290"/>
    <w:rsid w:val="00416448"/>
    <w:rsid w:val="00425BD5"/>
    <w:rsid w:val="00471B66"/>
    <w:rsid w:val="00483E06"/>
    <w:rsid w:val="00496AFC"/>
    <w:rsid w:val="00497539"/>
    <w:rsid w:val="004976E7"/>
    <w:rsid w:val="004A1D2B"/>
    <w:rsid w:val="004A2C21"/>
    <w:rsid w:val="004A506C"/>
    <w:rsid w:val="004B6CCD"/>
    <w:rsid w:val="004C0AD3"/>
    <w:rsid w:val="004C422E"/>
    <w:rsid w:val="004C7082"/>
    <w:rsid w:val="004D2430"/>
    <w:rsid w:val="004E779A"/>
    <w:rsid w:val="004F16F4"/>
    <w:rsid w:val="004F4C37"/>
    <w:rsid w:val="004F5DA2"/>
    <w:rsid w:val="004F71D1"/>
    <w:rsid w:val="0050120E"/>
    <w:rsid w:val="005056E7"/>
    <w:rsid w:val="00507B37"/>
    <w:rsid w:val="00511003"/>
    <w:rsid w:val="00511EB4"/>
    <w:rsid w:val="00514772"/>
    <w:rsid w:val="005165F2"/>
    <w:rsid w:val="005262E8"/>
    <w:rsid w:val="00540B5E"/>
    <w:rsid w:val="00566ACB"/>
    <w:rsid w:val="005755B3"/>
    <w:rsid w:val="0057597E"/>
    <w:rsid w:val="00576877"/>
    <w:rsid w:val="00586DAD"/>
    <w:rsid w:val="005871B9"/>
    <w:rsid w:val="005874CA"/>
    <w:rsid w:val="005874CD"/>
    <w:rsid w:val="005B11B6"/>
    <w:rsid w:val="005B681B"/>
    <w:rsid w:val="005C284E"/>
    <w:rsid w:val="005C45A2"/>
    <w:rsid w:val="005D4445"/>
    <w:rsid w:val="005D5F42"/>
    <w:rsid w:val="005E0739"/>
    <w:rsid w:val="005E72E5"/>
    <w:rsid w:val="005F5CE9"/>
    <w:rsid w:val="006055B2"/>
    <w:rsid w:val="006135C3"/>
    <w:rsid w:val="00614545"/>
    <w:rsid w:val="0062772D"/>
    <w:rsid w:val="006329D4"/>
    <w:rsid w:val="00656BDF"/>
    <w:rsid w:val="006802E1"/>
    <w:rsid w:val="00683507"/>
    <w:rsid w:val="00683CB0"/>
    <w:rsid w:val="0068745A"/>
    <w:rsid w:val="006931F3"/>
    <w:rsid w:val="006A75D2"/>
    <w:rsid w:val="006B02DC"/>
    <w:rsid w:val="006B168F"/>
    <w:rsid w:val="006C0ACD"/>
    <w:rsid w:val="006C3E76"/>
    <w:rsid w:val="006C407D"/>
    <w:rsid w:val="006D1EBF"/>
    <w:rsid w:val="006E0BAE"/>
    <w:rsid w:val="006E5AC2"/>
    <w:rsid w:val="006E605B"/>
    <w:rsid w:val="006E6A05"/>
    <w:rsid w:val="006F0744"/>
    <w:rsid w:val="006F0DB6"/>
    <w:rsid w:val="00703F7B"/>
    <w:rsid w:val="00710C09"/>
    <w:rsid w:val="00732C92"/>
    <w:rsid w:val="00735942"/>
    <w:rsid w:val="00737B78"/>
    <w:rsid w:val="0075075F"/>
    <w:rsid w:val="00754BB7"/>
    <w:rsid w:val="00756E35"/>
    <w:rsid w:val="00763DDF"/>
    <w:rsid w:val="0077382E"/>
    <w:rsid w:val="00773AFA"/>
    <w:rsid w:val="00776A36"/>
    <w:rsid w:val="007809BD"/>
    <w:rsid w:val="007851F9"/>
    <w:rsid w:val="00787DA2"/>
    <w:rsid w:val="007958BC"/>
    <w:rsid w:val="007A520A"/>
    <w:rsid w:val="007A5495"/>
    <w:rsid w:val="007B4601"/>
    <w:rsid w:val="007B7B8C"/>
    <w:rsid w:val="007C27B0"/>
    <w:rsid w:val="007E01D8"/>
    <w:rsid w:val="007E0399"/>
    <w:rsid w:val="007E2E0C"/>
    <w:rsid w:val="00800900"/>
    <w:rsid w:val="008058A9"/>
    <w:rsid w:val="00807F5B"/>
    <w:rsid w:val="0081360A"/>
    <w:rsid w:val="00816D24"/>
    <w:rsid w:val="00822E16"/>
    <w:rsid w:val="00832084"/>
    <w:rsid w:val="00840C46"/>
    <w:rsid w:val="00846148"/>
    <w:rsid w:val="00854486"/>
    <w:rsid w:val="0085653F"/>
    <w:rsid w:val="0086274E"/>
    <w:rsid w:val="00864497"/>
    <w:rsid w:val="00867B23"/>
    <w:rsid w:val="008746C5"/>
    <w:rsid w:val="00876FA5"/>
    <w:rsid w:val="00890230"/>
    <w:rsid w:val="008B582D"/>
    <w:rsid w:val="008B7FF5"/>
    <w:rsid w:val="008C0256"/>
    <w:rsid w:val="008C5E62"/>
    <w:rsid w:val="008C7589"/>
    <w:rsid w:val="008C7D8A"/>
    <w:rsid w:val="008D3130"/>
    <w:rsid w:val="008D5C42"/>
    <w:rsid w:val="008D6526"/>
    <w:rsid w:val="008E1008"/>
    <w:rsid w:val="008F4B7C"/>
    <w:rsid w:val="009001A2"/>
    <w:rsid w:val="00900FF5"/>
    <w:rsid w:val="009016F7"/>
    <w:rsid w:val="00905792"/>
    <w:rsid w:val="00910383"/>
    <w:rsid w:val="00911FCD"/>
    <w:rsid w:val="00916673"/>
    <w:rsid w:val="00917DE1"/>
    <w:rsid w:val="009211BF"/>
    <w:rsid w:val="00926BF2"/>
    <w:rsid w:val="00935951"/>
    <w:rsid w:val="00935F98"/>
    <w:rsid w:val="00937742"/>
    <w:rsid w:val="0094003E"/>
    <w:rsid w:val="0094285C"/>
    <w:rsid w:val="009652A8"/>
    <w:rsid w:val="00972C25"/>
    <w:rsid w:val="00976626"/>
    <w:rsid w:val="0098514B"/>
    <w:rsid w:val="00986E07"/>
    <w:rsid w:val="00990B86"/>
    <w:rsid w:val="0099408C"/>
    <w:rsid w:val="009A27E3"/>
    <w:rsid w:val="009C032E"/>
    <w:rsid w:val="009C098E"/>
    <w:rsid w:val="009C59C9"/>
    <w:rsid w:val="009C5A09"/>
    <w:rsid w:val="009C6A68"/>
    <w:rsid w:val="009F6CD2"/>
    <w:rsid w:val="00A14297"/>
    <w:rsid w:val="00A2029B"/>
    <w:rsid w:val="00A24865"/>
    <w:rsid w:val="00A25F99"/>
    <w:rsid w:val="00A34078"/>
    <w:rsid w:val="00A35389"/>
    <w:rsid w:val="00A37234"/>
    <w:rsid w:val="00A404CB"/>
    <w:rsid w:val="00A44D13"/>
    <w:rsid w:val="00A46D03"/>
    <w:rsid w:val="00A47720"/>
    <w:rsid w:val="00A54EB2"/>
    <w:rsid w:val="00A55E8B"/>
    <w:rsid w:val="00A61C8D"/>
    <w:rsid w:val="00A649E2"/>
    <w:rsid w:val="00A76367"/>
    <w:rsid w:val="00A83792"/>
    <w:rsid w:val="00A847E2"/>
    <w:rsid w:val="00AA6275"/>
    <w:rsid w:val="00AB0C10"/>
    <w:rsid w:val="00AB3556"/>
    <w:rsid w:val="00AB5822"/>
    <w:rsid w:val="00AC7314"/>
    <w:rsid w:val="00AC7A8D"/>
    <w:rsid w:val="00AD0BE2"/>
    <w:rsid w:val="00AD2DBD"/>
    <w:rsid w:val="00AD356A"/>
    <w:rsid w:val="00AE45FB"/>
    <w:rsid w:val="00AF59B6"/>
    <w:rsid w:val="00B05A37"/>
    <w:rsid w:val="00B06161"/>
    <w:rsid w:val="00B06C4A"/>
    <w:rsid w:val="00B113E6"/>
    <w:rsid w:val="00B158E9"/>
    <w:rsid w:val="00B25C64"/>
    <w:rsid w:val="00B321BD"/>
    <w:rsid w:val="00B41B53"/>
    <w:rsid w:val="00B55380"/>
    <w:rsid w:val="00B6257E"/>
    <w:rsid w:val="00B65A4F"/>
    <w:rsid w:val="00B65E81"/>
    <w:rsid w:val="00BA00E7"/>
    <w:rsid w:val="00BA1279"/>
    <w:rsid w:val="00BA36A1"/>
    <w:rsid w:val="00BB3DA1"/>
    <w:rsid w:val="00BB5956"/>
    <w:rsid w:val="00BC3379"/>
    <w:rsid w:val="00BC6536"/>
    <w:rsid w:val="00BD644F"/>
    <w:rsid w:val="00BE7A48"/>
    <w:rsid w:val="00BF0F34"/>
    <w:rsid w:val="00C04798"/>
    <w:rsid w:val="00C27730"/>
    <w:rsid w:val="00C37BDD"/>
    <w:rsid w:val="00C44102"/>
    <w:rsid w:val="00C46E00"/>
    <w:rsid w:val="00C54768"/>
    <w:rsid w:val="00C6335F"/>
    <w:rsid w:val="00C971CD"/>
    <w:rsid w:val="00CB3EB4"/>
    <w:rsid w:val="00CB421E"/>
    <w:rsid w:val="00CB4224"/>
    <w:rsid w:val="00CB737D"/>
    <w:rsid w:val="00CD32C1"/>
    <w:rsid w:val="00CD4A1D"/>
    <w:rsid w:val="00CD7624"/>
    <w:rsid w:val="00CE1541"/>
    <w:rsid w:val="00CE2B02"/>
    <w:rsid w:val="00CF52B4"/>
    <w:rsid w:val="00D01512"/>
    <w:rsid w:val="00D02F32"/>
    <w:rsid w:val="00D2234A"/>
    <w:rsid w:val="00D27D6C"/>
    <w:rsid w:val="00D3142E"/>
    <w:rsid w:val="00D326F9"/>
    <w:rsid w:val="00D348C7"/>
    <w:rsid w:val="00D3756A"/>
    <w:rsid w:val="00D4110F"/>
    <w:rsid w:val="00D4115C"/>
    <w:rsid w:val="00D546AF"/>
    <w:rsid w:val="00D614AD"/>
    <w:rsid w:val="00D8288E"/>
    <w:rsid w:val="00D92C74"/>
    <w:rsid w:val="00D9563E"/>
    <w:rsid w:val="00DA1A6A"/>
    <w:rsid w:val="00DA2D79"/>
    <w:rsid w:val="00DC032F"/>
    <w:rsid w:val="00DC1DEA"/>
    <w:rsid w:val="00DC3444"/>
    <w:rsid w:val="00DD1868"/>
    <w:rsid w:val="00DE4443"/>
    <w:rsid w:val="00DF5ED8"/>
    <w:rsid w:val="00E13F73"/>
    <w:rsid w:val="00E160E8"/>
    <w:rsid w:val="00E246A3"/>
    <w:rsid w:val="00E24A32"/>
    <w:rsid w:val="00E30C98"/>
    <w:rsid w:val="00E34225"/>
    <w:rsid w:val="00E40EF9"/>
    <w:rsid w:val="00E61FC1"/>
    <w:rsid w:val="00E63E6A"/>
    <w:rsid w:val="00E646AA"/>
    <w:rsid w:val="00E72ECF"/>
    <w:rsid w:val="00E76A48"/>
    <w:rsid w:val="00E86F75"/>
    <w:rsid w:val="00E9129B"/>
    <w:rsid w:val="00EA459A"/>
    <w:rsid w:val="00EB26C7"/>
    <w:rsid w:val="00EB2C02"/>
    <w:rsid w:val="00EB7BA2"/>
    <w:rsid w:val="00EC0F0D"/>
    <w:rsid w:val="00EE351C"/>
    <w:rsid w:val="00EE56A6"/>
    <w:rsid w:val="00EF3922"/>
    <w:rsid w:val="00EF3D5B"/>
    <w:rsid w:val="00F00170"/>
    <w:rsid w:val="00F12899"/>
    <w:rsid w:val="00F179E1"/>
    <w:rsid w:val="00F24F26"/>
    <w:rsid w:val="00F40282"/>
    <w:rsid w:val="00F41A12"/>
    <w:rsid w:val="00F50D2B"/>
    <w:rsid w:val="00F52117"/>
    <w:rsid w:val="00F55717"/>
    <w:rsid w:val="00F61F7F"/>
    <w:rsid w:val="00F74869"/>
    <w:rsid w:val="00F772F1"/>
    <w:rsid w:val="00F77B88"/>
    <w:rsid w:val="00F90BB5"/>
    <w:rsid w:val="00F9314E"/>
    <w:rsid w:val="00F9338A"/>
    <w:rsid w:val="00F95A79"/>
    <w:rsid w:val="00F95FEE"/>
    <w:rsid w:val="00FA2329"/>
    <w:rsid w:val="00FB78DF"/>
    <w:rsid w:val="00FB7976"/>
    <w:rsid w:val="00FC1DE8"/>
    <w:rsid w:val="00FC4C52"/>
    <w:rsid w:val="00FD334E"/>
    <w:rsid w:val="00FD52C1"/>
    <w:rsid w:val="00FF3166"/>
    <w:rsid w:val="00FF32C8"/>
    <w:rsid w:val="00FF382D"/>
    <w:rsid w:val="00FF489D"/>
    <w:rsid w:val="00FF560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aliases w:val="TRL Head1"/>
    <w:basedOn w:val="Normal"/>
    <w:next w:val="Normal"/>
    <w:link w:val="Heading1Char"/>
    <w:qFormat/>
    <w:rsid w:val="00C44102"/>
    <w:pPr>
      <w:keepNext/>
      <w:numPr>
        <w:numId w:val="3"/>
      </w:numPr>
      <w:spacing w:before="360"/>
      <w:jc w:val="left"/>
      <w:outlineLvl w:val="0"/>
    </w:pPr>
    <w:rPr>
      <w:b/>
      <w:kern w:val="28"/>
      <w:sz w:val="32"/>
    </w:rPr>
  </w:style>
  <w:style w:type="paragraph" w:styleId="Heading2">
    <w:name w:val="heading 2"/>
    <w:aliases w:val="TRL Head2"/>
    <w:basedOn w:val="Normal"/>
    <w:next w:val="Normal"/>
    <w:link w:val="Heading2Char"/>
    <w:qFormat/>
    <w:rsid w:val="00C44102"/>
    <w:pPr>
      <w:keepNext/>
      <w:numPr>
        <w:ilvl w:val="1"/>
        <w:numId w:val="3"/>
      </w:numPr>
      <w:spacing w:before="360"/>
      <w:jc w:val="left"/>
      <w:outlineLvl w:val="1"/>
    </w:pPr>
    <w:rPr>
      <w:b/>
      <w:sz w:val="28"/>
    </w:rPr>
  </w:style>
  <w:style w:type="paragraph" w:styleId="Heading3">
    <w:name w:val="heading 3"/>
    <w:aliases w:val="TRL Head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4B6CCD"/>
    <w:pPr>
      <w:keepNext/>
      <w:tabs>
        <w:tab w:val="left" w:pos="1008"/>
      </w:tabs>
      <w:spacing w:before="360"/>
      <w:outlineLvl w:val="3"/>
    </w:pPr>
    <w:rPr>
      <w:rFonts w:ascii="Arial" w:hAnsi="Arial"/>
      <w:b/>
    </w:rPr>
  </w:style>
  <w:style w:type="paragraph" w:styleId="Heading5">
    <w:name w:val="heading 5"/>
    <w:basedOn w:val="Normal"/>
    <w:next w:val="Normal"/>
    <w:qFormat/>
    <w:rsid w:val="004B6CCD"/>
    <w:pPr>
      <w:keepNext/>
      <w:numPr>
        <w:ilvl w:val="4"/>
        <w:numId w:val="3"/>
      </w:numPr>
      <w:outlineLvl w:val="4"/>
    </w:pPr>
    <w:rPr>
      <w:b/>
    </w:rPr>
  </w:style>
  <w:style w:type="paragraph" w:styleId="Heading6">
    <w:name w:val="heading 6"/>
    <w:basedOn w:val="Normal"/>
    <w:next w:val="Normal"/>
    <w:qFormat/>
    <w:rsid w:val="004B6CCD"/>
    <w:pPr>
      <w:keepNext/>
      <w:jc w:val="center"/>
      <w:outlineLvl w:val="5"/>
    </w:pPr>
    <w:rPr>
      <w:b/>
    </w:rPr>
  </w:style>
  <w:style w:type="paragraph" w:styleId="Heading7">
    <w:name w:val="heading 7"/>
    <w:basedOn w:val="Normal"/>
    <w:next w:val="Normal"/>
    <w:qFormat/>
    <w:rsid w:val="004B6CCD"/>
    <w:pPr>
      <w:keepNext/>
      <w:numPr>
        <w:ilvl w:val="6"/>
        <w:numId w:val="3"/>
      </w:numPr>
      <w:outlineLvl w:val="6"/>
    </w:pPr>
    <w:rPr>
      <w:b/>
    </w:rPr>
  </w:style>
  <w:style w:type="paragraph" w:styleId="Heading8">
    <w:name w:val="heading 8"/>
    <w:basedOn w:val="Normal"/>
    <w:next w:val="Normal"/>
    <w:qFormat/>
    <w:rsid w:val="004B6CCD"/>
    <w:pPr>
      <w:keepNext/>
      <w:numPr>
        <w:ilvl w:val="7"/>
        <w:numId w:val="3"/>
      </w:numPr>
      <w:spacing w:before="120"/>
      <w:outlineLvl w:val="7"/>
    </w:pPr>
    <w:rPr>
      <w:b/>
    </w:rPr>
  </w:style>
  <w:style w:type="paragraph" w:styleId="Heading9">
    <w:name w:val="heading 9"/>
    <w:basedOn w:val="Normal"/>
    <w:next w:val="Normal"/>
    <w:qFormat/>
    <w:rsid w:val="004B6CCD"/>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C53F6"/>
    <w:pPr>
      <w:spacing w:before="2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link w:val="TitleChar"/>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4B6CCD"/>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semiHidden/>
    <w:rsid w:val="004B6CCD"/>
    <w:pPr>
      <w:tabs>
        <w:tab w:val="left" w:pos="540"/>
        <w:tab w:val="right" w:leader="dot" w:pos="9016"/>
      </w:tabs>
      <w:ind w:left="547" w:hanging="547"/>
      <w:jc w:val="left"/>
    </w:pPr>
    <w:rPr>
      <w:b/>
      <w:caps/>
      <w:noProof/>
    </w:rPr>
  </w:style>
  <w:style w:type="paragraph" w:styleId="TOC2">
    <w:name w:val="toc 2"/>
    <w:basedOn w:val="Normal"/>
    <w:next w:val="Normal"/>
    <w:autoRedefine/>
    <w:semiHidden/>
    <w:rsid w:val="004B6CCD"/>
    <w:pPr>
      <w:tabs>
        <w:tab w:val="left" w:pos="960"/>
        <w:tab w:val="right" w:leader="dot" w:pos="9016"/>
      </w:tabs>
      <w:spacing w:before="0"/>
      <w:ind w:left="990" w:hanging="750"/>
      <w:jc w:val="left"/>
    </w:pPr>
    <w:rPr>
      <w:noProof/>
    </w:rPr>
  </w:style>
  <w:style w:type="paragraph" w:styleId="BalloonText">
    <w:name w:val="Balloon Text"/>
    <w:basedOn w:val="Normal"/>
    <w:semiHidden/>
    <w:rsid w:val="004B6CCD"/>
    <w:rPr>
      <w:rFonts w:ascii="Tahoma" w:hAnsi="Tahoma" w:cs="Tahoma"/>
      <w:sz w:val="16"/>
      <w:szCs w:val="16"/>
    </w:rPr>
  </w:style>
  <w:style w:type="paragraph" w:styleId="EndnoteText">
    <w:name w:val="endnote text"/>
    <w:basedOn w:val="Normal"/>
    <w:semiHidden/>
    <w:rsid w:val="004B6CCD"/>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4B6CCD"/>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4B6CCD"/>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semiHidden/>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styleId="EndnoteReference">
    <w:name w:val="endnote reference"/>
    <w:basedOn w:val="DefaultParagraphFont"/>
    <w:uiPriority w:val="99"/>
    <w:rsid w:val="00A76367"/>
    <w:rPr>
      <w:vertAlign w:val="superscript"/>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NoSpacing">
    <w:name w:val="No Spacing"/>
    <w:aliases w:val="Body2"/>
    <w:uiPriority w:val="1"/>
    <w:qFormat/>
    <w:rsid w:val="00F772F1"/>
    <w:pPr>
      <w:jc w:val="both"/>
    </w:pPr>
    <w:rPr>
      <w:rFonts w:ascii="Verdana" w:hAnsi="Verdana"/>
      <w:sz w:val="24"/>
      <w:lang w:eastAsia="en-US"/>
    </w:rPr>
  </w:style>
  <w:style w:type="paragraph" w:customStyle="1" w:styleId="Footnote">
    <w:name w:val="Footnote"/>
    <w:basedOn w:val="Normal"/>
    <w:autoRedefine/>
    <w:qFormat/>
    <w:rsid w:val="0000333B"/>
    <w:pPr>
      <w:pBdr>
        <w:top w:val="nil"/>
        <w:left w:val="nil"/>
        <w:bottom w:val="nil"/>
        <w:right w:val="nil"/>
        <w:between w:val="nil"/>
        <w:bar w:val="nil"/>
      </w:pBdr>
      <w:spacing w:before="0"/>
      <w:ind w:left="720"/>
      <w:jc w:val="left"/>
    </w:pPr>
    <w:rPr>
      <w:rFonts w:eastAsia="Arial Unicode MS"/>
      <w:sz w:val="16"/>
      <w:szCs w:val="16"/>
      <w:bdr w:val="nil"/>
    </w:rPr>
  </w:style>
  <w:style w:type="paragraph" w:styleId="ListParagraph">
    <w:name w:val="List Paragraph"/>
    <w:basedOn w:val="Normal"/>
    <w:uiPriority w:val="34"/>
    <w:qFormat/>
    <w:rsid w:val="0013128C"/>
    <w:pPr>
      <w:ind w:left="720"/>
      <w:contextualSpacing/>
    </w:pPr>
  </w:style>
  <w:style w:type="paragraph" w:styleId="NormalWeb">
    <w:name w:val="Normal (Web)"/>
    <w:basedOn w:val="Normal"/>
    <w:uiPriority w:val="99"/>
    <w:unhideWhenUsed/>
    <w:rsid w:val="0057597E"/>
    <w:pPr>
      <w:spacing w:before="100" w:beforeAutospacing="1" w:after="100" w:afterAutospacing="1"/>
      <w:jc w:val="left"/>
    </w:pPr>
    <w:rPr>
      <w:rFonts w:ascii="Times New Roman" w:hAnsi="Times New Roman"/>
      <w:szCs w:val="24"/>
      <w:lang w:eastAsia="en-GB"/>
    </w:rPr>
  </w:style>
  <w:style w:type="paragraph" w:styleId="FootnoteText">
    <w:name w:val="footnote text"/>
    <w:basedOn w:val="Normal"/>
    <w:link w:val="FootnoteTextChar"/>
    <w:uiPriority w:val="99"/>
    <w:unhideWhenUsed/>
    <w:rsid w:val="009001A2"/>
    <w:pPr>
      <w:spacing w:before="0"/>
    </w:pPr>
    <w:rPr>
      <w:sz w:val="20"/>
    </w:rPr>
  </w:style>
  <w:style w:type="character" w:customStyle="1" w:styleId="FootnoteTextChar">
    <w:name w:val="Footnote Text Char"/>
    <w:basedOn w:val="DefaultParagraphFont"/>
    <w:link w:val="FootnoteText"/>
    <w:uiPriority w:val="99"/>
    <w:rsid w:val="009001A2"/>
    <w:rPr>
      <w:rFonts w:ascii="Verdana" w:hAnsi="Verdana"/>
      <w:lang w:eastAsia="en-US"/>
    </w:rPr>
  </w:style>
  <w:style w:type="character" w:styleId="FootnoteReference">
    <w:name w:val="footnote reference"/>
    <w:basedOn w:val="DefaultParagraphFont"/>
    <w:uiPriority w:val="99"/>
    <w:unhideWhenUsed/>
    <w:rsid w:val="009001A2"/>
    <w:rPr>
      <w:vertAlign w:val="superscript"/>
    </w:rPr>
  </w:style>
  <w:style w:type="paragraph" w:styleId="Bibliography">
    <w:name w:val="Bibliography"/>
    <w:basedOn w:val="Normal"/>
    <w:next w:val="Normal"/>
    <w:uiPriority w:val="37"/>
    <w:unhideWhenUsed/>
    <w:rsid w:val="009001A2"/>
    <w:pPr>
      <w:tabs>
        <w:tab w:val="left" w:pos="624"/>
      </w:tabs>
      <w:spacing w:after="240"/>
      <w:ind w:left="624" w:hanging="624"/>
    </w:pPr>
  </w:style>
  <w:style w:type="character" w:styleId="CommentReference">
    <w:name w:val="annotation reference"/>
    <w:basedOn w:val="DefaultParagraphFont"/>
    <w:semiHidden/>
    <w:unhideWhenUsed/>
    <w:rsid w:val="005874CA"/>
    <w:rPr>
      <w:sz w:val="16"/>
      <w:szCs w:val="16"/>
    </w:rPr>
  </w:style>
  <w:style w:type="paragraph" w:styleId="CommentText">
    <w:name w:val="annotation text"/>
    <w:basedOn w:val="Normal"/>
    <w:link w:val="CommentTextChar"/>
    <w:semiHidden/>
    <w:unhideWhenUsed/>
    <w:rsid w:val="005874CA"/>
    <w:rPr>
      <w:sz w:val="20"/>
    </w:rPr>
  </w:style>
  <w:style w:type="character" w:customStyle="1" w:styleId="CommentTextChar">
    <w:name w:val="Comment Text Char"/>
    <w:basedOn w:val="DefaultParagraphFont"/>
    <w:link w:val="CommentText"/>
    <w:semiHidden/>
    <w:rsid w:val="005874CA"/>
    <w:rPr>
      <w:rFonts w:ascii="Verdana" w:hAnsi="Verdana"/>
      <w:lang w:eastAsia="en-US"/>
    </w:rPr>
  </w:style>
  <w:style w:type="paragraph" w:styleId="CommentSubject">
    <w:name w:val="annotation subject"/>
    <w:basedOn w:val="CommentText"/>
    <w:next w:val="CommentText"/>
    <w:link w:val="CommentSubjectChar"/>
    <w:semiHidden/>
    <w:unhideWhenUsed/>
    <w:rsid w:val="005874CA"/>
    <w:rPr>
      <w:b/>
      <w:bCs/>
    </w:rPr>
  </w:style>
  <w:style w:type="character" w:customStyle="1" w:styleId="CommentSubjectChar">
    <w:name w:val="Comment Subject Char"/>
    <w:basedOn w:val="CommentTextChar"/>
    <w:link w:val="CommentSubject"/>
    <w:semiHidden/>
    <w:rsid w:val="005874CA"/>
    <w:rPr>
      <w:rFonts w:ascii="Verdana" w:hAnsi="Verdana"/>
      <w:b/>
      <w:bCs/>
      <w:lang w:eastAsia="en-US"/>
    </w:rPr>
  </w:style>
  <w:style w:type="table" w:customStyle="1" w:styleId="GridTable1Light">
    <w:name w:val="Grid Table 1 Light"/>
    <w:basedOn w:val="TableNormal"/>
    <w:uiPriority w:val="46"/>
    <w:rsid w:val="00832084"/>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Light">
    <w:name w:val="Grid Table Light"/>
    <w:basedOn w:val="TableNormal"/>
    <w:uiPriority w:val="40"/>
    <w:rsid w:val="00832084"/>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Quote">
    <w:name w:val="Quote"/>
    <w:basedOn w:val="Normal"/>
    <w:next w:val="Normal"/>
    <w:link w:val="QuoteChar"/>
    <w:uiPriority w:val="29"/>
    <w:qFormat/>
    <w:rsid w:val="006E605B"/>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6E605B"/>
    <w:rPr>
      <w:rFonts w:ascii="Verdana" w:hAnsi="Verdana"/>
      <w:i/>
      <w:iCs/>
      <w:color w:val="404040" w:themeColor="text1" w:themeTint="BF"/>
      <w:sz w:val="24"/>
      <w:lang w:eastAsia="en-US"/>
    </w:rPr>
  </w:style>
  <w:style w:type="paragraph" w:styleId="IntenseQuote">
    <w:name w:val="Intense Quote"/>
    <w:basedOn w:val="Normal"/>
    <w:next w:val="Normal"/>
    <w:link w:val="IntenseQuoteChar"/>
    <w:uiPriority w:val="30"/>
    <w:qFormat/>
    <w:rsid w:val="006E605B"/>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6E605B"/>
    <w:rPr>
      <w:rFonts w:ascii="Verdana" w:hAnsi="Verdana"/>
      <w:i/>
      <w:iCs/>
      <w:color w:val="4F81BD" w:themeColor="accent1"/>
      <w:sz w:val="24"/>
      <w:lang w:eastAsia="en-US"/>
    </w:rPr>
  </w:style>
  <w:style w:type="character" w:customStyle="1" w:styleId="Heading1Char">
    <w:name w:val="Heading 1 Char"/>
    <w:aliases w:val="TRL Head1 Char"/>
    <w:basedOn w:val="DefaultParagraphFont"/>
    <w:link w:val="Heading1"/>
    <w:rsid w:val="001071E0"/>
    <w:rPr>
      <w:rFonts w:ascii="Verdana" w:hAnsi="Verdana"/>
      <w:b/>
      <w:kern w:val="28"/>
      <w:sz w:val="32"/>
      <w:lang w:eastAsia="en-US"/>
    </w:rPr>
  </w:style>
  <w:style w:type="character" w:customStyle="1" w:styleId="apple-converted-space">
    <w:name w:val="apple-converted-space"/>
    <w:basedOn w:val="DefaultParagraphFont"/>
    <w:rsid w:val="00576877"/>
  </w:style>
  <w:style w:type="paragraph" w:styleId="Revision">
    <w:name w:val="Revision"/>
    <w:hidden/>
    <w:uiPriority w:val="99"/>
    <w:semiHidden/>
    <w:rsid w:val="005871B9"/>
    <w:rPr>
      <w:rFonts w:ascii="Verdana" w:hAnsi="Verdana"/>
      <w:sz w:val="24"/>
      <w:lang w:eastAsia="en-US"/>
    </w:rPr>
  </w:style>
  <w:style w:type="paragraph" w:customStyle="1" w:styleId="Body">
    <w:name w:val="Body"/>
    <w:rsid w:val="00166181"/>
    <w:pPr>
      <w:pBdr>
        <w:top w:val="nil"/>
        <w:left w:val="nil"/>
        <w:bottom w:val="nil"/>
        <w:right w:val="nil"/>
        <w:between w:val="nil"/>
        <w:bar w:val="nil"/>
      </w:pBdr>
      <w:spacing w:before="200" w:line="288" w:lineRule="auto"/>
    </w:pPr>
    <w:rPr>
      <w:rFonts w:ascii="Verdana" w:eastAsia="Verdana" w:hAnsi="Verdana" w:cs="Verdana"/>
      <w:color w:val="000000"/>
      <w:sz w:val="24"/>
      <w:szCs w:val="24"/>
      <w:bdr w:val="nil"/>
      <w:lang w:val="en-US" w:eastAsia="en-US"/>
    </w:rPr>
  </w:style>
  <w:style w:type="character" w:customStyle="1" w:styleId="TRLBodyTextChar">
    <w:name w:val="TRL Body Text Char"/>
    <w:basedOn w:val="DefaultParagraphFont"/>
    <w:link w:val="TRLBodyText"/>
    <w:locked/>
    <w:rsid w:val="00D4115C"/>
  </w:style>
  <w:style w:type="paragraph" w:customStyle="1" w:styleId="TRLBodyText">
    <w:name w:val="TRL Body Text"/>
    <w:basedOn w:val="Normal"/>
    <w:link w:val="TRLBodyTextChar"/>
    <w:rsid w:val="00D4115C"/>
    <w:pPr>
      <w:spacing w:before="0" w:after="120" w:line="280" w:lineRule="atLeast"/>
    </w:pPr>
    <w:rPr>
      <w:rFonts w:ascii="Times New Roman" w:hAnsi="Times New Roman"/>
      <w:sz w:val="20"/>
      <w:lang w:eastAsia="en-GB"/>
    </w:rPr>
  </w:style>
  <w:style w:type="character" w:customStyle="1" w:styleId="Heading2Char">
    <w:name w:val="Heading 2 Char"/>
    <w:aliases w:val="TRL Head2 Char"/>
    <w:basedOn w:val="DefaultParagraphFont"/>
    <w:link w:val="Heading2"/>
    <w:rsid w:val="007E2E0C"/>
    <w:rPr>
      <w:rFonts w:ascii="Verdana" w:hAnsi="Verdana"/>
      <w:b/>
      <w:sz w:val="28"/>
      <w:lang w:eastAsia="en-US"/>
    </w:rPr>
  </w:style>
  <w:style w:type="character" w:customStyle="1" w:styleId="TitleChar">
    <w:name w:val="Title Char"/>
    <w:basedOn w:val="DefaultParagraphFont"/>
    <w:link w:val="Title"/>
    <w:rsid w:val="007E2E0C"/>
    <w:rPr>
      <w:rFonts w:ascii="Arial" w:hAnsi="Arial"/>
      <w:b/>
      <w:kern w:val="28"/>
      <w:sz w:val="72"/>
      <w:szCs w:val="72"/>
      <w:lang w:eastAsia="en-US"/>
    </w:rPr>
  </w:style>
  <w:style w:type="paragraph" w:customStyle="1" w:styleId="TRLProjectReport-BodyText">
    <w:name w:val="TRL Project Report - Body Text"/>
    <w:rsid w:val="007E2E0C"/>
    <w:pPr>
      <w:spacing w:after="120"/>
    </w:pPr>
    <w:rPr>
      <w:sz w:val="22"/>
      <w:lang w:eastAsia="zh-CN"/>
    </w:rPr>
  </w:style>
  <w:style w:type="character" w:styleId="IntenseEmphasis">
    <w:name w:val="Intense Emphasis"/>
    <w:basedOn w:val="DefaultParagraphFont"/>
    <w:uiPriority w:val="21"/>
    <w:qFormat/>
    <w:rsid w:val="007E2E0C"/>
    <w:rPr>
      <w:b/>
      <w:bCs/>
      <w:i/>
      <w:iCs/>
      <w:color w:val="2F598B"/>
    </w:rPr>
  </w:style>
</w:styles>
</file>

<file path=word/webSettings.xml><?xml version="1.0" encoding="utf-8"?>
<w:webSettings xmlns:r="http://schemas.openxmlformats.org/officeDocument/2006/relationships" xmlns:w="http://schemas.openxmlformats.org/wordprocessingml/2006/main">
  <w:divs>
    <w:div w:id="102893126">
      <w:bodyDiv w:val="1"/>
      <w:marLeft w:val="0"/>
      <w:marRight w:val="0"/>
      <w:marTop w:val="0"/>
      <w:marBottom w:val="0"/>
      <w:divBdr>
        <w:top w:val="none" w:sz="0" w:space="0" w:color="auto"/>
        <w:left w:val="none" w:sz="0" w:space="0" w:color="auto"/>
        <w:bottom w:val="none" w:sz="0" w:space="0" w:color="auto"/>
        <w:right w:val="none" w:sz="0" w:space="0" w:color="auto"/>
      </w:divBdr>
      <w:divsChild>
        <w:div w:id="1050693935">
          <w:marLeft w:val="0"/>
          <w:marRight w:val="0"/>
          <w:marTop w:val="0"/>
          <w:marBottom w:val="0"/>
          <w:divBdr>
            <w:top w:val="none" w:sz="0" w:space="0" w:color="auto"/>
            <w:left w:val="none" w:sz="0" w:space="0" w:color="auto"/>
            <w:bottom w:val="none" w:sz="0" w:space="0" w:color="auto"/>
            <w:right w:val="none" w:sz="0" w:space="0" w:color="auto"/>
          </w:divBdr>
          <w:divsChild>
            <w:div w:id="1087389038">
              <w:marLeft w:val="0"/>
              <w:marRight w:val="0"/>
              <w:marTop w:val="0"/>
              <w:marBottom w:val="0"/>
              <w:divBdr>
                <w:top w:val="none" w:sz="0" w:space="0" w:color="auto"/>
                <w:left w:val="none" w:sz="0" w:space="0" w:color="auto"/>
                <w:bottom w:val="none" w:sz="0" w:space="0" w:color="auto"/>
                <w:right w:val="none" w:sz="0" w:space="0" w:color="auto"/>
              </w:divBdr>
              <w:divsChild>
                <w:div w:id="1067341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49012">
      <w:bodyDiv w:val="1"/>
      <w:marLeft w:val="0"/>
      <w:marRight w:val="0"/>
      <w:marTop w:val="0"/>
      <w:marBottom w:val="0"/>
      <w:divBdr>
        <w:top w:val="none" w:sz="0" w:space="0" w:color="auto"/>
        <w:left w:val="none" w:sz="0" w:space="0" w:color="auto"/>
        <w:bottom w:val="none" w:sz="0" w:space="0" w:color="auto"/>
        <w:right w:val="none" w:sz="0" w:space="0" w:color="auto"/>
      </w:divBdr>
      <w:divsChild>
        <w:div w:id="1779833017">
          <w:marLeft w:val="0"/>
          <w:marRight w:val="0"/>
          <w:marTop w:val="0"/>
          <w:marBottom w:val="0"/>
          <w:divBdr>
            <w:top w:val="none" w:sz="0" w:space="0" w:color="auto"/>
            <w:left w:val="none" w:sz="0" w:space="0" w:color="auto"/>
            <w:bottom w:val="none" w:sz="0" w:space="0" w:color="auto"/>
            <w:right w:val="none" w:sz="0" w:space="0" w:color="auto"/>
          </w:divBdr>
          <w:divsChild>
            <w:div w:id="1403065655">
              <w:marLeft w:val="0"/>
              <w:marRight w:val="0"/>
              <w:marTop w:val="0"/>
              <w:marBottom w:val="0"/>
              <w:divBdr>
                <w:top w:val="none" w:sz="0" w:space="0" w:color="auto"/>
                <w:left w:val="none" w:sz="0" w:space="0" w:color="auto"/>
                <w:bottom w:val="none" w:sz="0" w:space="0" w:color="auto"/>
                <w:right w:val="none" w:sz="0" w:space="0" w:color="auto"/>
              </w:divBdr>
              <w:divsChild>
                <w:div w:id="99996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973659">
      <w:bodyDiv w:val="1"/>
      <w:marLeft w:val="0"/>
      <w:marRight w:val="0"/>
      <w:marTop w:val="0"/>
      <w:marBottom w:val="0"/>
      <w:divBdr>
        <w:top w:val="none" w:sz="0" w:space="0" w:color="auto"/>
        <w:left w:val="none" w:sz="0" w:space="0" w:color="auto"/>
        <w:bottom w:val="none" w:sz="0" w:space="0" w:color="auto"/>
        <w:right w:val="none" w:sz="0" w:space="0" w:color="auto"/>
      </w:divBdr>
      <w:divsChild>
        <w:div w:id="1780951156">
          <w:marLeft w:val="0"/>
          <w:marRight w:val="0"/>
          <w:marTop w:val="0"/>
          <w:marBottom w:val="0"/>
          <w:divBdr>
            <w:top w:val="none" w:sz="0" w:space="0" w:color="auto"/>
            <w:left w:val="none" w:sz="0" w:space="0" w:color="auto"/>
            <w:bottom w:val="none" w:sz="0" w:space="0" w:color="auto"/>
            <w:right w:val="none" w:sz="0" w:space="0" w:color="auto"/>
          </w:divBdr>
          <w:divsChild>
            <w:div w:id="1708022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28676">
      <w:bodyDiv w:val="1"/>
      <w:marLeft w:val="0"/>
      <w:marRight w:val="0"/>
      <w:marTop w:val="0"/>
      <w:marBottom w:val="0"/>
      <w:divBdr>
        <w:top w:val="none" w:sz="0" w:space="0" w:color="auto"/>
        <w:left w:val="none" w:sz="0" w:space="0" w:color="auto"/>
        <w:bottom w:val="none" w:sz="0" w:space="0" w:color="auto"/>
        <w:right w:val="none" w:sz="0" w:space="0" w:color="auto"/>
      </w:divBdr>
      <w:divsChild>
        <w:div w:id="333344169">
          <w:marLeft w:val="0"/>
          <w:marRight w:val="0"/>
          <w:marTop w:val="0"/>
          <w:marBottom w:val="0"/>
          <w:divBdr>
            <w:top w:val="none" w:sz="0" w:space="0" w:color="auto"/>
            <w:left w:val="none" w:sz="0" w:space="0" w:color="auto"/>
            <w:bottom w:val="none" w:sz="0" w:space="0" w:color="auto"/>
            <w:right w:val="none" w:sz="0" w:space="0" w:color="auto"/>
          </w:divBdr>
          <w:divsChild>
            <w:div w:id="384374723">
              <w:marLeft w:val="0"/>
              <w:marRight w:val="0"/>
              <w:marTop w:val="0"/>
              <w:marBottom w:val="0"/>
              <w:divBdr>
                <w:top w:val="none" w:sz="0" w:space="0" w:color="auto"/>
                <w:left w:val="none" w:sz="0" w:space="0" w:color="auto"/>
                <w:bottom w:val="none" w:sz="0" w:space="0" w:color="auto"/>
                <w:right w:val="none" w:sz="0" w:space="0" w:color="auto"/>
              </w:divBdr>
              <w:divsChild>
                <w:div w:id="1950625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6251253">
      <w:bodyDiv w:val="1"/>
      <w:marLeft w:val="0"/>
      <w:marRight w:val="0"/>
      <w:marTop w:val="0"/>
      <w:marBottom w:val="0"/>
      <w:divBdr>
        <w:top w:val="none" w:sz="0" w:space="0" w:color="auto"/>
        <w:left w:val="none" w:sz="0" w:space="0" w:color="auto"/>
        <w:bottom w:val="none" w:sz="0" w:space="0" w:color="auto"/>
        <w:right w:val="none" w:sz="0" w:space="0" w:color="auto"/>
      </w:divBdr>
      <w:divsChild>
        <w:div w:id="184365367">
          <w:marLeft w:val="0"/>
          <w:marRight w:val="0"/>
          <w:marTop w:val="0"/>
          <w:marBottom w:val="0"/>
          <w:divBdr>
            <w:top w:val="none" w:sz="0" w:space="0" w:color="auto"/>
            <w:left w:val="none" w:sz="0" w:space="0" w:color="auto"/>
            <w:bottom w:val="none" w:sz="0" w:space="0" w:color="auto"/>
            <w:right w:val="none" w:sz="0" w:space="0" w:color="auto"/>
          </w:divBdr>
          <w:divsChild>
            <w:div w:id="2026470456">
              <w:marLeft w:val="0"/>
              <w:marRight w:val="0"/>
              <w:marTop w:val="0"/>
              <w:marBottom w:val="0"/>
              <w:divBdr>
                <w:top w:val="none" w:sz="0" w:space="0" w:color="auto"/>
                <w:left w:val="none" w:sz="0" w:space="0" w:color="auto"/>
                <w:bottom w:val="none" w:sz="0" w:space="0" w:color="auto"/>
                <w:right w:val="none" w:sz="0" w:space="0" w:color="auto"/>
              </w:divBdr>
              <w:divsChild>
                <w:div w:id="2030526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539049">
      <w:bodyDiv w:val="1"/>
      <w:marLeft w:val="0"/>
      <w:marRight w:val="0"/>
      <w:marTop w:val="0"/>
      <w:marBottom w:val="0"/>
      <w:divBdr>
        <w:top w:val="none" w:sz="0" w:space="0" w:color="auto"/>
        <w:left w:val="none" w:sz="0" w:space="0" w:color="auto"/>
        <w:bottom w:val="none" w:sz="0" w:space="0" w:color="auto"/>
        <w:right w:val="none" w:sz="0" w:space="0" w:color="auto"/>
      </w:divBdr>
      <w:divsChild>
        <w:div w:id="979187343">
          <w:marLeft w:val="0"/>
          <w:marRight w:val="0"/>
          <w:marTop w:val="0"/>
          <w:marBottom w:val="0"/>
          <w:divBdr>
            <w:top w:val="none" w:sz="0" w:space="0" w:color="auto"/>
            <w:left w:val="none" w:sz="0" w:space="0" w:color="auto"/>
            <w:bottom w:val="none" w:sz="0" w:space="0" w:color="auto"/>
            <w:right w:val="none" w:sz="0" w:space="0" w:color="auto"/>
          </w:divBdr>
          <w:divsChild>
            <w:div w:id="211694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094427">
      <w:bodyDiv w:val="1"/>
      <w:marLeft w:val="0"/>
      <w:marRight w:val="0"/>
      <w:marTop w:val="0"/>
      <w:marBottom w:val="0"/>
      <w:divBdr>
        <w:top w:val="none" w:sz="0" w:space="0" w:color="auto"/>
        <w:left w:val="none" w:sz="0" w:space="0" w:color="auto"/>
        <w:bottom w:val="none" w:sz="0" w:space="0" w:color="auto"/>
        <w:right w:val="none" w:sz="0" w:space="0" w:color="auto"/>
      </w:divBdr>
      <w:divsChild>
        <w:div w:id="973173652">
          <w:marLeft w:val="0"/>
          <w:marRight w:val="0"/>
          <w:marTop w:val="0"/>
          <w:marBottom w:val="0"/>
          <w:divBdr>
            <w:top w:val="none" w:sz="0" w:space="0" w:color="auto"/>
            <w:left w:val="none" w:sz="0" w:space="0" w:color="auto"/>
            <w:bottom w:val="none" w:sz="0" w:space="0" w:color="auto"/>
            <w:right w:val="none" w:sz="0" w:space="0" w:color="auto"/>
          </w:divBdr>
          <w:divsChild>
            <w:div w:id="347102026">
              <w:marLeft w:val="0"/>
              <w:marRight w:val="0"/>
              <w:marTop w:val="0"/>
              <w:marBottom w:val="0"/>
              <w:divBdr>
                <w:top w:val="none" w:sz="0" w:space="0" w:color="auto"/>
                <w:left w:val="none" w:sz="0" w:space="0" w:color="auto"/>
                <w:bottom w:val="none" w:sz="0" w:space="0" w:color="auto"/>
                <w:right w:val="none" w:sz="0" w:space="0" w:color="auto"/>
              </w:divBdr>
              <w:divsChild>
                <w:div w:id="53446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962256">
      <w:bodyDiv w:val="1"/>
      <w:marLeft w:val="0"/>
      <w:marRight w:val="0"/>
      <w:marTop w:val="0"/>
      <w:marBottom w:val="0"/>
      <w:divBdr>
        <w:top w:val="none" w:sz="0" w:space="0" w:color="auto"/>
        <w:left w:val="none" w:sz="0" w:space="0" w:color="auto"/>
        <w:bottom w:val="none" w:sz="0" w:space="0" w:color="auto"/>
        <w:right w:val="none" w:sz="0" w:space="0" w:color="auto"/>
      </w:divBdr>
      <w:divsChild>
        <w:div w:id="2629258">
          <w:marLeft w:val="0"/>
          <w:marRight w:val="0"/>
          <w:marTop w:val="0"/>
          <w:marBottom w:val="0"/>
          <w:divBdr>
            <w:top w:val="none" w:sz="0" w:space="0" w:color="auto"/>
            <w:left w:val="none" w:sz="0" w:space="0" w:color="auto"/>
            <w:bottom w:val="none" w:sz="0" w:space="0" w:color="auto"/>
            <w:right w:val="none" w:sz="0" w:space="0" w:color="auto"/>
          </w:divBdr>
          <w:divsChild>
            <w:div w:id="381634748">
              <w:marLeft w:val="0"/>
              <w:marRight w:val="0"/>
              <w:marTop w:val="0"/>
              <w:marBottom w:val="0"/>
              <w:divBdr>
                <w:top w:val="none" w:sz="0" w:space="0" w:color="auto"/>
                <w:left w:val="none" w:sz="0" w:space="0" w:color="auto"/>
                <w:bottom w:val="none" w:sz="0" w:space="0" w:color="auto"/>
                <w:right w:val="none" w:sz="0" w:space="0" w:color="auto"/>
              </w:divBdr>
              <w:divsChild>
                <w:div w:id="1100025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364283">
      <w:bodyDiv w:val="1"/>
      <w:marLeft w:val="0"/>
      <w:marRight w:val="0"/>
      <w:marTop w:val="0"/>
      <w:marBottom w:val="0"/>
      <w:divBdr>
        <w:top w:val="none" w:sz="0" w:space="0" w:color="auto"/>
        <w:left w:val="none" w:sz="0" w:space="0" w:color="auto"/>
        <w:bottom w:val="none" w:sz="0" w:space="0" w:color="auto"/>
        <w:right w:val="none" w:sz="0" w:space="0" w:color="auto"/>
      </w:divBdr>
      <w:divsChild>
        <w:div w:id="267541525">
          <w:marLeft w:val="0"/>
          <w:marRight w:val="0"/>
          <w:marTop w:val="0"/>
          <w:marBottom w:val="0"/>
          <w:divBdr>
            <w:top w:val="none" w:sz="0" w:space="0" w:color="auto"/>
            <w:left w:val="none" w:sz="0" w:space="0" w:color="auto"/>
            <w:bottom w:val="none" w:sz="0" w:space="0" w:color="auto"/>
            <w:right w:val="none" w:sz="0" w:space="0" w:color="auto"/>
          </w:divBdr>
          <w:divsChild>
            <w:div w:id="211892755">
              <w:marLeft w:val="0"/>
              <w:marRight w:val="0"/>
              <w:marTop w:val="0"/>
              <w:marBottom w:val="0"/>
              <w:divBdr>
                <w:top w:val="none" w:sz="0" w:space="0" w:color="auto"/>
                <w:left w:val="none" w:sz="0" w:space="0" w:color="auto"/>
                <w:bottom w:val="none" w:sz="0" w:space="0" w:color="auto"/>
                <w:right w:val="none" w:sz="0" w:space="0" w:color="auto"/>
              </w:divBdr>
              <w:divsChild>
                <w:div w:id="42658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389603">
      <w:bodyDiv w:val="1"/>
      <w:marLeft w:val="0"/>
      <w:marRight w:val="0"/>
      <w:marTop w:val="0"/>
      <w:marBottom w:val="0"/>
      <w:divBdr>
        <w:top w:val="none" w:sz="0" w:space="0" w:color="auto"/>
        <w:left w:val="none" w:sz="0" w:space="0" w:color="auto"/>
        <w:bottom w:val="none" w:sz="0" w:space="0" w:color="auto"/>
        <w:right w:val="none" w:sz="0" w:space="0" w:color="auto"/>
      </w:divBdr>
      <w:divsChild>
        <w:div w:id="243732409">
          <w:marLeft w:val="0"/>
          <w:marRight w:val="0"/>
          <w:marTop w:val="0"/>
          <w:marBottom w:val="0"/>
          <w:divBdr>
            <w:top w:val="none" w:sz="0" w:space="0" w:color="auto"/>
            <w:left w:val="none" w:sz="0" w:space="0" w:color="auto"/>
            <w:bottom w:val="none" w:sz="0" w:space="0" w:color="auto"/>
            <w:right w:val="none" w:sz="0" w:space="0" w:color="auto"/>
          </w:divBdr>
          <w:divsChild>
            <w:div w:id="1267008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744815">
      <w:bodyDiv w:val="1"/>
      <w:marLeft w:val="0"/>
      <w:marRight w:val="0"/>
      <w:marTop w:val="0"/>
      <w:marBottom w:val="0"/>
      <w:divBdr>
        <w:top w:val="none" w:sz="0" w:space="0" w:color="auto"/>
        <w:left w:val="none" w:sz="0" w:space="0" w:color="auto"/>
        <w:bottom w:val="none" w:sz="0" w:space="0" w:color="auto"/>
        <w:right w:val="none" w:sz="0" w:space="0" w:color="auto"/>
      </w:divBdr>
      <w:divsChild>
        <w:div w:id="374935350">
          <w:marLeft w:val="0"/>
          <w:marRight w:val="0"/>
          <w:marTop w:val="0"/>
          <w:marBottom w:val="0"/>
          <w:divBdr>
            <w:top w:val="none" w:sz="0" w:space="0" w:color="auto"/>
            <w:left w:val="none" w:sz="0" w:space="0" w:color="auto"/>
            <w:bottom w:val="none" w:sz="0" w:space="0" w:color="auto"/>
            <w:right w:val="none" w:sz="0" w:space="0" w:color="auto"/>
          </w:divBdr>
        </w:div>
      </w:divsChild>
    </w:div>
    <w:div w:id="700131511">
      <w:bodyDiv w:val="1"/>
      <w:marLeft w:val="0"/>
      <w:marRight w:val="0"/>
      <w:marTop w:val="0"/>
      <w:marBottom w:val="0"/>
      <w:divBdr>
        <w:top w:val="none" w:sz="0" w:space="0" w:color="auto"/>
        <w:left w:val="none" w:sz="0" w:space="0" w:color="auto"/>
        <w:bottom w:val="none" w:sz="0" w:space="0" w:color="auto"/>
        <w:right w:val="none" w:sz="0" w:space="0" w:color="auto"/>
      </w:divBdr>
    </w:div>
    <w:div w:id="718478432">
      <w:bodyDiv w:val="1"/>
      <w:marLeft w:val="0"/>
      <w:marRight w:val="0"/>
      <w:marTop w:val="0"/>
      <w:marBottom w:val="0"/>
      <w:divBdr>
        <w:top w:val="none" w:sz="0" w:space="0" w:color="auto"/>
        <w:left w:val="none" w:sz="0" w:space="0" w:color="auto"/>
        <w:bottom w:val="none" w:sz="0" w:space="0" w:color="auto"/>
        <w:right w:val="none" w:sz="0" w:space="0" w:color="auto"/>
      </w:divBdr>
      <w:divsChild>
        <w:div w:id="1117066806">
          <w:marLeft w:val="0"/>
          <w:marRight w:val="0"/>
          <w:marTop w:val="0"/>
          <w:marBottom w:val="0"/>
          <w:divBdr>
            <w:top w:val="none" w:sz="0" w:space="0" w:color="auto"/>
            <w:left w:val="none" w:sz="0" w:space="0" w:color="auto"/>
            <w:bottom w:val="none" w:sz="0" w:space="0" w:color="auto"/>
            <w:right w:val="none" w:sz="0" w:space="0" w:color="auto"/>
          </w:divBdr>
          <w:divsChild>
            <w:div w:id="812411002">
              <w:marLeft w:val="0"/>
              <w:marRight w:val="0"/>
              <w:marTop w:val="0"/>
              <w:marBottom w:val="0"/>
              <w:divBdr>
                <w:top w:val="none" w:sz="0" w:space="0" w:color="auto"/>
                <w:left w:val="none" w:sz="0" w:space="0" w:color="auto"/>
                <w:bottom w:val="none" w:sz="0" w:space="0" w:color="auto"/>
                <w:right w:val="none" w:sz="0" w:space="0" w:color="auto"/>
              </w:divBdr>
              <w:divsChild>
                <w:div w:id="2136637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722825">
      <w:bodyDiv w:val="1"/>
      <w:marLeft w:val="0"/>
      <w:marRight w:val="0"/>
      <w:marTop w:val="0"/>
      <w:marBottom w:val="0"/>
      <w:divBdr>
        <w:top w:val="none" w:sz="0" w:space="0" w:color="auto"/>
        <w:left w:val="none" w:sz="0" w:space="0" w:color="auto"/>
        <w:bottom w:val="none" w:sz="0" w:space="0" w:color="auto"/>
        <w:right w:val="none" w:sz="0" w:space="0" w:color="auto"/>
      </w:divBdr>
      <w:divsChild>
        <w:div w:id="922378922">
          <w:marLeft w:val="0"/>
          <w:marRight w:val="0"/>
          <w:marTop w:val="0"/>
          <w:marBottom w:val="0"/>
          <w:divBdr>
            <w:top w:val="none" w:sz="0" w:space="0" w:color="auto"/>
            <w:left w:val="none" w:sz="0" w:space="0" w:color="auto"/>
            <w:bottom w:val="none" w:sz="0" w:space="0" w:color="auto"/>
            <w:right w:val="none" w:sz="0" w:space="0" w:color="auto"/>
          </w:divBdr>
          <w:divsChild>
            <w:div w:id="1765304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232782">
      <w:bodyDiv w:val="1"/>
      <w:marLeft w:val="0"/>
      <w:marRight w:val="0"/>
      <w:marTop w:val="0"/>
      <w:marBottom w:val="0"/>
      <w:divBdr>
        <w:top w:val="none" w:sz="0" w:space="0" w:color="auto"/>
        <w:left w:val="none" w:sz="0" w:space="0" w:color="auto"/>
        <w:bottom w:val="none" w:sz="0" w:space="0" w:color="auto"/>
        <w:right w:val="none" w:sz="0" w:space="0" w:color="auto"/>
      </w:divBdr>
      <w:divsChild>
        <w:div w:id="379983131">
          <w:marLeft w:val="0"/>
          <w:marRight w:val="0"/>
          <w:marTop w:val="0"/>
          <w:marBottom w:val="0"/>
          <w:divBdr>
            <w:top w:val="none" w:sz="0" w:space="0" w:color="auto"/>
            <w:left w:val="none" w:sz="0" w:space="0" w:color="auto"/>
            <w:bottom w:val="none" w:sz="0" w:space="0" w:color="auto"/>
            <w:right w:val="none" w:sz="0" w:space="0" w:color="auto"/>
          </w:divBdr>
          <w:divsChild>
            <w:div w:id="1775393632">
              <w:marLeft w:val="0"/>
              <w:marRight w:val="0"/>
              <w:marTop w:val="0"/>
              <w:marBottom w:val="0"/>
              <w:divBdr>
                <w:top w:val="none" w:sz="0" w:space="0" w:color="auto"/>
                <w:left w:val="none" w:sz="0" w:space="0" w:color="auto"/>
                <w:bottom w:val="none" w:sz="0" w:space="0" w:color="auto"/>
                <w:right w:val="none" w:sz="0" w:space="0" w:color="auto"/>
              </w:divBdr>
              <w:divsChild>
                <w:div w:id="163128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954127">
      <w:bodyDiv w:val="1"/>
      <w:marLeft w:val="0"/>
      <w:marRight w:val="0"/>
      <w:marTop w:val="0"/>
      <w:marBottom w:val="0"/>
      <w:divBdr>
        <w:top w:val="none" w:sz="0" w:space="0" w:color="auto"/>
        <w:left w:val="none" w:sz="0" w:space="0" w:color="auto"/>
        <w:bottom w:val="none" w:sz="0" w:space="0" w:color="auto"/>
        <w:right w:val="none" w:sz="0" w:space="0" w:color="auto"/>
      </w:divBdr>
      <w:divsChild>
        <w:div w:id="506023567">
          <w:marLeft w:val="0"/>
          <w:marRight w:val="0"/>
          <w:marTop w:val="0"/>
          <w:marBottom w:val="0"/>
          <w:divBdr>
            <w:top w:val="none" w:sz="0" w:space="0" w:color="auto"/>
            <w:left w:val="none" w:sz="0" w:space="0" w:color="auto"/>
            <w:bottom w:val="none" w:sz="0" w:space="0" w:color="auto"/>
            <w:right w:val="none" w:sz="0" w:space="0" w:color="auto"/>
          </w:divBdr>
          <w:divsChild>
            <w:div w:id="1719474185">
              <w:marLeft w:val="0"/>
              <w:marRight w:val="0"/>
              <w:marTop w:val="0"/>
              <w:marBottom w:val="0"/>
              <w:divBdr>
                <w:top w:val="none" w:sz="0" w:space="0" w:color="auto"/>
                <w:left w:val="none" w:sz="0" w:space="0" w:color="auto"/>
                <w:bottom w:val="none" w:sz="0" w:space="0" w:color="auto"/>
                <w:right w:val="none" w:sz="0" w:space="0" w:color="auto"/>
              </w:divBdr>
              <w:divsChild>
                <w:div w:id="2010912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2524305">
      <w:bodyDiv w:val="1"/>
      <w:marLeft w:val="0"/>
      <w:marRight w:val="0"/>
      <w:marTop w:val="0"/>
      <w:marBottom w:val="0"/>
      <w:divBdr>
        <w:top w:val="none" w:sz="0" w:space="0" w:color="auto"/>
        <w:left w:val="none" w:sz="0" w:space="0" w:color="auto"/>
        <w:bottom w:val="none" w:sz="0" w:space="0" w:color="auto"/>
        <w:right w:val="none" w:sz="0" w:space="0" w:color="auto"/>
      </w:divBdr>
      <w:divsChild>
        <w:div w:id="1564825902">
          <w:marLeft w:val="0"/>
          <w:marRight w:val="0"/>
          <w:marTop w:val="0"/>
          <w:marBottom w:val="0"/>
          <w:divBdr>
            <w:top w:val="none" w:sz="0" w:space="0" w:color="auto"/>
            <w:left w:val="none" w:sz="0" w:space="0" w:color="auto"/>
            <w:bottom w:val="none" w:sz="0" w:space="0" w:color="auto"/>
            <w:right w:val="none" w:sz="0" w:space="0" w:color="auto"/>
          </w:divBdr>
          <w:divsChild>
            <w:div w:id="194852720">
              <w:marLeft w:val="0"/>
              <w:marRight w:val="0"/>
              <w:marTop w:val="0"/>
              <w:marBottom w:val="0"/>
              <w:divBdr>
                <w:top w:val="none" w:sz="0" w:space="0" w:color="auto"/>
                <w:left w:val="none" w:sz="0" w:space="0" w:color="auto"/>
                <w:bottom w:val="none" w:sz="0" w:space="0" w:color="auto"/>
                <w:right w:val="none" w:sz="0" w:space="0" w:color="auto"/>
              </w:divBdr>
              <w:divsChild>
                <w:div w:id="1390953827">
                  <w:marLeft w:val="0"/>
                  <w:marRight w:val="0"/>
                  <w:marTop w:val="0"/>
                  <w:marBottom w:val="0"/>
                  <w:divBdr>
                    <w:top w:val="none" w:sz="0" w:space="0" w:color="auto"/>
                    <w:left w:val="none" w:sz="0" w:space="0" w:color="auto"/>
                    <w:bottom w:val="none" w:sz="0" w:space="0" w:color="auto"/>
                    <w:right w:val="none" w:sz="0" w:space="0" w:color="auto"/>
                  </w:divBdr>
                  <w:divsChild>
                    <w:div w:id="477652581">
                      <w:marLeft w:val="0"/>
                      <w:marRight w:val="0"/>
                      <w:marTop w:val="0"/>
                      <w:marBottom w:val="0"/>
                      <w:divBdr>
                        <w:top w:val="none" w:sz="0" w:space="0" w:color="auto"/>
                        <w:left w:val="none" w:sz="0" w:space="0" w:color="auto"/>
                        <w:bottom w:val="none" w:sz="0" w:space="0" w:color="auto"/>
                        <w:right w:val="none" w:sz="0" w:space="0" w:color="auto"/>
                      </w:divBdr>
                      <w:divsChild>
                        <w:div w:id="648679489">
                          <w:marLeft w:val="0"/>
                          <w:marRight w:val="0"/>
                          <w:marTop w:val="0"/>
                          <w:marBottom w:val="0"/>
                          <w:divBdr>
                            <w:top w:val="none" w:sz="0" w:space="0" w:color="auto"/>
                            <w:left w:val="none" w:sz="0" w:space="0" w:color="auto"/>
                            <w:bottom w:val="none" w:sz="0" w:space="0" w:color="auto"/>
                            <w:right w:val="none" w:sz="0" w:space="0" w:color="auto"/>
                          </w:divBdr>
                          <w:divsChild>
                            <w:div w:id="30273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3349009">
      <w:bodyDiv w:val="1"/>
      <w:marLeft w:val="0"/>
      <w:marRight w:val="0"/>
      <w:marTop w:val="0"/>
      <w:marBottom w:val="0"/>
      <w:divBdr>
        <w:top w:val="none" w:sz="0" w:space="0" w:color="auto"/>
        <w:left w:val="none" w:sz="0" w:space="0" w:color="auto"/>
        <w:bottom w:val="none" w:sz="0" w:space="0" w:color="auto"/>
        <w:right w:val="none" w:sz="0" w:space="0" w:color="auto"/>
      </w:divBdr>
    </w:div>
    <w:div w:id="1547836592">
      <w:bodyDiv w:val="1"/>
      <w:marLeft w:val="0"/>
      <w:marRight w:val="0"/>
      <w:marTop w:val="0"/>
      <w:marBottom w:val="0"/>
      <w:divBdr>
        <w:top w:val="none" w:sz="0" w:space="0" w:color="auto"/>
        <w:left w:val="none" w:sz="0" w:space="0" w:color="auto"/>
        <w:bottom w:val="none" w:sz="0" w:space="0" w:color="auto"/>
        <w:right w:val="none" w:sz="0" w:space="0" w:color="auto"/>
      </w:divBdr>
      <w:divsChild>
        <w:div w:id="485903081">
          <w:marLeft w:val="0"/>
          <w:marRight w:val="0"/>
          <w:marTop w:val="0"/>
          <w:marBottom w:val="0"/>
          <w:divBdr>
            <w:top w:val="none" w:sz="0" w:space="0" w:color="auto"/>
            <w:left w:val="none" w:sz="0" w:space="0" w:color="auto"/>
            <w:bottom w:val="none" w:sz="0" w:space="0" w:color="auto"/>
            <w:right w:val="none" w:sz="0" w:space="0" w:color="auto"/>
          </w:divBdr>
          <w:divsChild>
            <w:div w:id="2063091541">
              <w:marLeft w:val="0"/>
              <w:marRight w:val="0"/>
              <w:marTop w:val="0"/>
              <w:marBottom w:val="0"/>
              <w:divBdr>
                <w:top w:val="none" w:sz="0" w:space="0" w:color="auto"/>
                <w:left w:val="none" w:sz="0" w:space="0" w:color="auto"/>
                <w:bottom w:val="none" w:sz="0" w:space="0" w:color="auto"/>
                <w:right w:val="none" w:sz="0" w:space="0" w:color="auto"/>
              </w:divBdr>
              <w:divsChild>
                <w:div w:id="1916695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296169">
      <w:bodyDiv w:val="1"/>
      <w:marLeft w:val="0"/>
      <w:marRight w:val="0"/>
      <w:marTop w:val="0"/>
      <w:marBottom w:val="0"/>
      <w:divBdr>
        <w:top w:val="none" w:sz="0" w:space="0" w:color="auto"/>
        <w:left w:val="none" w:sz="0" w:space="0" w:color="auto"/>
        <w:bottom w:val="none" w:sz="0" w:space="0" w:color="auto"/>
        <w:right w:val="none" w:sz="0" w:space="0" w:color="auto"/>
      </w:divBdr>
      <w:divsChild>
        <w:div w:id="644240876">
          <w:marLeft w:val="0"/>
          <w:marRight w:val="0"/>
          <w:marTop w:val="0"/>
          <w:marBottom w:val="0"/>
          <w:divBdr>
            <w:top w:val="none" w:sz="0" w:space="0" w:color="auto"/>
            <w:left w:val="none" w:sz="0" w:space="0" w:color="auto"/>
            <w:bottom w:val="none" w:sz="0" w:space="0" w:color="auto"/>
            <w:right w:val="none" w:sz="0" w:space="0" w:color="auto"/>
          </w:divBdr>
          <w:divsChild>
            <w:div w:id="98312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694635">
      <w:bodyDiv w:val="1"/>
      <w:marLeft w:val="0"/>
      <w:marRight w:val="0"/>
      <w:marTop w:val="0"/>
      <w:marBottom w:val="0"/>
      <w:divBdr>
        <w:top w:val="none" w:sz="0" w:space="0" w:color="auto"/>
        <w:left w:val="none" w:sz="0" w:space="0" w:color="auto"/>
        <w:bottom w:val="none" w:sz="0" w:space="0" w:color="auto"/>
        <w:right w:val="none" w:sz="0" w:space="0" w:color="auto"/>
      </w:divBdr>
    </w:div>
    <w:div w:id="1575162914">
      <w:bodyDiv w:val="1"/>
      <w:marLeft w:val="0"/>
      <w:marRight w:val="0"/>
      <w:marTop w:val="0"/>
      <w:marBottom w:val="0"/>
      <w:divBdr>
        <w:top w:val="none" w:sz="0" w:space="0" w:color="auto"/>
        <w:left w:val="none" w:sz="0" w:space="0" w:color="auto"/>
        <w:bottom w:val="none" w:sz="0" w:space="0" w:color="auto"/>
        <w:right w:val="none" w:sz="0" w:space="0" w:color="auto"/>
      </w:divBdr>
      <w:divsChild>
        <w:div w:id="229000172">
          <w:marLeft w:val="0"/>
          <w:marRight w:val="0"/>
          <w:marTop w:val="0"/>
          <w:marBottom w:val="0"/>
          <w:divBdr>
            <w:top w:val="none" w:sz="0" w:space="0" w:color="auto"/>
            <w:left w:val="none" w:sz="0" w:space="0" w:color="auto"/>
            <w:bottom w:val="none" w:sz="0" w:space="0" w:color="auto"/>
            <w:right w:val="none" w:sz="0" w:space="0" w:color="auto"/>
          </w:divBdr>
          <w:divsChild>
            <w:div w:id="325287518">
              <w:marLeft w:val="0"/>
              <w:marRight w:val="0"/>
              <w:marTop w:val="0"/>
              <w:marBottom w:val="0"/>
              <w:divBdr>
                <w:top w:val="none" w:sz="0" w:space="0" w:color="auto"/>
                <w:left w:val="none" w:sz="0" w:space="0" w:color="auto"/>
                <w:bottom w:val="none" w:sz="0" w:space="0" w:color="auto"/>
                <w:right w:val="none" w:sz="0" w:space="0" w:color="auto"/>
              </w:divBdr>
              <w:divsChild>
                <w:div w:id="84150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949356">
      <w:bodyDiv w:val="1"/>
      <w:marLeft w:val="0"/>
      <w:marRight w:val="0"/>
      <w:marTop w:val="0"/>
      <w:marBottom w:val="0"/>
      <w:divBdr>
        <w:top w:val="none" w:sz="0" w:space="0" w:color="auto"/>
        <w:left w:val="none" w:sz="0" w:space="0" w:color="auto"/>
        <w:bottom w:val="none" w:sz="0" w:space="0" w:color="auto"/>
        <w:right w:val="none" w:sz="0" w:space="0" w:color="auto"/>
      </w:divBdr>
      <w:divsChild>
        <w:div w:id="1007555308">
          <w:marLeft w:val="0"/>
          <w:marRight w:val="0"/>
          <w:marTop w:val="0"/>
          <w:marBottom w:val="0"/>
          <w:divBdr>
            <w:top w:val="none" w:sz="0" w:space="0" w:color="auto"/>
            <w:left w:val="none" w:sz="0" w:space="0" w:color="auto"/>
            <w:bottom w:val="none" w:sz="0" w:space="0" w:color="auto"/>
            <w:right w:val="none" w:sz="0" w:space="0" w:color="auto"/>
          </w:divBdr>
          <w:divsChild>
            <w:div w:id="645663302">
              <w:marLeft w:val="0"/>
              <w:marRight w:val="0"/>
              <w:marTop w:val="0"/>
              <w:marBottom w:val="0"/>
              <w:divBdr>
                <w:top w:val="none" w:sz="0" w:space="0" w:color="auto"/>
                <w:left w:val="none" w:sz="0" w:space="0" w:color="auto"/>
                <w:bottom w:val="none" w:sz="0" w:space="0" w:color="auto"/>
                <w:right w:val="none" w:sz="0" w:space="0" w:color="auto"/>
              </w:divBdr>
              <w:divsChild>
                <w:div w:id="2043287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037007">
      <w:bodyDiv w:val="1"/>
      <w:marLeft w:val="0"/>
      <w:marRight w:val="0"/>
      <w:marTop w:val="0"/>
      <w:marBottom w:val="0"/>
      <w:divBdr>
        <w:top w:val="none" w:sz="0" w:space="0" w:color="auto"/>
        <w:left w:val="none" w:sz="0" w:space="0" w:color="auto"/>
        <w:bottom w:val="none" w:sz="0" w:space="0" w:color="auto"/>
        <w:right w:val="none" w:sz="0" w:space="0" w:color="auto"/>
      </w:divBdr>
      <w:divsChild>
        <w:div w:id="1932155106">
          <w:marLeft w:val="0"/>
          <w:marRight w:val="0"/>
          <w:marTop w:val="0"/>
          <w:marBottom w:val="0"/>
          <w:divBdr>
            <w:top w:val="none" w:sz="0" w:space="0" w:color="auto"/>
            <w:left w:val="none" w:sz="0" w:space="0" w:color="auto"/>
            <w:bottom w:val="none" w:sz="0" w:space="0" w:color="auto"/>
            <w:right w:val="none" w:sz="0" w:space="0" w:color="auto"/>
          </w:divBdr>
          <w:divsChild>
            <w:div w:id="1243681256">
              <w:marLeft w:val="0"/>
              <w:marRight w:val="0"/>
              <w:marTop w:val="0"/>
              <w:marBottom w:val="0"/>
              <w:divBdr>
                <w:top w:val="none" w:sz="0" w:space="0" w:color="auto"/>
                <w:left w:val="none" w:sz="0" w:space="0" w:color="auto"/>
                <w:bottom w:val="none" w:sz="0" w:space="0" w:color="auto"/>
                <w:right w:val="none" w:sz="0" w:space="0" w:color="auto"/>
              </w:divBdr>
              <w:divsChild>
                <w:div w:id="26164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248582">
      <w:bodyDiv w:val="1"/>
      <w:marLeft w:val="0"/>
      <w:marRight w:val="0"/>
      <w:marTop w:val="0"/>
      <w:marBottom w:val="0"/>
      <w:divBdr>
        <w:top w:val="none" w:sz="0" w:space="0" w:color="auto"/>
        <w:left w:val="none" w:sz="0" w:space="0" w:color="auto"/>
        <w:bottom w:val="none" w:sz="0" w:space="0" w:color="auto"/>
        <w:right w:val="none" w:sz="0" w:space="0" w:color="auto"/>
      </w:divBdr>
      <w:divsChild>
        <w:div w:id="856412">
          <w:marLeft w:val="0"/>
          <w:marRight w:val="0"/>
          <w:marTop w:val="0"/>
          <w:marBottom w:val="0"/>
          <w:divBdr>
            <w:top w:val="none" w:sz="0" w:space="0" w:color="auto"/>
            <w:left w:val="none" w:sz="0" w:space="0" w:color="auto"/>
            <w:bottom w:val="none" w:sz="0" w:space="0" w:color="auto"/>
            <w:right w:val="none" w:sz="0" w:space="0" w:color="auto"/>
          </w:divBdr>
          <w:divsChild>
            <w:div w:id="1314677410">
              <w:marLeft w:val="0"/>
              <w:marRight w:val="0"/>
              <w:marTop w:val="0"/>
              <w:marBottom w:val="0"/>
              <w:divBdr>
                <w:top w:val="none" w:sz="0" w:space="0" w:color="auto"/>
                <w:left w:val="none" w:sz="0" w:space="0" w:color="auto"/>
                <w:bottom w:val="none" w:sz="0" w:space="0" w:color="auto"/>
                <w:right w:val="none" w:sz="0" w:space="0" w:color="auto"/>
              </w:divBdr>
              <w:divsChild>
                <w:div w:id="2019115205">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958876516">
      <w:bodyDiv w:val="1"/>
      <w:marLeft w:val="0"/>
      <w:marRight w:val="0"/>
      <w:marTop w:val="0"/>
      <w:marBottom w:val="0"/>
      <w:divBdr>
        <w:top w:val="none" w:sz="0" w:space="0" w:color="auto"/>
        <w:left w:val="none" w:sz="0" w:space="0" w:color="auto"/>
        <w:bottom w:val="none" w:sz="0" w:space="0" w:color="auto"/>
        <w:right w:val="none" w:sz="0" w:space="0" w:color="auto"/>
      </w:divBdr>
      <w:divsChild>
        <w:div w:id="586302875">
          <w:marLeft w:val="0"/>
          <w:marRight w:val="0"/>
          <w:marTop w:val="0"/>
          <w:marBottom w:val="0"/>
          <w:divBdr>
            <w:top w:val="none" w:sz="0" w:space="0" w:color="auto"/>
            <w:left w:val="none" w:sz="0" w:space="0" w:color="auto"/>
            <w:bottom w:val="none" w:sz="0" w:space="0" w:color="auto"/>
            <w:right w:val="none" w:sz="0" w:space="0" w:color="auto"/>
          </w:divBdr>
          <w:divsChild>
            <w:div w:id="2111123837">
              <w:marLeft w:val="0"/>
              <w:marRight w:val="0"/>
              <w:marTop w:val="0"/>
              <w:marBottom w:val="0"/>
              <w:divBdr>
                <w:top w:val="none" w:sz="0" w:space="0" w:color="auto"/>
                <w:left w:val="none" w:sz="0" w:space="0" w:color="auto"/>
                <w:bottom w:val="none" w:sz="0" w:space="0" w:color="auto"/>
                <w:right w:val="none" w:sz="0" w:space="0" w:color="auto"/>
              </w:divBdr>
              <w:divsChild>
                <w:div w:id="144199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6327558">
      <w:bodyDiv w:val="1"/>
      <w:marLeft w:val="0"/>
      <w:marRight w:val="0"/>
      <w:marTop w:val="0"/>
      <w:marBottom w:val="0"/>
      <w:divBdr>
        <w:top w:val="none" w:sz="0" w:space="0" w:color="auto"/>
        <w:left w:val="none" w:sz="0" w:space="0" w:color="auto"/>
        <w:bottom w:val="none" w:sz="0" w:space="0" w:color="auto"/>
        <w:right w:val="none" w:sz="0" w:space="0" w:color="auto"/>
      </w:divBdr>
      <w:divsChild>
        <w:div w:id="1395934232">
          <w:marLeft w:val="0"/>
          <w:marRight w:val="0"/>
          <w:marTop w:val="0"/>
          <w:marBottom w:val="0"/>
          <w:divBdr>
            <w:top w:val="none" w:sz="0" w:space="0" w:color="auto"/>
            <w:left w:val="none" w:sz="0" w:space="0" w:color="auto"/>
            <w:bottom w:val="none" w:sz="0" w:space="0" w:color="auto"/>
            <w:right w:val="none" w:sz="0" w:space="0" w:color="auto"/>
          </w:divBdr>
          <w:divsChild>
            <w:div w:id="1692800961">
              <w:marLeft w:val="0"/>
              <w:marRight w:val="0"/>
              <w:marTop w:val="0"/>
              <w:marBottom w:val="0"/>
              <w:divBdr>
                <w:top w:val="none" w:sz="0" w:space="0" w:color="auto"/>
                <w:left w:val="none" w:sz="0" w:space="0" w:color="auto"/>
                <w:bottom w:val="none" w:sz="0" w:space="0" w:color="auto"/>
                <w:right w:val="none" w:sz="0" w:space="0" w:color="auto"/>
              </w:divBdr>
              <w:divsChild>
                <w:div w:id="1371879440">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036684869">
      <w:bodyDiv w:val="1"/>
      <w:marLeft w:val="0"/>
      <w:marRight w:val="0"/>
      <w:marTop w:val="0"/>
      <w:marBottom w:val="0"/>
      <w:divBdr>
        <w:top w:val="none" w:sz="0" w:space="0" w:color="auto"/>
        <w:left w:val="none" w:sz="0" w:space="0" w:color="auto"/>
        <w:bottom w:val="none" w:sz="0" w:space="0" w:color="auto"/>
        <w:right w:val="none" w:sz="0" w:space="0" w:color="auto"/>
      </w:divBdr>
    </w:div>
    <w:div w:id="2048413035">
      <w:bodyDiv w:val="1"/>
      <w:marLeft w:val="0"/>
      <w:marRight w:val="0"/>
      <w:marTop w:val="0"/>
      <w:marBottom w:val="0"/>
      <w:divBdr>
        <w:top w:val="none" w:sz="0" w:space="0" w:color="auto"/>
        <w:left w:val="none" w:sz="0" w:space="0" w:color="auto"/>
        <w:bottom w:val="none" w:sz="0" w:space="0" w:color="auto"/>
        <w:right w:val="none" w:sz="0" w:space="0" w:color="auto"/>
      </w:divBdr>
      <w:divsChild>
        <w:div w:id="757793295">
          <w:marLeft w:val="0"/>
          <w:marRight w:val="0"/>
          <w:marTop w:val="0"/>
          <w:marBottom w:val="0"/>
          <w:divBdr>
            <w:top w:val="none" w:sz="0" w:space="0" w:color="auto"/>
            <w:left w:val="none" w:sz="0" w:space="0" w:color="auto"/>
            <w:bottom w:val="none" w:sz="0" w:space="0" w:color="auto"/>
            <w:right w:val="none" w:sz="0" w:space="0" w:color="auto"/>
          </w:divBdr>
          <w:divsChild>
            <w:div w:id="1235434511">
              <w:marLeft w:val="0"/>
              <w:marRight w:val="0"/>
              <w:marTop w:val="0"/>
              <w:marBottom w:val="0"/>
              <w:divBdr>
                <w:top w:val="none" w:sz="0" w:space="0" w:color="auto"/>
                <w:left w:val="none" w:sz="0" w:space="0" w:color="auto"/>
                <w:bottom w:val="none" w:sz="0" w:space="0" w:color="auto"/>
                <w:right w:val="none" w:sz="0" w:space="0" w:color="auto"/>
              </w:divBdr>
              <w:divsChild>
                <w:div w:id="1731463147">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mailto:publichealth.policy@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chart" Target="charts/chart7.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2.xml"/><Relationship Id="rId22" Type="http://schemas.openxmlformats.org/officeDocument/2006/relationships/chart" Target="charts/chart9.xml"/></Relationships>
</file>

<file path=word/charts/_rels/chart1.xml.rels><?xml version="1.0" encoding="UTF-8" standalone="yes"?>
<Relationships xmlns="http://schemas.openxmlformats.org/package/2006/relationships"><Relationship Id="rId1" Type="http://schemas.openxmlformats.org/officeDocument/2006/relationships/oleObject" Target="file:///\\etpndc02\shared\PHTOP\CCDC\Sarah%20Jones\Environmental%20Health%20Protection\Environmental%20Health%20Protection\Graduated%20driver%20licencing\GDL%20-%20databases%20and%20spreadsheets%20new%20September%202011\GB%20GDL%2024011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tpndc02\shared\PHTOP\CCDC\Sarah%20Jones\Environmental%20Health%20Protection\Environmental%20Health%20Protection\Graduated%20driver%20licencing\GDL%20-%20databases%20and%20spreadsheets%20new%20September%202011\GB%20GDL%2024011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tpndc02\shared\PHTOP\CCDC\Sarah%20Jones\Environmental%20Health%20Protection\Environmental%20Health%20Protection\Graduated%20driver%20licencing\GDL%20-%20databases%20and%20spreadsheets%20new%20September%202011\GB%20GDL%2024011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tpndc02\shared\PHTOP\CCDC\Sarah%20Jones\Environmental%20Health%20Protection\Environmental%20Health%20Protection\Graduated%20driver%20licencing\GDL%20-%20databases%20and%20spreadsheets%20new%20September%202011\GB%20GDL%2024011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tpndc02\shared\PHTOP\CCDC\Sarah%20Jones\Environmental%20Health%20Protection\Environmental%20Health%20Protection\Graduated%20driver%20licencing\GDL%20-%20databases%20and%20spreadsheets%20new%20September%202011\GB%20GDL%2024011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tpndc02\shared\PHTOP\CCDC\Sarah%20Jones\Environmental%20Health%20Protection\Environmental%20Health%20Protection\Graduated%20driver%20licencing\GDL%20-%20databases%20and%20spreadsheets%20new%20September%202011\GB%20GDL%2024011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tpndc02\shared\PHTOP\CCDC\Sarah%20Jones\Environmental%20Health%20Protection\Environmental%20Health%20Protection\Graduated%20driver%20licencing\GDL%20-%20databases%20and%20spreadsheets%20new%20September%202011\GB%20GDL%2024011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tpndc02\users\Sarah.Jones2\My%20Documents\Environmental%20Health%20Protection\Graduated%20driver%20licencing\GDL%20-%20databases%20and%20spreadsheets%20new%20September%202011\GB%20GDL%20240113.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etpndc02\shared\PHTOP\CCDC\Sarah%20Jones\Environmental%20Health%20Protection\Environmental%20Health%20Protection\Graduated%20driver%20licencing\GDL%20-%20databases%20and%20spreadsheets%20new%20September%202011\GB%20GDL%2024011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defRPr sz="1100"/>
            </a:pPr>
            <a:r>
              <a:rPr lang="en-GB" sz="1100"/>
              <a:t>All</a:t>
            </a:r>
          </a:p>
        </c:rich>
      </c:tx>
      <c:layout/>
    </c:title>
    <c:plotArea>
      <c:layout/>
      <c:lineChart>
        <c:grouping val="standard"/>
        <c:ser>
          <c:idx val="0"/>
          <c:order val="0"/>
          <c:tx>
            <c:strRef>
              <c:f>'Crash rates - licenced drivers'!$AQ$18</c:f>
              <c:strCache>
                <c:ptCount val="1"/>
                <c:pt idx="0">
                  <c:v>YD</c:v>
                </c:pt>
              </c:strCache>
            </c:strRef>
          </c:tx>
          <c:spPr>
            <a:ln>
              <a:solidFill>
                <a:srgbClr val="FF0000"/>
              </a:solidFill>
            </a:ln>
          </c:spPr>
          <c:marker>
            <c:symbol val="none"/>
          </c:marker>
          <c:cat>
            <c:strRef>
              <c:f>'Crash rates - licenced drivers'!$A$19:$A$30</c:f>
              <c:strCache>
                <c:ptCount val="12"/>
                <c:pt idx="0">
                  <c:v>2000-02</c:v>
                </c:pt>
                <c:pt idx="1">
                  <c:v>2001-03</c:v>
                </c:pt>
                <c:pt idx="2">
                  <c:v>2002-04</c:v>
                </c:pt>
                <c:pt idx="3">
                  <c:v>2003-05</c:v>
                </c:pt>
                <c:pt idx="4">
                  <c:v>2004-06</c:v>
                </c:pt>
                <c:pt idx="5">
                  <c:v>2005-07</c:v>
                </c:pt>
                <c:pt idx="6">
                  <c:v>2006-08</c:v>
                </c:pt>
                <c:pt idx="7">
                  <c:v>2007-09</c:v>
                </c:pt>
                <c:pt idx="8">
                  <c:v>2008-10</c:v>
                </c:pt>
                <c:pt idx="9">
                  <c:v>2009-11</c:v>
                </c:pt>
                <c:pt idx="10">
                  <c:v>2010-12</c:v>
                </c:pt>
                <c:pt idx="11">
                  <c:v>2011-13</c:v>
                </c:pt>
              </c:strCache>
            </c:strRef>
          </c:cat>
          <c:val>
            <c:numRef>
              <c:f>'Crash rates - licenced drivers'!$AQ$19:$AQ$30</c:f>
              <c:numCache>
                <c:formatCode>0.0</c:formatCode>
                <c:ptCount val="12"/>
                <c:pt idx="0">
                  <c:v>42.050825160611879</c:v>
                </c:pt>
                <c:pt idx="1">
                  <c:v>41.171826419892312</c:v>
                </c:pt>
                <c:pt idx="2">
                  <c:v>39.878081648186594</c:v>
                </c:pt>
                <c:pt idx="3">
                  <c:v>36.881554357345088</c:v>
                </c:pt>
                <c:pt idx="4">
                  <c:v>33.557659658556091</c:v>
                </c:pt>
                <c:pt idx="5">
                  <c:v>30.372917767692698</c:v>
                </c:pt>
                <c:pt idx="6">
                  <c:v>27.629496294934242</c:v>
                </c:pt>
                <c:pt idx="7">
                  <c:v>25.436422305179672</c:v>
                </c:pt>
                <c:pt idx="8">
                  <c:v>22.753821689651144</c:v>
                </c:pt>
                <c:pt idx="9">
                  <c:v>20.351154674571614</c:v>
                </c:pt>
                <c:pt idx="10">
                  <c:v>17.896576253363243</c:v>
                </c:pt>
                <c:pt idx="11">
                  <c:v>16.211980212567926</c:v>
                </c:pt>
              </c:numCache>
            </c:numRef>
          </c:val>
        </c:ser>
        <c:ser>
          <c:idx val="1"/>
          <c:order val="1"/>
          <c:tx>
            <c:strRef>
              <c:f>'Crash rates - licenced drivers'!$AR$18</c:f>
              <c:strCache>
                <c:ptCount val="1"/>
                <c:pt idx="0">
                  <c:v>OD</c:v>
                </c:pt>
              </c:strCache>
            </c:strRef>
          </c:tx>
          <c:spPr>
            <a:ln>
              <a:solidFill>
                <a:srgbClr val="002060"/>
              </a:solidFill>
            </a:ln>
          </c:spPr>
          <c:marker>
            <c:symbol val="none"/>
          </c:marker>
          <c:cat>
            <c:strRef>
              <c:f>'Crash rates - licenced drivers'!$A$19:$A$28</c:f>
              <c:strCache>
                <c:ptCount val="10"/>
                <c:pt idx="0">
                  <c:v>2000-02</c:v>
                </c:pt>
                <c:pt idx="1">
                  <c:v>2001-03</c:v>
                </c:pt>
                <c:pt idx="2">
                  <c:v>2002-04</c:v>
                </c:pt>
                <c:pt idx="3">
                  <c:v>2003-05</c:v>
                </c:pt>
                <c:pt idx="4">
                  <c:v>2004-06</c:v>
                </c:pt>
                <c:pt idx="5">
                  <c:v>2005-07</c:v>
                </c:pt>
                <c:pt idx="6">
                  <c:v>2006-08</c:v>
                </c:pt>
                <c:pt idx="7">
                  <c:v>2007-09</c:v>
                </c:pt>
                <c:pt idx="8">
                  <c:v>2008-10</c:v>
                </c:pt>
                <c:pt idx="9">
                  <c:v>2009-11</c:v>
                </c:pt>
              </c:strCache>
            </c:strRef>
          </c:cat>
          <c:val>
            <c:numRef>
              <c:f>'Crash rates - licenced drivers'!$AR$19:$AR$30</c:f>
              <c:numCache>
                <c:formatCode>0.0</c:formatCode>
                <c:ptCount val="12"/>
                <c:pt idx="0">
                  <c:v>6.469094607461086</c:v>
                </c:pt>
                <c:pt idx="1">
                  <c:v>6.1931889753432685</c:v>
                </c:pt>
                <c:pt idx="2">
                  <c:v>5.8874480370002455</c:v>
                </c:pt>
                <c:pt idx="3">
                  <c:v>5.5667345203253378</c:v>
                </c:pt>
                <c:pt idx="4">
                  <c:v>5.2192836130834834</c:v>
                </c:pt>
                <c:pt idx="5">
                  <c:v>4.8845125335261939</c:v>
                </c:pt>
                <c:pt idx="6">
                  <c:v>4.5514436280000874</c:v>
                </c:pt>
                <c:pt idx="7">
                  <c:v>4.2718052081531184</c:v>
                </c:pt>
                <c:pt idx="8">
                  <c:v>4.0095570780600145</c:v>
                </c:pt>
                <c:pt idx="9">
                  <c:v>3.8344893182492767</c:v>
                </c:pt>
                <c:pt idx="10">
                  <c:v>3.6767829199798041</c:v>
                </c:pt>
                <c:pt idx="11">
                  <c:v>3.5527184906743727</c:v>
                </c:pt>
              </c:numCache>
            </c:numRef>
          </c:val>
        </c:ser>
        <c:marker val="1"/>
        <c:axId val="69702400"/>
        <c:axId val="69703936"/>
      </c:lineChart>
      <c:catAx>
        <c:axId val="69702400"/>
        <c:scaling>
          <c:orientation val="minMax"/>
        </c:scaling>
        <c:axPos val="b"/>
        <c:tickLblPos val="nextTo"/>
        <c:crossAx val="69703936"/>
        <c:crosses val="autoZero"/>
        <c:auto val="1"/>
        <c:lblAlgn val="ctr"/>
        <c:lblOffset val="100"/>
      </c:catAx>
      <c:valAx>
        <c:axId val="69703936"/>
        <c:scaling>
          <c:orientation val="minMax"/>
          <c:max val="50"/>
        </c:scaling>
        <c:axPos val="l"/>
        <c:majorGridlines/>
        <c:numFmt formatCode="0.0" sourceLinked="1"/>
        <c:tickLblPos val="nextTo"/>
        <c:crossAx val="69702400"/>
        <c:crosses val="autoZero"/>
        <c:crossBetween val="between"/>
      </c:valAx>
    </c:plotArea>
    <c:legend>
      <c:legendPos val="r"/>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defRPr sz="1100"/>
            </a:pPr>
            <a:r>
              <a:rPr lang="en-GB" sz="1100"/>
              <a:t>KSI</a:t>
            </a:r>
          </a:p>
        </c:rich>
      </c:tx>
      <c:layout/>
    </c:title>
    <c:plotArea>
      <c:layout/>
      <c:lineChart>
        <c:grouping val="standard"/>
        <c:ser>
          <c:idx val="0"/>
          <c:order val="0"/>
          <c:tx>
            <c:strRef>
              <c:f>'Crash rates - licenced drivers'!$G$18</c:f>
              <c:strCache>
                <c:ptCount val="1"/>
                <c:pt idx="0">
                  <c:v>YD</c:v>
                </c:pt>
              </c:strCache>
            </c:strRef>
          </c:tx>
          <c:spPr>
            <a:ln>
              <a:solidFill>
                <a:srgbClr val="FF0000"/>
              </a:solidFill>
            </a:ln>
          </c:spPr>
          <c:marker>
            <c:symbol val="none"/>
          </c:marker>
          <c:cat>
            <c:strRef>
              <c:f>'Crash rates - licenced drivers'!$A$19:$A$30</c:f>
              <c:strCache>
                <c:ptCount val="12"/>
                <c:pt idx="0">
                  <c:v>2000-02</c:v>
                </c:pt>
                <c:pt idx="1">
                  <c:v>2001-03</c:v>
                </c:pt>
                <c:pt idx="2">
                  <c:v>2002-04</c:v>
                </c:pt>
                <c:pt idx="3">
                  <c:v>2003-05</c:v>
                </c:pt>
                <c:pt idx="4">
                  <c:v>2004-06</c:v>
                </c:pt>
                <c:pt idx="5">
                  <c:v>2005-07</c:v>
                </c:pt>
                <c:pt idx="6">
                  <c:v>2006-08</c:v>
                </c:pt>
                <c:pt idx="7">
                  <c:v>2007-09</c:v>
                </c:pt>
                <c:pt idx="8">
                  <c:v>2008-10</c:v>
                </c:pt>
                <c:pt idx="9">
                  <c:v>2009-11</c:v>
                </c:pt>
                <c:pt idx="10">
                  <c:v>2010-12</c:v>
                </c:pt>
                <c:pt idx="11">
                  <c:v>2011-13</c:v>
                </c:pt>
              </c:strCache>
            </c:strRef>
          </c:cat>
          <c:val>
            <c:numRef>
              <c:f>'KSI - licensed drivers'!$AQ$19:$AQ$30</c:f>
              <c:numCache>
                <c:formatCode>0.0</c:formatCode>
                <c:ptCount val="12"/>
                <c:pt idx="0">
                  <c:v>2.4807021695703315</c:v>
                </c:pt>
                <c:pt idx="1">
                  <c:v>2.4279136710753524</c:v>
                </c:pt>
                <c:pt idx="2">
                  <c:v>2.3017133848797937</c:v>
                </c:pt>
                <c:pt idx="3">
                  <c:v>2.0952735021196007</c:v>
                </c:pt>
                <c:pt idx="4">
                  <c:v>1.8881262907113316</c:v>
                </c:pt>
                <c:pt idx="5">
                  <c:v>1.6778498082132869</c:v>
                </c:pt>
                <c:pt idx="6">
                  <c:v>1.5223230382824218</c:v>
                </c:pt>
                <c:pt idx="7">
                  <c:v>1.3520336526989338</c:v>
                </c:pt>
                <c:pt idx="8">
                  <c:v>1.2028472930470506</c:v>
                </c:pt>
                <c:pt idx="9">
                  <c:v>1.0442786937183639</c:v>
                </c:pt>
                <c:pt idx="10">
                  <c:v>0.90567943999422662</c:v>
                </c:pt>
                <c:pt idx="11">
                  <c:v>0.80597323581111602</c:v>
                </c:pt>
              </c:numCache>
            </c:numRef>
          </c:val>
        </c:ser>
        <c:ser>
          <c:idx val="1"/>
          <c:order val="1"/>
          <c:tx>
            <c:strRef>
              <c:f>'Crash rates - licenced drivers'!$H$18</c:f>
              <c:strCache>
                <c:ptCount val="1"/>
                <c:pt idx="0">
                  <c:v>OD</c:v>
                </c:pt>
              </c:strCache>
            </c:strRef>
          </c:tx>
          <c:spPr>
            <a:ln>
              <a:solidFill>
                <a:srgbClr val="002060"/>
              </a:solidFill>
            </a:ln>
          </c:spPr>
          <c:marker>
            <c:symbol val="none"/>
          </c:marker>
          <c:cat>
            <c:strRef>
              <c:f>'Crash rates - licenced drivers'!$A$19:$A$30</c:f>
              <c:strCache>
                <c:ptCount val="12"/>
                <c:pt idx="0">
                  <c:v>2000-02</c:v>
                </c:pt>
                <c:pt idx="1">
                  <c:v>2001-03</c:v>
                </c:pt>
                <c:pt idx="2">
                  <c:v>2002-04</c:v>
                </c:pt>
                <c:pt idx="3">
                  <c:v>2003-05</c:v>
                </c:pt>
                <c:pt idx="4">
                  <c:v>2004-06</c:v>
                </c:pt>
                <c:pt idx="5">
                  <c:v>2005-07</c:v>
                </c:pt>
                <c:pt idx="6">
                  <c:v>2006-08</c:v>
                </c:pt>
                <c:pt idx="7">
                  <c:v>2007-09</c:v>
                </c:pt>
                <c:pt idx="8">
                  <c:v>2008-10</c:v>
                </c:pt>
                <c:pt idx="9">
                  <c:v>2009-11</c:v>
                </c:pt>
                <c:pt idx="10">
                  <c:v>2010-12</c:v>
                </c:pt>
                <c:pt idx="11">
                  <c:v>2011-13</c:v>
                </c:pt>
              </c:strCache>
            </c:strRef>
          </c:cat>
          <c:val>
            <c:numRef>
              <c:f>'KSI - licensed drivers'!$AR$19:$AR$30</c:f>
              <c:numCache>
                <c:formatCode>0.0</c:formatCode>
                <c:ptCount val="12"/>
                <c:pt idx="0">
                  <c:v>0.43855668288114502</c:v>
                </c:pt>
                <c:pt idx="1">
                  <c:v>0.41851023909291257</c:v>
                </c:pt>
                <c:pt idx="2">
                  <c:v>0.39195780373729977</c:v>
                </c:pt>
                <c:pt idx="3">
                  <c:v>0.36235185283688731</c:v>
                </c:pt>
                <c:pt idx="4">
                  <c:v>0.33718238346719492</c:v>
                </c:pt>
                <c:pt idx="5">
                  <c:v>0.31756483311162137</c:v>
                </c:pt>
                <c:pt idx="6">
                  <c:v>0.3046768785062729</c:v>
                </c:pt>
                <c:pt idx="7">
                  <c:v>0.28746720559971872</c:v>
                </c:pt>
                <c:pt idx="8">
                  <c:v>0.26828887462985129</c:v>
                </c:pt>
                <c:pt idx="9">
                  <c:v>0.2505798140964754</c:v>
                </c:pt>
                <c:pt idx="10">
                  <c:v>0.23782597834850117</c:v>
                </c:pt>
                <c:pt idx="11">
                  <c:v>0.22868314970890255</c:v>
                </c:pt>
              </c:numCache>
            </c:numRef>
          </c:val>
        </c:ser>
        <c:marker val="1"/>
        <c:axId val="69712512"/>
        <c:axId val="69714304"/>
      </c:lineChart>
      <c:catAx>
        <c:axId val="69712512"/>
        <c:scaling>
          <c:orientation val="minMax"/>
        </c:scaling>
        <c:axPos val="b"/>
        <c:tickLblPos val="nextTo"/>
        <c:crossAx val="69714304"/>
        <c:crosses val="autoZero"/>
        <c:auto val="1"/>
        <c:lblAlgn val="ctr"/>
        <c:lblOffset val="100"/>
      </c:catAx>
      <c:valAx>
        <c:axId val="69714304"/>
        <c:scaling>
          <c:orientation val="minMax"/>
        </c:scaling>
        <c:axPos val="l"/>
        <c:majorGridlines/>
        <c:numFmt formatCode="0.0" sourceLinked="1"/>
        <c:tickLblPos val="nextTo"/>
        <c:crossAx val="69712512"/>
        <c:crosses val="autoZero"/>
        <c:crossBetween val="between"/>
      </c:valAx>
    </c:plotArea>
    <c:legend>
      <c:legendPos val="r"/>
      <c:layou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defRPr sz="1100"/>
            </a:pPr>
            <a:r>
              <a:rPr lang="en-GB" sz="1100"/>
              <a:t>All</a:t>
            </a:r>
          </a:p>
        </c:rich>
      </c:tx>
      <c:layout/>
    </c:title>
    <c:plotArea>
      <c:layout/>
      <c:barChart>
        <c:barDir val="col"/>
        <c:grouping val="clustered"/>
        <c:ser>
          <c:idx val="0"/>
          <c:order val="0"/>
          <c:tx>
            <c:strRef>
              <c:f>'Crash rates - licenced drivers'!$I$18</c:f>
              <c:strCache>
                <c:ptCount val="1"/>
                <c:pt idx="0">
                  <c:v>Rate ratio</c:v>
                </c:pt>
              </c:strCache>
            </c:strRef>
          </c:tx>
          <c:errBars>
            <c:errBarType val="both"/>
            <c:errValType val="cust"/>
            <c:plus>
              <c:numRef>
                <c:f>'Crash rates - licenced drivers'!$AU$36:$AU$49</c:f>
                <c:numCache>
                  <c:formatCode>General</c:formatCode>
                  <c:ptCount val="14"/>
                  <c:pt idx="0">
                    <c:v>9.4705792772981023E-2</c:v>
                  </c:pt>
                  <c:pt idx="1">
                    <c:v>9.8100183772071067E-2</c:v>
                  </c:pt>
                  <c:pt idx="2">
                    <c:v>0.10014682355491972</c:v>
                  </c:pt>
                  <c:pt idx="3">
                    <c:v>9.7965291800140686E-2</c:v>
                  </c:pt>
                  <c:pt idx="4">
                    <c:v>9.4456813256617048E-2</c:v>
                  </c:pt>
                  <c:pt idx="5">
                    <c:v>9.1659901601804691E-2</c:v>
                  </c:pt>
                  <c:pt idx="6">
                    <c:v>9.1226515471263744E-2</c:v>
                  </c:pt>
                  <c:pt idx="7">
                    <c:v>9.2444070318016727E-2</c:v>
                  </c:pt>
                  <c:pt idx="8">
                    <c:v>9.3463539701710688E-2</c:v>
                  </c:pt>
                  <c:pt idx="9">
                    <c:v>9.3514520912425111E-2</c:v>
                  </c:pt>
                  <c:pt idx="10">
                    <c:v>9.3179706573367063E-2</c:v>
                  </c:pt>
                  <c:pt idx="11">
                    <c:v>9.3946866952530281E-2</c:v>
                  </c:pt>
                  <c:pt idx="13">
                    <c:v>9.2872802174643082E-2</c:v>
                  </c:pt>
                </c:numCache>
              </c:numRef>
            </c:plus>
            <c:minus>
              <c:numRef>
                <c:f>'Crash rates - licenced drivers'!$AT$36:$AT$49</c:f>
                <c:numCache>
                  <c:formatCode>General</c:formatCode>
                  <c:ptCount val="14"/>
                  <c:pt idx="0">
                    <c:v>9.3345788562484225E-2</c:v>
                  </c:pt>
                  <c:pt idx="1">
                    <c:v>9.6673617376921109E-2</c:v>
                  </c:pt>
                  <c:pt idx="2">
                    <c:v>9.8687696798971547E-2</c:v>
                  </c:pt>
                  <c:pt idx="3">
                    <c:v>9.6537841116111564E-2</c:v>
                  </c:pt>
                  <c:pt idx="4">
                    <c:v>9.3089235635507486E-2</c:v>
                  </c:pt>
                  <c:pt idx="5">
                    <c:v>9.0328409894808295E-2</c:v>
                  </c:pt>
                  <c:pt idx="6">
                    <c:v>8.9875872978207594E-2</c:v>
                  </c:pt>
                  <c:pt idx="7">
                    <c:v>9.1030807706564701E-2</c:v>
                  </c:pt>
                  <c:pt idx="8">
                    <c:v>9.1949169396297381E-2</c:v>
                  </c:pt>
                  <c:pt idx="9">
                    <c:v>9.18953559597004E-2</c:v>
                  </c:pt>
                  <c:pt idx="10">
                    <c:v>9.1429435120590027E-2</c:v>
                  </c:pt>
                  <c:pt idx="11">
                    <c:v>9.2051736893252731E-2</c:v>
                  </c:pt>
                  <c:pt idx="13">
                    <c:v>9.1509264792230247E-2</c:v>
                  </c:pt>
                </c:numCache>
              </c:numRef>
            </c:minus>
          </c:errBars>
          <c:cat>
            <c:strRef>
              <c:f>'Crash rates - licenced drivers'!$A$19:$A$32</c:f>
              <c:strCache>
                <c:ptCount val="14"/>
                <c:pt idx="0">
                  <c:v>2000-02</c:v>
                </c:pt>
                <c:pt idx="1">
                  <c:v>2001-03</c:v>
                </c:pt>
                <c:pt idx="2">
                  <c:v>2002-04</c:v>
                </c:pt>
                <c:pt idx="3">
                  <c:v>2003-05</c:v>
                </c:pt>
                <c:pt idx="4">
                  <c:v>2004-06</c:v>
                </c:pt>
                <c:pt idx="5">
                  <c:v>2005-07</c:v>
                </c:pt>
                <c:pt idx="6">
                  <c:v>2006-08</c:v>
                </c:pt>
                <c:pt idx="7">
                  <c:v>2007-09</c:v>
                </c:pt>
                <c:pt idx="8">
                  <c:v>2008-10</c:v>
                </c:pt>
                <c:pt idx="9">
                  <c:v>2009-11</c:v>
                </c:pt>
                <c:pt idx="10">
                  <c:v>2010-12</c:v>
                </c:pt>
                <c:pt idx="11">
                  <c:v>2011-13</c:v>
                </c:pt>
                <c:pt idx="13">
                  <c:v>2004-08</c:v>
                </c:pt>
              </c:strCache>
            </c:strRef>
          </c:cat>
          <c:val>
            <c:numRef>
              <c:f>'Crash rates - licenced drivers'!$AS$19:$AS$32</c:f>
              <c:numCache>
                <c:formatCode>0.0</c:formatCode>
                <c:ptCount val="14"/>
                <c:pt idx="0">
                  <c:v>6.5002643665333339</c:v>
                </c:pt>
                <c:pt idx="1">
                  <c:v>6.6479202530083645</c:v>
                </c:pt>
                <c:pt idx="2">
                  <c:v>6.7734069833939934</c:v>
                </c:pt>
                <c:pt idx="3">
                  <c:v>6.6253481682452655</c:v>
                </c:pt>
                <c:pt idx="4">
                  <c:v>6.4295528172555256</c:v>
                </c:pt>
                <c:pt idx="5">
                  <c:v>6.2182085846272983</c:v>
                </c:pt>
                <c:pt idx="6">
                  <c:v>6.0704907174857885</c:v>
                </c:pt>
                <c:pt idx="7">
                  <c:v>5.9544902133253208</c:v>
                </c:pt>
                <c:pt idx="8">
                  <c:v>5.6748965650491066</c:v>
                </c:pt>
                <c:pt idx="9">
                  <c:v>5.3073963663728145</c:v>
                </c:pt>
                <c:pt idx="10">
                  <c:v>4.8674552299817178</c:v>
                </c:pt>
                <c:pt idx="11">
                  <c:v>4.5632605721852775</c:v>
                </c:pt>
                <c:pt idx="13">
                  <c:v>6.2331759135980231</c:v>
                </c:pt>
              </c:numCache>
            </c:numRef>
          </c:val>
        </c:ser>
        <c:axId val="69973120"/>
        <c:axId val="69974656"/>
      </c:barChart>
      <c:catAx>
        <c:axId val="69973120"/>
        <c:scaling>
          <c:orientation val="minMax"/>
        </c:scaling>
        <c:axPos val="b"/>
        <c:tickLblPos val="nextTo"/>
        <c:crossAx val="69974656"/>
        <c:crosses val="autoZero"/>
        <c:auto val="1"/>
        <c:lblAlgn val="ctr"/>
        <c:lblOffset val="100"/>
      </c:catAx>
      <c:valAx>
        <c:axId val="69974656"/>
        <c:scaling>
          <c:orientation val="minMax"/>
          <c:max val="10"/>
          <c:min val="0"/>
        </c:scaling>
        <c:axPos val="l"/>
        <c:majorGridlines/>
        <c:numFmt formatCode="0.0" sourceLinked="1"/>
        <c:tickLblPos val="nextTo"/>
        <c:crossAx val="69973120"/>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defRPr sz="1100"/>
            </a:pPr>
            <a:r>
              <a:rPr lang="en-GB" sz="1100"/>
              <a:t>KSI</a:t>
            </a:r>
          </a:p>
        </c:rich>
      </c:tx>
      <c:layout/>
    </c:title>
    <c:plotArea>
      <c:layout/>
      <c:barChart>
        <c:barDir val="col"/>
        <c:grouping val="clustered"/>
        <c:ser>
          <c:idx val="0"/>
          <c:order val="0"/>
          <c:tx>
            <c:strRef>
              <c:f>'Crash rates - licenced drivers'!$I$18</c:f>
              <c:strCache>
                <c:ptCount val="1"/>
                <c:pt idx="0">
                  <c:v>Rate ratio</c:v>
                </c:pt>
              </c:strCache>
            </c:strRef>
          </c:tx>
          <c:errBars>
            <c:errBarType val="both"/>
            <c:errValType val="cust"/>
            <c:plus>
              <c:numRef>
                <c:f>'KSI - licensed drivers'!$AT$36:$AT$49</c:f>
                <c:numCache>
                  <c:formatCode>General</c:formatCode>
                  <c:ptCount val="14"/>
                  <c:pt idx="0">
                    <c:v>0.32515896120034693</c:v>
                  </c:pt>
                  <c:pt idx="1">
                    <c:v>0.33769572788182267</c:v>
                  </c:pt>
                  <c:pt idx="2">
                    <c:v>0.34590147585029607</c:v>
                  </c:pt>
                  <c:pt idx="3">
                    <c:v>0.34326660557071631</c:v>
                  </c:pt>
                  <c:pt idx="4">
                    <c:v>0.33175202800739628</c:v>
                  </c:pt>
                  <c:pt idx="5">
                    <c:v>0.31640332100516788</c:v>
                  </c:pt>
                  <c:pt idx="6">
                    <c:v>0.30474836188232457</c:v>
                  </c:pt>
                  <c:pt idx="7">
                    <c:v>0.3006953100769012</c:v>
                  </c:pt>
                  <c:pt idx="8">
                    <c:v>0.30435948829338638</c:v>
                  </c:pt>
                  <c:pt idx="9">
                    <c:v>0.30635544204112625</c:v>
                  </c:pt>
                  <c:pt idx="10">
                    <c:v>0.30528424641083607</c:v>
                  </c:pt>
                  <c:pt idx="11">
                    <c:v>0.30544165989696631</c:v>
                  </c:pt>
                  <c:pt idx="13">
                    <c:v>0.31698530109378792</c:v>
                  </c:pt>
                </c:numCache>
              </c:numRef>
            </c:plus>
            <c:minus>
              <c:numRef>
                <c:f>'KSI - licensed drivers'!$AS$36:$AS$49</c:f>
                <c:numCache>
                  <c:formatCode>General</c:formatCode>
                  <c:ptCount val="14"/>
                </c:numCache>
              </c:numRef>
            </c:minus>
          </c:errBars>
          <c:cat>
            <c:strRef>
              <c:f>'Crash rates - licenced drivers'!$A$19:$A$32</c:f>
              <c:strCache>
                <c:ptCount val="14"/>
                <c:pt idx="0">
                  <c:v>2000-02</c:v>
                </c:pt>
                <c:pt idx="1">
                  <c:v>2001-03</c:v>
                </c:pt>
                <c:pt idx="2">
                  <c:v>2002-04</c:v>
                </c:pt>
                <c:pt idx="3">
                  <c:v>2003-05</c:v>
                </c:pt>
                <c:pt idx="4">
                  <c:v>2004-06</c:v>
                </c:pt>
                <c:pt idx="5">
                  <c:v>2005-07</c:v>
                </c:pt>
                <c:pt idx="6">
                  <c:v>2006-08</c:v>
                </c:pt>
                <c:pt idx="7">
                  <c:v>2007-09</c:v>
                </c:pt>
                <c:pt idx="8">
                  <c:v>2008-10</c:v>
                </c:pt>
                <c:pt idx="9">
                  <c:v>2009-11</c:v>
                </c:pt>
                <c:pt idx="10">
                  <c:v>2010-12</c:v>
                </c:pt>
                <c:pt idx="11">
                  <c:v>2011-13</c:v>
                </c:pt>
                <c:pt idx="13">
                  <c:v>2004-08</c:v>
                </c:pt>
              </c:strCache>
            </c:strRef>
          </c:cat>
          <c:val>
            <c:numRef>
              <c:f>'KSI - licensed drivers'!$AS$19:$AS$32</c:f>
              <c:numCache>
                <c:formatCode>0.0</c:formatCode>
                <c:ptCount val="14"/>
                <c:pt idx="0">
                  <c:v>5.6565143490074732</c:v>
                </c:pt>
                <c:pt idx="1">
                  <c:v>5.8013244224028124</c:v>
                </c:pt>
                <c:pt idx="2">
                  <c:v>5.8723499390319116</c:v>
                </c:pt>
                <c:pt idx="3">
                  <c:v>5.7824280066888187</c:v>
                </c:pt>
                <c:pt idx="4">
                  <c:v>5.5997180851977921</c:v>
                </c:pt>
                <c:pt idx="5">
                  <c:v>5.2834874434082995</c:v>
                </c:pt>
                <c:pt idx="6">
                  <c:v>4.9965164594893627</c:v>
                </c:pt>
                <c:pt idx="7">
                  <c:v>4.7032622377857294</c:v>
                </c:pt>
                <c:pt idx="8">
                  <c:v>4.4834035503954475</c:v>
                </c:pt>
                <c:pt idx="9">
                  <c:v>4.1674493912598543</c:v>
                </c:pt>
                <c:pt idx="10">
                  <c:v>3.808160261899888</c:v>
                </c:pt>
                <c:pt idx="11">
                  <c:v>3.5244102455168402</c:v>
                </c:pt>
                <c:pt idx="13">
                  <c:v>5.2360873280183204</c:v>
                </c:pt>
              </c:numCache>
            </c:numRef>
          </c:val>
        </c:ser>
        <c:axId val="69980928"/>
        <c:axId val="69982464"/>
      </c:barChart>
      <c:catAx>
        <c:axId val="69980928"/>
        <c:scaling>
          <c:orientation val="minMax"/>
        </c:scaling>
        <c:axPos val="b"/>
        <c:tickLblPos val="nextTo"/>
        <c:crossAx val="69982464"/>
        <c:crosses val="autoZero"/>
        <c:auto val="1"/>
        <c:lblAlgn val="ctr"/>
        <c:lblOffset val="100"/>
      </c:catAx>
      <c:valAx>
        <c:axId val="69982464"/>
        <c:scaling>
          <c:orientation val="minMax"/>
          <c:max val="10"/>
          <c:min val="0"/>
        </c:scaling>
        <c:axPos val="l"/>
        <c:majorGridlines/>
        <c:numFmt formatCode="0.0" sourceLinked="1"/>
        <c:tickLblPos val="nextTo"/>
        <c:crossAx val="69980928"/>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defRPr sz="1100"/>
            </a:pPr>
            <a:r>
              <a:rPr lang="en-GB" sz="1100"/>
              <a:t>Male crashes and KSI crashes</a:t>
            </a:r>
          </a:p>
        </c:rich>
      </c:tx>
      <c:layout/>
    </c:title>
    <c:plotArea>
      <c:layout/>
      <c:lineChart>
        <c:grouping val="standard"/>
        <c:ser>
          <c:idx val="0"/>
          <c:order val="0"/>
          <c:tx>
            <c:strRef>
              <c:f>'MF sing veh for paper'!$C$30</c:f>
              <c:strCache>
                <c:ptCount val="1"/>
                <c:pt idx="0">
                  <c:v>17-19</c:v>
                </c:pt>
              </c:strCache>
            </c:strRef>
          </c:tx>
          <c:spPr>
            <a:ln>
              <a:solidFill>
                <a:srgbClr val="0000FF"/>
              </a:solidFill>
            </a:ln>
          </c:spPr>
          <c:marker>
            <c:symbol val="none"/>
          </c:marker>
          <c:cat>
            <c:strRef>
              <c:f>'MF sing veh for paper'!$A$31:$A$37</c:f>
              <c:strCache>
                <c:ptCount val="7"/>
                <c:pt idx="0">
                  <c:v>2005-07</c:v>
                </c:pt>
                <c:pt idx="1">
                  <c:v>2006-08</c:v>
                </c:pt>
                <c:pt idx="2">
                  <c:v>2007-09</c:v>
                </c:pt>
                <c:pt idx="3">
                  <c:v>2008-10</c:v>
                </c:pt>
                <c:pt idx="4">
                  <c:v>2009-11</c:v>
                </c:pt>
                <c:pt idx="5">
                  <c:v>2010-12</c:v>
                </c:pt>
                <c:pt idx="6">
                  <c:v>2011-13</c:v>
                </c:pt>
              </c:strCache>
            </c:strRef>
          </c:cat>
          <c:val>
            <c:numRef>
              <c:f>'MF sing veh for paper'!$AA$31:$AA$37</c:f>
              <c:numCache>
                <c:formatCode>0.0</c:formatCode>
                <c:ptCount val="7"/>
                <c:pt idx="0">
                  <c:v>167.67165393481679</c:v>
                </c:pt>
                <c:pt idx="1">
                  <c:v>148.30165435459961</c:v>
                </c:pt>
                <c:pt idx="2">
                  <c:v>133.51524036302408</c:v>
                </c:pt>
                <c:pt idx="3">
                  <c:v>118.0777073821922</c:v>
                </c:pt>
                <c:pt idx="4">
                  <c:v>104.06054168302839</c:v>
                </c:pt>
                <c:pt idx="5">
                  <c:v>87.824554887219492</c:v>
                </c:pt>
                <c:pt idx="6">
                  <c:v>76.940088089490075</c:v>
                </c:pt>
              </c:numCache>
            </c:numRef>
          </c:val>
        </c:ser>
        <c:ser>
          <c:idx val="1"/>
          <c:order val="1"/>
          <c:tx>
            <c:strRef>
              <c:f>'MF sing veh for paper'!$D$30</c:f>
              <c:strCache>
                <c:ptCount val="1"/>
                <c:pt idx="0">
                  <c:v>20 to 64</c:v>
                </c:pt>
              </c:strCache>
            </c:strRef>
          </c:tx>
          <c:spPr>
            <a:ln>
              <a:solidFill>
                <a:srgbClr val="0000FF"/>
              </a:solidFill>
              <a:prstDash val="sysDash"/>
            </a:ln>
          </c:spPr>
          <c:marker>
            <c:symbol val="none"/>
          </c:marker>
          <c:cat>
            <c:strRef>
              <c:f>'MF sing veh for paper'!$A$31:$A$37</c:f>
              <c:strCache>
                <c:ptCount val="7"/>
                <c:pt idx="0">
                  <c:v>2005-07</c:v>
                </c:pt>
                <c:pt idx="1">
                  <c:v>2006-08</c:v>
                </c:pt>
                <c:pt idx="2">
                  <c:v>2007-09</c:v>
                </c:pt>
                <c:pt idx="3">
                  <c:v>2008-10</c:v>
                </c:pt>
                <c:pt idx="4">
                  <c:v>2009-11</c:v>
                </c:pt>
                <c:pt idx="5">
                  <c:v>2010-12</c:v>
                </c:pt>
                <c:pt idx="6">
                  <c:v>2011-13</c:v>
                </c:pt>
              </c:strCache>
            </c:strRef>
          </c:cat>
          <c:val>
            <c:numRef>
              <c:f>'MF sing veh for paper'!$AB$31:$AB$37</c:f>
              <c:numCache>
                <c:formatCode>0.0</c:formatCode>
                <c:ptCount val="7"/>
                <c:pt idx="0">
                  <c:v>13.93161952940342</c:v>
                </c:pt>
                <c:pt idx="1">
                  <c:v>12.879531968459691</c:v>
                </c:pt>
                <c:pt idx="2">
                  <c:v>12.018625895628805</c:v>
                </c:pt>
                <c:pt idx="3">
                  <c:v>11.137914524988259</c:v>
                </c:pt>
                <c:pt idx="4">
                  <c:v>10.447784814582525</c:v>
                </c:pt>
                <c:pt idx="5">
                  <c:v>9.8170693498436048</c:v>
                </c:pt>
                <c:pt idx="6">
                  <c:v>9.4275201291630157</c:v>
                </c:pt>
              </c:numCache>
            </c:numRef>
          </c:val>
        </c:ser>
        <c:marker val="1"/>
        <c:axId val="71960832"/>
        <c:axId val="71987200"/>
      </c:lineChart>
      <c:lineChart>
        <c:grouping val="standard"/>
        <c:ser>
          <c:idx val="2"/>
          <c:order val="2"/>
          <c:tx>
            <c:strRef>
              <c:f>'MF sing veh for paper'!$F$30</c:f>
              <c:strCache>
                <c:ptCount val="1"/>
                <c:pt idx="0">
                  <c:v>17-19</c:v>
                </c:pt>
              </c:strCache>
            </c:strRef>
          </c:tx>
          <c:spPr>
            <a:ln>
              <a:solidFill>
                <a:srgbClr val="0099FF"/>
              </a:solidFill>
            </a:ln>
          </c:spPr>
          <c:marker>
            <c:symbol val="none"/>
          </c:marker>
          <c:cat>
            <c:strRef>
              <c:f>'MF sing veh for paper'!$A$31:$A$37</c:f>
              <c:strCache>
                <c:ptCount val="7"/>
                <c:pt idx="0">
                  <c:v>2005-07</c:v>
                </c:pt>
                <c:pt idx="1">
                  <c:v>2006-08</c:v>
                </c:pt>
                <c:pt idx="2">
                  <c:v>2007-09</c:v>
                </c:pt>
                <c:pt idx="3">
                  <c:v>2008-10</c:v>
                </c:pt>
                <c:pt idx="4">
                  <c:v>2009-11</c:v>
                </c:pt>
                <c:pt idx="5">
                  <c:v>2010-12</c:v>
                </c:pt>
                <c:pt idx="6">
                  <c:v>2011-13</c:v>
                </c:pt>
              </c:strCache>
            </c:strRef>
          </c:cat>
          <c:val>
            <c:numRef>
              <c:f>'MF sing veh for paper'!$AD$31:$AD$37</c:f>
              <c:numCache>
                <c:formatCode>0.0</c:formatCode>
                <c:ptCount val="7"/>
                <c:pt idx="0">
                  <c:v>29.851285991954203</c:v>
                </c:pt>
                <c:pt idx="1">
                  <c:v>26.754437441477329</c:v>
                </c:pt>
                <c:pt idx="2">
                  <c:v>23.235515935225123</c:v>
                </c:pt>
                <c:pt idx="3">
                  <c:v>19.881489710160963</c:v>
                </c:pt>
                <c:pt idx="4">
                  <c:v>16.838246071829719</c:v>
                </c:pt>
                <c:pt idx="5">
                  <c:v>14.164319578611494</c:v>
                </c:pt>
                <c:pt idx="6">
                  <c:v>12.572512065721074</c:v>
                </c:pt>
              </c:numCache>
            </c:numRef>
          </c:val>
        </c:ser>
        <c:ser>
          <c:idx val="3"/>
          <c:order val="3"/>
          <c:tx>
            <c:strRef>
              <c:f>'MF sing veh for paper'!$G$30</c:f>
              <c:strCache>
                <c:ptCount val="1"/>
                <c:pt idx="0">
                  <c:v>20 to 64</c:v>
                </c:pt>
              </c:strCache>
            </c:strRef>
          </c:tx>
          <c:spPr>
            <a:ln>
              <a:solidFill>
                <a:srgbClr val="0099FF"/>
              </a:solidFill>
              <a:prstDash val="sysDash"/>
            </a:ln>
          </c:spPr>
          <c:marker>
            <c:symbol val="none"/>
          </c:marker>
          <c:cat>
            <c:strRef>
              <c:f>'MF sing veh for paper'!$A$31:$A$37</c:f>
              <c:strCache>
                <c:ptCount val="7"/>
                <c:pt idx="0">
                  <c:v>2005-07</c:v>
                </c:pt>
                <c:pt idx="1">
                  <c:v>2006-08</c:v>
                </c:pt>
                <c:pt idx="2">
                  <c:v>2007-09</c:v>
                </c:pt>
                <c:pt idx="3">
                  <c:v>2008-10</c:v>
                </c:pt>
                <c:pt idx="4">
                  <c:v>2009-11</c:v>
                </c:pt>
                <c:pt idx="5">
                  <c:v>2010-12</c:v>
                </c:pt>
                <c:pt idx="6">
                  <c:v>2011-13</c:v>
                </c:pt>
              </c:strCache>
            </c:strRef>
          </c:cat>
          <c:val>
            <c:numRef>
              <c:f>'MF sing veh for paper'!$AE$31:$AE$37</c:f>
              <c:numCache>
                <c:formatCode>0.0</c:formatCode>
                <c:ptCount val="7"/>
                <c:pt idx="0">
                  <c:v>2.8685941025632249</c:v>
                </c:pt>
                <c:pt idx="1">
                  <c:v>2.7019628539709712</c:v>
                </c:pt>
                <c:pt idx="2">
                  <c:v>2.5182839878299155</c:v>
                </c:pt>
                <c:pt idx="3">
                  <c:v>2.3070097852041447</c:v>
                </c:pt>
                <c:pt idx="4">
                  <c:v>2.1418335673947602</c:v>
                </c:pt>
                <c:pt idx="5">
                  <c:v>2.0224624263075377</c:v>
                </c:pt>
                <c:pt idx="6">
                  <c:v>1.9667619820496578</c:v>
                </c:pt>
              </c:numCache>
            </c:numRef>
          </c:val>
        </c:ser>
        <c:marker val="1"/>
        <c:axId val="71990272"/>
        <c:axId val="71988736"/>
      </c:lineChart>
      <c:catAx>
        <c:axId val="71960832"/>
        <c:scaling>
          <c:orientation val="minMax"/>
        </c:scaling>
        <c:axPos val="b"/>
        <c:tickLblPos val="nextTo"/>
        <c:txPr>
          <a:bodyPr/>
          <a:lstStyle/>
          <a:p>
            <a:pPr>
              <a:defRPr sz="800"/>
            </a:pPr>
            <a:endParaRPr lang="en-US"/>
          </a:p>
        </c:txPr>
        <c:crossAx val="71987200"/>
        <c:crosses val="autoZero"/>
        <c:auto val="1"/>
        <c:lblAlgn val="ctr"/>
        <c:lblOffset val="100"/>
      </c:catAx>
      <c:valAx>
        <c:axId val="71987200"/>
        <c:scaling>
          <c:orientation val="minMax"/>
          <c:max val="250"/>
        </c:scaling>
        <c:axPos val="l"/>
        <c:majorGridlines/>
        <c:numFmt formatCode="0.0" sourceLinked="1"/>
        <c:tickLblPos val="nextTo"/>
        <c:txPr>
          <a:bodyPr/>
          <a:lstStyle/>
          <a:p>
            <a:pPr>
              <a:defRPr sz="800"/>
            </a:pPr>
            <a:endParaRPr lang="en-US"/>
          </a:p>
        </c:txPr>
        <c:crossAx val="71960832"/>
        <c:crosses val="autoZero"/>
        <c:crossBetween val="between"/>
      </c:valAx>
      <c:valAx>
        <c:axId val="71988736"/>
        <c:scaling>
          <c:orientation val="minMax"/>
          <c:max val="45"/>
        </c:scaling>
        <c:axPos val="r"/>
        <c:numFmt formatCode="0.0" sourceLinked="1"/>
        <c:tickLblPos val="nextTo"/>
        <c:txPr>
          <a:bodyPr/>
          <a:lstStyle/>
          <a:p>
            <a:pPr>
              <a:defRPr sz="800"/>
            </a:pPr>
            <a:endParaRPr lang="en-US"/>
          </a:p>
        </c:txPr>
        <c:crossAx val="71990272"/>
        <c:crosses val="max"/>
        <c:crossBetween val="between"/>
      </c:valAx>
      <c:catAx>
        <c:axId val="71990272"/>
        <c:scaling>
          <c:orientation val="minMax"/>
        </c:scaling>
        <c:delete val="1"/>
        <c:axPos val="b"/>
        <c:tickLblPos val="none"/>
        <c:crossAx val="71988736"/>
        <c:crosses val="autoZero"/>
        <c:auto val="1"/>
        <c:lblAlgn val="ctr"/>
        <c:lblOffset val="100"/>
      </c:catAx>
    </c:plotArea>
    <c:legend>
      <c:legendPos val="r"/>
      <c:layout/>
      <c:txPr>
        <a:bodyPr/>
        <a:lstStyle/>
        <a:p>
          <a:pPr>
            <a:defRPr sz="800"/>
          </a:pPr>
          <a:endParaRPr lang="en-U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defRPr sz="1100"/>
            </a:pPr>
            <a:r>
              <a:rPr lang="en-GB" sz="1100"/>
              <a:t>Female crashes and KSI crashes</a:t>
            </a:r>
          </a:p>
        </c:rich>
      </c:tx>
      <c:layout/>
    </c:title>
    <c:plotArea>
      <c:layout/>
      <c:lineChart>
        <c:grouping val="standard"/>
        <c:ser>
          <c:idx val="0"/>
          <c:order val="0"/>
          <c:tx>
            <c:strRef>
              <c:f>'MF sing veh for paper'!$C$76</c:f>
              <c:strCache>
                <c:ptCount val="1"/>
                <c:pt idx="0">
                  <c:v>17-19</c:v>
                </c:pt>
              </c:strCache>
            </c:strRef>
          </c:tx>
          <c:spPr>
            <a:ln>
              <a:solidFill>
                <a:srgbClr val="FF0000"/>
              </a:solidFill>
            </a:ln>
          </c:spPr>
          <c:marker>
            <c:symbol val="none"/>
          </c:marker>
          <c:cat>
            <c:strRef>
              <c:f>'MF sing veh for paper'!$A$77:$A$83</c:f>
              <c:strCache>
                <c:ptCount val="7"/>
                <c:pt idx="0">
                  <c:v>2005-07</c:v>
                </c:pt>
                <c:pt idx="1">
                  <c:v>2006-08</c:v>
                </c:pt>
                <c:pt idx="2">
                  <c:v>2007-09</c:v>
                </c:pt>
                <c:pt idx="3">
                  <c:v>2008-10</c:v>
                </c:pt>
                <c:pt idx="4">
                  <c:v>2009-11</c:v>
                </c:pt>
                <c:pt idx="5">
                  <c:v>2010-12</c:v>
                </c:pt>
                <c:pt idx="6">
                  <c:v>2011-13</c:v>
                </c:pt>
              </c:strCache>
            </c:strRef>
          </c:cat>
          <c:val>
            <c:numRef>
              <c:f>'MF sing veh for paper'!$AA$77:$AA$83</c:f>
              <c:numCache>
                <c:formatCode>0.0</c:formatCode>
                <c:ptCount val="7"/>
                <c:pt idx="0">
                  <c:v>70.974916481609966</c:v>
                </c:pt>
                <c:pt idx="1">
                  <c:v>67.46840603342774</c:v>
                </c:pt>
                <c:pt idx="2">
                  <c:v>64.250209602798762</c:v>
                </c:pt>
                <c:pt idx="3">
                  <c:v>60.654311549310378</c:v>
                </c:pt>
                <c:pt idx="4">
                  <c:v>56.176817284579563</c:v>
                </c:pt>
                <c:pt idx="5">
                  <c:v>51.412768706931679</c:v>
                </c:pt>
                <c:pt idx="6">
                  <c:v>46.886834975998944</c:v>
                </c:pt>
              </c:numCache>
            </c:numRef>
          </c:val>
        </c:ser>
        <c:ser>
          <c:idx val="1"/>
          <c:order val="1"/>
          <c:tx>
            <c:strRef>
              <c:f>'MF sing veh for paper'!$D$76</c:f>
              <c:strCache>
                <c:ptCount val="1"/>
                <c:pt idx="0">
                  <c:v>20 to 64</c:v>
                </c:pt>
              </c:strCache>
            </c:strRef>
          </c:tx>
          <c:spPr>
            <a:ln>
              <a:solidFill>
                <a:srgbClr val="FF0000"/>
              </a:solidFill>
              <a:prstDash val="sysDash"/>
            </a:ln>
          </c:spPr>
          <c:marker>
            <c:symbol val="none"/>
          </c:marker>
          <c:cat>
            <c:strRef>
              <c:f>'MF sing veh for paper'!$A$77:$A$83</c:f>
              <c:strCache>
                <c:ptCount val="7"/>
                <c:pt idx="0">
                  <c:v>2005-07</c:v>
                </c:pt>
                <c:pt idx="1">
                  <c:v>2006-08</c:v>
                </c:pt>
                <c:pt idx="2">
                  <c:v>2007-09</c:v>
                </c:pt>
                <c:pt idx="3">
                  <c:v>2008-10</c:v>
                </c:pt>
                <c:pt idx="4">
                  <c:v>2009-11</c:v>
                </c:pt>
                <c:pt idx="5">
                  <c:v>2010-12</c:v>
                </c:pt>
                <c:pt idx="6">
                  <c:v>2011-13</c:v>
                </c:pt>
              </c:strCache>
            </c:strRef>
          </c:cat>
          <c:val>
            <c:numRef>
              <c:f>'MF sing veh for paper'!$AB$77:$AB$83</c:f>
              <c:numCache>
                <c:formatCode>0.0</c:formatCode>
                <c:ptCount val="7"/>
                <c:pt idx="0">
                  <c:v>8.7479284838786953</c:v>
                </c:pt>
                <c:pt idx="1">
                  <c:v>8.2633468573303368</c:v>
                </c:pt>
                <c:pt idx="2">
                  <c:v>7.8650401532639052</c:v>
                </c:pt>
                <c:pt idx="3">
                  <c:v>7.5039385174977857</c:v>
                </c:pt>
                <c:pt idx="4">
                  <c:v>7.1894919668729207</c:v>
                </c:pt>
                <c:pt idx="5">
                  <c:v>6.8258780064588445</c:v>
                </c:pt>
                <c:pt idx="6">
                  <c:v>6.5498361278732027</c:v>
                </c:pt>
              </c:numCache>
            </c:numRef>
          </c:val>
        </c:ser>
        <c:marker val="1"/>
        <c:axId val="85186432"/>
        <c:axId val="85187968"/>
      </c:lineChart>
      <c:lineChart>
        <c:grouping val="standard"/>
        <c:ser>
          <c:idx val="2"/>
          <c:order val="2"/>
          <c:tx>
            <c:strRef>
              <c:f>'MF sing veh for paper'!$F$76</c:f>
              <c:strCache>
                <c:ptCount val="1"/>
                <c:pt idx="0">
                  <c:v>17-19</c:v>
                </c:pt>
              </c:strCache>
            </c:strRef>
          </c:tx>
          <c:spPr>
            <a:ln>
              <a:solidFill>
                <a:schemeClr val="accent2">
                  <a:lumMod val="75000"/>
                </a:schemeClr>
              </a:solidFill>
            </a:ln>
          </c:spPr>
          <c:marker>
            <c:symbol val="none"/>
          </c:marker>
          <c:cat>
            <c:strRef>
              <c:f>'MF sing veh for paper'!$A$77:$A$83</c:f>
              <c:strCache>
                <c:ptCount val="7"/>
                <c:pt idx="0">
                  <c:v>2005-07</c:v>
                </c:pt>
                <c:pt idx="1">
                  <c:v>2006-08</c:v>
                </c:pt>
                <c:pt idx="2">
                  <c:v>2007-09</c:v>
                </c:pt>
                <c:pt idx="3">
                  <c:v>2008-10</c:v>
                </c:pt>
                <c:pt idx="4">
                  <c:v>2009-11</c:v>
                </c:pt>
                <c:pt idx="5">
                  <c:v>2010-12</c:v>
                </c:pt>
                <c:pt idx="6">
                  <c:v>2011-13</c:v>
                </c:pt>
              </c:strCache>
            </c:strRef>
          </c:cat>
          <c:val>
            <c:numRef>
              <c:f>'MF sing veh for paper'!$AD$77:$AD$83</c:f>
              <c:numCache>
                <c:formatCode>0.0</c:formatCode>
                <c:ptCount val="7"/>
                <c:pt idx="0">
                  <c:v>9.2690269350379548</c:v>
                </c:pt>
                <c:pt idx="1">
                  <c:v>8.378569742742501</c:v>
                </c:pt>
                <c:pt idx="2">
                  <c:v>7.6810637643718733</c:v>
                </c:pt>
                <c:pt idx="3">
                  <c:v>7.5185194948989009</c:v>
                </c:pt>
                <c:pt idx="4">
                  <c:v>7.0059840989949755</c:v>
                </c:pt>
                <c:pt idx="5">
                  <c:v>6.7388362351776125</c:v>
                </c:pt>
                <c:pt idx="6">
                  <c:v>6.145474653692629</c:v>
                </c:pt>
              </c:numCache>
            </c:numRef>
          </c:val>
        </c:ser>
        <c:ser>
          <c:idx val="3"/>
          <c:order val="3"/>
          <c:tx>
            <c:strRef>
              <c:f>'MF sing veh for paper'!$G$76</c:f>
              <c:strCache>
                <c:ptCount val="1"/>
                <c:pt idx="0">
                  <c:v>20 to 64</c:v>
                </c:pt>
              </c:strCache>
            </c:strRef>
          </c:tx>
          <c:spPr>
            <a:ln>
              <a:solidFill>
                <a:schemeClr val="accent2">
                  <a:lumMod val="75000"/>
                </a:schemeClr>
              </a:solidFill>
              <a:prstDash val="sysDash"/>
            </a:ln>
          </c:spPr>
          <c:marker>
            <c:symbol val="none"/>
          </c:marker>
          <c:cat>
            <c:strRef>
              <c:f>'MF sing veh for paper'!$A$77:$A$83</c:f>
              <c:strCache>
                <c:ptCount val="7"/>
                <c:pt idx="0">
                  <c:v>2005-07</c:v>
                </c:pt>
                <c:pt idx="1">
                  <c:v>2006-08</c:v>
                </c:pt>
                <c:pt idx="2">
                  <c:v>2007-09</c:v>
                </c:pt>
                <c:pt idx="3">
                  <c:v>2008-10</c:v>
                </c:pt>
                <c:pt idx="4">
                  <c:v>2009-11</c:v>
                </c:pt>
                <c:pt idx="5">
                  <c:v>2010-12</c:v>
                </c:pt>
                <c:pt idx="6">
                  <c:v>2011-13</c:v>
                </c:pt>
              </c:strCache>
            </c:strRef>
          </c:cat>
          <c:val>
            <c:numRef>
              <c:f>'MF sing veh for paper'!$AE$77:$AE$83</c:f>
              <c:numCache>
                <c:formatCode>0.0</c:formatCode>
                <c:ptCount val="7"/>
                <c:pt idx="0">
                  <c:v>1.3719098777733072</c:v>
                </c:pt>
                <c:pt idx="1">
                  <c:v>1.3255264352406422</c:v>
                </c:pt>
                <c:pt idx="2">
                  <c:v>1.2527724278537764</c:v>
                </c:pt>
                <c:pt idx="3">
                  <c:v>1.2180223446816221</c:v>
                </c:pt>
                <c:pt idx="4">
                  <c:v>1.1699448093707361</c:v>
                </c:pt>
                <c:pt idx="5">
                  <c:v>1.1379576345423621</c:v>
                </c:pt>
                <c:pt idx="6">
                  <c:v>1.0799130263293313</c:v>
                </c:pt>
              </c:numCache>
            </c:numRef>
          </c:val>
        </c:ser>
        <c:marker val="1"/>
        <c:axId val="90446464"/>
        <c:axId val="90444928"/>
      </c:lineChart>
      <c:catAx>
        <c:axId val="85186432"/>
        <c:scaling>
          <c:orientation val="minMax"/>
        </c:scaling>
        <c:axPos val="b"/>
        <c:tickLblPos val="nextTo"/>
        <c:txPr>
          <a:bodyPr/>
          <a:lstStyle/>
          <a:p>
            <a:pPr>
              <a:defRPr sz="800"/>
            </a:pPr>
            <a:endParaRPr lang="en-US"/>
          </a:p>
        </c:txPr>
        <c:crossAx val="85187968"/>
        <c:crosses val="autoZero"/>
        <c:auto val="1"/>
        <c:lblAlgn val="ctr"/>
        <c:lblOffset val="100"/>
      </c:catAx>
      <c:valAx>
        <c:axId val="85187968"/>
        <c:scaling>
          <c:orientation val="minMax"/>
          <c:max val="250"/>
        </c:scaling>
        <c:axPos val="l"/>
        <c:majorGridlines/>
        <c:numFmt formatCode="0.0" sourceLinked="1"/>
        <c:tickLblPos val="nextTo"/>
        <c:txPr>
          <a:bodyPr/>
          <a:lstStyle/>
          <a:p>
            <a:pPr>
              <a:defRPr sz="800"/>
            </a:pPr>
            <a:endParaRPr lang="en-US"/>
          </a:p>
        </c:txPr>
        <c:crossAx val="85186432"/>
        <c:crosses val="autoZero"/>
        <c:crossBetween val="between"/>
      </c:valAx>
      <c:valAx>
        <c:axId val="90444928"/>
        <c:scaling>
          <c:orientation val="minMax"/>
          <c:max val="45"/>
        </c:scaling>
        <c:axPos val="r"/>
        <c:numFmt formatCode="0.0" sourceLinked="1"/>
        <c:tickLblPos val="nextTo"/>
        <c:txPr>
          <a:bodyPr/>
          <a:lstStyle/>
          <a:p>
            <a:pPr>
              <a:defRPr sz="800"/>
            </a:pPr>
            <a:endParaRPr lang="en-US"/>
          </a:p>
        </c:txPr>
        <c:crossAx val="90446464"/>
        <c:crosses val="max"/>
        <c:crossBetween val="between"/>
      </c:valAx>
      <c:catAx>
        <c:axId val="90446464"/>
        <c:scaling>
          <c:orientation val="minMax"/>
        </c:scaling>
        <c:delete val="1"/>
        <c:axPos val="b"/>
        <c:tickLblPos val="none"/>
        <c:crossAx val="90444928"/>
        <c:crosses val="autoZero"/>
        <c:auto val="1"/>
        <c:lblAlgn val="ctr"/>
        <c:lblOffset val="100"/>
      </c:catAx>
    </c:plotArea>
    <c:legend>
      <c:legendPos val="r"/>
      <c:layout/>
      <c:txPr>
        <a:bodyPr/>
        <a:lstStyle/>
        <a:p>
          <a:pPr>
            <a:defRPr sz="800"/>
          </a:pPr>
          <a:endParaRPr lang="en-U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GB"/>
  <c:chart>
    <c:plotArea>
      <c:layout/>
      <c:barChart>
        <c:barDir val="col"/>
        <c:grouping val="clustered"/>
        <c:ser>
          <c:idx val="0"/>
          <c:order val="0"/>
          <c:tx>
            <c:strRef>
              <c:f>'MF sing veh for paper'!$C$185</c:f>
              <c:strCache>
                <c:ptCount val="1"/>
                <c:pt idx="0">
                  <c:v>M v F - all</c:v>
                </c:pt>
              </c:strCache>
            </c:strRef>
          </c:tx>
          <c:spPr>
            <a:solidFill>
              <a:srgbClr val="7030A0"/>
            </a:solidFill>
            <a:ln>
              <a:solidFill>
                <a:srgbClr val="7030A0"/>
              </a:solidFill>
            </a:ln>
          </c:spPr>
          <c:cat>
            <c:strRef>
              <c:f>'MF sing veh for paper'!$A$186:$A$192</c:f>
              <c:strCache>
                <c:ptCount val="7"/>
                <c:pt idx="0">
                  <c:v>2005-07</c:v>
                </c:pt>
                <c:pt idx="1">
                  <c:v>2006-08</c:v>
                </c:pt>
                <c:pt idx="2">
                  <c:v>2007-09</c:v>
                </c:pt>
                <c:pt idx="3">
                  <c:v>2008-10</c:v>
                </c:pt>
                <c:pt idx="4">
                  <c:v>2009-11</c:v>
                </c:pt>
                <c:pt idx="5">
                  <c:v>2010-12</c:v>
                </c:pt>
                <c:pt idx="6">
                  <c:v>2011-13</c:v>
                </c:pt>
              </c:strCache>
            </c:strRef>
          </c:cat>
          <c:val>
            <c:numRef>
              <c:f>'MF sing veh for paper'!$AB$186:$AB$192</c:f>
              <c:numCache>
                <c:formatCode>General</c:formatCode>
                <c:ptCount val="7"/>
                <c:pt idx="0">
                  <c:v>2.4</c:v>
                </c:pt>
                <c:pt idx="1">
                  <c:v>2.2000000000000002</c:v>
                </c:pt>
                <c:pt idx="2">
                  <c:v>2.1</c:v>
                </c:pt>
                <c:pt idx="3">
                  <c:v>1.9000000000000001</c:v>
                </c:pt>
                <c:pt idx="4">
                  <c:v>1.9000000000000001</c:v>
                </c:pt>
                <c:pt idx="5">
                  <c:v>1.7</c:v>
                </c:pt>
                <c:pt idx="6">
                  <c:v>1.6</c:v>
                </c:pt>
              </c:numCache>
            </c:numRef>
          </c:val>
        </c:ser>
        <c:ser>
          <c:idx val="1"/>
          <c:order val="1"/>
          <c:tx>
            <c:strRef>
              <c:f>'MF sing veh for paper'!$F$185</c:f>
              <c:strCache>
                <c:ptCount val="1"/>
                <c:pt idx="0">
                  <c:v>M v F - KSI</c:v>
                </c:pt>
              </c:strCache>
            </c:strRef>
          </c:tx>
          <c:spPr>
            <a:solidFill>
              <a:srgbClr val="FC02A3"/>
            </a:solidFill>
            <a:ln>
              <a:solidFill>
                <a:srgbClr val="FC02A3"/>
              </a:solidFill>
            </a:ln>
          </c:spPr>
          <c:cat>
            <c:strRef>
              <c:f>'MF sing veh for paper'!$A$186:$A$192</c:f>
              <c:strCache>
                <c:ptCount val="7"/>
                <c:pt idx="0">
                  <c:v>2005-07</c:v>
                </c:pt>
                <c:pt idx="1">
                  <c:v>2006-08</c:v>
                </c:pt>
                <c:pt idx="2">
                  <c:v>2007-09</c:v>
                </c:pt>
                <c:pt idx="3">
                  <c:v>2008-10</c:v>
                </c:pt>
                <c:pt idx="4">
                  <c:v>2009-11</c:v>
                </c:pt>
                <c:pt idx="5">
                  <c:v>2010-12</c:v>
                </c:pt>
                <c:pt idx="6">
                  <c:v>2011-13</c:v>
                </c:pt>
              </c:strCache>
            </c:strRef>
          </c:cat>
          <c:val>
            <c:numRef>
              <c:f>'MF sing veh for paper'!$AE$186:$AE$192</c:f>
              <c:numCache>
                <c:formatCode>General</c:formatCode>
                <c:ptCount val="7"/>
                <c:pt idx="0">
                  <c:v>3.2</c:v>
                </c:pt>
                <c:pt idx="1">
                  <c:v>3.2</c:v>
                </c:pt>
                <c:pt idx="2">
                  <c:v>3</c:v>
                </c:pt>
                <c:pt idx="3">
                  <c:v>2.6</c:v>
                </c:pt>
                <c:pt idx="4">
                  <c:v>2.4</c:v>
                </c:pt>
                <c:pt idx="5">
                  <c:v>2.1</c:v>
                </c:pt>
                <c:pt idx="6">
                  <c:v>2</c:v>
                </c:pt>
              </c:numCache>
            </c:numRef>
          </c:val>
        </c:ser>
        <c:axId val="90470272"/>
        <c:axId val="90471808"/>
      </c:barChart>
      <c:catAx>
        <c:axId val="90470272"/>
        <c:scaling>
          <c:orientation val="minMax"/>
        </c:scaling>
        <c:axPos val="b"/>
        <c:tickLblPos val="nextTo"/>
        <c:crossAx val="90471808"/>
        <c:crosses val="autoZero"/>
        <c:auto val="1"/>
        <c:lblAlgn val="ctr"/>
        <c:lblOffset val="100"/>
      </c:catAx>
      <c:valAx>
        <c:axId val="90471808"/>
        <c:scaling>
          <c:orientation val="minMax"/>
          <c:max val="4"/>
        </c:scaling>
        <c:axPos val="l"/>
        <c:majorGridlines/>
        <c:numFmt formatCode="General" sourceLinked="1"/>
        <c:tickLblPos val="nextTo"/>
        <c:crossAx val="90470272"/>
        <c:crosses val="autoZero"/>
        <c:crossBetween val="between"/>
      </c:valAx>
    </c:plotArea>
    <c:legend>
      <c:legendPos val="r"/>
      <c:layout/>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defRPr sz="1200">
                <a:latin typeface="Calibri" pitchFamily="34" charset="0"/>
              </a:defRPr>
            </a:pPr>
            <a:r>
              <a:rPr lang="en-US" sz="1200">
                <a:latin typeface="Calibri" pitchFamily="34" charset="0"/>
              </a:rPr>
              <a:t>17</a:t>
            </a:r>
            <a:r>
              <a:rPr lang="en-US" sz="1200" baseline="0">
                <a:latin typeface="Calibri" pitchFamily="34" charset="0"/>
              </a:rPr>
              <a:t> to 19 year old drivers as a % of all</a:t>
            </a:r>
            <a:endParaRPr lang="en-US" sz="1200">
              <a:latin typeface="Calibri" pitchFamily="34" charset="0"/>
            </a:endParaRPr>
          </a:p>
        </c:rich>
      </c:tx>
      <c:layout/>
    </c:title>
    <c:plotArea>
      <c:layout/>
      <c:barChart>
        <c:barDir val="col"/>
        <c:grouping val="clustered"/>
        <c:ser>
          <c:idx val="0"/>
          <c:order val="0"/>
          <c:tx>
            <c:strRef>
              <c:f>'Licences analysis'!$C$80</c:f>
              <c:strCache>
                <c:ptCount val="1"/>
                <c:pt idx="0">
                  <c:v>%</c:v>
                </c:pt>
              </c:strCache>
            </c:strRef>
          </c:tx>
          <c:dPt>
            <c:idx val="0"/>
            <c:spPr>
              <a:solidFill>
                <a:schemeClr val="bg1"/>
              </a:solidFill>
              <a:ln>
                <a:solidFill>
                  <a:schemeClr val="tx1"/>
                </a:solidFill>
              </a:ln>
            </c:spPr>
          </c:dPt>
          <c:dPt>
            <c:idx val="1"/>
            <c:spPr>
              <a:solidFill>
                <a:srgbClr val="0070C0"/>
              </a:solidFill>
            </c:spPr>
          </c:dPt>
          <c:dPt>
            <c:idx val="2"/>
            <c:spPr>
              <a:solidFill>
                <a:srgbClr val="FF0000"/>
              </a:solidFill>
            </c:spPr>
          </c:dPt>
          <c:dPt>
            <c:idx val="3"/>
            <c:spPr>
              <a:solidFill>
                <a:schemeClr val="bg1"/>
              </a:solidFill>
              <a:ln>
                <a:solidFill>
                  <a:schemeClr val="tx1"/>
                </a:solidFill>
              </a:ln>
            </c:spPr>
          </c:dPt>
          <c:dPt>
            <c:idx val="4"/>
            <c:spPr>
              <a:solidFill>
                <a:srgbClr val="0070C0"/>
              </a:solidFill>
            </c:spPr>
          </c:dPt>
          <c:dPt>
            <c:idx val="5"/>
            <c:spPr>
              <a:solidFill>
                <a:srgbClr val="FF0000"/>
              </a:solidFill>
            </c:spPr>
          </c:dPt>
          <c:dPt>
            <c:idx val="6"/>
            <c:spPr>
              <a:solidFill>
                <a:schemeClr val="bg1"/>
              </a:solidFill>
              <a:ln>
                <a:solidFill>
                  <a:prstClr val="black"/>
                </a:solidFill>
              </a:ln>
            </c:spPr>
          </c:dPt>
          <c:dPt>
            <c:idx val="7"/>
            <c:spPr>
              <a:solidFill>
                <a:srgbClr val="0070C0"/>
              </a:solidFill>
            </c:spPr>
          </c:dPt>
          <c:dPt>
            <c:idx val="8"/>
            <c:spPr>
              <a:solidFill>
                <a:srgbClr val="FF0000"/>
              </a:solidFill>
            </c:spPr>
          </c:dPt>
          <c:dPt>
            <c:idx val="9"/>
            <c:spPr>
              <a:solidFill>
                <a:schemeClr val="bg1"/>
              </a:solidFill>
              <a:ln>
                <a:solidFill>
                  <a:schemeClr val="tx1"/>
                </a:solidFill>
              </a:ln>
            </c:spPr>
          </c:dPt>
          <c:dPt>
            <c:idx val="10"/>
            <c:spPr>
              <a:solidFill>
                <a:srgbClr val="0070C0"/>
              </a:solidFill>
            </c:spPr>
          </c:dPt>
          <c:dPt>
            <c:idx val="11"/>
            <c:spPr>
              <a:solidFill>
                <a:srgbClr val="FF0000"/>
              </a:solidFill>
            </c:spPr>
          </c:dPt>
          <c:cat>
            <c:multiLvlStrRef>
              <c:f>'Licences analysis'!$A$81:$B$92</c:f>
              <c:multiLvlStrCache>
                <c:ptCount val="12"/>
                <c:lvl>
                  <c:pt idx="0">
                    <c:v>England</c:v>
                  </c:pt>
                  <c:pt idx="1">
                    <c:v>Scotland</c:v>
                  </c:pt>
                  <c:pt idx="2">
                    <c:v>Wales</c:v>
                  </c:pt>
                  <c:pt idx="3">
                    <c:v>England</c:v>
                  </c:pt>
                  <c:pt idx="4">
                    <c:v>Scotland</c:v>
                  </c:pt>
                  <c:pt idx="5">
                    <c:v>Wales</c:v>
                  </c:pt>
                  <c:pt idx="6">
                    <c:v>England</c:v>
                  </c:pt>
                  <c:pt idx="7">
                    <c:v>Scotland</c:v>
                  </c:pt>
                  <c:pt idx="8">
                    <c:v>Wales</c:v>
                  </c:pt>
                  <c:pt idx="9">
                    <c:v>England</c:v>
                  </c:pt>
                  <c:pt idx="10">
                    <c:v>Scotland</c:v>
                  </c:pt>
                  <c:pt idx="11">
                    <c:v>Wales</c:v>
                  </c:pt>
                </c:lvl>
                <c:lvl>
                  <c:pt idx="0">
                    <c:v>Driving licences (pa)</c:v>
                  </c:pt>
                  <c:pt idx="3">
                    <c:v>Crashes (annual avg)</c:v>
                  </c:pt>
                  <c:pt idx="6">
                    <c:v>Casualties (annual avg)</c:v>
                  </c:pt>
                  <c:pt idx="9">
                    <c:v>Fatalities (annual avg)</c:v>
                  </c:pt>
                </c:lvl>
              </c:multiLvlStrCache>
            </c:multiLvlStrRef>
          </c:cat>
          <c:val>
            <c:numRef>
              <c:f>'Licences analysis'!$C$81:$C$92</c:f>
              <c:numCache>
                <c:formatCode>0.0%</c:formatCode>
                <c:ptCount val="12"/>
                <c:pt idx="0">
                  <c:v>1.6571696638814123E-2</c:v>
                </c:pt>
                <c:pt idx="1">
                  <c:v>1.6571696638814123E-2</c:v>
                </c:pt>
                <c:pt idx="2">
                  <c:v>2.1129418376257932E-2</c:v>
                </c:pt>
                <c:pt idx="3">
                  <c:v>9.417925869203779E-2</c:v>
                </c:pt>
                <c:pt idx="4">
                  <c:v>0.10500000000000002</c:v>
                </c:pt>
                <c:pt idx="5" formatCode="0.00%">
                  <c:v>0.13900000000000001</c:v>
                </c:pt>
                <c:pt idx="6" formatCode="0.00%">
                  <c:v>0.11500000000000024</c:v>
                </c:pt>
                <c:pt idx="7" formatCode="0.00%">
                  <c:v>0.12200000000000009</c:v>
                </c:pt>
                <c:pt idx="8" formatCode="0.00%">
                  <c:v>0.17300000000000001</c:v>
                </c:pt>
                <c:pt idx="9" formatCode="0.00%">
                  <c:v>9.5000000000000265E-2</c:v>
                </c:pt>
                <c:pt idx="10" formatCode="0.00%">
                  <c:v>0.13200000000000001</c:v>
                </c:pt>
                <c:pt idx="11" formatCode="0.00%">
                  <c:v>0.10500000000000002</c:v>
                </c:pt>
              </c:numCache>
            </c:numRef>
          </c:val>
        </c:ser>
        <c:axId val="91690880"/>
        <c:axId val="91692416"/>
      </c:barChart>
      <c:catAx>
        <c:axId val="91690880"/>
        <c:scaling>
          <c:orientation val="minMax"/>
        </c:scaling>
        <c:axPos val="b"/>
        <c:tickLblPos val="nextTo"/>
        <c:txPr>
          <a:bodyPr/>
          <a:lstStyle/>
          <a:p>
            <a:pPr>
              <a:defRPr sz="1200">
                <a:latin typeface="Calibri" pitchFamily="34" charset="0"/>
              </a:defRPr>
            </a:pPr>
            <a:endParaRPr lang="en-US"/>
          </a:p>
        </c:txPr>
        <c:crossAx val="91692416"/>
        <c:crosses val="autoZero"/>
        <c:auto val="1"/>
        <c:lblAlgn val="ctr"/>
        <c:lblOffset val="100"/>
      </c:catAx>
      <c:valAx>
        <c:axId val="91692416"/>
        <c:scaling>
          <c:orientation val="minMax"/>
        </c:scaling>
        <c:axPos val="l"/>
        <c:majorGridlines/>
        <c:numFmt formatCode="0.0%" sourceLinked="1"/>
        <c:tickLblPos val="nextTo"/>
        <c:txPr>
          <a:bodyPr/>
          <a:lstStyle/>
          <a:p>
            <a:pPr>
              <a:defRPr sz="1200">
                <a:latin typeface="Calibri" pitchFamily="34" charset="0"/>
              </a:defRPr>
            </a:pPr>
            <a:endParaRPr lang="en-US"/>
          </a:p>
        </c:txPr>
        <c:crossAx val="91690880"/>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GB"/>
  <c:chart>
    <c:plotArea>
      <c:layout/>
      <c:barChart>
        <c:barDir val="col"/>
        <c:grouping val="clustered"/>
        <c:ser>
          <c:idx val="0"/>
          <c:order val="0"/>
          <c:tx>
            <c:strRef>
              <c:f>'MF sing veh for paper'!$C$185</c:f>
              <c:strCache>
                <c:ptCount val="1"/>
                <c:pt idx="0">
                  <c:v>M v F - all</c:v>
                </c:pt>
              </c:strCache>
            </c:strRef>
          </c:tx>
          <c:spPr>
            <a:solidFill>
              <a:srgbClr val="7030A0"/>
            </a:solidFill>
            <a:ln>
              <a:solidFill>
                <a:srgbClr val="7030A0"/>
              </a:solidFill>
            </a:ln>
          </c:spPr>
          <c:cat>
            <c:strRef>
              <c:f>'MF sing veh for paper'!$A$186:$A$192</c:f>
              <c:strCache>
                <c:ptCount val="7"/>
                <c:pt idx="0">
                  <c:v>2005-07</c:v>
                </c:pt>
                <c:pt idx="1">
                  <c:v>2006-08</c:v>
                </c:pt>
                <c:pt idx="2">
                  <c:v>2007-09</c:v>
                </c:pt>
                <c:pt idx="3">
                  <c:v>2008-10</c:v>
                </c:pt>
                <c:pt idx="4">
                  <c:v>2009-11</c:v>
                </c:pt>
                <c:pt idx="5">
                  <c:v>2010-12</c:v>
                </c:pt>
                <c:pt idx="6">
                  <c:v>2011-13</c:v>
                </c:pt>
              </c:strCache>
            </c:strRef>
          </c:cat>
          <c:val>
            <c:numRef>
              <c:f>'MF sing veh for paper'!$AB$186:$AB$192</c:f>
              <c:numCache>
                <c:formatCode>General</c:formatCode>
                <c:ptCount val="7"/>
                <c:pt idx="0">
                  <c:v>2.4</c:v>
                </c:pt>
                <c:pt idx="1">
                  <c:v>2.2000000000000002</c:v>
                </c:pt>
                <c:pt idx="2">
                  <c:v>2.1</c:v>
                </c:pt>
                <c:pt idx="3">
                  <c:v>1.9000000000000001</c:v>
                </c:pt>
                <c:pt idx="4">
                  <c:v>1.9000000000000001</c:v>
                </c:pt>
                <c:pt idx="5">
                  <c:v>1.7</c:v>
                </c:pt>
                <c:pt idx="6">
                  <c:v>1.6</c:v>
                </c:pt>
              </c:numCache>
            </c:numRef>
          </c:val>
        </c:ser>
        <c:ser>
          <c:idx val="1"/>
          <c:order val="1"/>
          <c:tx>
            <c:strRef>
              <c:f>'MF sing veh for paper'!$F$185</c:f>
              <c:strCache>
                <c:ptCount val="1"/>
                <c:pt idx="0">
                  <c:v>M v F - KSI</c:v>
                </c:pt>
              </c:strCache>
            </c:strRef>
          </c:tx>
          <c:spPr>
            <a:solidFill>
              <a:srgbClr val="FC02A3"/>
            </a:solidFill>
            <a:ln>
              <a:solidFill>
                <a:srgbClr val="FC02A3"/>
              </a:solidFill>
            </a:ln>
          </c:spPr>
          <c:cat>
            <c:strRef>
              <c:f>'MF sing veh for paper'!$A$186:$A$192</c:f>
              <c:strCache>
                <c:ptCount val="7"/>
                <c:pt idx="0">
                  <c:v>2005-07</c:v>
                </c:pt>
                <c:pt idx="1">
                  <c:v>2006-08</c:v>
                </c:pt>
                <c:pt idx="2">
                  <c:v>2007-09</c:v>
                </c:pt>
                <c:pt idx="3">
                  <c:v>2008-10</c:v>
                </c:pt>
                <c:pt idx="4">
                  <c:v>2009-11</c:v>
                </c:pt>
                <c:pt idx="5">
                  <c:v>2010-12</c:v>
                </c:pt>
                <c:pt idx="6">
                  <c:v>2011-13</c:v>
                </c:pt>
              </c:strCache>
            </c:strRef>
          </c:cat>
          <c:val>
            <c:numRef>
              <c:f>'MF sing veh for paper'!$AE$186:$AE$192</c:f>
              <c:numCache>
                <c:formatCode>General</c:formatCode>
                <c:ptCount val="7"/>
                <c:pt idx="0">
                  <c:v>3.2</c:v>
                </c:pt>
                <c:pt idx="1">
                  <c:v>3.2</c:v>
                </c:pt>
                <c:pt idx="2">
                  <c:v>3</c:v>
                </c:pt>
                <c:pt idx="3">
                  <c:v>2.6</c:v>
                </c:pt>
                <c:pt idx="4">
                  <c:v>2.4</c:v>
                </c:pt>
                <c:pt idx="5">
                  <c:v>2.1</c:v>
                </c:pt>
                <c:pt idx="6">
                  <c:v>2</c:v>
                </c:pt>
              </c:numCache>
            </c:numRef>
          </c:val>
        </c:ser>
        <c:axId val="91703936"/>
        <c:axId val="91709824"/>
      </c:barChart>
      <c:catAx>
        <c:axId val="91703936"/>
        <c:scaling>
          <c:orientation val="minMax"/>
        </c:scaling>
        <c:axPos val="b"/>
        <c:tickLblPos val="nextTo"/>
        <c:crossAx val="91709824"/>
        <c:crosses val="autoZero"/>
        <c:auto val="1"/>
        <c:lblAlgn val="ctr"/>
        <c:lblOffset val="100"/>
      </c:catAx>
      <c:valAx>
        <c:axId val="91709824"/>
        <c:scaling>
          <c:orientation val="minMax"/>
          <c:max val="4"/>
        </c:scaling>
        <c:axPos val="l"/>
        <c:majorGridlines/>
        <c:numFmt formatCode="General" sourceLinked="1"/>
        <c:tickLblPos val="nextTo"/>
        <c:crossAx val="91703936"/>
        <c:crosses val="autoZero"/>
        <c:crossBetween val="between"/>
      </c:valAx>
    </c:plotArea>
    <c:legend>
      <c:legendPos val="r"/>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E050567-FA76-1D4D-8A5B-1B295623F693}">
  <we:reference id="wa104379980" version="1.0.5.0" store="en-GB" storeType="OMEX"/>
  <we:alternateReferences>
    <we:reference id="wa104379980" version="1.0.5.0" store="wa104379980" storeType="OMEX"/>
  </we:alternateReferences>
  <we:properties>
    <we:property name="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060A5740-0587-4D7C-AFBC-43B35E5AF7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4790</Words>
  <Characters>120428</Characters>
  <Application>Microsoft Office Word</Application>
  <DocSecurity>0</DocSecurity>
  <Lines>1003</Lines>
  <Paragraphs>249</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124969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Jones</dc:creator>
  <cp:lastModifiedBy>Adam Jones</cp:lastModifiedBy>
  <cp:revision>3</cp:revision>
  <cp:lastPrinted>2016-06-01T08:24:00Z</cp:lastPrinted>
  <dcterms:created xsi:type="dcterms:W3CDTF">2017-02-20T11:03:00Z</dcterms:created>
  <dcterms:modified xsi:type="dcterms:W3CDTF">2017-02-20T11:06:00Z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id="ppQ38SPZ"/&gt;&lt;style id="http://www.zotero.org/styles/sage-vancouver-brackets" hasBibliography="1" bibliographyStyleHasBeenSet="1"/&gt;&lt;prefs&gt;&lt;pref name="fieldType" value="Field"/&gt;&lt;pref name="storeR</vt:lpwstr>
  </property>
  <property fmtid="{D5CDD505-2E9C-101B-9397-08002B2CF9AE}" pid="3" name="ZOTERO_PREF_2">
    <vt:lpwstr>eferences" value="true"/&gt;&lt;pref name="automaticJournalAbbreviations" value="true"/&gt;&lt;pref name="noteType" value=""/&gt;&lt;/prefs&gt;&lt;/data&gt;</vt:lpwstr>
  </property>
</Properties>
</file>