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7D2253" w14:textId="67E54699" w:rsidR="00A742FD" w:rsidRDefault="00F10F03" w:rsidP="00BF6943">
      <w:bookmarkStart w:id="0" w:name="_GoBack"/>
      <w:bookmarkEnd w:id="0"/>
      <w:r>
        <w:rPr>
          <w:noProof/>
        </w:rPr>
        <w:drawing>
          <wp:anchor distT="0" distB="0" distL="114300" distR="114300" simplePos="0" relativeHeight="251697152" behindDoc="0" locked="0" layoutInCell="1" allowOverlap="1" wp14:anchorId="1C124DF4" wp14:editId="6E714BF2">
            <wp:simplePos x="0" y="0"/>
            <wp:positionH relativeFrom="page">
              <wp:posOffset>0</wp:posOffset>
            </wp:positionH>
            <wp:positionV relativeFrom="paragraph">
              <wp:posOffset>-1150458</wp:posOffset>
            </wp:positionV>
            <wp:extent cx="7769860" cy="10989945"/>
            <wp:effectExtent l="0" t="0" r="2540" b="190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ortality-Cover_v3.jpg"/>
                    <pic:cNvPicPr/>
                  </pic:nvPicPr>
                  <pic:blipFill>
                    <a:blip r:embed="rId11">
                      <a:extLst>
                        <a:ext uri="{28A0092B-C50C-407E-A947-70E740481C1C}">
                          <a14:useLocalDpi xmlns:a14="http://schemas.microsoft.com/office/drawing/2010/main" val="0"/>
                        </a:ext>
                      </a:extLst>
                    </a:blip>
                    <a:stretch>
                      <a:fillRect/>
                    </a:stretch>
                  </pic:blipFill>
                  <pic:spPr>
                    <a:xfrm>
                      <a:off x="0" y="0"/>
                      <a:ext cx="7769860" cy="10989945"/>
                    </a:xfrm>
                    <a:prstGeom prst="rect">
                      <a:avLst/>
                    </a:prstGeom>
                  </pic:spPr>
                </pic:pic>
              </a:graphicData>
            </a:graphic>
            <wp14:sizeRelH relativeFrom="margin">
              <wp14:pctWidth>0</wp14:pctWidth>
            </wp14:sizeRelH>
            <wp14:sizeRelV relativeFrom="margin">
              <wp14:pctHeight>0</wp14:pctHeight>
            </wp14:sizeRelV>
          </wp:anchor>
        </w:drawing>
      </w:r>
    </w:p>
    <w:p w14:paraId="319A9E26" w14:textId="77777777" w:rsidR="00387CE4" w:rsidRDefault="00387CE4" w:rsidP="00BF6943"/>
    <w:p w14:paraId="13B1E309" w14:textId="77777777" w:rsidR="00387CE4" w:rsidRDefault="00387CE4" w:rsidP="00BF6943"/>
    <w:p w14:paraId="2A5F91D5" w14:textId="77777777" w:rsidR="00A742FD" w:rsidRDefault="00A742FD" w:rsidP="00BF6943"/>
    <w:p w14:paraId="2F6A6FBF" w14:textId="77777777" w:rsidR="00B20ACA" w:rsidRDefault="00B20ACA" w:rsidP="00BF6943"/>
    <w:p w14:paraId="214DC449" w14:textId="77777777" w:rsidR="00A742FD" w:rsidRDefault="00A742FD" w:rsidP="00BF6943"/>
    <w:p w14:paraId="3F6FEC73" w14:textId="74D7A691" w:rsidR="00A742FD" w:rsidRDefault="00A742FD">
      <w:pPr>
        <w:spacing w:before="0"/>
        <w:jc w:val="left"/>
      </w:pPr>
      <w:r>
        <w:br w:type="page"/>
      </w:r>
    </w:p>
    <w:p w14:paraId="43CEE001" w14:textId="4B5950DA" w:rsidR="00725FE1" w:rsidRDefault="00373135">
      <w:pPr>
        <w:spacing w:before="0"/>
        <w:jc w:val="left"/>
      </w:pPr>
      <w:r>
        <w:rPr>
          <w:noProof/>
        </w:rPr>
        <w:lastRenderedPageBreak/>
        <mc:AlternateContent>
          <mc:Choice Requires="wps">
            <w:drawing>
              <wp:anchor distT="0" distB="0" distL="114300" distR="114300" simplePos="0" relativeHeight="251696128" behindDoc="0" locked="0" layoutInCell="1" allowOverlap="1" wp14:anchorId="3D8D85F2" wp14:editId="7A207C9B">
                <wp:simplePos x="0" y="0"/>
                <wp:positionH relativeFrom="column">
                  <wp:posOffset>52705</wp:posOffset>
                </wp:positionH>
                <wp:positionV relativeFrom="paragraph">
                  <wp:posOffset>-8660765</wp:posOffset>
                </wp:positionV>
                <wp:extent cx="5234305" cy="1598930"/>
                <wp:effectExtent l="3810" t="0" r="635" b="1270"/>
                <wp:wrapNone/>
                <wp:docPr id="4"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4305" cy="1598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A168B2" w14:textId="77777777" w:rsidR="00B70430" w:rsidRDefault="00B70430" w:rsidP="00725FE1">
                            <w:pPr>
                              <w:rPr>
                                <w:color w:val="FFFFFF" w:themeColor="background1"/>
                                <w:sz w:val="64"/>
                                <w:szCs w:val="64"/>
                              </w:rPr>
                            </w:pPr>
                          </w:p>
                          <w:p w14:paraId="6C3A303B" w14:textId="77777777" w:rsidR="00B70430" w:rsidRPr="00280A3D" w:rsidRDefault="00B70430" w:rsidP="00725FE1">
                            <w:pPr>
                              <w:rPr>
                                <w:color w:val="FFFFFF" w:themeColor="background1"/>
                                <w:sz w:val="64"/>
                                <w:szCs w:val="64"/>
                              </w:rPr>
                            </w:pPr>
                            <w:r>
                              <w:rPr>
                                <w:color w:val="FFFFFF" w:themeColor="background1"/>
                                <w:sz w:val="64"/>
                                <w:szCs w:val="64"/>
                              </w:rPr>
                              <w:t>&lt;insert title here&gt;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D8D85F2" id="Text Box 57" o:spid="_x0000_s1027" type="#_x0000_t202" style="position:absolute;margin-left:4.15pt;margin-top:-681.95pt;width:412.15pt;height:125.9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" filled="f" stroked="f">
                <v:textbox>
                  <w:txbxContent>
                    <w:p w14:paraId="15A168B2" w14:textId="77777777" w:rsidR="00B70430" w:rsidRDefault="00B70430" w:rsidP="00725FE1">
                      <w:pPr>
                        <w:rPr>
                          <w:color w:val="FFFFFF" w:themeColor="background1"/>
                          <w:sz w:val="64"/>
                          <w:szCs w:val="64"/>
                        </w:rPr>
                      </w:pPr>
                    </w:p>
                    <w:p w14:paraId="6C3A303B" w14:textId="77777777" w:rsidR="00B70430" w:rsidRPr="00280A3D" w:rsidRDefault="00B70430" w:rsidP="00725FE1">
                      <w:pPr>
                        <w:rPr>
                          <w:color w:val="FFFFFF" w:themeColor="background1"/>
                          <w:sz w:val="64"/>
                          <w:szCs w:val="64"/>
                        </w:rPr>
                      </w:pPr>
                      <w:r>
                        <w:rPr>
                          <w:color w:val="FFFFFF" w:themeColor="background1"/>
                          <w:sz w:val="64"/>
                          <w:szCs w:val="64"/>
                        </w:rPr>
                        <w:t>&lt;</w:t>
                      </w:r>
                      <w:proofErr w:type="gramStart"/>
                      <w:r>
                        <w:rPr>
                          <w:color w:val="FFFFFF" w:themeColor="background1"/>
                          <w:sz w:val="64"/>
                          <w:szCs w:val="64"/>
                        </w:rPr>
                        <w:t>insert</w:t>
                      </w:r>
                      <w:proofErr w:type="gramEnd"/>
                      <w:r>
                        <w:rPr>
                          <w:color w:val="FFFFFF" w:themeColor="background1"/>
                          <w:sz w:val="64"/>
                          <w:szCs w:val="64"/>
                        </w:rPr>
                        <w:t xml:space="preserve"> title here&gt;</w:t>
                      </w:r>
                    </w:p>
                  </w:txbxContent>
                </v:textbox>
              </v:shape>
            </w:pict>
          </mc:Fallback>
        </mc:AlternateContent>
      </w:r>
    </w:p>
    <w:p w14:paraId="7274533D" w14:textId="5A0E713D" w:rsidR="00993CEC" w:rsidRDefault="00993CEC" w:rsidP="00151B3B"/>
    <w:p w14:paraId="73AA32EF" w14:textId="77777777" w:rsidR="00993CEC" w:rsidRDefault="00993CEC" w:rsidP="00151B3B"/>
    <w:p w14:paraId="6370EAB1" w14:textId="77777777" w:rsidR="00993CEC" w:rsidRDefault="00993CEC" w:rsidP="00151B3B"/>
    <w:p w14:paraId="7DE8697B" w14:textId="77777777" w:rsidR="00151B3B" w:rsidRDefault="00151B3B" w:rsidP="00151B3B">
      <w:pPr>
        <w:spacing w:before="0"/>
        <w:jc w:val="left"/>
      </w:pPr>
    </w:p>
    <w:p w14:paraId="58238413" w14:textId="77777777" w:rsidR="00151B3B" w:rsidRDefault="00151B3B" w:rsidP="00151B3B">
      <w:pPr>
        <w:spacing w:before="0"/>
        <w:jc w:val="left"/>
      </w:pPr>
    </w:p>
    <w:p w14:paraId="658EB86C" w14:textId="77777777" w:rsidR="00151B3B" w:rsidRDefault="00151B3B" w:rsidP="00151B3B">
      <w:pPr>
        <w:spacing w:before="0"/>
        <w:jc w:val="left"/>
      </w:pPr>
    </w:p>
    <w:p w14:paraId="2F45FA2D" w14:textId="77777777" w:rsidR="00151B3B" w:rsidRDefault="00151B3B" w:rsidP="00151B3B">
      <w:pPr>
        <w:spacing w:before="0"/>
        <w:jc w:val="left"/>
      </w:pPr>
    </w:p>
    <w:p w14:paraId="2A9B5C40" w14:textId="77777777" w:rsidR="00151B3B" w:rsidRDefault="00151B3B" w:rsidP="00151B3B">
      <w:pPr>
        <w:spacing w:before="0"/>
        <w:jc w:val="left"/>
      </w:pPr>
    </w:p>
    <w:p w14:paraId="252EDD2A" w14:textId="77777777" w:rsidR="00151B3B" w:rsidRDefault="00151B3B" w:rsidP="00151B3B">
      <w:pPr>
        <w:spacing w:before="0"/>
        <w:jc w:val="left"/>
      </w:pPr>
    </w:p>
    <w:p w14:paraId="11E76CE7" w14:textId="77777777" w:rsidR="00993CEC" w:rsidRDefault="00993CEC" w:rsidP="00151B3B">
      <w:pPr>
        <w:spacing w:before="0"/>
        <w:jc w:val="left"/>
        <w:rPr>
          <w:b/>
        </w:rPr>
      </w:pPr>
    </w:p>
    <w:p w14:paraId="764988D2" w14:textId="77777777" w:rsidR="00993CEC" w:rsidRDefault="00993CEC" w:rsidP="00151B3B">
      <w:pPr>
        <w:spacing w:before="0"/>
        <w:jc w:val="left"/>
        <w:rPr>
          <w:b/>
        </w:rPr>
      </w:pPr>
    </w:p>
    <w:p w14:paraId="7E12D540" w14:textId="77777777" w:rsidR="00993CEC" w:rsidRDefault="00993CEC" w:rsidP="00151B3B">
      <w:pPr>
        <w:spacing w:before="0"/>
        <w:jc w:val="left"/>
        <w:rPr>
          <w:b/>
        </w:rPr>
      </w:pPr>
    </w:p>
    <w:p w14:paraId="338BE6EC" w14:textId="77777777" w:rsidR="00993CEC" w:rsidRDefault="00993CEC" w:rsidP="00151B3B">
      <w:pPr>
        <w:spacing w:before="0"/>
        <w:jc w:val="left"/>
        <w:rPr>
          <w:b/>
        </w:rPr>
      </w:pPr>
    </w:p>
    <w:p w14:paraId="7B5A5967" w14:textId="77777777" w:rsidR="00993CEC" w:rsidRDefault="00993CEC" w:rsidP="00151B3B">
      <w:pPr>
        <w:spacing w:before="0"/>
        <w:jc w:val="left"/>
        <w:rPr>
          <w:b/>
        </w:rPr>
      </w:pPr>
    </w:p>
    <w:p w14:paraId="5424D04F" w14:textId="0A928875" w:rsidR="00151B3B" w:rsidRDefault="00457EA6" w:rsidP="00151B3B">
      <w:pPr>
        <w:spacing w:before="0"/>
        <w:jc w:val="left"/>
      </w:pPr>
      <w:r>
        <w:rPr>
          <w:b/>
        </w:rPr>
        <w:t>Authors</w:t>
      </w:r>
      <w:r w:rsidR="00151B3B" w:rsidRPr="00390943">
        <w:rPr>
          <w:b/>
        </w:rPr>
        <w:t>:</w:t>
      </w:r>
      <w:r w:rsidR="00151B3B">
        <w:t xml:space="preserve"> </w:t>
      </w:r>
      <w:r>
        <w:t>Anna Childs, Andrew Dring, Nathan Lester, Dr Kirsty Little</w:t>
      </w:r>
    </w:p>
    <w:p w14:paraId="23584556" w14:textId="77777777" w:rsidR="00151B3B" w:rsidRDefault="00151B3B" w:rsidP="00151B3B">
      <w:pPr>
        <w:spacing w:before="0"/>
        <w:jc w:val="left"/>
      </w:pPr>
    </w:p>
    <w:p w14:paraId="2855943B" w14:textId="77777777" w:rsidR="00151B3B" w:rsidRDefault="00151B3B" w:rsidP="00151B3B">
      <w:pPr>
        <w:spacing w:before="0"/>
        <w:jc w:val="left"/>
      </w:pPr>
    </w:p>
    <w:p w14:paraId="0D4C9392" w14:textId="77777777" w:rsidR="00993CEC" w:rsidRDefault="00993CEC" w:rsidP="00151B3B">
      <w:pPr>
        <w:spacing w:before="0"/>
        <w:jc w:val="left"/>
        <w:rPr>
          <w:b/>
        </w:rPr>
      </w:pPr>
    </w:p>
    <w:p w14:paraId="7AD11CA9" w14:textId="43664F35" w:rsidR="00151B3B" w:rsidRDefault="00151B3B" w:rsidP="00F00734">
      <w:pPr>
        <w:pStyle w:val="BodyText1"/>
      </w:pPr>
    </w:p>
    <w:p w14:paraId="0C037EB5" w14:textId="1A0ACD28" w:rsidR="00F00734" w:rsidRDefault="00F00734" w:rsidP="00F00734">
      <w:pPr>
        <w:pStyle w:val="BodyText1"/>
      </w:pPr>
    </w:p>
    <w:p w14:paraId="2B6D3B31" w14:textId="77777777" w:rsidR="002D1052" w:rsidRDefault="002D1052" w:rsidP="00F00734">
      <w:pPr>
        <w:pStyle w:val="BodyText1"/>
      </w:pPr>
    </w:p>
    <w:p w14:paraId="43456BF7" w14:textId="77777777" w:rsidR="00151B3B" w:rsidRDefault="00151B3B" w:rsidP="00151B3B">
      <w:pPr>
        <w:spacing w:before="0"/>
        <w:jc w:val="left"/>
      </w:pPr>
    </w:p>
    <w:p w14:paraId="594BC436" w14:textId="77777777" w:rsidR="00993CEC" w:rsidRDefault="00993CEC" w:rsidP="00151B3B">
      <w:pPr>
        <w:spacing w:before="0"/>
        <w:jc w:val="left"/>
      </w:pPr>
    </w:p>
    <w:p w14:paraId="4AB33185" w14:textId="77777777" w:rsidR="00151B3B" w:rsidRPr="00993CEC" w:rsidRDefault="00151B3B" w:rsidP="00151B3B">
      <w:pPr>
        <w:spacing w:before="0"/>
        <w:jc w:val="left"/>
        <w:rPr>
          <w:b/>
          <w:color w:val="3182BD"/>
        </w:rPr>
      </w:pPr>
      <w:bookmarkStart w:id="1" w:name="Contact"/>
      <w:r w:rsidRPr="00993CEC">
        <w:rPr>
          <w:b/>
          <w:color w:val="3182BD"/>
          <w:sz w:val="24"/>
        </w:rPr>
        <w:t>Contact</w:t>
      </w:r>
    </w:p>
    <w:bookmarkEnd w:id="1"/>
    <w:p w14:paraId="577F965A" w14:textId="77777777" w:rsidR="00151B3B" w:rsidRDefault="00151B3B" w:rsidP="00151B3B">
      <w:pPr>
        <w:spacing w:before="0"/>
        <w:jc w:val="left"/>
      </w:pPr>
    </w:p>
    <w:p w14:paraId="54B7EF22" w14:textId="77777777" w:rsidR="00151B3B" w:rsidRPr="00B717BE" w:rsidRDefault="00151B3B" w:rsidP="00151B3B">
      <w:pPr>
        <w:spacing w:before="0"/>
        <w:jc w:val="left"/>
      </w:pPr>
      <w:r w:rsidRPr="00B717BE">
        <w:t>Public Health Wales Observatory</w:t>
      </w:r>
    </w:p>
    <w:p w14:paraId="7106BA85" w14:textId="77777777" w:rsidR="00B717BE" w:rsidRDefault="00B717BE" w:rsidP="00151B3B">
      <w:pPr>
        <w:spacing w:before="0"/>
        <w:jc w:val="left"/>
      </w:pPr>
      <w:r w:rsidRPr="00B717BE">
        <w:t xml:space="preserve">5th Floor Number 2 Capital Quarter </w:t>
      </w:r>
    </w:p>
    <w:p w14:paraId="73BAEBFD" w14:textId="77777777" w:rsidR="00B717BE" w:rsidRDefault="00B717BE" w:rsidP="00151B3B">
      <w:pPr>
        <w:spacing w:before="0"/>
        <w:jc w:val="left"/>
      </w:pPr>
      <w:r w:rsidRPr="00B717BE">
        <w:t xml:space="preserve">Tyndall Street, </w:t>
      </w:r>
    </w:p>
    <w:p w14:paraId="3CEF68A0" w14:textId="543AEDA0" w:rsidR="00151B3B" w:rsidRPr="00B717BE" w:rsidRDefault="00B717BE" w:rsidP="00151B3B">
      <w:pPr>
        <w:spacing w:before="0"/>
        <w:jc w:val="left"/>
      </w:pPr>
      <w:r w:rsidRPr="00B717BE">
        <w:t>Cardiff CF10 4BZ</w:t>
      </w:r>
    </w:p>
    <w:p w14:paraId="478DA242" w14:textId="77777777" w:rsidR="00151B3B" w:rsidRDefault="00151B3B" w:rsidP="00151B3B">
      <w:pPr>
        <w:spacing w:before="0"/>
        <w:jc w:val="left"/>
      </w:pPr>
    </w:p>
    <w:p w14:paraId="1F96998B" w14:textId="77777777" w:rsidR="00151B3B" w:rsidRPr="00FF2C2E" w:rsidRDefault="00151B3B" w:rsidP="00151B3B">
      <w:pPr>
        <w:spacing w:before="0"/>
        <w:jc w:val="left"/>
      </w:pPr>
      <w:r w:rsidRPr="00FF2C2E">
        <w:t xml:space="preserve">Email: </w:t>
      </w:r>
      <w:hyperlink r:id="rId12" w:history="1">
        <w:r w:rsidRPr="00FF2C2E">
          <w:rPr>
            <w:rStyle w:val="Hyperlink"/>
          </w:rPr>
          <w:t>publichealthwalesobservatory@wales.nhs.uk</w:t>
        </w:r>
      </w:hyperlink>
    </w:p>
    <w:p w14:paraId="6F8D1B9F" w14:textId="77777777" w:rsidR="00151B3B" w:rsidRDefault="00151B3B" w:rsidP="00151B3B">
      <w:pPr>
        <w:spacing w:before="0"/>
        <w:jc w:val="left"/>
      </w:pPr>
      <w:r w:rsidRPr="00FF2C2E">
        <w:t xml:space="preserve">Website: </w:t>
      </w:r>
      <w:hyperlink r:id="rId13" w:history="1">
        <w:r>
          <w:rPr>
            <w:rStyle w:val="Hyperlink"/>
          </w:rPr>
          <w:t>www.publichealthwalesobservatory.wales.nhs.uk</w:t>
        </w:r>
      </w:hyperlink>
    </w:p>
    <w:p w14:paraId="13699076" w14:textId="77777777" w:rsidR="00151B3B" w:rsidRDefault="00151B3B" w:rsidP="00151B3B">
      <w:pPr>
        <w:spacing w:before="0"/>
        <w:jc w:val="left"/>
        <w:rPr>
          <w:sz w:val="20"/>
          <w:szCs w:val="20"/>
        </w:rPr>
      </w:pPr>
    </w:p>
    <w:p w14:paraId="53D7AF58" w14:textId="5175B34B" w:rsidR="00290612" w:rsidRPr="0050545A" w:rsidRDefault="00290612" w:rsidP="00290612">
      <w:pPr>
        <w:pBdr>
          <w:top w:val="single" w:sz="4" w:space="1" w:color="auto"/>
          <w:left w:val="single" w:sz="4" w:space="4" w:color="auto"/>
          <w:bottom w:val="single" w:sz="4" w:space="1" w:color="auto"/>
          <w:right w:val="single" w:sz="4" w:space="4" w:color="auto"/>
        </w:pBdr>
        <w:jc w:val="center"/>
        <w:rPr>
          <w:bCs/>
          <w:iCs/>
        </w:rPr>
      </w:pPr>
      <w:r w:rsidRPr="0050545A">
        <w:rPr>
          <w:bCs/>
          <w:iCs/>
        </w:rPr>
        <w:t>© 201</w:t>
      </w:r>
      <w:r w:rsidR="00885468">
        <w:rPr>
          <w:bCs/>
          <w:iCs/>
        </w:rPr>
        <w:t>8</w:t>
      </w:r>
      <w:r w:rsidRPr="0050545A">
        <w:rPr>
          <w:bCs/>
          <w:iCs/>
        </w:rPr>
        <w:t xml:space="preserve"> Public Health Wales NHS Trust.</w:t>
      </w:r>
    </w:p>
    <w:p w14:paraId="146EB0D1" w14:textId="77777777" w:rsidR="00290612" w:rsidRDefault="00290612" w:rsidP="00290612">
      <w:pPr>
        <w:pBdr>
          <w:top w:val="single" w:sz="4" w:space="1" w:color="auto"/>
          <w:left w:val="single" w:sz="4" w:space="4" w:color="auto"/>
          <w:bottom w:val="single" w:sz="4" w:space="1" w:color="auto"/>
          <w:right w:val="single" w:sz="4" w:space="4" w:color="auto"/>
        </w:pBdr>
        <w:spacing w:before="0"/>
        <w:jc w:val="center"/>
        <w:rPr>
          <w:bCs/>
          <w:iCs/>
        </w:rPr>
      </w:pPr>
      <w:r w:rsidRPr="00153849">
        <w:rPr>
          <w:bCs/>
          <w:iCs/>
        </w:rPr>
        <w:t>Material contained in this document may be reproduced under the terms of the Open Government Licence (OGL)</w:t>
      </w:r>
      <w:r>
        <w:rPr>
          <w:bCs/>
          <w:iCs/>
        </w:rPr>
        <w:t xml:space="preserve"> </w:t>
      </w:r>
    </w:p>
    <w:p w14:paraId="52872EE9" w14:textId="77777777" w:rsidR="007247E9" w:rsidRDefault="00322717" w:rsidP="00290612">
      <w:pPr>
        <w:pBdr>
          <w:top w:val="single" w:sz="4" w:space="1" w:color="auto"/>
          <w:left w:val="single" w:sz="4" w:space="4" w:color="auto"/>
          <w:bottom w:val="single" w:sz="4" w:space="1" w:color="auto"/>
          <w:right w:val="single" w:sz="4" w:space="4" w:color="auto"/>
        </w:pBdr>
        <w:spacing w:before="0"/>
        <w:jc w:val="center"/>
        <w:rPr>
          <w:bCs/>
          <w:iCs/>
        </w:rPr>
      </w:pPr>
      <w:hyperlink r:id="rId14" w:history="1">
        <w:r w:rsidR="00290612" w:rsidRPr="00D1327D">
          <w:rPr>
            <w:rStyle w:val="Hyperlink"/>
            <w:bCs/>
            <w:iCs/>
          </w:rPr>
          <w:t>www.nationalarchives.gov.uk/doc/open-government-licence/version/3/</w:t>
        </w:r>
      </w:hyperlink>
      <w:r w:rsidR="00290612">
        <w:rPr>
          <w:bCs/>
          <w:iCs/>
        </w:rPr>
        <w:t xml:space="preserve"> </w:t>
      </w:r>
      <w:r w:rsidR="00290612" w:rsidRPr="00153849">
        <w:rPr>
          <w:bCs/>
          <w:iCs/>
        </w:rPr>
        <w:t xml:space="preserve"> </w:t>
      </w:r>
    </w:p>
    <w:p w14:paraId="75820057" w14:textId="798A87C3" w:rsidR="00290612" w:rsidRDefault="00290612" w:rsidP="00290612">
      <w:pPr>
        <w:pBdr>
          <w:top w:val="single" w:sz="4" w:space="1" w:color="auto"/>
          <w:left w:val="single" w:sz="4" w:space="4" w:color="auto"/>
          <w:bottom w:val="single" w:sz="4" w:space="1" w:color="auto"/>
          <w:right w:val="single" w:sz="4" w:space="4" w:color="auto"/>
        </w:pBdr>
        <w:spacing w:before="0"/>
        <w:jc w:val="center"/>
        <w:rPr>
          <w:bCs/>
          <w:iCs/>
        </w:rPr>
      </w:pPr>
      <w:r w:rsidRPr="00153849">
        <w:rPr>
          <w:bCs/>
          <w:iCs/>
        </w:rPr>
        <w:t xml:space="preserve">provided it is done so accurately and is not used in a misleading context. </w:t>
      </w:r>
    </w:p>
    <w:p w14:paraId="1753EF36" w14:textId="77777777" w:rsidR="00290612" w:rsidRDefault="00290612" w:rsidP="00290612">
      <w:pPr>
        <w:pBdr>
          <w:top w:val="single" w:sz="4" w:space="1" w:color="auto"/>
          <w:left w:val="single" w:sz="4" w:space="4" w:color="auto"/>
          <w:bottom w:val="single" w:sz="4" w:space="1" w:color="auto"/>
          <w:right w:val="single" w:sz="4" w:space="4" w:color="auto"/>
        </w:pBdr>
        <w:spacing w:before="0"/>
        <w:jc w:val="center"/>
        <w:rPr>
          <w:bCs/>
          <w:iCs/>
        </w:rPr>
      </w:pPr>
      <w:r w:rsidRPr="00153849">
        <w:rPr>
          <w:bCs/>
          <w:iCs/>
        </w:rPr>
        <w:t>Acknowledgement to Public Health Wales NHS Trust to be stated.</w:t>
      </w:r>
    </w:p>
    <w:p w14:paraId="0A0CA9C9" w14:textId="77777777" w:rsidR="00290612" w:rsidRPr="0050545A" w:rsidRDefault="00290612" w:rsidP="00290612">
      <w:pPr>
        <w:pBdr>
          <w:top w:val="single" w:sz="4" w:space="1" w:color="auto"/>
          <w:left w:val="single" w:sz="4" w:space="4" w:color="auto"/>
          <w:bottom w:val="single" w:sz="4" w:space="1" w:color="auto"/>
          <w:right w:val="single" w:sz="4" w:space="4" w:color="auto"/>
        </w:pBdr>
        <w:spacing w:before="0"/>
        <w:jc w:val="center"/>
        <w:rPr>
          <w:bCs/>
          <w:iCs/>
        </w:rPr>
      </w:pPr>
      <w:r w:rsidRPr="0050545A">
        <w:rPr>
          <w:bCs/>
          <w:iCs/>
        </w:rPr>
        <w:t>Copyright in the typographical arrangement, design and layout belongs to Public Health Wales NHS Trust.</w:t>
      </w:r>
    </w:p>
    <w:p w14:paraId="22DA3C38" w14:textId="77777777" w:rsidR="00BB551A" w:rsidRPr="00290612" w:rsidRDefault="00BB551A" w:rsidP="00290612">
      <w:pPr>
        <w:spacing w:before="0"/>
        <w:jc w:val="center"/>
        <w:rPr>
          <w:sz w:val="20"/>
          <w:szCs w:val="20"/>
        </w:rPr>
      </w:pPr>
      <w:r w:rsidRPr="00290612">
        <w:rPr>
          <w:sz w:val="20"/>
          <w:szCs w:val="20"/>
        </w:rPr>
        <w:br w:type="page"/>
      </w:r>
    </w:p>
    <w:p w14:paraId="334FF8E2" w14:textId="77777777" w:rsidR="00BB551A" w:rsidRPr="00007DE7" w:rsidRDefault="00BB5832" w:rsidP="006509BF">
      <w:pPr>
        <w:pStyle w:val="Heading7"/>
      </w:pPr>
      <w:bookmarkStart w:id="2" w:name="_Toc399325070"/>
      <w:bookmarkStart w:id="3" w:name="_Toc399326008"/>
      <w:bookmarkStart w:id="4" w:name="_Toc399326661"/>
      <w:bookmarkStart w:id="5" w:name="_Toc399335467"/>
      <w:r>
        <w:lastRenderedPageBreak/>
        <w:t>C</w:t>
      </w:r>
      <w:r w:rsidR="00BB551A" w:rsidRPr="00007DE7">
        <w:t>ontents</w:t>
      </w:r>
      <w:bookmarkEnd w:id="2"/>
      <w:bookmarkEnd w:id="3"/>
      <w:bookmarkEnd w:id="4"/>
      <w:bookmarkEnd w:id="5"/>
    </w:p>
    <w:p w14:paraId="1E0BB621" w14:textId="77777777" w:rsidR="00BB551A" w:rsidRPr="00BB551A" w:rsidRDefault="00BB551A" w:rsidP="00BB551A"/>
    <w:p w14:paraId="48F20E6B" w14:textId="00D1FC96" w:rsidR="00F00734" w:rsidRDefault="005022BC">
      <w:pPr>
        <w:pStyle w:val="TOC1"/>
        <w:rPr>
          <w:rFonts w:asciiTheme="minorHAnsi" w:eastAsiaTheme="minorEastAsia" w:hAnsiTheme="minorHAnsi" w:cstheme="minorBidi"/>
          <w:b w:val="0"/>
          <w:caps w:val="0"/>
        </w:rPr>
      </w:pPr>
      <w:r>
        <w:fldChar w:fldCharType="begin"/>
      </w:r>
      <w:r w:rsidR="00870469">
        <w:instrText xml:space="preserve"> TOC \o "1-3" \h \z \u </w:instrText>
      </w:r>
      <w:r>
        <w:fldChar w:fldCharType="separate"/>
      </w:r>
      <w:hyperlink w:anchor="_Toc514938215" w:history="1">
        <w:r w:rsidR="00F00734" w:rsidRPr="00A8122B">
          <w:rPr>
            <w:rStyle w:val="Hyperlink"/>
          </w:rPr>
          <w:t>Key Messages</w:t>
        </w:r>
        <w:r w:rsidR="00F00734">
          <w:rPr>
            <w:webHidden/>
          </w:rPr>
          <w:tab/>
        </w:r>
        <w:r w:rsidR="00F00734">
          <w:rPr>
            <w:webHidden/>
          </w:rPr>
          <w:fldChar w:fldCharType="begin"/>
        </w:r>
        <w:r w:rsidR="00F00734">
          <w:rPr>
            <w:webHidden/>
          </w:rPr>
          <w:instrText xml:space="preserve"> PAGEREF _Toc514938215 \h </w:instrText>
        </w:r>
        <w:r w:rsidR="00F00734">
          <w:rPr>
            <w:webHidden/>
          </w:rPr>
        </w:r>
        <w:r w:rsidR="00F00734">
          <w:rPr>
            <w:webHidden/>
          </w:rPr>
          <w:fldChar w:fldCharType="separate"/>
        </w:r>
        <w:r w:rsidR="00392EC4">
          <w:rPr>
            <w:webHidden/>
          </w:rPr>
          <w:t>4</w:t>
        </w:r>
        <w:r w:rsidR="00F00734">
          <w:rPr>
            <w:webHidden/>
          </w:rPr>
          <w:fldChar w:fldCharType="end"/>
        </w:r>
      </w:hyperlink>
    </w:p>
    <w:p w14:paraId="092008E6" w14:textId="17E10FFE" w:rsidR="00F00734" w:rsidRDefault="00322717">
      <w:pPr>
        <w:pStyle w:val="TOC1"/>
        <w:rPr>
          <w:rFonts w:asciiTheme="minorHAnsi" w:eastAsiaTheme="minorEastAsia" w:hAnsiTheme="minorHAnsi" w:cstheme="minorBidi"/>
          <w:b w:val="0"/>
          <w:caps w:val="0"/>
        </w:rPr>
      </w:pPr>
      <w:hyperlink w:anchor="_Toc514938216" w:history="1">
        <w:r w:rsidR="00F00734" w:rsidRPr="00A8122B">
          <w:rPr>
            <w:rStyle w:val="Hyperlink"/>
          </w:rPr>
          <w:t>1.</w:t>
        </w:r>
        <w:r w:rsidR="00F00734">
          <w:rPr>
            <w:rFonts w:asciiTheme="minorHAnsi" w:eastAsiaTheme="minorEastAsia" w:hAnsiTheme="minorHAnsi" w:cstheme="minorBidi"/>
            <w:b w:val="0"/>
            <w:caps w:val="0"/>
          </w:rPr>
          <w:tab/>
        </w:r>
        <w:r w:rsidR="00F00734" w:rsidRPr="00A8122B">
          <w:rPr>
            <w:rStyle w:val="Hyperlink"/>
          </w:rPr>
          <w:t>Introduction</w:t>
        </w:r>
        <w:r w:rsidR="00F00734">
          <w:rPr>
            <w:webHidden/>
          </w:rPr>
          <w:tab/>
        </w:r>
        <w:r w:rsidR="00F00734">
          <w:rPr>
            <w:webHidden/>
          </w:rPr>
          <w:fldChar w:fldCharType="begin"/>
        </w:r>
        <w:r w:rsidR="00F00734">
          <w:rPr>
            <w:webHidden/>
          </w:rPr>
          <w:instrText xml:space="preserve"> PAGEREF _Toc514938216 \h </w:instrText>
        </w:r>
        <w:r w:rsidR="00F00734">
          <w:rPr>
            <w:webHidden/>
          </w:rPr>
        </w:r>
        <w:r w:rsidR="00F00734">
          <w:rPr>
            <w:webHidden/>
          </w:rPr>
          <w:fldChar w:fldCharType="separate"/>
        </w:r>
        <w:r w:rsidR="00392EC4">
          <w:rPr>
            <w:webHidden/>
          </w:rPr>
          <w:t>5</w:t>
        </w:r>
        <w:r w:rsidR="00F00734">
          <w:rPr>
            <w:webHidden/>
          </w:rPr>
          <w:fldChar w:fldCharType="end"/>
        </w:r>
      </w:hyperlink>
    </w:p>
    <w:p w14:paraId="2D0213DB" w14:textId="2527D8B6" w:rsidR="00F00734" w:rsidRDefault="00322717">
      <w:pPr>
        <w:pStyle w:val="TOC1"/>
        <w:rPr>
          <w:rFonts w:asciiTheme="minorHAnsi" w:eastAsiaTheme="minorEastAsia" w:hAnsiTheme="minorHAnsi" w:cstheme="minorBidi"/>
          <w:b w:val="0"/>
          <w:caps w:val="0"/>
        </w:rPr>
      </w:pPr>
      <w:hyperlink w:anchor="_Toc514938217" w:history="1">
        <w:r w:rsidR="00F00734" w:rsidRPr="00A8122B">
          <w:rPr>
            <w:rStyle w:val="Hyperlink"/>
          </w:rPr>
          <w:t>2.</w:t>
        </w:r>
        <w:r w:rsidR="00F00734">
          <w:rPr>
            <w:rFonts w:asciiTheme="minorHAnsi" w:eastAsiaTheme="minorEastAsia" w:hAnsiTheme="minorHAnsi" w:cstheme="minorBidi"/>
            <w:b w:val="0"/>
            <w:caps w:val="0"/>
          </w:rPr>
          <w:tab/>
        </w:r>
        <w:r w:rsidR="00F00734" w:rsidRPr="00A8122B">
          <w:rPr>
            <w:rStyle w:val="Hyperlink"/>
          </w:rPr>
          <w:t>Mortality 2002-2016</w:t>
        </w:r>
        <w:r w:rsidR="00F00734">
          <w:rPr>
            <w:webHidden/>
          </w:rPr>
          <w:tab/>
        </w:r>
        <w:r w:rsidR="00F00734">
          <w:rPr>
            <w:webHidden/>
          </w:rPr>
          <w:fldChar w:fldCharType="begin"/>
        </w:r>
        <w:r w:rsidR="00F00734">
          <w:rPr>
            <w:webHidden/>
          </w:rPr>
          <w:instrText xml:space="preserve"> PAGEREF _Toc514938217 \h </w:instrText>
        </w:r>
        <w:r w:rsidR="00F00734">
          <w:rPr>
            <w:webHidden/>
          </w:rPr>
        </w:r>
        <w:r w:rsidR="00F00734">
          <w:rPr>
            <w:webHidden/>
          </w:rPr>
          <w:fldChar w:fldCharType="separate"/>
        </w:r>
        <w:r w:rsidR="00392EC4">
          <w:rPr>
            <w:webHidden/>
          </w:rPr>
          <w:t>5</w:t>
        </w:r>
        <w:r w:rsidR="00F00734">
          <w:rPr>
            <w:webHidden/>
          </w:rPr>
          <w:fldChar w:fldCharType="end"/>
        </w:r>
      </w:hyperlink>
    </w:p>
    <w:p w14:paraId="43C08A28" w14:textId="08E1DB93" w:rsidR="00F00734" w:rsidRDefault="00322717">
      <w:pPr>
        <w:pStyle w:val="TOC2"/>
        <w:rPr>
          <w:rFonts w:asciiTheme="minorHAnsi" w:eastAsiaTheme="minorEastAsia" w:hAnsiTheme="minorHAnsi" w:cstheme="minorBidi"/>
        </w:rPr>
      </w:pPr>
      <w:hyperlink w:anchor="_Toc514938218" w:history="1">
        <w:r w:rsidR="00F00734" w:rsidRPr="00A8122B">
          <w:rPr>
            <w:rStyle w:val="Hyperlink"/>
          </w:rPr>
          <w:t>2.1</w:t>
        </w:r>
        <w:r w:rsidR="00F00734">
          <w:rPr>
            <w:rFonts w:asciiTheme="minorHAnsi" w:eastAsiaTheme="minorEastAsia" w:hAnsiTheme="minorHAnsi" w:cstheme="minorBidi"/>
          </w:rPr>
          <w:tab/>
        </w:r>
        <w:r w:rsidR="00F00734" w:rsidRPr="00A8122B">
          <w:rPr>
            <w:rStyle w:val="Hyperlink"/>
          </w:rPr>
          <w:t>Age-specific mortality 2002-2016</w:t>
        </w:r>
        <w:r w:rsidR="00F00734">
          <w:rPr>
            <w:webHidden/>
          </w:rPr>
          <w:tab/>
        </w:r>
        <w:r w:rsidR="00F00734">
          <w:rPr>
            <w:webHidden/>
          </w:rPr>
          <w:fldChar w:fldCharType="begin"/>
        </w:r>
        <w:r w:rsidR="00F00734">
          <w:rPr>
            <w:webHidden/>
          </w:rPr>
          <w:instrText xml:space="preserve"> PAGEREF _Toc514938218 \h </w:instrText>
        </w:r>
        <w:r w:rsidR="00F00734">
          <w:rPr>
            <w:webHidden/>
          </w:rPr>
        </w:r>
        <w:r w:rsidR="00F00734">
          <w:rPr>
            <w:webHidden/>
          </w:rPr>
          <w:fldChar w:fldCharType="separate"/>
        </w:r>
        <w:r w:rsidR="00392EC4">
          <w:rPr>
            <w:webHidden/>
          </w:rPr>
          <w:t>7</w:t>
        </w:r>
        <w:r w:rsidR="00F00734">
          <w:rPr>
            <w:webHidden/>
          </w:rPr>
          <w:fldChar w:fldCharType="end"/>
        </w:r>
      </w:hyperlink>
    </w:p>
    <w:p w14:paraId="4C80F2F4" w14:textId="51757E33" w:rsidR="00F00734" w:rsidRDefault="00322717">
      <w:pPr>
        <w:pStyle w:val="TOC2"/>
        <w:rPr>
          <w:rFonts w:asciiTheme="minorHAnsi" w:eastAsiaTheme="minorEastAsia" w:hAnsiTheme="minorHAnsi" w:cstheme="minorBidi"/>
        </w:rPr>
      </w:pPr>
      <w:hyperlink w:anchor="_Toc514938219" w:history="1">
        <w:r w:rsidR="00F00734" w:rsidRPr="00A8122B">
          <w:rPr>
            <w:rStyle w:val="Hyperlink"/>
          </w:rPr>
          <w:t>2.2</w:t>
        </w:r>
        <w:r w:rsidR="00F00734">
          <w:rPr>
            <w:rFonts w:asciiTheme="minorHAnsi" w:eastAsiaTheme="minorEastAsia" w:hAnsiTheme="minorHAnsi" w:cstheme="minorBidi"/>
          </w:rPr>
          <w:tab/>
        </w:r>
        <w:r w:rsidR="00F00734" w:rsidRPr="00A8122B">
          <w:rPr>
            <w:rStyle w:val="Hyperlink"/>
          </w:rPr>
          <w:t>What happened to mortality in 2015?</w:t>
        </w:r>
        <w:r w:rsidR="00F00734">
          <w:rPr>
            <w:webHidden/>
          </w:rPr>
          <w:tab/>
        </w:r>
        <w:r w:rsidR="00F00734">
          <w:rPr>
            <w:webHidden/>
          </w:rPr>
          <w:fldChar w:fldCharType="begin"/>
        </w:r>
        <w:r w:rsidR="00F00734">
          <w:rPr>
            <w:webHidden/>
          </w:rPr>
          <w:instrText xml:space="preserve"> PAGEREF _Toc514938219 \h </w:instrText>
        </w:r>
        <w:r w:rsidR="00F00734">
          <w:rPr>
            <w:webHidden/>
          </w:rPr>
        </w:r>
        <w:r w:rsidR="00F00734">
          <w:rPr>
            <w:webHidden/>
          </w:rPr>
          <w:fldChar w:fldCharType="separate"/>
        </w:r>
        <w:r w:rsidR="00392EC4">
          <w:rPr>
            <w:webHidden/>
          </w:rPr>
          <w:t>8</w:t>
        </w:r>
        <w:r w:rsidR="00F00734">
          <w:rPr>
            <w:webHidden/>
          </w:rPr>
          <w:fldChar w:fldCharType="end"/>
        </w:r>
      </w:hyperlink>
    </w:p>
    <w:p w14:paraId="09F54CFE" w14:textId="572D30FD" w:rsidR="00F00734" w:rsidRDefault="00322717">
      <w:pPr>
        <w:pStyle w:val="TOC2"/>
        <w:rPr>
          <w:rFonts w:asciiTheme="minorHAnsi" w:eastAsiaTheme="minorEastAsia" w:hAnsiTheme="minorHAnsi" w:cstheme="minorBidi"/>
        </w:rPr>
      </w:pPr>
      <w:hyperlink w:anchor="_Toc514938220" w:history="1">
        <w:r w:rsidR="00F00734" w:rsidRPr="00A8122B">
          <w:rPr>
            <w:rStyle w:val="Hyperlink"/>
          </w:rPr>
          <w:t>2.3</w:t>
        </w:r>
        <w:r w:rsidR="00F00734">
          <w:rPr>
            <w:rFonts w:asciiTheme="minorHAnsi" w:eastAsiaTheme="minorEastAsia" w:hAnsiTheme="minorHAnsi" w:cstheme="minorBidi"/>
          </w:rPr>
          <w:tab/>
        </w:r>
        <w:r w:rsidR="00F00734" w:rsidRPr="00A8122B">
          <w:rPr>
            <w:rStyle w:val="Hyperlink"/>
          </w:rPr>
          <w:t>What has happened since 2015?</w:t>
        </w:r>
        <w:r w:rsidR="00F00734">
          <w:rPr>
            <w:webHidden/>
          </w:rPr>
          <w:tab/>
        </w:r>
        <w:r w:rsidR="00F00734">
          <w:rPr>
            <w:webHidden/>
          </w:rPr>
          <w:fldChar w:fldCharType="begin"/>
        </w:r>
        <w:r w:rsidR="00F00734">
          <w:rPr>
            <w:webHidden/>
          </w:rPr>
          <w:instrText xml:space="preserve"> PAGEREF _Toc514938220 \h </w:instrText>
        </w:r>
        <w:r w:rsidR="00F00734">
          <w:rPr>
            <w:webHidden/>
          </w:rPr>
        </w:r>
        <w:r w:rsidR="00F00734">
          <w:rPr>
            <w:webHidden/>
          </w:rPr>
          <w:fldChar w:fldCharType="separate"/>
        </w:r>
        <w:r w:rsidR="00392EC4">
          <w:rPr>
            <w:webHidden/>
          </w:rPr>
          <w:t>11</w:t>
        </w:r>
        <w:r w:rsidR="00F00734">
          <w:rPr>
            <w:webHidden/>
          </w:rPr>
          <w:fldChar w:fldCharType="end"/>
        </w:r>
      </w:hyperlink>
    </w:p>
    <w:p w14:paraId="2297514A" w14:textId="20836B37" w:rsidR="00F00734" w:rsidRDefault="00322717">
      <w:pPr>
        <w:pStyle w:val="TOC1"/>
        <w:rPr>
          <w:rFonts w:asciiTheme="minorHAnsi" w:eastAsiaTheme="minorEastAsia" w:hAnsiTheme="minorHAnsi" w:cstheme="minorBidi"/>
          <w:b w:val="0"/>
          <w:caps w:val="0"/>
        </w:rPr>
      </w:pPr>
      <w:hyperlink w:anchor="_Toc514938221" w:history="1">
        <w:r w:rsidR="00F00734" w:rsidRPr="00A8122B">
          <w:rPr>
            <w:rStyle w:val="Hyperlink"/>
          </w:rPr>
          <w:t>3.</w:t>
        </w:r>
        <w:r w:rsidR="00F00734">
          <w:rPr>
            <w:rFonts w:asciiTheme="minorHAnsi" w:eastAsiaTheme="minorEastAsia" w:hAnsiTheme="minorHAnsi" w:cstheme="minorBidi"/>
            <w:b w:val="0"/>
            <w:caps w:val="0"/>
          </w:rPr>
          <w:tab/>
        </w:r>
        <w:r w:rsidR="00F00734" w:rsidRPr="00A8122B">
          <w:rPr>
            <w:rStyle w:val="Hyperlink"/>
          </w:rPr>
          <w:t>Conclusion</w:t>
        </w:r>
        <w:r w:rsidR="00F00734">
          <w:rPr>
            <w:webHidden/>
          </w:rPr>
          <w:tab/>
        </w:r>
        <w:r w:rsidR="00F00734">
          <w:rPr>
            <w:webHidden/>
          </w:rPr>
          <w:fldChar w:fldCharType="begin"/>
        </w:r>
        <w:r w:rsidR="00F00734">
          <w:rPr>
            <w:webHidden/>
          </w:rPr>
          <w:instrText xml:space="preserve"> PAGEREF _Toc514938221 \h </w:instrText>
        </w:r>
        <w:r w:rsidR="00F00734">
          <w:rPr>
            <w:webHidden/>
          </w:rPr>
        </w:r>
        <w:r w:rsidR="00F00734">
          <w:rPr>
            <w:webHidden/>
          </w:rPr>
          <w:fldChar w:fldCharType="separate"/>
        </w:r>
        <w:r w:rsidR="00392EC4">
          <w:rPr>
            <w:webHidden/>
          </w:rPr>
          <w:t>12</w:t>
        </w:r>
        <w:r w:rsidR="00F00734">
          <w:rPr>
            <w:webHidden/>
          </w:rPr>
          <w:fldChar w:fldCharType="end"/>
        </w:r>
      </w:hyperlink>
    </w:p>
    <w:p w14:paraId="22165362" w14:textId="4C222B2F" w:rsidR="00F00734" w:rsidRDefault="00322717">
      <w:pPr>
        <w:pStyle w:val="TOC1"/>
        <w:rPr>
          <w:rFonts w:asciiTheme="minorHAnsi" w:eastAsiaTheme="minorEastAsia" w:hAnsiTheme="minorHAnsi" w:cstheme="minorBidi"/>
          <w:b w:val="0"/>
          <w:caps w:val="0"/>
        </w:rPr>
      </w:pPr>
      <w:hyperlink w:anchor="_Toc514938222" w:history="1">
        <w:r w:rsidR="00F00734" w:rsidRPr="00A8122B">
          <w:rPr>
            <w:rStyle w:val="Hyperlink"/>
          </w:rPr>
          <w:t>4.</w:t>
        </w:r>
        <w:r w:rsidR="00F00734">
          <w:rPr>
            <w:rFonts w:asciiTheme="minorHAnsi" w:eastAsiaTheme="minorEastAsia" w:hAnsiTheme="minorHAnsi" w:cstheme="minorBidi"/>
            <w:b w:val="0"/>
            <w:caps w:val="0"/>
          </w:rPr>
          <w:tab/>
        </w:r>
        <w:r w:rsidR="00F00734" w:rsidRPr="00A8122B">
          <w:rPr>
            <w:rStyle w:val="Hyperlink"/>
          </w:rPr>
          <w:t>References</w:t>
        </w:r>
        <w:r w:rsidR="00F00734">
          <w:rPr>
            <w:webHidden/>
          </w:rPr>
          <w:tab/>
        </w:r>
        <w:r w:rsidR="00F00734">
          <w:rPr>
            <w:webHidden/>
          </w:rPr>
          <w:fldChar w:fldCharType="begin"/>
        </w:r>
        <w:r w:rsidR="00F00734">
          <w:rPr>
            <w:webHidden/>
          </w:rPr>
          <w:instrText xml:space="preserve"> PAGEREF _Toc514938222 \h </w:instrText>
        </w:r>
        <w:r w:rsidR="00F00734">
          <w:rPr>
            <w:webHidden/>
          </w:rPr>
        </w:r>
        <w:r w:rsidR="00F00734">
          <w:rPr>
            <w:webHidden/>
          </w:rPr>
          <w:fldChar w:fldCharType="separate"/>
        </w:r>
        <w:r w:rsidR="00392EC4">
          <w:rPr>
            <w:webHidden/>
          </w:rPr>
          <w:t>13</w:t>
        </w:r>
        <w:r w:rsidR="00F00734">
          <w:rPr>
            <w:webHidden/>
          </w:rPr>
          <w:fldChar w:fldCharType="end"/>
        </w:r>
      </w:hyperlink>
    </w:p>
    <w:p w14:paraId="4D89A5BA" w14:textId="5DC12512" w:rsidR="00F00734" w:rsidRDefault="00322717">
      <w:pPr>
        <w:pStyle w:val="TOC1"/>
        <w:rPr>
          <w:rFonts w:asciiTheme="minorHAnsi" w:eastAsiaTheme="minorEastAsia" w:hAnsiTheme="minorHAnsi" w:cstheme="minorBidi"/>
          <w:b w:val="0"/>
          <w:caps w:val="0"/>
        </w:rPr>
      </w:pPr>
      <w:hyperlink w:anchor="_Toc514938223" w:history="1">
        <w:r w:rsidR="00F00734" w:rsidRPr="00A8122B">
          <w:rPr>
            <w:rStyle w:val="Hyperlink"/>
          </w:rPr>
          <w:t>5.</w:t>
        </w:r>
        <w:r w:rsidR="00F00734">
          <w:rPr>
            <w:rFonts w:asciiTheme="minorHAnsi" w:eastAsiaTheme="minorEastAsia" w:hAnsiTheme="minorHAnsi" w:cstheme="minorBidi"/>
            <w:b w:val="0"/>
            <w:caps w:val="0"/>
          </w:rPr>
          <w:tab/>
        </w:r>
        <w:r w:rsidR="00F00734" w:rsidRPr="00A8122B">
          <w:rPr>
            <w:rStyle w:val="Hyperlink"/>
          </w:rPr>
          <w:t>Appendix</w:t>
        </w:r>
        <w:r w:rsidR="00F00734">
          <w:rPr>
            <w:webHidden/>
          </w:rPr>
          <w:tab/>
        </w:r>
        <w:r w:rsidR="00F00734">
          <w:rPr>
            <w:webHidden/>
          </w:rPr>
          <w:fldChar w:fldCharType="begin"/>
        </w:r>
        <w:r w:rsidR="00F00734">
          <w:rPr>
            <w:webHidden/>
          </w:rPr>
          <w:instrText xml:space="preserve"> PAGEREF _Toc514938223 \h </w:instrText>
        </w:r>
        <w:r w:rsidR="00F00734">
          <w:rPr>
            <w:webHidden/>
          </w:rPr>
        </w:r>
        <w:r w:rsidR="00F00734">
          <w:rPr>
            <w:webHidden/>
          </w:rPr>
          <w:fldChar w:fldCharType="separate"/>
        </w:r>
        <w:r w:rsidR="00392EC4">
          <w:rPr>
            <w:webHidden/>
          </w:rPr>
          <w:t>15</w:t>
        </w:r>
        <w:r w:rsidR="00F00734">
          <w:rPr>
            <w:webHidden/>
          </w:rPr>
          <w:fldChar w:fldCharType="end"/>
        </w:r>
      </w:hyperlink>
    </w:p>
    <w:p w14:paraId="685CB9AB" w14:textId="7DE80418" w:rsidR="00BB551A" w:rsidRPr="00BB551A" w:rsidRDefault="005022BC" w:rsidP="00BB551A">
      <w:r>
        <w:rPr>
          <w:noProof/>
        </w:rPr>
        <w:fldChar w:fldCharType="end"/>
      </w:r>
    </w:p>
    <w:p w14:paraId="48E3E788" w14:textId="2A62C725" w:rsidR="00F936E0" w:rsidRDefault="00BB551A" w:rsidP="00457EA6">
      <w:pPr>
        <w:pStyle w:val="Heading1"/>
        <w:rPr>
          <w:b w:val="0"/>
        </w:rPr>
      </w:pPr>
      <w:r>
        <w:br w:type="page"/>
      </w:r>
    </w:p>
    <w:p w14:paraId="6A361948" w14:textId="77777777" w:rsidR="00BA7D8B" w:rsidRPr="00BA7D8B" w:rsidRDefault="00BA7D8B" w:rsidP="00BB5832">
      <w:pPr>
        <w:pStyle w:val="Heading1"/>
      </w:pPr>
      <w:bookmarkStart w:id="6" w:name="_Toc514938215"/>
      <w:r w:rsidRPr="00BA7D8B">
        <w:lastRenderedPageBreak/>
        <w:t>Key Messages</w:t>
      </w:r>
      <w:bookmarkEnd w:id="6"/>
    </w:p>
    <w:p w14:paraId="657738A8" w14:textId="77777777" w:rsidR="00457EA6" w:rsidRPr="00447B51" w:rsidRDefault="00457EA6" w:rsidP="00457EA6">
      <w:pPr>
        <w:rPr>
          <w:rFonts w:eastAsia="Calibri"/>
          <w:szCs w:val="24"/>
        </w:rPr>
      </w:pPr>
      <w:bookmarkStart w:id="7" w:name="_Toc399335468"/>
    </w:p>
    <w:p w14:paraId="29C57294" w14:textId="77777777" w:rsidR="00457EA6" w:rsidRDefault="00457EA6" w:rsidP="00457EA6">
      <w:pPr>
        <w:pStyle w:val="ListParagraph"/>
        <w:numPr>
          <w:ilvl w:val="0"/>
          <w:numId w:val="45"/>
        </w:numPr>
        <w:spacing w:before="0" w:after="120" w:line="276" w:lineRule="auto"/>
        <w:ind w:left="357" w:hanging="357"/>
        <w:contextualSpacing w:val="0"/>
        <w:jc w:val="left"/>
        <w:rPr>
          <w:szCs w:val="24"/>
        </w:rPr>
      </w:pPr>
      <w:r>
        <w:rPr>
          <w:szCs w:val="24"/>
        </w:rPr>
        <w:t>The mortality rate in Wales has been declining since the Second World War; however since around 2011 this decline has faltered and rates have shown little change.</w:t>
      </w:r>
    </w:p>
    <w:p w14:paraId="16C960AC" w14:textId="77777777" w:rsidR="00457EA6" w:rsidRDefault="00457EA6" w:rsidP="00457EA6">
      <w:pPr>
        <w:pStyle w:val="ListParagraph"/>
        <w:numPr>
          <w:ilvl w:val="0"/>
          <w:numId w:val="45"/>
        </w:numPr>
        <w:spacing w:before="0" w:after="120" w:line="276" w:lineRule="auto"/>
        <w:ind w:left="357" w:hanging="357"/>
        <w:contextualSpacing w:val="0"/>
        <w:jc w:val="left"/>
        <w:rPr>
          <w:szCs w:val="24"/>
        </w:rPr>
      </w:pPr>
      <w:r>
        <w:rPr>
          <w:szCs w:val="24"/>
        </w:rPr>
        <w:t>A plateau in life expectancy in Wales is also visible since around 2011.</w:t>
      </w:r>
    </w:p>
    <w:p w14:paraId="468E7635" w14:textId="77777777" w:rsidR="00457EA6" w:rsidRPr="002D1052" w:rsidRDefault="00457EA6" w:rsidP="00457EA6">
      <w:pPr>
        <w:pStyle w:val="ListParagraph"/>
        <w:numPr>
          <w:ilvl w:val="0"/>
          <w:numId w:val="45"/>
        </w:numPr>
        <w:spacing w:before="0" w:after="120" w:line="276" w:lineRule="auto"/>
        <w:ind w:left="357" w:hanging="357"/>
        <w:contextualSpacing w:val="0"/>
        <w:jc w:val="left"/>
        <w:rPr>
          <w:szCs w:val="24"/>
        </w:rPr>
      </w:pPr>
      <w:r w:rsidRPr="002D1052">
        <w:rPr>
          <w:szCs w:val="24"/>
        </w:rPr>
        <w:t>This phenomenon has been repeated across much of Western Europe, but in Wales the effect occurred earlier and only Scotland now has lower life expectancy.</w:t>
      </w:r>
    </w:p>
    <w:p w14:paraId="6259B348" w14:textId="77777777" w:rsidR="00457EA6" w:rsidRPr="00B05801" w:rsidRDefault="00457EA6" w:rsidP="00457EA6">
      <w:pPr>
        <w:pStyle w:val="ListParagraph"/>
        <w:numPr>
          <w:ilvl w:val="0"/>
          <w:numId w:val="45"/>
        </w:numPr>
        <w:spacing w:before="0" w:after="120" w:line="276" w:lineRule="auto"/>
        <w:ind w:left="357" w:hanging="357"/>
        <w:contextualSpacing w:val="0"/>
        <w:jc w:val="left"/>
        <w:rPr>
          <w:szCs w:val="24"/>
        </w:rPr>
      </w:pPr>
      <w:r w:rsidRPr="00B05801">
        <w:rPr>
          <w:szCs w:val="24"/>
        </w:rPr>
        <w:t xml:space="preserve">The </w:t>
      </w:r>
      <w:r>
        <w:rPr>
          <w:szCs w:val="24"/>
        </w:rPr>
        <w:t>faltering of the decline</w:t>
      </w:r>
      <w:r w:rsidRPr="00B05801">
        <w:rPr>
          <w:szCs w:val="24"/>
        </w:rPr>
        <w:t xml:space="preserve"> in the overall </w:t>
      </w:r>
      <w:r>
        <w:rPr>
          <w:szCs w:val="24"/>
        </w:rPr>
        <w:t>mortality</w:t>
      </w:r>
      <w:r w:rsidRPr="00B05801">
        <w:rPr>
          <w:szCs w:val="24"/>
        </w:rPr>
        <w:t xml:space="preserve"> rate has been driven by increased deaths in the 85-89 and 90+ age groups. However, </w:t>
      </w:r>
      <w:r>
        <w:rPr>
          <w:szCs w:val="24"/>
        </w:rPr>
        <w:t>mortality</w:t>
      </w:r>
      <w:r w:rsidRPr="00B05801">
        <w:rPr>
          <w:szCs w:val="24"/>
        </w:rPr>
        <w:t xml:space="preserve"> rates among 55-84 year olds are also no longer in decline</w:t>
      </w:r>
      <w:r>
        <w:rPr>
          <w:szCs w:val="24"/>
        </w:rPr>
        <w:t>.</w:t>
      </w:r>
    </w:p>
    <w:p w14:paraId="263FBDCE" w14:textId="77777777" w:rsidR="00457EA6" w:rsidRDefault="00457EA6" w:rsidP="00457EA6">
      <w:pPr>
        <w:pStyle w:val="ListParagraph"/>
        <w:numPr>
          <w:ilvl w:val="0"/>
          <w:numId w:val="45"/>
        </w:numPr>
        <w:spacing w:before="0" w:after="120" w:line="276" w:lineRule="auto"/>
        <w:ind w:left="357" w:hanging="357"/>
        <w:contextualSpacing w:val="0"/>
        <w:jc w:val="left"/>
        <w:rPr>
          <w:szCs w:val="24"/>
        </w:rPr>
      </w:pPr>
      <w:r w:rsidRPr="00B05801">
        <w:rPr>
          <w:szCs w:val="24"/>
        </w:rPr>
        <w:t xml:space="preserve">Mortality rates </w:t>
      </w:r>
      <w:r>
        <w:rPr>
          <w:szCs w:val="24"/>
        </w:rPr>
        <w:t>rose</w:t>
      </w:r>
      <w:r w:rsidRPr="00B05801">
        <w:rPr>
          <w:szCs w:val="24"/>
        </w:rPr>
        <w:t xml:space="preserve"> significantly in 2015, attributed at least in part to increases in </w:t>
      </w:r>
      <w:r>
        <w:rPr>
          <w:szCs w:val="24"/>
        </w:rPr>
        <w:t>deaths</w:t>
      </w:r>
      <w:r w:rsidRPr="00B05801">
        <w:rPr>
          <w:szCs w:val="24"/>
        </w:rPr>
        <w:t xml:space="preserve"> from flu and pneumonia</w:t>
      </w:r>
      <w:r>
        <w:rPr>
          <w:szCs w:val="24"/>
        </w:rPr>
        <w:t>,</w:t>
      </w:r>
      <w:r w:rsidRPr="00B05801">
        <w:rPr>
          <w:szCs w:val="24"/>
        </w:rPr>
        <w:t xml:space="preserve"> and dementia and Alzheimer</w:t>
      </w:r>
      <w:r>
        <w:rPr>
          <w:szCs w:val="24"/>
        </w:rPr>
        <w:t>’s disease among those aged 75+.</w:t>
      </w:r>
    </w:p>
    <w:p w14:paraId="766149D8" w14:textId="77777777" w:rsidR="00457EA6" w:rsidRPr="00F263C1" w:rsidRDefault="00457EA6" w:rsidP="00457EA6">
      <w:pPr>
        <w:pStyle w:val="ListParagraph"/>
        <w:numPr>
          <w:ilvl w:val="0"/>
          <w:numId w:val="45"/>
        </w:numPr>
        <w:spacing w:before="0" w:after="120"/>
        <w:ind w:left="357" w:hanging="357"/>
        <w:contextualSpacing w:val="0"/>
        <w:jc w:val="left"/>
        <w:rPr>
          <w:szCs w:val="24"/>
        </w:rPr>
      </w:pPr>
      <w:r w:rsidRPr="00F263C1">
        <w:rPr>
          <w:szCs w:val="24"/>
        </w:rPr>
        <w:t xml:space="preserve">The levelling off of mortality rates in Wales, in conjunction with a growing vulnerable elderly population, may </w:t>
      </w:r>
      <w:r>
        <w:rPr>
          <w:szCs w:val="24"/>
        </w:rPr>
        <w:t>mean</w:t>
      </w:r>
      <w:r w:rsidRPr="00F263C1">
        <w:rPr>
          <w:szCs w:val="24"/>
        </w:rPr>
        <w:t xml:space="preserve"> that </w:t>
      </w:r>
      <w:r>
        <w:rPr>
          <w:szCs w:val="24"/>
        </w:rPr>
        <w:t>increases</w:t>
      </w:r>
      <w:r w:rsidRPr="00F263C1">
        <w:rPr>
          <w:szCs w:val="24"/>
        </w:rPr>
        <w:t xml:space="preserve"> in mortality such as that seen in 2015 </w:t>
      </w:r>
      <w:r>
        <w:rPr>
          <w:szCs w:val="24"/>
        </w:rPr>
        <w:t>will</w:t>
      </w:r>
      <w:r w:rsidRPr="00F263C1">
        <w:rPr>
          <w:szCs w:val="24"/>
        </w:rPr>
        <w:t xml:space="preserve"> be more likely in the future. </w:t>
      </w:r>
    </w:p>
    <w:p w14:paraId="0D5AE4A6" w14:textId="77777777" w:rsidR="00457EA6" w:rsidRPr="002D1052" w:rsidRDefault="00457EA6" w:rsidP="00457EA6">
      <w:pPr>
        <w:pStyle w:val="ListParagraph"/>
        <w:numPr>
          <w:ilvl w:val="0"/>
          <w:numId w:val="45"/>
        </w:numPr>
        <w:spacing w:before="0" w:after="200" w:line="276" w:lineRule="auto"/>
        <w:jc w:val="left"/>
        <w:rPr>
          <w:szCs w:val="24"/>
        </w:rPr>
      </w:pPr>
      <w:r w:rsidRPr="002D1052">
        <w:rPr>
          <w:szCs w:val="24"/>
        </w:rPr>
        <w:t>The slowing of the improvement in mortality in Wales is a cause for concern. Public Health Wales will remain in close communication with the Office for National Statistics (ONS) and Public Health England (PHE) and other organisations studying the changes to mortality trends both to monitor the ongoing pattern of mortality and to explore the underlying factors.</w:t>
      </w:r>
    </w:p>
    <w:p w14:paraId="73008840" w14:textId="77777777" w:rsidR="00F936E0" w:rsidRDefault="00F936E0" w:rsidP="00F936E0">
      <w:pPr>
        <w:pStyle w:val="BodyText1"/>
        <w:rPr>
          <w:kern w:val="28"/>
        </w:rPr>
      </w:pPr>
    </w:p>
    <w:p w14:paraId="7677FFC0" w14:textId="77777777" w:rsidR="00F936E0" w:rsidRDefault="00F936E0">
      <w:pPr>
        <w:spacing w:before="0"/>
        <w:jc w:val="left"/>
        <w:rPr>
          <w:b/>
          <w:color w:val="3182BD"/>
          <w:kern w:val="28"/>
          <w:sz w:val="48"/>
          <w:szCs w:val="48"/>
        </w:rPr>
      </w:pPr>
      <w:r>
        <w:br w:type="page"/>
      </w:r>
    </w:p>
    <w:p w14:paraId="749B565E" w14:textId="692E9CC9" w:rsidR="002804CC" w:rsidRPr="00BF6943" w:rsidRDefault="00457EA6" w:rsidP="002350AC">
      <w:pPr>
        <w:pStyle w:val="Heading1"/>
        <w:numPr>
          <w:ilvl w:val="0"/>
          <w:numId w:val="43"/>
        </w:numPr>
        <w:ind w:left="357" w:hanging="357"/>
      </w:pPr>
      <w:bookmarkStart w:id="8" w:name="_Toc514938216"/>
      <w:bookmarkEnd w:id="7"/>
      <w:r>
        <w:lastRenderedPageBreak/>
        <w:t>Introduction</w:t>
      </w:r>
      <w:bookmarkEnd w:id="8"/>
    </w:p>
    <w:p w14:paraId="79F0411E" w14:textId="77777777" w:rsidR="00530E9A" w:rsidRDefault="00530E9A" w:rsidP="00530E9A">
      <w:pPr>
        <w:rPr>
          <w:szCs w:val="24"/>
        </w:rPr>
      </w:pPr>
    </w:p>
    <w:p w14:paraId="6D1FCF41" w14:textId="016AD168" w:rsidR="00530E9A" w:rsidRPr="00530E9A" w:rsidRDefault="00530E9A" w:rsidP="00530E9A">
      <w:pPr>
        <w:rPr>
          <w:szCs w:val="24"/>
        </w:rPr>
      </w:pPr>
      <w:r w:rsidRPr="00530E9A">
        <w:rPr>
          <w:szCs w:val="24"/>
        </w:rPr>
        <w:t>Since the Second World War mortality rates in England and Wales have generally been falling</w:t>
      </w:r>
      <w:r w:rsidRPr="00530E9A">
        <w:rPr>
          <w:szCs w:val="24"/>
          <w:vertAlign w:val="superscript"/>
        </w:rPr>
        <w:t>1</w:t>
      </w:r>
      <w:r w:rsidRPr="00530E9A">
        <w:rPr>
          <w:szCs w:val="24"/>
        </w:rPr>
        <w:t>, due to medical advances in diagnosis and treatment and improved lifestyles, in particular a reduction in smoking.</w:t>
      </w:r>
    </w:p>
    <w:p w14:paraId="6C4C5F0D" w14:textId="0FEB82DD" w:rsidR="00530E9A" w:rsidRPr="00530E9A" w:rsidRDefault="00530E9A" w:rsidP="00530E9A">
      <w:pPr>
        <w:rPr>
          <w:szCs w:val="24"/>
        </w:rPr>
      </w:pPr>
      <w:r w:rsidRPr="00530E9A">
        <w:rPr>
          <w:szCs w:val="24"/>
        </w:rPr>
        <w:t>In 2015, ONS reported a 5.6% increase in the number of deaths in England and Wales, the largest year on year percentage increase since the change from 1967 to 1968</w:t>
      </w:r>
      <w:r w:rsidRPr="00530E9A">
        <w:rPr>
          <w:szCs w:val="24"/>
          <w:vertAlign w:val="superscript"/>
        </w:rPr>
        <w:t>2</w:t>
      </w:r>
      <w:r w:rsidRPr="00530E9A">
        <w:rPr>
          <w:szCs w:val="24"/>
        </w:rPr>
        <w:t>. There was also a significant increase in the age-standardised death rate compared to 2014.</w:t>
      </w:r>
    </w:p>
    <w:p w14:paraId="707BEFAC" w14:textId="25F6973A" w:rsidR="00530E9A" w:rsidRPr="00530E9A" w:rsidRDefault="00530E9A" w:rsidP="00530E9A">
      <w:pPr>
        <w:rPr>
          <w:szCs w:val="24"/>
        </w:rPr>
      </w:pPr>
      <w:r w:rsidRPr="00530E9A">
        <w:rPr>
          <w:szCs w:val="24"/>
        </w:rPr>
        <w:t>The increase in deaths in 2015 generated widespread public health, media and academic interest providing the impetus for this report</w:t>
      </w:r>
      <w:r w:rsidRPr="00530E9A">
        <w:rPr>
          <w:szCs w:val="24"/>
          <w:vertAlign w:val="superscript"/>
        </w:rPr>
        <w:t>3-11</w:t>
      </w:r>
      <w:r w:rsidRPr="00530E9A">
        <w:rPr>
          <w:szCs w:val="24"/>
        </w:rPr>
        <w:t>. However, it is important to consider any annual change in mortality in the context of wider mortality trends.</w:t>
      </w:r>
    </w:p>
    <w:p w14:paraId="5DA691D1" w14:textId="77777777" w:rsidR="00530E9A" w:rsidRPr="00530E9A" w:rsidRDefault="00530E9A" w:rsidP="00530E9A">
      <w:pPr>
        <w:rPr>
          <w:szCs w:val="24"/>
        </w:rPr>
      </w:pPr>
      <w:r w:rsidRPr="00530E9A">
        <w:rPr>
          <w:szCs w:val="24"/>
        </w:rPr>
        <w:t xml:space="preserve">Therefore, the aim of this report is to provide a brief analysis of mortality trends in Wales over the last fifteen years and to investigate the causes behind the increase in mortality in 2015. </w:t>
      </w:r>
    </w:p>
    <w:p w14:paraId="064D4A77" w14:textId="73919CA4" w:rsidR="004150C3" w:rsidRDefault="004150C3" w:rsidP="00183155">
      <w:pPr>
        <w:pStyle w:val="BodyText1"/>
      </w:pPr>
    </w:p>
    <w:p w14:paraId="144C0DD9" w14:textId="77777777" w:rsidR="00530E9A" w:rsidRPr="00530E9A" w:rsidRDefault="00530E9A" w:rsidP="00530E9A">
      <w:pPr>
        <w:pStyle w:val="Heading1"/>
        <w:numPr>
          <w:ilvl w:val="0"/>
          <w:numId w:val="43"/>
        </w:numPr>
      </w:pPr>
      <w:bookmarkStart w:id="9" w:name="_Toc514244210"/>
      <w:bookmarkStart w:id="10" w:name="_Toc514938217"/>
      <w:r w:rsidRPr="00530E9A">
        <w:t>Mortality 2002-2016</w:t>
      </w:r>
      <w:bookmarkEnd w:id="9"/>
      <w:bookmarkEnd w:id="10"/>
      <w:r w:rsidRPr="00530E9A">
        <w:t xml:space="preserve"> </w:t>
      </w:r>
      <w:bookmarkStart w:id="11" w:name="_Toc399335469"/>
    </w:p>
    <w:p w14:paraId="55DEAC7F" w14:textId="5F757744" w:rsidR="00530E9A" w:rsidRDefault="00530E9A" w:rsidP="00530E9A">
      <w:pPr>
        <w:rPr>
          <w:szCs w:val="24"/>
        </w:rPr>
      </w:pPr>
    </w:p>
    <w:p w14:paraId="7C20ABEF" w14:textId="6B42D647" w:rsidR="00530E9A" w:rsidRPr="00530E9A" w:rsidRDefault="00530E9A" w:rsidP="00530E9A">
      <w:pPr>
        <w:pStyle w:val="NoNumberheading"/>
        <w:rPr>
          <w:color w:val="3182BD"/>
        </w:rPr>
      </w:pPr>
      <w:r w:rsidRPr="00530E9A">
        <w:rPr>
          <w:color w:val="3182BD"/>
        </w:rPr>
        <w:t>Number of deaths</w:t>
      </w:r>
    </w:p>
    <w:p w14:paraId="102134A3" w14:textId="77777777" w:rsidR="00530E9A" w:rsidRPr="00BF389D" w:rsidRDefault="00530E9A" w:rsidP="00530E9A">
      <w:pPr>
        <w:pStyle w:val="ListParagraph"/>
        <w:ind w:left="0"/>
        <w:rPr>
          <w:szCs w:val="24"/>
        </w:rPr>
      </w:pPr>
      <w:r>
        <w:rPr>
          <w:szCs w:val="24"/>
        </w:rPr>
        <w:t>T</w:t>
      </w:r>
      <w:r w:rsidRPr="00BF389D">
        <w:rPr>
          <w:szCs w:val="24"/>
        </w:rPr>
        <w:t xml:space="preserve">he number of deaths in Wales has </w:t>
      </w:r>
      <w:r>
        <w:rPr>
          <w:szCs w:val="24"/>
        </w:rPr>
        <w:t xml:space="preserve">generally </w:t>
      </w:r>
      <w:r w:rsidRPr="00BF389D">
        <w:rPr>
          <w:szCs w:val="24"/>
        </w:rPr>
        <w:t>been increasing since 2011</w:t>
      </w:r>
      <w:r>
        <w:rPr>
          <w:szCs w:val="24"/>
        </w:rPr>
        <w:t xml:space="preserve"> such that there were around 33,000 deaths in 2016 compared with 30,500 in 2011.</w:t>
      </w:r>
      <w:r w:rsidRPr="00BF389D">
        <w:rPr>
          <w:szCs w:val="24"/>
        </w:rPr>
        <w:t xml:space="preserve"> However, this might be expected given changes in the population of Wales which was at its largest ever at 3.1 million in 2016. Improvements in healthcare and lifestyle mean that people are living longer and therefore our population is getting older. </w:t>
      </w:r>
    </w:p>
    <w:p w14:paraId="64ED0B22" w14:textId="77777777" w:rsidR="00530E9A" w:rsidRPr="000741B7" w:rsidRDefault="00530E9A" w:rsidP="00530E9A">
      <w:pPr>
        <w:pStyle w:val="ListParagraph"/>
        <w:ind w:left="0"/>
        <w:rPr>
          <w:szCs w:val="24"/>
        </w:rPr>
      </w:pPr>
    </w:p>
    <w:p w14:paraId="74D100D9" w14:textId="4B7D0A69" w:rsidR="00530E9A" w:rsidRPr="000741B7" w:rsidRDefault="00530E9A" w:rsidP="00530E9A">
      <w:pPr>
        <w:pStyle w:val="ListParagraph"/>
        <w:ind w:left="0"/>
        <w:rPr>
          <w:szCs w:val="24"/>
        </w:rPr>
      </w:pPr>
      <w:r w:rsidRPr="000741B7">
        <w:rPr>
          <w:szCs w:val="24"/>
        </w:rPr>
        <w:t>Given that the population of Wales is growing and aging, the most meaningful way of monitoring trends in deaths is by using age</w:t>
      </w:r>
      <w:r w:rsidR="00C97741">
        <w:rPr>
          <w:szCs w:val="24"/>
        </w:rPr>
        <w:t>-</w:t>
      </w:r>
      <w:r w:rsidRPr="000741B7">
        <w:rPr>
          <w:szCs w:val="24"/>
        </w:rPr>
        <w:t>standardised rates. Rates take into account changes in the size of the population and age standardisation means we are also accounting for any changes in the age structure of the population.  The next section looks at trends in the age</w:t>
      </w:r>
      <w:r w:rsidR="00C97741">
        <w:rPr>
          <w:szCs w:val="24"/>
        </w:rPr>
        <w:t>-</w:t>
      </w:r>
      <w:r w:rsidRPr="000741B7">
        <w:rPr>
          <w:szCs w:val="24"/>
        </w:rPr>
        <w:t>standardised death rate.</w:t>
      </w:r>
    </w:p>
    <w:p w14:paraId="4BBE4C63" w14:textId="46E2AAC6" w:rsidR="00530E9A" w:rsidRPr="00530E9A" w:rsidRDefault="00530E9A" w:rsidP="00530E9A">
      <w:pPr>
        <w:pStyle w:val="NoNumberheading"/>
        <w:rPr>
          <w:color w:val="3182BD"/>
        </w:rPr>
      </w:pPr>
      <w:r>
        <w:rPr>
          <w:color w:val="3182BD"/>
        </w:rPr>
        <w:t>Mortality rate</w:t>
      </w:r>
    </w:p>
    <w:p w14:paraId="2F5D478C" w14:textId="77777777" w:rsidR="00530E9A" w:rsidRPr="00BF389D" w:rsidRDefault="00530E9A" w:rsidP="00530E9A">
      <w:pPr>
        <w:pStyle w:val="ListParagraph"/>
        <w:ind w:left="0"/>
        <w:rPr>
          <w:szCs w:val="24"/>
        </w:rPr>
      </w:pPr>
      <w:r w:rsidRPr="00BF389D">
        <w:rPr>
          <w:szCs w:val="24"/>
        </w:rPr>
        <w:t xml:space="preserve">Since 2011, mortality rates in Wales have remained stable although year on year fluctuations are evident as </w:t>
      </w:r>
      <w:r w:rsidRPr="00317B99">
        <w:rPr>
          <w:szCs w:val="24"/>
        </w:rPr>
        <w:t>shown in figure 1.</w:t>
      </w:r>
      <w:r w:rsidRPr="00BF389D">
        <w:rPr>
          <w:szCs w:val="24"/>
        </w:rPr>
        <w:t xml:space="preserve"> This marks an important change in trend as mortality rates have generally been falling since the Second World War</w:t>
      </w:r>
      <w:r w:rsidRPr="00BF389D">
        <w:rPr>
          <w:szCs w:val="24"/>
          <w:vertAlign w:val="superscript"/>
        </w:rPr>
        <w:t>1</w:t>
      </w:r>
      <w:r w:rsidRPr="00BF389D">
        <w:rPr>
          <w:szCs w:val="24"/>
        </w:rPr>
        <w:t xml:space="preserve">. </w:t>
      </w:r>
    </w:p>
    <w:p w14:paraId="69023DE4" w14:textId="77777777" w:rsidR="004B3F81" w:rsidRDefault="004B3F81" w:rsidP="00530E9A">
      <w:pPr>
        <w:pStyle w:val="ListParagraph"/>
        <w:ind w:left="0"/>
        <w:rPr>
          <w:szCs w:val="24"/>
        </w:rPr>
      </w:pPr>
    </w:p>
    <w:p w14:paraId="288E9968" w14:textId="29E8F4C0" w:rsidR="00530E9A" w:rsidRDefault="00530E9A" w:rsidP="00530E9A">
      <w:pPr>
        <w:pStyle w:val="ListParagraph"/>
        <w:ind w:left="0"/>
        <w:rPr>
          <w:szCs w:val="24"/>
        </w:rPr>
      </w:pPr>
      <w:r w:rsidRPr="00BF389D">
        <w:rPr>
          <w:szCs w:val="24"/>
        </w:rPr>
        <w:t xml:space="preserve">The levelling off of mortality rates in Wales is similar to the trend exhibited in the other UK nations. Rates in Wales broadly follow the same trend as </w:t>
      </w:r>
      <w:r>
        <w:rPr>
          <w:szCs w:val="24"/>
        </w:rPr>
        <w:t xml:space="preserve">the combined rate for </w:t>
      </w:r>
      <w:r w:rsidRPr="00BF389D">
        <w:rPr>
          <w:szCs w:val="24"/>
        </w:rPr>
        <w:t xml:space="preserve">England and Wales, but are consistently higher than the rates for England and Wales over the period shown. </w:t>
      </w:r>
    </w:p>
    <w:p w14:paraId="6B826C15" w14:textId="1E6D23B3" w:rsidR="00530E9A" w:rsidRDefault="00530E9A" w:rsidP="00530E9A">
      <w:pPr>
        <w:pStyle w:val="ListParagraph"/>
        <w:ind w:left="0"/>
        <w:rPr>
          <w:szCs w:val="24"/>
        </w:rPr>
      </w:pPr>
    </w:p>
    <w:p w14:paraId="1D9FE25F" w14:textId="52628DA8" w:rsidR="00530E9A" w:rsidRDefault="00B717BE" w:rsidP="00530E9A">
      <w:pPr>
        <w:pStyle w:val="ListParagraph"/>
        <w:ind w:left="0"/>
        <w:rPr>
          <w:szCs w:val="24"/>
        </w:rPr>
      </w:pPr>
      <w:r w:rsidRPr="00B717BE">
        <w:rPr>
          <w:noProof/>
        </w:rPr>
        <w:lastRenderedPageBreak/>
        <w:drawing>
          <wp:inline distT="0" distB="0" distL="0" distR="0" wp14:anchorId="5026B661" wp14:editId="7B00E18F">
            <wp:extent cx="5724525" cy="36766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24525" cy="3676650"/>
                    </a:xfrm>
                    <a:prstGeom prst="rect">
                      <a:avLst/>
                    </a:prstGeom>
                    <a:noFill/>
                    <a:ln>
                      <a:noFill/>
                    </a:ln>
                  </pic:spPr>
                </pic:pic>
              </a:graphicData>
            </a:graphic>
          </wp:inline>
        </w:drawing>
      </w:r>
    </w:p>
    <w:p w14:paraId="29E157B3" w14:textId="77777777" w:rsidR="00B717BE" w:rsidRDefault="00B717BE" w:rsidP="00530E9A">
      <w:pPr>
        <w:pStyle w:val="ListParagraph"/>
        <w:ind w:left="0"/>
        <w:rPr>
          <w:szCs w:val="24"/>
        </w:rPr>
      </w:pPr>
    </w:p>
    <w:p w14:paraId="7DF05A15" w14:textId="77777777" w:rsidR="00982FC7" w:rsidRDefault="00982FC7" w:rsidP="00530E9A">
      <w:pPr>
        <w:pStyle w:val="ListParagraph"/>
        <w:ind w:left="0"/>
        <w:rPr>
          <w:szCs w:val="24"/>
        </w:rPr>
      </w:pPr>
    </w:p>
    <w:p w14:paraId="693EAE8B" w14:textId="3C2CB2CD" w:rsidR="008E5216" w:rsidRDefault="00530E9A" w:rsidP="004B3F81">
      <w:pPr>
        <w:pStyle w:val="ListParagraph"/>
        <w:ind w:left="0"/>
        <w:rPr>
          <w:szCs w:val="24"/>
        </w:rPr>
      </w:pPr>
      <w:r w:rsidRPr="00BF389D">
        <w:rPr>
          <w:szCs w:val="24"/>
        </w:rPr>
        <w:t>Life expectancy is another way of looking at mortality. There is a close link between the two measures, so that a decrease in mortality rates will generally be associated with an increase in life expectancy and vice versa. We would therefore expect any change in mortality rates to be reflected in the trend in life expectancy.</w:t>
      </w:r>
    </w:p>
    <w:p w14:paraId="19D434AC" w14:textId="77777777" w:rsidR="004B3F81" w:rsidRPr="004B3F81" w:rsidRDefault="004B3F81" w:rsidP="004B3F81">
      <w:pPr>
        <w:pStyle w:val="ListParagraph"/>
        <w:ind w:left="0"/>
        <w:rPr>
          <w:szCs w:val="24"/>
        </w:rPr>
      </w:pPr>
    </w:p>
    <w:p w14:paraId="369366D4" w14:textId="5CC771FC" w:rsidR="008E5216" w:rsidRDefault="008E5216" w:rsidP="004B3F81">
      <w:pPr>
        <w:pStyle w:val="NoNumberheading"/>
        <w:rPr>
          <w:color w:val="3182BD"/>
        </w:rPr>
      </w:pPr>
      <w:r w:rsidRPr="008E5216">
        <w:rPr>
          <w:color w:val="3182BD"/>
        </w:rPr>
        <w:t>Life expectancy</w:t>
      </w:r>
    </w:p>
    <w:p w14:paraId="09647AF3" w14:textId="1D9B5E0A" w:rsidR="000D25B0" w:rsidRPr="00982FC7" w:rsidRDefault="008E5216" w:rsidP="00982FC7">
      <w:pPr>
        <w:rPr>
          <w:rFonts w:eastAsiaTheme="minorHAnsi"/>
        </w:rPr>
      </w:pPr>
      <w:r w:rsidRPr="00982FC7">
        <w:rPr>
          <w:rFonts w:eastAsiaTheme="minorHAnsi"/>
        </w:rPr>
        <w:t xml:space="preserve">Life expectancy at birth in Wales has increased far more slowly since 2011, marking a distinct change in trend. Figure 2 shows a plateau in life expectancy has occurred in the other UK nations as well. This is also visible for Sweden and Iceland which are shown as they are among highest ranked nations (ranked 1st and 3rd out of 188 countries) for the 33 UN Sustainable Development Goal health indicators and share similar demographic characteristics to the UK (ranked 5th). </w:t>
      </w:r>
      <w:r w:rsidR="000D25B0" w:rsidRPr="00982FC7">
        <w:rPr>
          <w:rFonts w:eastAsiaTheme="minorHAnsi"/>
        </w:rPr>
        <w:t>The data used here are sourced from the Global Burden of Disease study as they allow comparison between UK constituent countries and European nation states. Please note that the data is modelled</w:t>
      </w:r>
      <w:r w:rsidR="00474400">
        <w:rPr>
          <w:rFonts w:eastAsiaTheme="minorHAnsi"/>
        </w:rPr>
        <w:t xml:space="preserve"> based on national mortality data where available.</w:t>
      </w:r>
    </w:p>
    <w:p w14:paraId="2AA40DD1" w14:textId="74C3991A" w:rsidR="008E5216" w:rsidRPr="00982FC7" w:rsidRDefault="008E5216" w:rsidP="00982FC7">
      <w:pPr>
        <w:rPr>
          <w:rFonts w:eastAsiaTheme="minorHAnsi"/>
        </w:rPr>
      </w:pPr>
      <w:r w:rsidRPr="00982FC7">
        <w:rPr>
          <w:rFonts w:eastAsiaTheme="minorHAnsi"/>
        </w:rPr>
        <w:t>Wales appears to have experienced this change earlier than most other Western European countries</w:t>
      </w:r>
      <w:r w:rsidRPr="004B3F81">
        <w:rPr>
          <w:rFonts w:eastAsiaTheme="minorHAnsi"/>
          <w:vertAlign w:val="superscript"/>
        </w:rPr>
        <w:t>12</w:t>
      </w:r>
      <w:r w:rsidRPr="00982FC7">
        <w:rPr>
          <w:rFonts w:eastAsiaTheme="minorHAnsi"/>
        </w:rPr>
        <w:t xml:space="preserve"> (see table 1, appendix). Despite life expectancy being at its highest level, the relative position of Wales has worsened such that of the 25 European nations shown in table 1 (see appendix), Wales has slipped from a rank of 16th to 24th with only Scotland now exhibiting lower life expectancy.</w:t>
      </w:r>
    </w:p>
    <w:p w14:paraId="04FFFD08" w14:textId="1B30FF3D" w:rsidR="00530E9A" w:rsidRDefault="007B214F" w:rsidP="00530E9A">
      <w:pPr>
        <w:pStyle w:val="ListParagraph"/>
        <w:ind w:left="0"/>
        <w:rPr>
          <w:szCs w:val="24"/>
        </w:rPr>
      </w:pPr>
      <w:r w:rsidRPr="007B214F">
        <w:rPr>
          <w:noProof/>
        </w:rPr>
        <w:lastRenderedPageBreak/>
        <w:drawing>
          <wp:inline distT="0" distB="0" distL="0" distR="0" wp14:anchorId="1D8AD66B" wp14:editId="6E048DF2">
            <wp:extent cx="6644005" cy="4301712"/>
            <wp:effectExtent l="0" t="0" r="4445"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644005" cy="4301712"/>
                    </a:xfrm>
                    <a:prstGeom prst="rect">
                      <a:avLst/>
                    </a:prstGeom>
                    <a:noFill/>
                    <a:ln>
                      <a:noFill/>
                    </a:ln>
                  </pic:spPr>
                </pic:pic>
              </a:graphicData>
            </a:graphic>
          </wp:inline>
        </w:drawing>
      </w:r>
    </w:p>
    <w:p w14:paraId="02D1640C" w14:textId="06650704" w:rsidR="008E5216" w:rsidRPr="000214DE" w:rsidRDefault="008E5216" w:rsidP="008E5216">
      <w:pPr>
        <w:pStyle w:val="Heading2"/>
      </w:pPr>
      <w:bookmarkStart w:id="12" w:name="_Toc514244211"/>
      <w:bookmarkStart w:id="13" w:name="_Toc514938218"/>
      <w:r w:rsidRPr="00907E25">
        <w:t>Age-specific mortality 2002-2016</w:t>
      </w:r>
      <w:bookmarkEnd w:id="12"/>
      <w:bookmarkEnd w:id="13"/>
    </w:p>
    <w:p w14:paraId="35F7DDCD" w14:textId="2F5D14B6" w:rsidR="008E5216" w:rsidRDefault="008E5216" w:rsidP="008E5216">
      <w:pPr>
        <w:pStyle w:val="ListParagraph"/>
        <w:ind w:left="0"/>
        <w:rPr>
          <w:szCs w:val="24"/>
        </w:rPr>
      </w:pPr>
      <w:r w:rsidRPr="00BF389D">
        <w:rPr>
          <w:szCs w:val="24"/>
        </w:rPr>
        <w:t>Whilst the European age</w:t>
      </w:r>
      <w:r w:rsidR="00C97741">
        <w:rPr>
          <w:szCs w:val="24"/>
        </w:rPr>
        <w:t>-</w:t>
      </w:r>
      <w:r w:rsidRPr="00BF389D">
        <w:rPr>
          <w:szCs w:val="24"/>
        </w:rPr>
        <w:t>standardised mortality rate provides a good measure of all age mortality, age-specific rates allow us to assess whether trends are consistent across age groups.</w:t>
      </w:r>
    </w:p>
    <w:p w14:paraId="0104D938" w14:textId="77777777" w:rsidR="008E5216" w:rsidRPr="00BF389D" w:rsidRDefault="008E5216" w:rsidP="008E5216">
      <w:pPr>
        <w:pStyle w:val="ListParagraph"/>
        <w:ind w:left="0"/>
        <w:rPr>
          <w:szCs w:val="24"/>
        </w:rPr>
      </w:pPr>
    </w:p>
    <w:p w14:paraId="320DF85C" w14:textId="77777777" w:rsidR="008E5216" w:rsidRDefault="008E5216" w:rsidP="008E5216">
      <w:pPr>
        <w:pStyle w:val="ListParagraph"/>
        <w:ind w:left="0"/>
        <w:rPr>
          <w:szCs w:val="24"/>
        </w:rPr>
      </w:pPr>
      <w:r w:rsidRPr="00317B99">
        <w:rPr>
          <w:szCs w:val="24"/>
        </w:rPr>
        <w:t>There is a recurring theme across the majority of the age groups pictured in figure 3; as with</w:t>
      </w:r>
      <w:r w:rsidRPr="00BF389D">
        <w:rPr>
          <w:szCs w:val="24"/>
        </w:rPr>
        <w:t xml:space="preserve"> the overall mortality rate, the age specific rates show a period of decline, followed by a period of little change.  In most cases the change occurs around 2011.  </w:t>
      </w:r>
    </w:p>
    <w:p w14:paraId="5CFDB20B" w14:textId="77777777" w:rsidR="008E5216" w:rsidRPr="00BF389D" w:rsidRDefault="008E5216" w:rsidP="008E5216">
      <w:pPr>
        <w:pStyle w:val="ListParagraph"/>
        <w:ind w:left="0"/>
        <w:rPr>
          <w:szCs w:val="24"/>
        </w:rPr>
      </w:pPr>
    </w:p>
    <w:p w14:paraId="0BA4466C" w14:textId="77777777" w:rsidR="008E5216" w:rsidRPr="00BF389D" w:rsidRDefault="008E5216" w:rsidP="008E5216">
      <w:pPr>
        <w:pStyle w:val="ListParagraph"/>
        <w:ind w:left="0"/>
        <w:rPr>
          <w:szCs w:val="24"/>
        </w:rPr>
      </w:pPr>
      <w:r w:rsidRPr="00317B99">
        <w:rPr>
          <w:szCs w:val="24"/>
        </w:rPr>
        <w:t>As illustrated in figure 3, the levelling</w:t>
      </w:r>
      <w:r w:rsidRPr="00BF389D">
        <w:rPr>
          <w:szCs w:val="24"/>
        </w:rPr>
        <w:t xml:space="preserve"> off in mortality rates is </w:t>
      </w:r>
      <w:r>
        <w:rPr>
          <w:szCs w:val="24"/>
        </w:rPr>
        <w:t xml:space="preserve">not </w:t>
      </w:r>
      <w:r w:rsidRPr="00BF389D">
        <w:rPr>
          <w:szCs w:val="24"/>
        </w:rPr>
        <w:t>confine</w:t>
      </w:r>
      <w:r>
        <w:rPr>
          <w:szCs w:val="24"/>
        </w:rPr>
        <w:t>d</w:t>
      </w:r>
      <w:r w:rsidRPr="00BF389D">
        <w:rPr>
          <w:szCs w:val="24"/>
        </w:rPr>
        <w:t xml:space="preserve"> to the very elderly population; the 55-59 to 80-84 age groups show a clear levelling off of mortality rates since around 2011. In the 85-89 age group rates have been stable since 2006. In the 90+ age group the rate declined between 2002 and 2011 since when it has begun to rise, although more fluctuation is evident in these older age groups. Age specific rates in age groups</w:t>
      </w:r>
      <w:r>
        <w:rPr>
          <w:szCs w:val="24"/>
        </w:rPr>
        <w:t xml:space="preserve"> under 50 years</w:t>
      </w:r>
      <w:r w:rsidRPr="00BF389D">
        <w:rPr>
          <w:szCs w:val="24"/>
        </w:rPr>
        <w:t xml:space="preserve"> are subject to </w:t>
      </w:r>
      <w:r>
        <w:rPr>
          <w:szCs w:val="24"/>
        </w:rPr>
        <w:t xml:space="preserve">considerable </w:t>
      </w:r>
      <w:r w:rsidRPr="00BF389D">
        <w:rPr>
          <w:szCs w:val="24"/>
        </w:rPr>
        <w:t>fluctuation over time due to relatively small numbers of deaths.</w:t>
      </w:r>
      <w:r>
        <w:rPr>
          <w:szCs w:val="24"/>
        </w:rPr>
        <w:t xml:space="preserve"> </w:t>
      </w:r>
      <w:r w:rsidRPr="00317B99">
        <w:rPr>
          <w:szCs w:val="24"/>
        </w:rPr>
        <w:t>This is also apparent to a certain extent in the 50-54 age group.</w:t>
      </w:r>
    </w:p>
    <w:p w14:paraId="4E3FE5F5" w14:textId="60EFFB56" w:rsidR="00530E9A" w:rsidRDefault="00530E9A" w:rsidP="00530E9A">
      <w:pPr>
        <w:pStyle w:val="ListParagraph"/>
        <w:ind w:left="0"/>
        <w:rPr>
          <w:szCs w:val="24"/>
        </w:rPr>
      </w:pPr>
    </w:p>
    <w:p w14:paraId="7189F166" w14:textId="12A7728C" w:rsidR="008E5216" w:rsidRDefault="00B717BE" w:rsidP="00530E9A">
      <w:pPr>
        <w:pStyle w:val="ListParagraph"/>
        <w:ind w:left="0"/>
        <w:rPr>
          <w:szCs w:val="24"/>
        </w:rPr>
      </w:pPr>
      <w:r w:rsidRPr="00B717BE">
        <w:rPr>
          <w:noProof/>
        </w:rPr>
        <w:lastRenderedPageBreak/>
        <w:drawing>
          <wp:inline distT="0" distB="0" distL="0" distR="0" wp14:anchorId="41BDA499" wp14:editId="18C8C8FA">
            <wp:extent cx="6644005" cy="4462808"/>
            <wp:effectExtent l="0" t="0" r="444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644005" cy="4462808"/>
                    </a:xfrm>
                    <a:prstGeom prst="rect">
                      <a:avLst/>
                    </a:prstGeom>
                    <a:noFill/>
                    <a:ln>
                      <a:noFill/>
                    </a:ln>
                  </pic:spPr>
                </pic:pic>
              </a:graphicData>
            </a:graphic>
          </wp:inline>
        </w:drawing>
      </w:r>
    </w:p>
    <w:p w14:paraId="3CE20DD8" w14:textId="77777777" w:rsidR="002D1052" w:rsidRPr="00BF389D" w:rsidRDefault="002D1052" w:rsidP="00530E9A">
      <w:pPr>
        <w:pStyle w:val="ListParagraph"/>
        <w:ind w:left="0"/>
        <w:rPr>
          <w:szCs w:val="24"/>
        </w:rPr>
      </w:pPr>
    </w:p>
    <w:p w14:paraId="2C36F637" w14:textId="36890ED0" w:rsidR="00A01DC8" w:rsidRDefault="00A01DC8" w:rsidP="00A01DC8">
      <w:pPr>
        <w:pStyle w:val="Heading2"/>
      </w:pPr>
      <w:bookmarkStart w:id="14" w:name="_Toc514244212"/>
      <w:bookmarkStart w:id="15" w:name="_Toc514938219"/>
      <w:bookmarkEnd w:id="11"/>
      <w:r w:rsidRPr="00A01DC8">
        <w:t>What happened to mortality in 2015?</w:t>
      </w:r>
      <w:bookmarkEnd w:id="14"/>
      <w:bookmarkEnd w:id="15"/>
    </w:p>
    <w:p w14:paraId="3CA29BCD" w14:textId="3122A344" w:rsidR="00907E25" w:rsidRDefault="00907E25" w:rsidP="00907E25">
      <w:pPr>
        <w:pStyle w:val="ListParagraph"/>
        <w:ind w:left="0"/>
        <w:rPr>
          <w:szCs w:val="24"/>
        </w:rPr>
      </w:pPr>
      <w:bookmarkStart w:id="16" w:name="_Toc399335470"/>
      <w:r w:rsidRPr="00BF389D">
        <w:rPr>
          <w:szCs w:val="24"/>
        </w:rPr>
        <w:t>The 2015 increase in mortality in England and Wales has been widely reported</w:t>
      </w:r>
      <w:r w:rsidRPr="00285ECF">
        <w:rPr>
          <w:szCs w:val="24"/>
          <w:vertAlign w:val="superscript"/>
        </w:rPr>
        <w:t>3-11</w:t>
      </w:r>
      <w:r w:rsidRPr="00BF389D">
        <w:rPr>
          <w:szCs w:val="24"/>
        </w:rPr>
        <w:t>. Similar increases in the number of deaths have also been reported elsewhere in Europe including France, Spain, Denmark and Switzerland</w:t>
      </w:r>
      <w:r w:rsidRPr="002948D5">
        <w:rPr>
          <w:szCs w:val="24"/>
          <w:vertAlign w:val="superscript"/>
        </w:rPr>
        <w:t>10</w:t>
      </w:r>
      <w:r w:rsidRPr="00BF389D">
        <w:rPr>
          <w:szCs w:val="24"/>
        </w:rPr>
        <w:t>.</w:t>
      </w:r>
    </w:p>
    <w:p w14:paraId="453FD21A" w14:textId="77777777" w:rsidR="00907E25" w:rsidRPr="00BF389D" w:rsidRDefault="00907E25" w:rsidP="00907E25">
      <w:pPr>
        <w:pStyle w:val="ListParagraph"/>
        <w:ind w:left="0"/>
        <w:rPr>
          <w:szCs w:val="24"/>
        </w:rPr>
      </w:pPr>
    </w:p>
    <w:p w14:paraId="3C6C05FD" w14:textId="3B8B3BBC" w:rsidR="00907E25" w:rsidRDefault="00907E25" w:rsidP="00907E25">
      <w:pPr>
        <w:pStyle w:val="ListParagraph"/>
        <w:ind w:left="0"/>
        <w:rPr>
          <w:szCs w:val="24"/>
        </w:rPr>
      </w:pPr>
      <w:r w:rsidRPr="00BF389D">
        <w:rPr>
          <w:szCs w:val="24"/>
        </w:rPr>
        <w:t>There were 1,572 more deaths registered in the first three months of 2015 compared with the same period in 2014 in Wales. In 2015, the European age</w:t>
      </w:r>
      <w:r w:rsidR="00C97741">
        <w:rPr>
          <w:szCs w:val="24"/>
        </w:rPr>
        <w:t>-</w:t>
      </w:r>
      <w:r w:rsidRPr="00BF389D">
        <w:rPr>
          <w:szCs w:val="24"/>
        </w:rPr>
        <w:t>standardised mortality rate in Wales rose to 1</w:t>
      </w:r>
      <w:r w:rsidR="003830CD">
        <w:rPr>
          <w:szCs w:val="24"/>
        </w:rPr>
        <w:t>,</w:t>
      </w:r>
      <w:r w:rsidRPr="00BF389D">
        <w:rPr>
          <w:szCs w:val="24"/>
        </w:rPr>
        <w:t>064 deaths per 100,000 population</w:t>
      </w:r>
      <w:r>
        <w:rPr>
          <w:szCs w:val="24"/>
        </w:rPr>
        <w:t>,</w:t>
      </w:r>
      <w:r w:rsidRPr="00BF389D">
        <w:rPr>
          <w:szCs w:val="24"/>
        </w:rPr>
        <w:t xml:space="preserve"> from 1</w:t>
      </w:r>
      <w:r w:rsidR="003830CD">
        <w:rPr>
          <w:szCs w:val="24"/>
        </w:rPr>
        <w:t>,</w:t>
      </w:r>
      <w:r w:rsidRPr="00BF389D">
        <w:rPr>
          <w:szCs w:val="24"/>
        </w:rPr>
        <w:t>017</w:t>
      </w:r>
      <w:r>
        <w:rPr>
          <w:szCs w:val="24"/>
        </w:rPr>
        <w:t xml:space="preserve"> deaths per 100,000</w:t>
      </w:r>
      <w:r w:rsidRPr="00BF389D">
        <w:rPr>
          <w:szCs w:val="24"/>
        </w:rPr>
        <w:t xml:space="preserve"> in 2014. It is important to understand this increase in the context of the wider mortality trend, for example the rate fluctuated from 1</w:t>
      </w:r>
      <w:r w:rsidR="003830CD">
        <w:rPr>
          <w:szCs w:val="24"/>
        </w:rPr>
        <w:t>,</w:t>
      </w:r>
      <w:r w:rsidRPr="00BF389D">
        <w:rPr>
          <w:szCs w:val="24"/>
        </w:rPr>
        <w:t>060 deaths per 100,000 population in 2013, down to 1</w:t>
      </w:r>
      <w:r w:rsidR="003830CD">
        <w:rPr>
          <w:szCs w:val="24"/>
        </w:rPr>
        <w:t>,</w:t>
      </w:r>
      <w:r w:rsidRPr="00BF389D">
        <w:rPr>
          <w:szCs w:val="24"/>
        </w:rPr>
        <w:t>017</w:t>
      </w:r>
      <w:r>
        <w:rPr>
          <w:szCs w:val="24"/>
        </w:rPr>
        <w:t xml:space="preserve"> per </w:t>
      </w:r>
      <w:r w:rsidRPr="00BF389D">
        <w:rPr>
          <w:szCs w:val="24"/>
        </w:rPr>
        <w:t xml:space="preserve">100,000 in 2014 and up again to </w:t>
      </w:r>
      <w:r>
        <w:rPr>
          <w:szCs w:val="24"/>
        </w:rPr>
        <w:t>1</w:t>
      </w:r>
      <w:r w:rsidR="003830CD">
        <w:rPr>
          <w:szCs w:val="24"/>
        </w:rPr>
        <w:t>,</w:t>
      </w:r>
      <w:r w:rsidRPr="00BF389D">
        <w:rPr>
          <w:szCs w:val="24"/>
        </w:rPr>
        <w:t>064</w:t>
      </w:r>
      <w:r>
        <w:rPr>
          <w:szCs w:val="24"/>
        </w:rPr>
        <w:t xml:space="preserve"> per </w:t>
      </w:r>
      <w:r w:rsidRPr="00BF389D">
        <w:rPr>
          <w:szCs w:val="24"/>
        </w:rPr>
        <w:t>100,000</w:t>
      </w:r>
      <w:r>
        <w:rPr>
          <w:szCs w:val="24"/>
        </w:rPr>
        <w:t xml:space="preserve"> population</w:t>
      </w:r>
      <w:r w:rsidRPr="00BF389D">
        <w:rPr>
          <w:szCs w:val="24"/>
        </w:rPr>
        <w:t xml:space="preserve"> in 2015.</w:t>
      </w:r>
    </w:p>
    <w:p w14:paraId="172E8CE2" w14:textId="77777777" w:rsidR="00907E25" w:rsidRPr="00BF389D" w:rsidRDefault="00907E25" w:rsidP="00907E25">
      <w:pPr>
        <w:pStyle w:val="ListParagraph"/>
        <w:ind w:left="0"/>
        <w:rPr>
          <w:szCs w:val="24"/>
        </w:rPr>
      </w:pPr>
    </w:p>
    <w:p w14:paraId="6FDF8900" w14:textId="77777777" w:rsidR="00907E25" w:rsidRPr="00BF389D" w:rsidRDefault="00907E25" w:rsidP="00907E25">
      <w:pPr>
        <w:pStyle w:val="ListParagraph"/>
        <w:ind w:left="0"/>
        <w:rPr>
          <w:szCs w:val="24"/>
        </w:rPr>
      </w:pPr>
      <w:r w:rsidRPr="00BF389D">
        <w:rPr>
          <w:szCs w:val="24"/>
        </w:rPr>
        <w:t xml:space="preserve">Much of the increase in 2015 occurred in those aged </w:t>
      </w:r>
      <w:r>
        <w:rPr>
          <w:szCs w:val="24"/>
        </w:rPr>
        <w:t>8</w:t>
      </w:r>
      <w:r w:rsidRPr="00BF389D">
        <w:rPr>
          <w:szCs w:val="24"/>
        </w:rPr>
        <w:t xml:space="preserve">5 years and over with a significant increase in those aged </w:t>
      </w:r>
      <w:r w:rsidRPr="00317B99">
        <w:rPr>
          <w:szCs w:val="24"/>
        </w:rPr>
        <w:t>90+ (figure 4).</w:t>
      </w:r>
      <w:r w:rsidRPr="00BF389D">
        <w:rPr>
          <w:szCs w:val="24"/>
        </w:rPr>
        <w:t xml:space="preserve"> This is consistent with what has been reported for England and Wales as a whole</w:t>
      </w:r>
      <w:r w:rsidRPr="00752FBA">
        <w:rPr>
          <w:szCs w:val="24"/>
          <w:vertAlign w:val="superscript"/>
        </w:rPr>
        <w:t>2</w:t>
      </w:r>
      <w:r w:rsidRPr="00BF389D">
        <w:rPr>
          <w:szCs w:val="24"/>
        </w:rPr>
        <w:t>.</w:t>
      </w:r>
    </w:p>
    <w:p w14:paraId="40C977B9" w14:textId="77777777" w:rsidR="00907E25" w:rsidRDefault="00907E25" w:rsidP="00907E25">
      <w:pPr>
        <w:pStyle w:val="ListParagraph"/>
        <w:ind w:left="0"/>
        <w:rPr>
          <w:szCs w:val="24"/>
          <w:highlight w:val="yellow"/>
        </w:rPr>
      </w:pPr>
    </w:p>
    <w:p w14:paraId="3B31AD3E" w14:textId="58E251BC" w:rsidR="00907E25" w:rsidRDefault="00E112C6" w:rsidP="00907E25">
      <w:pPr>
        <w:pStyle w:val="ListParagraph"/>
        <w:ind w:left="0"/>
        <w:rPr>
          <w:szCs w:val="24"/>
        </w:rPr>
      </w:pPr>
      <w:r w:rsidRPr="00E112C6">
        <w:rPr>
          <w:noProof/>
        </w:rPr>
        <w:lastRenderedPageBreak/>
        <w:drawing>
          <wp:inline distT="0" distB="0" distL="0" distR="0" wp14:anchorId="592004D6" wp14:editId="6D33020B">
            <wp:extent cx="5610225" cy="300037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10225" cy="3000375"/>
                    </a:xfrm>
                    <a:prstGeom prst="rect">
                      <a:avLst/>
                    </a:prstGeom>
                    <a:noFill/>
                    <a:ln>
                      <a:noFill/>
                    </a:ln>
                  </pic:spPr>
                </pic:pic>
              </a:graphicData>
            </a:graphic>
          </wp:inline>
        </w:drawing>
      </w:r>
    </w:p>
    <w:p w14:paraId="521D2953" w14:textId="77777777" w:rsidR="00E112C6" w:rsidRDefault="00E112C6" w:rsidP="00907E25">
      <w:pPr>
        <w:pStyle w:val="ListParagraph"/>
        <w:ind w:left="0"/>
        <w:rPr>
          <w:szCs w:val="24"/>
        </w:rPr>
      </w:pPr>
    </w:p>
    <w:p w14:paraId="18CDB220" w14:textId="73450872" w:rsidR="00907E25" w:rsidRDefault="00907E25" w:rsidP="00907E25">
      <w:pPr>
        <w:pStyle w:val="ListParagraph"/>
        <w:ind w:left="0"/>
        <w:rPr>
          <w:szCs w:val="24"/>
        </w:rPr>
      </w:pPr>
      <w:r w:rsidRPr="00BF389D">
        <w:rPr>
          <w:szCs w:val="24"/>
        </w:rPr>
        <w:t>The increase in mortality in 2015 can be largely attributed to increases in mortality from flu and pneumonia</w:t>
      </w:r>
      <w:r>
        <w:rPr>
          <w:szCs w:val="24"/>
        </w:rPr>
        <w:t>,</w:t>
      </w:r>
      <w:r w:rsidRPr="00BF389D">
        <w:rPr>
          <w:szCs w:val="24"/>
        </w:rPr>
        <w:t xml:space="preserve"> or other respiratory diseases</w:t>
      </w:r>
      <w:r>
        <w:rPr>
          <w:szCs w:val="24"/>
        </w:rPr>
        <w:t>,</w:t>
      </w:r>
      <w:r w:rsidRPr="00BF389D">
        <w:rPr>
          <w:szCs w:val="24"/>
        </w:rPr>
        <w:t xml:space="preserve"> and dementia and Alzhei</w:t>
      </w:r>
      <w:r w:rsidRPr="00317B99">
        <w:rPr>
          <w:szCs w:val="24"/>
        </w:rPr>
        <w:t>mer’s disease (see figure 5). Thi</w:t>
      </w:r>
      <w:r w:rsidRPr="00BF389D">
        <w:rPr>
          <w:szCs w:val="24"/>
        </w:rPr>
        <w:t>s is consistent with the causes reported by ONS for England and Wales</w:t>
      </w:r>
      <w:r w:rsidRPr="002948D5">
        <w:rPr>
          <w:szCs w:val="24"/>
          <w:vertAlign w:val="superscript"/>
        </w:rPr>
        <w:t>11</w:t>
      </w:r>
      <w:r w:rsidRPr="00BF389D">
        <w:rPr>
          <w:szCs w:val="24"/>
        </w:rPr>
        <w:t>.</w:t>
      </w:r>
    </w:p>
    <w:p w14:paraId="3A61E5B7" w14:textId="6C0C1AE5" w:rsidR="00907E25" w:rsidRDefault="00907E25" w:rsidP="00907E25">
      <w:pPr>
        <w:pStyle w:val="ListParagraph"/>
        <w:ind w:left="0"/>
        <w:rPr>
          <w:szCs w:val="24"/>
        </w:rPr>
      </w:pPr>
    </w:p>
    <w:p w14:paraId="2770BF80" w14:textId="654F19D7" w:rsidR="00907E25" w:rsidRDefault="00E112C6" w:rsidP="00907E25">
      <w:pPr>
        <w:pStyle w:val="ListParagraph"/>
        <w:ind w:left="0"/>
        <w:rPr>
          <w:szCs w:val="24"/>
        </w:rPr>
      </w:pPr>
      <w:r w:rsidRPr="00E112C6">
        <w:rPr>
          <w:noProof/>
        </w:rPr>
        <w:drawing>
          <wp:inline distT="0" distB="0" distL="0" distR="0" wp14:anchorId="2B18BD44" wp14:editId="160E9044">
            <wp:extent cx="5695950" cy="349567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95950" cy="3495675"/>
                    </a:xfrm>
                    <a:prstGeom prst="rect">
                      <a:avLst/>
                    </a:prstGeom>
                    <a:noFill/>
                    <a:ln>
                      <a:noFill/>
                    </a:ln>
                  </pic:spPr>
                </pic:pic>
              </a:graphicData>
            </a:graphic>
          </wp:inline>
        </w:drawing>
      </w:r>
    </w:p>
    <w:p w14:paraId="09D97B12" w14:textId="77777777" w:rsidR="00392EC4" w:rsidRDefault="00392EC4" w:rsidP="00907E25">
      <w:pPr>
        <w:pStyle w:val="NoNumberheading"/>
        <w:rPr>
          <w:color w:val="3182BD"/>
        </w:rPr>
      </w:pPr>
    </w:p>
    <w:p w14:paraId="1B1A1CB8" w14:textId="77777777" w:rsidR="00392EC4" w:rsidRDefault="00392EC4" w:rsidP="00907E25">
      <w:pPr>
        <w:pStyle w:val="NoNumberheading"/>
        <w:rPr>
          <w:color w:val="3182BD"/>
        </w:rPr>
      </w:pPr>
    </w:p>
    <w:p w14:paraId="34ADF8A5" w14:textId="77777777" w:rsidR="00392EC4" w:rsidRDefault="00392EC4" w:rsidP="00907E25">
      <w:pPr>
        <w:pStyle w:val="NoNumberheading"/>
        <w:rPr>
          <w:color w:val="3182BD"/>
        </w:rPr>
      </w:pPr>
    </w:p>
    <w:p w14:paraId="49AC1DCC" w14:textId="77777777" w:rsidR="00392EC4" w:rsidRDefault="00392EC4" w:rsidP="00907E25">
      <w:pPr>
        <w:pStyle w:val="NoNumberheading"/>
        <w:rPr>
          <w:color w:val="3182BD"/>
        </w:rPr>
      </w:pPr>
    </w:p>
    <w:p w14:paraId="3EE22574" w14:textId="008A0345" w:rsidR="00907E25" w:rsidRPr="00907E25" w:rsidRDefault="00907E25" w:rsidP="00907E25">
      <w:pPr>
        <w:pStyle w:val="NoNumberheading"/>
        <w:rPr>
          <w:color w:val="3182BD"/>
        </w:rPr>
      </w:pPr>
      <w:r w:rsidRPr="00907E25">
        <w:rPr>
          <w:color w:val="3182BD"/>
        </w:rPr>
        <w:lastRenderedPageBreak/>
        <w:t>Influenza</w:t>
      </w:r>
    </w:p>
    <w:p w14:paraId="04C3B381" w14:textId="77777777" w:rsidR="00907E25" w:rsidRPr="00BF389D" w:rsidRDefault="00907E25" w:rsidP="00907E25">
      <w:pPr>
        <w:pStyle w:val="ListParagraph"/>
        <w:ind w:left="0"/>
        <w:rPr>
          <w:szCs w:val="24"/>
        </w:rPr>
      </w:pPr>
    </w:p>
    <w:p w14:paraId="62C9FF9A" w14:textId="77777777" w:rsidR="00907E25" w:rsidRPr="00BF389D" w:rsidRDefault="00907E25" w:rsidP="00907E25">
      <w:pPr>
        <w:pStyle w:val="ListParagraph"/>
        <w:ind w:left="0"/>
        <w:rPr>
          <w:szCs w:val="24"/>
        </w:rPr>
      </w:pPr>
      <w:r w:rsidRPr="00BF389D">
        <w:rPr>
          <w:szCs w:val="24"/>
        </w:rPr>
        <w:t>Of the 1,572 extra deaths</w:t>
      </w:r>
      <w:r>
        <w:rPr>
          <w:szCs w:val="24"/>
        </w:rPr>
        <w:t xml:space="preserve"> registered</w:t>
      </w:r>
      <w:r w:rsidRPr="00BF389D">
        <w:rPr>
          <w:szCs w:val="24"/>
        </w:rPr>
        <w:t xml:space="preserve"> in </w:t>
      </w:r>
      <w:r>
        <w:rPr>
          <w:szCs w:val="24"/>
        </w:rPr>
        <w:t xml:space="preserve">the first three months of </w:t>
      </w:r>
      <w:r w:rsidRPr="00BF389D">
        <w:rPr>
          <w:szCs w:val="24"/>
        </w:rPr>
        <w:t xml:space="preserve">2015, 758 were registered in January coinciding with the peak in flu activity for the 2014/15 winter season. </w:t>
      </w:r>
    </w:p>
    <w:p w14:paraId="4F88414C" w14:textId="4E1FB3A7" w:rsidR="00907E25" w:rsidRDefault="00907E25" w:rsidP="00907E25">
      <w:pPr>
        <w:pStyle w:val="ListParagraph"/>
        <w:ind w:left="0"/>
        <w:rPr>
          <w:szCs w:val="24"/>
        </w:rPr>
      </w:pPr>
    </w:p>
    <w:p w14:paraId="502DE2A2" w14:textId="2EE0C2CD" w:rsidR="00907E25" w:rsidRDefault="00E112C6" w:rsidP="00907E25">
      <w:pPr>
        <w:pStyle w:val="ListParagraph"/>
        <w:ind w:left="0"/>
        <w:rPr>
          <w:szCs w:val="24"/>
        </w:rPr>
      </w:pPr>
      <w:r w:rsidRPr="00E112C6">
        <w:rPr>
          <w:noProof/>
        </w:rPr>
        <w:drawing>
          <wp:inline distT="0" distB="0" distL="0" distR="0" wp14:anchorId="335E85A8" wp14:editId="5D30BBEA">
            <wp:extent cx="6122742" cy="435879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6056" cy="4361152"/>
                    </a:xfrm>
                    <a:prstGeom prst="rect">
                      <a:avLst/>
                    </a:prstGeom>
                    <a:noFill/>
                    <a:ln>
                      <a:noFill/>
                    </a:ln>
                  </pic:spPr>
                </pic:pic>
              </a:graphicData>
            </a:graphic>
          </wp:inline>
        </w:drawing>
      </w:r>
    </w:p>
    <w:p w14:paraId="581E4AD7" w14:textId="2E6976F9" w:rsidR="00907E25" w:rsidRDefault="00907E25" w:rsidP="00907E25">
      <w:pPr>
        <w:pStyle w:val="ListParagraph"/>
        <w:ind w:left="0"/>
        <w:rPr>
          <w:szCs w:val="24"/>
        </w:rPr>
      </w:pPr>
      <w:r w:rsidRPr="00BF389D">
        <w:rPr>
          <w:szCs w:val="24"/>
        </w:rPr>
        <w:t xml:space="preserve">The Welsh GP weekly consultation rate for influenza-like illness (ILI) was not unusually high </w:t>
      </w:r>
      <w:r w:rsidRPr="00317B99">
        <w:rPr>
          <w:szCs w:val="24"/>
        </w:rPr>
        <w:t>(see figure 6).</w:t>
      </w:r>
      <w:r w:rsidRPr="00BF389D">
        <w:rPr>
          <w:szCs w:val="24"/>
        </w:rPr>
        <w:t xml:space="preserve"> However, the predominant strain of influenza circulating at this time, A(H3N2),</w:t>
      </w:r>
      <w:r>
        <w:rPr>
          <w:szCs w:val="24"/>
        </w:rPr>
        <w:t xml:space="preserve"> is associated with illness in older people, for whom</w:t>
      </w:r>
      <w:r w:rsidRPr="002948D5">
        <w:rPr>
          <w:szCs w:val="24"/>
          <w:vertAlign w:val="superscript"/>
        </w:rPr>
        <w:t>14</w:t>
      </w:r>
      <w:r w:rsidR="00317B99">
        <w:rPr>
          <w:szCs w:val="24"/>
        </w:rPr>
        <w:t xml:space="preserve"> </w:t>
      </w:r>
      <w:r w:rsidRPr="00BF389D">
        <w:rPr>
          <w:szCs w:val="24"/>
        </w:rPr>
        <w:t>the</w:t>
      </w:r>
      <w:r>
        <w:rPr>
          <w:szCs w:val="24"/>
        </w:rPr>
        <w:t xml:space="preserve"> 2014/15 ILI consultation rates </w:t>
      </w:r>
      <w:r w:rsidRPr="00BF389D">
        <w:rPr>
          <w:szCs w:val="24"/>
        </w:rPr>
        <w:t>were at their highest since the 2010-11 influenza season in Wales</w:t>
      </w:r>
      <w:r w:rsidRPr="002948D5">
        <w:rPr>
          <w:szCs w:val="24"/>
          <w:vertAlign w:val="superscript"/>
        </w:rPr>
        <w:t>13</w:t>
      </w:r>
      <w:r w:rsidRPr="00BF389D">
        <w:rPr>
          <w:szCs w:val="24"/>
        </w:rPr>
        <w:t>. Influenza activity in hospitals and outbreaks in nursing and residential homes and care facilities was also notably high</w:t>
      </w:r>
      <w:r w:rsidRPr="002948D5">
        <w:rPr>
          <w:szCs w:val="24"/>
          <w:vertAlign w:val="superscript"/>
        </w:rPr>
        <w:t>13</w:t>
      </w:r>
      <w:r w:rsidRPr="00BF389D">
        <w:rPr>
          <w:szCs w:val="24"/>
        </w:rPr>
        <w:t>.</w:t>
      </w:r>
      <w:r>
        <w:rPr>
          <w:szCs w:val="24"/>
        </w:rPr>
        <w:t xml:space="preserve"> </w:t>
      </w:r>
      <w:r w:rsidRPr="00BF389D">
        <w:rPr>
          <w:szCs w:val="24"/>
        </w:rPr>
        <w:t>Lower vaccine efficacy was also reported during 2014/15 for the UK, 34% compared with 50% during the 2010/11 season, with little difference in take-up rates</w:t>
      </w:r>
      <w:r w:rsidRPr="002948D5">
        <w:rPr>
          <w:szCs w:val="24"/>
          <w:vertAlign w:val="superscript"/>
        </w:rPr>
        <w:t>14</w:t>
      </w:r>
      <w:r w:rsidRPr="00BF389D">
        <w:rPr>
          <w:szCs w:val="24"/>
        </w:rPr>
        <w:t xml:space="preserve">. </w:t>
      </w:r>
    </w:p>
    <w:p w14:paraId="1D29F4BC" w14:textId="77777777" w:rsidR="00907E25" w:rsidRPr="00BF389D" w:rsidRDefault="00907E25" w:rsidP="00907E25">
      <w:pPr>
        <w:pStyle w:val="ListParagraph"/>
        <w:ind w:left="0"/>
        <w:rPr>
          <w:szCs w:val="24"/>
        </w:rPr>
      </w:pPr>
    </w:p>
    <w:p w14:paraId="6D9E8B30" w14:textId="1B7E3E7C" w:rsidR="00907E25" w:rsidRDefault="00907E25" w:rsidP="00907E25">
      <w:pPr>
        <w:pStyle w:val="ListParagraph"/>
        <w:ind w:left="0"/>
        <w:rPr>
          <w:szCs w:val="24"/>
        </w:rPr>
      </w:pPr>
      <w:r w:rsidRPr="00BF389D">
        <w:rPr>
          <w:szCs w:val="24"/>
        </w:rPr>
        <w:t xml:space="preserve">There was a more significantly increased incidence of flu during the 2010/11 winter season (figure </w:t>
      </w:r>
      <w:r w:rsidR="001A4F74">
        <w:rPr>
          <w:szCs w:val="24"/>
        </w:rPr>
        <w:t xml:space="preserve">6 </w:t>
      </w:r>
      <w:r w:rsidRPr="00BF389D">
        <w:rPr>
          <w:szCs w:val="24"/>
        </w:rPr>
        <w:t>above). However, the predominant strain circulating during the 2010/11 flu season presented more of a problem for younger people</w:t>
      </w:r>
      <w:r>
        <w:rPr>
          <w:szCs w:val="24"/>
        </w:rPr>
        <w:t xml:space="preserve"> who have greater resilience,</w:t>
      </w:r>
      <w:r w:rsidRPr="00BF389D">
        <w:rPr>
          <w:szCs w:val="24"/>
        </w:rPr>
        <w:t xml:space="preserve"> resulting in the high consultation rates </w:t>
      </w:r>
      <w:r w:rsidRPr="00317B99">
        <w:rPr>
          <w:szCs w:val="24"/>
        </w:rPr>
        <w:t>shown in figure 6</w:t>
      </w:r>
      <w:r w:rsidRPr="00317B99">
        <w:rPr>
          <w:szCs w:val="24"/>
          <w:vertAlign w:val="superscript"/>
        </w:rPr>
        <w:t>14</w:t>
      </w:r>
      <w:r w:rsidRPr="00317B99">
        <w:rPr>
          <w:szCs w:val="24"/>
        </w:rPr>
        <w:t>,</w:t>
      </w:r>
      <w:r w:rsidRPr="00BF389D">
        <w:rPr>
          <w:szCs w:val="24"/>
        </w:rPr>
        <w:t xml:space="preserve"> but less of an impact on mortality. </w:t>
      </w:r>
    </w:p>
    <w:p w14:paraId="764EA7CC" w14:textId="77777777" w:rsidR="00907E25" w:rsidRPr="00BF389D" w:rsidRDefault="00907E25" w:rsidP="00907E25">
      <w:pPr>
        <w:pStyle w:val="ListParagraph"/>
        <w:ind w:left="0"/>
        <w:rPr>
          <w:szCs w:val="24"/>
        </w:rPr>
      </w:pPr>
    </w:p>
    <w:p w14:paraId="42882496" w14:textId="42119BA4" w:rsidR="00907E25" w:rsidRDefault="00907E25" w:rsidP="00907E25">
      <w:pPr>
        <w:pStyle w:val="ListParagraph"/>
        <w:ind w:left="0"/>
        <w:rPr>
          <w:szCs w:val="24"/>
        </w:rPr>
      </w:pPr>
      <w:r w:rsidRPr="00317B99">
        <w:rPr>
          <w:szCs w:val="24"/>
        </w:rPr>
        <w:t>Figure 5 shows</w:t>
      </w:r>
      <w:r w:rsidRPr="00BF389D">
        <w:rPr>
          <w:szCs w:val="24"/>
        </w:rPr>
        <w:t xml:space="preserve"> that there was also an increase in deaths in older people from other respiratory diseases followed by a decrease in 2016. The death rate due to dementia and Alzheimer’s also increased and went up again in 2016. This is consistent with findings for England and Wales as a whole</w:t>
      </w:r>
      <w:r w:rsidRPr="007B5958">
        <w:rPr>
          <w:szCs w:val="24"/>
          <w:vertAlign w:val="superscript"/>
        </w:rPr>
        <w:t>11,1</w:t>
      </w:r>
      <w:r>
        <w:rPr>
          <w:szCs w:val="24"/>
          <w:vertAlign w:val="superscript"/>
        </w:rPr>
        <w:t>5</w:t>
      </w:r>
      <w:r w:rsidRPr="00BF389D">
        <w:rPr>
          <w:szCs w:val="24"/>
        </w:rPr>
        <w:t>.</w:t>
      </w:r>
    </w:p>
    <w:p w14:paraId="0B7208A4" w14:textId="3E46A7AA" w:rsidR="00907E25" w:rsidRDefault="00907E25" w:rsidP="00907E25">
      <w:pPr>
        <w:pStyle w:val="ListParagraph"/>
        <w:ind w:left="0"/>
        <w:rPr>
          <w:szCs w:val="24"/>
        </w:rPr>
      </w:pPr>
    </w:p>
    <w:p w14:paraId="0E910F14" w14:textId="77777777" w:rsidR="00982FC7" w:rsidRDefault="00982FC7">
      <w:pPr>
        <w:spacing w:before="0"/>
        <w:jc w:val="left"/>
        <w:rPr>
          <w:b/>
          <w:color w:val="3182BD"/>
          <w:szCs w:val="24"/>
        </w:rPr>
      </w:pPr>
      <w:r>
        <w:rPr>
          <w:color w:val="3182BD"/>
        </w:rPr>
        <w:br w:type="page"/>
      </w:r>
    </w:p>
    <w:p w14:paraId="599631DB" w14:textId="2382A73D" w:rsidR="00907E25" w:rsidRPr="000214DE" w:rsidRDefault="00907E25" w:rsidP="000214DE">
      <w:pPr>
        <w:pStyle w:val="NoNumberheading"/>
        <w:rPr>
          <w:color w:val="3182BD"/>
        </w:rPr>
      </w:pPr>
      <w:r w:rsidRPr="00907E25">
        <w:rPr>
          <w:color w:val="3182BD"/>
        </w:rPr>
        <w:lastRenderedPageBreak/>
        <w:t>Alzheimer’s and dementia</w:t>
      </w:r>
    </w:p>
    <w:p w14:paraId="720372B3" w14:textId="77777777" w:rsidR="00907E25" w:rsidRDefault="00907E25" w:rsidP="00907E25">
      <w:pPr>
        <w:pStyle w:val="ListParagraph"/>
        <w:ind w:left="0"/>
        <w:rPr>
          <w:szCs w:val="24"/>
        </w:rPr>
      </w:pPr>
      <w:r w:rsidRPr="00BF389D">
        <w:rPr>
          <w:szCs w:val="24"/>
        </w:rPr>
        <w:t>The increase in deaths from dementia and Alzheimer’s disease may be influenced by a number of factors. More people are surviving to older ages both as a result of improvements in healthcare and also because of demographic events in the twentieth century such as the post war baby booms and subsequent improved chances of surviving infancy and early childhood</w:t>
      </w:r>
      <w:r w:rsidRPr="007B5958">
        <w:rPr>
          <w:szCs w:val="24"/>
          <w:vertAlign w:val="superscript"/>
        </w:rPr>
        <w:t>1</w:t>
      </w:r>
      <w:r>
        <w:rPr>
          <w:szCs w:val="24"/>
          <w:vertAlign w:val="superscript"/>
        </w:rPr>
        <w:t>6</w:t>
      </w:r>
      <w:r w:rsidRPr="00BF389D">
        <w:rPr>
          <w:szCs w:val="24"/>
        </w:rPr>
        <w:t>.</w:t>
      </w:r>
    </w:p>
    <w:p w14:paraId="09543C8F" w14:textId="77777777" w:rsidR="00907E25" w:rsidRPr="00BF389D" w:rsidRDefault="00907E25" w:rsidP="00907E25">
      <w:pPr>
        <w:pStyle w:val="ListParagraph"/>
        <w:ind w:left="0"/>
        <w:rPr>
          <w:szCs w:val="24"/>
        </w:rPr>
      </w:pPr>
    </w:p>
    <w:p w14:paraId="7FA3F36A" w14:textId="77777777" w:rsidR="00907E25" w:rsidRDefault="00907E25" w:rsidP="00907E25">
      <w:pPr>
        <w:pStyle w:val="ListParagraph"/>
        <w:ind w:left="0"/>
        <w:rPr>
          <w:szCs w:val="24"/>
        </w:rPr>
      </w:pPr>
      <w:r>
        <w:rPr>
          <w:szCs w:val="24"/>
        </w:rPr>
        <w:t>In more recent years t</w:t>
      </w:r>
      <w:r w:rsidRPr="00BF389D">
        <w:rPr>
          <w:szCs w:val="24"/>
        </w:rPr>
        <w:t>here has also been a general improvement in the recognition of both disease and mortality from age related degenerative conditions including dementia and Alzheimer’s disease</w:t>
      </w:r>
      <w:r w:rsidRPr="004A07CF">
        <w:rPr>
          <w:szCs w:val="24"/>
          <w:vertAlign w:val="superscript"/>
        </w:rPr>
        <w:t>1</w:t>
      </w:r>
      <w:r>
        <w:rPr>
          <w:szCs w:val="24"/>
          <w:vertAlign w:val="superscript"/>
        </w:rPr>
        <w:t>6</w:t>
      </w:r>
      <w:r w:rsidRPr="00BF389D">
        <w:rPr>
          <w:szCs w:val="24"/>
        </w:rPr>
        <w:t>.</w:t>
      </w:r>
    </w:p>
    <w:p w14:paraId="4FBE35EC" w14:textId="77777777" w:rsidR="00907E25" w:rsidRPr="00BF389D" w:rsidRDefault="00907E25" w:rsidP="00907E25">
      <w:pPr>
        <w:pStyle w:val="ListParagraph"/>
        <w:ind w:left="0"/>
        <w:rPr>
          <w:szCs w:val="24"/>
        </w:rPr>
      </w:pPr>
    </w:p>
    <w:p w14:paraId="4F2787DC" w14:textId="77777777" w:rsidR="00907E25" w:rsidRDefault="00907E25" w:rsidP="00907E25">
      <w:pPr>
        <w:pStyle w:val="ListParagraph"/>
        <w:ind w:left="0"/>
        <w:rPr>
          <w:szCs w:val="24"/>
        </w:rPr>
      </w:pPr>
      <w:r w:rsidRPr="00BF389D">
        <w:rPr>
          <w:szCs w:val="24"/>
        </w:rPr>
        <w:t>Changes to the coding of underlying cause of death can have an impact on the number of deaths recorded with a specific underlying cause. Two major coding changes occurred in 2011 and 2014. For example, the implementation of IRIS software for the coding of underlying cause of death in 2014 is associated with 7.1% increase in deaths attributed to an underlying cause of dementia</w:t>
      </w:r>
      <w:r w:rsidRPr="004A07CF">
        <w:rPr>
          <w:szCs w:val="24"/>
          <w:vertAlign w:val="superscript"/>
        </w:rPr>
        <w:t>1</w:t>
      </w:r>
      <w:r>
        <w:rPr>
          <w:szCs w:val="24"/>
          <w:vertAlign w:val="superscript"/>
        </w:rPr>
        <w:t>7</w:t>
      </w:r>
      <w:r w:rsidRPr="00BF389D">
        <w:rPr>
          <w:szCs w:val="24"/>
        </w:rPr>
        <w:t>.</w:t>
      </w:r>
    </w:p>
    <w:p w14:paraId="3A93D6B1" w14:textId="77777777" w:rsidR="00907E25" w:rsidRPr="00BF389D" w:rsidRDefault="00907E25" w:rsidP="00907E25">
      <w:pPr>
        <w:pStyle w:val="ListParagraph"/>
        <w:ind w:left="0"/>
        <w:rPr>
          <w:szCs w:val="24"/>
        </w:rPr>
      </w:pPr>
    </w:p>
    <w:p w14:paraId="54A020FC" w14:textId="6EC32F8A" w:rsidR="00907E25" w:rsidRPr="00BF389D" w:rsidRDefault="00907E25" w:rsidP="00907E25">
      <w:pPr>
        <w:pStyle w:val="ListParagraph"/>
        <w:ind w:left="0"/>
        <w:rPr>
          <w:szCs w:val="24"/>
        </w:rPr>
      </w:pPr>
      <w:r w:rsidRPr="00BF389D">
        <w:rPr>
          <w:szCs w:val="24"/>
        </w:rPr>
        <w:t>More than a third of deaths with an underlying cause of dementia or Alzheimer’s disease also have a respiratory disease (such as flu) mentioned on the death certificate</w:t>
      </w:r>
      <w:r w:rsidRPr="004A07CF">
        <w:rPr>
          <w:szCs w:val="24"/>
          <w:vertAlign w:val="superscript"/>
        </w:rPr>
        <w:t>1</w:t>
      </w:r>
      <w:r>
        <w:rPr>
          <w:szCs w:val="24"/>
          <w:vertAlign w:val="superscript"/>
        </w:rPr>
        <w:t>5</w:t>
      </w:r>
      <w:r w:rsidRPr="00BF389D">
        <w:rPr>
          <w:szCs w:val="24"/>
        </w:rPr>
        <w:t>.</w:t>
      </w:r>
      <w:r w:rsidR="000214DE">
        <w:rPr>
          <w:szCs w:val="24"/>
        </w:rPr>
        <w:t xml:space="preserve"> </w:t>
      </w:r>
      <w:r w:rsidRPr="00BF389D">
        <w:rPr>
          <w:szCs w:val="24"/>
        </w:rPr>
        <w:t>This may suggest that people with degenerative conditions such as dementia and Alzheimer’s disease have more vulnerability to the effects of  flu and other respiratory conditions.</w:t>
      </w:r>
    </w:p>
    <w:p w14:paraId="1E1E57D7" w14:textId="77777777" w:rsidR="00907E25" w:rsidRPr="005D0414" w:rsidRDefault="00907E25" w:rsidP="00907E25">
      <w:pPr>
        <w:rPr>
          <w:szCs w:val="24"/>
        </w:rPr>
      </w:pPr>
    </w:p>
    <w:p w14:paraId="19D9DA03" w14:textId="01B5784B" w:rsidR="00907E25" w:rsidRPr="00BF389D" w:rsidRDefault="00907E25" w:rsidP="00907E25">
      <w:pPr>
        <w:pStyle w:val="Heading2"/>
      </w:pPr>
      <w:bookmarkStart w:id="17" w:name="_Toc514244213"/>
      <w:bookmarkStart w:id="18" w:name="_Toc514938220"/>
      <w:r w:rsidRPr="00907E25">
        <w:t>What has happened since 2015?</w:t>
      </w:r>
      <w:bookmarkEnd w:id="17"/>
      <w:bookmarkEnd w:id="18"/>
    </w:p>
    <w:p w14:paraId="558D5E1C" w14:textId="30F9CA04" w:rsidR="00907E25" w:rsidRDefault="00907E25" w:rsidP="00907E25">
      <w:pPr>
        <w:pStyle w:val="ListParagraph"/>
        <w:ind w:left="0"/>
        <w:rPr>
          <w:szCs w:val="24"/>
        </w:rPr>
      </w:pPr>
      <w:r w:rsidRPr="00BF389D">
        <w:rPr>
          <w:szCs w:val="24"/>
        </w:rPr>
        <w:t>Following a large increase in 2015, the age</w:t>
      </w:r>
      <w:r w:rsidR="00C97741">
        <w:rPr>
          <w:szCs w:val="24"/>
        </w:rPr>
        <w:t>-</w:t>
      </w:r>
      <w:r w:rsidRPr="00BF389D">
        <w:rPr>
          <w:szCs w:val="24"/>
        </w:rPr>
        <w:t>standardised mortality rate decreased slightly to a rate of 1</w:t>
      </w:r>
      <w:r w:rsidR="003830CD">
        <w:rPr>
          <w:szCs w:val="24"/>
        </w:rPr>
        <w:t>,</w:t>
      </w:r>
      <w:r w:rsidRPr="00BF389D">
        <w:rPr>
          <w:szCs w:val="24"/>
        </w:rPr>
        <w:t>046 per 100,000 population in 2016. This is more consistent with the period since 2011.</w:t>
      </w:r>
    </w:p>
    <w:p w14:paraId="2B603AC7" w14:textId="77777777" w:rsidR="00907E25" w:rsidRPr="00BF389D" w:rsidRDefault="00907E25" w:rsidP="00907E25">
      <w:pPr>
        <w:pStyle w:val="ListParagraph"/>
        <w:ind w:left="0"/>
        <w:rPr>
          <w:szCs w:val="24"/>
        </w:rPr>
      </w:pPr>
    </w:p>
    <w:p w14:paraId="25BBBFA2" w14:textId="2FCE89F6" w:rsidR="00907E25" w:rsidRDefault="00907E25" w:rsidP="00907E25">
      <w:pPr>
        <w:pStyle w:val="ListParagraph"/>
        <w:ind w:left="0"/>
        <w:rPr>
          <w:szCs w:val="24"/>
        </w:rPr>
      </w:pPr>
      <w:r w:rsidRPr="00BF389D">
        <w:rPr>
          <w:szCs w:val="24"/>
        </w:rPr>
        <w:t>The provisional European age-standardised mortality rate for 2017 of 1</w:t>
      </w:r>
      <w:r w:rsidR="003830CD">
        <w:rPr>
          <w:szCs w:val="24"/>
        </w:rPr>
        <w:t>,</w:t>
      </w:r>
      <w:r w:rsidRPr="00BF389D">
        <w:rPr>
          <w:szCs w:val="24"/>
        </w:rPr>
        <w:t>037 per 100,000 population</w:t>
      </w:r>
      <w:r>
        <w:rPr>
          <w:szCs w:val="24"/>
        </w:rPr>
        <w:t xml:space="preserve"> is again</w:t>
      </w:r>
      <w:r w:rsidRPr="00BF389D">
        <w:rPr>
          <w:szCs w:val="24"/>
        </w:rPr>
        <w:t xml:space="preserve"> lower than the rate reported for 2015, </w:t>
      </w:r>
      <w:r>
        <w:rPr>
          <w:szCs w:val="24"/>
        </w:rPr>
        <w:t>and</w:t>
      </w:r>
      <w:r w:rsidRPr="00BF389D">
        <w:rPr>
          <w:szCs w:val="24"/>
        </w:rPr>
        <w:t xml:space="preserve"> more consistent with both the 2016 rate and the period since 2011. </w:t>
      </w:r>
    </w:p>
    <w:p w14:paraId="2EB36D70" w14:textId="77777777" w:rsidR="00907E25" w:rsidRPr="00BF389D" w:rsidRDefault="00907E25" w:rsidP="00907E25">
      <w:pPr>
        <w:pStyle w:val="ListParagraph"/>
        <w:ind w:left="0"/>
        <w:rPr>
          <w:szCs w:val="24"/>
        </w:rPr>
      </w:pPr>
    </w:p>
    <w:p w14:paraId="347A3562" w14:textId="77777777" w:rsidR="00907E25" w:rsidRDefault="00907E25" w:rsidP="00907E25">
      <w:pPr>
        <w:pStyle w:val="ListParagraph"/>
        <w:ind w:left="0"/>
        <w:rPr>
          <w:szCs w:val="24"/>
        </w:rPr>
      </w:pPr>
      <w:r w:rsidRPr="00BF389D">
        <w:rPr>
          <w:szCs w:val="24"/>
        </w:rPr>
        <w:t>Provisional data for the first seven weeks of 2018 suggests that the number of deaths registered was higher than the previous 5-year average</w:t>
      </w:r>
      <w:r w:rsidRPr="004A07CF">
        <w:rPr>
          <w:szCs w:val="24"/>
          <w:vertAlign w:val="superscript"/>
        </w:rPr>
        <w:t>1</w:t>
      </w:r>
      <w:r>
        <w:rPr>
          <w:szCs w:val="24"/>
          <w:vertAlign w:val="superscript"/>
        </w:rPr>
        <w:t>8</w:t>
      </w:r>
      <w:r w:rsidRPr="004A07CF">
        <w:rPr>
          <w:szCs w:val="24"/>
          <w:vertAlign w:val="superscript"/>
        </w:rPr>
        <w:t>,</w:t>
      </w:r>
      <w:r>
        <w:rPr>
          <w:szCs w:val="24"/>
          <w:vertAlign w:val="superscript"/>
        </w:rPr>
        <w:t>19</w:t>
      </w:r>
      <w:r w:rsidRPr="00BF389D">
        <w:rPr>
          <w:szCs w:val="24"/>
        </w:rPr>
        <w:t xml:space="preserve">. Analysis by colleagues in the </w:t>
      </w:r>
      <w:r>
        <w:rPr>
          <w:szCs w:val="24"/>
        </w:rPr>
        <w:t xml:space="preserve">Public Health Wales </w:t>
      </w:r>
      <w:r w:rsidRPr="00BF389D">
        <w:rPr>
          <w:szCs w:val="24"/>
        </w:rPr>
        <w:t xml:space="preserve">Communicable Disease Surveillance Centre has indicated that flu is again implicated in the increased level of mortality during this period in Wales. </w:t>
      </w:r>
    </w:p>
    <w:p w14:paraId="4F5EC652" w14:textId="77777777" w:rsidR="00907E25" w:rsidRPr="00BF389D" w:rsidRDefault="00907E25" w:rsidP="00907E25">
      <w:pPr>
        <w:pStyle w:val="ListParagraph"/>
        <w:ind w:left="0"/>
        <w:rPr>
          <w:szCs w:val="24"/>
        </w:rPr>
      </w:pPr>
    </w:p>
    <w:p w14:paraId="01EB09D7" w14:textId="77777777" w:rsidR="00907E25" w:rsidRDefault="00907E25" w:rsidP="00907E25">
      <w:pPr>
        <w:pStyle w:val="ListParagraph"/>
        <w:ind w:left="0"/>
        <w:rPr>
          <w:szCs w:val="24"/>
        </w:rPr>
      </w:pPr>
      <w:r w:rsidRPr="00BF389D">
        <w:rPr>
          <w:szCs w:val="24"/>
        </w:rPr>
        <w:t>The previous ongoing decline in overall mortality rates may have masked similar peaks and troughs in the past; however, the levelling off of mortality rates in Wales, in conjunction with a growing vulnerable elderly population, may indicate that that fluctuations in mortality such as that seen in 2015 may be more likely in the future.</w:t>
      </w:r>
    </w:p>
    <w:p w14:paraId="30E52C9C" w14:textId="77777777" w:rsidR="00907E25" w:rsidRDefault="00907E25" w:rsidP="00907E25">
      <w:pPr>
        <w:pStyle w:val="ListParagraph"/>
        <w:ind w:left="0"/>
        <w:rPr>
          <w:szCs w:val="24"/>
        </w:rPr>
      </w:pPr>
    </w:p>
    <w:p w14:paraId="62ED3CA8" w14:textId="77777777" w:rsidR="00907E25" w:rsidRPr="00BF389D" w:rsidRDefault="00907E25" w:rsidP="00907E25">
      <w:pPr>
        <w:pStyle w:val="ListParagraph"/>
        <w:ind w:left="0"/>
        <w:rPr>
          <w:szCs w:val="24"/>
        </w:rPr>
      </w:pPr>
    </w:p>
    <w:p w14:paraId="320A4EEB" w14:textId="77777777" w:rsidR="00982FC7" w:rsidRDefault="00982FC7">
      <w:pPr>
        <w:spacing w:before="0"/>
        <w:jc w:val="left"/>
        <w:rPr>
          <w:b/>
          <w:color w:val="3182BD"/>
          <w:kern w:val="28"/>
          <w:sz w:val="48"/>
          <w:szCs w:val="48"/>
        </w:rPr>
      </w:pPr>
      <w:bookmarkStart w:id="19" w:name="_Toc514244214"/>
      <w:bookmarkStart w:id="20" w:name="_Toc514938221"/>
      <w:r>
        <w:br w:type="page"/>
      </w:r>
    </w:p>
    <w:p w14:paraId="423CDDA9" w14:textId="3F3A137C" w:rsidR="00907E25" w:rsidRPr="00907E25" w:rsidRDefault="00907E25" w:rsidP="00907E25">
      <w:pPr>
        <w:pStyle w:val="Heading1"/>
        <w:numPr>
          <w:ilvl w:val="0"/>
          <w:numId w:val="43"/>
        </w:numPr>
        <w:tabs>
          <w:tab w:val="num" w:pos="1008"/>
        </w:tabs>
      </w:pPr>
      <w:r w:rsidRPr="00907E25">
        <w:lastRenderedPageBreak/>
        <w:t>Conclusion</w:t>
      </w:r>
      <w:bookmarkEnd w:id="19"/>
      <w:bookmarkEnd w:id="20"/>
    </w:p>
    <w:p w14:paraId="34107410" w14:textId="77777777" w:rsidR="00907E25" w:rsidRPr="00A534F6" w:rsidRDefault="00907E25" w:rsidP="00907E25"/>
    <w:p w14:paraId="76415137" w14:textId="77777777" w:rsidR="00907E25" w:rsidRDefault="00907E25" w:rsidP="00907E25">
      <w:pPr>
        <w:pStyle w:val="ListParagraph"/>
        <w:ind w:left="0"/>
        <w:rPr>
          <w:szCs w:val="24"/>
        </w:rPr>
      </w:pPr>
      <w:r w:rsidRPr="00BF389D">
        <w:rPr>
          <w:szCs w:val="24"/>
        </w:rPr>
        <w:t>The mortality rate in Wales has been falling steadily since the Second World War</w:t>
      </w:r>
      <w:r w:rsidRPr="000741B7">
        <w:rPr>
          <w:szCs w:val="24"/>
          <w:vertAlign w:val="superscript"/>
        </w:rPr>
        <w:t>1</w:t>
      </w:r>
      <w:r w:rsidRPr="00BF389D">
        <w:rPr>
          <w:szCs w:val="24"/>
        </w:rPr>
        <w:t>.</w:t>
      </w:r>
      <w:r>
        <w:rPr>
          <w:szCs w:val="24"/>
        </w:rPr>
        <w:t xml:space="preserve"> </w:t>
      </w:r>
      <w:r w:rsidRPr="00BF389D">
        <w:rPr>
          <w:szCs w:val="24"/>
        </w:rPr>
        <w:t>The increase in mortality in Wales between 2014 and 2015 was the largest since 1968</w:t>
      </w:r>
      <w:r w:rsidRPr="00BF389D">
        <w:rPr>
          <w:szCs w:val="24"/>
          <w:vertAlign w:val="superscript"/>
        </w:rPr>
        <w:t>2</w:t>
      </w:r>
      <w:r w:rsidRPr="00BF389D">
        <w:rPr>
          <w:szCs w:val="24"/>
        </w:rPr>
        <w:t xml:space="preserve">. Analysis of cause of death in older people has shown that increases in deaths from flu and pneumonia, other respiratory disease, and Alzheimer’s and dementia had a major impact on the overall rate. </w:t>
      </w:r>
    </w:p>
    <w:p w14:paraId="42D5AF27" w14:textId="77777777" w:rsidR="00907E25" w:rsidRPr="00BF389D" w:rsidRDefault="00907E25" w:rsidP="00907E25">
      <w:pPr>
        <w:pStyle w:val="ListParagraph"/>
        <w:ind w:left="0"/>
        <w:rPr>
          <w:szCs w:val="24"/>
        </w:rPr>
      </w:pPr>
    </w:p>
    <w:p w14:paraId="1AAD54E5" w14:textId="77777777" w:rsidR="00907E25" w:rsidRDefault="00907E25" w:rsidP="00907E25">
      <w:pPr>
        <w:pStyle w:val="ListParagraph"/>
        <w:ind w:left="0"/>
        <w:rPr>
          <w:szCs w:val="24"/>
        </w:rPr>
      </w:pPr>
      <w:r w:rsidRPr="00BF389D">
        <w:rPr>
          <w:szCs w:val="24"/>
        </w:rPr>
        <w:t xml:space="preserve">However, the key finding of this report is that the increase in deaths in 2015 did not occur in isolation. The improvement in mortality rates has slowed markedly since 2011 and this is also reflected in a plateauing of life expectancy. Although happening at slightly different times and to differing extents, this phenomenon is exhibited in other parts of the UK and Europe. </w:t>
      </w:r>
    </w:p>
    <w:p w14:paraId="069E93FC" w14:textId="77777777" w:rsidR="00907E25" w:rsidRPr="00BF389D" w:rsidRDefault="00907E25" w:rsidP="00907E25">
      <w:pPr>
        <w:pStyle w:val="ListParagraph"/>
        <w:ind w:left="0"/>
        <w:rPr>
          <w:szCs w:val="24"/>
        </w:rPr>
      </w:pPr>
    </w:p>
    <w:p w14:paraId="0C9FE645" w14:textId="77777777" w:rsidR="00907E25" w:rsidRDefault="00907E25" w:rsidP="00907E25">
      <w:pPr>
        <w:pStyle w:val="ListParagraph"/>
        <w:ind w:left="0"/>
        <w:rPr>
          <w:szCs w:val="24"/>
        </w:rPr>
      </w:pPr>
      <w:r w:rsidRPr="00BF389D">
        <w:rPr>
          <w:szCs w:val="24"/>
        </w:rPr>
        <w:t xml:space="preserve">Overall mortality rates are most strongly influenced by age specific rates among older people (aged 85+) due to the relatively large number of deaths occurring in this subgroup. Our analysis has shown that the </w:t>
      </w:r>
      <w:r>
        <w:rPr>
          <w:szCs w:val="24"/>
        </w:rPr>
        <w:t>faltering in the decline of mortality rates</w:t>
      </w:r>
      <w:r w:rsidRPr="00BF389D">
        <w:rPr>
          <w:szCs w:val="24"/>
        </w:rPr>
        <w:t xml:space="preserve"> in Wales is also being driven by changes in mortality among older people. However, it is clear that the levelling off in mortality is occurring at younger ages too. </w:t>
      </w:r>
    </w:p>
    <w:p w14:paraId="6D518FA0" w14:textId="77777777" w:rsidR="00907E25" w:rsidRPr="00BF389D" w:rsidRDefault="00907E25" w:rsidP="00907E25">
      <w:pPr>
        <w:pStyle w:val="ListParagraph"/>
        <w:ind w:left="0"/>
        <w:rPr>
          <w:szCs w:val="24"/>
        </w:rPr>
      </w:pPr>
    </w:p>
    <w:p w14:paraId="6CFFCD8E" w14:textId="41D6BAD8" w:rsidR="00907E25" w:rsidRPr="00CA6091" w:rsidRDefault="00907E25" w:rsidP="00907E25">
      <w:pPr>
        <w:pStyle w:val="ListParagraph"/>
        <w:ind w:left="0"/>
        <w:rPr>
          <w:szCs w:val="24"/>
        </w:rPr>
      </w:pPr>
      <w:r w:rsidRPr="00CA6091">
        <w:rPr>
          <w:szCs w:val="24"/>
        </w:rPr>
        <w:t>The slowing of the decline of mortality</w:t>
      </w:r>
      <w:r w:rsidR="003830CD">
        <w:rPr>
          <w:szCs w:val="24"/>
        </w:rPr>
        <w:t xml:space="preserve"> in</w:t>
      </w:r>
      <w:r w:rsidRPr="00CA6091">
        <w:rPr>
          <w:szCs w:val="24"/>
        </w:rPr>
        <w:t xml:space="preserve"> Wales is clearly a matter of public health concern. This is part of a broader picture of changes in mortality and life expectancy across the UK and in other developed countries. </w:t>
      </w:r>
      <w:r w:rsidRPr="00317B99">
        <w:rPr>
          <w:szCs w:val="24"/>
        </w:rPr>
        <w:t>Work is ongoing among a number of agencies to further explore the reasons behind this. Public Health Wales will continue to work alongside partners both to monitor the ongoing mortality trends and to further explore the factors that may be driving the changes we have highlighted, particularly in relation to factors specific to Wales.</w:t>
      </w:r>
      <w:r w:rsidRPr="00CA6091">
        <w:rPr>
          <w:szCs w:val="24"/>
        </w:rPr>
        <w:t xml:space="preserve"> </w:t>
      </w:r>
    </w:p>
    <w:p w14:paraId="2C7DB819" w14:textId="77777777" w:rsidR="00907E25" w:rsidRDefault="00907E25" w:rsidP="00907E25">
      <w:pPr>
        <w:spacing w:before="0"/>
        <w:jc w:val="left"/>
        <w:rPr>
          <w:b/>
          <w:kern w:val="28"/>
          <w:sz w:val="32"/>
        </w:rPr>
      </w:pPr>
      <w:bookmarkStart w:id="21" w:name="_Toc482180311"/>
      <w:bookmarkStart w:id="22" w:name="_Toc482180312"/>
      <w:bookmarkEnd w:id="21"/>
      <w:bookmarkEnd w:id="22"/>
      <w:r>
        <w:br w:type="page"/>
      </w:r>
    </w:p>
    <w:p w14:paraId="60C843BE" w14:textId="50539CDB" w:rsidR="009305BC" w:rsidRPr="009305BC" w:rsidRDefault="009305BC" w:rsidP="009305BC">
      <w:pPr>
        <w:pStyle w:val="Heading1"/>
        <w:numPr>
          <w:ilvl w:val="0"/>
          <w:numId w:val="43"/>
        </w:numPr>
        <w:tabs>
          <w:tab w:val="num" w:pos="1008"/>
        </w:tabs>
      </w:pPr>
      <w:bookmarkStart w:id="23" w:name="_Toc514244215"/>
      <w:bookmarkStart w:id="24" w:name="_Toc514938222"/>
      <w:bookmarkEnd w:id="16"/>
      <w:r w:rsidRPr="009305BC">
        <w:lastRenderedPageBreak/>
        <w:t>References</w:t>
      </w:r>
      <w:bookmarkEnd w:id="23"/>
      <w:bookmarkEnd w:id="24"/>
    </w:p>
    <w:p w14:paraId="7DDBAA75" w14:textId="77777777" w:rsidR="009305BC" w:rsidRPr="008A354C" w:rsidRDefault="009305BC" w:rsidP="009305BC"/>
    <w:p w14:paraId="6F2753EB" w14:textId="77777777" w:rsidR="009305BC" w:rsidRPr="00C47F6D" w:rsidRDefault="009305BC" w:rsidP="009305BC">
      <w:pPr>
        <w:pStyle w:val="ListParagraph"/>
        <w:numPr>
          <w:ilvl w:val="0"/>
          <w:numId w:val="49"/>
        </w:numPr>
        <w:spacing w:before="0"/>
        <w:jc w:val="left"/>
        <w:rPr>
          <w:sz w:val="20"/>
        </w:rPr>
      </w:pPr>
      <w:r>
        <w:rPr>
          <w:sz w:val="20"/>
        </w:rPr>
        <w:t>Griffiths C, Brock A. Twentieth century mortality t</w:t>
      </w:r>
      <w:r w:rsidRPr="00C47F6D">
        <w:rPr>
          <w:sz w:val="20"/>
        </w:rPr>
        <w:t xml:space="preserve">rends in England and Wales. </w:t>
      </w:r>
      <w:r w:rsidRPr="004B6525">
        <w:rPr>
          <w:rFonts w:ascii="Arial" w:hAnsi="Arial" w:cs="Arial"/>
          <w:i/>
          <w:sz w:val="20"/>
          <w:szCs w:val="20"/>
        </w:rPr>
        <w:t>Health Stat Q</w:t>
      </w:r>
      <w:r w:rsidRPr="00C47F6D">
        <w:rPr>
          <w:sz w:val="20"/>
        </w:rPr>
        <w:t xml:space="preserve"> </w:t>
      </w:r>
      <w:r>
        <w:rPr>
          <w:sz w:val="20"/>
        </w:rPr>
        <w:t>2003;18:5-16</w:t>
      </w:r>
    </w:p>
    <w:p w14:paraId="52CB63AB" w14:textId="77777777" w:rsidR="009305BC" w:rsidRPr="00C47F6D" w:rsidRDefault="009305BC" w:rsidP="009305BC">
      <w:pPr>
        <w:pStyle w:val="ListParagraph"/>
        <w:numPr>
          <w:ilvl w:val="0"/>
          <w:numId w:val="49"/>
        </w:numPr>
        <w:spacing w:before="0"/>
        <w:jc w:val="left"/>
        <w:rPr>
          <w:sz w:val="20"/>
        </w:rPr>
      </w:pPr>
      <w:r w:rsidRPr="00C47F6D">
        <w:rPr>
          <w:sz w:val="20"/>
        </w:rPr>
        <w:t xml:space="preserve">Office for National Statistics. </w:t>
      </w:r>
      <w:r w:rsidRPr="00C47F6D">
        <w:rPr>
          <w:i/>
          <w:sz w:val="20"/>
        </w:rPr>
        <w:t>Provisional analysis of death registrations: 2015.</w:t>
      </w:r>
      <w:r w:rsidRPr="00C47F6D">
        <w:rPr>
          <w:sz w:val="20"/>
        </w:rPr>
        <w:t xml:space="preserve"> </w:t>
      </w:r>
      <w:r>
        <w:rPr>
          <w:sz w:val="20"/>
        </w:rPr>
        <w:t xml:space="preserve">[Online]. </w:t>
      </w:r>
      <w:r w:rsidRPr="00C47F6D">
        <w:rPr>
          <w:sz w:val="20"/>
        </w:rPr>
        <w:t xml:space="preserve">Available at: </w:t>
      </w:r>
      <w:hyperlink r:id="rId21" w:history="1">
        <w:r w:rsidRPr="00C47F6D">
          <w:rPr>
            <w:rStyle w:val="Hyperlink"/>
            <w:sz w:val="20"/>
          </w:rPr>
          <w:t>https://www.ons.gov.uk/peoplepopulationandcommunity/birthsdeathsandmarriages/deaths/articles/provisionalanalysisofdeathregistrations/2015</w:t>
        </w:r>
      </w:hyperlink>
      <w:r w:rsidRPr="00C47F6D">
        <w:rPr>
          <w:sz w:val="20"/>
        </w:rPr>
        <w:t>.</w:t>
      </w:r>
      <w:r>
        <w:rPr>
          <w:sz w:val="20"/>
        </w:rPr>
        <w:t xml:space="preserve"> [</w:t>
      </w:r>
      <w:r w:rsidRPr="00C47F6D">
        <w:rPr>
          <w:sz w:val="20"/>
        </w:rPr>
        <w:t>Accessed</w:t>
      </w:r>
      <w:r>
        <w:rPr>
          <w:sz w:val="20"/>
        </w:rPr>
        <w:t>: 27</w:t>
      </w:r>
      <w:r w:rsidRPr="00901319">
        <w:rPr>
          <w:sz w:val="20"/>
          <w:vertAlign w:val="superscript"/>
        </w:rPr>
        <w:t>th</w:t>
      </w:r>
      <w:r>
        <w:rPr>
          <w:sz w:val="20"/>
        </w:rPr>
        <w:t xml:space="preserve"> </w:t>
      </w:r>
      <w:r w:rsidRPr="00C47F6D">
        <w:rPr>
          <w:sz w:val="20"/>
        </w:rPr>
        <w:t>March 2018</w:t>
      </w:r>
      <w:r>
        <w:rPr>
          <w:sz w:val="20"/>
        </w:rPr>
        <w:t>]</w:t>
      </w:r>
    </w:p>
    <w:p w14:paraId="5FBB765A" w14:textId="77777777" w:rsidR="009305BC" w:rsidRPr="00C47F6D" w:rsidRDefault="009305BC" w:rsidP="009305BC">
      <w:pPr>
        <w:pStyle w:val="ListParagraph"/>
        <w:numPr>
          <w:ilvl w:val="0"/>
          <w:numId w:val="49"/>
        </w:numPr>
        <w:spacing w:before="0" w:after="200"/>
        <w:jc w:val="left"/>
        <w:rPr>
          <w:sz w:val="20"/>
        </w:rPr>
      </w:pPr>
      <w:r w:rsidRPr="00C47F6D">
        <w:rPr>
          <w:sz w:val="20"/>
        </w:rPr>
        <w:t xml:space="preserve">Green M. Sharp rise in UK mortality rate may be due to austerity measures. </w:t>
      </w:r>
      <w:r>
        <w:rPr>
          <w:sz w:val="20"/>
        </w:rPr>
        <w:t>[Online]. The C</w:t>
      </w:r>
      <w:r w:rsidRPr="00C47F6D">
        <w:rPr>
          <w:sz w:val="20"/>
        </w:rPr>
        <w:t>onversation 2017</w:t>
      </w:r>
      <w:r>
        <w:rPr>
          <w:sz w:val="20"/>
        </w:rPr>
        <w:t xml:space="preserve"> </w:t>
      </w:r>
      <w:r w:rsidRPr="00C47F6D">
        <w:rPr>
          <w:sz w:val="20"/>
        </w:rPr>
        <w:t>February 17</w:t>
      </w:r>
      <w:r w:rsidRPr="00195777">
        <w:rPr>
          <w:sz w:val="20"/>
          <w:vertAlign w:val="superscript"/>
        </w:rPr>
        <w:t>th</w:t>
      </w:r>
      <w:r>
        <w:rPr>
          <w:sz w:val="20"/>
        </w:rPr>
        <w:t>.</w:t>
      </w:r>
      <w:r w:rsidRPr="00C47F6D">
        <w:rPr>
          <w:sz w:val="20"/>
        </w:rPr>
        <w:t xml:space="preserve"> </w:t>
      </w:r>
      <w:r>
        <w:rPr>
          <w:sz w:val="20"/>
        </w:rPr>
        <w:t>A</w:t>
      </w:r>
      <w:r w:rsidRPr="00C47F6D">
        <w:rPr>
          <w:sz w:val="20"/>
        </w:rPr>
        <w:t xml:space="preserve">vailable at </w:t>
      </w:r>
      <w:hyperlink r:id="rId22" w:history="1">
        <w:r w:rsidRPr="00C47F6D">
          <w:rPr>
            <w:rStyle w:val="Hyperlink"/>
            <w:sz w:val="20"/>
          </w:rPr>
          <w:t>http://theconversation.com/sharp-rise-in-uk-mortality-rate-may-be-due-to-austerity-measures-72984</w:t>
        </w:r>
      </w:hyperlink>
      <w:r w:rsidRPr="00C47F6D">
        <w:rPr>
          <w:sz w:val="20"/>
        </w:rPr>
        <w:t xml:space="preserve"> </w:t>
      </w:r>
      <w:r>
        <w:rPr>
          <w:sz w:val="20"/>
        </w:rPr>
        <w:t>[</w:t>
      </w:r>
      <w:r w:rsidRPr="00C47F6D">
        <w:rPr>
          <w:sz w:val="20"/>
        </w:rPr>
        <w:t>Accessed 5</w:t>
      </w:r>
      <w:r w:rsidRPr="00D20100">
        <w:rPr>
          <w:sz w:val="20"/>
          <w:vertAlign w:val="superscript"/>
        </w:rPr>
        <w:t>th</w:t>
      </w:r>
      <w:r>
        <w:rPr>
          <w:sz w:val="20"/>
        </w:rPr>
        <w:t xml:space="preserve"> </w:t>
      </w:r>
      <w:r w:rsidRPr="00C47F6D">
        <w:rPr>
          <w:sz w:val="20"/>
        </w:rPr>
        <w:t xml:space="preserve"> March 2018</w:t>
      </w:r>
      <w:r>
        <w:rPr>
          <w:sz w:val="20"/>
        </w:rPr>
        <w:t>]</w:t>
      </w:r>
    </w:p>
    <w:p w14:paraId="35B855BB" w14:textId="2D034820" w:rsidR="009305BC" w:rsidRPr="00C47F6D" w:rsidRDefault="009305BC" w:rsidP="009305BC">
      <w:pPr>
        <w:pStyle w:val="ListParagraph"/>
        <w:numPr>
          <w:ilvl w:val="0"/>
          <w:numId w:val="49"/>
        </w:numPr>
        <w:spacing w:before="0" w:after="200"/>
        <w:jc w:val="left"/>
        <w:rPr>
          <w:sz w:val="20"/>
        </w:rPr>
      </w:pPr>
      <w:r w:rsidRPr="00C47F6D">
        <w:rPr>
          <w:sz w:val="20"/>
        </w:rPr>
        <w:t>Public Health Matters Blog</w:t>
      </w:r>
      <w:r>
        <w:rPr>
          <w:sz w:val="20"/>
        </w:rPr>
        <w:t>.</w:t>
      </w:r>
      <w:r w:rsidRPr="00C47F6D">
        <w:rPr>
          <w:sz w:val="20"/>
        </w:rPr>
        <w:t xml:space="preserve"> What’s happening with mortality rates in England? Blog 2017 20</w:t>
      </w:r>
      <w:r w:rsidRPr="00195777">
        <w:rPr>
          <w:sz w:val="20"/>
          <w:vertAlign w:val="superscript"/>
        </w:rPr>
        <w:t>th</w:t>
      </w:r>
      <w:r>
        <w:rPr>
          <w:sz w:val="20"/>
        </w:rPr>
        <w:t xml:space="preserve"> </w:t>
      </w:r>
      <w:r w:rsidRPr="00C47F6D">
        <w:rPr>
          <w:sz w:val="20"/>
        </w:rPr>
        <w:t>July</w:t>
      </w:r>
      <w:r>
        <w:rPr>
          <w:sz w:val="20"/>
        </w:rPr>
        <w:t>.</w:t>
      </w:r>
      <w:r w:rsidRPr="00C47F6D">
        <w:rPr>
          <w:sz w:val="20"/>
        </w:rPr>
        <w:t xml:space="preserve"> Available at: </w:t>
      </w:r>
      <w:hyperlink r:id="rId23" w:history="1">
        <w:r w:rsidR="00F94AC6" w:rsidRPr="00F94AC6">
          <w:rPr>
            <w:rStyle w:val="Hyperlink"/>
            <w:sz w:val="20"/>
          </w:rPr>
          <w:t>https://publichealthmatters.blog.gov.uk/2017/07/20/whats-happening-with-mortality-rates-in-england/</w:t>
        </w:r>
      </w:hyperlink>
      <w:r w:rsidR="00F94AC6">
        <w:rPr>
          <w:sz w:val="20"/>
        </w:rPr>
        <w:t xml:space="preserve"> [</w:t>
      </w:r>
      <w:r w:rsidRPr="00C47F6D">
        <w:rPr>
          <w:sz w:val="20"/>
        </w:rPr>
        <w:t>Accessed: 5</w:t>
      </w:r>
      <w:r w:rsidRPr="00EB0BB4">
        <w:rPr>
          <w:sz w:val="20"/>
          <w:vertAlign w:val="superscript"/>
        </w:rPr>
        <w:t>th</w:t>
      </w:r>
      <w:r>
        <w:rPr>
          <w:sz w:val="20"/>
        </w:rPr>
        <w:t xml:space="preserve"> </w:t>
      </w:r>
      <w:r w:rsidRPr="00C47F6D">
        <w:rPr>
          <w:sz w:val="20"/>
        </w:rPr>
        <w:t>March 2018</w:t>
      </w:r>
      <w:r>
        <w:rPr>
          <w:sz w:val="20"/>
        </w:rPr>
        <w:t>]</w:t>
      </w:r>
    </w:p>
    <w:p w14:paraId="7BBDA426" w14:textId="77777777" w:rsidR="009305BC" w:rsidRPr="00C47F6D" w:rsidRDefault="009305BC" w:rsidP="009305BC">
      <w:pPr>
        <w:pStyle w:val="ListParagraph"/>
        <w:numPr>
          <w:ilvl w:val="0"/>
          <w:numId w:val="49"/>
        </w:numPr>
        <w:spacing w:before="0" w:after="200"/>
        <w:jc w:val="left"/>
        <w:rPr>
          <w:sz w:val="20"/>
        </w:rPr>
      </w:pPr>
      <w:r w:rsidRPr="00C47F6D">
        <w:rPr>
          <w:sz w:val="20"/>
        </w:rPr>
        <w:t>Why has mortality in En</w:t>
      </w:r>
      <w:r>
        <w:rPr>
          <w:sz w:val="20"/>
        </w:rPr>
        <w:t>gland and Wales been increasing</w:t>
      </w:r>
      <w:r w:rsidRPr="00C47F6D">
        <w:rPr>
          <w:sz w:val="20"/>
        </w:rPr>
        <w:t>? An iterative demographic analysis</w:t>
      </w:r>
      <w:r w:rsidRPr="002A20CC">
        <w:rPr>
          <w:i/>
          <w:sz w:val="20"/>
        </w:rPr>
        <w:t>. J R Soc Med</w:t>
      </w:r>
      <w:r w:rsidRPr="00C47F6D">
        <w:rPr>
          <w:sz w:val="20"/>
        </w:rPr>
        <w:t xml:space="preserve"> </w:t>
      </w:r>
      <w:r>
        <w:rPr>
          <w:sz w:val="20"/>
        </w:rPr>
        <w:t xml:space="preserve">2017; 110: </w:t>
      </w:r>
      <w:hyperlink r:id="rId24" w:history="1">
        <w:r w:rsidRPr="00195777">
          <w:rPr>
            <w:rStyle w:val="Hyperlink"/>
            <w:sz w:val="20"/>
            <w:szCs w:val="20"/>
            <w:lang w:val="en"/>
          </w:rPr>
          <w:t>https://doi.org/10.1177/0141076817693599</w:t>
        </w:r>
      </w:hyperlink>
      <w:r w:rsidRPr="00C47F6D">
        <w:rPr>
          <w:sz w:val="20"/>
        </w:rPr>
        <w:t xml:space="preserve"> </w:t>
      </w:r>
      <w:r>
        <w:rPr>
          <w:sz w:val="20"/>
        </w:rPr>
        <w:t xml:space="preserve"> </w:t>
      </w:r>
      <w:r w:rsidRPr="00C47F6D">
        <w:rPr>
          <w:sz w:val="20"/>
        </w:rPr>
        <w:t xml:space="preserve">Available at: </w:t>
      </w:r>
      <w:hyperlink r:id="rId25" w:history="1">
        <w:r w:rsidRPr="00C47F6D">
          <w:rPr>
            <w:rStyle w:val="Hyperlink"/>
            <w:sz w:val="20"/>
          </w:rPr>
          <w:t>https://www.ncbi.nlm.nih.gov/pubmed/28208027</w:t>
        </w:r>
      </w:hyperlink>
      <w:r w:rsidRPr="00C47F6D">
        <w:rPr>
          <w:sz w:val="20"/>
        </w:rPr>
        <w:t xml:space="preserve"> </w:t>
      </w:r>
      <w:r>
        <w:rPr>
          <w:sz w:val="20"/>
        </w:rPr>
        <w:t>[</w:t>
      </w:r>
      <w:r w:rsidRPr="00C47F6D">
        <w:rPr>
          <w:sz w:val="20"/>
        </w:rPr>
        <w:t>Accessed: 5</w:t>
      </w:r>
      <w:r w:rsidRPr="00233132">
        <w:rPr>
          <w:sz w:val="20"/>
          <w:vertAlign w:val="superscript"/>
        </w:rPr>
        <w:t>th</w:t>
      </w:r>
      <w:r>
        <w:rPr>
          <w:sz w:val="20"/>
        </w:rPr>
        <w:t xml:space="preserve"> </w:t>
      </w:r>
      <w:r w:rsidRPr="00C47F6D">
        <w:rPr>
          <w:sz w:val="20"/>
        </w:rPr>
        <w:t>March 2018</w:t>
      </w:r>
      <w:r>
        <w:rPr>
          <w:sz w:val="20"/>
        </w:rPr>
        <w:t>]</w:t>
      </w:r>
    </w:p>
    <w:p w14:paraId="354F2F01" w14:textId="77777777" w:rsidR="009305BC" w:rsidRPr="00C47F6D" w:rsidRDefault="009305BC" w:rsidP="009305BC">
      <w:pPr>
        <w:pStyle w:val="ListParagraph"/>
        <w:numPr>
          <w:ilvl w:val="0"/>
          <w:numId w:val="49"/>
        </w:numPr>
        <w:spacing w:before="0" w:after="200"/>
        <w:jc w:val="left"/>
        <w:rPr>
          <w:sz w:val="20"/>
        </w:rPr>
      </w:pPr>
      <w:r>
        <w:rPr>
          <w:sz w:val="20"/>
        </w:rPr>
        <w:t xml:space="preserve">Hiam L, Dorling D, Harrison DK, </w:t>
      </w:r>
      <w:r w:rsidRPr="00C47F6D">
        <w:rPr>
          <w:sz w:val="20"/>
        </w:rPr>
        <w:t>McKee M. What caused the spike in mortality in England and Wales in January 2015?</w:t>
      </w:r>
      <w:r>
        <w:rPr>
          <w:sz w:val="20"/>
        </w:rPr>
        <w:t xml:space="preserve"> </w:t>
      </w:r>
      <w:r w:rsidRPr="00A97C49">
        <w:rPr>
          <w:i/>
          <w:sz w:val="20"/>
        </w:rPr>
        <w:t>J R Soc Med</w:t>
      </w:r>
      <w:r>
        <w:rPr>
          <w:sz w:val="20"/>
        </w:rPr>
        <w:t xml:space="preserve"> 2017; 110: 131-7</w:t>
      </w:r>
    </w:p>
    <w:p w14:paraId="39CB141A" w14:textId="3C40C103" w:rsidR="009305BC" w:rsidRPr="00C47F6D" w:rsidRDefault="009305BC" w:rsidP="009305BC">
      <w:pPr>
        <w:pStyle w:val="ListParagraph"/>
        <w:numPr>
          <w:ilvl w:val="0"/>
          <w:numId w:val="49"/>
        </w:numPr>
        <w:spacing w:before="0" w:after="200"/>
        <w:jc w:val="left"/>
        <w:rPr>
          <w:sz w:val="20"/>
        </w:rPr>
      </w:pPr>
      <w:r w:rsidRPr="00C47F6D">
        <w:rPr>
          <w:sz w:val="20"/>
        </w:rPr>
        <w:t xml:space="preserve">Number of deaths in England and Wales hits 12-year high. The Guardian. </w:t>
      </w:r>
      <w:r>
        <w:rPr>
          <w:sz w:val="20"/>
        </w:rPr>
        <w:t xml:space="preserve">2016 </w:t>
      </w:r>
      <w:r w:rsidRPr="00C47F6D">
        <w:rPr>
          <w:sz w:val="20"/>
        </w:rPr>
        <w:t>7</w:t>
      </w:r>
      <w:r w:rsidRPr="002A20CC">
        <w:rPr>
          <w:sz w:val="20"/>
          <w:vertAlign w:val="superscript"/>
        </w:rPr>
        <w:t>th</w:t>
      </w:r>
      <w:r>
        <w:rPr>
          <w:sz w:val="20"/>
        </w:rPr>
        <w:t xml:space="preserve">  April.</w:t>
      </w:r>
      <w:r w:rsidRPr="00C47F6D">
        <w:rPr>
          <w:sz w:val="20"/>
        </w:rPr>
        <w:t xml:space="preserve"> Available at:  </w:t>
      </w:r>
      <w:hyperlink r:id="rId26" w:history="1">
        <w:r w:rsidR="00F94AC6" w:rsidRPr="00F94AC6">
          <w:rPr>
            <w:rStyle w:val="Hyperlink"/>
            <w:sz w:val="20"/>
          </w:rPr>
          <w:t>https://www.theguardian.com/uk-news/2016/apr/07/number-deaths-england-wales-12-year-high-life-expectancy</w:t>
        </w:r>
      </w:hyperlink>
      <w:r w:rsidR="00F94AC6">
        <w:rPr>
          <w:sz w:val="20"/>
        </w:rPr>
        <w:t xml:space="preserve"> [</w:t>
      </w:r>
      <w:r w:rsidRPr="00C47F6D">
        <w:rPr>
          <w:sz w:val="20"/>
        </w:rPr>
        <w:t>Accessed: 5</w:t>
      </w:r>
      <w:r w:rsidRPr="002A20CC">
        <w:rPr>
          <w:sz w:val="20"/>
          <w:vertAlign w:val="superscript"/>
        </w:rPr>
        <w:t>th</w:t>
      </w:r>
      <w:r>
        <w:rPr>
          <w:sz w:val="20"/>
        </w:rPr>
        <w:t xml:space="preserve"> </w:t>
      </w:r>
      <w:r w:rsidRPr="00C47F6D">
        <w:rPr>
          <w:sz w:val="20"/>
        </w:rPr>
        <w:t>March 2018</w:t>
      </w:r>
      <w:r w:rsidR="00354F4A">
        <w:rPr>
          <w:sz w:val="20"/>
        </w:rPr>
        <w:t>]</w:t>
      </w:r>
    </w:p>
    <w:p w14:paraId="3ECF0203" w14:textId="50B93AEE" w:rsidR="009305BC" w:rsidRPr="00C47F6D" w:rsidRDefault="009305BC" w:rsidP="009305BC">
      <w:pPr>
        <w:pStyle w:val="ListParagraph"/>
        <w:numPr>
          <w:ilvl w:val="0"/>
          <w:numId w:val="49"/>
        </w:numPr>
        <w:spacing w:before="0" w:after="200"/>
        <w:jc w:val="left"/>
        <w:rPr>
          <w:sz w:val="20"/>
        </w:rPr>
      </w:pPr>
      <w:r w:rsidRPr="00C47F6D">
        <w:rPr>
          <w:sz w:val="20"/>
        </w:rPr>
        <w:t>Biggest annual rise in deaths for almost fifty years prompts war</w:t>
      </w:r>
      <w:r>
        <w:rPr>
          <w:sz w:val="20"/>
        </w:rPr>
        <w:t>nings of crisis in elderly care. The Telegraph.</w:t>
      </w:r>
      <w:r w:rsidRPr="00C47F6D">
        <w:rPr>
          <w:sz w:val="20"/>
        </w:rPr>
        <w:t xml:space="preserve"> 2016</w:t>
      </w:r>
      <w:r>
        <w:rPr>
          <w:sz w:val="20"/>
        </w:rPr>
        <w:t xml:space="preserve"> </w:t>
      </w:r>
      <w:r w:rsidRPr="00C47F6D">
        <w:rPr>
          <w:sz w:val="20"/>
        </w:rPr>
        <w:t>16</w:t>
      </w:r>
      <w:r w:rsidRPr="002A20CC">
        <w:rPr>
          <w:sz w:val="20"/>
          <w:vertAlign w:val="superscript"/>
        </w:rPr>
        <w:t>th</w:t>
      </w:r>
      <w:r>
        <w:rPr>
          <w:sz w:val="20"/>
        </w:rPr>
        <w:t xml:space="preserve"> </w:t>
      </w:r>
      <w:r w:rsidRPr="00C47F6D">
        <w:rPr>
          <w:sz w:val="20"/>
        </w:rPr>
        <w:t>Feb</w:t>
      </w:r>
      <w:r>
        <w:rPr>
          <w:sz w:val="20"/>
        </w:rPr>
        <w:t>.</w:t>
      </w:r>
      <w:r w:rsidRPr="00C47F6D">
        <w:rPr>
          <w:sz w:val="20"/>
        </w:rPr>
        <w:t xml:space="preserve"> Available at:  </w:t>
      </w:r>
      <w:hyperlink r:id="rId27" w:history="1">
        <w:r w:rsidR="00F94AC6" w:rsidRPr="00F94AC6">
          <w:rPr>
            <w:rStyle w:val="Hyperlink"/>
            <w:sz w:val="20"/>
          </w:rPr>
          <w:t>http://www.telegraph.co.uk/news/health/12158930/Biggest-annual-rise-in-deaths-for-almost-fifty-years-prompts-warnings-of-crisis-in-elderly-care.html</w:t>
        </w:r>
      </w:hyperlink>
      <w:r w:rsidR="00F94AC6">
        <w:rPr>
          <w:sz w:val="20"/>
        </w:rPr>
        <w:t xml:space="preserve"> [</w:t>
      </w:r>
      <w:r w:rsidRPr="00C47F6D">
        <w:rPr>
          <w:sz w:val="20"/>
        </w:rPr>
        <w:t>Accessed: 5</w:t>
      </w:r>
      <w:r w:rsidRPr="002A20CC">
        <w:rPr>
          <w:sz w:val="20"/>
          <w:vertAlign w:val="superscript"/>
        </w:rPr>
        <w:t>th</w:t>
      </w:r>
      <w:r>
        <w:rPr>
          <w:sz w:val="20"/>
        </w:rPr>
        <w:t xml:space="preserve"> </w:t>
      </w:r>
      <w:r w:rsidRPr="00C47F6D">
        <w:rPr>
          <w:sz w:val="20"/>
        </w:rPr>
        <w:t>March 2018</w:t>
      </w:r>
      <w:r>
        <w:rPr>
          <w:sz w:val="20"/>
        </w:rPr>
        <w:t>]</w:t>
      </w:r>
    </w:p>
    <w:p w14:paraId="268CFB64" w14:textId="77777777" w:rsidR="009305BC" w:rsidRPr="00C47F6D" w:rsidRDefault="009305BC" w:rsidP="009305BC">
      <w:pPr>
        <w:pStyle w:val="ListParagraph"/>
        <w:numPr>
          <w:ilvl w:val="0"/>
          <w:numId w:val="49"/>
        </w:numPr>
        <w:spacing w:before="0" w:after="200" w:line="276" w:lineRule="auto"/>
        <w:jc w:val="left"/>
        <w:rPr>
          <w:sz w:val="20"/>
        </w:rPr>
      </w:pPr>
      <w:r w:rsidRPr="00C47F6D">
        <w:rPr>
          <w:sz w:val="20"/>
        </w:rPr>
        <w:t xml:space="preserve">Sharp spike in deaths in England and Wales needs investigating says Public Health expert. </w:t>
      </w:r>
      <w:r w:rsidRPr="006C7FE8">
        <w:rPr>
          <w:i/>
          <w:sz w:val="20"/>
        </w:rPr>
        <w:t xml:space="preserve">BMJ </w:t>
      </w:r>
      <w:r w:rsidRPr="00C47F6D">
        <w:rPr>
          <w:sz w:val="20"/>
        </w:rPr>
        <w:t xml:space="preserve">2016;252i1981 Available at: </w:t>
      </w:r>
      <w:hyperlink r:id="rId28" w:history="1">
        <w:r w:rsidRPr="00C47F6D">
          <w:rPr>
            <w:rStyle w:val="Hyperlink"/>
            <w:sz w:val="20"/>
          </w:rPr>
          <w:t>http://www.bmj.com/content/352/bmj.i981</w:t>
        </w:r>
      </w:hyperlink>
      <w:r w:rsidRPr="00C47F6D">
        <w:rPr>
          <w:sz w:val="20"/>
        </w:rPr>
        <w:t xml:space="preserve"> </w:t>
      </w:r>
      <w:r>
        <w:rPr>
          <w:sz w:val="20"/>
        </w:rPr>
        <w:t>[</w:t>
      </w:r>
      <w:r w:rsidRPr="00C47F6D">
        <w:rPr>
          <w:sz w:val="20"/>
        </w:rPr>
        <w:t>Accessed: 5</w:t>
      </w:r>
      <w:r>
        <w:rPr>
          <w:sz w:val="20"/>
        </w:rPr>
        <w:t>th</w:t>
      </w:r>
      <w:r w:rsidRPr="00C47F6D">
        <w:rPr>
          <w:sz w:val="20"/>
        </w:rPr>
        <w:t xml:space="preserve"> March 2018</w:t>
      </w:r>
      <w:r>
        <w:rPr>
          <w:sz w:val="20"/>
        </w:rPr>
        <w:t>]</w:t>
      </w:r>
    </w:p>
    <w:p w14:paraId="0994FE0D" w14:textId="49ECFA88" w:rsidR="009305BC" w:rsidRPr="00C47F6D" w:rsidRDefault="009305BC" w:rsidP="009305BC">
      <w:pPr>
        <w:pStyle w:val="ListParagraph"/>
        <w:numPr>
          <w:ilvl w:val="0"/>
          <w:numId w:val="49"/>
        </w:numPr>
        <w:spacing w:before="0" w:after="200" w:line="276" w:lineRule="auto"/>
        <w:jc w:val="left"/>
        <w:rPr>
          <w:sz w:val="20"/>
        </w:rPr>
      </w:pPr>
      <w:r w:rsidRPr="00C47F6D">
        <w:rPr>
          <w:sz w:val="20"/>
        </w:rPr>
        <w:t>Office for National Statistics.</w:t>
      </w:r>
      <w:r w:rsidRPr="00C47F6D">
        <w:rPr>
          <w:color w:val="FF0000"/>
          <w:sz w:val="20"/>
        </w:rPr>
        <w:t xml:space="preserve"> </w:t>
      </w:r>
      <w:r w:rsidRPr="00C47F6D">
        <w:rPr>
          <w:sz w:val="20"/>
        </w:rPr>
        <w:t xml:space="preserve"> </w:t>
      </w:r>
      <w:r w:rsidRPr="004A543B">
        <w:rPr>
          <w:sz w:val="20"/>
        </w:rPr>
        <w:t xml:space="preserve">Deaths registered in England and Wales: 2015 </w:t>
      </w:r>
      <w:r w:rsidRPr="004A543B">
        <w:rPr>
          <w:sz w:val="20"/>
          <w:lang w:val="en"/>
        </w:rPr>
        <w:t>Annual data on death registrations contains death rates, cause of death data by sex and age and death registrations by area of residence and single year of age.</w:t>
      </w:r>
      <w:r>
        <w:rPr>
          <w:i/>
          <w:sz w:val="20"/>
          <w:lang w:val="en"/>
        </w:rPr>
        <w:t xml:space="preserve"> </w:t>
      </w:r>
      <w:r>
        <w:rPr>
          <w:sz w:val="20"/>
          <w:lang w:val="en"/>
        </w:rPr>
        <w:t xml:space="preserve">[Online] </w:t>
      </w:r>
      <w:r w:rsidRPr="004A543B">
        <w:rPr>
          <w:i/>
          <w:sz w:val="20"/>
        </w:rPr>
        <w:t>Statistical Bulletin</w:t>
      </w:r>
      <w:r w:rsidRPr="00C47F6D">
        <w:rPr>
          <w:sz w:val="20"/>
        </w:rPr>
        <w:t xml:space="preserve"> Available at:  </w:t>
      </w:r>
      <w:hyperlink r:id="rId29" w:history="1">
        <w:r w:rsidR="00F94AC6" w:rsidRPr="00F94AC6">
          <w:rPr>
            <w:rStyle w:val="Hyperlink"/>
            <w:sz w:val="20"/>
          </w:rPr>
          <w:t>https://www.ons.gov.uk/peoplepopulationandcommunity/birthsdeathsandmarriages/deaths/bulletins/deathsregistrationsummarytables/2015</w:t>
        </w:r>
      </w:hyperlink>
      <w:r w:rsidR="00F94AC6">
        <w:rPr>
          <w:sz w:val="20"/>
        </w:rPr>
        <w:t xml:space="preserve"> [</w:t>
      </w:r>
      <w:r w:rsidRPr="00C47F6D">
        <w:rPr>
          <w:sz w:val="20"/>
        </w:rPr>
        <w:t>Accessed: 5 March 2018</w:t>
      </w:r>
      <w:r>
        <w:rPr>
          <w:sz w:val="20"/>
        </w:rPr>
        <w:t>]</w:t>
      </w:r>
    </w:p>
    <w:p w14:paraId="33E30094" w14:textId="79B92D37" w:rsidR="009305BC" w:rsidRDefault="009305BC" w:rsidP="009305BC">
      <w:pPr>
        <w:pStyle w:val="ListParagraph"/>
        <w:numPr>
          <w:ilvl w:val="0"/>
          <w:numId w:val="49"/>
        </w:numPr>
        <w:spacing w:before="0" w:after="200" w:line="276" w:lineRule="auto"/>
        <w:jc w:val="left"/>
        <w:rPr>
          <w:sz w:val="20"/>
        </w:rPr>
      </w:pPr>
      <w:r w:rsidRPr="00C47F6D">
        <w:rPr>
          <w:sz w:val="20"/>
        </w:rPr>
        <w:t>Office for National Statistics.</w:t>
      </w:r>
      <w:r w:rsidRPr="00C47F6D">
        <w:rPr>
          <w:color w:val="FF0000"/>
          <w:sz w:val="20"/>
        </w:rPr>
        <w:t xml:space="preserve"> </w:t>
      </w:r>
      <w:r w:rsidRPr="00C47F6D">
        <w:rPr>
          <w:sz w:val="20"/>
        </w:rPr>
        <w:t xml:space="preserve"> </w:t>
      </w:r>
      <w:r w:rsidRPr="00C47F6D">
        <w:rPr>
          <w:i/>
          <w:sz w:val="20"/>
        </w:rPr>
        <w:t>Spike in number of deaths in 2015 driven by increased mortality in over 75s.</w:t>
      </w:r>
      <w:r w:rsidRPr="00C47F6D">
        <w:rPr>
          <w:sz w:val="20"/>
        </w:rPr>
        <w:t xml:space="preserve">  News</w:t>
      </w:r>
      <w:r>
        <w:rPr>
          <w:sz w:val="20"/>
        </w:rPr>
        <w:t xml:space="preserve"> release</w:t>
      </w:r>
      <w:r w:rsidRPr="00C47F6D">
        <w:rPr>
          <w:sz w:val="20"/>
        </w:rPr>
        <w:t xml:space="preserve"> 2016</w:t>
      </w:r>
      <w:r>
        <w:rPr>
          <w:sz w:val="20"/>
        </w:rPr>
        <w:t xml:space="preserve"> 7</w:t>
      </w:r>
      <w:r w:rsidRPr="008F3561">
        <w:rPr>
          <w:sz w:val="20"/>
          <w:vertAlign w:val="superscript"/>
        </w:rPr>
        <w:t>th</w:t>
      </w:r>
      <w:r>
        <w:rPr>
          <w:sz w:val="20"/>
        </w:rPr>
        <w:t xml:space="preserve"> April. </w:t>
      </w:r>
      <w:r w:rsidRPr="00C47F6D">
        <w:rPr>
          <w:sz w:val="20"/>
        </w:rPr>
        <w:t xml:space="preserve">Available at: </w:t>
      </w:r>
      <w:hyperlink r:id="rId30" w:history="1">
        <w:r w:rsidRPr="00C47F6D">
          <w:rPr>
            <w:rStyle w:val="Hyperlink"/>
            <w:sz w:val="20"/>
          </w:rPr>
          <w:t>https://www.ons.gov.uk/news/news/spikeinnumberofdeathsin2015drivenbyincreasedmortalityinover75s</w:t>
        </w:r>
      </w:hyperlink>
      <w:r w:rsidRPr="00C47F6D">
        <w:rPr>
          <w:sz w:val="20"/>
        </w:rPr>
        <w:t xml:space="preserve"> </w:t>
      </w:r>
      <w:r>
        <w:rPr>
          <w:sz w:val="20"/>
        </w:rPr>
        <w:t>[</w:t>
      </w:r>
      <w:r w:rsidRPr="00C47F6D">
        <w:rPr>
          <w:sz w:val="20"/>
        </w:rPr>
        <w:t>Accessed: 5</w:t>
      </w:r>
      <w:r w:rsidRPr="008F3561">
        <w:rPr>
          <w:sz w:val="20"/>
          <w:vertAlign w:val="superscript"/>
        </w:rPr>
        <w:t>th</w:t>
      </w:r>
      <w:r>
        <w:rPr>
          <w:sz w:val="20"/>
        </w:rPr>
        <w:t xml:space="preserve"> </w:t>
      </w:r>
      <w:r w:rsidRPr="00C47F6D">
        <w:rPr>
          <w:sz w:val="20"/>
        </w:rPr>
        <w:t>March 2018</w:t>
      </w:r>
      <w:r>
        <w:rPr>
          <w:sz w:val="20"/>
        </w:rPr>
        <w:t>]</w:t>
      </w:r>
    </w:p>
    <w:p w14:paraId="269A0F06" w14:textId="5D084D61" w:rsidR="009305BC" w:rsidRPr="00C64C1C" w:rsidRDefault="009305BC" w:rsidP="00C64C1C">
      <w:pPr>
        <w:pStyle w:val="ListParagraph"/>
        <w:numPr>
          <w:ilvl w:val="0"/>
          <w:numId w:val="49"/>
        </w:numPr>
        <w:spacing w:before="0" w:after="200" w:line="276" w:lineRule="auto"/>
        <w:jc w:val="left"/>
        <w:rPr>
          <w:rStyle w:val="Hyperlink"/>
          <w:color w:val="auto"/>
          <w:sz w:val="20"/>
          <w:u w:val="none"/>
        </w:rPr>
      </w:pPr>
      <w:r w:rsidRPr="00C64C1C">
        <w:rPr>
          <w:sz w:val="20"/>
        </w:rPr>
        <w:t>Public Health Wales.</w:t>
      </w:r>
      <w:r w:rsidRPr="00C64C1C">
        <w:rPr>
          <w:i/>
          <w:sz w:val="20"/>
        </w:rPr>
        <w:t xml:space="preserve"> Health and its determinants in Wales. Informing strategic planning.</w:t>
      </w:r>
      <w:r w:rsidRPr="00C64C1C">
        <w:rPr>
          <w:sz w:val="20"/>
        </w:rPr>
        <w:t xml:space="preserve"> 2018. [Online]. Available at: </w:t>
      </w:r>
      <w:r w:rsidRPr="00C64C1C">
        <w:rPr>
          <w:color w:val="FF0000"/>
          <w:sz w:val="20"/>
        </w:rPr>
        <w:t xml:space="preserve"> </w:t>
      </w:r>
      <w:hyperlink r:id="rId31" w:history="1">
        <w:r w:rsidR="00F94AC6" w:rsidRPr="00F94AC6">
          <w:rPr>
            <w:rStyle w:val="Hyperlink"/>
            <w:sz w:val="20"/>
          </w:rPr>
          <w:t>http://www2.nphs.wales.nhs.uk:8080/PubHObservatoryProjDocs.nsf/85c50756737f79ac80256f2700534ea3/99a9490d2e6d05268025820b005851de/$FILE/Health&amp;determinantsinWales_Report_Eng.pdf</w:t>
        </w:r>
      </w:hyperlink>
      <w:r w:rsidR="00F94AC6">
        <w:rPr>
          <w:color w:val="FF0000"/>
          <w:sz w:val="20"/>
        </w:rPr>
        <w:t xml:space="preserve"> </w:t>
      </w:r>
      <w:r w:rsidR="00F94AC6" w:rsidRPr="00F94AC6">
        <w:rPr>
          <w:sz w:val="20"/>
        </w:rPr>
        <w:t>[</w:t>
      </w:r>
      <w:r w:rsidRPr="00C64C1C">
        <w:rPr>
          <w:sz w:val="20"/>
        </w:rPr>
        <w:t>Accessed: 5</w:t>
      </w:r>
      <w:r w:rsidRPr="00C64C1C">
        <w:rPr>
          <w:sz w:val="20"/>
          <w:vertAlign w:val="superscript"/>
        </w:rPr>
        <w:t>th</w:t>
      </w:r>
      <w:r w:rsidRPr="00C64C1C">
        <w:rPr>
          <w:sz w:val="20"/>
        </w:rPr>
        <w:t xml:space="preserve"> March 2018]</w:t>
      </w:r>
    </w:p>
    <w:p w14:paraId="7F3F2A2C" w14:textId="21C2CEFF" w:rsidR="009305BC" w:rsidRPr="00C47F6D" w:rsidRDefault="009305BC" w:rsidP="009305BC">
      <w:pPr>
        <w:pStyle w:val="ListParagraph"/>
        <w:numPr>
          <w:ilvl w:val="0"/>
          <w:numId w:val="49"/>
        </w:numPr>
        <w:spacing w:before="0"/>
        <w:jc w:val="left"/>
        <w:rPr>
          <w:sz w:val="20"/>
        </w:rPr>
      </w:pPr>
      <w:r w:rsidRPr="00C47F6D">
        <w:rPr>
          <w:sz w:val="20"/>
        </w:rPr>
        <w:t>Public Health Wales Vaccine Preventable Disease Programme and Communicable Disease</w:t>
      </w:r>
      <w:r>
        <w:rPr>
          <w:sz w:val="20"/>
        </w:rPr>
        <w:t xml:space="preserve"> Surveillance Centre. Seasonal i</w:t>
      </w:r>
      <w:r w:rsidRPr="00C47F6D">
        <w:rPr>
          <w:sz w:val="20"/>
        </w:rPr>
        <w:t xml:space="preserve">nfluenza in Wales - 2014/15, August 2015. </w:t>
      </w:r>
      <w:r>
        <w:rPr>
          <w:sz w:val="20"/>
        </w:rPr>
        <w:t xml:space="preserve">[Online]. </w:t>
      </w:r>
      <w:r w:rsidRPr="00C47F6D">
        <w:rPr>
          <w:sz w:val="20"/>
        </w:rPr>
        <w:t xml:space="preserve">Cardiff: Public Health Wales. Available at: </w:t>
      </w:r>
      <w:hyperlink r:id="rId32" w:history="1">
        <w:r w:rsidR="00F94AC6" w:rsidRPr="00F94AC6">
          <w:rPr>
            <w:rStyle w:val="Hyperlink"/>
            <w:sz w:val="20"/>
          </w:rPr>
          <w:t>http://www2.nphs.wales.nhs.uk:8080/VaccinationsImmunisationProgsDocs.nsf/($All)/AECFDA367EA8E8F580257EC8002EE440/$File/Seasonal%20influenza%20vaccine%20uptake%20in%20Wales%20201415_v1a.pdf</w:t>
        </w:r>
      </w:hyperlink>
      <w:r w:rsidR="00F94AC6">
        <w:rPr>
          <w:sz w:val="20"/>
        </w:rPr>
        <w:t xml:space="preserve"> [</w:t>
      </w:r>
      <w:r w:rsidRPr="00C47F6D">
        <w:rPr>
          <w:sz w:val="20"/>
        </w:rPr>
        <w:t>Accessed: 5</w:t>
      </w:r>
      <w:r w:rsidRPr="00DE7749">
        <w:rPr>
          <w:sz w:val="20"/>
          <w:vertAlign w:val="superscript"/>
        </w:rPr>
        <w:t>th</w:t>
      </w:r>
      <w:r>
        <w:rPr>
          <w:sz w:val="20"/>
        </w:rPr>
        <w:t xml:space="preserve"> </w:t>
      </w:r>
      <w:r w:rsidRPr="00C47F6D">
        <w:rPr>
          <w:sz w:val="20"/>
        </w:rPr>
        <w:t>March 2018</w:t>
      </w:r>
      <w:r>
        <w:rPr>
          <w:sz w:val="20"/>
        </w:rPr>
        <w:t>]</w:t>
      </w:r>
    </w:p>
    <w:p w14:paraId="6296B084" w14:textId="67DA341A" w:rsidR="00C64C1C" w:rsidRDefault="009305BC" w:rsidP="00C64C1C">
      <w:pPr>
        <w:pStyle w:val="ListParagraph"/>
        <w:numPr>
          <w:ilvl w:val="0"/>
          <w:numId w:val="49"/>
        </w:numPr>
        <w:spacing w:before="0" w:after="200" w:line="276" w:lineRule="auto"/>
        <w:jc w:val="left"/>
        <w:rPr>
          <w:sz w:val="20"/>
        </w:rPr>
      </w:pPr>
      <w:r w:rsidRPr="00C47F6D">
        <w:rPr>
          <w:sz w:val="20"/>
        </w:rPr>
        <w:lastRenderedPageBreak/>
        <w:t>Office for National Statistics. Excess Winter Mortality in England and Wales: 2014/15 (Provisional) and 2013/14 (Final).</w:t>
      </w:r>
      <w:r w:rsidRPr="004A543B">
        <w:rPr>
          <w:sz w:val="20"/>
        </w:rPr>
        <w:t xml:space="preserve"> </w:t>
      </w:r>
      <w:r>
        <w:rPr>
          <w:sz w:val="20"/>
        </w:rPr>
        <w:t xml:space="preserve">[Online] </w:t>
      </w:r>
      <w:r w:rsidRPr="004A543B">
        <w:rPr>
          <w:i/>
          <w:sz w:val="20"/>
        </w:rPr>
        <w:t>Statistical Bulletin</w:t>
      </w:r>
      <w:r>
        <w:rPr>
          <w:sz w:val="20"/>
        </w:rPr>
        <w:t xml:space="preserve">. Available at: </w:t>
      </w:r>
      <w:hyperlink r:id="rId33" w:history="1">
        <w:r w:rsidR="00F94AC6" w:rsidRPr="00F94AC6">
          <w:rPr>
            <w:rStyle w:val="Hyperlink"/>
            <w:sz w:val="20"/>
          </w:rPr>
          <w:t>https://www.ons.gov.uk/peoplepopulationandcommunity/birthsdeathsandmarriages/deaths/bulletins/excesswintermortalityinenglandandwales/201415provisionaland201314final</w:t>
        </w:r>
      </w:hyperlink>
      <w:r w:rsidR="00F94AC6">
        <w:rPr>
          <w:sz w:val="20"/>
        </w:rPr>
        <w:t xml:space="preserve"> </w:t>
      </w:r>
      <w:r>
        <w:rPr>
          <w:sz w:val="20"/>
        </w:rPr>
        <w:t>[</w:t>
      </w:r>
      <w:r w:rsidRPr="00C47F6D">
        <w:rPr>
          <w:sz w:val="20"/>
        </w:rPr>
        <w:t>Accessed: 5</w:t>
      </w:r>
      <w:r w:rsidRPr="004A543B">
        <w:rPr>
          <w:sz w:val="20"/>
          <w:vertAlign w:val="superscript"/>
        </w:rPr>
        <w:t>th</w:t>
      </w:r>
      <w:r w:rsidRPr="00C47F6D">
        <w:rPr>
          <w:sz w:val="20"/>
        </w:rPr>
        <w:t xml:space="preserve"> March 2018</w:t>
      </w:r>
      <w:r>
        <w:rPr>
          <w:sz w:val="20"/>
        </w:rPr>
        <w:t>]</w:t>
      </w:r>
    </w:p>
    <w:p w14:paraId="3C647DB4" w14:textId="42FAAD25" w:rsidR="009305BC" w:rsidRPr="00C64C1C" w:rsidRDefault="009305BC" w:rsidP="00C64C1C">
      <w:pPr>
        <w:pStyle w:val="ListParagraph"/>
        <w:numPr>
          <w:ilvl w:val="0"/>
          <w:numId w:val="49"/>
        </w:numPr>
        <w:spacing w:before="0" w:after="200" w:line="276" w:lineRule="auto"/>
        <w:jc w:val="left"/>
        <w:rPr>
          <w:rStyle w:val="Hyperlink"/>
          <w:color w:val="auto"/>
          <w:sz w:val="20"/>
          <w:u w:val="none"/>
        </w:rPr>
      </w:pPr>
      <w:r w:rsidRPr="00C64C1C">
        <w:rPr>
          <w:sz w:val="20"/>
        </w:rPr>
        <w:t xml:space="preserve">Office for National Statistics. </w:t>
      </w:r>
      <w:r w:rsidRPr="00C64C1C">
        <w:rPr>
          <w:i/>
          <w:sz w:val="20"/>
        </w:rPr>
        <w:t>Dementia/alzheimers and respiratory disease behind the biggest annual increase in deaths since the 1960s</w:t>
      </w:r>
      <w:r w:rsidRPr="00C64C1C">
        <w:rPr>
          <w:sz w:val="20"/>
        </w:rPr>
        <w:t xml:space="preserve">. [Online]. Available at: </w:t>
      </w:r>
      <w:hyperlink r:id="rId34" w:history="1">
        <w:r w:rsidR="00F94AC6" w:rsidRPr="00F94AC6">
          <w:rPr>
            <w:rStyle w:val="Hyperlink"/>
            <w:sz w:val="20"/>
          </w:rPr>
          <w:t>https://www.ons.gov.uk/peoplepopulationandcommunity/birthsdeathsandmarriages/deaths/articles/dementiaandrespiratorydiseasebehindbiggestannualdeathsincreasesincethe1960s/2016-04-07</w:t>
        </w:r>
      </w:hyperlink>
      <w:r w:rsidR="00F94AC6">
        <w:rPr>
          <w:sz w:val="20"/>
        </w:rPr>
        <w:t xml:space="preserve"> [</w:t>
      </w:r>
      <w:r w:rsidRPr="00C64C1C">
        <w:rPr>
          <w:sz w:val="20"/>
        </w:rPr>
        <w:t>Accessed: 5</w:t>
      </w:r>
      <w:r w:rsidRPr="00C64C1C">
        <w:rPr>
          <w:sz w:val="20"/>
          <w:vertAlign w:val="superscript"/>
        </w:rPr>
        <w:t>th</w:t>
      </w:r>
      <w:r w:rsidRPr="00C64C1C">
        <w:rPr>
          <w:sz w:val="20"/>
        </w:rPr>
        <w:t xml:space="preserve"> March 2018]</w:t>
      </w:r>
    </w:p>
    <w:p w14:paraId="4FE5F455" w14:textId="77777777" w:rsidR="00C64C1C" w:rsidRDefault="009305BC" w:rsidP="00C64C1C">
      <w:pPr>
        <w:pStyle w:val="ListParagraph"/>
        <w:numPr>
          <w:ilvl w:val="0"/>
          <w:numId w:val="49"/>
        </w:numPr>
        <w:spacing w:before="0" w:after="200" w:line="276" w:lineRule="auto"/>
        <w:jc w:val="left"/>
        <w:rPr>
          <w:sz w:val="20"/>
        </w:rPr>
      </w:pPr>
      <w:r w:rsidRPr="00C47F6D">
        <w:rPr>
          <w:sz w:val="20"/>
        </w:rPr>
        <w:t>Institute of Health Equity</w:t>
      </w:r>
      <w:r>
        <w:rPr>
          <w:sz w:val="20"/>
        </w:rPr>
        <w:t>.</w:t>
      </w:r>
      <w:r w:rsidRPr="00C47F6D">
        <w:rPr>
          <w:sz w:val="20"/>
        </w:rPr>
        <w:t xml:space="preserve"> </w:t>
      </w:r>
      <w:r>
        <w:rPr>
          <w:i/>
          <w:sz w:val="20"/>
        </w:rPr>
        <w:t>Marmot indicators b</w:t>
      </w:r>
      <w:r w:rsidRPr="004A543B">
        <w:rPr>
          <w:i/>
          <w:sz w:val="20"/>
        </w:rPr>
        <w:t>riefing</w:t>
      </w:r>
      <w:r>
        <w:rPr>
          <w:i/>
          <w:sz w:val="20"/>
        </w:rPr>
        <w:t>.</w:t>
      </w:r>
      <w:r w:rsidRPr="004A543B">
        <w:rPr>
          <w:i/>
          <w:sz w:val="20"/>
        </w:rPr>
        <w:t xml:space="preserve"> </w:t>
      </w:r>
      <w:r w:rsidRPr="004A543B">
        <w:rPr>
          <w:sz w:val="20"/>
        </w:rPr>
        <w:t>2017</w:t>
      </w:r>
      <w:r>
        <w:rPr>
          <w:sz w:val="20"/>
        </w:rPr>
        <w:t>.</w:t>
      </w:r>
      <w:r w:rsidRPr="00C47F6D">
        <w:rPr>
          <w:sz w:val="20"/>
        </w:rPr>
        <w:t xml:space="preserve"> </w:t>
      </w:r>
      <w:r>
        <w:rPr>
          <w:sz w:val="20"/>
        </w:rPr>
        <w:t xml:space="preserve">[Online]. </w:t>
      </w:r>
      <w:r w:rsidRPr="00C47F6D">
        <w:rPr>
          <w:sz w:val="20"/>
        </w:rPr>
        <w:t xml:space="preserve">Available at: </w:t>
      </w:r>
      <w:hyperlink r:id="rId35" w:history="1">
        <w:r w:rsidRPr="00022683">
          <w:rPr>
            <w:rStyle w:val="Hyperlink"/>
            <w:sz w:val="20"/>
          </w:rPr>
          <w:t>http://www.instituteofhealthequity.org/resources-reports/marmot-indicators-2017-institute-of-health-equity-briefing/marmot-indicators-briefing-2017-updated.pdf</w:t>
        </w:r>
      </w:hyperlink>
      <w:r>
        <w:rPr>
          <w:sz w:val="20"/>
        </w:rPr>
        <w:t xml:space="preserve"> [</w:t>
      </w:r>
      <w:r w:rsidRPr="00C47F6D">
        <w:rPr>
          <w:sz w:val="20"/>
        </w:rPr>
        <w:t>Accessed: 5</w:t>
      </w:r>
      <w:r w:rsidRPr="004A543B">
        <w:rPr>
          <w:sz w:val="20"/>
          <w:vertAlign w:val="superscript"/>
        </w:rPr>
        <w:t>th</w:t>
      </w:r>
      <w:r>
        <w:rPr>
          <w:sz w:val="20"/>
        </w:rPr>
        <w:t xml:space="preserve"> </w:t>
      </w:r>
      <w:r w:rsidRPr="00C47F6D">
        <w:rPr>
          <w:sz w:val="20"/>
        </w:rPr>
        <w:t>March 2018</w:t>
      </w:r>
      <w:r>
        <w:rPr>
          <w:sz w:val="20"/>
        </w:rPr>
        <w:t>]</w:t>
      </w:r>
    </w:p>
    <w:p w14:paraId="0D2EF168" w14:textId="7197C543" w:rsidR="00C64C1C" w:rsidRDefault="009305BC" w:rsidP="00C64C1C">
      <w:pPr>
        <w:pStyle w:val="ListParagraph"/>
        <w:numPr>
          <w:ilvl w:val="0"/>
          <w:numId w:val="49"/>
        </w:numPr>
        <w:spacing w:before="0" w:after="200" w:line="276" w:lineRule="auto"/>
        <w:jc w:val="left"/>
        <w:rPr>
          <w:sz w:val="20"/>
        </w:rPr>
      </w:pPr>
      <w:r w:rsidRPr="00C64C1C">
        <w:rPr>
          <w:sz w:val="20"/>
        </w:rPr>
        <w:t xml:space="preserve">Office for National Statistics. Impact of the implementation of IRIS software for ICD-10 cause of death coding on mortality statistics, England and Wales. 2014. [Online] </w:t>
      </w:r>
      <w:r w:rsidRPr="00C64C1C">
        <w:rPr>
          <w:i/>
          <w:sz w:val="20"/>
        </w:rPr>
        <w:t>Statistical Bulletin:</w:t>
      </w:r>
      <w:r w:rsidRPr="00C64C1C">
        <w:rPr>
          <w:sz w:val="20"/>
        </w:rPr>
        <w:t xml:space="preserve"> Available at:  </w:t>
      </w:r>
      <w:hyperlink r:id="rId36" w:history="1">
        <w:r w:rsidR="00F94AC6" w:rsidRPr="00F94AC6">
          <w:rPr>
            <w:rStyle w:val="Hyperlink"/>
            <w:sz w:val="20"/>
          </w:rPr>
          <w:t>https://www.ons.gov.uk/peoplepopulationandcommunity/birthsdeathsandmarriages/deaths/bulletins/impactoftheimplementationofirissoftwareforicd10causeofdeathcodingonmortalitystatisticsenglandandwales/2014-08-08</w:t>
        </w:r>
      </w:hyperlink>
      <w:r w:rsidR="00F94AC6">
        <w:rPr>
          <w:sz w:val="20"/>
        </w:rPr>
        <w:t xml:space="preserve"> [</w:t>
      </w:r>
      <w:r w:rsidRPr="00C64C1C">
        <w:rPr>
          <w:sz w:val="20"/>
        </w:rPr>
        <w:t>Accessed:5</w:t>
      </w:r>
      <w:r w:rsidRPr="00C64C1C">
        <w:rPr>
          <w:sz w:val="20"/>
          <w:vertAlign w:val="superscript"/>
        </w:rPr>
        <w:t>th</w:t>
      </w:r>
      <w:r w:rsidRPr="00C64C1C">
        <w:rPr>
          <w:sz w:val="20"/>
        </w:rPr>
        <w:t xml:space="preserve"> March 2018]</w:t>
      </w:r>
    </w:p>
    <w:p w14:paraId="0CE48361" w14:textId="48533F34" w:rsidR="00C64C1C" w:rsidRDefault="009305BC" w:rsidP="00C64C1C">
      <w:pPr>
        <w:pStyle w:val="ListParagraph"/>
        <w:numPr>
          <w:ilvl w:val="0"/>
          <w:numId w:val="49"/>
        </w:numPr>
        <w:spacing w:before="0" w:after="200" w:line="276" w:lineRule="auto"/>
        <w:jc w:val="left"/>
        <w:rPr>
          <w:sz w:val="20"/>
        </w:rPr>
      </w:pPr>
      <w:r w:rsidRPr="00C64C1C">
        <w:rPr>
          <w:sz w:val="20"/>
        </w:rPr>
        <w:t xml:space="preserve">Office for National Statistics.  </w:t>
      </w:r>
      <w:r w:rsidRPr="00C64C1C">
        <w:rPr>
          <w:i/>
          <w:sz w:val="20"/>
        </w:rPr>
        <w:t xml:space="preserve">Weekly provisional figures on deaths registered in England and Wales. 2018: up to week ending 30 March 2018. </w:t>
      </w:r>
      <w:r w:rsidRPr="00C64C1C">
        <w:rPr>
          <w:sz w:val="20"/>
        </w:rPr>
        <w:t>[Online]. Available at:</w:t>
      </w:r>
      <w:r w:rsidRPr="00C64C1C">
        <w:rPr>
          <w:color w:val="FF0000"/>
          <w:sz w:val="20"/>
        </w:rPr>
        <w:t xml:space="preserve"> </w:t>
      </w:r>
      <w:r w:rsidRPr="00C64C1C">
        <w:rPr>
          <w:sz w:val="20"/>
        </w:rPr>
        <w:t xml:space="preserve"> </w:t>
      </w:r>
      <w:hyperlink r:id="rId37" w:history="1">
        <w:r w:rsidR="00F94AC6" w:rsidRPr="00F94AC6">
          <w:rPr>
            <w:rStyle w:val="Hyperlink"/>
            <w:sz w:val="20"/>
          </w:rPr>
          <w:t>https://www.ons.gov.uk/peoplepopulationandcommunity/birthsdeathsandmarriages/deaths/datasets/weeklyprovisionalfiguresondeathsregisteredinenglandandwales</w:t>
        </w:r>
      </w:hyperlink>
      <w:r w:rsidR="00F94AC6">
        <w:rPr>
          <w:sz w:val="20"/>
        </w:rPr>
        <w:t xml:space="preserve"> [</w:t>
      </w:r>
      <w:r w:rsidRPr="00C64C1C">
        <w:rPr>
          <w:sz w:val="20"/>
        </w:rPr>
        <w:t>Accessed: 27th March 2018]</w:t>
      </w:r>
    </w:p>
    <w:p w14:paraId="347E6161" w14:textId="2AAED87B" w:rsidR="009305BC" w:rsidRPr="00C64C1C" w:rsidRDefault="009305BC" w:rsidP="00C64C1C">
      <w:pPr>
        <w:pStyle w:val="ListParagraph"/>
        <w:numPr>
          <w:ilvl w:val="0"/>
          <w:numId w:val="49"/>
        </w:numPr>
        <w:spacing w:before="0" w:after="200" w:line="276" w:lineRule="auto"/>
        <w:jc w:val="left"/>
        <w:rPr>
          <w:sz w:val="20"/>
        </w:rPr>
      </w:pPr>
      <w:r w:rsidRPr="00C64C1C">
        <w:rPr>
          <w:sz w:val="20"/>
        </w:rPr>
        <w:t xml:space="preserve">Hiam L, Dorling D. Rise in mortality in England and Wales in first seven weeks of 2018. 2018. </w:t>
      </w:r>
      <w:r w:rsidRPr="00C64C1C">
        <w:rPr>
          <w:i/>
          <w:sz w:val="20"/>
        </w:rPr>
        <w:t>BMJ.</w:t>
      </w:r>
      <w:r w:rsidRPr="00C64C1C">
        <w:rPr>
          <w:sz w:val="20"/>
        </w:rPr>
        <w:t xml:space="preserve"> 2018;</w:t>
      </w:r>
      <w:r w:rsidRPr="00C64C1C">
        <w:rPr>
          <w:rFonts w:ascii="FreeSans" w:hAnsi="FreeSans" w:cs="FreeSans"/>
          <w:sz w:val="15"/>
          <w:szCs w:val="15"/>
        </w:rPr>
        <w:t xml:space="preserve"> </w:t>
      </w:r>
      <w:r w:rsidRPr="00C64C1C">
        <w:rPr>
          <w:sz w:val="20"/>
        </w:rPr>
        <w:t xml:space="preserve">360:k1090 doi: 10.1136/bmj.k1090 (Published 14 March 2018) Available at: </w:t>
      </w:r>
      <w:hyperlink r:id="rId38" w:history="1">
        <w:r w:rsidR="00C64C1C" w:rsidRPr="00C64C1C">
          <w:rPr>
            <w:rStyle w:val="Hyperlink"/>
            <w:sz w:val="20"/>
          </w:rPr>
          <w:t>http://www.bmj.com/content/360/bmj.k1090?utm_medium=email&amp;utm_campaign_name=20180376&amp;utm_source=etoc_weekly</w:t>
        </w:r>
      </w:hyperlink>
      <w:r w:rsidR="00C64C1C">
        <w:rPr>
          <w:sz w:val="20"/>
        </w:rPr>
        <w:t xml:space="preserve"> [</w:t>
      </w:r>
      <w:r w:rsidRPr="00C64C1C">
        <w:rPr>
          <w:sz w:val="20"/>
        </w:rPr>
        <w:t>Accessed: 5</w:t>
      </w:r>
      <w:r w:rsidRPr="00C64C1C">
        <w:rPr>
          <w:sz w:val="20"/>
          <w:vertAlign w:val="superscript"/>
        </w:rPr>
        <w:t>th</w:t>
      </w:r>
      <w:r w:rsidRPr="00C64C1C">
        <w:rPr>
          <w:sz w:val="20"/>
        </w:rPr>
        <w:t xml:space="preserve"> March 2018]</w:t>
      </w:r>
    </w:p>
    <w:p w14:paraId="3821EBEE" w14:textId="77777777" w:rsidR="00A96052" w:rsidRDefault="00A96052" w:rsidP="00A96052">
      <w:pPr>
        <w:spacing w:before="0" w:after="200" w:line="276" w:lineRule="auto"/>
        <w:ind w:left="360"/>
        <w:jc w:val="left"/>
        <w:rPr>
          <w:color w:val="0000FF"/>
          <w:sz w:val="20"/>
          <w:u w:val="single"/>
        </w:rPr>
        <w:sectPr w:rsidR="00A96052" w:rsidSect="00F013B1">
          <w:headerReference w:type="even" r:id="rId39"/>
          <w:headerReference w:type="default" r:id="rId40"/>
          <w:footerReference w:type="even" r:id="rId41"/>
          <w:footerReference w:type="default" r:id="rId42"/>
          <w:headerReference w:type="first" r:id="rId43"/>
          <w:footerReference w:type="first" r:id="rId44"/>
          <w:pgSz w:w="11909" w:h="16834" w:code="9"/>
          <w:pgMar w:top="1250" w:right="726" w:bottom="720" w:left="720" w:header="567" w:footer="249" w:gutter="0"/>
          <w:cols w:space="720"/>
          <w:noEndnote/>
          <w:docGrid w:linePitch="360"/>
        </w:sectPr>
      </w:pPr>
    </w:p>
    <w:p w14:paraId="194F7519" w14:textId="2E1D1DD8" w:rsidR="00465C96" w:rsidRDefault="009305BC" w:rsidP="009305BC">
      <w:pPr>
        <w:pStyle w:val="Heading1"/>
        <w:numPr>
          <w:ilvl w:val="0"/>
          <w:numId w:val="43"/>
        </w:numPr>
        <w:tabs>
          <w:tab w:val="num" w:pos="1008"/>
        </w:tabs>
      </w:pPr>
      <w:bookmarkStart w:id="37" w:name="_Toc514938223"/>
      <w:r>
        <w:lastRenderedPageBreak/>
        <w:t>Appendix</w:t>
      </w:r>
      <w:bookmarkEnd w:id="37"/>
    </w:p>
    <w:p w14:paraId="031E8C8A" w14:textId="279ADD63" w:rsidR="009305BC" w:rsidRPr="009305BC" w:rsidRDefault="00A96052" w:rsidP="009305BC">
      <w:r w:rsidRPr="00A96052">
        <w:rPr>
          <w:noProof/>
        </w:rPr>
        <w:drawing>
          <wp:inline distT="0" distB="0" distL="0" distR="0" wp14:anchorId="578DF643" wp14:editId="3B772767">
            <wp:extent cx="9440545" cy="4541288"/>
            <wp:effectExtent l="0" t="0" r="825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9440545" cy="4541288"/>
                    </a:xfrm>
                    <a:prstGeom prst="rect">
                      <a:avLst/>
                    </a:prstGeom>
                    <a:noFill/>
                    <a:ln>
                      <a:noFill/>
                    </a:ln>
                  </pic:spPr>
                </pic:pic>
              </a:graphicData>
            </a:graphic>
          </wp:inline>
        </w:drawing>
      </w:r>
    </w:p>
    <w:sectPr w:rsidR="009305BC" w:rsidRPr="009305BC" w:rsidSect="00F013B1">
      <w:pgSz w:w="16834" w:h="11909" w:orient="landscape" w:code="9"/>
      <w:pgMar w:top="720" w:right="1247" w:bottom="726" w:left="720" w:header="567" w:footer="249"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88AB7B" w14:textId="77777777" w:rsidR="00B70430" w:rsidRDefault="00B70430" w:rsidP="006E7D29">
      <w:r>
        <w:separator/>
      </w:r>
    </w:p>
  </w:endnote>
  <w:endnote w:type="continuationSeparator" w:id="0">
    <w:p w14:paraId="53A93894" w14:textId="77777777" w:rsidR="00B70430" w:rsidRDefault="00B70430"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FreeSans">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99679"/>
      <w:docPartObj>
        <w:docPartGallery w:val="Page Numbers (Bottom of Page)"/>
        <w:docPartUnique/>
      </w:docPartObj>
    </w:sdtPr>
    <w:sdtEndPr/>
    <w:sdtContent>
      <w:p w14:paraId="1DA5F886" w14:textId="68DD160B" w:rsidR="00B70430" w:rsidRDefault="00373135" w:rsidP="00E33FE5">
        <w:pPr>
          <w:pStyle w:val="Footer"/>
          <w:jc w:val="center"/>
        </w:pPr>
        <w:r>
          <w:rPr>
            <w:rFonts w:ascii="Verdana" w:hAnsi="Verdana"/>
            <w:noProof/>
            <w:color w:val="FFFFFF" w:themeColor="background1"/>
            <w:szCs w:val="20"/>
          </w:rPr>
          <mc:AlternateContent>
            <mc:Choice Requires="wps">
              <w:drawing>
                <wp:anchor distT="0" distB="0" distL="114300" distR="114300" simplePos="0" relativeHeight="251658752" behindDoc="1" locked="0" layoutInCell="1" allowOverlap="1" wp14:anchorId="65EDC43C" wp14:editId="53080B41">
                  <wp:simplePos x="0" y="0"/>
                  <wp:positionH relativeFrom="column">
                    <wp:posOffset>-467360</wp:posOffset>
                  </wp:positionH>
                  <wp:positionV relativeFrom="paragraph">
                    <wp:posOffset>-18415</wp:posOffset>
                  </wp:positionV>
                  <wp:extent cx="7233285" cy="231140"/>
                  <wp:effectExtent l="0" t="635" r="0" b="0"/>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3285" cy="231140"/>
                          </a:xfrm>
                          <a:prstGeom prst="rect">
                            <a:avLst/>
                          </a:prstGeom>
                          <a:solidFill>
                            <a:srgbClr val="3182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1F19BE" id="Rectangle 11" o:spid="_x0000_s1026" style="position:absolute;margin-left:-36.8pt;margin-top:-1.45pt;width:569.55pt;height:18.2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" fillcolor="#3182bd" stroked="f"/>
              </w:pict>
            </mc:Fallback>
          </mc:AlternateContent>
        </w:r>
        <w:r w:rsidR="00B70430" w:rsidRPr="00F964DA">
          <w:rPr>
            <w:rFonts w:ascii="Verdana" w:hAnsi="Verdana"/>
            <w:color w:val="FFFFFF" w:themeColor="background1"/>
            <w:szCs w:val="20"/>
          </w:rPr>
          <w:t>Page</w:t>
        </w:r>
        <w:r w:rsidR="00B70430" w:rsidRPr="00F964DA">
          <w:rPr>
            <w:sz w:val="24"/>
          </w:rPr>
          <w:t xml:space="preserve"> </w:t>
        </w:r>
        <w:r w:rsidR="005022BC" w:rsidRPr="00F964DA">
          <w:rPr>
            <w:rFonts w:ascii="Verdana" w:hAnsi="Verdana"/>
            <w:b/>
            <w:color w:val="FFFFFF" w:themeColor="background1"/>
          </w:rPr>
          <w:fldChar w:fldCharType="begin"/>
        </w:r>
        <w:r w:rsidR="00B70430" w:rsidRPr="00F964DA">
          <w:rPr>
            <w:rFonts w:ascii="Verdana" w:hAnsi="Verdana"/>
            <w:b/>
            <w:color w:val="FFFFFF" w:themeColor="background1"/>
          </w:rPr>
          <w:instrText xml:space="preserve"> PAGE   \* MERGEFORMAT </w:instrText>
        </w:r>
        <w:r w:rsidR="005022BC" w:rsidRPr="00F964DA">
          <w:rPr>
            <w:rFonts w:ascii="Verdana" w:hAnsi="Verdana"/>
            <w:b/>
            <w:color w:val="FFFFFF" w:themeColor="background1"/>
          </w:rPr>
          <w:fldChar w:fldCharType="separate"/>
        </w:r>
        <w:r w:rsidR="00322717">
          <w:rPr>
            <w:rFonts w:ascii="Verdana" w:hAnsi="Verdana"/>
            <w:b/>
            <w:noProof/>
            <w:color w:val="FFFFFF" w:themeColor="background1"/>
          </w:rPr>
          <w:t>2</w:t>
        </w:r>
        <w:r w:rsidR="005022BC" w:rsidRPr="00F964DA">
          <w:rPr>
            <w:rFonts w:ascii="Verdana" w:hAnsi="Verdana"/>
            <w:b/>
            <w:color w:val="FFFFFF" w:themeColor="background1"/>
          </w:rPr>
          <w:fldChar w:fldCharType="end"/>
        </w:r>
      </w:p>
    </w:sdtContent>
  </w:sdt>
  <w:p w14:paraId="033BFF2E" w14:textId="77777777" w:rsidR="00B70430" w:rsidRDefault="00B70430">
    <w:pPr>
      <w:pStyle w:val="Footer"/>
    </w:pPr>
  </w:p>
  <w:p w14:paraId="48247E46" w14:textId="77777777" w:rsidR="00D15C4C" w:rsidRDefault="00D15C4C"/>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rPr>
        <w:rFonts w:ascii="Verdana" w:hAnsi="Verdana"/>
        <w:b/>
        <w:color w:val="FFFFFF" w:themeColor="background1"/>
        <w:szCs w:val="20"/>
      </w:rPr>
    </w:sdtEndPr>
    <w:sdtContent>
      <w:p w14:paraId="700C5304" w14:textId="0304C1E8" w:rsidR="00B70430" w:rsidRPr="00F013B1" w:rsidRDefault="00373135" w:rsidP="00B369F5">
        <w:pPr>
          <w:pStyle w:val="Footer"/>
          <w:jc w:val="center"/>
          <w:rPr>
            <w:rFonts w:ascii="Verdana" w:hAnsi="Verdana"/>
            <w:b/>
            <w:color w:val="FFFFFF" w:themeColor="background1"/>
            <w:szCs w:val="20"/>
          </w:rPr>
        </w:pPr>
        <w:r>
          <w:rPr>
            <w:rFonts w:ascii="Verdana" w:hAnsi="Verdana"/>
            <w:b/>
            <w:noProof/>
            <w:color w:val="FFFFFF" w:themeColor="background1"/>
            <w:szCs w:val="20"/>
          </w:rPr>
          <mc:AlternateContent>
            <mc:Choice Requires="wps">
              <w:drawing>
                <wp:anchor distT="0" distB="0" distL="114300" distR="114300" simplePos="0" relativeHeight="251657728" behindDoc="1" locked="0" layoutInCell="1" allowOverlap="1" wp14:anchorId="6D8E2555" wp14:editId="776E47CA">
                  <wp:simplePos x="0" y="0"/>
                  <wp:positionH relativeFrom="column">
                    <wp:posOffset>-457835</wp:posOffset>
                  </wp:positionH>
                  <wp:positionV relativeFrom="paragraph">
                    <wp:posOffset>-40005</wp:posOffset>
                  </wp:positionV>
                  <wp:extent cx="7233285" cy="231140"/>
                  <wp:effectExtent l="0" t="0" r="0" b="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3285" cy="231140"/>
                          </a:xfrm>
                          <a:prstGeom prst="rect">
                            <a:avLst/>
                          </a:prstGeom>
                          <a:solidFill>
                            <a:srgbClr val="3182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24C8E3" id="Rectangle 6" o:spid="_x0000_s1026" style="position:absolute;margin-left:-36.05pt;margin-top:-3.15pt;width:569.55pt;height:18.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" fillcolor="#3182bd" stroked="f"/>
              </w:pict>
            </mc:Fallback>
          </mc:AlternateContent>
        </w:r>
        <w:r w:rsidR="00B70430" w:rsidRPr="00F964DA">
          <w:rPr>
            <w:rFonts w:ascii="Verdana" w:hAnsi="Verdana"/>
            <w:color w:val="FFFFFF" w:themeColor="background1"/>
            <w:szCs w:val="20"/>
          </w:rPr>
          <w:t>Page</w:t>
        </w:r>
        <w:r w:rsidR="00B70430" w:rsidRPr="00F964DA">
          <w:rPr>
            <w:sz w:val="24"/>
          </w:rPr>
          <w:t xml:space="preserve"> </w:t>
        </w:r>
        <w:r w:rsidR="00F013B1" w:rsidRPr="00F013B1">
          <w:rPr>
            <w:rFonts w:ascii="Verdana" w:hAnsi="Verdana"/>
            <w:b/>
            <w:color w:val="FFFFFF" w:themeColor="background1"/>
            <w:szCs w:val="20"/>
          </w:rPr>
          <w:fldChar w:fldCharType="begin"/>
        </w:r>
        <w:r w:rsidR="00F013B1" w:rsidRPr="00F013B1">
          <w:rPr>
            <w:rFonts w:ascii="Verdana" w:hAnsi="Verdana"/>
            <w:b/>
            <w:color w:val="FFFFFF" w:themeColor="background1"/>
            <w:szCs w:val="20"/>
          </w:rPr>
          <w:instrText xml:space="preserve"> PAGE   \* MERGEFORMAT </w:instrText>
        </w:r>
        <w:r w:rsidR="00F013B1" w:rsidRPr="00F013B1">
          <w:rPr>
            <w:rFonts w:ascii="Verdana" w:hAnsi="Verdana"/>
            <w:b/>
            <w:color w:val="FFFFFF" w:themeColor="background1"/>
            <w:szCs w:val="20"/>
          </w:rPr>
          <w:fldChar w:fldCharType="separate"/>
        </w:r>
        <w:r w:rsidR="00322717">
          <w:rPr>
            <w:rFonts w:ascii="Verdana" w:hAnsi="Verdana"/>
            <w:b/>
            <w:noProof/>
            <w:color w:val="FFFFFF" w:themeColor="background1"/>
            <w:szCs w:val="20"/>
          </w:rPr>
          <w:t>1</w:t>
        </w:r>
        <w:r w:rsidR="00F013B1" w:rsidRPr="00F013B1">
          <w:rPr>
            <w:rFonts w:ascii="Verdana" w:hAnsi="Verdana"/>
            <w:b/>
            <w:noProof/>
            <w:color w:val="FFFFFF" w:themeColor="background1"/>
            <w:szCs w:val="20"/>
          </w:rPr>
          <w:fldChar w:fldCharType="end"/>
        </w:r>
      </w:p>
    </w:sdtContent>
  </w:sdt>
  <w:p w14:paraId="23D9A755" w14:textId="77777777" w:rsidR="00B70430" w:rsidRPr="008410BD" w:rsidRDefault="00B70430" w:rsidP="006E7D29">
    <w:pPr>
      <w:pStyle w:val="Footer"/>
    </w:pPr>
  </w:p>
  <w:p w14:paraId="528BAD4A" w14:textId="77777777" w:rsidR="00D15C4C" w:rsidRDefault="00D15C4C"/>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61C97" w14:textId="77777777" w:rsidR="008347C0" w:rsidRDefault="008347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F5153B" w14:textId="77777777" w:rsidR="00B70430" w:rsidRDefault="00B70430" w:rsidP="006E7D29">
      <w:r>
        <w:separator/>
      </w:r>
    </w:p>
  </w:footnote>
  <w:footnote w:type="continuationSeparator" w:id="0">
    <w:p w14:paraId="5915979B" w14:textId="77777777" w:rsidR="00B70430" w:rsidRDefault="00B70430"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69013" w14:textId="303BB667" w:rsidR="00B70430" w:rsidRPr="00530E9A" w:rsidRDefault="00530E9A" w:rsidP="00530E9A">
    <w:pPr>
      <w:rPr>
        <w:b/>
        <w:color w:val="3182BD"/>
        <w:sz w:val="20"/>
        <w:szCs w:val="20"/>
      </w:rPr>
    </w:pPr>
    <w:bookmarkStart w:id="25" w:name="_Toc398806047"/>
    <w:bookmarkStart w:id="26" w:name="_Toc398807159"/>
    <w:bookmarkStart w:id="27" w:name="_Toc398810374"/>
    <w:bookmarkStart w:id="28" w:name="_Toc399252623"/>
    <w:bookmarkStart w:id="29" w:name="_Toc399253630"/>
    <w:bookmarkStart w:id="30" w:name="_Toc399270366"/>
    <w:bookmarkStart w:id="31" w:name="_Toc402421575"/>
    <w:bookmarkStart w:id="32" w:name="_Toc402424268"/>
    <w:bookmarkStart w:id="33" w:name="_Toc402525871"/>
    <w:bookmarkStart w:id="34" w:name="_Toc402790251"/>
    <w:bookmarkStart w:id="35" w:name="_Toc435108646"/>
    <w:bookmarkStart w:id="36" w:name="_Toc441575197"/>
    <w:r w:rsidRPr="00530E9A">
      <w:rPr>
        <w:b/>
        <w:color w:val="3182BD"/>
        <w:sz w:val="20"/>
        <w:szCs w:val="20"/>
      </w:rPr>
      <w:t>Mortality in Wales 2002 to 2016</w:t>
    </w:r>
    <w:bookmarkEnd w:id="25"/>
    <w:bookmarkEnd w:id="26"/>
    <w:bookmarkEnd w:id="27"/>
    <w:bookmarkEnd w:id="28"/>
    <w:bookmarkEnd w:id="29"/>
    <w:bookmarkEnd w:id="30"/>
    <w:bookmarkEnd w:id="31"/>
    <w:bookmarkEnd w:id="32"/>
    <w:bookmarkEnd w:id="33"/>
    <w:bookmarkEnd w:id="34"/>
    <w:bookmarkEnd w:id="35"/>
    <w:bookmarkEnd w:id="36"/>
    <w:r w:rsidR="00B70430">
      <w:rPr>
        <w:color w:val="3182BD"/>
        <w:szCs w:val="20"/>
      </w:rPr>
      <w:tab/>
    </w:r>
    <w:r w:rsidR="00B70430">
      <w:rPr>
        <w:color w:val="3182BD"/>
        <w:szCs w:val="20"/>
      </w:rPr>
      <w:tab/>
    </w:r>
    <w:r w:rsidR="00A96052">
      <w:rPr>
        <w:color w:val="3182BD"/>
        <w:szCs w:val="20"/>
      </w:rPr>
      <w:tab/>
    </w:r>
    <w:r w:rsidR="00B70430">
      <w:rPr>
        <w:color w:val="3182BD"/>
        <w:szCs w:val="20"/>
      </w:rPr>
      <w:t>Public Health Wales Observatory</w:t>
    </w:r>
  </w:p>
  <w:p w14:paraId="2DE203DE" w14:textId="77777777" w:rsidR="00B70430" w:rsidRPr="00E33FE5" w:rsidRDefault="00B70430" w:rsidP="00E33FE5">
    <w:pPr>
      <w:pStyle w:val="Header"/>
    </w:pPr>
  </w:p>
  <w:p w14:paraId="7E81FEBD" w14:textId="77777777" w:rsidR="00D15C4C" w:rsidRDefault="00D15C4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C8E9EA" w14:textId="77777777" w:rsidR="00A96052" w:rsidRDefault="00A96052" w:rsidP="00C01FC2">
    <w:pPr>
      <w:pStyle w:val="Header"/>
      <w:tabs>
        <w:tab w:val="clear" w:pos="8640"/>
        <w:tab w:val="right" w:pos="10490"/>
      </w:tabs>
      <w:rPr>
        <w:rFonts w:ascii="Verdana" w:hAnsi="Verdana"/>
        <w:color w:val="3182BD"/>
        <w:szCs w:val="20"/>
      </w:rPr>
    </w:pPr>
  </w:p>
  <w:p w14:paraId="73A3A6B5" w14:textId="47DF122B" w:rsidR="00B70430" w:rsidRPr="00F936E0" w:rsidRDefault="00B70430" w:rsidP="00C01FC2">
    <w:pPr>
      <w:pStyle w:val="Header"/>
      <w:tabs>
        <w:tab w:val="clear" w:pos="8640"/>
        <w:tab w:val="right" w:pos="10490"/>
      </w:tabs>
      <w:rPr>
        <w:rFonts w:ascii="Verdana" w:hAnsi="Verdana"/>
        <w:color w:val="3182BD"/>
        <w:szCs w:val="20"/>
      </w:rPr>
    </w:pPr>
    <w:r>
      <w:rPr>
        <w:rFonts w:ascii="Verdana" w:hAnsi="Verdana"/>
        <w:color w:val="3182BD"/>
        <w:szCs w:val="20"/>
      </w:rPr>
      <w:t>P</w:t>
    </w:r>
    <w:r w:rsidR="00A96052">
      <w:rPr>
        <w:rFonts w:ascii="Verdana" w:hAnsi="Verdana"/>
        <w:color w:val="3182BD"/>
        <w:szCs w:val="20"/>
      </w:rPr>
      <w:t xml:space="preserve">ublic Health Wales </w:t>
    </w:r>
    <w:r>
      <w:rPr>
        <w:rFonts w:ascii="Verdana" w:hAnsi="Verdana"/>
        <w:color w:val="3182BD"/>
        <w:szCs w:val="20"/>
      </w:rPr>
      <w:t>Observatory</w:t>
    </w:r>
    <w:r>
      <w:rPr>
        <w:rFonts w:ascii="Verdana" w:hAnsi="Verdana"/>
        <w:color w:val="3182BD"/>
        <w:szCs w:val="20"/>
      </w:rPr>
      <w:tab/>
    </w:r>
    <w:r>
      <w:rPr>
        <w:rFonts w:ascii="Verdana" w:hAnsi="Verdana"/>
        <w:color w:val="3182BD"/>
        <w:szCs w:val="20"/>
      </w:rPr>
      <w:tab/>
    </w:r>
    <w:r w:rsidR="00530E9A" w:rsidRPr="00530E9A">
      <w:rPr>
        <w:rFonts w:ascii="Verdana" w:hAnsi="Verdana"/>
        <w:b/>
        <w:color w:val="3182BD"/>
        <w:szCs w:val="20"/>
      </w:rPr>
      <w:t>Mortality in Wales 2002 to 2016</w:t>
    </w:r>
  </w:p>
  <w:p w14:paraId="683F68C9" w14:textId="77777777" w:rsidR="00B70430" w:rsidRPr="006E7D29" w:rsidRDefault="00B70430" w:rsidP="006E7D29">
    <w:pPr>
      <w:pStyle w:val="Header"/>
      <w:jc w:val="right"/>
      <w:rPr>
        <w:rFonts w:ascii="Verdana" w:hAnsi="Verdana"/>
        <w:b/>
        <w:color w:val="FFFFFF" w:themeColor="background1"/>
      </w:rPr>
    </w:pPr>
  </w:p>
  <w:p w14:paraId="0D2B76B6" w14:textId="77777777" w:rsidR="00D15C4C" w:rsidRDefault="00D15C4C"/>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3B0A3" w14:textId="77777777" w:rsidR="008347C0" w:rsidRDefault="008347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B131F3"/>
    <w:multiLevelType w:val="multilevel"/>
    <w:tmpl w:val="04C41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EA0A7E"/>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3" w15:restartNumberingAfterBreak="0">
    <w:nsid w:val="0676030C"/>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4" w15:restartNumberingAfterBreak="0">
    <w:nsid w:val="06995D0C"/>
    <w:multiLevelType w:val="hybridMultilevel"/>
    <w:tmpl w:val="4D6C8442"/>
    <w:lvl w:ilvl="0" w:tplc="2418FD6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A61525D"/>
    <w:multiLevelType w:val="hybridMultilevel"/>
    <w:tmpl w:val="DFEE7274"/>
    <w:lvl w:ilvl="0" w:tplc="37D2D3EE">
      <w:start w:val="1"/>
      <w:numFmt w:val="bullet"/>
      <w:lvlText w:val=""/>
      <w:lvlJc w:val="left"/>
      <w:pPr>
        <w:tabs>
          <w:tab w:val="num" w:pos="340"/>
        </w:tabs>
        <w:ind w:left="340" w:hanging="283"/>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3B7A5F"/>
    <w:multiLevelType w:val="hybridMultilevel"/>
    <w:tmpl w:val="0450D7FE"/>
    <w:lvl w:ilvl="0" w:tplc="D610BB1E">
      <w:start w:val="1"/>
      <w:numFmt w:val="decimal"/>
      <w:lvlText w:val="%1"/>
      <w:lvlJc w:val="left"/>
      <w:pPr>
        <w:ind w:left="720" w:hanging="360"/>
      </w:pPr>
      <w:rPr>
        <w:rFonts w:ascii="Verdana" w:hAnsi="Verdana" w:hint="default"/>
        <w:b w:val="0"/>
        <w:i w:val="0"/>
        <w:color w:val="B1D0E1"/>
        <w:sz w:val="96"/>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25A0A"/>
    <w:multiLevelType w:val="hybridMultilevel"/>
    <w:tmpl w:val="1B54A992"/>
    <w:lvl w:ilvl="0" w:tplc="0809000F">
      <w:start w:val="1"/>
      <w:numFmt w:val="decimal"/>
      <w:lvlText w:val="%1."/>
      <w:lvlJc w:val="left"/>
      <w:pPr>
        <w:tabs>
          <w:tab w:val="num" w:pos="873"/>
        </w:tabs>
        <w:ind w:left="873" w:hanging="360"/>
      </w:pPr>
      <w:rPr>
        <w:rFonts w:hint="default"/>
      </w:rPr>
    </w:lvl>
    <w:lvl w:ilvl="1" w:tplc="08090003">
      <w:start w:val="1"/>
      <w:numFmt w:val="bullet"/>
      <w:lvlText w:val="o"/>
      <w:lvlJc w:val="left"/>
      <w:pPr>
        <w:tabs>
          <w:tab w:val="num" w:pos="1896"/>
        </w:tabs>
        <w:ind w:left="1896" w:hanging="360"/>
      </w:pPr>
      <w:rPr>
        <w:rFonts w:ascii="Courier New" w:hAnsi="Courier New" w:cs="Courier New" w:hint="default"/>
      </w:rPr>
    </w:lvl>
    <w:lvl w:ilvl="2" w:tplc="08090005" w:tentative="1">
      <w:start w:val="1"/>
      <w:numFmt w:val="bullet"/>
      <w:lvlText w:val=""/>
      <w:lvlJc w:val="left"/>
      <w:pPr>
        <w:tabs>
          <w:tab w:val="num" w:pos="2616"/>
        </w:tabs>
        <w:ind w:left="2616" w:hanging="360"/>
      </w:pPr>
      <w:rPr>
        <w:rFonts w:ascii="Wingdings" w:hAnsi="Wingdings" w:hint="default"/>
      </w:rPr>
    </w:lvl>
    <w:lvl w:ilvl="3" w:tplc="08090001" w:tentative="1">
      <w:start w:val="1"/>
      <w:numFmt w:val="bullet"/>
      <w:lvlText w:val=""/>
      <w:lvlJc w:val="left"/>
      <w:pPr>
        <w:tabs>
          <w:tab w:val="num" w:pos="3336"/>
        </w:tabs>
        <w:ind w:left="3336" w:hanging="360"/>
      </w:pPr>
      <w:rPr>
        <w:rFonts w:ascii="Symbol" w:hAnsi="Symbol" w:hint="default"/>
      </w:rPr>
    </w:lvl>
    <w:lvl w:ilvl="4" w:tplc="08090003" w:tentative="1">
      <w:start w:val="1"/>
      <w:numFmt w:val="bullet"/>
      <w:lvlText w:val="o"/>
      <w:lvlJc w:val="left"/>
      <w:pPr>
        <w:tabs>
          <w:tab w:val="num" w:pos="4056"/>
        </w:tabs>
        <w:ind w:left="4056" w:hanging="360"/>
      </w:pPr>
      <w:rPr>
        <w:rFonts w:ascii="Courier New" w:hAnsi="Courier New" w:cs="Courier New" w:hint="default"/>
      </w:rPr>
    </w:lvl>
    <w:lvl w:ilvl="5" w:tplc="08090005" w:tentative="1">
      <w:start w:val="1"/>
      <w:numFmt w:val="bullet"/>
      <w:lvlText w:val=""/>
      <w:lvlJc w:val="left"/>
      <w:pPr>
        <w:tabs>
          <w:tab w:val="num" w:pos="4776"/>
        </w:tabs>
        <w:ind w:left="4776" w:hanging="360"/>
      </w:pPr>
      <w:rPr>
        <w:rFonts w:ascii="Wingdings" w:hAnsi="Wingdings" w:hint="default"/>
      </w:rPr>
    </w:lvl>
    <w:lvl w:ilvl="6" w:tplc="08090001" w:tentative="1">
      <w:start w:val="1"/>
      <w:numFmt w:val="bullet"/>
      <w:lvlText w:val=""/>
      <w:lvlJc w:val="left"/>
      <w:pPr>
        <w:tabs>
          <w:tab w:val="num" w:pos="5496"/>
        </w:tabs>
        <w:ind w:left="5496" w:hanging="360"/>
      </w:pPr>
      <w:rPr>
        <w:rFonts w:ascii="Symbol" w:hAnsi="Symbol" w:hint="default"/>
      </w:rPr>
    </w:lvl>
    <w:lvl w:ilvl="7" w:tplc="08090003" w:tentative="1">
      <w:start w:val="1"/>
      <w:numFmt w:val="bullet"/>
      <w:lvlText w:val="o"/>
      <w:lvlJc w:val="left"/>
      <w:pPr>
        <w:tabs>
          <w:tab w:val="num" w:pos="6216"/>
        </w:tabs>
        <w:ind w:left="6216" w:hanging="360"/>
      </w:pPr>
      <w:rPr>
        <w:rFonts w:ascii="Courier New" w:hAnsi="Courier New" w:cs="Courier New" w:hint="default"/>
      </w:rPr>
    </w:lvl>
    <w:lvl w:ilvl="8" w:tplc="08090005" w:tentative="1">
      <w:start w:val="1"/>
      <w:numFmt w:val="bullet"/>
      <w:lvlText w:val=""/>
      <w:lvlJc w:val="left"/>
      <w:pPr>
        <w:tabs>
          <w:tab w:val="num" w:pos="6936"/>
        </w:tabs>
        <w:ind w:left="6936" w:hanging="360"/>
      </w:pPr>
      <w:rPr>
        <w:rFonts w:ascii="Wingdings" w:hAnsi="Wingdings" w:hint="default"/>
      </w:rPr>
    </w:lvl>
  </w:abstractNum>
  <w:abstractNum w:abstractNumId="9" w15:restartNumberingAfterBreak="0">
    <w:nsid w:val="219473B1"/>
    <w:multiLevelType w:val="hybridMultilevel"/>
    <w:tmpl w:val="45D69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613D6E"/>
    <w:multiLevelType w:val="hybridMultilevel"/>
    <w:tmpl w:val="EFE24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B6A1F"/>
    <w:multiLevelType w:val="hybridMultilevel"/>
    <w:tmpl w:val="7F8C9412"/>
    <w:lvl w:ilvl="0" w:tplc="103883D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C40130B"/>
    <w:multiLevelType w:val="hybridMultilevel"/>
    <w:tmpl w:val="8D9E4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B3516E"/>
    <w:multiLevelType w:val="hybridMultilevel"/>
    <w:tmpl w:val="80C819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12B5B39"/>
    <w:multiLevelType w:val="hybridMultilevel"/>
    <w:tmpl w:val="5FC69780"/>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CF5B7C"/>
    <w:multiLevelType w:val="hybridMultilevel"/>
    <w:tmpl w:val="2EF6148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3E90B98"/>
    <w:multiLevelType w:val="hybridMultilevel"/>
    <w:tmpl w:val="DAB046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8814F67"/>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18" w15:restartNumberingAfterBreak="0">
    <w:nsid w:val="5A4D05A2"/>
    <w:multiLevelType w:val="hybridMultilevel"/>
    <w:tmpl w:val="11902D6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B382B34"/>
    <w:multiLevelType w:val="hybridMultilevel"/>
    <w:tmpl w:val="4386F6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0D528A8"/>
    <w:multiLevelType w:val="hybridMultilevel"/>
    <w:tmpl w:val="2DCA0632"/>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4ED22A4"/>
    <w:multiLevelType w:val="hybridMultilevel"/>
    <w:tmpl w:val="496E7FC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2" w15:restartNumberingAfterBreak="0">
    <w:nsid w:val="669A7CE2"/>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23" w15:restartNumberingAfterBreak="0">
    <w:nsid w:val="68F13B76"/>
    <w:multiLevelType w:val="hybridMultilevel"/>
    <w:tmpl w:val="DDE2AA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B206E2C"/>
    <w:multiLevelType w:val="hybridMultilevel"/>
    <w:tmpl w:val="AC801F0A"/>
    <w:lvl w:ilvl="0" w:tplc="842032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27549FF"/>
    <w:multiLevelType w:val="multilevel"/>
    <w:tmpl w:val="36388F7C"/>
    <w:lvl w:ilvl="0">
      <w:start w:val="1"/>
      <w:numFmt w:val="decimal"/>
      <w:lvlText w:val="%1"/>
      <w:lvlJc w:val="left"/>
      <w:pPr>
        <w:tabs>
          <w:tab w:val="num" w:pos="1008"/>
        </w:tabs>
        <w:ind w:left="1008" w:hanging="1008"/>
      </w:pPr>
      <w:rPr>
        <w:rFonts w:hint="default"/>
        <w:b w:val="0"/>
        <w:bCs w:val="0"/>
        <w:i w:val="0"/>
        <w:iCs w:val="0"/>
        <w:caps w:val="0"/>
        <w:smallCaps w:val="0"/>
        <w:strike w:val="0"/>
        <w:dstrike w:val="0"/>
        <w:noProof w:val="0"/>
        <w:vanish w:val="0"/>
        <w:color w:val="B1D0E1"/>
        <w:spacing w:val="0"/>
        <w:kern w:val="0"/>
        <w:position w:val="0"/>
        <w:sz w:val="144"/>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2.%2"/>
      <w:lvlJc w:val="left"/>
      <w:pPr>
        <w:tabs>
          <w:tab w:val="num" w:pos="1008"/>
        </w:tabs>
        <w:ind w:left="1008" w:hanging="1008"/>
      </w:pPr>
      <w:rPr>
        <w:rFonts w:hint="default"/>
        <w:b/>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tabs>
          <w:tab w:val="num" w:pos="1292"/>
        </w:tabs>
        <w:ind w:left="1292" w:hanging="1008"/>
      </w:pPr>
      <w:rPr>
        <w:rFonts w:hint="default"/>
      </w:rPr>
    </w:lvl>
    <w:lvl w:ilvl="3">
      <w:start w:val="1"/>
      <w:numFmt w:val="none"/>
      <w:lvlText w:val="%1.%2.%3.%4"/>
      <w:lvlJc w:val="left"/>
      <w:pPr>
        <w:tabs>
          <w:tab w:val="num" w:pos="1080"/>
        </w:tabs>
        <w:ind w:left="0" w:firstLine="0"/>
      </w:pPr>
      <w:rPr>
        <w:rFonts w:hint="default"/>
      </w:rPr>
    </w:lvl>
    <w:lvl w:ilvl="4">
      <w:start w:val="1"/>
      <w:numFmt w:val="none"/>
      <w:pStyle w:val="Heading5"/>
      <w:lvlText w:val=""/>
      <w:lvlJc w:val="left"/>
      <w:pPr>
        <w:tabs>
          <w:tab w:val="num" w:pos="360"/>
        </w:tabs>
        <w:ind w:left="0" w:firstLine="0"/>
      </w:pPr>
      <w:rPr>
        <w:rFonts w:hint="default"/>
      </w:rPr>
    </w:lvl>
    <w:lvl w:ilvl="5">
      <w:start w:val="1"/>
      <w:numFmt w:val="none"/>
      <w:lvlText w:val=""/>
      <w:lvlJc w:val="left"/>
      <w:pPr>
        <w:tabs>
          <w:tab w:val="num" w:pos="360"/>
        </w:tabs>
        <w:ind w:left="0" w:firstLine="0"/>
      </w:pPr>
      <w:rPr>
        <w:rFonts w:hint="default"/>
      </w:rPr>
    </w:lvl>
    <w:lvl w:ilvl="6">
      <w:start w:val="1"/>
      <w:numFmt w:val="none"/>
      <w:lvlText w:val=""/>
      <w:lvlJc w:val="left"/>
      <w:pPr>
        <w:tabs>
          <w:tab w:val="num" w:pos="360"/>
        </w:tabs>
        <w:ind w:left="0" w:firstLine="0"/>
      </w:pPr>
      <w:rPr>
        <w:rFonts w:hint="default"/>
      </w:rPr>
    </w:lvl>
    <w:lvl w:ilvl="7">
      <w:start w:val="1"/>
      <w:numFmt w:val="none"/>
      <w:pStyle w:val="Heading8"/>
      <w:lvlText w:val=""/>
      <w:lvlJc w:val="left"/>
      <w:pPr>
        <w:tabs>
          <w:tab w:val="num" w:pos="360"/>
        </w:tabs>
        <w:ind w:left="0" w:firstLine="0"/>
      </w:pPr>
      <w:rPr>
        <w:rFonts w:hint="default"/>
      </w:rPr>
    </w:lvl>
    <w:lvl w:ilvl="8">
      <w:start w:val="1"/>
      <w:numFmt w:val="none"/>
      <w:pStyle w:val="Heading9"/>
      <w:lvlText w:val=""/>
      <w:lvlJc w:val="left"/>
      <w:pPr>
        <w:tabs>
          <w:tab w:val="num" w:pos="360"/>
        </w:tabs>
        <w:ind w:left="0" w:firstLine="0"/>
      </w:pPr>
      <w:rPr>
        <w:rFonts w:hint="default"/>
      </w:rPr>
    </w:lvl>
  </w:abstractNum>
  <w:abstractNum w:abstractNumId="26" w15:restartNumberingAfterBreak="0">
    <w:nsid w:val="7B8D1E0A"/>
    <w:multiLevelType w:val="hybridMultilevel"/>
    <w:tmpl w:val="5762C5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0"/>
  </w:num>
  <w:num w:numId="3">
    <w:abstractNumId w:val="25"/>
  </w:num>
  <w:num w:numId="4">
    <w:abstractNumId w:val="6"/>
  </w:num>
  <w:num w:numId="5">
    <w:abstractNumId w:val="8"/>
  </w:num>
  <w:num w:numId="6">
    <w:abstractNumId w:val="25"/>
  </w:num>
  <w:num w:numId="7">
    <w:abstractNumId w:val="21"/>
  </w:num>
  <w:num w:numId="8">
    <w:abstractNumId w:val="25"/>
  </w:num>
  <w:num w:numId="9">
    <w:abstractNumId w:val="25"/>
  </w:num>
  <w:num w:numId="10">
    <w:abstractNumId w:val="3"/>
  </w:num>
  <w:num w:numId="11">
    <w:abstractNumId w:val="2"/>
  </w:num>
  <w:num w:numId="12">
    <w:abstractNumId w:val="17"/>
  </w:num>
  <w:num w:numId="13">
    <w:abstractNumId w:val="22"/>
  </w:num>
  <w:num w:numId="14">
    <w:abstractNumId w:val="25"/>
    <w:lvlOverride w:ilvl="0">
      <w:startOverride w:val="4"/>
    </w:lvlOverride>
    <w:lvlOverride w:ilvl="1">
      <w:startOverride w:val="3"/>
    </w:lvlOverride>
    <w:lvlOverride w:ilvl="2">
      <w:startOverride w:val="2"/>
    </w:lvlOverride>
  </w:num>
  <w:num w:numId="15">
    <w:abstractNumId w:val="25"/>
  </w:num>
  <w:num w:numId="16">
    <w:abstractNumId w:val="25"/>
  </w:num>
  <w:num w:numId="17">
    <w:abstractNumId w:val="25"/>
  </w:num>
  <w:num w:numId="18">
    <w:abstractNumId w:val="25"/>
  </w:num>
  <w:num w:numId="19">
    <w:abstractNumId w:val="25"/>
  </w:num>
  <w:num w:numId="20">
    <w:abstractNumId w:val="25"/>
  </w:num>
  <w:num w:numId="21">
    <w:abstractNumId w:val="25"/>
  </w:num>
  <w:num w:numId="22">
    <w:abstractNumId w:val="25"/>
  </w:num>
  <w:num w:numId="23">
    <w:abstractNumId w:val="25"/>
  </w:num>
  <w:num w:numId="24">
    <w:abstractNumId w:val="24"/>
  </w:num>
  <w:num w:numId="25">
    <w:abstractNumId w:val="9"/>
  </w:num>
  <w:num w:numId="26">
    <w:abstractNumId w:val="4"/>
  </w:num>
  <w:num w:numId="27">
    <w:abstractNumId w:val="19"/>
  </w:num>
  <w:num w:numId="28">
    <w:abstractNumId w:val="1"/>
  </w:num>
  <w:num w:numId="29">
    <w:abstractNumId w:val="20"/>
  </w:num>
  <w:num w:numId="30">
    <w:abstractNumId w:val="15"/>
  </w:num>
  <w:num w:numId="31">
    <w:abstractNumId w:val="14"/>
  </w:num>
  <w:num w:numId="32">
    <w:abstractNumId w:val="10"/>
  </w:num>
  <w:num w:numId="33">
    <w:abstractNumId w:val="25"/>
  </w:num>
  <w:num w:numId="34">
    <w:abstractNumId w:val="25"/>
  </w:num>
  <w:num w:numId="35">
    <w:abstractNumId w:val="25"/>
  </w:num>
  <w:num w:numId="36">
    <w:abstractNumId w:val="25"/>
  </w:num>
  <w:num w:numId="37">
    <w:abstractNumId w:val="25"/>
  </w:num>
  <w:num w:numId="38">
    <w:abstractNumId w:val="7"/>
  </w:num>
  <w:num w:numId="39">
    <w:abstractNumId w:val="25"/>
  </w:num>
  <w:num w:numId="40">
    <w:abstractNumId w:val="23"/>
  </w:num>
  <w:num w:numId="41">
    <w:abstractNumId w:val="26"/>
  </w:num>
  <w:num w:numId="42">
    <w:abstractNumId w:val="16"/>
  </w:num>
  <w:num w:numId="43">
    <w:abstractNumId w:val="18"/>
  </w:num>
  <w:num w:numId="44">
    <w:abstractNumId w:val="12"/>
  </w:num>
  <w:num w:numId="45">
    <w:abstractNumId w:val="13"/>
  </w:num>
  <w:num w:numId="46">
    <w:abstractNumId w:val="25"/>
  </w:num>
  <w:num w:numId="47">
    <w:abstractNumId w:val="25"/>
  </w:num>
  <w:num w:numId="48">
    <w:abstractNumId w:val="25"/>
  </w:num>
  <w:num w:numId="49">
    <w:abstractNumId w:val="1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drawingGridHorizontalSpacing w:val="110"/>
  <w:displayHorizontalDrawingGridEvery w:val="0"/>
  <w:displayVerticalDrawingGridEvery w:val="0"/>
  <w:noPunctuationKerning/>
  <w:characterSpacingControl w:val="doNotCompress"/>
  <w:hdrShapeDefaults>
    <o:shapedefaults v:ext="edit" spidmax="148481" fill="f" fillcolor="white" strokecolor="none [2408]">
      <v:fill color="white" on="f"/>
      <v:stroke color="none [2408]" weight="1pt"/>
      <o:colormru v:ext="edit" colors="#3182bd,#d1a375"/>
      <o:colormenu v:ext="edit" fillcolor="#3182bd" strokecolor="#26649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3330"/>
    <w:rsid w:val="00004B4B"/>
    <w:rsid w:val="00004FCB"/>
    <w:rsid w:val="000056EF"/>
    <w:rsid w:val="00007D0A"/>
    <w:rsid w:val="00007DE7"/>
    <w:rsid w:val="000125F0"/>
    <w:rsid w:val="0001370E"/>
    <w:rsid w:val="00013C2E"/>
    <w:rsid w:val="000160AF"/>
    <w:rsid w:val="00017EB5"/>
    <w:rsid w:val="00020B4F"/>
    <w:rsid w:val="000214DE"/>
    <w:rsid w:val="00021517"/>
    <w:rsid w:val="000218DC"/>
    <w:rsid w:val="00021DCA"/>
    <w:rsid w:val="00023578"/>
    <w:rsid w:val="0002509A"/>
    <w:rsid w:val="00025105"/>
    <w:rsid w:val="0003601F"/>
    <w:rsid w:val="000406E2"/>
    <w:rsid w:val="00041D44"/>
    <w:rsid w:val="00047082"/>
    <w:rsid w:val="00047584"/>
    <w:rsid w:val="000514DE"/>
    <w:rsid w:val="0005467A"/>
    <w:rsid w:val="000566F2"/>
    <w:rsid w:val="000573BF"/>
    <w:rsid w:val="00057B43"/>
    <w:rsid w:val="00061117"/>
    <w:rsid w:val="00061B36"/>
    <w:rsid w:val="000620ED"/>
    <w:rsid w:val="00063382"/>
    <w:rsid w:val="000637C5"/>
    <w:rsid w:val="00063EDD"/>
    <w:rsid w:val="00065A16"/>
    <w:rsid w:val="00066692"/>
    <w:rsid w:val="00067BB3"/>
    <w:rsid w:val="000701FE"/>
    <w:rsid w:val="00074349"/>
    <w:rsid w:val="000773BB"/>
    <w:rsid w:val="0008442E"/>
    <w:rsid w:val="00085286"/>
    <w:rsid w:val="0008583F"/>
    <w:rsid w:val="0008618A"/>
    <w:rsid w:val="00086BC6"/>
    <w:rsid w:val="000870AB"/>
    <w:rsid w:val="00090C6D"/>
    <w:rsid w:val="00090ED1"/>
    <w:rsid w:val="00091776"/>
    <w:rsid w:val="00091B5D"/>
    <w:rsid w:val="00093DAE"/>
    <w:rsid w:val="00094F13"/>
    <w:rsid w:val="000A1F26"/>
    <w:rsid w:val="000A74AC"/>
    <w:rsid w:val="000B0335"/>
    <w:rsid w:val="000B11F5"/>
    <w:rsid w:val="000B1436"/>
    <w:rsid w:val="000B1A7A"/>
    <w:rsid w:val="000B1F34"/>
    <w:rsid w:val="000B383D"/>
    <w:rsid w:val="000B43E2"/>
    <w:rsid w:val="000B5AF2"/>
    <w:rsid w:val="000B7286"/>
    <w:rsid w:val="000C1848"/>
    <w:rsid w:val="000C2B43"/>
    <w:rsid w:val="000C3095"/>
    <w:rsid w:val="000C4B18"/>
    <w:rsid w:val="000C52E4"/>
    <w:rsid w:val="000C65E4"/>
    <w:rsid w:val="000C6673"/>
    <w:rsid w:val="000D25B0"/>
    <w:rsid w:val="000D555D"/>
    <w:rsid w:val="000D594F"/>
    <w:rsid w:val="000E2802"/>
    <w:rsid w:val="000E3AD5"/>
    <w:rsid w:val="000E4881"/>
    <w:rsid w:val="000E59FC"/>
    <w:rsid w:val="000F22E0"/>
    <w:rsid w:val="000F50BB"/>
    <w:rsid w:val="000F5319"/>
    <w:rsid w:val="000F63CE"/>
    <w:rsid w:val="000F7FE8"/>
    <w:rsid w:val="00100EF4"/>
    <w:rsid w:val="00101202"/>
    <w:rsid w:val="001019D1"/>
    <w:rsid w:val="00101C1B"/>
    <w:rsid w:val="0010567E"/>
    <w:rsid w:val="0010729C"/>
    <w:rsid w:val="00111594"/>
    <w:rsid w:val="0011171C"/>
    <w:rsid w:val="00112BF5"/>
    <w:rsid w:val="00112D8C"/>
    <w:rsid w:val="00113AA5"/>
    <w:rsid w:val="00115BFD"/>
    <w:rsid w:val="001163C5"/>
    <w:rsid w:val="001166B4"/>
    <w:rsid w:val="001214F4"/>
    <w:rsid w:val="00122C4F"/>
    <w:rsid w:val="00124396"/>
    <w:rsid w:val="00124F74"/>
    <w:rsid w:val="00125927"/>
    <w:rsid w:val="001262C0"/>
    <w:rsid w:val="00127574"/>
    <w:rsid w:val="00130E61"/>
    <w:rsid w:val="00131B05"/>
    <w:rsid w:val="00135BE6"/>
    <w:rsid w:val="00140F0A"/>
    <w:rsid w:val="00141DD4"/>
    <w:rsid w:val="00141EDB"/>
    <w:rsid w:val="0014264E"/>
    <w:rsid w:val="00142B22"/>
    <w:rsid w:val="00143266"/>
    <w:rsid w:val="001433E1"/>
    <w:rsid w:val="0014616D"/>
    <w:rsid w:val="001503B8"/>
    <w:rsid w:val="00151B3B"/>
    <w:rsid w:val="00153485"/>
    <w:rsid w:val="0015395B"/>
    <w:rsid w:val="00154554"/>
    <w:rsid w:val="00160248"/>
    <w:rsid w:val="00161895"/>
    <w:rsid w:val="00162A3F"/>
    <w:rsid w:val="001639F0"/>
    <w:rsid w:val="00165034"/>
    <w:rsid w:val="00167F87"/>
    <w:rsid w:val="001714D9"/>
    <w:rsid w:val="001728CA"/>
    <w:rsid w:val="00173F33"/>
    <w:rsid w:val="00174B54"/>
    <w:rsid w:val="00176635"/>
    <w:rsid w:val="001813AE"/>
    <w:rsid w:val="0018154F"/>
    <w:rsid w:val="00182345"/>
    <w:rsid w:val="00183155"/>
    <w:rsid w:val="00184F1C"/>
    <w:rsid w:val="00186B40"/>
    <w:rsid w:val="00187BD4"/>
    <w:rsid w:val="00190191"/>
    <w:rsid w:val="001907C0"/>
    <w:rsid w:val="00197DFF"/>
    <w:rsid w:val="001A4F74"/>
    <w:rsid w:val="001A7273"/>
    <w:rsid w:val="001B1190"/>
    <w:rsid w:val="001B2015"/>
    <w:rsid w:val="001B2FB2"/>
    <w:rsid w:val="001B392E"/>
    <w:rsid w:val="001B4741"/>
    <w:rsid w:val="001B722D"/>
    <w:rsid w:val="001C26D9"/>
    <w:rsid w:val="001C6674"/>
    <w:rsid w:val="001C745D"/>
    <w:rsid w:val="001C7F26"/>
    <w:rsid w:val="001D0ED4"/>
    <w:rsid w:val="001E0340"/>
    <w:rsid w:val="001E2544"/>
    <w:rsid w:val="001E36E4"/>
    <w:rsid w:val="001E400C"/>
    <w:rsid w:val="001E5463"/>
    <w:rsid w:val="001E6FE6"/>
    <w:rsid w:val="001F1E59"/>
    <w:rsid w:val="001F3C88"/>
    <w:rsid w:val="001F3E20"/>
    <w:rsid w:val="001F55DE"/>
    <w:rsid w:val="001F6366"/>
    <w:rsid w:val="001F6438"/>
    <w:rsid w:val="001F6CFB"/>
    <w:rsid w:val="001F703A"/>
    <w:rsid w:val="00200D1D"/>
    <w:rsid w:val="00201664"/>
    <w:rsid w:val="002021E2"/>
    <w:rsid w:val="00202B40"/>
    <w:rsid w:val="00203016"/>
    <w:rsid w:val="00204158"/>
    <w:rsid w:val="00204DB9"/>
    <w:rsid w:val="00205B85"/>
    <w:rsid w:val="00212436"/>
    <w:rsid w:val="002145ED"/>
    <w:rsid w:val="002157A7"/>
    <w:rsid w:val="00223199"/>
    <w:rsid w:val="00223A6D"/>
    <w:rsid w:val="00225423"/>
    <w:rsid w:val="002273EB"/>
    <w:rsid w:val="00232719"/>
    <w:rsid w:val="00232DC6"/>
    <w:rsid w:val="00233616"/>
    <w:rsid w:val="002350AC"/>
    <w:rsid w:val="00235C7A"/>
    <w:rsid w:val="00236F84"/>
    <w:rsid w:val="0024291A"/>
    <w:rsid w:val="00244E40"/>
    <w:rsid w:val="00246132"/>
    <w:rsid w:val="00246221"/>
    <w:rsid w:val="00250CD1"/>
    <w:rsid w:val="00251739"/>
    <w:rsid w:val="002523CC"/>
    <w:rsid w:val="00253BDA"/>
    <w:rsid w:val="002547DA"/>
    <w:rsid w:val="00260A29"/>
    <w:rsid w:val="00260C49"/>
    <w:rsid w:val="00261FD3"/>
    <w:rsid w:val="0026401E"/>
    <w:rsid w:val="002714A5"/>
    <w:rsid w:val="00272750"/>
    <w:rsid w:val="00272789"/>
    <w:rsid w:val="0027297E"/>
    <w:rsid w:val="00272D9B"/>
    <w:rsid w:val="00273D07"/>
    <w:rsid w:val="00274B4A"/>
    <w:rsid w:val="00274C4C"/>
    <w:rsid w:val="002804CC"/>
    <w:rsid w:val="00280EAD"/>
    <w:rsid w:val="0028129B"/>
    <w:rsid w:val="00282A7D"/>
    <w:rsid w:val="0028770C"/>
    <w:rsid w:val="00287B30"/>
    <w:rsid w:val="00290612"/>
    <w:rsid w:val="002908E6"/>
    <w:rsid w:val="00290E28"/>
    <w:rsid w:val="00291EFE"/>
    <w:rsid w:val="002921C6"/>
    <w:rsid w:val="00293280"/>
    <w:rsid w:val="00296408"/>
    <w:rsid w:val="0029666D"/>
    <w:rsid w:val="002A37BF"/>
    <w:rsid w:val="002A3B83"/>
    <w:rsid w:val="002B357B"/>
    <w:rsid w:val="002B4312"/>
    <w:rsid w:val="002B5480"/>
    <w:rsid w:val="002B5BCE"/>
    <w:rsid w:val="002B5F9A"/>
    <w:rsid w:val="002B619A"/>
    <w:rsid w:val="002B7FE7"/>
    <w:rsid w:val="002C392B"/>
    <w:rsid w:val="002C3EB1"/>
    <w:rsid w:val="002C3F26"/>
    <w:rsid w:val="002D0E06"/>
    <w:rsid w:val="002D1052"/>
    <w:rsid w:val="002D624F"/>
    <w:rsid w:val="002D6AA2"/>
    <w:rsid w:val="002D7FEF"/>
    <w:rsid w:val="002E106A"/>
    <w:rsid w:val="002E5AB3"/>
    <w:rsid w:val="002E5DB8"/>
    <w:rsid w:val="002E639C"/>
    <w:rsid w:val="002F0DEF"/>
    <w:rsid w:val="002F1453"/>
    <w:rsid w:val="002F2DDE"/>
    <w:rsid w:val="002F3AF8"/>
    <w:rsid w:val="002F43D7"/>
    <w:rsid w:val="002F443B"/>
    <w:rsid w:val="002F5A24"/>
    <w:rsid w:val="002F7B68"/>
    <w:rsid w:val="0030145A"/>
    <w:rsid w:val="00301BCD"/>
    <w:rsid w:val="00305964"/>
    <w:rsid w:val="00305D0B"/>
    <w:rsid w:val="003060EC"/>
    <w:rsid w:val="00310A77"/>
    <w:rsid w:val="0031244D"/>
    <w:rsid w:val="003135E0"/>
    <w:rsid w:val="00316690"/>
    <w:rsid w:val="00317B99"/>
    <w:rsid w:val="00322717"/>
    <w:rsid w:val="00324613"/>
    <w:rsid w:val="00324AB9"/>
    <w:rsid w:val="00325351"/>
    <w:rsid w:val="00326E0C"/>
    <w:rsid w:val="00330E10"/>
    <w:rsid w:val="0033287A"/>
    <w:rsid w:val="00335949"/>
    <w:rsid w:val="0033606E"/>
    <w:rsid w:val="00336A06"/>
    <w:rsid w:val="00347C8F"/>
    <w:rsid w:val="00353414"/>
    <w:rsid w:val="00354C6D"/>
    <w:rsid w:val="00354F4A"/>
    <w:rsid w:val="003559D4"/>
    <w:rsid w:val="003578F1"/>
    <w:rsid w:val="003610F7"/>
    <w:rsid w:val="00361C6B"/>
    <w:rsid w:val="00363852"/>
    <w:rsid w:val="00364011"/>
    <w:rsid w:val="003642EE"/>
    <w:rsid w:val="00365CB2"/>
    <w:rsid w:val="00370C16"/>
    <w:rsid w:val="00372915"/>
    <w:rsid w:val="00372F1E"/>
    <w:rsid w:val="00373135"/>
    <w:rsid w:val="00373B06"/>
    <w:rsid w:val="00374043"/>
    <w:rsid w:val="003830CD"/>
    <w:rsid w:val="00385CE6"/>
    <w:rsid w:val="00386B7A"/>
    <w:rsid w:val="00387267"/>
    <w:rsid w:val="00387CE4"/>
    <w:rsid w:val="0039236D"/>
    <w:rsid w:val="00392A95"/>
    <w:rsid w:val="00392BBB"/>
    <w:rsid w:val="00392EC4"/>
    <w:rsid w:val="003940E5"/>
    <w:rsid w:val="003945CA"/>
    <w:rsid w:val="00394BA2"/>
    <w:rsid w:val="00395F80"/>
    <w:rsid w:val="00396C66"/>
    <w:rsid w:val="003A036A"/>
    <w:rsid w:val="003A4ED1"/>
    <w:rsid w:val="003A51E6"/>
    <w:rsid w:val="003A58B2"/>
    <w:rsid w:val="003A5C71"/>
    <w:rsid w:val="003B11DE"/>
    <w:rsid w:val="003B41D9"/>
    <w:rsid w:val="003B45F5"/>
    <w:rsid w:val="003B62B1"/>
    <w:rsid w:val="003C0550"/>
    <w:rsid w:val="003C0AB7"/>
    <w:rsid w:val="003C1AF6"/>
    <w:rsid w:val="003C65B7"/>
    <w:rsid w:val="003C7DAB"/>
    <w:rsid w:val="003D55E3"/>
    <w:rsid w:val="003D7D49"/>
    <w:rsid w:val="003E0EE6"/>
    <w:rsid w:val="003E2C3A"/>
    <w:rsid w:val="003E2FFC"/>
    <w:rsid w:val="003E3389"/>
    <w:rsid w:val="003E46ED"/>
    <w:rsid w:val="003E5D74"/>
    <w:rsid w:val="003E7338"/>
    <w:rsid w:val="003F00B9"/>
    <w:rsid w:val="003F20F9"/>
    <w:rsid w:val="003F2A10"/>
    <w:rsid w:val="003F362D"/>
    <w:rsid w:val="003F468E"/>
    <w:rsid w:val="003F4938"/>
    <w:rsid w:val="003F4F7A"/>
    <w:rsid w:val="003F5D37"/>
    <w:rsid w:val="00401B67"/>
    <w:rsid w:val="00402F09"/>
    <w:rsid w:val="0040375E"/>
    <w:rsid w:val="00403A15"/>
    <w:rsid w:val="00404D0D"/>
    <w:rsid w:val="0041169E"/>
    <w:rsid w:val="0041173A"/>
    <w:rsid w:val="00412D86"/>
    <w:rsid w:val="004139EF"/>
    <w:rsid w:val="00414FD1"/>
    <w:rsid w:val="004150C3"/>
    <w:rsid w:val="0041739B"/>
    <w:rsid w:val="00417F5F"/>
    <w:rsid w:val="00424E94"/>
    <w:rsid w:val="00426F8B"/>
    <w:rsid w:val="00427AEC"/>
    <w:rsid w:val="00430B01"/>
    <w:rsid w:val="00433D04"/>
    <w:rsid w:val="00434F1A"/>
    <w:rsid w:val="00436D68"/>
    <w:rsid w:val="00436E3B"/>
    <w:rsid w:val="00440158"/>
    <w:rsid w:val="00442251"/>
    <w:rsid w:val="00443140"/>
    <w:rsid w:val="00444880"/>
    <w:rsid w:val="00444C6E"/>
    <w:rsid w:val="00445E81"/>
    <w:rsid w:val="004508F3"/>
    <w:rsid w:val="00454961"/>
    <w:rsid w:val="004550E6"/>
    <w:rsid w:val="00455E79"/>
    <w:rsid w:val="00456A05"/>
    <w:rsid w:val="00456C49"/>
    <w:rsid w:val="00457EA6"/>
    <w:rsid w:val="004618AD"/>
    <w:rsid w:val="004618FD"/>
    <w:rsid w:val="00462291"/>
    <w:rsid w:val="00463421"/>
    <w:rsid w:val="004634A5"/>
    <w:rsid w:val="00465902"/>
    <w:rsid w:val="00465C96"/>
    <w:rsid w:val="004674E6"/>
    <w:rsid w:val="004676DC"/>
    <w:rsid w:val="0047179D"/>
    <w:rsid w:val="00472306"/>
    <w:rsid w:val="00473CA5"/>
    <w:rsid w:val="00474400"/>
    <w:rsid w:val="00474429"/>
    <w:rsid w:val="004758F8"/>
    <w:rsid w:val="00477E6B"/>
    <w:rsid w:val="00481C9E"/>
    <w:rsid w:val="00482504"/>
    <w:rsid w:val="00483252"/>
    <w:rsid w:val="004834A6"/>
    <w:rsid w:val="004844E8"/>
    <w:rsid w:val="004907DB"/>
    <w:rsid w:val="004909BC"/>
    <w:rsid w:val="00492201"/>
    <w:rsid w:val="004932B0"/>
    <w:rsid w:val="00495E79"/>
    <w:rsid w:val="00497C09"/>
    <w:rsid w:val="004A05B5"/>
    <w:rsid w:val="004A3715"/>
    <w:rsid w:val="004A413B"/>
    <w:rsid w:val="004A4940"/>
    <w:rsid w:val="004A7068"/>
    <w:rsid w:val="004A7DE1"/>
    <w:rsid w:val="004B2EBE"/>
    <w:rsid w:val="004B3F81"/>
    <w:rsid w:val="004B3F9D"/>
    <w:rsid w:val="004B5DC5"/>
    <w:rsid w:val="004B6E31"/>
    <w:rsid w:val="004B7D8C"/>
    <w:rsid w:val="004C0D13"/>
    <w:rsid w:val="004C3CDE"/>
    <w:rsid w:val="004C787D"/>
    <w:rsid w:val="004C7E40"/>
    <w:rsid w:val="004D074C"/>
    <w:rsid w:val="004D16D4"/>
    <w:rsid w:val="004D2A1E"/>
    <w:rsid w:val="004E1109"/>
    <w:rsid w:val="004E3A03"/>
    <w:rsid w:val="004E479F"/>
    <w:rsid w:val="004E4CB5"/>
    <w:rsid w:val="004E5961"/>
    <w:rsid w:val="004E7D84"/>
    <w:rsid w:val="004F1316"/>
    <w:rsid w:val="004F33DB"/>
    <w:rsid w:val="004F3FED"/>
    <w:rsid w:val="004F4069"/>
    <w:rsid w:val="004F44A2"/>
    <w:rsid w:val="004F5204"/>
    <w:rsid w:val="004F639F"/>
    <w:rsid w:val="005022BC"/>
    <w:rsid w:val="00502372"/>
    <w:rsid w:val="0050630B"/>
    <w:rsid w:val="005071F9"/>
    <w:rsid w:val="005072D3"/>
    <w:rsid w:val="005140B9"/>
    <w:rsid w:val="00515C2A"/>
    <w:rsid w:val="00515EDF"/>
    <w:rsid w:val="0051647C"/>
    <w:rsid w:val="005164C2"/>
    <w:rsid w:val="005179DA"/>
    <w:rsid w:val="0052430A"/>
    <w:rsid w:val="0052504B"/>
    <w:rsid w:val="00530221"/>
    <w:rsid w:val="00530E9A"/>
    <w:rsid w:val="00531585"/>
    <w:rsid w:val="0053235C"/>
    <w:rsid w:val="0053252B"/>
    <w:rsid w:val="00533E22"/>
    <w:rsid w:val="005344BF"/>
    <w:rsid w:val="00536E3A"/>
    <w:rsid w:val="00540D31"/>
    <w:rsid w:val="00542A99"/>
    <w:rsid w:val="005434D5"/>
    <w:rsid w:val="005440C6"/>
    <w:rsid w:val="0054499C"/>
    <w:rsid w:val="00544E25"/>
    <w:rsid w:val="005454BA"/>
    <w:rsid w:val="005474B9"/>
    <w:rsid w:val="00554D7D"/>
    <w:rsid w:val="005572BC"/>
    <w:rsid w:val="00560936"/>
    <w:rsid w:val="00560DCF"/>
    <w:rsid w:val="00561365"/>
    <w:rsid w:val="00561F39"/>
    <w:rsid w:val="00561FB3"/>
    <w:rsid w:val="00562F8A"/>
    <w:rsid w:val="0056349D"/>
    <w:rsid w:val="00564564"/>
    <w:rsid w:val="00567259"/>
    <w:rsid w:val="00570538"/>
    <w:rsid w:val="00570626"/>
    <w:rsid w:val="00570785"/>
    <w:rsid w:val="00570DBD"/>
    <w:rsid w:val="005727A6"/>
    <w:rsid w:val="00574F81"/>
    <w:rsid w:val="00576EE0"/>
    <w:rsid w:val="005777E7"/>
    <w:rsid w:val="00583447"/>
    <w:rsid w:val="005838C5"/>
    <w:rsid w:val="00584086"/>
    <w:rsid w:val="00586156"/>
    <w:rsid w:val="0058735C"/>
    <w:rsid w:val="00593088"/>
    <w:rsid w:val="00594C44"/>
    <w:rsid w:val="00594C64"/>
    <w:rsid w:val="005950BF"/>
    <w:rsid w:val="00597FD9"/>
    <w:rsid w:val="005A2838"/>
    <w:rsid w:val="005A3725"/>
    <w:rsid w:val="005A5A09"/>
    <w:rsid w:val="005A5F64"/>
    <w:rsid w:val="005B148A"/>
    <w:rsid w:val="005B1534"/>
    <w:rsid w:val="005B5350"/>
    <w:rsid w:val="005C03FB"/>
    <w:rsid w:val="005C1242"/>
    <w:rsid w:val="005C1A61"/>
    <w:rsid w:val="005C23E8"/>
    <w:rsid w:val="005C46F8"/>
    <w:rsid w:val="005C51BF"/>
    <w:rsid w:val="005C74C0"/>
    <w:rsid w:val="005C7F93"/>
    <w:rsid w:val="005D02A3"/>
    <w:rsid w:val="005D2543"/>
    <w:rsid w:val="005D347E"/>
    <w:rsid w:val="005D4CD0"/>
    <w:rsid w:val="005D50DA"/>
    <w:rsid w:val="005D56CA"/>
    <w:rsid w:val="005E0823"/>
    <w:rsid w:val="005E1A88"/>
    <w:rsid w:val="005E384B"/>
    <w:rsid w:val="005E3FBF"/>
    <w:rsid w:val="005E474C"/>
    <w:rsid w:val="005F1C3F"/>
    <w:rsid w:val="005F3B88"/>
    <w:rsid w:val="005F493B"/>
    <w:rsid w:val="005F5935"/>
    <w:rsid w:val="005F6B2A"/>
    <w:rsid w:val="005F7EEA"/>
    <w:rsid w:val="00600E2D"/>
    <w:rsid w:val="00602CF4"/>
    <w:rsid w:val="00605F94"/>
    <w:rsid w:val="00606124"/>
    <w:rsid w:val="006103B4"/>
    <w:rsid w:val="00611247"/>
    <w:rsid w:val="00611B0C"/>
    <w:rsid w:val="00613966"/>
    <w:rsid w:val="00614138"/>
    <w:rsid w:val="00614CC9"/>
    <w:rsid w:val="00615978"/>
    <w:rsid w:val="0062088C"/>
    <w:rsid w:val="0062147E"/>
    <w:rsid w:val="00622030"/>
    <w:rsid w:val="00623E39"/>
    <w:rsid w:val="006248C3"/>
    <w:rsid w:val="00627A2A"/>
    <w:rsid w:val="00632B37"/>
    <w:rsid w:val="00640A1C"/>
    <w:rsid w:val="00641328"/>
    <w:rsid w:val="00641EA1"/>
    <w:rsid w:val="00643753"/>
    <w:rsid w:val="00647335"/>
    <w:rsid w:val="006509BF"/>
    <w:rsid w:val="00650B43"/>
    <w:rsid w:val="0065184D"/>
    <w:rsid w:val="00653182"/>
    <w:rsid w:val="0065427C"/>
    <w:rsid w:val="0066000E"/>
    <w:rsid w:val="006607A5"/>
    <w:rsid w:val="00661A59"/>
    <w:rsid w:val="00665E10"/>
    <w:rsid w:val="006669BC"/>
    <w:rsid w:val="006675AD"/>
    <w:rsid w:val="006704A0"/>
    <w:rsid w:val="00672042"/>
    <w:rsid w:val="00672564"/>
    <w:rsid w:val="006737EB"/>
    <w:rsid w:val="0068047C"/>
    <w:rsid w:val="00691DA0"/>
    <w:rsid w:val="0069223F"/>
    <w:rsid w:val="006928D2"/>
    <w:rsid w:val="006937EA"/>
    <w:rsid w:val="00694323"/>
    <w:rsid w:val="00696BC0"/>
    <w:rsid w:val="006A13B1"/>
    <w:rsid w:val="006A2245"/>
    <w:rsid w:val="006A25A2"/>
    <w:rsid w:val="006A3382"/>
    <w:rsid w:val="006A3384"/>
    <w:rsid w:val="006A5007"/>
    <w:rsid w:val="006A5BFD"/>
    <w:rsid w:val="006A7F0B"/>
    <w:rsid w:val="006B0B42"/>
    <w:rsid w:val="006B2B85"/>
    <w:rsid w:val="006B30B3"/>
    <w:rsid w:val="006B4316"/>
    <w:rsid w:val="006C03F6"/>
    <w:rsid w:val="006C0525"/>
    <w:rsid w:val="006C1789"/>
    <w:rsid w:val="006C2A3A"/>
    <w:rsid w:val="006D0C30"/>
    <w:rsid w:val="006D1843"/>
    <w:rsid w:val="006D2B72"/>
    <w:rsid w:val="006D43EE"/>
    <w:rsid w:val="006D78C8"/>
    <w:rsid w:val="006E1BDE"/>
    <w:rsid w:val="006E3C18"/>
    <w:rsid w:val="006E7549"/>
    <w:rsid w:val="006E78EA"/>
    <w:rsid w:val="006E7D29"/>
    <w:rsid w:val="006F3495"/>
    <w:rsid w:val="006F690A"/>
    <w:rsid w:val="006F75C3"/>
    <w:rsid w:val="00701EAF"/>
    <w:rsid w:val="00701FCD"/>
    <w:rsid w:val="0070250C"/>
    <w:rsid w:val="007062B9"/>
    <w:rsid w:val="00707B9E"/>
    <w:rsid w:val="00707C9B"/>
    <w:rsid w:val="007111CA"/>
    <w:rsid w:val="00712B72"/>
    <w:rsid w:val="00712FF1"/>
    <w:rsid w:val="007138BD"/>
    <w:rsid w:val="007217A7"/>
    <w:rsid w:val="00721EC5"/>
    <w:rsid w:val="0072404F"/>
    <w:rsid w:val="007247E9"/>
    <w:rsid w:val="00724B3C"/>
    <w:rsid w:val="00724D19"/>
    <w:rsid w:val="00725FE1"/>
    <w:rsid w:val="0072797C"/>
    <w:rsid w:val="007304DF"/>
    <w:rsid w:val="00740A03"/>
    <w:rsid w:val="00741752"/>
    <w:rsid w:val="00742800"/>
    <w:rsid w:val="00743C1A"/>
    <w:rsid w:val="00743EB9"/>
    <w:rsid w:val="0074447B"/>
    <w:rsid w:val="007459E0"/>
    <w:rsid w:val="00746880"/>
    <w:rsid w:val="00750E7A"/>
    <w:rsid w:val="00751E2E"/>
    <w:rsid w:val="0075270F"/>
    <w:rsid w:val="00755A6C"/>
    <w:rsid w:val="00756C71"/>
    <w:rsid w:val="00761AB4"/>
    <w:rsid w:val="00761B4A"/>
    <w:rsid w:val="00762294"/>
    <w:rsid w:val="0076269D"/>
    <w:rsid w:val="007728F1"/>
    <w:rsid w:val="00773BC5"/>
    <w:rsid w:val="00774DA6"/>
    <w:rsid w:val="00776364"/>
    <w:rsid w:val="00780ACE"/>
    <w:rsid w:val="00781714"/>
    <w:rsid w:val="00781A9E"/>
    <w:rsid w:val="007908B5"/>
    <w:rsid w:val="00792963"/>
    <w:rsid w:val="00796E72"/>
    <w:rsid w:val="007A05F8"/>
    <w:rsid w:val="007A1D5F"/>
    <w:rsid w:val="007A1EB4"/>
    <w:rsid w:val="007A3CDF"/>
    <w:rsid w:val="007A416A"/>
    <w:rsid w:val="007A4BB5"/>
    <w:rsid w:val="007A5216"/>
    <w:rsid w:val="007A72F8"/>
    <w:rsid w:val="007B214F"/>
    <w:rsid w:val="007B38B7"/>
    <w:rsid w:val="007B4937"/>
    <w:rsid w:val="007B50AE"/>
    <w:rsid w:val="007B6169"/>
    <w:rsid w:val="007B7146"/>
    <w:rsid w:val="007C108F"/>
    <w:rsid w:val="007C1870"/>
    <w:rsid w:val="007C6076"/>
    <w:rsid w:val="007C6B51"/>
    <w:rsid w:val="007C71BC"/>
    <w:rsid w:val="007C7D0C"/>
    <w:rsid w:val="007D04D4"/>
    <w:rsid w:val="007D09BC"/>
    <w:rsid w:val="007D199F"/>
    <w:rsid w:val="007D1E34"/>
    <w:rsid w:val="007D4A19"/>
    <w:rsid w:val="007D5372"/>
    <w:rsid w:val="007D6458"/>
    <w:rsid w:val="007D6C3E"/>
    <w:rsid w:val="007D6D8D"/>
    <w:rsid w:val="007D6D9B"/>
    <w:rsid w:val="007D7FB6"/>
    <w:rsid w:val="007E0C2E"/>
    <w:rsid w:val="007E1098"/>
    <w:rsid w:val="007E2050"/>
    <w:rsid w:val="007E2989"/>
    <w:rsid w:val="007E4189"/>
    <w:rsid w:val="007E4515"/>
    <w:rsid w:val="007E541A"/>
    <w:rsid w:val="007E60F9"/>
    <w:rsid w:val="007E7F10"/>
    <w:rsid w:val="007F04EE"/>
    <w:rsid w:val="007F18FC"/>
    <w:rsid w:val="007F3F65"/>
    <w:rsid w:val="007F45A1"/>
    <w:rsid w:val="008011AA"/>
    <w:rsid w:val="0080184E"/>
    <w:rsid w:val="00803B6E"/>
    <w:rsid w:val="008060F7"/>
    <w:rsid w:val="00807876"/>
    <w:rsid w:val="008102EA"/>
    <w:rsid w:val="00817510"/>
    <w:rsid w:val="00817AD9"/>
    <w:rsid w:val="00820D5F"/>
    <w:rsid w:val="008210DE"/>
    <w:rsid w:val="00821DD7"/>
    <w:rsid w:val="00823182"/>
    <w:rsid w:val="0082527C"/>
    <w:rsid w:val="00827C8B"/>
    <w:rsid w:val="00831885"/>
    <w:rsid w:val="00831FB9"/>
    <w:rsid w:val="00832049"/>
    <w:rsid w:val="008347C0"/>
    <w:rsid w:val="008358CE"/>
    <w:rsid w:val="00836EDE"/>
    <w:rsid w:val="008410BD"/>
    <w:rsid w:val="00842B6B"/>
    <w:rsid w:val="00842DEC"/>
    <w:rsid w:val="00844FBF"/>
    <w:rsid w:val="00845BCC"/>
    <w:rsid w:val="008465DC"/>
    <w:rsid w:val="008469C2"/>
    <w:rsid w:val="00851B36"/>
    <w:rsid w:val="00852FBF"/>
    <w:rsid w:val="0085359E"/>
    <w:rsid w:val="00853B08"/>
    <w:rsid w:val="008543CF"/>
    <w:rsid w:val="00854869"/>
    <w:rsid w:val="0085619A"/>
    <w:rsid w:val="00856C4A"/>
    <w:rsid w:val="00860667"/>
    <w:rsid w:val="00860810"/>
    <w:rsid w:val="00861710"/>
    <w:rsid w:val="00861730"/>
    <w:rsid w:val="00861D44"/>
    <w:rsid w:val="00862683"/>
    <w:rsid w:val="00867E9F"/>
    <w:rsid w:val="00870469"/>
    <w:rsid w:val="008704BA"/>
    <w:rsid w:val="00871437"/>
    <w:rsid w:val="00873467"/>
    <w:rsid w:val="00874A3A"/>
    <w:rsid w:val="00874CB6"/>
    <w:rsid w:val="00875715"/>
    <w:rsid w:val="00876D58"/>
    <w:rsid w:val="0088029F"/>
    <w:rsid w:val="0088071E"/>
    <w:rsid w:val="0088091A"/>
    <w:rsid w:val="00880F5A"/>
    <w:rsid w:val="0088117E"/>
    <w:rsid w:val="008814E7"/>
    <w:rsid w:val="00881953"/>
    <w:rsid w:val="0088485B"/>
    <w:rsid w:val="00885468"/>
    <w:rsid w:val="00886081"/>
    <w:rsid w:val="00890353"/>
    <w:rsid w:val="00891424"/>
    <w:rsid w:val="00891C6C"/>
    <w:rsid w:val="00891E32"/>
    <w:rsid w:val="00895A5B"/>
    <w:rsid w:val="008A145F"/>
    <w:rsid w:val="008A2ADD"/>
    <w:rsid w:val="008A2FA6"/>
    <w:rsid w:val="008A3147"/>
    <w:rsid w:val="008A647E"/>
    <w:rsid w:val="008A6CA7"/>
    <w:rsid w:val="008A6D6D"/>
    <w:rsid w:val="008B08D3"/>
    <w:rsid w:val="008C3E9C"/>
    <w:rsid w:val="008C5EA2"/>
    <w:rsid w:val="008C5EE2"/>
    <w:rsid w:val="008D0175"/>
    <w:rsid w:val="008D0294"/>
    <w:rsid w:val="008D04A7"/>
    <w:rsid w:val="008D2065"/>
    <w:rsid w:val="008D3688"/>
    <w:rsid w:val="008D36E3"/>
    <w:rsid w:val="008D57A0"/>
    <w:rsid w:val="008D5AF8"/>
    <w:rsid w:val="008E039A"/>
    <w:rsid w:val="008E18A1"/>
    <w:rsid w:val="008E3D5C"/>
    <w:rsid w:val="008E41C0"/>
    <w:rsid w:val="008E5216"/>
    <w:rsid w:val="008E5A54"/>
    <w:rsid w:val="008E5E78"/>
    <w:rsid w:val="008E6549"/>
    <w:rsid w:val="008E716C"/>
    <w:rsid w:val="008F1303"/>
    <w:rsid w:val="008F200E"/>
    <w:rsid w:val="008F2FB3"/>
    <w:rsid w:val="008F44D2"/>
    <w:rsid w:val="00901E1A"/>
    <w:rsid w:val="00902F98"/>
    <w:rsid w:val="009060C7"/>
    <w:rsid w:val="009076BD"/>
    <w:rsid w:val="00907E25"/>
    <w:rsid w:val="00910E90"/>
    <w:rsid w:val="00912AFC"/>
    <w:rsid w:val="00913AAB"/>
    <w:rsid w:val="00914418"/>
    <w:rsid w:val="00915776"/>
    <w:rsid w:val="0091681D"/>
    <w:rsid w:val="009202D7"/>
    <w:rsid w:val="00922BE2"/>
    <w:rsid w:val="00924C7F"/>
    <w:rsid w:val="0092540C"/>
    <w:rsid w:val="0092596C"/>
    <w:rsid w:val="009305BC"/>
    <w:rsid w:val="0093157C"/>
    <w:rsid w:val="00932623"/>
    <w:rsid w:val="00932DBB"/>
    <w:rsid w:val="00933A8C"/>
    <w:rsid w:val="00937839"/>
    <w:rsid w:val="00937C6C"/>
    <w:rsid w:val="00945185"/>
    <w:rsid w:val="0094738B"/>
    <w:rsid w:val="00953B1E"/>
    <w:rsid w:val="00956473"/>
    <w:rsid w:val="00956CD3"/>
    <w:rsid w:val="009579D2"/>
    <w:rsid w:val="0096065D"/>
    <w:rsid w:val="00963A6A"/>
    <w:rsid w:val="009673BB"/>
    <w:rsid w:val="00970EF1"/>
    <w:rsid w:val="009729EF"/>
    <w:rsid w:val="00973329"/>
    <w:rsid w:val="009733A9"/>
    <w:rsid w:val="00974D02"/>
    <w:rsid w:val="00977AF1"/>
    <w:rsid w:val="00982FC7"/>
    <w:rsid w:val="009849FE"/>
    <w:rsid w:val="00985919"/>
    <w:rsid w:val="00993CEC"/>
    <w:rsid w:val="00993FF4"/>
    <w:rsid w:val="00995FE5"/>
    <w:rsid w:val="00997334"/>
    <w:rsid w:val="00997B1E"/>
    <w:rsid w:val="009A08BE"/>
    <w:rsid w:val="009A160C"/>
    <w:rsid w:val="009A36D4"/>
    <w:rsid w:val="009A3A7D"/>
    <w:rsid w:val="009A68F4"/>
    <w:rsid w:val="009B0521"/>
    <w:rsid w:val="009B0798"/>
    <w:rsid w:val="009B09C7"/>
    <w:rsid w:val="009B2653"/>
    <w:rsid w:val="009B4D51"/>
    <w:rsid w:val="009B6F34"/>
    <w:rsid w:val="009C145B"/>
    <w:rsid w:val="009C2AF5"/>
    <w:rsid w:val="009C2D0D"/>
    <w:rsid w:val="009C2FF5"/>
    <w:rsid w:val="009C5280"/>
    <w:rsid w:val="009C6EF2"/>
    <w:rsid w:val="009D0679"/>
    <w:rsid w:val="009D25F5"/>
    <w:rsid w:val="009D5C54"/>
    <w:rsid w:val="009D7CEC"/>
    <w:rsid w:val="009E1B08"/>
    <w:rsid w:val="009E1D40"/>
    <w:rsid w:val="009E6443"/>
    <w:rsid w:val="009E74B5"/>
    <w:rsid w:val="009F07D2"/>
    <w:rsid w:val="009F2501"/>
    <w:rsid w:val="009F433C"/>
    <w:rsid w:val="009F4B97"/>
    <w:rsid w:val="009F54B5"/>
    <w:rsid w:val="009F5A24"/>
    <w:rsid w:val="00A01A6E"/>
    <w:rsid w:val="00A01DC8"/>
    <w:rsid w:val="00A05845"/>
    <w:rsid w:val="00A0592F"/>
    <w:rsid w:val="00A06289"/>
    <w:rsid w:val="00A066A0"/>
    <w:rsid w:val="00A06B2A"/>
    <w:rsid w:val="00A108A6"/>
    <w:rsid w:val="00A109FD"/>
    <w:rsid w:val="00A10C3E"/>
    <w:rsid w:val="00A12EA5"/>
    <w:rsid w:val="00A13662"/>
    <w:rsid w:val="00A165B0"/>
    <w:rsid w:val="00A1678E"/>
    <w:rsid w:val="00A2017A"/>
    <w:rsid w:val="00A20E44"/>
    <w:rsid w:val="00A21D5D"/>
    <w:rsid w:val="00A22BD9"/>
    <w:rsid w:val="00A234CC"/>
    <w:rsid w:val="00A30F34"/>
    <w:rsid w:val="00A322AB"/>
    <w:rsid w:val="00A33883"/>
    <w:rsid w:val="00A3725E"/>
    <w:rsid w:val="00A40DB8"/>
    <w:rsid w:val="00A41480"/>
    <w:rsid w:val="00A42385"/>
    <w:rsid w:val="00A44C30"/>
    <w:rsid w:val="00A468F9"/>
    <w:rsid w:val="00A54172"/>
    <w:rsid w:val="00A6009F"/>
    <w:rsid w:val="00A60521"/>
    <w:rsid w:val="00A60545"/>
    <w:rsid w:val="00A60929"/>
    <w:rsid w:val="00A61038"/>
    <w:rsid w:val="00A6281E"/>
    <w:rsid w:val="00A62D3E"/>
    <w:rsid w:val="00A62EC5"/>
    <w:rsid w:val="00A632AB"/>
    <w:rsid w:val="00A64D34"/>
    <w:rsid w:val="00A672CC"/>
    <w:rsid w:val="00A7065E"/>
    <w:rsid w:val="00A70DE9"/>
    <w:rsid w:val="00A70EC0"/>
    <w:rsid w:val="00A7138C"/>
    <w:rsid w:val="00A733EA"/>
    <w:rsid w:val="00A742FD"/>
    <w:rsid w:val="00A7516C"/>
    <w:rsid w:val="00A80D31"/>
    <w:rsid w:val="00A835CB"/>
    <w:rsid w:val="00A83D61"/>
    <w:rsid w:val="00A85D67"/>
    <w:rsid w:val="00A86D13"/>
    <w:rsid w:val="00A86E63"/>
    <w:rsid w:val="00A90EDC"/>
    <w:rsid w:val="00A92D6F"/>
    <w:rsid w:val="00A93403"/>
    <w:rsid w:val="00A9569F"/>
    <w:rsid w:val="00A95E22"/>
    <w:rsid w:val="00A95EE1"/>
    <w:rsid w:val="00A96052"/>
    <w:rsid w:val="00A964D5"/>
    <w:rsid w:val="00A96AA4"/>
    <w:rsid w:val="00AA3016"/>
    <w:rsid w:val="00AA3198"/>
    <w:rsid w:val="00AA3777"/>
    <w:rsid w:val="00AA5D69"/>
    <w:rsid w:val="00AA5FE4"/>
    <w:rsid w:val="00AA61A7"/>
    <w:rsid w:val="00AA7BDE"/>
    <w:rsid w:val="00AA7DC3"/>
    <w:rsid w:val="00AB41BB"/>
    <w:rsid w:val="00AB6F70"/>
    <w:rsid w:val="00AC050E"/>
    <w:rsid w:val="00AC12F8"/>
    <w:rsid w:val="00AC13C0"/>
    <w:rsid w:val="00AC221F"/>
    <w:rsid w:val="00AC3BBC"/>
    <w:rsid w:val="00AC6874"/>
    <w:rsid w:val="00AD0FCC"/>
    <w:rsid w:val="00AD42F0"/>
    <w:rsid w:val="00AD4D26"/>
    <w:rsid w:val="00AD4F0D"/>
    <w:rsid w:val="00AD575C"/>
    <w:rsid w:val="00AD66DA"/>
    <w:rsid w:val="00AD7186"/>
    <w:rsid w:val="00AE5B27"/>
    <w:rsid w:val="00AF08E9"/>
    <w:rsid w:val="00AF1D44"/>
    <w:rsid w:val="00AF4408"/>
    <w:rsid w:val="00AF4628"/>
    <w:rsid w:val="00AF48EC"/>
    <w:rsid w:val="00AF4AEC"/>
    <w:rsid w:val="00AF6580"/>
    <w:rsid w:val="00AF6A24"/>
    <w:rsid w:val="00B002A5"/>
    <w:rsid w:val="00B00F37"/>
    <w:rsid w:val="00B019BC"/>
    <w:rsid w:val="00B02C8D"/>
    <w:rsid w:val="00B02F34"/>
    <w:rsid w:val="00B0321C"/>
    <w:rsid w:val="00B067A2"/>
    <w:rsid w:val="00B06A0D"/>
    <w:rsid w:val="00B07ED3"/>
    <w:rsid w:val="00B10330"/>
    <w:rsid w:val="00B10340"/>
    <w:rsid w:val="00B104E5"/>
    <w:rsid w:val="00B12495"/>
    <w:rsid w:val="00B12D2A"/>
    <w:rsid w:val="00B14F68"/>
    <w:rsid w:val="00B15277"/>
    <w:rsid w:val="00B16BE6"/>
    <w:rsid w:val="00B17296"/>
    <w:rsid w:val="00B17E3C"/>
    <w:rsid w:val="00B20ACA"/>
    <w:rsid w:val="00B2109A"/>
    <w:rsid w:val="00B220F6"/>
    <w:rsid w:val="00B24534"/>
    <w:rsid w:val="00B24D0D"/>
    <w:rsid w:val="00B269B6"/>
    <w:rsid w:val="00B31417"/>
    <w:rsid w:val="00B32E8E"/>
    <w:rsid w:val="00B35017"/>
    <w:rsid w:val="00B3508E"/>
    <w:rsid w:val="00B350A1"/>
    <w:rsid w:val="00B35DA5"/>
    <w:rsid w:val="00B3684D"/>
    <w:rsid w:val="00B369F5"/>
    <w:rsid w:val="00B376A4"/>
    <w:rsid w:val="00B40362"/>
    <w:rsid w:val="00B40873"/>
    <w:rsid w:val="00B43BE8"/>
    <w:rsid w:val="00B43D1C"/>
    <w:rsid w:val="00B43ECD"/>
    <w:rsid w:val="00B446B6"/>
    <w:rsid w:val="00B45811"/>
    <w:rsid w:val="00B57BB8"/>
    <w:rsid w:val="00B62E35"/>
    <w:rsid w:val="00B63A68"/>
    <w:rsid w:val="00B6471E"/>
    <w:rsid w:val="00B6475F"/>
    <w:rsid w:val="00B6533E"/>
    <w:rsid w:val="00B70132"/>
    <w:rsid w:val="00B70430"/>
    <w:rsid w:val="00B717BE"/>
    <w:rsid w:val="00B72804"/>
    <w:rsid w:val="00B728A9"/>
    <w:rsid w:val="00B72D8B"/>
    <w:rsid w:val="00B75748"/>
    <w:rsid w:val="00B75FB1"/>
    <w:rsid w:val="00B80619"/>
    <w:rsid w:val="00B80B1B"/>
    <w:rsid w:val="00B8226F"/>
    <w:rsid w:val="00B83D99"/>
    <w:rsid w:val="00B844E4"/>
    <w:rsid w:val="00B84896"/>
    <w:rsid w:val="00B84A50"/>
    <w:rsid w:val="00B8518C"/>
    <w:rsid w:val="00B861EB"/>
    <w:rsid w:val="00B900F6"/>
    <w:rsid w:val="00B90A5B"/>
    <w:rsid w:val="00B92322"/>
    <w:rsid w:val="00B92EFF"/>
    <w:rsid w:val="00B9542E"/>
    <w:rsid w:val="00B96E4D"/>
    <w:rsid w:val="00BA1B04"/>
    <w:rsid w:val="00BA4346"/>
    <w:rsid w:val="00BA6E79"/>
    <w:rsid w:val="00BA7D8B"/>
    <w:rsid w:val="00BB12B1"/>
    <w:rsid w:val="00BB3641"/>
    <w:rsid w:val="00BB551A"/>
    <w:rsid w:val="00BB5832"/>
    <w:rsid w:val="00BB6923"/>
    <w:rsid w:val="00BB6A03"/>
    <w:rsid w:val="00BB7F30"/>
    <w:rsid w:val="00BC16C8"/>
    <w:rsid w:val="00BC18AC"/>
    <w:rsid w:val="00BC18C3"/>
    <w:rsid w:val="00BC2175"/>
    <w:rsid w:val="00BC295C"/>
    <w:rsid w:val="00BD0B00"/>
    <w:rsid w:val="00BD2F14"/>
    <w:rsid w:val="00BD61C5"/>
    <w:rsid w:val="00BD698D"/>
    <w:rsid w:val="00BD7A52"/>
    <w:rsid w:val="00BE2AE2"/>
    <w:rsid w:val="00BE7100"/>
    <w:rsid w:val="00BF0BC1"/>
    <w:rsid w:val="00BF3C27"/>
    <w:rsid w:val="00BF3C2C"/>
    <w:rsid w:val="00BF4B29"/>
    <w:rsid w:val="00BF4BF1"/>
    <w:rsid w:val="00BF6943"/>
    <w:rsid w:val="00C01FC2"/>
    <w:rsid w:val="00C02620"/>
    <w:rsid w:val="00C026DB"/>
    <w:rsid w:val="00C03D8D"/>
    <w:rsid w:val="00C03EF0"/>
    <w:rsid w:val="00C100A2"/>
    <w:rsid w:val="00C112E7"/>
    <w:rsid w:val="00C11A56"/>
    <w:rsid w:val="00C11AE2"/>
    <w:rsid w:val="00C12A9D"/>
    <w:rsid w:val="00C12BB7"/>
    <w:rsid w:val="00C13BB9"/>
    <w:rsid w:val="00C146C6"/>
    <w:rsid w:val="00C20308"/>
    <w:rsid w:val="00C22422"/>
    <w:rsid w:val="00C243CB"/>
    <w:rsid w:val="00C265CE"/>
    <w:rsid w:val="00C3222A"/>
    <w:rsid w:val="00C335FF"/>
    <w:rsid w:val="00C348E3"/>
    <w:rsid w:val="00C35330"/>
    <w:rsid w:val="00C41594"/>
    <w:rsid w:val="00C4356C"/>
    <w:rsid w:val="00C437F1"/>
    <w:rsid w:val="00C44D6C"/>
    <w:rsid w:val="00C46A43"/>
    <w:rsid w:val="00C47A61"/>
    <w:rsid w:val="00C50AFA"/>
    <w:rsid w:val="00C52D57"/>
    <w:rsid w:val="00C53BD7"/>
    <w:rsid w:val="00C54A86"/>
    <w:rsid w:val="00C607CF"/>
    <w:rsid w:val="00C625D0"/>
    <w:rsid w:val="00C63A8D"/>
    <w:rsid w:val="00C64C0E"/>
    <w:rsid w:val="00C64C1C"/>
    <w:rsid w:val="00C661FB"/>
    <w:rsid w:val="00C668F5"/>
    <w:rsid w:val="00C70FE5"/>
    <w:rsid w:val="00C72384"/>
    <w:rsid w:val="00C723A7"/>
    <w:rsid w:val="00C73DD2"/>
    <w:rsid w:val="00C76148"/>
    <w:rsid w:val="00C76AC2"/>
    <w:rsid w:val="00C77D3B"/>
    <w:rsid w:val="00C80850"/>
    <w:rsid w:val="00C81AA3"/>
    <w:rsid w:val="00C82B08"/>
    <w:rsid w:val="00C8712C"/>
    <w:rsid w:val="00C87BD1"/>
    <w:rsid w:val="00C920B0"/>
    <w:rsid w:val="00C92EB4"/>
    <w:rsid w:val="00C94A39"/>
    <w:rsid w:val="00C95174"/>
    <w:rsid w:val="00C97741"/>
    <w:rsid w:val="00CA04EC"/>
    <w:rsid w:val="00CA3016"/>
    <w:rsid w:val="00CA4263"/>
    <w:rsid w:val="00CA6655"/>
    <w:rsid w:val="00CA70A3"/>
    <w:rsid w:val="00CB2C0E"/>
    <w:rsid w:val="00CB3386"/>
    <w:rsid w:val="00CB425B"/>
    <w:rsid w:val="00CB4762"/>
    <w:rsid w:val="00CB5FEA"/>
    <w:rsid w:val="00CC2206"/>
    <w:rsid w:val="00CC27CF"/>
    <w:rsid w:val="00CC364A"/>
    <w:rsid w:val="00CC5ECA"/>
    <w:rsid w:val="00CC69D8"/>
    <w:rsid w:val="00CC77D4"/>
    <w:rsid w:val="00CD0E7B"/>
    <w:rsid w:val="00CD1BD0"/>
    <w:rsid w:val="00CD271A"/>
    <w:rsid w:val="00CD3ACB"/>
    <w:rsid w:val="00CD3ED6"/>
    <w:rsid w:val="00CD42C2"/>
    <w:rsid w:val="00CD6064"/>
    <w:rsid w:val="00CD6157"/>
    <w:rsid w:val="00CE1244"/>
    <w:rsid w:val="00CE35AD"/>
    <w:rsid w:val="00CE367D"/>
    <w:rsid w:val="00CE5A4B"/>
    <w:rsid w:val="00CE62EC"/>
    <w:rsid w:val="00CF1E9A"/>
    <w:rsid w:val="00CF3797"/>
    <w:rsid w:val="00CF3FC7"/>
    <w:rsid w:val="00CF776C"/>
    <w:rsid w:val="00D017C3"/>
    <w:rsid w:val="00D0189E"/>
    <w:rsid w:val="00D04C9B"/>
    <w:rsid w:val="00D05579"/>
    <w:rsid w:val="00D0580D"/>
    <w:rsid w:val="00D0678C"/>
    <w:rsid w:val="00D074B8"/>
    <w:rsid w:val="00D12107"/>
    <w:rsid w:val="00D123CA"/>
    <w:rsid w:val="00D129B1"/>
    <w:rsid w:val="00D148A5"/>
    <w:rsid w:val="00D15C4C"/>
    <w:rsid w:val="00D17D4E"/>
    <w:rsid w:val="00D20633"/>
    <w:rsid w:val="00D226EE"/>
    <w:rsid w:val="00D22CE9"/>
    <w:rsid w:val="00D22FDA"/>
    <w:rsid w:val="00D249C1"/>
    <w:rsid w:val="00D25AFC"/>
    <w:rsid w:val="00D313C7"/>
    <w:rsid w:val="00D320EE"/>
    <w:rsid w:val="00D33DC6"/>
    <w:rsid w:val="00D35FB3"/>
    <w:rsid w:val="00D36B10"/>
    <w:rsid w:val="00D37330"/>
    <w:rsid w:val="00D37CBA"/>
    <w:rsid w:val="00D4043E"/>
    <w:rsid w:val="00D4123D"/>
    <w:rsid w:val="00D45AB2"/>
    <w:rsid w:val="00D46EC3"/>
    <w:rsid w:val="00D5099F"/>
    <w:rsid w:val="00D512D5"/>
    <w:rsid w:val="00D51A90"/>
    <w:rsid w:val="00D527C2"/>
    <w:rsid w:val="00D52D23"/>
    <w:rsid w:val="00D557ED"/>
    <w:rsid w:val="00D570E4"/>
    <w:rsid w:val="00D60531"/>
    <w:rsid w:val="00D6104F"/>
    <w:rsid w:val="00D61690"/>
    <w:rsid w:val="00D642CB"/>
    <w:rsid w:val="00D659D4"/>
    <w:rsid w:val="00D65DEA"/>
    <w:rsid w:val="00D66056"/>
    <w:rsid w:val="00D67967"/>
    <w:rsid w:val="00D70DBB"/>
    <w:rsid w:val="00D71F7B"/>
    <w:rsid w:val="00D73430"/>
    <w:rsid w:val="00D7344B"/>
    <w:rsid w:val="00D80438"/>
    <w:rsid w:val="00D80541"/>
    <w:rsid w:val="00D83BA7"/>
    <w:rsid w:val="00D8565A"/>
    <w:rsid w:val="00D85775"/>
    <w:rsid w:val="00D85A6F"/>
    <w:rsid w:val="00D86012"/>
    <w:rsid w:val="00D87AB7"/>
    <w:rsid w:val="00D87D1F"/>
    <w:rsid w:val="00D92940"/>
    <w:rsid w:val="00D95F5B"/>
    <w:rsid w:val="00DA221B"/>
    <w:rsid w:val="00DA22DC"/>
    <w:rsid w:val="00DA5605"/>
    <w:rsid w:val="00DA65BF"/>
    <w:rsid w:val="00DB0CB4"/>
    <w:rsid w:val="00DB1624"/>
    <w:rsid w:val="00DB5F97"/>
    <w:rsid w:val="00DC039A"/>
    <w:rsid w:val="00DC2230"/>
    <w:rsid w:val="00DC31CB"/>
    <w:rsid w:val="00DC6D44"/>
    <w:rsid w:val="00DC71FE"/>
    <w:rsid w:val="00DD0083"/>
    <w:rsid w:val="00DD0F5D"/>
    <w:rsid w:val="00DD12AC"/>
    <w:rsid w:val="00DD12F0"/>
    <w:rsid w:val="00DD2F82"/>
    <w:rsid w:val="00DD3929"/>
    <w:rsid w:val="00DD3BCC"/>
    <w:rsid w:val="00DD4881"/>
    <w:rsid w:val="00DD509F"/>
    <w:rsid w:val="00DD5BB6"/>
    <w:rsid w:val="00DE162A"/>
    <w:rsid w:val="00DE6ACC"/>
    <w:rsid w:val="00DE73E0"/>
    <w:rsid w:val="00DE7E54"/>
    <w:rsid w:val="00DF2DAC"/>
    <w:rsid w:val="00DF45CB"/>
    <w:rsid w:val="00DF53DF"/>
    <w:rsid w:val="00DF5F69"/>
    <w:rsid w:val="00E02C5A"/>
    <w:rsid w:val="00E06818"/>
    <w:rsid w:val="00E112C6"/>
    <w:rsid w:val="00E1243C"/>
    <w:rsid w:val="00E1336B"/>
    <w:rsid w:val="00E17916"/>
    <w:rsid w:val="00E20E5D"/>
    <w:rsid w:val="00E235B5"/>
    <w:rsid w:val="00E24AB5"/>
    <w:rsid w:val="00E2618F"/>
    <w:rsid w:val="00E3042A"/>
    <w:rsid w:val="00E32DAA"/>
    <w:rsid w:val="00E33FE5"/>
    <w:rsid w:val="00E3761B"/>
    <w:rsid w:val="00E41A72"/>
    <w:rsid w:val="00E429E3"/>
    <w:rsid w:val="00E42B91"/>
    <w:rsid w:val="00E475DF"/>
    <w:rsid w:val="00E477C7"/>
    <w:rsid w:val="00E47CDB"/>
    <w:rsid w:val="00E503CE"/>
    <w:rsid w:val="00E50748"/>
    <w:rsid w:val="00E50805"/>
    <w:rsid w:val="00E521B7"/>
    <w:rsid w:val="00E52D51"/>
    <w:rsid w:val="00E542B1"/>
    <w:rsid w:val="00E5457D"/>
    <w:rsid w:val="00E54F53"/>
    <w:rsid w:val="00E56553"/>
    <w:rsid w:val="00E56B30"/>
    <w:rsid w:val="00E56F40"/>
    <w:rsid w:val="00E612ED"/>
    <w:rsid w:val="00E617D6"/>
    <w:rsid w:val="00E62F2A"/>
    <w:rsid w:val="00E63E17"/>
    <w:rsid w:val="00E63F6C"/>
    <w:rsid w:val="00E643BD"/>
    <w:rsid w:val="00E659E8"/>
    <w:rsid w:val="00E66FBD"/>
    <w:rsid w:val="00E676D7"/>
    <w:rsid w:val="00E67AD8"/>
    <w:rsid w:val="00E70AAA"/>
    <w:rsid w:val="00E7249E"/>
    <w:rsid w:val="00E730A1"/>
    <w:rsid w:val="00E73B40"/>
    <w:rsid w:val="00E74420"/>
    <w:rsid w:val="00E75BB2"/>
    <w:rsid w:val="00E769A2"/>
    <w:rsid w:val="00E81137"/>
    <w:rsid w:val="00E82068"/>
    <w:rsid w:val="00E825C8"/>
    <w:rsid w:val="00E85619"/>
    <w:rsid w:val="00E872B1"/>
    <w:rsid w:val="00E87982"/>
    <w:rsid w:val="00E87ABD"/>
    <w:rsid w:val="00E91674"/>
    <w:rsid w:val="00E94D3F"/>
    <w:rsid w:val="00E95DD8"/>
    <w:rsid w:val="00E96B97"/>
    <w:rsid w:val="00EA2488"/>
    <w:rsid w:val="00EA7325"/>
    <w:rsid w:val="00EA76CE"/>
    <w:rsid w:val="00EB2098"/>
    <w:rsid w:val="00EB24C6"/>
    <w:rsid w:val="00EB276F"/>
    <w:rsid w:val="00EB4C9B"/>
    <w:rsid w:val="00EB56F9"/>
    <w:rsid w:val="00EB6053"/>
    <w:rsid w:val="00EC1475"/>
    <w:rsid w:val="00EC2D34"/>
    <w:rsid w:val="00EC5359"/>
    <w:rsid w:val="00EC6834"/>
    <w:rsid w:val="00ED0624"/>
    <w:rsid w:val="00ED32E0"/>
    <w:rsid w:val="00ED3986"/>
    <w:rsid w:val="00ED53CC"/>
    <w:rsid w:val="00ED5FC4"/>
    <w:rsid w:val="00ED73B7"/>
    <w:rsid w:val="00EE1927"/>
    <w:rsid w:val="00EE3920"/>
    <w:rsid w:val="00EE3C98"/>
    <w:rsid w:val="00EE4F1A"/>
    <w:rsid w:val="00EE6014"/>
    <w:rsid w:val="00EE67BE"/>
    <w:rsid w:val="00EE684D"/>
    <w:rsid w:val="00EE728C"/>
    <w:rsid w:val="00EF0EC4"/>
    <w:rsid w:val="00EF1BCF"/>
    <w:rsid w:val="00EF7922"/>
    <w:rsid w:val="00F0069E"/>
    <w:rsid w:val="00F00734"/>
    <w:rsid w:val="00F013B1"/>
    <w:rsid w:val="00F019ED"/>
    <w:rsid w:val="00F01EB8"/>
    <w:rsid w:val="00F028DC"/>
    <w:rsid w:val="00F033F8"/>
    <w:rsid w:val="00F048AC"/>
    <w:rsid w:val="00F05315"/>
    <w:rsid w:val="00F05A50"/>
    <w:rsid w:val="00F067E8"/>
    <w:rsid w:val="00F10F03"/>
    <w:rsid w:val="00F15EA7"/>
    <w:rsid w:val="00F1731B"/>
    <w:rsid w:val="00F22475"/>
    <w:rsid w:val="00F237F6"/>
    <w:rsid w:val="00F24ABF"/>
    <w:rsid w:val="00F25C67"/>
    <w:rsid w:val="00F25E7A"/>
    <w:rsid w:val="00F26928"/>
    <w:rsid w:val="00F308CC"/>
    <w:rsid w:val="00F3244A"/>
    <w:rsid w:val="00F32510"/>
    <w:rsid w:val="00F33753"/>
    <w:rsid w:val="00F34CB4"/>
    <w:rsid w:val="00F4286E"/>
    <w:rsid w:val="00F44B92"/>
    <w:rsid w:val="00F46297"/>
    <w:rsid w:val="00F552AE"/>
    <w:rsid w:val="00F55A7A"/>
    <w:rsid w:val="00F565ED"/>
    <w:rsid w:val="00F62BCD"/>
    <w:rsid w:val="00F62DED"/>
    <w:rsid w:val="00F62E82"/>
    <w:rsid w:val="00F62F3B"/>
    <w:rsid w:val="00F6342E"/>
    <w:rsid w:val="00F63B2D"/>
    <w:rsid w:val="00F64025"/>
    <w:rsid w:val="00F668AD"/>
    <w:rsid w:val="00F67EB7"/>
    <w:rsid w:val="00F708DB"/>
    <w:rsid w:val="00F74C2A"/>
    <w:rsid w:val="00F75974"/>
    <w:rsid w:val="00F83481"/>
    <w:rsid w:val="00F9110E"/>
    <w:rsid w:val="00F9295E"/>
    <w:rsid w:val="00F93539"/>
    <w:rsid w:val="00F936E0"/>
    <w:rsid w:val="00F9494D"/>
    <w:rsid w:val="00F94AC6"/>
    <w:rsid w:val="00F964DA"/>
    <w:rsid w:val="00F97578"/>
    <w:rsid w:val="00FA0576"/>
    <w:rsid w:val="00FA4948"/>
    <w:rsid w:val="00FA71CA"/>
    <w:rsid w:val="00FB0A4B"/>
    <w:rsid w:val="00FB35B3"/>
    <w:rsid w:val="00FB6D05"/>
    <w:rsid w:val="00FC1DCB"/>
    <w:rsid w:val="00FC22CE"/>
    <w:rsid w:val="00FC2B1A"/>
    <w:rsid w:val="00FD0FA7"/>
    <w:rsid w:val="00FD230A"/>
    <w:rsid w:val="00FD6684"/>
    <w:rsid w:val="00FE264A"/>
    <w:rsid w:val="00FE3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8481" fill="f" fillcolor="white" strokecolor="none [2408]">
      <v:fill color="white" on="f"/>
      <v:stroke color="none [2408]" weight="1pt"/>
      <o:colormru v:ext="edit" colors="#3182bd,#d1a375"/>
      <o:colormenu v:ext="edit" fillcolor="#3182bd" strokecolor="#266492"/>
    </o:shapedefaults>
    <o:shapelayout v:ext="edit">
      <o:idmap v:ext="edit" data="1"/>
      <o:regrouptable v:ext="edit">
        <o:entry new="1" old="0"/>
        <o:entry new="2" old="0"/>
        <o:entry new="3" old="0"/>
        <o:entry new="4" old="0"/>
        <o:entry new="5" old="0"/>
        <o:entry new="6" old="0"/>
        <o:entry new="7" old="0"/>
        <o:entry new="8" old="0"/>
        <o:entry new="9" old="0"/>
        <o:entry new="10" old="0"/>
      </o:regrouptable>
    </o:shapelayout>
  </w:shapeDefaults>
  <w:decimalSymbol w:val="."/>
  <w:listSeparator w:val=","/>
  <w14:docId w14:val="14D40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D29"/>
    <w:pPr>
      <w:spacing w:before="240"/>
      <w:jc w:val="both"/>
    </w:pPr>
    <w:rPr>
      <w:rFonts w:ascii="Verdana" w:hAnsi="Verdana" w:cs="TrebuchetMS"/>
      <w:sz w:val="22"/>
      <w:szCs w:val="22"/>
    </w:rPr>
  </w:style>
  <w:style w:type="paragraph" w:styleId="Heading1">
    <w:name w:val="heading 1"/>
    <w:basedOn w:val="Normal"/>
    <w:next w:val="Normal"/>
    <w:qFormat/>
    <w:rsid w:val="00993CEC"/>
    <w:pPr>
      <w:outlineLvl w:val="0"/>
    </w:pPr>
    <w:rPr>
      <w:b/>
      <w:color w:val="3182BD"/>
      <w:kern w:val="28"/>
      <w:sz w:val="48"/>
      <w:szCs w:val="48"/>
    </w:rPr>
  </w:style>
  <w:style w:type="paragraph" w:styleId="Heading2">
    <w:name w:val="heading 2"/>
    <w:basedOn w:val="Normal"/>
    <w:next w:val="Normal"/>
    <w:link w:val="Heading2Char"/>
    <w:qFormat/>
    <w:rsid w:val="00F964DA"/>
    <w:pPr>
      <w:keepNext/>
      <w:numPr>
        <w:ilvl w:val="1"/>
        <w:numId w:val="3"/>
      </w:numPr>
      <w:spacing w:before="360"/>
      <w:jc w:val="left"/>
      <w:outlineLvl w:val="1"/>
    </w:pPr>
    <w:rPr>
      <w:b/>
      <w:noProof/>
      <w:color w:val="266492"/>
      <w:sz w:val="24"/>
      <w:szCs w:val="26"/>
    </w:rPr>
  </w:style>
  <w:style w:type="paragraph" w:styleId="Heading3">
    <w:name w:val="heading 3"/>
    <w:basedOn w:val="Normal"/>
    <w:next w:val="Normal"/>
    <w:qFormat/>
    <w:rsid w:val="00ED0624"/>
    <w:pPr>
      <w:keepNext/>
      <w:numPr>
        <w:ilvl w:val="2"/>
        <w:numId w:val="3"/>
      </w:numPr>
      <w:spacing w:before="360"/>
      <w:outlineLvl w:val="2"/>
    </w:pPr>
    <w:rPr>
      <w:b/>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Heading1"/>
    <w:next w:val="Normal"/>
    <w:qFormat/>
    <w:rsid w:val="006509BF"/>
    <w:pPr>
      <w:outlineLvl w:val="6"/>
    </w:p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F15EA7"/>
    <w:pPr>
      <w:tabs>
        <w:tab w:val="left" w:pos="540"/>
        <w:tab w:val="right" w:leader="dot" w:pos="9072"/>
      </w:tabs>
      <w:ind w:left="547" w:hanging="547"/>
      <w:jc w:val="left"/>
    </w:pPr>
    <w:rPr>
      <w:b/>
      <w:caps/>
      <w:noProof/>
    </w:rPr>
  </w:style>
  <w:style w:type="paragraph" w:styleId="TOC2">
    <w:name w:val="toc 2"/>
    <w:basedOn w:val="Normal"/>
    <w:next w:val="Normal"/>
    <w:autoRedefine/>
    <w:uiPriority w:val="39"/>
    <w:qFormat/>
    <w:rsid w:val="00F15EA7"/>
    <w:pPr>
      <w:tabs>
        <w:tab w:val="left" w:pos="1276"/>
        <w:tab w:val="right" w:leader="dot" w:pos="9072"/>
      </w:tabs>
      <w:spacing w:before="0"/>
      <w:ind w:left="1276" w:hanging="709"/>
      <w:jc w:val="left"/>
    </w:pPr>
    <w:rPr>
      <w:noProof/>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9B2653"/>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pPr>
      <w:numPr>
        <w:ilvl w:val="0"/>
        <w:numId w:val="0"/>
      </w:numPr>
    </w:pPr>
  </w:style>
  <w:style w:type="character" w:styleId="PageNumber">
    <w:name w:val="page number"/>
    <w:basedOn w:val="DefaultParagraphFont"/>
    <w:rsid w:val="009B2653"/>
  </w:style>
  <w:style w:type="table" w:styleId="TableGrid">
    <w:name w:val="Table Grid"/>
    <w:basedOn w:val="TableNormal"/>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link w:val="CommentTextChar"/>
    <w:uiPriority w:val="99"/>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F15EA7"/>
    <w:pPr>
      <w:tabs>
        <w:tab w:val="left" w:pos="1320"/>
        <w:tab w:val="right" w:leader="dot" w:pos="9072"/>
      </w:tabs>
      <w:spacing w:after="100"/>
      <w:ind w:left="480"/>
    </w:pPr>
  </w:style>
  <w:style w:type="paragraph" w:styleId="TOCHeading">
    <w:name w:val="TOC Heading"/>
    <w:basedOn w:val="Heading1"/>
    <w:next w:val="Normal"/>
    <w:uiPriority w:val="39"/>
    <w:semiHidden/>
    <w:unhideWhenUsed/>
    <w:qFormat/>
    <w:rsid w:val="000E59FC"/>
    <w:pPr>
      <w:keepLines/>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F964DA"/>
    <w:rPr>
      <w:rFonts w:ascii="Verdana" w:hAnsi="Verdana" w:cs="TrebuchetMS"/>
      <w:b/>
      <w:noProof/>
      <w:color w:val="266492"/>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
    <w:name w:val="Body text Char"/>
    <w:basedOn w:val="DefaultParagraphFont"/>
    <w:link w:val="BodyText1"/>
    <w:rsid w:val="00183155"/>
    <w:rPr>
      <w:rFonts w:ascii="Verdana" w:hAnsi="Verdana" w:cs="TrebuchetMS"/>
      <w:sz w:val="22"/>
      <w:szCs w:val="22"/>
    </w:rPr>
  </w:style>
  <w:style w:type="character" w:customStyle="1" w:styleId="CommentTextChar">
    <w:name w:val="Comment Text Char"/>
    <w:basedOn w:val="DefaultParagraphFont"/>
    <w:link w:val="CommentText"/>
    <w:uiPriority w:val="99"/>
    <w:rsid w:val="008E5216"/>
    <w:rPr>
      <w:rFonts w:ascii="Verdana" w:hAnsi="Verdana" w:cs="TrebuchetMS"/>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54778381">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92507885">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488011406">
      <w:bodyDiv w:val="1"/>
      <w:marLeft w:val="0"/>
      <w:marRight w:val="0"/>
      <w:marTop w:val="0"/>
      <w:marBottom w:val="0"/>
      <w:divBdr>
        <w:top w:val="none" w:sz="0" w:space="0" w:color="auto"/>
        <w:left w:val="none" w:sz="0" w:space="0" w:color="auto"/>
        <w:bottom w:val="none" w:sz="0" w:space="0" w:color="auto"/>
        <w:right w:val="none" w:sz="0" w:space="0" w:color="auto"/>
      </w:divBdr>
    </w:div>
    <w:div w:id="1710061658">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publichealthwalesobservatory.wales.nhs.uk/" TargetMode="External"/><Relationship Id="rId18" Type="http://schemas.openxmlformats.org/officeDocument/2006/relationships/image" Target="media/image5.emf"/><Relationship Id="rId26" Type="http://schemas.openxmlformats.org/officeDocument/2006/relationships/hyperlink" Target="https://www.theguardian.com/uk-news/2016/apr/07/number-deaths-england-wales-12-year-high-life-expectancy" TargetMode="External"/><Relationship Id="rId39"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www.ons.gov.uk/peoplepopulationandcommunity/birthsdeathsandmarriages/deaths/articles/provisionalanalysisofdeathregistrations/2015" TargetMode="External"/><Relationship Id="rId34" Type="http://schemas.openxmlformats.org/officeDocument/2006/relationships/hyperlink" Target="https://www.ons.gov.uk/peoplepopulationandcommunity/birthsdeathsandmarriages/deaths/articles/dementiaandrespiratorydiseasebehindbiggestannualdeathsincreasesincethe1960s/2016-04-07" TargetMode="External"/><Relationship Id="rId42" Type="http://schemas.openxmlformats.org/officeDocument/2006/relationships/footer" Target="footer2.xml"/><Relationship Id="rId47"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publichealthwalesobservatory@wales.nhs.uk" TargetMode="External"/><Relationship Id="rId17" Type="http://schemas.openxmlformats.org/officeDocument/2006/relationships/image" Target="media/image4.emf"/><Relationship Id="rId25" Type="http://schemas.openxmlformats.org/officeDocument/2006/relationships/hyperlink" Target="https://www.ncbi.nlm.nih.gov/pubmed/28208027" TargetMode="External"/><Relationship Id="rId33" Type="http://schemas.openxmlformats.org/officeDocument/2006/relationships/hyperlink" Target="https://www.ons.gov.uk/peoplepopulationandcommunity/birthsdeathsandmarriages/deaths/bulletins/excesswintermortalityinenglandandwales/201415provisionaland201314final" TargetMode="External"/><Relationship Id="rId38" Type="http://schemas.openxmlformats.org/officeDocument/2006/relationships/hyperlink" Target="http://www.bmj.com/content/360/bmj.k1090?utm_medium=email&amp;utm_campaign_name=20180376&amp;utm_source=etoc_weekly"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7.emf"/><Relationship Id="rId29" Type="http://schemas.openxmlformats.org/officeDocument/2006/relationships/hyperlink" Target="https://www.ons.gov.uk/peoplepopulationandcommunity/birthsdeathsandmarriages/deaths/bulletins/deathsregistrationsummarytables/2015"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doi.org/10.1177/0141076817693599" TargetMode="External"/><Relationship Id="rId32" Type="http://schemas.openxmlformats.org/officeDocument/2006/relationships/hyperlink" Target="http://www2.nphs.wales.nhs.uk:8080/VaccinationsImmunisationProgsDocs.nsf/($All)/AECFDA367EA8E8F580257EC8002EE440/$File/Seasonal%20influenza%20vaccine%20uptake%20in%20Wales%20201415_v1a.pdf" TargetMode="External"/><Relationship Id="rId37" Type="http://schemas.openxmlformats.org/officeDocument/2006/relationships/hyperlink" Target="https://www.ons.gov.uk/peoplepopulationandcommunity/birthsdeathsandmarriages/deaths/datasets/weeklyprovisionalfiguresondeathsregisteredinenglandandwales" TargetMode="External"/><Relationship Id="rId40" Type="http://schemas.openxmlformats.org/officeDocument/2006/relationships/header" Target="header2.xml"/><Relationship Id="rId45" Type="http://schemas.openxmlformats.org/officeDocument/2006/relationships/image" Target="media/image8.emf"/><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hyperlink" Target="https://publichealthmatters.blog.gov.uk/2017/07/20/whats-happening-with-mortality-rates-in-england/" TargetMode="External"/><Relationship Id="rId28" Type="http://schemas.openxmlformats.org/officeDocument/2006/relationships/hyperlink" Target="http://www.bmj.com/content/352/bmj.i981" TargetMode="External"/><Relationship Id="rId36" Type="http://schemas.openxmlformats.org/officeDocument/2006/relationships/hyperlink" Target="https://www.ons.gov.uk/peoplepopulationandcommunity/birthsdeathsandmarriages/deaths/bulletins/impactoftheimplementationofirissoftwareforicd10causeofdeathcodingonmortalitystatisticsenglandandwales/2014-08-08" TargetMode="External"/><Relationship Id="rId10" Type="http://schemas.openxmlformats.org/officeDocument/2006/relationships/endnotes" Target="endnotes.xml"/><Relationship Id="rId19" Type="http://schemas.openxmlformats.org/officeDocument/2006/relationships/image" Target="media/image6.emf"/><Relationship Id="rId31" Type="http://schemas.openxmlformats.org/officeDocument/2006/relationships/hyperlink" Target="http://www2.nphs.wales.nhs.uk:8080/PubHObservatoryProjDocs.nsf/85c50756737f79ac80256f2700534ea3/99a9490d2e6d05268025820b005851de/$FILE/Health&amp;determinantsinWales_Report_Eng.pdf" TargetMode="External"/><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hyperlink" Target="http://theconversation.com/sharp-rise-in-uk-mortality-rate-may-be-due-to-austerity-measures-72984" TargetMode="External"/><Relationship Id="rId27" Type="http://schemas.openxmlformats.org/officeDocument/2006/relationships/hyperlink" Target="http://www.telegraph.co.uk/news/health/12158930/Biggest-annual-rise-in-deaths-for-almost-fifty-years-prompts-warnings-of-crisis-in-elderly-care.html" TargetMode="External"/><Relationship Id="rId30" Type="http://schemas.openxmlformats.org/officeDocument/2006/relationships/hyperlink" Target="https://www.ons.gov.uk/news/news/spikeinnumberofdeathsin2015drivenbyincreasedmortalityinover75s" TargetMode="External"/><Relationship Id="rId35" Type="http://schemas.openxmlformats.org/officeDocument/2006/relationships/hyperlink" Target="http://www.instituteofhealthequity.org/resources-reports/marmot-indicators-2017-institute-of-health-equity-briefing/marmot-indicators-briefing-2017-updated.pdf" TargetMode="External"/><Relationship Id="rId43"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9dbda9a1f64f45d02ff06bd91a3442a6">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d810eb703564286cbca9694aba1632a6"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F64345-FAC9-4A36-9755-2A26B20944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2CBC083-6394-4E1B-8E2F-35D07F4AE3C5}">
  <ds:schemaRefs>
    <ds:schemaRef ds:uri="http://schemas.microsoft.com/sharepoint/v3/contenttype/forms"/>
  </ds:schemaRefs>
</ds:datastoreItem>
</file>

<file path=customXml/itemProps3.xml><?xml version="1.0" encoding="utf-8"?>
<ds:datastoreItem xmlns:ds="http://schemas.openxmlformats.org/officeDocument/2006/customXml" ds:itemID="{7C2AF959-D6A8-4368-B437-40B1D2270044}">
  <ds:schemaRefs>
    <ds:schemaRef ds:uri="http://purl.org/dc/elements/1.1/"/>
    <ds:schemaRef ds:uri="http://schemas.microsoft.com/office/2006/metadata/properties"/>
    <ds:schemaRef ds:uri="f30bebb2-c01f-48d0-81da-dc8b123879c2"/>
    <ds:schemaRef ds:uri="b7e247b7-cca8-429f-8688-16f83c8fba5f"/>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FD0B3DC7-6C5A-4DBF-B6EE-8C5202E2BA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2824</Words>
  <Characters>20376</Characters>
  <Application>Microsoft Office Word</Application>
  <DocSecurity>0</DocSecurity>
  <Lines>169</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23154</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2021-07-02T08:51:00Z</dcterms:created>
  <dcterms:modified xsi:type="dcterms:W3CDTF">2021-07-02T08:51:00Z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