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EA8671" w14:textId="757194F2" w:rsidR="00B20ACA" w:rsidRDefault="00E14BF4">
      <w:pPr>
        <w:spacing w:before="0"/>
        <w:jc w:val="left"/>
      </w:pPr>
      <w:bookmarkStart w:id="0" w:name="_GoBack"/>
      <w:bookmarkEnd w:id="0"/>
      <w:r>
        <w:rPr>
          <w:noProof/>
        </w:rPr>
        <w:drawing>
          <wp:anchor distT="0" distB="0" distL="114300" distR="114300" simplePos="0" relativeHeight="251687935" behindDoc="1" locked="0" layoutInCell="1" allowOverlap="1" wp14:anchorId="3D646A76" wp14:editId="781909E5">
            <wp:simplePos x="0" y="0"/>
            <wp:positionH relativeFrom="margin">
              <wp:align>center</wp:align>
            </wp:positionH>
            <wp:positionV relativeFrom="paragraph">
              <wp:posOffset>-822960</wp:posOffset>
            </wp:positionV>
            <wp:extent cx="7663180" cy="11130280"/>
            <wp:effectExtent l="0" t="0" r="0" b="0"/>
            <wp:wrapNone/>
            <wp:docPr id="12" name="Picture 4" descr="20160428_Genericreportcover_v0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28_Genericreportcover_v0d.jpg"/>
                    <pic:cNvPicPr/>
                  </pic:nvPicPr>
                  <pic:blipFill>
                    <a:blip r:embed="rId11" cstate="print"/>
                    <a:stretch>
                      <a:fillRect/>
                    </a:stretch>
                  </pic:blipFill>
                  <pic:spPr>
                    <a:xfrm>
                      <a:off x="0" y="0"/>
                      <a:ext cx="7663180" cy="11130280"/>
                    </a:xfrm>
                    <a:prstGeom prst="rect">
                      <a:avLst/>
                    </a:prstGeom>
                  </pic:spPr>
                </pic:pic>
              </a:graphicData>
            </a:graphic>
            <wp14:sizeRelV relativeFrom="margin">
              <wp14:pctHeight>0</wp14:pctHeight>
            </wp14:sizeRelV>
          </wp:anchor>
        </w:drawing>
      </w:r>
    </w:p>
    <w:p w14:paraId="24346343" w14:textId="5CA65E04" w:rsidR="00B20ACA" w:rsidRDefault="00B20ACA" w:rsidP="00184F1C">
      <w:pPr>
        <w:spacing w:before="0"/>
        <w:jc w:val="left"/>
      </w:pPr>
    </w:p>
    <w:p w14:paraId="08D0BC63" w14:textId="77777777" w:rsidR="00184F1C" w:rsidRDefault="00184F1C" w:rsidP="00184F1C">
      <w:pPr>
        <w:spacing w:before="0"/>
        <w:jc w:val="left"/>
      </w:pPr>
    </w:p>
    <w:p w14:paraId="4AD7DA89" w14:textId="77777777" w:rsidR="00184F1C" w:rsidRDefault="00184F1C">
      <w:pPr>
        <w:spacing w:before="0"/>
        <w:jc w:val="left"/>
      </w:pPr>
    </w:p>
    <w:tbl>
      <w:tblPr>
        <w:tblW w:w="9322" w:type="dxa"/>
        <w:tblLook w:val="01E0" w:firstRow="1" w:lastRow="1" w:firstColumn="1" w:lastColumn="1" w:noHBand="0" w:noVBand="0"/>
      </w:tblPr>
      <w:tblGrid>
        <w:gridCol w:w="9322"/>
      </w:tblGrid>
      <w:tr w:rsidR="00C01FC2" w14:paraId="26E35042" w14:textId="77777777" w:rsidTr="00C01FC2">
        <w:tc>
          <w:tcPr>
            <w:tcW w:w="9322" w:type="dxa"/>
          </w:tcPr>
          <w:p w14:paraId="55E798ED" w14:textId="77777777" w:rsidR="00C01FC2" w:rsidRDefault="00C01FC2" w:rsidP="00C01FC2">
            <w:pPr>
              <w:spacing w:before="0"/>
              <w:jc w:val="left"/>
            </w:pPr>
          </w:p>
          <w:p w14:paraId="30E2B02A" w14:textId="77777777" w:rsidR="00C01FC2" w:rsidRDefault="00C01FC2" w:rsidP="00C01FC2">
            <w:pPr>
              <w:spacing w:before="0"/>
              <w:jc w:val="left"/>
            </w:pPr>
          </w:p>
          <w:p w14:paraId="038CFC99" w14:textId="7FDD1297" w:rsidR="00C01FC2" w:rsidRDefault="008C2A7A" w:rsidP="00C01FC2">
            <w:pPr>
              <w:spacing w:before="0"/>
              <w:jc w:val="left"/>
            </w:pPr>
            <w:r>
              <w:rPr>
                <w:noProof/>
              </w:rPr>
              <mc:AlternateContent>
                <mc:Choice Requires="wps">
                  <w:drawing>
                    <wp:anchor distT="0" distB="0" distL="114300" distR="114300" simplePos="0" relativeHeight="251703296" behindDoc="0" locked="0" layoutInCell="1" allowOverlap="1" wp14:anchorId="697A3412" wp14:editId="0680377B">
                      <wp:simplePos x="0" y="0"/>
                      <wp:positionH relativeFrom="column">
                        <wp:posOffset>26035</wp:posOffset>
                      </wp:positionH>
                      <wp:positionV relativeFrom="paragraph">
                        <wp:posOffset>128905</wp:posOffset>
                      </wp:positionV>
                      <wp:extent cx="6543040" cy="2409825"/>
                      <wp:effectExtent l="0" t="635" r="3175" b="0"/>
                      <wp:wrapNone/>
                      <wp:docPr id="19"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3040" cy="2409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309EA0" w14:textId="77777777" w:rsidR="00B65CDF" w:rsidRPr="00280A3D" w:rsidRDefault="00B65CDF" w:rsidP="00B20ACA">
                                  <w:pPr>
                                    <w:rPr>
                                      <w:color w:val="FFFFFF" w:themeColor="background1"/>
                                      <w:sz w:val="64"/>
                                      <w:szCs w:val="64"/>
                                    </w:rPr>
                                  </w:pPr>
                                  <w:r>
                                    <w:rPr>
                                      <w:color w:val="FFFFFF" w:themeColor="background1"/>
                                      <w:sz w:val="64"/>
                                      <w:szCs w:val="64"/>
                                    </w:rPr>
                                    <w:t>Equity of access to revascularisation in Wales by socioeconomic deprivation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97A3412" id="_x0000_t202" coordsize="21600,21600" o:spt="202" path="m,l,21600r21600,l21600,xe">
                      <v:stroke joinstyle="miter"/>
                      <v:path gradientshapeok="t" o:connecttype="rect"/>
                    </v:shapetype>
                    <v:shape id="Text Box 61" o:spid="_x0000_s1026" type="#_x0000_t202" style="position:absolute;margin-left:2.05pt;margin-top:10.15pt;width:515.2pt;height:189.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" filled="f" stroked="f">
                      <v:textbox>
                        <w:txbxContent>
                          <w:p w14:paraId="69309EA0" w14:textId="77777777" w:rsidR="00B65CDF" w:rsidRPr="00280A3D" w:rsidRDefault="00B65CDF" w:rsidP="00B20ACA">
                            <w:pPr>
                              <w:rPr>
                                <w:color w:val="FFFFFF" w:themeColor="background1"/>
                                <w:sz w:val="64"/>
                                <w:szCs w:val="64"/>
                              </w:rPr>
                            </w:pPr>
                            <w:r>
                              <w:rPr>
                                <w:color w:val="FFFFFF" w:themeColor="background1"/>
                                <w:sz w:val="64"/>
                                <w:szCs w:val="64"/>
                              </w:rPr>
                              <w:t>Equity of access to revascularisation in Wales by socioeconomic deprivation</w:t>
                            </w:r>
                          </w:p>
                        </w:txbxContent>
                      </v:textbox>
                    </v:shape>
                  </w:pict>
                </mc:Fallback>
              </mc:AlternateContent>
            </w:r>
          </w:p>
          <w:p w14:paraId="52C33C0B" w14:textId="77777777" w:rsidR="00C01FC2" w:rsidRDefault="00C01FC2" w:rsidP="00C01FC2">
            <w:pPr>
              <w:spacing w:before="0"/>
              <w:jc w:val="left"/>
            </w:pPr>
          </w:p>
        </w:tc>
      </w:tr>
      <w:tr w:rsidR="00C01FC2" w14:paraId="77D562BD" w14:textId="77777777" w:rsidTr="00C01FC2">
        <w:tc>
          <w:tcPr>
            <w:tcW w:w="9322" w:type="dxa"/>
          </w:tcPr>
          <w:p w14:paraId="798ABAC8" w14:textId="77777777" w:rsidR="00C01FC2" w:rsidRDefault="00C01FC2" w:rsidP="00C01FC2">
            <w:pPr>
              <w:spacing w:before="0"/>
              <w:jc w:val="left"/>
              <w:rPr>
                <w:noProof/>
              </w:rPr>
            </w:pPr>
          </w:p>
          <w:p w14:paraId="5A2C7D72" w14:textId="77777777" w:rsidR="00C01FC2" w:rsidRDefault="00C01FC2" w:rsidP="00C01FC2">
            <w:pPr>
              <w:spacing w:before="0"/>
              <w:jc w:val="left"/>
              <w:rPr>
                <w:noProof/>
              </w:rPr>
            </w:pPr>
          </w:p>
        </w:tc>
      </w:tr>
    </w:tbl>
    <w:p w14:paraId="5039F52E" w14:textId="77777777" w:rsidR="00A742FD" w:rsidRDefault="00A742FD" w:rsidP="00BF6943"/>
    <w:p w14:paraId="5A7FBDC0" w14:textId="77777777" w:rsidR="00A742FD" w:rsidRDefault="00A742FD" w:rsidP="00BF6943"/>
    <w:p w14:paraId="719F58FF" w14:textId="77777777" w:rsidR="00387CE4" w:rsidRDefault="00387CE4" w:rsidP="00BF6943"/>
    <w:p w14:paraId="09261E35" w14:textId="77777777" w:rsidR="00387CE4" w:rsidRDefault="00EA4173" w:rsidP="00BF6943">
      <w:r>
        <w:rPr>
          <w:noProof/>
          <w:sz w:val="16"/>
          <w:szCs w:val="16"/>
        </w:rPr>
        <w:drawing>
          <wp:anchor distT="0" distB="0" distL="114300" distR="114300" simplePos="0" relativeHeight="251705344" behindDoc="0" locked="0" layoutInCell="1" allowOverlap="1" wp14:anchorId="102C8489" wp14:editId="16E54820">
            <wp:simplePos x="0" y="0"/>
            <wp:positionH relativeFrom="column">
              <wp:posOffset>4215765</wp:posOffset>
            </wp:positionH>
            <wp:positionV relativeFrom="paragraph">
              <wp:posOffset>482600</wp:posOffset>
            </wp:positionV>
            <wp:extent cx="1949450" cy="1959610"/>
            <wp:effectExtent l="57150" t="38100" r="31750" b="21590"/>
            <wp:wrapTopAndBottom/>
            <wp:docPr id="13" name="Picture 2" descr="BMI_Apple_shutterstock_2902381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I_Apple_shutterstock_290238194.jpg"/>
                    <pic:cNvPicPr/>
                  </pic:nvPicPr>
                  <pic:blipFill>
                    <a:blip r:embed="rId12" cstate="print"/>
                    <a:stretch>
                      <a:fillRect/>
                    </a:stretch>
                  </pic:blipFill>
                  <pic:spPr>
                    <a:xfrm>
                      <a:off x="0" y="0"/>
                      <a:ext cx="1949450" cy="1959610"/>
                    </a:xfrm>
                    <a:prstGeom prst="round2DiagRect">
                      <a:avLst/>
                    </a:prstGeom>
                    <a:ln w="28575">
                      <a:solidFill>
                        <a:schemeClr val="accent1">
                          <a:lumMod val="20000"/>
                          <a:lumOff val="80000"/>
                        </a:schemeClr>
                      </a:solidFill>
                    </a:ln>
                  </pic:spPr>
                </pic:pic>
              </a:graphicData>
            </a:graphic>
          </wp:anchor>
        </w:drawing>
      </w:r>
    </w:p>
    <w:p w14:paraId="16619C91" w14:textId="77777777" w:rsidR="00A742FD" w:rsidRDefault="00A742FD" w:rsidP="00BF6943"/>
    <w:p w14:paraId="39C01AD4" w14:textId="77777777" w:rsidR="00B20ACA" w:rsidRDefault="00B20ACA" w:rsidP="00BF6943"/>
    <w:p w14:paraId="19D1FAAE" w14:textId="77777777" w:rsidR="00A742FD" w:rsidRDefault="00A742FD" w:rsidP="00BF6943"/>
    <w:p w14:paraId="278A9983" w14:textId="77777777" w:rsidR="00A742FD" w:rsidRDefault="00A742FD">
      <w:pPr>
        <w:spacing w:before="0"/>
        <w:jc w:val="left"/>
      </w:pPr>
      <w:r>
        <w:br w:type="page"/>
      </w:r>
    </w:p>
    <w:p w14:paraId="0B300831" w14:textId="1A79CE12" w:rsidR="00725FE1" w:rsidRDefault="008C2A7A">
      <w:pPr>
        <w:spacing w:before="0"/>
        <w:jc w:val="left"/>
      </w:pPr>
      <w:r>
        <w:rPr>
          <w:noProof/>
        </w:rPr>
        <w:lastRenderedPageBreak/>
        <mc:AlternateContent>
          <mc:Choice Requires="wps">
            <w:drawing>
              <wp:anchor distT="0" distB="0" distL="114300" distR="114300" simplePos="0" relativeHeight="251696128" behindDoc="0" locked="0" layoutInCell="1" allowOverlap="1" wp14:anchorId="750CAA9F" wp14:editId="4CC77254">
                <wp:simplePos x="0" y="0"/>
                <wp:positionH relativeFrom="column">
                  <wp:posOffset>52705</wp:posOffset>
                </wp:positionH>
                <wp:positionV relativeFrom="paragraph">
                  <wp:posOffset>-8660765</wp:posOffset>
                </wp:positionV>
                <wp:extent cx="6543040" cy="1998980"/>
                <wp:effectExtent l="0" t="2540" r="0" b="0"/>
                <wp:wrapNone/>
                <wp:docPr id="18"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3040" cy="19989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79AA96" w14:textId="77777777" w:rsidR="00B65CDF" w:rsidRDefault="00B65CDF" w:rsidP="00725FE1">
                            <w:pPr>
                              <w:rPr>
                                <w:color w:val="FFFFFF" w:themeColor="background1"/>
                                <w:sz w:val="64"/>
                                <w:szCs w:val="64"/>
                              </w:rPr>
                            </w:pPr>
                          </w:p>
                          <w:p w14:paraId="09922BEA" w14:textId="77777777" w:rsidR="00B65CDF" w:rsidRPr="00280A3D" w:rsidRDefault="00B65CDF" w:rsidP="00725FE1">
                            <w:pPr>
                              <w:rPr>
                                <w:color w:val="FFFFFF" w:themeColor="background1"/>
                                <w:sz w:val="64"/>
                                <w:szCs w:val="64"/>
                              </w:rPr>
                            </w:pPr>
                            <w:r>
                              <w:rPr>
                                <w:color w:val="FFFFFF" w:themeColor="background1"/>
                                <w:sz w:val="64"/>
                                <w:szCs w:val="64"/>
                              </w:rPr>
                              <w:t>&lt;insert title here&gt;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50CAA9F" id="Text Box 57" o:spid="_x0000_s1027" type="#_x0000_t202" style="position:absolute;margin-left:4.15pt;margin-top:-681.95pt;width:515.2pt;height:157.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" filled="f" stroked="f">
                <v:textbox>
                  <w:txbxContent>
                    <w:p w14:paraId="4F79AA96" w14:textId="77777777" w:rsidR="00B65CDF" w:rsidRDefault="00B65CDF" w:rsidP="00725FE1">
                      <w:pPr>
                        <w:rPr>
                          <w:color w:val="FFFFFF" w:themeColor="background1"/>
                          <w:sz w:val="64"/>
                          <w:szCs w:val="64"/>
                        </w:rPr>
                      </w:pPr>
                    </w:p>
                    <w:p w14:paraId="09922BEA" w14:textId="77777777" w:rsidR="00B65CDF" w:rsidRPr="00280A3D" w:rsidRDefault="00B65CDF" w:rsidP="00725FE1">
                      <w:pPr>
                        <w:rPr>
                          <w:color w:val="FFFFFF" w:themeColor="background1"/>
                          <w:sz w:val="64"/>
                          <w:szCs w:val="64"/>
                        </w:rPr>
                      </w:pPr>
                      <w:r>
                        <w:rPr>
                          <w:color w:val="FFFFFF" w:themeColor="background1"/>
                          <w:sz w:val="64"/>
                          <w:szCs w:val="64"/>
                        </w:rPr>
                        <w:t>&lt;insert title here&gt;</w:t>
                      </w:r>
                    </w:p>
                  </w:txbxContent>
                </v:textbox>
              </v:shape>
            </w:pict>
          </mc:Fallback>
        </mc:AlternateContent>
      </w:r>
    </w:p>
    <w:p w14:paraId="4CB6EBDC" w14:textId="4A59D82F" w:rsidR="00993CEC" w:rsidRDefault="008C2A7A" w:rsidP="00151B3B">
      <w:r>
        <w:rPr>
          <w:b/>
          <w:noProof/>
        </w:rPr>
        <mc:AlternateContent>
          <mc:Choice Requires="wps">
            <w:drawing>
              <wp:anchor distT="0" distB="0" distL="114300" distR="114300" simplePos="0" relativeHeight="251688960" behindDoc="0" locked="0" layoutInCell="1" allowOverlap="1" wp14:anchorId="01FA7C0B" wp14:editId="0A8924EA">
                <wp:simplePos x="0" y="0"/>
                <wp:positionH relativeFrom="column">
                  <wp:posOffset>-635</wp:posOffset>
                </wp:positionH>
                <wp:positionV relativeFrom="paragraph">
                  <wp:posOffset>47625</wp:posOffset>
                </wp:positionV>
                <wp:extent cx="6650990" cy="1939290"/>
                <wp:effectExtent l="8890" t="12700" r="7620" b="10160"/>
                <wp:wrapNone/>
                <wp:docPr id="17"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50990" cy="1939290"/>
                        </a:xfrm>
                        <a:prstGeom prst="roundRect">
                          <a:avLst>
                            <a:gd name="adj" fmla="val 16667"/>
                          </a:avLst>
                        </a:prstGeom>
                        <a:solidFill>
                          <a:srgbClr val="3182BD"/>
                        </a:solidFill>
                        <a:ln w="12700">
                          <a:solidFill>
                            <a:schemeClr val="accent5">
                              <a:lumMod val="75000"/>
                              <a:lumOff val="0"/>
                            </a:schemeClr>
                          </a:solidFill>
                          <a:round/>
                          <a:headEnd/>
                          <a:tailEnd/>
                        </a:ln>
                      </wps:spPr>
                      <wps:txbx>
                        <w:txbxContent>
                          <w:p w14:paraId="15A6F720" w14:textId="77777777" w:rsidR="00B65CDF" w:rsidRPr="00993CEC" w:rsidRDefault="00B65CDF" w:rsidP="00993CEC">
                            <w:pPr>
                              <w:rPr>
                                <w:color w:val="FFFFFF" w:themeColor="background1"/>
                              </w:rPr>
                            </w:pPr>
                            <w:r w:rsidRPr="00993CEC">
                              <w:rPr>
                                <w:color w:val="FFFFFF" w:themeColor="background1"/>
                              </w:rPr>
                              <w:t>Th</w:t>
                            </w:r>
                            <w:r>
                              <w:rPr>
                                <w:color w:val="FFFFFF" w:themeColor="background1"/>
                              </w:rPr>
                              <w:t>is</w:t>
                            </w:r>
                            <w:r w:rsidRPr="00993CEC">
                              <w:rPr>
                                <w:color w:val="FFFFFF" w:themeColor="background1"/>
                              </w:rPr>
                              <w:t xml:space="preserve"> publication consists of:</w:t>
                            </w:r>
                          </w:p>
                          <w:p w14:paraId="41634DA8" w14:textId="77777777" w:rsidR="00B65CDF" w:rsidRPr="00993CEC" w:rsidRDefault="00B65CDF" w:rsidP="00993CEC">
                            <w:pPr>
                              <w:rPr>
                                <w:color w:val="FFFFFF" w:themeColor="background1"/>
                              </w:rPr>
                            </w:pPr>
                            <w:r w:rsidRPr="00993CEC">
                              <w:rPr>
                                <w:color w:val="FFFFFF" w:themeColor="background1"/>
                              </w:rPr>
                              <w:t xml:space="preserve">- </w:t>
                            </w:r>
                            <w:r>
                              <w:rPr>
                                <w:color w:val="FFFFFF" w:themeColor="background1"/>
                              </w:rPr>
                              <w:t>A detailed report of the findings including tables and charts</w:t>
                            </w:r>
                          </w:p>
                          <w:p w14:paraId="19A7075E" w14:textId="77777777" w:rsidR="00B65CDF" w:rsidRPr="00993CEC" w:rsidRDefault="00B65CDF" w:rsidP="00993CEC">
                            <w:pPr>
                              <w:rPr>
                                <w:color w:val="FFFFFF" w:themeColor="background1"/>
                              </w:rPr>
                            </w:pPr>
                            <w:r w:rsidRPr="00993CEC">
                              <w:rPr>
                                <w:color w:val="FFFFFF" w:themeColor="background1"/>
                              </w:rPr>
                              <w:t xml:space="preserve">- </w:t>
                            </w:r>
                            <w:r>
                              <w:rPr>
                                <w:color w:val="FFFFFF" w:themeColor="background1"/>
                              </w:rPr>
                              <w:t>A summary report of the findings</w:t>
                            </w:r>
                          </w:p>
                          <w:p w14:paraId="37D252C0" w14:textId="3B185D76" w:rsidR="00B65CDF" w:rsidRPr="00CB45F1" w:rsidRDefault="00B65CDF" w:rsidP="00993CEC">
                            <w:pPr>
                              <w:jc w:val="left"/>
                              <w:rPr>
                                <w:color w:val="FFFFFF" w:themeColor="background1"/>
                              </w:rPr>
                            </w:pPr>
                            <w:r w:rsidRPr="00993CEC">
                              <w:rPr>
                                <w:color w:val="FFFFFF" w:themeColor="background1"/>
                              </w:rPr>
                              <w:t xml:space="preserve">These are available on </w:t>
                            </w:r>
                            <w:r w:rsidRPr="00CB45F1">
                              <w:rPr>
                                <w:color w:val="FFFFFF" w:themeColor="background1"/>
                              </w:rPr>
                              <w:t>www.publichealthwalesobservatory.wales.nhs.uk/revasc</w:t>
                            </w:r>
                          </w:p>
                          <w:p w14:paraId="1ABD7308" w14:textId="77777777" w:rsidR="00B65CDF" w:rsidRPr="00CB45F1" w:rsidRDefault="00B65CDF">
                            <w:pPr>
                              <w:rPr>
                                <w:color w:val="FFFFFF" w:themeColor="background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FA7C0B" id="AutoShape 52" o:spid="_x0000_s1028" style="position:absolute;left:0;text-align:left;margin-left:-.05pt;margin-top:3.75pt;width:523.7pt;height:152.7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" fillcolor="#3182bd" strokecolor="#31849b [2408]" strokeweight="1pt">
                <v:textbox>
                  <w:txbxContent>
                    <w:p w14:paraId="15A6F720" w14:textId="77777777" w:rsidR="00B65CDF" w:rsidRPr="00993CEC" w:rsidRDefault="00B65CDF" w:rsidP="00993CEC">
                      <w:pPr>
                        <w:rPr>
                          <w:color w:val="FFFFFF" w:themeColor="background1"/>
                        </w:rPr>
                      </w:pPr>
                      <w:r w:rsidRPr="00993CEC">
                        <w:rPr>
                          <w:color w:val="FFFFFF" w:themeColor="background1"/>
                        </w:rPr>
                        <w:t>Th</w:t>
                      </w:r>
                      <w:r>
                        <w:rPr>
                          <w:color w:val="FFFFFF" w:themeColor="background1"/>
                        </w:rPr>
                        <w:t>is</w:t>
                      </w:r>
                      <w:r w:rsidRPr="00993CEC">
                        <w:rPr>
                          <w:color w:val="FFFFFF" w:themeColor="background1"/>
                        </w:rPr>
                        <w:t xml:space="preserve"> publication consists of:</w:t>
                      </w:r>
                    </w:p>
                    <w:p w14:paraId="41634DA8" w14:textId="77777777" w:rsidR="00B65CDF" w:rsidRPr="00993CEC" w:rsidRDefault="00B65CDF" w:rsidP="00993CEC">
                      <w:pPr>
                        <w:rPr>
                          <w:color w:val="FFFFFF" w:themeColor="background1"/>
                        </w:rPr>
                      </w:pPr>
                      <w:r w:rsidRPr="00993CEC">
                        <w:rPr>
                          <w:color w:val="FFFFFF" w:themeColor="background1"/>
                        </w:rPr>
                        <w:t xml:space="preserve">- </w:t>
                      </w:r>
                      <w:r>
                        <w:rPr>
                          <w:color w:val="FFFFFF" w:themeColor="background1"/>
                        </w:rPr>
                        <w:t>A detailed report of the findings including tables and charts</w:t>
                      </w:r>
                    </w:p>
                    <w:p w14:paraId="19A7075E" w14:textId="77777777" w:rsidR="00B65CDF" w:rsidRPr="00993CEC" w:rsidRDefault="00B65CDF" w:rsidP="00993CEC">
                      <w:pPr>
                        <w:rPr>
                          <w:color w:val="FFFFFF" w:themeColor="background1"/>
                        </w:rPr>
                      </w:pPr>
                      <w:r w:rsidRPr="00993CEC">
                        <w:rPr>
                          <w:color w:val="FFFFFF" w:themeColor="background1"/>
                        </w:rPr>
                        <w:t xml:space="preserve">- </w:t>
                      </w:r>
                      <w:r>
                        <w:rPr>
                          <w:color w:val="FFFFFF" w:themeColor="background1"/>
                        </w:rPr>
                        <w:t>A summary report of the findings</w:t>
                      </w:r>
                    </w:p>
                    <w:p w14:paraId="37D252C0" w14:textId="3B185D76" w:rsidR="00B65CDF" w:rsidRPr="00CB45F1" w:rsidRDefault="00B65CDF" w:rsidP="00993CEC">
                      <w:pPr>
                        <w:jc w:val="left"/>
                        <w:rPr>
                          <w:color w:val="FFFFFF" w:themeColor="background1"/>
                        </w:rPr>
                      </w:pPr>
                      <w:r w:rsidRPr="00993CEC">
                        <w:rPr>
                          <w:color w:val="FFFFFF" w:themeColor="background1"/>
                        </w:rPr>
                        <w:t xml:space="preserve">These are available on </w:t>
                      </w:r>
                      <w:r w:rsidRPr="00CB45F1">
                        <w:rPr>
                          <w:color w:val="FFFFFF" w:themeColor="background1"/>
                        </w:rPr>
                        <w:t>www.publichealthwalesobservatory.wales.nhs.uk/revasc</w:t>
                      </w:r>
                    </w:p>
                    <w:p w14:paraId="1ABD7308" w14:textId="77777777" w:rsidR="00B65CDF" w:rsidRPr="00CB45F1" w:rsidRDefault="00B65CDF">
                      <w:pPr>
                        <w:rPr>
                          <w:color w:val="FFFFFF" w:themeColor="background1"/>
                        </w:rPr>
                      </w:pPr>
                    </w:p>
                  </w:txbxContent>
                </v:textbox>
              </v:roundrect>
            </w:pict>
          </mc:Fallback>
        </mc:AlternateContent>
      </w:r>
    </w:p>
    <w:p w14:paraId="20832945" w14:textId="77777777" w:rsidR="00993CEC" w:rsidRDefault="00993CEC" w:rsidP="00151B3B"/>
    <w:p w14:paraId="62D30771" w14:textId="77777777" w:rsidR="00993CEC" w:rsidRDefault="00993CEC" w:rsidP="00151B3B"/>
    <w:p w14:paraId="54D16FE9" w14:textId="77777777" w:rsidR="00151B3B" w:rsidRDefault="00151B3B" w:rsidP="00151B3B">
      <w:pPr>
        <w:spacing w:before="0"/>
        <w:jc w:val="left"/>
      </w:pPr>
    </w:p>
    <w:p w14:paraId="01BF3323" w14:textId="77777777" w:rsidR="00151B3B" w:rsidRDefault="00151B3B" w:rsidP="00151B3B">
      <w:pPr>
        <w:spacing w:before="0"/>
        <w:jc w:val="left"/>
      </w:pPr>
    </w:p>
    <w:p w14:paraId="1F197200" w14:textId="77777777" w:rsidR="00151B3B" w:rsidRDefault="00151B3B" w:rsidP="00151B3B">
      <w:pPr>
        <w:spacing w:before="0"/>
        <w:jc w:val="left"/>
      </w:pPr>
    </w:p>
    <w:p w14:paraId="2E372AE4" w14:textId="77777777" w:rsidR="00151B3B" w:rsidRDefault="00151B3B" w:rsidP="00151B3B">
      <w:pPr>
        <w:spacing w:before="0"/>
        <w:jc w:val="left"/>
      </w:pPr>
    </w:p>
    <w:p w14:paraId="157542D9" w14:textId="77777777" w:rsidR="00151B3B" w:rsidRDefault="00151B3B" w:rsidP="00151B3B">
      <w:pPr>
        <w:spacing w:before="0"/>
        <w:jc w:val="left"/>
      </w:pPr>
    </w:p>
    <w:p w14:paraId="4E924663" w14:textId="77777777" w:rsidR="00151B3B" w:rsidRDefault="00151B3B" w:rsidP="00151B3B">
      <w:pPr>
        <w:spacing w:before="0"/>
        <w:jc w:val="left"/>
      </w:pPr>
    </w:p>
    <w:p w14:paraId="5CA32FB6" w14:textId="77777777" w:rsidR="00993CEC" w:rsidRDefault="00993CEC" w:rsidP="00151B3B">
      <w:pPr>
        <w:spacing w:before="0"/>
        <w:jc w:val="left"/>
        <w:rPr>
          <w:b/>
        </w:rPr>
      </w:pPr>
    </w:p>
    <w:p w14:paraId="7B6A3A98" w14:textId="77777777" w:rsidR="00993CEC" w:rsidRDefault="00993CEC" w:rsidP="00151B3B">
      <w:pPr>
        <w:spacing w:before="0"/>
        <w:jc w:val="left"/>
        <w:rPr>
          <w:b/>
        </w:rPr>
      </w:pPr>
    </w:p>
    <w:p w14:paraId="3556E57C" w14:textId="77777777" w:rsidR="00993CEC" w:rsidRPr="00993CEC" w:rsidRDefault="00993CEC" w:rsidP="00151B3B">
      <w:pPr>
        <w:spacing w:before="0"/>
        <w:jc w:val="left"/>
        <w:rPr>
          <w:b/>
          <w:color w:val="3182BD"/>
          <w:sz w:val="24"/>
        </w:rPr>
      </w:pPr>
      <w:r w:rsidRPr="00993CEC">
        <w:rPr>
          <w:b/>
          <w:color w:val="3182BD"/>
          <w:sz w:val="24"/>
        </w:rPr>
        <w:t>Project members</w:t>
      </w:r>
    </w:p>
    <w:p w14:paraId="61AEA115" w14:textId="77777777" w:rsidR="00993CEC" w:rsidRDefault="00993CEC" w:rsidP="00151B3B">
      <w:pPr>
        <w:spacing w:before="0"/>
        <w:jc w:val="left"/>
        <w:rPr>
          <w:b/>
        </w:rPr>
      </w:pPr>
    </w:p>
    <w:p w14:paraId="03669712" w14:textId="77777777" w:rsidR="002B005F" w:rsidRDefault="008C2A7A" w:rsidP="00151B3B">
      <w:pPr>
        <w:spacing w:before="0"/>
        <w:jc w:val="left"/>
      </w:pPr>
      <w:r>
        <w:rPr>
          <w:b/>
        </w:rPr>
        <w:t>Author:</w:t>
      </w:r>
      <w:r w:rsidR="00151B3B">
        <w:t xml:space="preserve"> </w:t>
      </w:r>
      <w:r w:rsidR="002B005F">
        <w:t>Lloyd Evans</w:t>
      </w:r>
    </w:p>
    <w:p w14:paraId="11BE4B5C" w14:textId="77777777" w:rsidR="002B005F" w:rsidRDefault="002B005F" w:rsidP="002B005F">
      <w:pPr>
        <w:spacing w:before="0"/>
        <w:jc w:val="left"/>
      </w:pPr>
    </w:p>
    <w:p w14:paraId="4C5DB647" w14:textId="77777777" w:rsidR="002B005F" w:rsidRDefault="002B005F" w:rsidP="002B005F">
      <w:pPr>
        <w:spacing w:before="0"/>
        <w:jc w:val="left"/>
      </w:pPr>
      <w:r>
        <w:t xml:space="preserve">The study was carried out by the author and submitted for his dissertation for the degree of Master of Public Health at Cardiff University. </w:t>
      </w:r>
    </w:p>
    <w:p w14:paraId="4226A1ED" w14:textId="77777777" w:rsidR="008C2A7A" w:rsidRDefault="008C2A7A" w:rsidP="002B005F">
      <w:pPr>
        <w:spacing w:before="0"/>
        <w:jc w:val="left"/>
      </w:pPr>
    </w:p>
    <w:p w14:paraId="5F1EDCA9" w14:textId="77777777" w:rsidR="002B005F" w:rsidRPr="002B005F" w:rsidRDefault="002B005F" w:rsidP="002B005F">
      <w:pPr>
        <w:rPr>
          <w:b/>
          <w:color w:val="3182BD"/>
        </w:rPr>
      </w:pPr>
      <w:r w:rsidRPr="002B005F">
        <w:rPr>
          <w:b/>
          <w:color w:val="3182BD"/>
          <w:sz w:val="24"/>
        </w:rPr>
        <w:t>Acknowledgments</w:t>
      </w:r>
      <w:r w:rsidRPr="002B005F">
        <w:rPr>
          <w:b/>
          <w:color w:val="3182BD"/>
        </w:rPr>
        <w:t xml:space="preserve"> </w:t>
      </w:r>
    </w:p>
    <w:p w14:paraId="3E0417E3" w14:textId="77777777" w:rsidR="002B005F" w:rsidRDefault="002B005F" w:rsidP="002B005F">
      <w:r>
        <w:t>Thanks to the following people for their advice on the dissertation: Dr. Gareth Davies, Dr. David Fone &amp; Dr. Hugo van Woerden.</w:t>
      </w:r>
    </w:p>
    <w:p w14:paraId="3E1526CC" w14:textId="77777777" w:rsidR="002B005F" w:rsidRDefault="002B005F" w:rsidP="002B005F">
      <w:r>
        <w:t>Thanks to the following people for their contribution to this report: Dr. Gareth Davies, Dr. Ciaran Humphreys, Nathan Lester &amp; Dr. Kirsty Little.</w:t>
      </w:r>
    </w:p>
    <w:p w14:paraId="4C7E36F3" w14:textId="77777777" w:rsidR="00151B3B" w:rsidRDefault="002B005F" w:rsidP="00151B3B">
      <w:pPr>
        <w:spacing w:before="0"/>
        <w:jc w:val="left"/>
      </w:pPr>
      <w:r>
        <w:t xml:space="preserve"> </w:t>
      </w:r>
    </w:p>
    <w:p w14:paraId="210EF620" w14:textId="77777777" w:rsidR="00993CEC" w:rsidRDefault="00993CEC" w:rsidP="00151B3B">
      <w:pPr>
        <w:spacing w:before="0"/>
        <w:jc w:val="left"/>
      </w:pPr>
    </w:p>
    <w:p w14:paraId="5604E80A" w14:textId="77777777" w:rsidR="00151B3B" w:rsidRPr="00993CEC" w:rsidRDefault="00151B3B" w:rsidP="00151B3B">
      <w:pPr>
        <w:spacing w:before="0"/>
        <w:jc w:val="left"/>
        <w:rPr>
          <w:b/>
          <w:color w:val="3182BD"/>
        </w:rPr>
      </w:pPr>
      <w:bookmarkStart w:id="1" w:name="Contact"/>
      <w:r w:rsidRPr="00993CEC">
        <w:rPr>
          <w:b/>
          <w:color w:val="3182BD"/>
          <w:sz w:val="24"/>
        </w:rPr>
        <w:t>Contact</w:t>
      </w:r>
    </w:p>
    <w:bookmarkEnd w:id="1"/>
    <w:p w14:paraId="1546AD3D" w14:textId="77777777" w:rsidR="00151B3B" w:rsidRDefault="00151B3B" w:rsidP="00151B3B">
      <w:pPr>
        <w:spacing w:before="0"/>
        <w:jc w:val="left"/>
      </w:pPr>
    </w:p>
    <w:p w14:paraId="5370BC53" w14:textId="77777777" w:rsidR="00151B3B" w:rsidRDefault="00151B3B" w:rsidP="00151B3B">
      <w:pPr>
        <w:spacing w:before="0"/>
        <w:jc w:val="left"/>
      </w:pPr>
      <w:r>
        <w:t>Public Health Wales Observatory</w:t>
      </w:r>
    </w:p>
    <w:p w14:paraId="26F59AB7" w14:textId="77777777" w:rsidR="00151B3B" w:rsidRDefault="0091311D" w:rsidP="00151B3B">
      <w:pPr>
        <w:spacing w:before="0"/>
        <w:jc w:val="left"/>
      </w:pPr>
      <w:r>
        <w:t>2 Capital Quarter, Cardiff</w:t>
      </w:r>
    </w:p>
    <w:p w14:paraId="373D1ACC" w14:textId="77777777" w:rsidR="0091311D" w:rsidRDefault="0091311D" w:rsidP="00151B3B">
      <w:pPr>
        <w:spacing w:before="0"/>
        <w:jc w:val="left"/>
      </w:pPr>
      <w:r>
        <w:t>CF10 4BZ</w:t>
      </w:r>
    </w:p>
    <w:p w14:paraId="3E39E66A" w14:textId="77777777" w:rsidR="0091311D" w:rsidRDefault="0091311D" w:rsidP="00151B3B">
      <w:pPr>
        <w:spacing w:before="0"/>
        <w:jc w:val="left"/>
      </w:pPr>
    </w:p>
    <w:p w14:paraId="4E495656" w14:textId="77777777" w:rsidR="00151B3B" w:rsidRPr="00FF2C2E" w:rsidRDefault="00151B3B" w:rsidP="00151B3B">
      <w:pPr>
        <w:spacing w:before="0"/>
        <w:jc w:val="left"/>
      </w:pPr>
      <w:r w:rsidRPr="00FF2C2E">
        <w:t xml:space="preserve">Email: </w:t>
      </w:r>
      <w:hyperlink r:id="rId13" w:history="1">
        <w:r w:rsidRPr="00FF2C2E">
          <w:rPr>
            <w:rStyle w:val="Hyperlink"/>
          </w:rPr>
          <w:t>publichealthwalesobservatory@wales.nhs.uk</w:t>
        </w:r>
      </w:hyperlink>
    </w:p>
    <w:p w14:paraId="6E81F54F" w14:textId="77777777" w:rsidR="00151B3B" w:rsidRDefault="00151B3B" w:rsidP="00151B3B">
      <w:pPr>
        <w:spacing w:before="0"/>
        <w:jc w:val="left"/>
      </w:pPr>
      <w:r w:rsidRPr="00FF2C2E">
        <w:t xml:space="preserve">Website: </w:t>
      </w:r>
      <w:hyperlink r:id="rId14" w:history="1">
        <w:r>
          <w:rPr>
            <w:rStyle w:val="Hyperlink"/>
          </w:rPr>
          <w:t>www.publichealthwalesobservatory.wales.nhs.uk</w:t>
        </w:r>
      </w:hyperlink>
    </w:p>
    <w:p w14:paraId="0AACD043" w14:textId="77777777" w:rsidR="00151B3B" w:rsidRDefault="00151B3B" w:rsidP="00151B3B">
      <w:pPr>
        <w:spacing w:before="0"/>
        <w:jc w:val="left"/>
      </w:pPr>
    </w:p>
    <w:p w14:paraId="4595B460" w14:textId="77777777" w:rsidR="00140B90" w:rsidRDefault="00140B90" w:rsidP="00151B3B">
      <w:pPr>
        <w:spacing w:before="0"/>
        <w:rPr>
          <w:sz w:val="20"/>
          <w:szCs w:val="20"/>
        </w:rPr>
      </w:pPr>
      <w:bookmarkStart w:id="2" w:name="OLE_LINK1"/>
      <w:bookmarkStart w:id="3" w:name="Copyright"/>
      <w:bookmarkEnd w:id="2"/>
      <w:bookmarkEnd w:id="3"/>
    </w:p>
    <w:p w14:paraId="46EF0371" w14:textId="77777777" w:rsidR="00140B90" w:rsidRDefault="00140B90" w:rsidP="00151B3B">
      <w:pPr>
        <w:spacing w:before="0"/>
        <w:rPr>
          <w:sz w:val="20"/>
          <w:szCs w:val="20"/>
        </w:rPr>
      </w:pPr>
    </w:p>
    <w:p w14:paraId="1ED70853" w14:textId="77777777" w:rsidR="00140B90" w:rsidRDefault="00140B90" w:rsidP="00151B3B">
      <w:pPr>
        <w:spacing w:before="0"/>
        <w:rPr>
          <w:sz w:val="20"/>
          <w:szCs w:val="20"/>
        </w:rPr>
      </w:pPr>
    </w:p>
    <w:p w14:paraId="0066975B" w14:textId="77777777" w:rsidR="00140B90" w:rsidRDefault="00140B90" w:rsidP="00151B3B">
      <w:pPr>
        <w:spacing w:before="0"/>
        <w:rPr>
          <w:sz w:val="20"/>
          <w:szCs w:val="20"/>
        </w:rPr>
      </w:pPr>
    </w:p>
    <w:p w14:paraId="6D9734F9" w14:textId="77777777" w:rsidR="00FB26E8" w:rsidRPr="0050545A" w:rsidRDefault="00FB26E8" w:rsidP="00FB26E8">
      <w:pPr>
        <w:pBdr>
          <w:top w:val="single" w:sz="4" w:space="1" w:color="auto"/>
          <w:left w:val="single" w:sz="4" w:space="4" w:color="auto"/>
          <w:bottom w:val="single" w:sz="4" w:space="1" w:color="auto"/>
          <w:right w:val="single" w:sz="4" w:space="4" w:color="auto"/>
        </w:pBdr>
        <w:jc w:val="center"/>
        <w:rPr>
          <w:bCs/>
          <w:iCs/>
        </w:rPr>
      </w:pPr>
      <w:r w:rsidRPr="0050545A">
        <w:rPr>
          <w:bCs/>
          <w:iCs/>
        </w:rPr>
        <w:t>© 201</w:t>
      </w:r>
      <w:r>
        <w:rPr>
          <w:bCs/>
          <w:iCs/>
        </w:rPr>
        <w:t>7</w:t>
      </w:r>
      <w:r w:rsidRPr="0050545A">
        <w:rPr>
          <w:bCs/>
          <w:iCs/>
        </w:rPr>
        <w:t xml:space="preserve"> Public Health Wales NHS Trust.</w:t>
      </w:r>
    </w:p>
    <w:p w14:paraId="5CD83482" w14:textId="77777777" w:rsidR="00FB26E8" w:rsidRDefault="00FB26E8" w:rsidP="00FB26E8">
      <w:pPr>
        <w:pBdr>
          <w:top w:val="single" w:sz="4" w:space="1" w:color="auto"/>
          <w:left w:val="single" w:sz="4" w:space="4" w:color="auto"/>
          <w:bottom w:val="single" w:sz="4" w:space="1" w:color="auto"/>
          <w:right w:val="single" w:sz="4" w:space="4" w:color="auto"/>
        </w:pBdr>
        <w:spacing w:before="0"/>
        <w:jc w:val="center"/>
        <w:rPr>
          <w:bCs/>
          <w:iCs/>
        </w:rPr>
      </w:pPr>
      <w:r w:rsidRPr="00153849">
        <w:rPr>
          <w:bCs/>
          <w:iCs/>
        </w:rPr>
        <w:t>Material contained in this document may be reproduced under the terms of the Open Government Licence (OGL)</w:t>
      </w:r>
      <w:r>
        <w:rPr>
          <w:bCs/>
          <w:iCs/>
        </w:rPr>
        <w:t xml:space="preserve"> </w:t>
      </w:r>
    </w:p>
    <w:p w14:paraId="6D634966" w14:textId="77777777" w:rsidR="00FB26E8" w:rsidRDefault="00BD4AF3" w:rsidP="00FB26E8">
      <w:pPr>
        <w:pBdr>
          <w:top w:val="single" w:sz="4" w:space="1" w:color="auto"/>
          <w:left w:val="single" w:sz="4" w:space="4" w:color="auto"/>
          <w:bottom w:val="single" w:sz="4" w:space="1" w:color="auto"/>
          <w:right w:val="single" w:sz="4" w:space="4" w:color="auto"/>
        </w:pBdr>
        <w:spacing w:before="0"/>
        <w:jc w:val="center"/>
        <w:rPr>
          <w:bCs/>
          <w:iCs/>
        </w:rPr>
      </w:pPr>
      <w:hyperlink r:id="rId15" w:history="1">
        <w:r w:rsidR="00FB26E8" w:rsidRPr="00D1327D">
          <w:rPr>
            <w:rStyle w:val="Hyperlink"/>
            <w:bCs/>
            <w:iCs/>
          </w:rPr>
          <w:t>www.nationalarchives.gov.uk/doc/open-government-licence/version/3/</w:t>
        </w:r>
      </w:hyperlink>
      <w:r w:rsidR="00FB26E8">
        <w:rPr>
          <w:bCs/>
          <w:iCs/>
        </w:rPr>
        <w:t xml:space="preserve"> </w:t>
      </w:r>
      <w:r w:rsidR="00FB26E8" w:rsidRPr="00153849">
        <w:rPr>
          <w:bCs/>
          <w:iCs/>
        </w:rPr>
        <w:t xml:space="preserve"> </w:t>
      </w:r>
    </w:p>
    <w:p w14:paraId="1503B6A8" w14:textId="77777777" w:rsidR="00FB26E8" w:rsidRDefault="00FB26E8" w:rsidP="00FB26E8">
      <w:pPr>
        <w:pBdr>
          <w:top w:val="single" w:sz="4" w:space="1" w:color="auto"/>
          <w:left w:val="single" w:sz="4" w:space="4" w:color="auto"/>
          <w:bottom w:val="single" w:sz="4" w:space="1" w:color="auto"/>
          <w:right w:val="single" w:sz="4" w:space="4" w:color="auto"/>
        </w:pBdr>
        <w:spacing w:before="0"/>
        <w:jc w:val="center"/>
        <w:rPr>
          <w:bCs/>
          <w:iCs/>
        </w:rPr>
      </w:pPr>
      <w:r w:rsidRPr="00153849">
        <w:rPr>
          <w:bCs/>
          <w:iCs/>
        </w:rPr>
        <w:t xml:space="preserve">provided it is done so accurately and is not used in a misleading context. </w:t>
      </w:r>
    </w:p>
    <w:p w14:paraId="4A831463" w14:textId="77777777" w:rsidR="00FB26E8" w:rsidRDefault="00FB26E8" w:rsidP="00FB26E8">
      <w:pPr>
        <w:pBdr>
          <w:top w:val="single" w:sz="4" w:space="1" w:color="auto"/>
          <w:left w:val="single" w:sz="4" w:space="4" w:color="auto"/>
          <w:bottom w:val="single" w:sz="4" w:space="1" w:color="auto"/>
          <w:right w:val="single" w:sz="4" w:space="4" w:color="auto"/>
        </w:pBdr>
        <w:spacing w:before="0"/>
        <w:jc w:val="center"/>
        <w:rPr>
          <w:bCs/>
          <w:iCs/>
        </w:rPr>
      </w:pPr>
      <w:r w:rsidRPr="00153849">
        <w:rPr>
          <w:bCs/>
          <w:iCs/>
        </w:rPr>
        <w:t>Acknowledgement to Public Health Wales NHS Trust to be stated.</w:t>
      </w:r>
    </w:p>
    <w:p w14:paraId="21B1ED23" w14:textId="77777777" w:rsidR="00FB26E8" w:rsidRPr="0050545A" w:rsidRDefault="00FB26E8" w:rsidP="00FB26E8">
      <w:pPr>
        <w:pBdr>
          <w:top w:val="single" w:sz="4" w:space="1" w:color="auto"/>
          <w:left w:val="single" w:sz="4" w:space="4" w:color="auto"/>
          <w:bottom w:val="single" w:sz="4" w:space="1" w:color="auto"/>
          <w:right w:val="single" w:sz="4" w:space="4" w:color="auto"/>
        </w:pBdr>
        <w:spacing w:before="0"/>
        <w:jc w:val="center"/>
        <w:rPr>
          <w:bCs/>
          <w:iCs/>
        </w:rPr>
      </w:pPr>
      <w:r w:rsidRPr="0050545A">
        <w:rPr>
          <w:bCs/>
          <w:iCs/>
        </w:rPr>
        <w:t>Copyright in the typographical arrangement, design and layout belongs to Public Health Wales NHS Trust.</w:t>
      </w:r>
    </w:p>
    <w:p w14:paraId="037C3D3D" w14:textId="77777777" w:rsidR="00140B90" w:rsidRDefault="00140B90" w:rsidP="00151B3B">
      <w:pPr>
        <w:spacing w:before="0"/>
        <w:rPr>
          <w:sz w:val="20"/>
          <w:szCs w:val="20"/>
        </w:rPr>
      </w:pPr>
    </w:p>
    <w:p w14:paraId="50F3C944" w14:textId="77777777" w:rsidR="00140B90" w:rsidRDefault="00140B90" w:rsidP="00151B3B">
      <w:pPr>
        <w:spacing w:before="0"/>
        <w:rPr>
          <w:sz w:val="20"/>
          <w:szCs w:val="20"/>
        </w:rPr>
      </w:pPr>
    </w:p>
    <w:p w14:paraId="6B02DDA0" w14:textId="77777777" w:rsidR="00140B90" w:rsidRDefault="00140B90" w:rsidP="00151B3B">
      <w:pPr>
        <w:spacing w:before="0"/>
        <w:rPr>
          <w:sz w:val="20"/>
          <w:szCs w:val="20"/>
        </w:rPr>
      </w:pPr>
    </w:p>
    <w:p w14:paraId="0E145D28" w14:textId="77777777" w:rsidR="00140B90" w:rsidRDefault="00140B90" w:rsidP="00151B3B">
      <w:pPr>
        <w:spacing w:before="0"/>
        <w:rPr>
          <w:sz w:val="20"/>
          <w:szCs w:val="20"/>
        </w:rPr>
      </w:pPr>
    </w:p>
    <w:p w14:paraId="118DCAB8" w14:textId="77777777" w:rsidR="00BB551A" w:rsidRDefault="00BB551A">
      <w:pPr>
        <w:spacing w:before="0"/>
        <w:jc w:val="left"/>
      </w:pPr>
      <w:r>
        <w:br w:type="page"/>
      </w:r>
    </w:p>
    <w:p w14:paraId="07A6C073" w14:textId="77777777" w:rsidR="00BB551A" w:rsidRPr="00007DE7" w:rsidRDefault="00BB5832" w:rsidP="006509BF">
      <w:pPr>
        <w:pStyle w:val="Heading7"/>
      </w:pPr>
      <w:bookmarkStart w:id="4" w:name="_Toc399325070"/>
      <w:bookmarkStart w:id="5" w:name="_Toc399326008"/>
      <w:bookmarkStart w:id="6" w:name="_Toc399326661"/>
      <w:bookmarkStart w:id="7" w:name="_Toc399335467"/>
      <w:r>
        <w:lastRenderedPageBreak/>
        <w:t>C</w:t>
      </w:r>
      <w:r w:rsidR="00BB551A" w:rsidRPr="00007DE7">
        <w:t>ontents</w:t>
      </w:r>
      <w:bookmarkEnd w:id="4"/>
      <w:bookmarkEnd w:id="5"/>
      <w:bookmarkEnd w:id="6"/>
      <w:bookmarkEnd w:id="7"/>
    </w:p>
    <w:p w14:paraId="2331B9D2" w14:textId="77777777" w:rsidR="00BB551A" w:rsidRPr="00BB551A" w:rsidRDefault="00BB551A" w:rsidP="00BB551A"/>
    <w:p w14:paraId="5EBCCD4D" w14:textId="0742E741" w:rsidR="00E14BF4" w:rsidRDefault="00EA1C8C">
      <w:pPr>
        <w:pStyle w:val="TOC1"/>
        <w:rPr>
          <w:rFonts w:asciiTheme="minorHAnsi" w:eastAsiaTheme="minorEastAsia" w:hAnsiTheme="minorHAnsi" w:cstheme="minorBidi"/>
          <w:b w:val="0"/>
          <w:caps w:val="0"/>
        </w:rPr>
      </w:pPr>
      <w:r>
        <w:fldChar w:fldCharType="begin"/>
      </w:r>
      <w:r w:rsidR="00870469">
        <w:instrText xml:space="preserve"> TOC \o "1-3" \h \z \u </w:instrText>
      </w:r>
      <w:r>
        <w:fldChar w:fldCharType="separate"/>
      </w:r>
      <w:hyperlink w:anchor="_Toc500831790" w:history="1">
        <w:r w:rsidR="00E14BF4" w:rsidRPr="00387D6C">
          <w:rPr>
            <w:rStyle w:val="Hyperlink"/>
          </w:rPr>
          <w:t>Key Messages</w:t>
        </w:r>
        <w:r w:rsidR="00E14BF4">
          <w:rPr>
            <w:webHidden/>
          </w:rPr>
          <w:tab/>
        </w:r>
        <w:r w:rsidR="00E14BF4">
          <w:rPr>
            <w:webHidden/>
          </w:rPr>
          <w:fldChar w:fldCharType="begin"/>
        </w:r>
        <w:r w:rsidR="00E14BF4">
          <w:rPr>
            <w:webHidden/>
          </w:rPr>
          <w:instrText xml:space="preserve"> PAGEREF _Toc500831790 \h </w:instrText>
        </w:r>
        <w:r w:rsidR="00E14BF4">
          <w:rPr>
            <w:webHidden/>
          </w:rPr>
        </w:r>
        <w:r w:rsidR="00E14BF4">
          <w:rPr>
            <w:webHidden/>
          </w:rPr>
          <w:fldChar w:fldCharType="separate"/>
        </w:r>
        <w:r w:rsidR="00E14BF4">
          <w:rPr>
            <w:webHidden/>
          </w:rPr>
          <w:t>5</w:t>
        </w:r>
        <w:r w:rsidR="00E14BF4">
          <w:rPr>
            <w:webHidden/>
          </w:rPr>
          <w:fldChar w:fldCharType="end"/>
        </w:r>
      </w:hyperlink>
    </w:p>
    <w:p w14:paraId="0C1CEBF3" w14:textId="46059E51" w:rsidR="00E14BF4" w:rsidRDefault="00BD4AF3">
      <w:pPr>
        <w:pStyle w:val="TOC1"/>
        <w:rPr>
          <w:rFonts w:asciiTheme="minorHAnsi" w:eastAsiaTheme="minorEastAsia" w:hAnsiTheme="minorHAnsi" w:cstheme="minorBidi"/>
          <w:b w:val="0"/>
          <w:caps w:val="0"/>
        </w:rPr>
      </w:pPr>
      <w:hyperlink w:anchor="_Toc500831791" w:history="1">
        <w:r w:rsidR="00E14BF4" w:rsidRPr="00387D6C">
          <w:rPr>
            <w:rStyle w:val="Hyperlink"/>
          </w:rPr>
          <w:t>1.</w:t>
        </w:r>
        <w:r w:rsidR="00E14BF4">
          <w:rPr>
            <w:rFonts w:asciiTheme="minorHAnsi" w:eastAsiaTheme="minorEastAsia" w:hAnsiTheme="minorHAnsi" w:cstheme="minorBidi"/>
            <w:b w:val="0"/>
            <w:caps w:val="0"/>
          </w:rPr>
          <w:tab/>
        </w:r>
        <w:r w:rsidR="00E14BF4" w:rsidRPr="00387D6C">
          <w:rPr>
            <w:rStyle w:val="Hyperlink"/>
          </w:rPr>
          <w:t>Introduction</w:t>
        </w:r>
        <w:r w:rsidR="00E14BF4">
          <w:rPr>
            <w:webHidden/>
          </w:rPr>
          <w:tab/>
        </w:r>
        <w:r w:rsidR="00E14BF4">
          <w:rPr>
            <w:webHidden/>
          </w:rPr>
          <w:fldChar w:fldCharType="begin"/>
        </w:r>
        <w:r w:rsidR="00E14BF4">
          <w:rPr>
            <w:webHidden/>
          </w:rPr>
          <w:instrText xml:space="preserve"> PAGEREF _Toc500831791 \h </w:instrText>
        </w:r>
        <w:r w:rsidR="00E14BF4">
          <w:rPr>
            <w:webHidden/>
          </w:rPr>
        </w:r>
        <w:r w:rsidR="00E14BF4">
          <w:rPr>
            <w:webHidden/>
          </w:rPr>
          <w:fldChar w:fldCharType="separate"/>
        </w:r>
        <w:r w:rsidR="00E14BF4">
          <w:rPr>
            <w:webHidden/>
          </w:rPr>
          <w:t>6</w:t>
        </w:r>
        <w:r w:rsidR="00E14BF4">
          <w:rPr>
            <w:webHidden/>
          </w:rPr>
          <w:fldChar w:fldCharType="end"/>
        </w:r>
      </w:hyperlink>
    </w:p>
    <w:p w14:paraId="4C948F1C" w14:textId="22960A38" w:rsidR="00E14BF4" w:rsidRDefault="00BD4AF3">
      <w:pPr>
        <w:pStyle w:val="TOC2"/>
        <w:rPr>
          <w:rFonts w:asciiTheme="minorHAnsi" w:eastAsiaTheme="minorEastAsia" w:hAnsiTheme="minorHAnsi" w:cstheme="minorBidi"/>
        </w:rPr>
      </w:pPr>
      <w:hyperlink w:anchor="_Toc500831792" w:history="1">
        <w:r w:rsidR="00E14BF4" w:rsidRPr="00387D6C">
          <w:rPr>
            <w:rStyle w:val="Hyperlink"/>
          </w:rPr>
          <w:t>1.1</w:t>
        </w:r>
        <w:r w:rsidR="00E14BF4">
          <w:rPr>
            <w:rFonts w:asciiTheme="minorHAnsi" w:eastAsiaTheme="minorEastAsia" w:hAnsiTheme="minorHAnsi" w:cstheme="minorBidi"/>
          </w:rPr>
          <w:tab/>
        </w:r>
        <w:r w:rsidR="00E14BF4" w:rsidRPr="00387D6C">
          <w:rPr>
            <w:rStyle w:val="Hyperlink"/>
          </w:rPr>
          <w:t>Overview</w:t>
        </w:r>
        <w:r w:rsidR="00E14BF4">
          <w:rPr>
            <w:webHidden/>
          </w:rPr>
          <w:tab/>
        </w:r>
        <w:r w:rsidR="00E14BF4">
          <w:rPr>
            <w:webHidden/>
          </w:rPr>
          <w:fldChar w:fldCharType="begin"/>
        </w:r>
        <w:r w:rsidR="00E14BF4">
          <w:rPr>
            <w:webHidden/>
          </w:rPr>
          <w:instrText xml:space="preserve"> PAGEREF _Toc500831792 \h </w:instrText>
        </w:r>
        <w:r w:rsidR="00E14BF4">
          <w:rPr>
            <w:webHidden/>
          </w:rPr>
        </w:r>
        <w:r w:rsidR="00E14BF4">
          <w:rPr>
            <w:webHidden/>
          </w:rPr>
          <w:fldChar w:fldCharType="separate"/>
        </w:r>
        <w:r w:rsidR="00E14BF4">
          <w:rPr>
            <w:webHidden/>
          </w:rPr>
          <w:t>6</w:t>
        </w:r>
        <w:r w:rsidR="00E14BF4">
          <w:rPr>
            <w:webHidden/>
          </w:rPr>
          <w:fldChar w:fldCharType="end"/>
        </w:r>
      </w:hyperlink>
    </w:p>
    <w:p w14:paraId="7A430A19" w14:textId="40105EB5" w:rsidR="00E14BF4" w:rsidRDefault="00BD4AF3">
      <w:pPr>
        <w:pStyle w:val="TOC2"/>
        <w:rPr>
          <w:rFonts w:asciiTheme="minorHAnsi" w:eastAsiaTheme="minorEastAsia" w:hAnsiTheme="minorHAnsi" w:cstheme="minorBidi"/>
        </w:rPr>
      </w:pPr>
      <w:hyperlink w:anchor="_Toc500831793" w:history="1">
        <w:r w:rsidR="00E14BF4" w:rsidRPr="00387D6C">
          <w:rPr>
            <w:rStyle w:val="Hyperlink"/>
            <w:rFonts w:eastAsiaTheme="minorHAnsi"/>
          </w:rPr>
          <w:t>1.2</w:t>
        </w:r>
        <w:r w:rsidR="00E14BF4">
          <w:rPr>
            <w:rFonts w:asciiTheme="minorHAnsi" w:eastAsiaTheme="minorEastAsia" w:hAnsiTheme="minorHAnsi" w:cstheme="minorBidi"/>
          </w:rPr>
          <w:tab/>
        </w:r>
        <w:r w:rsidR="00E14BF4" w:rsidRPr="00387D6C">
          <w:rPr>
            <w:rStyle w:val="Hyperlink"/>
            <w:rFonts w:eastAsiaTheme="minorHAnsi"/>
          </w:rPr>
          <w:t>Aim</w:t>
        </w:r>
        <w:r w:rsidR="00E14BF4">
          <w:rPr>
            <w:webHidden/>
          </w:rPr>
          <w:tab/>
        </w:r>
        <w:r w:rsidR="00E14BF4">
          <w:rPr>
            <w:webHidden/>
          </w:rPr>
          <w:fldChar w:fldCharType="begin"/>
        </w:r>
        <w:r w:rsidR="00E14BF4">
          <w:rPr>
            <w:webHidden/>
          </w:rPr>
          <w:instrText xml:space="preserve"> PAGEREF _Toc500831793 \h </w:instrText>
        </w:r>
        <w:r w:rsidR="00E14BF4">
          <w:rPr>
            <w:webHidden/>
          </w:rPr>
        </w:r>
        <w:r w:rsidR="00E14BF4">
          <w:rPr>
            <w:webHidden/>
          </w:rPr>
          <w:fldChar w:fldCharType="separate"/>
        </w:r>
        <w:r w:rsidR="00E14BF4">
          <w:rPr>
            <w:webHidden/>
          </w:rPr>
          <w:t>6</w:t>
        </w:r>
        <w:r w:rsidR="00E14BF4">
          <w:rPr>
            <w:webHidden/>
          </w:rPr>
          <w:fldChar w:fldCharType="end"/>
        </w:r>
      </w:hyperlink>
    </w:p>
    <w:p w14:paraId="78E7549E" w14:textId="19884947" w:rsidR="00E14BF4" w:rsidRDefault="00BD4AF3">
      <w:pPr>
        <w:pStyle w:val="TOC2"/>
        <w:rPr>
          <w:rFonts w:asciiTheme="minorHAnsi" w:eastAsiaTheme="minorEastAsia" w:hAnsiTheme="minorHAnsi" w:cstheme="minorBidi"/>
        </w:rPr>
      </w:pPr>
      <w:hyperlink w:anchor="_Toc500831794" w:history="1">
        <w:r w:rsidR="00E14BF4" w:rsidRPr="00387D6C">
          <w:rPr>
            <w:rStyle w:val="Hyperlink"/>
            <w:rFonts w:eastAsiaTheme="minorHAnsi"/>
          </w:rPr>
          <w:t>1.3</w:t>
        </w:r>
        <w:r w:rsidR="00E14BF4">
          <w:rPr>
            <w:rFonts w:asciiTheme="minorHAnsi" w:eastAsiaTheme="minorEastAsia" w:hAnsiTheme="minorHAnsi" w:cstheme="minorBidi"/>
          </w:rPr>
          <w:tab/>
        </w:r>
        <w:r w:rsidR="00E14BF4" w:rsidRPr="00387D6C">
          <w:rPr>
            <w:rStyle w:val="Hyperlink"/>
            <w:rFonts w:eastAsiaTheme="minorHAnsi"/>
          </w:rPr>
          <w:t>Objectives</w:t>
        </w:r>
        <w:r w:rsidR="00E14BF4">
          <w:rPr>
            <w:webHidden/>
          </w:rPr>
          <w:tab/>
        </w:r>
        <w:r w:rsidR="00E14BF4">
          <w:rPr>
            <w:webHidden/>
          </w:rPr>
          <w:fldChar w:fldCharType="begin"/>
        </w:r>
        <w:r w:rsidR="00E14BF4">
          <w:rPr>
            <w:webHidden/>
          </w:rPr>
          <w:instrText xml:space="preserve"> PAGEREF _Toc500831794 \h </w:instrText>
        </w:r>
        <w:r w:rsidR="00E14BF4">
          <w:rPr>
            <w:webHidden/>
          </w:rPr>
        </w:r>
        <w:r w:rsidR="00E14BF4">
          <w:rPr>
            <w:webHidden/>
          </w:rPr>
          <w:fldChar w:fldCharType="separate"/>
        </w:r>
        <w:r w:rsidR="00E14BF4">
          <w:rPr>
            <w:webHidden/>
          </w:rPr>
          <w:t>6</w:t>
        </w:r>
        <w:r w:rsidR="00E14BF4">
          <w:rPr>
            <w:webHidden/>
          </w:rPr>
          <w:fldChar w:fldCharType="end"/>
        </w:r>
      </w:hyperlink>
    </w:p>
    <w:p w14:paraId="5DA63532" w14:textId="1E1FDB4C" w:rsidR="00E14BF4" w:rsidRDefault="00BD4AF3">
      <w:pPr>
        <w:pStyle w:val="TOC1"/>
        <w:rPr>
          <w:rFonts w:asciiTheme="minorHAnsi" w:eastAsiaTheme="minorEastAsia" w:hAnsiTheme="minorHAnsi" w:cstheme="minorBidi"/>
          <w:b w:val="0"/>
          <w:caps w:val="0"/>
        </w:rPr>
      </w:pPr>
      <w:hyperlink w:anchor="_Toc500831795" w:history="1">
        <w:r w:rsidR="00E14BF4" w:rsidRPr="00387D6C">
          <w:rPr>
            <w:rStyle w:val="Hyperlink"/>
          </w:rPr>
          <w:t>2</w:t>
        </w:r>
        <w:r w:rsidR="00E14BF4">
          <w:rPr>
            <w:rFonts w:asciiTheme="minorHAnsi" w:eastAsiaTheme="minorEastAsia" w:hAnsiTheme="minorHAnsi" w:cstheme="minorBidi"/>
            <w:b w:val="0"/>
            <w:caps w:val="0"/>
          </w:rPr>
          <w:tab/>
        </w:r>
        <w:r w:rsidR="00E14BF4" w:rsidRPr="00387D6C">
          <w:rPr>
            <w:rStyle w:val="Hyperlink"/>
          </w:rPr>
          <w:t>Methods</w:t>
        </w:r>
        <w:r w:rsidR="00E14BF4">
          <w:rPr>
            <w:webHidden/>
          </w:rPr>
          <w:tab/>
        </w:r>
        <w:r w:rsidR="00E14BF4">
          <w:rPr>
            <w:webHidden/>
          </w:rPr>
          <w:fldChar w:fldCharType="begin"/>
        </w:r>
        <w:r w:rsidR="00E14BF4">
          <w:rPr>
            <w:webHidden/>
          </w:rPr>
          <w:instrText xml:space="preserve"> PAGEREF _Toc500831795 \h </w:instrText>
        </w:r>
        <w:r w:rsidR="00E14BF4">
          <w:rPr>
            <w:webHidden/>
          </w:rPr>
        </w:r>
        <w:r w:rsidR="00E14BF4">
          <w:rPr>
            <w:webHidden/>
          </w:rPr>
          <w:fldChar w:fldCharType="separate"/>
        </w:r>
        <w:r w:rsidR="00E14BF4">
          <w:rPr>
            <w:webHidden/>
          </w:rPr>
          <w:t>7</w:t>
        </w:r>
        <w:r w:rsidR="00E14BF4">
          <w:rPr>
            <w:webHidden/>
          </w:rPr>
          <w:fldChar w:fldCharType="end"/>
        </w:r>
      </w:hyperlink>
    </w:p>
    <w:p w14:paraId="4C53AC7C" w14:textId="1EA1FB4C" w:rsidR="00E14BF4" w:rsidRDefault="00BD4AF3">
      <w:pPr>
        <w:pStyle w:val="TOC2"/>
        <w:rPr>
          <w:rFonts w:asciiTheme="minorHAnsi" w:eastAsiaTheme="minorEastAsia" w:hAnsiTheme="minorHAnsi" w:cstheme="minorBidi"/>
        </w:rPr>
      </w:pPr>
      <w:hyperlink w:anchor="_Toc500831796" w:history="1">
        <w:r w:rsidR="00E14BF4" w:rsidRPr="00387D6C">
          <w:rPr>
            <w:rStyle w:val="Hyperlink"/>
          </w:rPr>
          <w:t>2.1</w:t>
        </w:r>
        <w:r w:rsidR="00E14BF4">
          <w:rPr>
            <w:rFonts w:asciiTheme="minorHAnsi" w:eastAsiaTheme="minorEastAsia" w:hAnsiTheme="minorHAnsi" w:cstheme="minorBidi"/>
          </w:rPr>
          <w:tab/>
        </w:r>
        <w:r w:rsidR="00E14BF4" w:rsidRPr="00387D6C">
          <w:rPr>
            <w:rStyle w:val="Hyperlink"/>
          </w:rPr>
          <w:t>Study design</w:t>
        </w:r>
        <w:r w:rsidR="00E14BF4">
          <w:rPr>
            <w:webHidden/>
          </w:rPr>
          <w:tab/>
        </w:r>
        <w:r w:rsidR="00E14BF4">
          <w:rPr>
            <w:webHidden/>
          </w:rPr>
          <w:fldChar w:fldCharType="begin"/>
        </w:r>
        <w:r w:rsidR="00E14BF4">
          <w:rPr>
            <w:webHidden/>
          </w:rPr>
          <w:instrText xml:space="preserve"> PAGEREF _Toc500831796 \h </w:instrText>
        </w:r>
        <w:r w:rsidR="00E14BF4">
          <w:rPr>
            <w:webHidden/>
          </w:rPr>
        </w:r>
        <w:r w:rsidR="00E14BF4">
          <w:rPr>
            <w:webHidden/>
          </w:rPr>
          <w:fldChar w:fldCharType="separate"/>
        </w:r>
        <w:r w:rsidR="00E14BF4">
          <w:rPr>
            <w:webHidden/>
          </w:rPr>
          <w:t>7</w:t>
        </w:r>
        <w:r w:rsidR="00E14BF4">
          <w:rPr>
            <w:webHidden/>
          </w:rPr>
          <w:fldChar w:fldCharType="end"/>
        </w:r>
      </w:hyperlink>
    </w:p>
    <w:p w14:paraId="410CEB69" w14:textId="22FECF54" w:rsidR="00E14BF4" w:rsidRDefault="00BD4AF3">
      <w:pPr>
        <w:pStyle w:val="TOC2"/>
        <w:rPr>
          <w:rFonts w:asciiTheme="minorHAnsi" w:eastAsiaTheme="minorEastAsia" w:hAnsiTheme="minorHAnsi" w:cstheme="minorBidi"/>
        </w:rPr>
      </w:pPr>
      <w:hyperlink w:anchor="_Toc500831797" w:history="1">
        <w:r w:rsidR="00E14BF4" w:rsidRPr="00387D6C">
          <w:rPr>
            <w:rStyle w:val="Hyperlink"/>
          </w:rPr>
          <w:t>2.2</w:t>
        </w:r>
        <w:r w:rsidR="00E14BF4">
          <w:rPr>
            <w:rFonts w:asciiTheme="minorHAnsi" w:eastAsiaTheme="minorEastAsia" w:hAnsiTheme="minorHAnsi" w:cstheme="minorBidi"/>
          </w:rPr>
          <w:tab/>
        </w:r>
        <w:r w:rsidR="00E14BF4" w:rsidRPr="00387D6C">
          <w:rPr>
            <w:rStyle w:val="Hyperlink"/>
          </w:rPr>
          <w:t>Study population</w:t>
        </w:r>
        <w:r w:rsidR="00E14BF4">
          <w:rPr>
            <w:webHidden/>
          </w:rPr>
          <w:tab/>
        </w:r>
        <w:r w:rsidR="00E14BF4">
          <w:rPr>
            <w:webHidden/>
          </w:rPr>
          <w:fldChar w:fldCharType="begin"/>
        </w:r>
        <w:r w:rsidR="00E14BF4">
          <w:rPr>
            <w:webHidden/>
          </w:rPr>
          <w:instrText xml:space="preserve"> PAGEREF _Toc500831797 \h </w:instrText>
        </w:r>
        <w:r w:rsidR="00E14BF4">
          <w:rPr>
            <w:webHidden/>
          </w:rPr>
        </w:r>
        <w:r w:rsidR="00E14BF4">
          <w:rPr>
            <w:webHidden/>
          </w:rPr>
          <w:fldChar w:fldCharType="separate"/>
        </w:r>
        <w:r w:rsidR="00E14BF4">
          <w:rPr>
            <w:webHidden/>
          </w:rPr>
          <w:t>7</w:t>
        </w:r>
        <w:r w:rsidR="00E14BF4">
          <w:rPr>
            <w:webHidden/>
          </w:rPr>
          <w:fldChar w:fldCharType="end"/>
        </w:r>
      </w:hyperlink>
    </w:p>
    <w:p w14:paraId="27AFF73C" w14:textId="5B9E63AE" w:rsidR="00E14BF4" w:rsidRDefault="00BD4AF3">
      <w:pPr>
        <w:pStyle w:val="TOC2"/>
        <w:rPr>
          <w:rFonts w:asciiTheme="minorHAnsi" w:eastAsiaTheme="minorEastAsia" w:hAnsiTheme="minorHAnsi" w:cstheme="minorBidi"/>
        </w:rPr>
      </w:pPr>
      <w:hyperlink w:anchor="_Toc500831798" w:history="1">
        <w:r w:rsidR="00E14BF4" w:rsidRPr="00387D6C">
          <w:rPr>
            <w:rStyle w:val="Hyperlink"/>
          </w:rPr>
          <w:t>2.3</w:t>
        </w:r>
        <w:r w:rsidR="00E14BF4">
          <w:rPr>
            <w:rFonts w:asciiTheme="minorHAnsi" w:eastAsiaTheme="minorEastAsia" w:hAnsiTheme="minorHAnsi" w:cstheme="minorBidi"/>
          </w:rPr>
          <w:tab/>
        </w:r>
        <w:r w:rsidR="00E14BF4" w:rsidRPr="00387D6C">
          <w:rPr>
            <w:rStyle w:val="Hyperlink"/>
          </w:rPr>
          <w:t>Socioeconomic deprivation</w:t>
        </w:r>
        <w:r w:rsidR="00E14BF4">
          <w:rPr>
            <w:webHidden/>
          </w:rPr>
          <w:tab/>
        </w:r>
        <w:r w:rsidR="00E14BF4">
          <w:rPr>
            <w:webHidden/>
          </w:rPr>
          <w:fldChar w:fldCharType="begin"/>
        </w:r>
        <w:r w:rsidR="00E14BF4">
          <w:rPr>
            <w:webHidden/>
          </w:rPr>
          <w:instrText xml:space="preserve"> PAGEREF _Toc500831798 \h </w:instrText>
        </w:r>
        <w:r w:rsidR="00E14BF4">
          <w:rPr>
            <w:webHidden/>
          </w:rPr>
        </w:r>
        <w:r w:rsidR="00E14BF4">
          <w:rPr>
            <w:webHidden/>
          </w:rPr>
          <w:fldChar w:fldCharType="separate"/>
        </w:r>
        <w:r w:rsidR="00E14BF4">
          <w:rPr>
            <w:webHidden/>
          </w:rPr>
          <w:t>7</w:t>
        </w:r>
        <w:r w:rsidR="00E14BF4">
          <w:rPr>
            <w:webHidden/>
          </w:rPr>
          <w:fldChar w:fldCharType="end"/>
        </w:r>
      </w:hyperlink>
    </w:p>
    <w:p w14:paraId="24AC7557" w14:textId="3FC34B20" w:rsidR="00E14BF4" w:rsidRDefault="00BD4AF3">
      <w:pPr>
        <w:pStyle w:val="TOC2"/>
        <w:rPr>
          <w:rFonts w:asciiTheme="minorHAnsi" w:eastAsiaTheme="minorEastAsia" w:hAnsiTheme="minorHAnsi" w:cstheme="minorBidi"/>
        </w:rPr>
      </w:pPr>
      <w:hyperlink w:anchor="_Toc500831799" w:history="1">
        <w:r w:rsidR="00E14BF4" w:rsidRPr="00387D6C">
          <w:rPr>
            <w:rStyle w:val="Hyperlink"/>
          </w:rPr>
          <w:t>2.4</w:t>
        </w:r>
        <w:r w:rsidR="00E14BF4">
          <w:rPr>
            <w:rFonts w:asciiTheme="minorHAnsi" w:eastAsiaTheme="minorEastAsia" w:hAnsiTheme="minorHAnsi" w:cstheme="minorBidi"/>
          </w:rPr>
          <w:tab/>
        </w:r>
        <w:r w:rsidR="00E14BF4" w:rsidRPr="00387D6C">
          <w:rPr>
            <w:rStyle w:val="Hyperlink"/>
          </w:rPr>
          <w:t>Non-socioeconomic deprivation variables</w:t>
        </w:r>
        <w:r w:rsidR="00E14BF4">
          <w:rPr>
            <w:webHidden/>
          </w:rPr>
          <w:tab/>
        </w:r>
        <w:r w:rsidR="00E14BF4">
          <w:rPr>
            <w:webHidden/>
          </w:rPr>
          <w:fldChar w:fldCharType="begin"/>
        </w:r>
        <w:r w:rsidR="00E14BF4">
          <w:rPr>
            <w:webHidden/>
          </w:rPr>
          <w:instrText xml:space="preserve"> PAGEREF _Toc500831799 \h </w:instrText>
        </w:r>
        <w:r w:rsidR="00E14BF4">
          <w:rPr>
            <w:webHidden/>
          </w:rPr>
        </w:r>
        <w:r w:rsidR="00E14BF4">
          <w:rPr>
            <w:webHidden/>
          </w:rPr>
          <w:fldChar w:fldCharType="separate"/>
        </w:r>
        <w:r w:rsidR="00E14BF4">
          <w:rPr>
            <w:webHidden/>
          </w:rPr>
          <w:t>7</w:t>
        </w:r>
        <w:r w:rsidR="00E14BF4">
          <w:rPr>
            <w:webHidden/>
          </w:rPr>
          <w:fldChar w:fldCharType="end"/>
        </w:r>
      </w:hyperlink>
    </w:p>
    <w:p w14:paraId="071E5B75" w14:textId="08073B5C" w:rsidR="00E14BF4" w:rsidRDefault="00BD4AF3">
      <w:pPr>
        <w:pStyle w:val="TOC2"/>
        <w:rPr>
          <w:rFonts w:asciiTheme="minorHAnsi" w:eastAsiaTheme="minorEastAsia" w:hAnsiTheme="minorHAnsi" w:cstheme="minorBidi"/>
        </w:rPr>
      </w:pPr>
      <w:hyperlink w:anchor="_Toc500831800" w:history="1">
        <w:r w:rsidR="00E14BF4" w:rsidRPr="00387D6C">
          <w:rPr>
            <w:rStyle w:val="Hyperlink"/>
          </w:rPr>
          <w:t>2.5</w:t>
        </w:r>
        <w:r w:rsidR="00E14BF4">
          <w:rPr>
            <w:rFonts w:asciiTheme="minorHAnsi" w:eastAsiaTheme="minorEastAsia" w:hAnsiTheme="minorHAnsi" w:cstheme="minorBidi"/>
          </w:rPr>
          <w:tab/>
        </w:r>
        <w:r w:rsidR="00E14BF4" w:rsidRPr="00387D6C">
          <w:rPr>
            <w:rStyle w:val="Hyperlink"/>
          </w:rPr>
          <w:t>Follow-up &amp; Outcomes</w:t>
        </w:r>
        <w:r w:rsidR="00E14BF4">
          <w:rPr>
            <w:webHidden/>
          </w:rPr>
          <w:tab/>
        </w:r>
        <w:r w:rsidR="00E14BF4">
          <w:rPr>
            <w:webHidden/>
          </w:rPr>
          <w:fldChar w:fldCharType="begin"/>
        </w:r>
        <w:r w:rsidR="00E14BF4">
          <w:rPr>
            <w:webHidden/>
          </w:rPr>
          <w:instrText xml:space="preserve"> PAGEREF _Toc500831800 \h </w:instrText>
        </w:r>
        <w:r w:rsidR="00E14BF4">
          <w:rPr>
            <w:webHidden/>
          </w:rPr>
        </w:r>
        <w:r w:rsidR="00E14BF4">
          <w:rPr>
            <w:webHidden/>
          </w:rPr>
          <w:fldChar w:fldCharType="separate"/>
        </w:r>
        <w:r w:rsidR="00E14BF4">
          <w:rPr>
            <w:webHidden/>
          </w:rPr>
          <w:t>8</w:t>
        </w:r>
        <w:r w:rsidR="00E14BF4">
          <w:rPr>
            <w:webHidden/>
          </w:rPr>
          <w:fldChar w:fldCharType="end"/>
        </w:r>
      </w:hyperlink>
    </w:p>
    <w:p w14:paraId="32A74A9B" w14:textId="79BA9F56" w:rsidR="00E14BF4" w:rsidRDefault="00BD4AF3">
      <w:pPr>
        <w:pStyle w:val="TOC2"/>
        <w:rPr>
          <w:rFonts w:asciiTheme="minorHAnsi" w:eastAsiaTheme="minorEastAsia" w:hAnsiTheme="minorHAnsi" w:cstheme="minorBidi"/>
        </w:rPr>
      </w:pPr>
      <w:hyperlink w:anchor="_Toc500831801" w:history="1">
        <w:r w:rsidR="00E14BF4" w:rsidRPr="00387D6C">
          <w:rPr>
            <w:rStyle w:val="Hyperlink"/>
          </w:rPr>
          <w:t>2.6</w:t>
        </w:r>
        <w:r w:rsidR="00E14BF4">
          <w:rPr>
            <w:rFonts w:asciiTheme="minorHAnsi" w:eastAsiaTheme="minorEastAsia" w:hAnsiTheme="minorHAnsi" w:cstheme="minorBidi"/>
          </w:rPr>
          <w:tab/>
        </w:r>
        <w:r w:rsidR="00E14BF4" w:rsidRPr="00387D6C">
          <w:rPr>
            <w:rStyle w:val="Hyperlink"/>
          </w:rPr>
          <w:t>Analysis</w:t>
        </w:r>
        <w:r w:rsidR="00E14BF4">
          <w:rPr>
            <w:webHidden/>
          </w:rPr>
          <w:tab/>
        </w:r>
        <w:r w:rsidR="00E14BF4">
          <w:rPr>
            <w:webHidden/>
          </w:rPr>
          <w:fldChar w:fldCharType="begin"/>
        </w:r>
        <w:r w:rsidR="00E14BF4">
          <w:rPr>
            <w:webHidden/>
          </w:rPr>
          <w:instrText xml:space="preserve"> PAGEREF _Toc500831801 \h </w:instrText>
        </w:r>
        <w:r w:rsidR="00E14BF4">
          <w:rPr>
            <w:webHidden/>
          </w:rPr>
        </w:r>
        <w:r w:rsidR="00E14BF4">
          <w:rPr>
            <w:webHidden/>
          </w:rPr>
          <w:fldChar w:fldCharType="separate"/>
        </w:r>
        <w:r w:rsidR="00E14BF4">
          <w:rPr>
            <w:webHidden/>
          </w:rPr>
          <w:t>8</w:t>
        </w:r>
        <w:r w:rsidR="00E14BF4">
          <w:rPr>
            <w:webHidden/>
          </w:rPr>
          <w:fldChar w:fldCharType="end"/>
        </w:r>
      </w:hyperlink>
    </w:p>
    <w:p w14:paraId="56E5F180" w14:textId="2B6697FE" w:rsidR="00E14BF4" w:rsidRDefault="00BD4AF3">
      <w:pPr>
        <w:pStyle w:val="TOC3"/>
        <w:rPr>
          <w:rFonts w:asciiTheme="minorHAnsi" w:eastAsiaTheme="minorEastAsia" w:hAnsiTheme="minorHAnsi" w:cstheme="minorBidi"/>
          <w:noProof/>
        </w:rPr>
      </w:pPr>
      <w:hyperlink w:anchor="_Toc500831802" w:history="1">
        <w:r w:rsidR="00E14BF4" w:rsidRPr="00387D6C">
          <w:rPr>
            <w:rStyle w:val="Hyperlink"/>
            <w:noProof/>
          </w:rPr>
          <w:t>2.6.1</w:t>
        </w:r>
        <w:r w:rsidR="00E14BF4">
          <w:rPr>
            <w:rFonts w:asciiTheme="minorHAnsi" w:eastAsiaTheme="minorEastAsia" w:hAnsiTheme="minorHAnsi" w:cstheme="minorBidi"/>
            <w:noProof/>
          </w:rPr>
          <w:tab/>
        </w:r>
        <w:r w:rsidR="00E14BF4" w:rsidRPr="00387D6C">
          <w:rPr>
            <w:rStyle w:val="Hyperlink"/>
            <w:noProof/>
          </w:rPr>
          <w:t>Descriptive Analysis</w:t>
        </w:r>
        <w:r w:rsidR="00E14BF4">
          <w:rPr>
            <w:noProof/>
            <w:webHidden/>
          </w:rPr>
          <w:tab/>
        </w:r>
        <w:r w:rsidR="00E14BF4">
          <w:rPr>
            <w:noProof/>
            <w:webHidden/>
          </w:rPr>
          <w:fldChar w:fldCharType="begin"/>
        </w:r>
        <w:r w:rsidR="00E14BF4">
          <w:rPr>
            <w:noProof/>
            <w:webHidden/>
          </w:rPr>
          <w:instrText xml:space="preserve"> PAGEREF _Toc500831802 \h </w:instrText>
        </w:r>
        <w:r w:rsidR="00E14BF4">
          <w:rPr>
            <w:noProof/>
            <w:webHidden/>
          </w:rPr>
        </w:r>
        <w:r w:rsidR="00E14BF4">
          <w:rPr>
            <w:noProof/>
            <w:webHidden/>
          </w:rPr>
          <w:fldChar w:fldCharType="separate"/>
        </w:r>
        <w:r w:rsidR="00E14BF4">
          <w:rPr>
            <w:noProof/>
            <w:webHidden/>
          </w:rPr>
          <w:t>8</w:t>
        </w:r>
        <w:r w:rsidR="00E14BF4">
          <w:rPr>
            <w:noProof/>
            <w:webHidden/>
          </w:rPr>
          <w:fldChar w:fldCharType="end"/>
        </w:r>
      </w:hyperlink>
    </w:p>
    <w:p w14:paraId="4E6EA97F" w14:textId="562FD22E" w:rsidR="00E14BF4" w:rsidRDefault="00BD4AF3">
      <w:pPr>
        <w:pStyle w:val="TOC3"/>
        <w:rPr>
          <w:rFonts w:asciiTheme="minorHAnsi" w:eastAsiaTheme="minorEastAsia" w:hAnsiTheme="minorHAnsi" w:cstheme="minorBidi"/>
          <w:noProof/>
        </w:rPr>
      </w:pPr>
      <w:hyperlink w:anchor="_Toc500831803" w:history="1">
        <w:r w:rsidR="00E14BF4" w:rsidRPr="00387D6C">
          <w:rPr>
            <w:rStyle w:val="Hyperlink"/>
            <w:noProof/>
          </w:rPr>
          <w:t>2.6.2</w:t>
        </w:r>
        <w:r w:rsidR="00E14BF4">
          <w:rPr>
            <w:rFonts w:asciiTheme="minorHAnsi" w:eastAsiaTheme="minorEastAsia" w:hAnsiTheme="minorHAnsi" w:cstheme="minorBidi"/>
            <w:noProof/>
          </w:rPr>
          <w:tab/>
        </w:r>
        <w:r w:rsidR="00E14BF4" w:rsidRPr="00387D6C">
          <w:rPr>
            <w:rStyle w:val="Hyperlink"/>
            <w:noProof/>
          </w:rPr>
          <w:t>Univariable Analysis</w:t>
        </w:r>
        <w:r w:rsidR="00E14BF4">
          <w:rPr>
            <w:noProof/>
            <w:webHidden/>
          </w:rPr>
          <w:tab/>
        </w:r>
        <w:r w:rsidR="00E14BF4">
          <w:rPr>
            <w:noProof/>
            <w:webHidden/>
          </w:rPr>
          <w:fldChar w:fldCharType="begin"/>
        </w:r>
        <w:r w:rsidR="00E14BF4">
          <w:rPr>
            <w:noProof/>
            <w:webHidden/>
          </w:rPr>
          <w:instrText xml:space="preserve"> PAGEREF _Toc500831803 \h </w:instrText>
        </w:r>
        <w:r w:rsidR="00E14BF4">
          <w:rPr>
            <w:noProof/>
            <w:webHidden/>
          </w:rPr>
        </w:r>
        <w:r w:rsidR="00E14BF4">
          <w:rPr>
            <w:noProof/>
            <w:webHidden/>
          </w:rPr>
          <w:fldChar w:fldCharType="separate"/>
        </w:r>
        <w:r w:rsidR="00E14BF4">
          <w:rPr>
            <w:noProof/>
            <w:webHidden/>
          </w:rPr>
          <w:t>8</w:t>
        </w:r>
        <w:r w:rsidR="00E14BF4">
          <w:rPr>
            <w:noProof/>
            <w:webHidden/>
          </w:rPr>
          <w:fldChar w:fldCharType="end"/>
        </w:r>
      </w:hyperlink>
    </w:p>
    <w:p w14:paraId="0669397E" w14:textId="237E326C" w:rsidR="00E14BF4" w:rsidRDefault="00BD4AF3">
      <w:pPr>
        <w:pStyle w:val="TOC3"/>
        <w:rPr>
          <w:rFonts w:asciiTheme="minorHAnsi" w:eastAsiaTheme="minorEastAsia" w:hAnsiTheme="minorHAnsi" w:cstheme="minorBidi"/>
          <w:noProof/>
        </w:rPr>
      </w:pPr>
      <w:hyperlink w:anchor="_Toc500831804" w:history="1">
        <w:r w:rsidR="00E14BF4" w:rsidRPr="00387D6C">
          <w:rPr>
            <w:rStyle w:val="Hyperlink"/>
            <w:noProof/>
          </w:rPr>
          <w:t>2.6.3</w:t>
        </w:r>
        <w:r w:rsidR="00E14BF4">
          <w:rPr>
            <w:rFonts w:asciiTheme="minorHAnsi" w:eastAsiaTheme="minorEastAsia" w:hAnsiTheme="minorHAnsi" w:cstheme="minorBidi"/>
            <w:noProof/>
          </w:rPr>
          <w:tab/>
        </w:r>
        <w:r w:rsidR="00E14BF4" w:rsidRPr="00387D6C">
          <w:rPr>
            <w:rStyle w:val="Hyperlink"/>
            <w:noProof/>
          </w:rPr>
          <w:t>Multivariable Analysis</w:t>
        </w:r>
        <w:r w:rsidR="00E14BF4">
          <w:rPr>
            <w:noProof/>
            <w:webHidden/>
          </w:rPr>
          <w:tab/>
        </w:r>
        <w:r w:rsidR="00E14BF4">
          <w:rPr>
            <w:noProof/>
            <w:webHidden/>
          </w:rPr>
          <w:fldChar w:fldCharType="begin"/>
        </w:r>
        <w:r w:rsidR="00E14BF4">
          <w:rPr>
            <w:noProof/>
            <w:webHidden/>
          </w:rPr>
          <w:instrText xml:space="preserve"> PAGEREF _Toc500831804 \h </w:instrText>
        </w:r>
        <w:r w:rsidR="00E14BF4">
          <w:rPr>
            <w:noProof/>
            <w:webHidden/>
          </w:rPr>
        </w:r>
        <w:r w:rsidR="00E14BF4">
          <w:rPr>
            <w:noProof/>
            <w:webHidden/>
          </w:rPr>
          <w:fldChar w:fldCharType="separate"/>
        </w:r>
        <w:r w:rsidR="00E14BF4">
          <w:rPr>
            <w:noProof/>
            <w:webHidden/>
          </w:rPr>
          <w:t>9</w:t>
        </w:r>
        <w:r w:rsidR="00E14BF4">
          <w:rPr>
            <w:noProof/>
            <w:webHidden/>
          </w:rPr>
          <w:fldChar w:fldCharType="end"/>
        </w:r>
      </w:hyperlink>
    </w:p>
    <w:p w14:paraId="0DCF4DC6" w14:textId="0BD987D2" w:rsidR="00E14BF4" w:rsidRDefault="00BD4AF3">
      <w:pPr>
        <w:pStyle w:val="TOC1"/>
        <w:rPr>
          <w:rFonts w:asciiTheme="minorHAnsi" w:eastAsiaTheme="minorEastAsia" w:hAnsiTheme="minorHAnsi" w:cstheme="minorBidi"/>
          <w:b w:val="0"/>
          <w:caps w:val="0"/>
        </w:rPr>
      </w:pPr>
      <w:hyperlink w:anchor="_Toc500831805" w:history="1">
        <w:r w:rsidR="00E14BF4" w:rsidRPr="00387D6C">
          <w:rPr>
            <w:rStyle w:val="Hyperlink"/>
          </w:rPr>
          <w:t>3</w:t>
        </w:r>
        <w:r w:rsidR="00E14BF4">
          <w:rPr>
            <w:rFonts w:asciiTheme="minorHAnsi" w:eastAsiaTheme="minorEastAsia" w:hAnsiTheme="minorHAnsi" w:cstheme="minorBidi"/>
            <w:b w:val="0"/>
            <w:caps w:val="0"/>
          </w:rPr>
          <w:tab/>
        </w:r>
        <w:r w:rsidR="00E14BF4" w:rsidRPr="00387D6C">
          <w:rPr>
            <w:rStyle w:val="Hyperlink"/>
          </w:rPr>
          <w:t>Results – North Wales</w:t>
        </w:r>
        <w:r w:rsidR="00E14BF4">
          <w:rPr>
            <w:webHidden/>
          </w:rPr>
          <w:tab/>
        </w:r>
        <w:r w:rsidR="00E14BF4">
          <w:rPr>
            <w:webHidden/>
          </w:rPr>
          <w:fldChar w:fldCharType="begin"/>
        </w:r>
        <w:r w:rsidR="00E14BF4">
          <w:rPr>
            <w:webHidden/>
          </w:rPr>
          <w:instrText xml:space="preserve"> PAGEREF _Toc500831805 \h </w:instrText>
        </w:r>
        <w:r w:rsidR="00E14BF4">
          <w:rPr>
            <w:webHidden/>
          </w:rPr>
        </w:r>
        <w:r w:rsidR="00E14BF4">
          <w:rPr>
            <w:webHidden/>
          </w:rPr>
          <w:fldChar w:fldCharType="separate"/>
        </w:r>
        <w:r w:rsidR="00E14BF4">
          <w:rPr>
            <w:webHidden/>
          </w:rPr>
          <w:t>10</w:t>
        </w:r>
        <w:r w:rsidR="00E14BF4">
          <w:rPr>
            <w:webHidden/>
          </w:rPr>
          <w:fldChar w:fldCharType="end"/>
        </w:r>
      </w:hyperlink>
    </w:p>
    <w:p w14:paraId="64E764D7" w14:textId="004094AE" w:rsidR="00E14BF4" w:rsidRDefault="00BD4AF3">
      <w:pPr>
        <w:pStyle w:val="TOC2"/>
        <w:rPr>
          <w:rFonts w:asciiTheme="minorHAnsi" w:eastAsiaTheme="minorEastAsia" w:hAnsiTheme="minorHAnsi" w:cstheme="minorBidi"/>
        </w:rPr>
      </w:pPr>
      <w:hyperlink w:anchor="_Toc500831806" w:history="1">
        <w:r w:rsidR="00E14BF4" w:rsidRPr="00387D6C">
          <w:rPr>
            <w:rStyle w:val="Hyperlink"/>
          </w:rPr>
          <w:t>3.1</w:t>
        </w:r>
        <w:r w:rsidR="00E14BF4">
          <w:rPr>
            <w:rFonts w:asciiTheme="minorHAnsi" w:eastAsiaTheme="minorEastAsia" w:hAnsiTheme="minorHAnsi" w:cstheme="minorBidi"/>
          </w:rPr>
          <w:tab/>
        </w:r>
        <w:r w:rsidR="00E14BF4" w:rsidRPr="00387D6C">
          <w:rPr>
            <w:rStyle w:val="Hyperlink"/>
          </w:rPr>
          <w:t>Baseline Characteristics</w:t>
        </w:r>
        <w:r w:rsidR="00E14BF4">
          <w:rPr>
            <w:webHidden/>
          </w:rPr>
          <w:tab/>
        </w:r>
        <w:r w:rsidR="00E14BF4">
          <w:rPr>
            <w:webHidden/>
          </w:rPr>
          <w:fldChar w:fldCharType="begin"/>
        </w:r>
        <w:r w:rsidR="00E14BF4">
          <w:rPr>
            <w:webHidden/>
          </w:rPr>
          <w:instrText xml:space="preserve"> PAGEREF _Toc500831806 \h </w:instrText>
        </w:r>
        <w:r w:rsidR="00E14BF4">
          <w:rPr>
            <w:webHidden/>
          </w:rPr>
        </w:r>
        <w:r w:rsidR="00E14BF4">
          <w:rPr>
            <w:webHidden/>
          </w:rPr>
          <w:fldChar w:fldCharType="separate"/>
        </w:r>
        <w:r w:rsidR="00E14BF4">
          <w:rPr>
            <w:webHidden/>
          </w:rPr>
          <w:t>10</w:t>
        </w:r>
        <w:r w:rsidR="00E14BF4">
          <w:rPr>
            <w:webHidden/>
          </w:rPr>
          <w:fldChar w:fldCharType="end"/>
        </w:r>
      </w:hyperlink>
    </w:p>
    <w:p w14:paraId="1C1489FD" w14:textId="7720FA0F" w:rsidR="00E14BF4" w:rsidRDefault="00BD4AF3">
      <w:pPr>
        <w:pStyle w:val="TOC2"/>
        <w:rPr>
          <w:rFonts w:asciiTheme="minorHAnsi" w:eastAsiaTheme="minorEastAsia" w:hAnsiTheme="minorHAnsi" w:cstheme="minorBidi"/>
        </w:rPr>
      </w:pPr>
      <w:hyperlink w:anchor="_Toc500831807" w:history="1">
        <w:r w:rsidR="00E14BF4" w:rsidRPr="00387D6C">
          <w:rPr>
            <w:rStyle w:val="Hyperlink"/>
          </w:rPr>
          <w:t>3.2</w:t>
        </w:r>
        <w:r w:rsidR="00E14BF4">
          <w:rPr>
            <w:rFonts w:asciiTheme="minorHAnsi" w:eastAsiaTheme="minorEastAsia" w:hAnsiTheme="minorHAnsi" w:cstheme="minorBidi"/>
          </w:rPr>
          <w:tab/>
        </w:r>
        <w:r w:rsidR="00E14BF4" w:rsidRPr="00387D6C">
          <w:rPr>
            <w:rStyle w:val="Hyperlink"/>
          </w:rPr>
          <w:t>Univariable Analysis</w:t>
        </w:r>
        <w:r w:rsidR="00E14BF4">
          <w:rPr>
            <w:webHidden/>
          </w:rPr>
          <w:tab/>
        </w:r>
        <w:r w:rsidR="00E14BF4">
          <w:rPr>
            <w:webHidden/>
          </w:rPr>
          <w:fldChar w:fldCharType="begin"/>
        </w:r>
        <w:r w:rsidR="00E14BF4">
          <w:rPr>
            <w:webHidden/>
          </w:rPr>
          <w:instrText xml:space="preserve"> PAGEREF _Toc500831807 \h </w:instrText>
        </w:r>
        <w:r w:rsidR="00E14BF4">
          <w:rPr>
            <w:webHidden/>
          </w:rPr>
        </w:r>
        <w:r w:rsidR="00E14BF4">
          <w:rPr>
            <w:webHidden/>
          </w:rPr>
          <w:fldChar w:fldCharType="separate"/>
        </w:r>
        <w:r w:rsidR="00E14BF4">
          <w:rPr>
            <w:webHidden/>
          </w:rPr>
          <w:t>10</w:t>
        </w:r>
        <w:r w:rsidR="00E14BF4">
          <w:rPr>
            <w:webHidden/>
          </w:rPr>
          <w:fldChar w:fldCharType="end"/>
        </w:r>
      </w:hyperlink>
    </w:p>
    <w:p w14:paraId="5AFE6861" w14:textId="01F26053" w:rsidR="00E14BF4" w:rsidRDefault="00BD4AF3">
      <w:pPr>
        <w:pStyle w:val="TOC2"/>
        <w:rPr>
          <w:rFonts w:asciiTheme="minorHAnsi" w:eastAsiaTheme="minorEastAsia" w:hAnsiTheme="minorHAnsi" w:cstheme="minorBidi"/>
        </w:rPr>
      </w:pPr>
      <w:hyperlink w:anchor="_Toc500831808" w:history="1">
        <w:r w:rsidR="00E14BF4" w:rsidRPr="00387D6C">
          <w:rPr>
            <w:rStyle w:val="Hyperlink"/>
          </w:rPr>
          <w:t>3.3</w:t>
        </w:r>
        <w:r w:rsidR="00E14BF4">
          <w:rPr>
            <w:rFonts w:asciiTheme="minorHAnsi" w:eastAsiaTheme="minorEastAsia" w:hAnsiTheme="minorHAnsi" w:cstheme="minorBidi"/>
          </w:rPr>
          <w:tab/>
        </w:r>
        <w:r w:rsidR="00E14BF4" w:rsidRPr="00387D6C">
          <w:rPr>
            <w:rStyle w:val="Hyperlink"/>
          </w:rPr>
          <w:t>Multivariable Analysis</w:t>
        </w:r>
        <w:r w:rsidR="00E14BF4">
          <w:rPr>
            <w:webHidden/>
          </w:rPr>
          <w:tab/>
        </w:r>
        <w:r w:rsidR="00E14BF4">
          <w:rPr>
            <w:webHidden/>
          </w:rPr>
          <w:fldChar w:fldCharType="begin"/>
        </w:r>
        <w:r w:rsidR="00E14BF4">
          <w:rPr>
            <w:webHidden/>
          </w:rPr>
          <w:instrText xml:space="preserve"> PAGEREF _Toc500831808 \h </w:instrText>
        </w:r>
        <w:r w:rsidR="00E14BF4">
          <w:rPr>
            <w:webHidden/>
          </w:rPr>
        </w:r>
        <w:r w:rsidR="00E14BF4">
          <w:rPr>
            <w:webHidden/>
          </w:rPr>
          <w:fldChar w:fldCharType="separate"/>
        </w:r>
        <w:r w:rsidR="00E14BF4">
          <w:rPr>
            <w:webHidden/>
          </w:rPr>
          <w:t>10</w:t>
        </w:r>
        <w:r w:rsidR="00E14BF4">
          <w:rPr>
            <w:webHidden/>
          </w:rPr>
          <w:fldChar w:fldCharType="end"/>
        </w:r>
      </w:hyperlink>
    </w:p>
    <w:p w14:paraId="6CF7374A" w14:textId="21750BD3" w:rsidR="00E14BF4" w:rsidRDefault="00BD4AF3">
      <w:pPr>
        <w:pStyle w:val="TOC1"/>
        <w:rPr>
          <w:rFonts w:asciiTheme="minorHAnsi" w:eastAsiaTheme="minorEastAsia" w:hAnsiTheme="minorHAnsi" w:cstheme="minorBidi"/>
          <w:b w:val="0"/>
          <w:caps w:val="0"/>
        </w:rPr>
      </w:pPr>
      <w:hyperlink w:anchor="_Toc500831809" w:history="1">
        <w:r w:rsidR="00E14BF4" w:rsidRPr="00387D6C">
          <w:rPr>
            <w:rStyle w:val="Hyperlink"/>
          </w:rPr>
          <w:t>4</w:t>
        </w:r>
        <w:r w:rsidR="00E14BF4">
          <w:rPr>
            <w:rFonts w:asciiTheme="minorHAnsi" w:eastAsiaTheme="minorEastAsia" w:hAnsiTheme="minorHAnsi" w:cstheme="minorBidi"/>
            <w:b w:val="0"/>
            <w:caps w:val="0"/>
          </w:rPr>
          <w:tab/>
        </w:r>
        <w:r w:rsidR="00E14BF4" w:rsidRPr="00387D6C">
          <w:rPr>
            <w:rStyle w:val="Hyperlink"/>
          </w:rPr>
          <w:t>Results – South Wales</w:t>
        </w:r>
        <w:r w:rsidR="00E14BF4">
          <w:rPr>
            <w:webHidden/>
          </w:rPr>
          <w:tab/>
        </w:r>
        <w:r w:rsidR="00E14BF4">
          <w:rPr>
            <w:webHidden/>
          </w:rPr>
          <w:fldChar w:fldCharType="begin"/>
        </w:r>
        <w:r w:rsidR="00E14BF4">
          <w:rPr>
            <w:webHidden/>
          </w:rPr>
          <w:instrText xml:space="preserve"> PAGEREF _Toc500831809 \h </w:instrText>
        </w:r>
        <w:r w:rsidR="00E14BF4">
          <w:rPr>
            <w:webHidden/>
          </w:rPr>
        </w:r>
        <w:r w:rsidR="00E14BF4">
          <w:rPr>
            <w:webHidden/>
          </w:rPr>
          <w:fldChar w:fldCharType="separate"/>
        </w:r>
        <w:r w:rsidR="00E14BF4">
          <w:rPr>
            <w:webHidden/>
          </w:rPr>
          <w:t>13</w:t>
        </w:r>
        <w:r w:rsidR="00E14BF4">
          <w:rPr>
            <w:webHidden/>
          </w:rPr>
          <w:fldChar w:fldCharType="end"/>
        </w:r>
      </w:hyperlink>
    </w:p>
    <w:p w14:paraId="6310FADB" w14:textId="2EF9CEAB" w:rsidR="00E14BF4" w:rsidRDefault="00BD4AF3">
      <w:pPr>
        <w:pStyle w:val="TOC2"/>
        <w:rPr>
          <w:rFonts w:asciiTheme="minorHAnsi" w:eastAsiaTheme="minorEastAsia" w:hAnsiTheme="minorHAnsi" w:cstheme="minorBidi"/>
        </w:rPr>
      </w:pPr>
      <w:hyperlink w:anchor="_Toc500831810" w:history="1">
        <w:r w:rsidR="00E14BF4" w:rsidRPr="00387D6C">
          <w:rPr>
            <w:rStyle w:val="Hyperlink"/>
          </w:rPr>
          <w:t>4.1</w:t>
        </w:r>
        <w:r w:rsidR="00E14BF4">
          <w:rPr>
            <w:rFonts w:asciiTheme="minorHAnsi" w:eastAsiaTheme="minorEastAsia" w:hAnsiTheme="minorHAnsi" w:cstheme="minorBidi"/>
          </w:rPr>
          <w:tab/>
        </w:r>
        <w:r w:rsidR="00E14BF4" w:rsidRPr="00387D6C">
          <w:rPr>
            <w:rStyle w:val="Hyperlink"/>
          </w:rPr>
          <w:t>Baseline Characteristics</w:t>
        </w:r>
        <w:r w:rsidR="00E14BF4">
          <w:rPr>
            <w:webHidden/>
          </w:rPr>
          <w:tab/>
        </w:r>
        <w:r w:rsidR="00E14BF4">
          <w:rPr>
            <w:webHidden/>
          </w:rPr>
          <w:fldChar w:fldCharType="begin"/>
        </w:r>
        <w:r w:rsidR="00E14BF4">
          <w:rPr>
            <w:webHidden/>
          </w:rPr>
          <w:instrText xml:space="preserve"> PAGEREF _Toc500831810 \h </w:instrText>
        </w:r>
        <w:r w:rsidR="00E14BF4">
          <w:rPr>
            <w:webHidden/>
          </w:rPr>
        </w:r>
        <w:r w:rsidR="00E14BF4">
          <w:rPr>
            <w:webHidden/>
          </w:rPr>
          <w:fldChar w:fldCharType="separate"/>
        </w:r>
        <w:r w:rsidR="00E14BF4">
          <w:rPr>
            <w:webHidden/>
          </w:rPr>
          <w:t>13</w:t>
        </w:r>
        <w:r w:rsidR="00E14BF4">
          <w:rPr>
            <w:webHidden/>
          </w:rPr>
          <w:fldChar w:fldCharType="end"/>
        </w:r>
      </w:hyperlink>
    </w:p>
    <w:p w14:paraId="1D748FD5" w14:textId="107BA879" w:rsidR="00E14BF4" w:rsidRDefault="00BD4AF3">
      <w:pPr>
        <w:pStyle w:val="TOC2"/>
        <w:rPr>
          <w:rFonts w:asciiTheme="minorHAnsi" w:eastAsiaTheme="minorEastAsia" w:hAnsiTheme="minorHAnsi" w:cstheme="minorBidi"/>
        </w:rPr>
      </w:pPr>
      <w:hyperlink w:anchor="_Toc500831811" w:history="1">
        <w:r w:rsidR="00E14BF4" w:rsidRPr="00387D6C">
          <w:rPr>
            <w:rStyle w:val="Hyperlink"/>
          </w:rPr>
          <w:t>4.2</w:t>
        </w:r>
        <w:r w:rsidR="00E14BF4">
          <w:rPr>
            <w:rFonts w:asciiTheme="minorHAnsi" w:eastAsiaTheme="minorEastAsia" w:hAnsiTheme="minorHAnsi" w:cstheme="minorBidi"/>
          </w:rPr>
          <w:tab/>
        </w:r>
        <w:r w:rsidR="00E14BF4" w:rsidRPr="00387D6C">
          <w:rPr>
            <w:rStyle w:val="Hyperlink"/>
          </w:rPr>
          <w:t>Univariable Analysis</w:t>
        </w:r>
        <w:r w:rsidR="00E14BF4">
          <w:rPr>
            <w:webHidden/>
          </w:rPr>
          <w:tab/>
        </w:r>
        <w:r w:rsidR="00E14BF4">
          <w:rPr>
            <w:webHidden/>
          </w:rPr>
          <w:fldChar w:fldCharType="begin"/>
        </w:r>
        <w:r w:rsidR="00E14BF4">
          <w:rPr>
            <w:webHidden/>
          </w:rPr>
          <w:instrText xml:space="preserve"> PAGEREF _Toc500831811 \h </w:instrText>
        </w:r>
        <w:r w:rsidR="00E14BF4">
          <w:rPr>
            <w:webHidden/>
          </w:rPr>
        </w:r>
        <w:r w:rsidR="00E14BF4">
          <w:rPr>
            <w:webHidden/>
          </w:rPr>
          <w:fldChar w:fldCharType="separate"/>
        </w:r>
        <w:r w:rsidR="00E14BF4">
          <w:rPr>
            <w:webHidden/>
          </w:rPr>
          <w:t>13</w:t>
        </w:r>
        <w:r w:rsidR="00E14BF4">
          <w:rPr>
            <w:webHidden/>
          </w:rPr>
          <w:fldChar w:fldCharType="end"/>
        </w:r>
      </w:hyperlink>
    </w:p>
    <w:p w14:paraId="1BBEA3EA" w14:textId="6DC8CB7C" w:rsidR="00E14BF4" w:rsidRDefault="00BD4AF3">
      <w:pPr>
        <w:pStyle w:val="TOC2"/>
        <w:rPr>
          <w:rFonts w:asciiTheme="minorHAnsi" w:eastAsiaTheme="minorEastAsia" w:hAnsiTheme="minorHAnsi" w:cstheme="minorBidi"/>
        </w:rPr>
      </w:pPr>
      <w:hyperlink w:anchor="_Toc500831812" w:history="1">
        <w:r w:rsidR="00E14BF4" w:rsidRPr="00387D6C">
          <w:rPr>
            <w:rStyle w:val="Hyperlink"/>
          </w:rPr>
          <w:t>4.3</w:t>
        </w:r>
        <w:r w:rsidR="00E14BF4">
          <w:rPr>
            <w:rFonts w:asciiTheme="minorHAnsi" w:eastAsiaTheme="minorEastAsia" w:hAnsiTheme="minorHAnsi" w:cstheme="minorBidi"/>
          </w:rPr>
          <w:tab/>
        </w:r>
        <w:r w:rsidR="00E14BF4" w:rsidRPr="00387D6C">
          <w:rPr>
            <w:rStyle w:val="Hyperlink"/>
          </w:rPr>
          <w:t>Multivariable analysis</w:t>
        </w:r>
        <w:r w:rsidR="00E14BF4">
          <w:rPr>
            <w:webHidden/>
          </w:rPr>
          <w:tab/>
        </w:r>
        <w:r w:rsidR="00E14BF4">
          <w:rPr>
            <w:webHidden/>
          </w:rPr>
          <w:fldChar w:fldCharType="begin"/>
        </w:r>
        <w:r w:rsidR="00E14BF4">
          <w:rPr>
            <w:webHidden/>
          </w:rPr>
          <w:instrText xml:space="preserve"> PAGEREF _Toc500831812 \h </w:instrText>
        </w:r>
        <w:r w:rsidR="00E14BF4">
          <w:rPr>
            <w:webHidden/>
          </w:rPr>
        </w:r>
        <w:r w:rsidR="00E14BF4">
          <w:rPr>
            <w:webHidden/>
          </w:rPr>
          <w:fldChar w:fldCharType="separate"/>
        </w:r>
        <w:r w:rsidR="00E14BF4">
          <w:rPr>
            <w:webHidden/>
          </w:rPr>
          <w:t>13</w:t>
        </w:r>
        <w:r w:rsidR="00E14BF4">
          <w:rPr>
            <w:webHidden/>
          </w:rPr>
          <w:fldChar w:fldCharType="end"/>
        </w:r>
      </w:hyperlink>
    </w:p>
    <w:p w14:paraId="7BA3110F" w14:textId="0691AC85" w:rsidR="00E14BF4" w:rsidRDefault="00BD4AF3">
      <w:pPr>
        <w:pStyle w:val="TOC1"/>
        <w:rPr>
          <w:rFonts w:asciiTheme="minorHAnsi" w:eastAsiaTheme="minorEastAsia" w:hAnsiTheme="minorHAnsi" w:cstheme="minorBidi"/>
          <w:b w:val="0"/>
          <w:caps w:val="0"/>
        </w:rPr>
      </w:pPr>
      <w:hyperlink w:anchor="_Toc500831813" w:history="1">
        <w:r w:rsidR="00E14BF4" w:rsidRPr="00387D6C">
          <w:rPr>
            <w:rStyle w:val="Hyperlink"/>
          </w:rPr>
          <w:t>5</w:t>
        </w:r>
        <w:r w:rsidR="00E14BF4">
          <w:rPr>
            <w:rFonts w:asciiTheme="minorHAnsi" w:eastAsiaTheme="minorEastAsia" w:hAnsiTheme="minorHAnsi" w:cstheme="minorBidi"/>
            <w:b w:val="0"/>
            <w:caps w:val="0"/>
          </w:rPr>
          <w:tab/>
        </w:r>
        <w:r w:rsidR="00E14BF4" w:rsidRPr="00387D6C">
          <w:rPr>
            <w:rStyle w:val="Hyperlink"/>
          </w:rPr>
          <w:t>Discussion</w:t>
        </w:r>
        <w:r w:rsidR="00E14BF4">
          <w:rPr>
            <w:webHidden/>
          </w:rPr>
          <w:tab/>
        </w:r>
        <w:r w:rsidR="00E14BF4">
          <w:rPr>
            <w:webHidden/>
          </w:rPr>
          <w:fldChar w:fldCharType="begin"/>
        </w:r>
        <w:r w:rsidR="00E14BF4">
          <w:rPr>
            <w:webHidden/>
          </w:rPr>
          <w:instrText xml:space="preserve"> PAGEREF _Toc500831813 \h </w:instrText>
        </w:r>
        <w:r w:rsidR="00E14BF4">
          <w:rPr>
            <w:webHidden/>
          </w:rPr>
        </w:r>
        <w:r w:rsidR="00E14BF4">
          <w:rPr>
            <w:webHidden/>
          </w:rPr>
          <w:fldChar w:fldCharType="separate"/>
        </w:r>
        <w:r w:rsidR="00E14BF4">
          <w:rPr>
            <w:webHidden/>
          </w:rPr>
          <w:t>16</w:t>
        </w:r>
        <w:r w:rsidR="00E14BF4">
          <w:rPr>
            <w:webHidden/>
          </w:rPr>
          <w:fldChar w:fldCharType="end"/>
        </w:r>
      </w:hyperlink>
    </w:p>
    <w:p w14:paraId="39D27079" w14:textId="799ECD4B" w:rsidR="00E14BF4" w:rsidRDefault="00BD4AF3">
      <w:pPr>
        <w:pStyle w:val="TOC2"/>
        <w:rPr>
          <w:rFonts w:asciiTheme="minorHAnsi" w:eastAsiaTheme="minorEastAsia" w:hAnsiTheme="minorHAnsi" w:cstheme="minorBidi"/>
        </w:rPr>
      </w:pPr>
      <w:hyperlink w:anchor="_Toc500831814" w:history="1">
        <w:r w:rsidR="00E14BF4" w:rsidRPr="00387D6C">
          <w:rPr>
            <w:rStyle w:val="Hyperlink"/>
          </w:rPr>
          <w:t>5.1</w:t>
        </w:r>
        <w:r w:rsidR="00E14BF4">
          <w:rPr>
            <w:rFonts w:asciiTheme="minorHAnsi" w:eastAsiaTheme="minorEastAsia" w:hAnsiTheme="minorHAnsi" w:cstheme="minorBidi"/>
          </w:rPr>
          <w:tab/>
        </w:r>
        <w:r w:rsidR="00E14BF4" w:rsidRPr="00387D6C">
          <w:rPr>
            <w:rStyle w:val="Hyperlink"/>
          </w:rPr>
          <w:t>Summary of results</w:t>
        </w:r>
        <w:r w:rsidR="00E14BF4">
          <w:rPr>
            <w:webHidden/>
          </w:rPr>
          <w:tab/>
        </w:r>
        <w:r w:rsidR="00E14BF4">
          <w:rPr>
            <w:webHidden/>
          </w:rPr>
          <w:fldChar w:fldCharType="begin"/>
        </w:r>
        <w:r w:rsidR="00E14BF4">
          <w:rPr>
            <w:webHidden/>
          </w:rPr>
          <w:instrText xml:space="preserve"> PAGEREF _Toc500831814 \h </w:instrText>
        </w:r>
        <w:r w:rsidR="00E14BF4">
          <w:rPr>
            <w:webHidden/>
          </w:rPr>
        </w:r>
        <w:r w:rsidR="00E14BF4">
          <w:rPr>
            <w:webHidden/>
          </w:rPr>
          <w:fldChar w:fldCharType="separate"/>
        </w:r>
        <w:r w:rsidR="00E14BF4">
          <w:rPr>
            <w:webHidden/>
          </w:rPr>
          <w:t>16</w:t>
        </w:r>
        <w:r w:rsidR="00E14BF4">
          <w:rPr>
            <w:webHidden/>
          </w:rPr>
          <w:fldChar w:fldCharType="end"/>
        </w:r>
      </w:hyperlink>
    </w:p>
    <w:p w14:paraId="5931ADE5" w14:textId="1B941E25" w:rsidR="00E14BF4" w:rsidRDefault="00BD4AF3">
      <w:pPr>
        <w:pStyle w:val="TOC3"/>
        <w:rPr>
          <w:rFonts w:asciiTheme="minorHAnsi" w:eastAsiaTheme="minorEastAsia" w:hAnsiTheme="minorHAnsi" w:cstheme="minorBidi"/>
          <w:noProof/>
        </w:rPr>
      </w:pPr>
      <w:hyperlink w:anchor="_Toc500831815" w:history="1">
        <w:r w:rsidR="00E14BF4" w:rsidRPr="00387D6C">
          <w:rPr>
            <w:rStyle w:val="Hyperlink"/>
            <w:noProof/>
          </w:rPr>
          <w:t>5.1.1</w:t>
        </w:r>
        <w:r w:rsidR="00E14BF4">
          <w:rPr>
            <w:rFonts w:asciiTheme="minorHAnsi" w:eastAsiaTheme="minorEastAsia" w:hAnsiTheme="minorHAnsi" w:cstheme="minorBidi"/>
            <w:noProof/>
          </w:rPr>
          <w:tab/>
        </w:r>
        <w:r w:rsidR="00E14BF4" w:rsidRPr="00387D6C">
          <w:rPr>
            <w:rStyle w:val="Hyperlink"/>
            <w:noProof/>
          </w:rPr>
          <w:t>Objective 1</w:t>
        </w:r>
        <w:r w:rsidR="00E14BF4">
          <w:rPr>
            <w:noProof/>
            <w:webHidden/>
          </w:rPr>
          <w:tab/>
        </w:r>
        <w:r w:rsidR="00E14BF4">
          <w:rPr>
            <w:noProof/>
            <w:webHidden/>
          </w:rPr>
          <w:fldChar w:fldCharType="begin"/>
        </w:r>
        <w:r w:rsidR="00E14BF4">
          <w:rPr>
            <w:noProof/>
            <w:webHidden/>
          </w:rPr>
          <w:instrText xml:space="preserve"> PAGEREF _Toc500831815 \h </w:instrText>
        </w:r>
        <w:r w:rsidR="00E14BF4">
          <w:rPr>
            <w:noProof/>
            <w:webHidden/>
          </w:rPr>
        </w:r>
        <w:r w:rsidR="00E14BF4">
          <w:rPr>
            <w:noProof/>
            <w:webHidden/>
          </w:rPr>
          <w:fldChar w:fldCharType="separate"/>
        </w:r>
        <w:r w:rsidR="00E14BF4">
          <w:rPr>
            <w:noProof/>
            <w:webHidden/>
          </w:rPr>
          <w:t>16</w:t>
        </w:r>
        <w:r w:rsidR="00E14BF4">
          <w:rPr>
            <w:noProof/>
            <w:webHidden/>
          </w:rPr>
          <w:fldChar w:fldCharType="end"/>
        </w:r>
      </w:hyperlink>
    </w:p>
    <w:p w14:paraId="61E8FF29" w14:textId="65DC0806" w:rsidR="00E14BF4" w:rsidRDefault="00BD4AF3">
      <w:pPr>
        <w:pStyle w:val="TOC3"/>
        <w:rPr>
          <w:rFonts w:asciiTheme="minorHAnsi" w:eastAsiaTheme="minorEastAsia" w:hAnsiTheme="minorHAnsi" w:cstheme="minorBidi"/>
          <w:noProof/>
        </w:rPr>
      </w:pPr>
      <w:hyperlink w:anchor="_Toc500831816" w:history="1">
        <w:r w:rsidR="00E14BF4" w:rsidRPr="00387D6C">
          <w:rPr>
            <w:rStyle w:val="Hyperlink"/>
            <w:noProof/>
          </w:rPr>
          <w:t>5.1.2</w:t>
        </w:r>
        <w:r w:rsidR="00E14BF4">
          <w:rPr>
            <w:rFonts w:asciiTheme="minorHAnsi" w:eastAsiaTheme="minorEastAsia" w:hAnsiTheme="minorHAnsi" w:cstheme="minorBidi"/>
            <w:noProof/>
          </w:rPr>
          <w:tab/>
        </w:r>
        <w:r w:rsidR="00E14BF4" w:rsidRPr="00387D6C">
          <w:rPr>
            <w:rStyle w:val="Hyperlink"/>
            <w:noProof/>
          </w:rPr>
          <w:t>Objective 2</w:t>
        </w:r>
        <w:r w:rsidR="00E14BF4">
          <w:rPr>
            <w:noProof/>
            <w:webHidden/>
          </w:rPr>
          <w:tab/>
        </w:r>
        <w:r w:rsidR="00E14BF4">
          <w:rPr>
            <w:noProof/>
            <w:webHidden/>
          </w:rPr>
          <w:fldChar w:fldCharType="begin"/>
        </w:r>
        <w:r w:rsidR="00E14BF4">
          <w:rPr>
            <w:noProof/>
            <w:webHidden/>
          </w:rPr>
          <w:instrText xml:space="preserve"> PAGEREF _Toc500831816 \h </w:instrText>
        </w:r>
        <w:r w:rsidR="00E14BF4">
          <w:rPr>
            <w:noProof/>
            <w:webHidden/>
          </w:rPr>
        </w:r>
        <w:r w:rsidR="00E14BF4">
          <w:rPr>
            <w:noProof/>
            <w:webHidden/>
          </w:rPr>
          <w:fldChar w:fldCharType="separate"/>
        </w:r>
        <w:r w:rsidR="00E14BF4">
          <w:rPr>
            <w:noProof/>
            <w:webHidden/>
          </w:rPr>
          <w:t>16</w:t>
        </w:r>
        <w:r w:rsidR="00E14BF4">
          <w:rPr>
            <w:noProof/>
            <w:webHidden/>
          </w:rPr>
          <w:fldChar w:fldCharType="end"/>
        </w:r>
      </w:hyperlink>
    </w:p>
    <w:p w14:paraId="4291A0FC" w14:textId="052504A2" w:rsidR="00E14BF4" w:rsidRDefault="00BD4AF3">
      <w:pPr>
        <w:pStyle w:val="TOC2"/>
        <w:rPr>
          <w:rFonts w:asciiTheme="minorHAnsi" w:eastAsiaTheme="minorEastAsia" w:hAnsiTheme="minorHAnsi" w:cstheme="minorBidi"/>
        </w:rPr>
      </w:pPr>
      <w:hyperlink w:anchor="_Toc500831817" w:history="1">
        <w:r w:rsidR="00E14BF4" w:rsidRPr="00387D6C">
          <w:rPr>
            <w:rStyle w:val="Hyperlink"/>
          </w:rPr>
          <w:t>5.2</w:t>
        </w:r>
        <w:r w:rsidR="00E14BF4">
          <w:rPr>
            <w:rFonts w:asciiTheme="minorHAnsi" w:eastAsiaTheme="minorEastAsia" w:hAnsiTheme="minorHAnsi" w:cstheme="minorBidi"/>
          </w:rPr>
          <w:tab/>
        </w:r>
        <w:r w:rsidR="00E14BF4" w:rsidRPr="00387D6C">
          <w:rPr>
            <w:rStyle w:val="Hyperlink"/>
          </w:rPr>
          <w:t>Possible explanations for the patterns observed &amp; implications for policy</w:t>
        </w:r>
        <w:r w:rsidR="00E14BF4">
          <w:rPr>
            <w:webHidden/>
          </w:rPr>
          <w:tab/>
        </w:r>
        <w:r w:rsidR="00E14BF4">
          <w:rPr>
            <w:webHidden/>
          </w:rPr>
          <w:fldChar w:fldCharType="begin"/>
        </w:r>
        <w:r w:rsidR="00E14BF4">
          <w:rPr>
            <w:webHidden/>
          </w:rPr>
          <w:instrText xml:space="preserve"> PAGEREF _Toc500831817 \h </w:instrText>
        </w:r>
        <w:r w:rsidR="00E14BF4">
          <w:rPr>
            <w:webHidden/>
          </w:rPr>
        </w:r>
        <w:r w:rsidR="00E14BF4">
          <w:rPr>
            <w:webHidden/>
          </w:rPr>
          <w:fldChar w:fldCharType="separate"/>
        </w:r>
        <w:r w:rsidR="00E14BF4">
          <w:rPr>
            <w:webHidden/>
          </w:rPr>
          <w:t>16</w:t>
        </w:r>
        <w:r w:rsidR="00E14BF4">
          <w:rPr>
            <w:webHidden/>
          </w:rPr>
          <w:fldChar w:fldCharType="end"/>
        </w:r>
      </w:hyperlink>
    </w:p>
    <w:p w14:paraId="67D9BC43" w14:textId="24C61C4A" w:rsidR="00E14BF4" w:rsidRDefault="00BD4AF3">
      <w:pPr>
        <w:pStyle w:val="TOC2"/>
        <w:rPr>
          <w:rFonts w:asciiTheme="minorHAnsi" w:eastAsiaTheme="minorEastAsia" w:hAnsiTheme="minorHAnsi" w:cstheme="minorBidi"/>
        </w:rPr>
      </w:pPr>
      <w:hyperlink w:anchor="_Toc500831818" w:history="1">
        <w:r w:rsidR="00E14BF4" w:rsidRPr="00387D6C">
          <w:rPr>
            <w:rStyle w:val="Hyperlink"/>
          </w:rPr>
          <w:t>5.3</w:t>
        </w:r>
        <w:r w:rsidR="00E14BF4">
          <w:rPr>
            <w:rFonts w:asciiTheme="minorHAnsi" w:eastAsiaTheme="minorEastAsia" w:hAnsiTheme="minorHAnsi" w:cstheme="minorBidi"/>
          </w:rPr>
          <w:tab/>
        </w:r>
        <w:r w:rsidR="00E14BF4" w:rsidRPr="00387D6C">
          <w:rPr>
            <w:rStyle w:val="Hyperlink"/>
          </w:rPr>
          <w:t>Limitations of the study</w:t>
        </w:r>
        <w:r w:rsidR="00E14BF4">
          <w:rPr>
            <w:webHidden/>
          </w:rPr>
          <w:tab/>
        </w:r>
        <w:r w:rsidR="00E14BF4">
          <w:rPr>
            <w:webHidden/>
          </w:rPr>
          <w:fldChar w:fldCharType="begin"/>
        </w:r>
        <w:r w:rsidR="00E14BF4">
          <w:rPr>
            <w:webHidden/>
          </w:rPr>
          <w:instrText xml:space="preserve"> PAGEREF _Toc500831818 \h </w:instrText>
        </w:r>
        <w:r w:rsidR="00E14BF4">
          <w:rPr>
            <w:webHidden/>
          </w:rPr>
        </w:r>
        <w:r w:rsidR="00E14BF4">
          <w:rPr>
            <w:webHidden/>
          </w:rPr>
          <w:fldChar w:fldCharType="separate"/>
        </w:r>
        <w:r w:rsidR="00E14BF4">
          <w:rPr>
            <w:webHidden/>
          </w:rPr>
          <w:t>18</w:t>
        </w:r>
        <w:r w:rsidR="00E14BF4">
          <w:rPr>
            <w:webHidden/>
          </w:rPr>
          <w:fldChar w:fldCharType="end"/>
        </w:r>
      </w:hyperlink>
    </w:p>
    <w:p w14:paraId="27183294" w14:textId="21AAF53E" w:rsidR="00E14BF4" w:rsidRDefault="00BD4AF3">
      <w:pPr>
        <w:pStyle w:val="TOC1"/>
        <w:rPr>
          <w:rFonts w:asciiTheme="minorHAnsi" w:eastAsiaTheme="minorEastAsia" w:hAnsiTheme="minorHAnsi" w:cstheme="minorBidi"/>
          <w:b w:val="0"/>
          <w:caps w:val="0"/>
        </w:rPr>
      </w:pPr>
      <w:hyperlink w:anchor="_Toc500831819" w:history="1">
        <w:r w:rsidR="00E14BF4" w:rsidRPr="00387D6C">
          <w:rPr>
            <w:rStyle w:val="Hyperlink"/>
          </w:rPr>
          <w:t>6</w:t>
        </w:r>
        <w:r w:rsidR="00E14BF4">
          <w:rPr>
            <w:rFonts w:asciiTheme="minorHAnsi" w:eastAsiaTheme="minorEastAsia" w:hAnsiTheme="minorHAnsi" w:cstheme="minorBidi"/>
            <w:b w:val="0"/>
            <w:caps w:val="0"/>
          </w:rPr>
          <w:tab/>
        </w:r>
        <w:r w:rsidR="00E14BF4" w:rsidRPr="00387D6C">
          <w:rPr>
            <w:rStyle w:val="Hyperlink"/>
          </w:rPr>
          <w:t>Conclusions</w:t>
        </w:r>
        <w:r w:rsidR="00E14BF4">
          <w:rPr>
            <w:webHidden/>
          </w:rPr>
          <w:tab/>
        </w:r>
        <w:r w:rsidR="00E14BF4">
          <w:rPr>
            <w:webHidden/>
          </w:rPr>
          <w:fldChar w:fldCharType="begin"/>
        </w:r>
        <w:r w:rsidR="00E14BF4">
          <w:rPr>
            <w:webHidden/>
          </w:rPr>
          <w:instrText xml:space="preserve"> PAGEREF _Toc500831819 \h </w:instrText>
        </w:r>
        <w:r w:rsidR="00E14BF4">
          <w:rPr>
            <w:webHidden/>
          </w:rPr>
        </w:r>
        <w:r w:rsidR="00E14BF4">
          <w:rPr>
            <w:webHidden/>
          </w:rPr>
          <w:fldChar w:fldCharType="separate"/>
        </w:r>
        <w:r w:rsidR="00E14BF4">
          <w:rPr>
            <w:webHidden/>
          </w:rPr>
          <w:t>19</w:t>
        </w:r>
        <w:r w:rsidR="00E14BF4">
          <w:rPr>
            <w:webHidden/>
          </w:rPr>
          <w:fldChar w:fldCharType="end"/>
        </w:r>
      </w:hyperlink>
    </w:p>
    <w:p w14:paraId="6659223E" w14:textId="702A6E7B" w:rsidR="00E14BF4" w:rsidRDefault="00BD4AF3">
      <w:pPr>
        <w:pStyle w:val="TOC1"/>
        <w:rPr>
          <w:rFonts w:asciiTheme="minorHAnsi" w:eastAsiaTheme="minorEastAsia" w:hAnsiTheme="minorHAnsi" w:cstheme="minorBidi"/>
          <w:b w:val="0"/>
          <w:caps w:val="0"/>
        </w:rPr>
      </w:pPr>
      <w:hyperlink w:anchor="_Toc500831820" w:history="1">
        <w:r w:rsidR="00E14BF4" w:rsidRPr="00387D6C">
          <w:rPr>
            <w:rStyle w:val="Hyperlink"/>
          </w:rPr>
          <w:t>7</w:t>
        </w:r>
        <w:r w:rsidR="00E14BF4">
          <w:rPr>
            <w:rFonts w:asciiTheme="minorHAnsi" w:eastAsiaTheme="minorEastAsia" w:hAnsiTheme="minorHAnsi" w:cstheme="minorBidi"/>
            <w:b w:val="0"/>
            <w:caps w:val="0"/>
          </w:rPr>
          <w:tab/>
        </w:r>
        <w:r w:rsidR="00E14BF4" w:rsidRPr="00387D6C">
          <w:rPr>
            <w:rStyle w:val="Hyperlink"/>
          </w:rPr>
          <w:t>References</w:t>
        </w:r>
        <w:r w:rsidR="00E14BF4">
          <w:rPr>
            <w:webHidden/>
          </w:rPr>
          <w:tab/>
        </w:r>
        <w:r w:rsidR="00E14BF4">
          <w:rPr>
            <w:webHidden/>
          </w:rPr>
          <w:fldChar w:fldCharType="begin"/>
        </w:r>
        <w:r w:rsidR="00E14BF4">
          <w:rPr>
            <w:webHidden/>
          </w:rPr>
          <w:instrText xml:space="preserve"> PAGEREF _Toc500831820 \h </w:instrText>
        </w:r>
        <w:r w:rsidR="00E14BF4">
          <w:rPr>
            <w:webHidden/>
          </w:rPr>
        </w:r>
        <w:r w:rsidR="00E14BF4">
          <w:rPr>
            <w:webHidden/>
          </w:rPr>
          <w:fldChar w:fldCharType="separate"/>
        </w:r>
        <w:r w:rsidR="00E14BF4">
          <w:rPr>
            <w:webHidden/>
          </w:rPr>
          <w:t>20</w:t>
        </w:r>
        <w:r w:rsidR="00E14BF4">
          <w:rPr>
            <w:webHidden/>
          </w:rPr>
          <w:fldChar w:fldCharType="end"/>
        </w:r>
      </w:hyperlink>
    </w:p>
    <w:p w14:paraId="0483937F" w14:textId="102BD1DE" w:rsidR="00E14BF4" w:rsidRDefault="00BD4AF3">
      <w:pPr>
        <w:pStyle w:val="TOC1"/>
        <w:rPr>
          <w:rFonts w:asciiTheme="minorHAnsi" w:eastAsiaTheme="minorEastAsia" w:hAnsiTheme="minorHAnsi" w:cstheme="minorBidi"/>
          <w:b w:val="0"/>
          <w:caps w:val="0"/>
        </w:rPr>
      </w:pPr>
      <w:hyperlink w:anchor="_Toc500831821" w:history="1">
        <w:r w:rsidR="00E14BF4" w:rsidRPr="00387D6C">
          <w:rPr>
            <w:rStyle w:val="Hyperlink"/>
          </w:rPr>
          <w:t>Appendix 1</w:t>
        </w:r>
        <w:r w:rsidR="00E14BF4">
          <w:rPr>
            <w:webHidden/>
          </w:rPr>
          <w:tab/>
        </w:r>
        <w:r w:rsidR="00E14BF4">
          <w:rPr>
            <w:webHidden/>
          </w:rPr>
          <w:fldChar w:fldCharType="begin"/>
        </w:r>
        <w:r w:rsidR="00E14BF4">
          <w:rPr>
            <w:webHidden/>
          </w:rPr>
          <w:instrText xml:space="preserve"> PAGEREF _Toc500831821 \h </w:instrText>
        </w:r>
        <w:r w:rsidR="00E14BF4">
          <w:rPr>
            <w:webHidden/>
          </w:rPr>
        </w:r>
        <w:r w:rsidR="00E14BF4">
          <w:rPr>
            <w:webHidden/>
          </w:rPr>
          <w:fldChar w:fldCharType="separate"/>
        </w:r>
        <w:r w:rsidR="00E14BF4">
          <w:rPr>
            <w:webHidden/>
          </w:rPr>
          <w:t>22</w:t>
        </w:r>
        <w:r w:rsidR="00E14BF4">
          <w:rPr>
            <w:webHidden/>
          </w:rPr>
          <w:fldChar w:fldCharType="end"/>
        </w:r>
      </w:hyperlink>
    </w:p>
    <w:p w14:paraId="46BE22FD" w14:textId="3E61BFD9" w:rsidR="00E14BF4" w:rsidRDefault="00BD4AF3">
      <w:pPr>
        <w:pStyle w:val="TOC1"/>
        <w:rPr>
          <w:rFonts w:asciiTheme="minorHAnsi" w:eastAsiaTheme="minorEastAsia" w:hAnsiTheme="minorHAnsi" w:cstheme="minorBidi"/>
          <w:b w:val="0"/>
          <w:caps w:val="0"/>
        </w:rPr>
      </w:pPr>
      <w:hyperlink w:anchor="_Toc500831822" w:history="1">
        <w:r w:rsidR="00E14BF4" w:rsidRPr="00387D6C">
          <w:rPr>
            <w:rStyle w:val="Hyperlink"/>
          </w:rPr>
          <w:t>Appendix 2</w:t>
        </w:r>
        <w:r w:rsidR="00E14BF4">
          <w:rPr>
            <w:webHidden/>
          </w:rPr>
          <w:tab/>
        </w:r>
        <w:r w:rsidR="00E14BF4">
          <w:rPr>
            <w:webHidden/>
          </w:rPr>
          <w:fldChar w:fldCharType="begin"/>
        </w:r>
        <w:r w:rsidR="00E14BF4">
          <w:rPr>
            <w:webHidden/>
          </w:rPr>
          <w:instrText xml:space="preserve"> PAGEREF _Toc500831822 \h </w:instrText>
        </w:r>
        <w:r w:rsidR="00E14BF4">
          <w:rPr>
            <w:webHidden/>
          </w:rPr>
        </w:r>
        <w:r w:rsidR="00E14BF4">
          <w:rPr>
            <w:webHidden/>
          </w:rPr>
          <w:fldChar w:fldCharType="separate"/>
        </w:r>
        <w:r w:rsidR="00E14BF4">
          <w:rPr>
            <w:webHidden/>
          </w:rPr>
          <w:t>23</w:t>
        </w:r>
        <w:r w:rsidR="00E14BF4">
          <w:rPr>
            <w:webHidden/>
          </w:rPr>
          <w:fldChar w:fldCharType="end"/>
        </w:r>
      </w:hyperlink>
    </w:p>
    <w:p w14:paraId="07511210" w14:textId="29478446" w:rsidR="00E14BF4" w:rsidRDefault="00BD4AF3">
      <w:pPr>
        <w:pStyle w:val="TOC1"/>
        <w:rPr>
          <w:rFonts w:asciiTheme="minorHAnsi" w:eastAsiaTheme="minorEastAsia" w:hAnsiTheme="minorHAnsi" w:cstheme="minorBidi"/>
          <w:b w:val="0"/>
          <w:caps w:val="0"/>
        </w:rPr>
      </w:pPr>
      <w:hyperlink w:anchor="_Toc500831823" w:history="1">
        <w:r w:rsidR="00E14BF4" w:rsidRPr="00387D6C">
          <w:rPr>
            <w:rStyle w:val="Hyperlink"/>
          </w:rPr>
          <w:t>Appendix 3</w:t>
        </w:r>
        <w:r w:rsidR="00E14BF4">
          <w:rPr>
            <w:webHidden/>
          </w:rPr>
          <w:tab/>
        </w:r>
        <w:r w:rsidR="00E14BF4">
          <w:rPr>
            <w:webHidden/>
          </w:rPr>
          <w:fldChar w:fldCharType="begin"/>
        </w:r>
        <w:r w:rsidR="00E14BF4">
          <w:rPr>
            <w:webHidden/>
          </w:rPr>
          <w:instrText xml:space="preserve"> PAGEREF _Toc500831823 \h </w:instrText>
        </w:r>
        <w:r w:rsidR="00E14BF4">
          <w:rPr>
            <w:webHidden/>
          </w:rPr>
        </w:r>
        <w:r w:rsidR="00E14BF4">
          <w:rPr>
            <w:webHidden/>
          </w:rPr>
          <w:fldChar w:fldCharType="separate"/>
        </w:r>
        <w:r w:rsidR="00E14BF4">
          <w:rPr>
            <w:webHidden/>
          </w:rPr>
          <w:t>25</w:t>
        </w:r>
        <w:r w:rsidR="00E14BF4">
          <w:rPr>
            <w:webHidden/>
          </w:rPr>
          <w:fldChar w:fldCharType="end"/>
        </w:r>
      </w:hyperlink>
    </w:p>
    <w:p w14:paraId="3EBFC4CA" w14:textId="213A9041" w:rsidR="00BB551A" w:rsidRPr="00BB551A" w:rsidRDefault="00EA1C8C" w:rsidP="00BB551A">
      <w:r>
        <w:rPr>
          <w:noProof/>
        </w:rPr>
        <w:fldChar w:fldCharType="end"/>
      </w:r>
    </w:p>
    <w:p w14:paraId="22327053" w14:textId="153027C5" w:rsidR="00BA7D8B" w:rsidRDefault="00BA7D8B" w:rsidP="00BB5832">
      <w:pPr>
        <w:pStyle w:val="Heading1"/>
      </w:pPr>
      <w:bookmarkStart w:id="8" w:name="_Toc500831790"/>
      <w:r w:rsidRPr="00BA7D8B">
        <w:lastRenderedPageBreak/>
        <w:t>Key Messages</w:t>
      </w:r>
      <w:bookmarkEnd w:id="8"/>
    </w:p>
    <w:p w14:paraId="040BE3F7" w14:textId="77777777" w:rsidR="00BD5780" w:rsidRPr="00BD5780" w:rsidRDefault="00BD5780" w:rsidP="00BD5780"/>
    <w:p w14:paraId="57353CF7" w14:textId="77777777" w:rsidR="0091311D" w:rsidRPr="0091311D" w:rsidRDefault="0091311D" w:rsidP="0091311D">
      <w:pPr>
        <w:pStyle w:val="ListParagraph"/>
        <w:numPr>
          <w:ilvl w:val="0"/>
          <w:numId w:val="50"/>
        </w:numPr>
        <w:spacing w:before="0" w:after="200" w:line="276" w:lineRule="auto"/>
        <w:jc w:val="left"/>
      </w:pPr>
      <w:bookmarkStart w:id="9" w:name="_Toc399335468"/>
      <w:r w:rsidRPr="0091311D">
        <w:t>This study provides evidence that access to revascularisation is currently provided equitably by socioeconomic deprivation for Welsh residents admitted to hospital with a first time acute myocardial infarction (AMI).</w:t>
      </w:r>
    </w:p>
    <w:p w14:paraId="3070BF73" w14:textId="77777777" w:rsidR="0091311D" w:rsidRPr="0091311D" w:rsidRDefault="0091311D" w:rsidP="0091311D">
      <w:pPr>
        <w:pStyle w:val="ListParagraph"/>
      </w:pPr>
    </w:p>
    <w:p w14:paraId="706D71F2" w14:textId="77777777" w:rsidR="0091311D" w:rsidRPr="0091311D" w:rsidRDefault="0091311D" w:rsidP="0091311D">
      <w:pPr>
        <w:pStyle w:val="ListParagraph"/>
        <w:numPr>
          <w:ilvl w:val="0"/>
          <w:numId w:val="45"/>
        </w:numPr>
        <w:spacing w:before="0" w:after="200"/>
        <w:jc w:val="left"/>
      </w:pPr>
      <w:r w:rsidRPr="0091311D">
        <w:t>A change in revascularisation provision in south Wales was associated with the elimination of the previously observed inequity between deprivation quintiles.</w:t>
      </w:r>
    </w:p>
    <w:p w14:paraId="31B94295" w14:textId="77777777" w:rsidR="0091311D" w:rsidRPr="0091311D" w:rsidRDefault="0091311D" w:rsidP="0091311D">
      <w:pPr>
        <w:pStyle w:val="ListParagraph"/>
      </w:pPr>
    </w:p>
    <w:p w14:paraId="2B3C16BC" w14:textId="77777777" w:rsidR="0091311D" w:rsidRPr="0091311D" w:rsidRDefault="0091311D" w:rsidP="0091311D">
      <w:pPr>
        <w:pStyle w:val="ListParagraph"/>
        <w:numPr>
          <w:ilvl w:val="0"/>
          <w:numId w:val="45"/>
        </w:numPr>
        <w:spacing w:before="0" w:after="200"/>
        <w:ind w:left="714" w:hanging="357"/>
        <w:contextualSpacing w:val="0"/>
        <w:jc w:val="left"/>
      </w:pPr>
      <w:r w:rsidRPr="0091311D">
        <w:t xml:space="preserve">Following the change in revascularisation provision in south Wales, rates of revascularisation have increased significantly for all deprivation quintiles, with the greatest increase seen in the most deprived, from 4.32 to 6.89 revascularisations per 1,000 person-days post-AMI. Also revascularisation is being provided in a much timelier manner for all, with almost half of patients receiving revascularisation within a month of admission post-change, a greater proportion than received revascularisation six months post admission leading up to the change.  </w:t>
      </w:r>
    </w:p>
    <w:p w14:paraId="3B410483" w14:textId="77777777" w:rsidR="0091311D" w:rsidRPr="0091311D" w:rsidRDefault="0091311D" w:rsidP="0091311D">
      <w:pPr>
        <w:pStyle w:val="ListParagraph"/>
        <w:numPr>
          <w:ilvl w:val="0"/>
          <w:numId w:val="45"/>
        </w:numPr>
        <w:spacing w:before="0" w:after="200"/>
        <w:ind w:left="714" w:hanging="357"/>
        <w:contextualSpacing w:val="0"/>
        <w:jc w:val="left"/>
      </w:pPr>
      <w:r w:rsidRPr="0091311D">
        <w:t xml:space="preserve">Analysis on the residents of north Wales provides evidence of no significant difference in the time to revascularisation between deprivation quintiles. </w:t>
      </w:r>
    </w:p>
    <w:p w14:paraId="4856E3BD" w14:textId="77777777" w:rsidR="0091311D" w:rsidRPr="0091311D" w:rsidRDefault="0091311D" w:rsidP="0091311D">
      <w:pPr>
        <w:pStyle w:val="ListParagraph"/>
        <w:numPr>
          <w:ilvl w:val="0"/>
          <w:numId w:val="45"/>
        </w:numPr>
        <w:spacing w:before="0" w:after="200"/>
        <w:ind w:left="714" w:hanging="357"/>
        <w:contextualSpacing w:val="0"/>
        <w:jc w:val="left"/>
      </w:pPr>
      <w:r w:rsidRPr="0091311D">
        <w:t>The results suggest that measures to reduce previous inequity of access to revascularisation are working, alleviating previous concerns that increased access to revascularisation, in particular percutaneous coronary intervention, would only serve to widen the gap between deprivation quintiles.</w:t>
      </w:r>
    </w:p>
    <w:p w14:paraId="486BB4CF" w14:textId="77777777" w:rsidR="0091311D" w:rsidRPr="0091311D" w:rsidRDefault="0091311D" w:rsidP="0091311D">
      <w:pPr>
        <w:pStyle w:val="ListParagraph"/>
        <w:numPr>
          <w:ilvl w:val="0"/>
          <w:numId w:val="45"/>
        </w:numPr>
        <w:spacing w:before="0" w:after="200"/>
        <w:jc w:val="left"/>
      </w:pPr>
      <w:r w:rsidRPr="0091311D">
        <w:t>Throughout the study period differences in patient access to revascularisation six months after AMI were seen relating to a number of characteristics, after adjustment for other variables. In the south Wales analysis these include:</w:t>
      </w:r>
    </w:p>
    <w:p w14:paraId="6704394C" w14:textId="77777777" w:rsidR="0091311D" w:rsidRPr="0091311D" w:rsidRDefault="0091311D" w:rsidP="0091311D">
      <w:pPr>
        <w:pStyle w:val="ListParagraph"/>
        <w:numPr>
          <w:ilvl w:val="1"/>
          <w:numId w:val="45"/>
        </w:numPr>
        <w:spacing w:before="0" w:after="200"/>
        <w:jc w:val="left"/>
      </w:pPr>
      <w:r w:rsidRPr="0091311D">
        <w:t>females were 23% less likely to undergo revascularisation than males</w:t>
      </w:r>
    </w:p>
    <w:p w14:paraId="2816F91E" w14:textId="77777777" w:rsidR="0091311D" w:rsidRPr="0091311D" w:rsidRDefault="0091311D" w:rsidP="0091311D">
      <w:pPr>
        <w:pStyle w:val="ListParagraph"/>
        <w:numPr>
          <w:ilvl w:val="1"/>
          <w:numId w:val="45"/>
        </w:numPr>
        <w:spacing w:before="0" w:after="200"/>
        <w:jc w:val="left"/>
      </w:pPr>
      <w:r w:rsidRPr="0091311D">
        <w:t>patients aged 75 and over were 60% less likely to receive revascularisation than younger patients</w:t>
      </w:r>
    </w:p>
    <w:p w14:paraId="145FCBF1" w14:textId="77777777" w:rsidR="00F936E0" w:rsidRPr="0091311D" w:rsidRDefault="0091311D" w:rsidP="0091311D">
      <w:pPr>
        <w:pStyle w:val="ListParagraph"/>
        <w:numPr>
          <w:ilvl w:val="1"/>
          <w:numId w:val="45"/>
        </w:numPr>
        <w:spacing w:before="0" w:after="200"/>
        <w:jc w:val="left"/>
      </w:pPr>
      <w:r w:rsidRPr="0091311D">
        <w:t>however, the size of the inequity decreased between the two periods studied</w:t>
      </w:r>
    </w:p>
    <w:p w14:paraId="3A1FA070" w14:textId="77777777" w:rsidR="00F936E0" w:rsidRDefault="00F936E0" w:rsidP="00F936E0">
      <w:pPr>
        <w:pStyle w:val="BodyText1"/>
        <w:rPr>
          <w:kern w:val="28"/>
        </w:rPr>
      </w:pPr>
    </w:p>
    <w:p w14:paraId="6A5AB1E4" w14:textId="77777777" w:rsidR="00F936E0" w:rsidRDefault="00F936E0">
      <w:pPr>
        <w:spacing w:before="0"/>
        <w:jc w:val="left"/>
        <w:rPr>
          <w:b/>
          <w:color w:val="3182BD"/>
          <w:kern w:val="28"/>
          <w:sz w:val="48"/>
          <w:szCs w:val="48"/>
        </w:rPr>
      </w:pPr>
      <w:r>
        <w:br w:type="page"/>
      </w:r>
    </w:p>
    <w:p w14:paraId="3467636D" w14:textId="77777777" w:rsidR="002804CC" w:rsidRPr="00BF6943" w:rsidRDefault="00BD5780" w:rsidP="002350AC">
      <w:pPr>
        <w:pStyle w:val="Heading1"/>
        <w:numPr>
          <w:ilvl w:val="0"/>
          <w:numId w:val="43"/>
        </w:numPr>
        <w:ind w:left="357" w:hanging="357"/>
      </w:pPr>
      <w:bookmarkStart w:id="10" w:name="_Toc500831791"/>
      <w:bookmarkEnd w:id="9"/>
      <w:r>
        <w:lastRenderedPageBreak/>
        <w:t>Introduction</w:t>
      </w:r>
      <w:bookmarkEnd w:id="10"/>
    </w:p>
    <w:p w14:paraId="7D5E2024" w14:textId="77777777" w:rsidR="0052430A" w:rsidRPr="00F964DA" w:rsidRDefault="00BD5780" w:rsidP="00F964DA">
      <w:pPr>
        <w:pStyle w:val="Heading2"/>
        <w:rPr>
          <w:color w:val="3182BD"/>
        </w:rPr>
      </w:pPr>
      <w:bookmarkStart w:id="11" w:name="_Toc500831792"/>
      <w:r>
        <w:rPr>
          <w:color w:val="3182BD"/>
        </w:rPr>
        <w:t>Overview</w:t>
      </w:r>
      <w:bookmarkEnd w:id="11"/>
    </w:p>
    <w:p w14:paraId="1F03F33A" w14:textId="77777777" w:rsidR="0091311D" w:rsidRDefault="0091311D" w:rsidP="0091311D">
      <w:pPr>
        <w:rPr>
          <w:rFonts w:eastAsiaTheme="minorHAnsi"/>
        </w:rPr>
      </w:pPr>
      <w:bookmarkStart w:id="12" w:name="_Toc451339974"/>
      <w:r>
        <w:rPr>
          <w:rFonts w:eastAsiaTheme="minorHAnsi"/>
        </w:rPr>
        <w:t>This study investigated whether there is equitable access to revascularisation by socioeconomic deprivation across Wales for patients admitted to hospital with a first time acute myocardial infarction (AMI).</w:t>
      </w:r>
    </w:p>
    <w:p w14:paraId="7596AC24" w14:textId="77777777" w:rsidR="0091311D" w:rsidRDefault="0091311D" w:rsidP="0091311D">
      <w:pPr>
        <w:rPr>
          <w:szCs w:val="24"/>
        </w:rPr>
      </w:pPr>
      <w:r>
        <w:rPr>
          <w:szCs w:val="24"/>
        </w:rPr>
        <w:t>L</w:t>
      </w:r>
      <w:r w:rsidRPr="006927AA">
        <w:rPr>
          <w:szCs w:val="24"/>
        </w:rPr>
        <w:t xml:space="preserve">ong-standing evidence of inequity has been shown to exist in the treatment of patients with </w:t>
      </w:r>
      <w:r>
        <w:rPr>
          <w:szCs w:val="24"/>
        </w:rPr>
        <w:t>heart</w:t>
      </w:r>
      <w:r w:rsidRPr="006927AA">
        <w:rPr>
          <w:szCs w:val="24"/>
        </w:rPr>
        <w:t xml:space="preserve"> </w:t>
      </w:r>
      <w:r>
        <w:rPr>
          <w:szCs w:val="24"/>
        </w:rPr>
        <w:t>disease, with p</w:t>
      </w:r>
      <w:r w:rsidRPr="006927AA">
        <w:rPr>
          <w:szCs w:val="24"/>
        </w:rPr>
        <w:t>revious</w:t>
      </w:r>
      <w:r w:rsidRPr="00CC4BDE">
        <w:rPr>
          <w:szCs w:val="24"/>
        </w:rPr>
        <w:t xml:space="preserve"> studies conclud</w:t>
      </w:r>
      <w:r>
        <w:rPr>
          <w:szCs w:val="24"/>
        </w:rPr>
        <w:t xml:space="preserve">ing that those living in the most socioeconomically deprived areas were disadvantaged in terms of access to revascularisation, despite having a greater need </w:t>
      </w:r>
      <w:r w:rsidRPr="00CC4BDE">
        <w:rPr>
          <w:szCs w:val="24"/>
        </w:rPr>
        <w:t>(Lester 2004; Cosh 2008; NPHS 2009</w:t>
      </w:r>
      <w:r>
        <w:rPr>
          <w:szCs w:val="24"/>
        </w:rPr>
        <w:t>; King 2014</w:t>
      </w:r>
      <w:r w:rsidRPr="00CC4BDE">
        <w:rPr>
          <w:szCs w:val="24"/>
        </w:rPr>
        <w:t>).</w:t>
      </w:r>
    </w:p>
    <w:p w14:paraId="3056EA7F" w14:textId="77777777" w:rsidR="0091311D" w:rsidRDefault="0091311D" w:rsidP="0091311D">
      <w:pPr>
        <w:rPr>
          <w:rFonts w:eastAsiaTheme="minorHAnsi"/>
        </w:rPr>
      </w:pPr>
      <w:r>
        <w:rPr>
          <w:szCs w:val="24"/>
        </w:rPr>
        <w:t xml:space="preserve">Recent years have seen the development of systematic approaches aimed at achieving greater health equity (Welsh Government 2011a) along </w:t>
      </w:r>
      <w:r w:rsidRPr="00981D00">
        <w:rPr>
          <w:szCs w:val="24"/>
        </w:rPr>
        <w:t>with</w:t>
      </w:r>
      <w:r>
        <w:rPr>
          <w:szCs w:val="24"/>
        </w:rPr>
        <w:t xml:space="preserve"> a Cardiac Disease National Service Framework</w:t>
      </w:r>
      <w:r w:rsidRPr="00981D00">
        <w:rPr>
          <w:szCs w:val="24"/>
        </w:rPr>
        <w:t xml:space="preserve"> </w:t>
      </w:r>
      <w:r>
        <w:rPr>
          <w:szCs w:val="24"/>
        </w:rPr>
        <w:t>(Welsh Government 2001)</w:t>
      </w:r>
      <w:r w:rsidRPr="00981D00">
        <w:rPr>
          <w:szCs w:val="24"/>
        </w:rPr>
        <w:t>. These have contributed to s</w:t>
      </w:r>
      <w:r>
        <w:rPr>
          <w:szCs w:val="24"/>
        </w:rPr>
        <w:t>ubstantial</w:t>
      </w:r>
      <w:r w:rsidRPr="00981D00">
        <w:rPr>
          <w:szCs w:val="24"/>
        </w:rPr>
        <w:t xml:space="preserve"> changes to the way revascularisation</w:t>
      </w:r>
      <w:r>
        <w:rPr>
          <w:szCs w:val="24"/>
        </w:rPr>
        <w:t xml:space="preserve">, an </w:t>
      </w:r>
      <w:r w:rsidRPr="00981D00">
        <w:rPr>
          <w:szCs w:val="24"/>
        </w:rPr>
        <w:t>effective treatment of heart disease</w:t>
      </w:r>
      <w:r>
        <w:rPr>
          <w:szCs w:val="24"/>
        </w:rPr>
        <w:t xml:space="preserve"> </w:t>
      </w:r>
      <w:r w:rsidRPr="00CC4BDE">
        <w:rPr>
          <w:szCs w:val="24"/>
        </w:rPr>
        <w:t>(</w:t>
      </w:r>
      <w:r>
        <w:rPr>
          <w:szCs w:val="24"/>
        </w:rPr>
        <w:t>Keeley et al. 2003; Fox et al. 2010)</w:t>
      </w:r>
      <w:r w:rsidRPr="00981D00">
        <w:rPr>
          <w:szCs w:val="24"/>
        </w:rPr>
        <w:t xml:space="preserve">, </w:t>
      </w:r>
      <w:r>
        <w:rPr>
          <w:szCs w:val="24"/>
        </w:rPr>
        <w:t>is provided,</w:t>
      </w:r>
      <w:r w:rsidRPr="00981D00">
        <w:rPr>
          <w:szCs w:val="24"/>
        </w:rPr>
        <w:t xml:space="preserve"> with the aim of providing access to the best possible treatment in timely fashion for all with heart disease.</w:t>
      </w:r>
      <w:r w:rsidR="002B599A">
        <w:rPr>
          <w:rFonts w:eastAsiaTheme="minorHAnsi"/>
        </w:rPr>
        <w:t xml:space="preserve"> </w:t>
      </w:r>
      <w:r>
        <w:rPr>
          <w:rFonts w:eastAsiaTheme="minorHAnsi"/>
        </w:rPr>
        <w:t xml:space="preserve">This study </w:t>
      </w:r>
      <w:r w:rsidRPr="00356901">
        <w:rPr>
          <w:rFonts w:eastAsiaTheme="minorHAnsi"/>
        </w:rPr>
        <w:t xml:space="preserve">builds on recommendations to reinvestigate the situation following substantial changes </w:t>
      </w:r>
      <w:r>
        <w:rPr>
          <w:rFonts w:eastAsiaTheme="minorHAnsi"/>
        </w:rPr>
        <w:t xml:space="preserve">in the provision of revascularisation which have led to an increase in the capacity of revascularisation procedures across Wales. </w:t>
      </w:r>
    </w:p>
    <w:p w14:paraId="116EE913" w14:textId="77777777" w:rsidR="00BD5780" w:rsidRPr="00A77DB8" w:rsidRDefault="00BD5780" w:rsidP="00BD5780">
      <w:pPr>
        <w:pStyle w:val="Heading2"/>
        <w:rPr>
          <w:rFonts w:eastAsiaTheme="minorHAnsi"/>
          <w:color w:val="3182BD"/>
        </w:rPr>
      </w:pPr>
      <w:bookmarkStart w:id="13" w:name="_Toc500831793"/>
      <w:r w:rsidRPr="00A77DB8">
        <w:rPr>
          <w:rFonts w:eastAsiaTheme="minorHAnsi"/>
          <w:color w:val="3182BD"/>
        </w:rPr>
        <w:t>Aim</w:t>
      </w:r>
      <w:bookmarkEnd w:id="12"/>
      <w:bookmarkEnd w:id="13"/>
    </w:p>
    <w:p w14:paraId="66F036B2" w14:textId="77777777" w:rsidR="0091311D" w:rsidRPr="007E794E" w:rsidRDefault="0091311D" w:rsidP="0091311D">
      <w:pPr>
        <w:rPr>
          <w:szCs w:val="24"/>
        </w:rPr>
      </w:pPr>
      <w:bookmarkStart w:id="14" w:name="_Toc451339975"/>
      <w:r w:rsidRPr="006927AA">
        <w:rPr>
          <w:szCs w:val="24"/>
        </w:rPr>
        <w:t xml:space="preserve">The aim of this study was to investigate </w:t>
      </w:r>
      <w:r>
        <w:rPr>
          <w:szCs w:val="24"/>
        </w:rPr>
        <w:t xml:space="preserve">whether </w:t>
      </w:r>
      <w:r w:rsidRPr="006927AA">
        <w:rPr>
          <w:szCs w:val="24"/>
        </w:rPr>
        <w:t>the hist</w:t>
      </w:r>
      <w:r>
        <w:rPr>
          <w:szCs w:val="24"/>
        </w:rPr>
        <w:t>orical socioeconomic inequity of</w:t>
      </w:r>
      <w:r w:rsidRPr="006927AA">
        <w:rPr>
          <w:szCs w:val="24"/>
        </w:rPr>
        <w:t xml:space="preserve"> </w:t>
      </w:r>
      <w:r>
        <w:rPr>
          <w:szCs w:val="24"/>
        </w:rPr>
        <w:t xml:space="preserve">access to </w:t>
      </w:r>
      <w:r w:rsidRPr="006927AA">
        <w:rPr>
          <w:szCs w:val="24"/>
        </w:rPr>
        <w:t xml:space="preserve">revascularisation </w:t>
      </w:r>
      <w:r>
        <w:rPr>
          <w:szCs w:val="24"/>
        </w:rPr>
        <w:t xml:space="preserve">remained following changes in the </w:t>
      </w:r>
      <w:r w:rsidRPr="006927AA">
        <w:rPr>
          <w:szCs w:val="24"/>
        </w:rPr>
        <w:t xml:space="preserve">provision of revascularisation for patients with </w:t>
      </w:r>
      <w:r>
        <w:rPr>
          <w:szCs w:val="24"/>
        </w:rPr>
        <w:t>heart disease in Wales.</w:t>
      </w:r>
    </w:p>
    <w:p w14:paraId="286F3EBB" w14:textId="77777777" w:rsidR="00BD5780" w:rsidRPr="00A77DB8" w:rsidRDefault="00BD5780" w:rsidP="00BD5780">
      <w:pPr>
        <w:pStyle w:val="Heading2"/>
        <w:rPr>
          <w:rFonts w:eastAsiaTheme="minorHAnsi"/>
          <w:color w:val="3182BD"/>
        </w:rPr>
      </w:pPr>
      <w:bookmarkStart w:id="15" w:name="_Toc500831794"/>
      <w:r w:rsidRPr="00A77DB8">
        <w:rPr>
          <w:rFonts w:eastAsiaTheme="minorHAnsi"/>
          <w:color w:val="3182BD"/>
        </w:rPr>
        <w:t>Objectives</w:t>
      </w:r>
      <w:bookmarkEnd w:id="14"/>
      <w:bookmarkEnd w:id="15"/>
    </w:p>
    <w:p w14:paraId="4EC64D45" w14:textId="77777777" w:rsidR="00BD5780" w:rsidRPr="009C3C51" w:rsidRDefault="00BD5780" w:rsidP="00BD5780">
      <w:pPr>
        <w:rPr>
          <w:rFonts w:eastAsiaTheme="minorHAnsi"/>
        </w:rPr>
      </w:pPr>
    </w:p>
    <w:p w14:paraId="288F38E5" w14:textId="77777777" w:rsidR="0091311D" w:rsidRPr="0091311D" w:rsidRDefault="0091311D" w:rsidP="0091311D">
      <w:pPr>
        <w:pStyle w:val="ListParagraph"/>
        <w:numPr>
          <w:ilvl w:val="0"/>
          <w:numId w:val="46"/>
        </w:numPr>
        <w:spacing w:before="0" w:after="200" w:line="276" w:lineRule="auto"/>
        <w:jc w:val="left"/>
        <w:rPr>
          <w:szCs w:val="24"/>
        </w:rPr>
      </w:pPr>
      <w:r w:rsidRPr="0091311D">
        <w:rPr>
          <w:szCs w:val="24"/>
        </w:rPr>
        <w:t>Establish a cohort of patients admitted to hospital for a first acute myocardial infarction (AMI) using the Secure Anonymised Information Linkage (SAIL) databank and describe the cohort’s demographics by socioeconomic deprivation.</w:t>
      </w:r>
    </w:p>
    <w:p w14:paraId="19866117" w14:textId="77777777" w:rsidR="0091311D" w:rsidRPr="0091311D" w:rsidRDefault="0091311D" w:rsidP="0091311D">
      <w:pPr>
        <w:pStyle w:val="ListParagraph"/>
        <w:numPr>
          <w:ilvl w:val="0"/>
          <w:numId w:val="46"/>
        </w:numPr>
        <w:spacing w:before="0" w:after="200" w:line="276" w:lineRule="auto"/>
        <w:jc w:val="left"/>
        <w:rPr>
          <w:sz w:val="20"/>
        </w:rPr>
      </w:pPr>
      <w:r w:rsidRPr="0091311D">
        <w:rPr>
          <w:szCs w:val="24"/>
        </w:rPr>
        <w:t xml:space="preserve">Investigate the relationship between socioeconomic deprivation and time to revascularisation using Kaplan-Meier, log rank test and Cox Proportional Hazards modelling. </w:t>
      </w:r>
    </w:p>
    <w:p w14:paraId="53477629" w14:textId="77777777" w:rsidR="00F936E0" w:rsidRPr="00F936E0" w:rsidRDefault="00F936E0" w:rsidP="00F936E0">
      <w:pPr>
        <w:pStyle w:val="BodyText1"/>
      </w:pPr>
    </w:p>
    <w:p w14:paraId="778CF5AE" w14:textId="77777777" w:rsidR="00465C96" w:rsidRDefault="00465C96" w:rsidP="00F936E0">
      <w:pPr>
        <w:spacing w:before="0"/>
        <w:jc w:val="left"/>
      </w:pPr>
    </w:p>
    <w:p w14:paraId="75BA1EE6" w14:textId="77777777" w:rsidR="00BD5780" w:rsidRDefault="00BD5780" w:rsidP="00F936E0">
      <w:pPr>
        <w:spacing w:before="0"/>
        <w:jc w:val="left"/>
      </w:pPr>
    </w:p>
    <w:p w14:paraId="00406627" w14:textId="77777777" w:rsidR="00BD5780" w:rsidRDefault="00BD5780" w:rsidP="00F936E0">
      <w:pPr>
        <w:spacing w:before="0"/>
        <w:jc w:val="left"/>
      </w:pPr>
    </w:p>
    <w:p w14:paraId="419B9EBD" w14:textId="77777777" w:rsidR="00BD5780" w:rsidRDefault="00BD5780" w:rsidP="00F936E0">
      <w:pPr>
        <w:spacing w:before="0"/>
        <w:jc w:val="left"/>
      </w:pPr>
    </w:p>
    <w:p w14:paraId="0A2597D3" w14:textId="77777777" w:rsidR="00BD5780" w:rsidRDefault="00BD5780" w:rsidP="00F936E0">
      <w:pPr>
        <w:spacing w:before="0"/>
        <w:jc w:val="left"/>
      </w:pPr>
    </w:p>
    <w:p w14:paraId="5F3E2F60" w14:textId="77777777" w:rsidR="00BD5780" w:rsidRDefault="00BD5780" w:rsidP="00F936E0">
      <w:pPr>
        <w:spacing w:before="0"/>
        <w:jc w:val="left"/>
      </w:pPr>
    </w:p>
    <w:p w14:paraId="6FAC58C7" w14:textId="77777777" w:rsidR="00BD5780" w:rsidRDefault="00BD5780" w:rsidP="00F936E0">
      <w:pPr>
        <w:spacing w:before="0"/>
        <w:jc w:val="left"/>
      </w:pPr>
    </w:p>
    <w:p w14:paraId="41D6C181" w14:textId="77777777" w:rsidR="00BD5780" w:rsidRDefault="00BD5780" w:rsidP="00F936E0">
      <w:pPr>
        <w:spacing w:before="0"/>
        <w:jc w:val="left"/>
      </w:pPr>
    </w:p>
    <w:p w14:paraId="66CA4B67" w14:textId="77777777" w:rsidR="00BD5780" w:rsidRDefault="00BD5780" w:rsidP="00F936E0">
      <w:pPr>
        <w:spacing w:before="0"/>
        <w:jc w:val="left"/>
      </w:pPr>
    </w:p>
    <w:p w14:paraId="79BB8A94" w14:textId="77777777" w:rsidR="00BD5780" w:rsidRDefault="00BD5780" w:rsidP="00F936E0">
      <w:pPr>
        <w:spacing w:before="0"/>
        <w:jc w:val="left"/>
      </w:pPr>
    </w:p>
    <w:p w14:paraId="2AC039A4" w14:textId="77777777" w:rsidR="00BD5780" w:rsidRDefault="00BD5780" w:rsidP="00F936E0">
      <w:pPr>
        <w:spacing w:before="0"/>
        <w:jc w:val="left"/>
      </w:pPr>
    </w:p>
    <w:p w14:paraId="2B701562" w14:textId="77777777" w:rsidR="00BD5780" w:rsidRDefault="00BD5780" w:rsidP="00BD5780">
      <w:pPr>
        <w:pStyle w:val="Heading1"/>
        <w:keepNext/>
        <w:numPr>
          <w:ilvl w:val="0"/>
          <w:numId w:val="3"/>
        </w:numPr>
        <w:spacing w:before="360"/>
        <w:jc w:val="left"/>
      </w:pPr>
      <w:bookmarkStart w:id="16" w:name="_Toc398748530"/>
      <w:bookmarkStart w:id="17" w:name="_Toc451339976"/>
      <w:bookmarkStart w:id="18" w:name="_Toc500831795"/>
      <w:r w:rsidRPr="00ED4A59">
        <w:lastRenderedPageBreak/>
        <w:t>Methods</w:t>
      </w:r>
      <w:bookmarkEnd w:id="16"/>
      <w:bookmarkEnd w:id="17"/>
      <w:bookmarkEnd w:id="18"/>
    </w:p>
    <w:p w14:paraId="05F10B0D" w14:textId="77777777" w:rsidR="00BD5780" w:rsidRPr="00BD5780" w:rsidRDefault="00BD5780" w:rsidP="00BD5780">
      <w:pPr>
        <w:pStyle w:val="Heading2"/>
        <w:rPr>
          <w:color w:val="3182BD"/>
        </w:rPr>
      </w:pPr>
      <w:bookmarkStart w:id="19" w:name="_Toc405981429"/>
      <w:bookmarkStart w:id="20" w:name="_Toc451339977"/>
      <w:bookmarkStart w:id="21" w:name="_Toc500831796"/>
      <w:r w:rsidRPr="00BD5780">
        <w:rPr>
          <w:color w:val="3182BD"/>
        </w:rPr>
        <w:t>Study design</w:t>
      </w:r>
      <w:bookmarkEnd w:id="19"/>
      <w:bookmarkEnd w:id="20"/>
      <w:bookmarkEnd w:id="21"/>
    </w:p>
    <w:p w14:paraId="0B4198EA" w14:textId="77777777" w:rsidR="0091311D" w:rsidRPr="00E53BF9" w:rsidRDefault="0091311D" w:rsidP="0091311D">
      <w:pPr>
        <w:rPr>
          <w:szCs w:val="24"/>
        </w:rPr>
      </w:pPr>
      <w:bookmarkStart w:id="22" w:name="_Toc405981433"/>
      <w:bookmarkStart w:id="23" w:name="_Toc451339978"/>
      <w:r w:rsidRPr="00E53BF9">
        <w:rPr>
          <w:szCs w:val="24"/>
        </w:rPr>
        <w:t xml:space="preserve">The study </w:t>
      </w:r>
      <w:r>
        <w:rPr>
          <w:szCs w:val="24"/>
        </w:rPr>
        <w:t xml:space="preserve">used </w:t>
      </w:r>
      <w:r w:rsidRPr="00E53BF9">
        <w:rPr>
          <w:szCs w:val="24"/>
        </w:rPr>
        <w:t xml:space="preserve">a retrospective observational cohort </w:t>
      </w:r>
      <w:r>
        <w:rPr>
          <w:szCs w:val="24"/>
        </w:rPr>
        <w:t>design, which</w:t>
      </w:r>
      <w:r w:rsidRPr="00E53BF9">
        <w:rPr>
          <w:szCs w:val="24"/>
        </w:rPr>
        <w:t xml:space="preserve"> linked </w:t>
      </w:r>
      <w:r>
        <w:rPr>
          <w:szCs w:val="24"/>
        </w:rPr>
        <w:t xml:space="preserve">the </w:t>
      </w:r>
      <w:r w:rsidRPr="00960EFD">
        <w:rPr>
          <w:szCs w:val="24"/>
        </w:rPr>
        <w:t xml:space="preserve">Patient Episode Database </w:t>
      </w:r>
      <w:r>
        <w:rPr>
          <w:szCs w:val="24"/>
        </w:rPr>
        <w:t xml:space="preserve">for </w:t>
      </w:r>
      <w:r w:rsidRPr="00960EFD">
        <w:rPr>
          <w:szCs w:val="24"/>
        </w:rPr>
        <w:t xml:space="preserve">Wales (PEDW) and </w:t>
      </w:r>
      <w:r>
        <w:rPr>
          <w:szCs w:val="24"/>
        </w:rPr>
        <w:t xml:space="preserve">the </w:t>
      </w:r>
      <w:r w:rsidR="00295059">
        <w:rPr>
          <w:szCs w:val="24"/>
        </w:rPr>
        <w:t>Welsh Demographic</w:t>
      </w:r>
      <w:r w:rsidRPr="00960EFD">
        <w:rPr>
          <w:szCs w:val="24"/>
        </w:rPr>
        <w:t xml:space="preserve"> Service (WDS) </w:t>
      </w:r>
      <w:r>
        <w:rPr>
          <w:szCs w:val="24"/>
        </w:rPr>
        <w:t xml:space="preserve">datasets </w:t>
      </w:r>
      <w:r w:rsidRPr="00E53BF9">
        <w:rPr>
          <w:szCs w:val="24"/>
        </w:rPr>
        <w:t xml:space="preserve">held in the </w:t>
      </w:r>
      <w:r>
        <w:rPr>
          <w:szCs w:val="24"/>
        </w:rPr>
        <w:t xml:space="preserve">SAIL </w:t>
      </w:r>
      <w:r w:rsidRPr="00E53BF9">
        <w:rPr>
          <w:szCs w:val="24"/>
        </w:rPr>
        <w:t xml:space="preserve">databank. </w:t>
      </w:r>
      <w:r>
        <w:rPr>
          <w:szCs w:val="24"/>
        </w:rPr>
        <w:t>This allowed a cohort of patients to be followed over a period of time, while also allowing for the enumeration of patients lost to follow-up.</w:t>
      </w:r>
    </w:p>
    <w:p w14:paraId="6E93FC68" w14:textId="77777777" w:rsidR="00BD5780" w:rsidRPr="00BD5780" w:rsidRDefault="00BD5780" w:rsidP="00BD5780">
      <w:pPr>
        <w:pStyle w:val="Heading2"/>
        <w:rPr>
          <w:color w:val="3182BD"/>
          <w:szCs w:val="24"/>
        </w:rPr>
      </w:pPr>
      <w:bookmarkStart w:id="24" w:name="_Toc500831797"/>
      <w:r w:rsidRPr="00BD5780">
        <w:rPr>
          <w:color w:val="3182BD"/>
          <w:szCs w:val="24"/>
        </w:rPr>
        <w:t xml:space="preserve">Study </w:t>
      </w:r>
      <w:bookmarkEnd w:id="22"/>
      <w:r w:rsidRPr="00BD5780">
        <w:rPr>
          <w:color w:val="3182BD"/>
          <w:szCs w:val="24"/>
        </w:rPr>
        <w:t>population</w:t>
      </w:r>
      <w:bookmarkEnd w:id="23"/>
      <w:bookmarkEnd w:id="24"/>
    </w:p>
    <w:p w14:paraId="3E4712D9" w14:textId="77777777" w:rsidR="0091311D" w:rsidRPr="00E53BF9" w:rsidRDefault="0091311D" w:rsidP="0091311D">
      <w:pPr>
        <w:rPr>
          <w:szCs w:val="24"/>
        </w:rPr>
      </w:pPr>
      <w:bookmarkStart w:id="25" w:name="_Toc405981434"/>
      <w:bookmarkStart w:id="26" w:name="_Toc451339979"/>
      <w:r w:rsidRPr="00E53BF9">
        <w:rPr>
          <w:szCs w:val="24"/>
        </w:rPr>
        <w:t xml:space="preserve">The study </w:t>
      </w:r>
      <w:r>
        <w:rPr>
          <w:szCs w:val="24"/>
        </w:rPr>
        <w:t>population</w:t>
      </w:r>
      <w:r w:rsidRPr="00E53BF9">
        <w:rPr>
          <w:szCs w:val="24"/>
        </w:rPr>
        <w:t xml:space="preserve"> were residents of Wales </w:t>
      </w:r>
      <w:r>
        <w:rPr>
          <w:szCs w:val="24"/>
        </w:rPr>
        <w:t xml:space="preserve">aged 35 and over </w:t>
      </w:r>
      <w:r w:rsidRPr="00E53BF9">
        <w:rPr>
          <w:szCs w:val="24"/>
        </w:rPr>
        <w:t xml:space="preserve">admitted (PEDW </w:t>
      </w:r>
      <w:r>
        <w:rPr>
          <w:szCs w:val="24"/>
        </w:rPr>
        <w:t xml:space="preserve">emergency </w:t>
      </w:r>
      <w:r w:rsidRPr="00E53BF9">
        <w:rPr>
          <w:szCs w:val="24"/>
        </w:rPr>
        <w:t xml:space="preserve">admission method 21-28) to a NHS hospital with a first-time </w:t>
      </w:r>
      <w:r>
        <w:rPr>
          <w:szCs w:val="24"/>
        </w:rPr>
        <w:t>primary diagnosis</w:t>
      </w:r>
      <w:r w:rsidRPr="00E53BF9">
        <w:rPr>
          <w:szCs w:val="24"/>
        </w:rPr>
        <w:t xml:space="preserve"> of AMI (ICD-10 code: I21-I22)</w:t>
      </w:r>
      <w:r>
        <w:rPr>
          <w:szCs w:val="24"/>
        </w:rPr>
        <w:t xml:space="preserve"> in any episode of the admitting spell</w:t>
      </w:r>
      <w:r w:rsidRPr="00E53BF9">
        <w:rPr>
          <w:szCs w:val="24"/>
        </w:rPr>
        <w:t xml:space="preserve">. The first </w:t>
      </w:r>
      <w:r>
        <w:rPr>
          <w:szCs w:val="24"/>
        </w:rPr>
        <w:t xml:space="preserve">defined </w:t>
      </w:r>
      <w:r w:rsidRPr="00E53BF9">
        <w:rPr>
          <w:szCs w:val="24"/>
        </w:rPr>
        <w:t>admission in the period between 1</w:t>
      </w:r>
      <w:r w:rsidRPr="00E53BF9">
        <w:rPr>
          <w:szCs w:val="24"/>
          <w:vertAlign w:val="superscript"/>
        </w:rPr>
        <w:t>st</w:t>
      </w:r>
      <w:r w:rsidRPr="00E53BF9">
        <w:rPr>
          <w:szCs w:val="24"/>
        </w:rPr>
        <w:t xml:space="preserve"> January 2010 and </w:t>
      </w:r>
      <w:r w:rsidRPr="00141850">
        <w:rPr>
          <w:szCs w:val="24"/>
        </w:rPr>
        <w:t>30</w:t>
      </w:r>
      <w:r w:rsidRPr="00141850">
        <w:rPr>
          <w:szCs w:val="24"/>
          <w:vertAlign w:val="superscript"/>
        </w:rPr>
        <w:t>th</w:t>
      </w:r>
      <w:r w:rsidRPr="00141850">
        <w:rPr>
          <w:szCs w:val="24"/>
        </w:rPr>
        <w:t xml:space="preserve"> June 2013 was chosen as the index admission</w:t>
      </w:r>
      <w:r>
        <w:rPr>
          <w:szCs w:val="24"/>
        </w:rPr>
        <w:t xml:space="preserve">. </w:t>
      </w:r>
      <w:r w:rsidRPr="00141850">
        <w:rPr>
          <w:szCs w:val="24"/>
        </w:rPr>
        <w:t>Patients with a previous hospitalisation for AMI recorded since the data was available from the 1999/2000 financial year were excluded.</w:t>
      </w:r>
      <w:r w:rsidR="000820A9">
        <w:rPr>
          <w:szCs w:val="24"/>
        </w:rPr>
        <w:t xml:space="preserve"> </w:t>
      </w:r>
    </w:p>
    <w:p w14:paraId="47AAEC6B" w14:textId="77777777" w:rsidR="0091311D" w:rsidRPr="00E53BF9" w:rsidRDefault="0091311D" w:rsidP="0091311D">
      <w:pPr>
        <w:rPr>
          <w:color w:val="FF0000"/>
          <w:szCs w:val="24"/>
        </w:rPr>
      </w:pPr>
      <w:r w:rsidRPr="00E53BF9">
        <w:rPr>
          <w:szCs w:val="24"/>
        </w:rPr>
        <w:t>The s</w:t>
      </w:r>
      <w:r>
        <w:rPr>
          <w:szCs w:val="24"/>
        </w:rPr>
        <w:t>tudy population</w:t>
      </w:r>
      <w:r w:rsidRPr="00E53BF9">
        <w:rPr>
          <w:szCs w:val="24"/>
        </w:rPr>
        <w:t xml:space="preserve"> was further restricted to Welsh residents admitted to hospitals in Wales along with Welsh residents admitted to Liverpool Heart and Chest Hospital, Hereford County Hospital, Countess of Chester Hospital and Royal Shrewsbury Hospital since they </w:t>
      </w:r>
      <w:r>
        <w:rPr>
          <w:szCs w:val="24"/>
        </w:rPr>
        <w:t xml:space="preserve">are commissioned to </w:t>
      </w:r>
      <w:r w:rsidRPr="00E53BF9">
        <w:rPr>
          <w:szCs w:val="24"/>
        </w:rPr>
        <w:t xml:space="preserve">serve residents of north </w:t>
      </w:r>
      <w:r>
        <w:rPr>
          <w:szCs w:val="24"/>
        </w:rPr>
        <w:t>and</w:t>
      </w:r>
      <w:r w:rsidRPr="00E53BF9">
        <w:rPr>
          <w:szCs w:val="24"/>
        </w:rPr>
        <w:t xml:space="preserve"> mid-Wa</w:t>
      </w:r>
      <w:r>
        <w:rPr>
          <w:szCs w:val="24"/>
        </w:rPr>
        <w:t>les.</w:t>
      </w:r>
    </w:p>
    <w:p w14:paraId="033C99B2" w14:textId="77777777" w:rsidR="00BD5780" w:rsidRPr="00BD5780" w:rsidRDefault="00BD5780" w:rsidP="00BD5780">
      <w:pPr>
        <w:pStyle w:val="Heading2"/>
        <w:rPr>
          <w:color w:val="3182BD"/>
          <w:szCs w:val="24"/>
        </w:rPr>
      </w:pPr>
      <w:bookmarkStart w:id="27" w:name="_Toc500831798"/>
      <w:r w:rsidRPr="00BD5780">
        <w:rPr>
          <w:color w:val="3182BD"/>
          <w:szCs w:val="24"/>
        </w:rPr>
        <w:t xml:space="preserve">Socioeconomic </w:t>
      </w:r>
      <w:bookmarkEnd w:id="25"/>
      <w:r w:rsidRPr="00BD5780">
        <w:rPr>
          <w:color w:val="3182BD"/>
          <w:szCs w:val="24"/>
        </w:rPr>
        <w:t>deprivation</w:t>
      </w:r>
      <w:bookmarkEnd w:id="26"/>
      <w:bookmarkEnd w:id="27"/>
    </w:p>
    <w:p w14:paraId="46E0E674" w14:textId="77777777" w:rsidR="000820A9" w:rsidRDefault="000820A9" w:rsidP="000820A9">
      <w:pPr>
        <w:rPr>
          <w:szCs w:val="24"/>
        </w:rPr>
      </w:pPr>
      <w:bookmarkStart w:id="28" w:name="_Toc405981435"/>
      <w:bookmarkStart w:id="29" w:name="_Toc451339980"/>
      <w:r w:rsidRPr="00E53BF9">
        <w:rPr>
          <w:szCs w:val="24"/>
        </w:rPr>
        <w:t>The Welsh Index of Mu</w:t>
      </w:r>
      <w:r>
        <w:rPr>
          <w:szCs w:val="24"/>
        </w:rPr>
        <w:t>ltiple Deprivation (WIMD) 2011 (Welsh Government 2011b)</w:t>
      </w:r>
      <w:r w:rsidRPr="00E53BF9">
        <w:rPr>
          <w:szCs w:val="24"/>
        </w:rPr>
        <w:t xml:space="preserve"> was used to assign a measure of </w:t>
      </w:r>
      <w:r>
        <w:rPr>
          <w:szCs w:val="24"/>
        </w:rPr>
        <w:t>deprivation, in the form of deprivation quintiles,</w:t>
      </w:r>
      <w:r w:rsidRPr="00E53BF9">
        <w:rPr>
          <w:szCs w:val="24"/>
        </w:rPr>
        <w:t xml:space="preserve"> to each individual</w:t>
      </w:r>
      <w:r>
        <w:rPr>
          <w:szCs w:val="24"/>
        </w:rPr>
        <w:t xml:space="preserve"> based on their lower super output area (LSOA) of residence.</w:t>
      </w:r>
      <w:r w:rsidRPr="00E53BF9">
        <w:rPr>
          <w:szCs w:val="24"/>
        </w:rPr>
        <w:t xml:space="preserve"> </w:t>
      </w:r>
    </w:p>
    <w:p w14:paraId="3CF5D11A" w14:textId="77777777" w:rsidR="000820A9" w:rsidRPr="00E53BF9" w:rsidRDefault="000820A9" w:rsidP="000820A9">
      <w:pPr>
        <w:rPr>
          <w:szCs w:val="24"/>
        </w:rPr>
      </w:pPr>
      <w:r w:rsidRPr="00E53BF9">
        <w:rPr>
          <w:szCs w:val="24"/>
        </w:rPr>
        <w:t xml:space="preserve">Seventeen patients (0.1%) were excluded from the </w:t>
      </w:r>
      <w:r>
        <w:rPr>
          <w:szCs w:val="24"/>
        </w:rPr>
        <w:t>study population</w:t>
      </w:r>
      <w:r w:rsidRPr="00E53BF9">
        <w:rPr>
          <w:szCs w:val="24"/>
        </w:rPr>
        <w:t xml:space="preserve"> since they did not have</w:t>
      </w:r>
      <w:r>
        <w:rPr>
          <w:szCs w:val="24"/>
        </w:rPr>
        <w:t xml:space="preserve"> an LSOA code and therefore </w:t>
      </w:r>
      <w:r w:rsidRPr="00E53BF9">
        <w:rPr>
          <w:szCs w:val="24"/>
        </w:rPr>
        <w:t>could not be assigned</w:t>
      </w:r>
      <w:r>
        <w:rPr>
          <w:szCs w:val="24"/>
        </w:rPr>
        <w:t xml:space="preserve"> to a deprivation quintile</w:t>
      </w:r>
      <w:r w:rsidRPr="00E53BF9">
        <w:rPr>
          <w:szCs w:val="24"/>
        </w:rPr>
        <w:t xml:space="preserve">. </w:t>
      </w:r>
    </w:p>
    <w:p w14:paraId="3D639E93" w14:textId="77777777" w:rsidR="00BD5780" w:rsidRPr="00BD5780" w:rsidRDefault="00BD5780" w:rsidP="00BD5780">
      <w:pPr>
        <w:pStyle w:val="Heading2"/>
        <w:rPr>
          <w:color w:val="3182BD"/>
          <w:szCs w:val="24"/>
        </w:rPr>
      </w:pPr>
      <w:bookmarkStart w:id="30" w:name="_Toc500831799"/>
      <w:r w:rsidRPr="00BD5780">
        <w:rPr>
          <w:color w:val="3182BD"/>
          <w:szCs w:val="24"/>
        </w:rPr>
        <w:t>Non-socioeconomic deprivation variables</w:t>
      </w:r>
      <w:bookmarkEnd w:id="28"/>
      <w:bookmarkEnd w:id="29"/>
      <w:bookmarkEnd w:id="30"/>
    </w:p>
    <w:p w14:paraId="31C735DC" w14:textId="77777777" w:rsidR="000820A9" w:rsidRPr="000820A9" w:rsidRDefault="000820A9" w:rsidP="000820A9">
      <w:bookmarkStart w:id="31" w:name="_Toc405981440"/>
      <w:bookmarkStart w:id="32" w:name="_Toc451339981"/>
      <w:r w:rsidRPr="000820A9">
        <w:t xml:space="preserve">Other variables included since they may confound the relationship between socioeconomic deprivation and the receipt of revascularisation were: </w:t>
      </w:r>
    </w:p>
    <w:p w14:paraId="426A0533" w14:textId="77777777" w:rsidR="000820A9" w:rsidRPr="000820A9" w:rsidRDefault="000820A9" w:rsidP="000820A9">
      <w:pPr>
        <w:pStyle w:val="ListParagraph"/>
        <w:numPr>
          <w:ilvl w:val="0"/>
          <w:numId w:val="47"/>
        </w:numPr>
        <w:spacing w:before="0" w:after="200" w:line="276" w:lineRule="auto"/>
        <w:jc w:val="left"/>
      </w:pPr>
      <w:r w:rsidRPr="000820A9">
        <w:t>Gender;</w:t>
      </w:r>
    </w:p>
    <w:p w14:paraId="78564BEB" w14:textId="77777777" w:rsidR="000820A9" w:rsidRPr="000820A9" w:rsidRDefault="000820A9" w:rsidP="000820A9">
      <w:pPr>
        <w:pStyle w:val="ListParagraph"/>
        <w:numPr>
          <w:ilvl w:val="0"/>
          <w:numId w:val="47"/>
        </w:numPr>
        <w:spacing w:before="0" w:after="200" w:line="276" w:lineRule="auto"/>
        <w:jc w:val="left"/>
      </w:pPr>
      <w:r w:rsidRPr="000820A9">
        <w:t>Age (35-54; 55-74; 75+);</w:t>
      </w:r>
    </w:p>
    <w:p w14:paraId="21AB60C5" w14:textId="77777777" w:rsidR="000820A9" w:rsidRPr="000820A9" w:rsidRDefault="000820A9" w:rsidP="000820A9">
      <w:pPr>
        <w:pStyle w:val="ListParagraph"/>
        <w:numPr>
          <w:ilvl w:val="0"/>
          <w:numId w:val="47"/>
        </w:numPr>
        <w:spacing w:before="0" w:after="200" w:line="276" w:lineRule="auto"/>
        <w:jc w:val="left"/>
      </w:pPr>
      <w:r w:rsidRPr="000820A9">
        <w:t>Rural-urban classification of residence (Urban; Town: small town/fringe; Rural: village/hamlet/isolated dwellings);</w:t>
      </w:r>
    </w:p>
    <w:p w14:paraId="46AC3CB5" w14:textId="77777777" w:rsidR="000820A9" w:rsidRPr="000820A9" w:rsidRDefault="000820A9" w:rsidP="000820A9">
      <w:pPr>
        <w:pStyle w:val="ListParagraph"/>
        <w:numPr>
          <w:ilvl w:val="0"/>
          <w:numId w:val="47"/>
        </w:numPr>
        <w:spacing w:before="0" w:after="200" w:line="276" w:lineRule="auto"/>
        <w:jc w:val="left"/>
      </w:pPr>
      <w:r w:rsidRPr="000820A9">
        <w:t>Number of comorbidities (none; one; two; three or more).</w:t>
      </w:r>
      <w:r w:rsidRPr="000820A9">
        <w:rPr>
          <w:b/>
        </w:rPr>
        <w:t xml:space="preserve"> </w:t>
      </w:r>
      <w:r w:rsidRPr="000820A9">
        <w:t>Comorbidities from any diagnosis field, up to five years prior to date of the index admission of AMI, were collected based on the Charlson comorbidity index (Charlson et al. 1987). This index was modified, in that HIV/AIDS is excluded from PEDW for information governance reasons, while AMI was not included since entry into the cohort was based on this diagnosis;</w:t>
      </w:r>
    </w:p>
    <w:p w14:paraId="58A1CF1C" w14:textId="77777777" w:rsidR="000820A9" w:rsidRPr="000820A9" w:rsidRDefault="000820A9" w:rsidP="000820A9">
      <w:pPr>
        <w:pStyle w:val="ListParagraph"/>
        <w:numPr>
          <w:ilvl w:val="0"/>
          <w:numId w:val="47"/>
        </w:numPr>
        <w:spacing w:before="0" w:after="200" w:line="276" w:lineRule="auto"/>
        <w:jc w:val="left"/>
      </w:pPr>
      <w:r w:rsidRPr="000820A9">
        <w:t>Admitting hospital catheterisation facilities (no catheterisation facilities; angiography only; revascularisation facilities (PCI and/or CABG)).</w:t>
      </w:r>
    </w:p>
    <w:p w14:paraId="52933977" w14:textId="77777777" w:rsidR="000820A9" w:rsidRPr="0046428A" w:rsidRDefault="000820A9" w:rsidP="000820A9">
      <w:pPr>
        <w:pStyle w:val="ListParagraph"/>
        <w:spacing w:before="0" w:after="200" w:line="276" w:lineRule="auto"/>
        <w:jc w:val="left"/>
        <w:rPr>
          <w:sz w:val="24"/>
          <w:szCs w:val="24"/>
        </w:rPr>
      </w:pPr>
    </w:p>
    <w:p w14:paraId="75107154" w14:textId="77777777" w:rsidR="00BD5780" w:rsidRPr="00BD5780" w:rsidRDefault="00BD5780" w:rsidP="000820A9">
      <w:pPr>
        <w:pStyle w:val="Heading2"/>
        <w:rPr>
          <w:color w:val="3182BD"/>
          <w:szCs w:val="24"/>
        </w:rPr>
      </w:pPr>
      <w:bookmarkStart w:id="33" w:name="_Toc500831800"/>
      <w:r w:rsidRPr="00BD5780">
        <w:rPr>
          <w:color w:val="3182BD"/>
          <w:szCs w:val="24"/>
        </w:rPr>
        <w:lastRenderedPageBreak/>
        <w:t>Follow-up &amp; Outcomes</w:t>
      </w:r>
      <w:bookmarkEnd w:id="31"/>
      <w:bookmarkEnd w:id="32"/>
      <w:bookmarkEnd w:id="33"/>
    </w:p>
    <w:p w14:paraId="12D8A153" w14:textId="77777777" w:rsidR="000820A9" w:rsidRDefault="000820A9" w:rsidP="000820A9">
      <w:pPr>
        <w:rPr>
          <w:szCs w:val="24"/>
        </w:rPr>
      </w:pPr>
      <w:bookmarkStart w:id="34" w:name="_Toc405981441"/>
      <w:bookmarkStart w:id="35" w:name="_Toc451339982"/>
      <w:r w:rsidRPr="00E53BF9">
        <w:rPr>
          <w:szCs w:val="24"/>
        </w:rPr>
        <w:t>Fifteen patients could not be linked to the WDS using their personal identification number and were excluded from the study</w:t>
      </w:r>
      <w:r>
        <w:rPr>
          <w:szCs w:val="24"/>
        </w:rPr>
        <w:t>.</w:t>
      </w:r>
      <w:r w:rsidRPr="00E53BF9">
        <w:rPr>
          <w:szCs w:val="24"/>
        </w:rPr>
        <w:t xml:space="preserve"> This left a final cohort of 12,525 patients admitted with AMI, </w:t>
      </w:r>
      <w:r>
        <w:rPr>
          <w:szCs w:val="24"/>
        </w:rPr>
        <w:t>with no missing data</w:t>
      </w:r>
      <w:r w:rsidRPr="00E53BF9">
        <w:rPr>
          <w:szCs w:val="24"/>
        </w:rPr>
        <w:t xml:space="preserve"> for </w:t>
      </w:r>
      <w:r>
        <w:rPr>
          <w:szCs w:val="24"/>
        </w:rPr>
        <w:t>any</w:t>
      </w:r>
      <w:r w:rsidRPr="00E53BF9">
        <w:rPr>
          <w:szCs w:val="24"/>
        </w:rPr>
        <w:t xml:space="preserve"> variables.</w:t>
      </w:r>
    </w:p>
    <w:p w14:paraId="1BB19FBB" w14:textId="77777777" w:rsidR="000820A9" w:rsidRDefault="000820A9" w:rsidP="000820A9">
      <w:pPr>
        <w:rPr>
          <w:szCs w:val="24"/>
        </w:rPr>
      </w:pPr>
      <w:r>
        <w:rPr>
          <w:szCs w:val="24"/>
        </w:rPr>
        <w:t>P</w:t>
      </w:r>
      <w:r w:rsidRPr="00E53BF9">
        <w:rPr>
          <w:szCs w:val="24"/>
        </w:rPr>
        <w:t>atient</w:t>
      </w:r>
      <w:r>
        <w:rPr>
          <w:szCs w:val="24"/>
        </w:rPr>
        <w:t>s</w:t>
      </w:r>
      <w:r w:rsidRPr="00E53BF9">
        <w:rPr>
          <w:szCs w:val="24"/>
        </w:rPr>
        <w:t xml:space="preserve"> w</w:t>
      </w:r>
      <w:r>
        <w:rPr>
          <w:szCs w:val="24"/>
        </w:rPr>
        <w:t>ere</w:t>
      </w:r>
      <w:r w:rsidRPr="00E53BF9">
        <w:rPr>
          <w:szCs w:val="24"/>
        </w:rPr>
        <w:t xml:space="preserve"> followed for </w:t>
      </w:r>
      <w:r>
        <w:rPr>
          <w:szCs w:val="24"/>
        </w:rPr>
        <w:t>up to six</w:t>
      </w:r>
      <w:r w:rsidRPr="00E53BF9">
        <w:rPr>
          <w:szCs w:val="24"/>
        </w:rPr>
        <w:t xml:space="preserve"> months following their index admission f</w:t>
      </w:r>
      <w:r>
        <w:rPr>
          <w:szCs w:val="24"/>
        </w:rPr>
        <w:t>or AMI to determine whether they received the study outcome of</w:t>
      </w:r>
      <w:r w:rsidRPr="00E53BF9">
        <w:rPr>
          <w:szCs w:val="24"/>
        </w:rPr>
        <w:t xml:space="preserve"> a revascularisation procedure</w:t>
      </w:r>
      <w:r>
        <w:rPr>
          <w:szCs w:val="24"/>
        </w:rPr>
        <w:t xml:space="preserve"> – coronary artery bypass graft (CABG) or percutaneous coronary intervention (PCI). These were defined according to OPCS-4 as:</w:t>
      </w:r>
    </w:p>
    <w:p w14:paraId="084993B7" w14:textId="77777777" w:rsidR="000820A9" w:rsidRDefault="000820A9" w:rsidP="000820A9">
      <w:pPr>
        <w:rPr>
          <w:szCs w:val="24"/>
        </w:rPr>
      </w:pPr>
      <w:r>
        <w:rPr>
          <w:szCs w:val="24"/>
        </w:rPr>
        <w:tab/>
      </w:r>
      <w:r w:rsidRPr="00B13A21">
        <w:rPr>
          <w:szCs w:val="24"/>
          <w:u w:val="single"/>
        </w:rPr>
        <w:t>Procedure</w:t>
      </w:r>
      <w:r>
        <w:rPr>
          <w:szCs w:val="24"/>
        </w:rPr>
        <w:tab/>
      </w:r>
      <w:r>
        <w:rPr>
          <w:szCs w:val="24"/>
        </w:rPr>
        <w:tab/>
      </w:r>
      <w:r w:rsidRPr="00B13A21">
        <w:rPr>
          <w:szCs w:val="24"/>
          <w:u w:val="single"/>
        </w:rPr>
        <w:t>OPCS-4 code</w:t>
      </w:r>
    </w:p>
    <w:p w14:paraId="09B4919A" w14:textId="77777777" w:rsidR="000820A9" w:rsidRDefault="000820A9" w:rsidP="000820A9">
      <w:pPr>
        <w:spacing w:before="120" w:after="120"/>
        <w:rPr>
          <w:szCs w:val="24"/>
        </w:rPr>
      </w:pPr>
      <w:r>
        <w:rPr>
          <w:szCs w:val="24"/>
        </w:rPr>
        <w:tab/>
        <w:t>CABG</w:t>
      </w:r>
      <w:r>
        <w:rPr>
          <w:szCs w:val="24"/>
        </w:rPr>
        <w:tab/>
      </w:r>
      <w:r>
        <w:rPr>
          <w:szCs w:val="24"/>
        </w:rPr>
        <w:tab/>
      </w:r>
      <w:r>
        <w:rPr>
          <w:szCs w:val="24"/>
        </w:rPr>
        <w:tab/>
        <w:t>K40-K46</w:t>
      </w:r>
    </w:p>
    <w:p w14:paraId="6F42644F" w14:textId="77777777" w:rsidR="000820A9" w:rsidRDefault="000820A9" w:rsidP="000820A9">
      <w:pPr>
        <w:spacing w:before="120" w:after="120"/>
        <w:rPr>
          <w:szCs w:val="24"/>
        </w:rPr>
      </w:pPr>
      <w:r>
        <w:rPr>
          <w:szCs w:val="24"/>
        </w:rPr>
        <w:tab/>
        <w:t>PCI</w:t>
      </w:r>
      <w:r>
        <w:rPr>
          <w:szCs w:val="24"/>
        </w:rPr>
        <w:tab/>
      </w:r>
      <w:r>
        <w:rPr>
          <w:szCs w:val="24"/>
        </w:rPr>
        <w:tab/>
      </w:r>
      <w:r>
        <w:rPr>
          <w:szCs w:val="24"/>
        </w:rPr>
        <w:tab/>
        <w:t>K49-K50, K75</w:t>
      </w:r>
    </w:p>
    <w:p w14:paraId="610F20B6" w14:textId="77777777" w:rsidR="000820A9" w:rsidRPr="00E53BF9" w:rsidRDefault="000820A9" w:rsidP="000820A9">
      <w:pPr>
        <w:rPr>
          <w:szCs w:val="24"/>
        </w:rPr>
      </w:pPr>
      <w:r w:rsidRPr="00A654C5">
        <w:rPr>
          <w:szCs w:val="24"/>
        </w:rPr>
        <w:t>For patients that had a procedure, the episode start date and operation date were used to calculate the number of days to revascularisation.</w:t>
      </w:r>
    </w:p>
    <w:p w14:paraId="1C66C341" w14:textId="77777777" w:rsidR="000820A9" w:rsidRPr="00E53BF9" w:rsidRDefault="000820A9" w:rsidP="000820A9">
      <w:pPr>
        <w:rPr>
          <w:szCs w:val="24"/>
        </w:rPr>
      </w:pPr>
      <w:r w:rsidRPr="00A654C5">
        <w:rPr>
          <w:szCs w:val="24"/>
        </w:rPr>
        <w:t>Data were right-censored for patients not revascularised at the earliest date of a subsequent AMI, death, no longer resident in Wales, or the</w:t>
      </w:r>
      <w:r>
        <w:rPr>
          <w:szCs w:val="24"/>
        </w:rPr>
        <w:t xml:space="preserve"> end of the study period at six </w:t>
      </w:r>
      <w:r w:rsidRPr="00A654C5">
        <w:rPr>
          <w:szCs w:val="24"/>
        </w:rPr>
        <w:t xml:space="preserve">months following the index admission for AMI. </w:t>
      </w:r>
    </w:p>
    <w:p w14:paraId="2D5D65FD" w14:textId="77777777" w:rsidR="000820A9" w:rsidRPr="00E53BF9" w:rsidRDefault="000820A9" w:rsidP="000820A9">
      <w:pPr>
        <w:rPr>
          <w:szCs w:val="24"/>
        </w:rPr>
      </w:pPr>
      <w:r>
        <w:rPr>
          <w:szCs w:val="24"/>
        </w:rPr>
        <w:t>A flow diagram</w:t>
      </w:r>
      <w:r w:rsidRPr="00E53BF9">
        <w:rPr>
          <w:szCs w:val="24"/>
        </w:rPr>
        <w:t xml:space="preserve"> </w:t>
      </w:r>
      <w:r>
        <w:rPr>
          <w:szCs w:val="24"/>
        </w:rPr>
        <w:t>of the study population selection process can be seen in appendix 1.</w:t>
      </w:r>
    </w:p>
    <w:p w14:paraId="731E586C" w14:textId="77777777" w:rsidR="00BD5780" w:rsidRPr="00BD5780" w:rsidRDefault="00BD5780" w:rsidP="00BD5780">
      <w:pPr>
        <w:pStyle w:val="Heading2"/>
        <w:rPr>
          <w:color w:val="3182BD"/>
          <w:szCs w:val="24"/>
        </w:rPr>
      </w:pPr>
      <w:bookmarkStart w:id="36" w:name="_Toc500831801"/>
      <w:r w:rsidRPr="00BD5780">
        <w:rPr>
          <w:color w:val="3182BD"/>
          <w:szCs w:val="24"/>
        </w:rPr>
        <w:t>Analysis</w:t>
      </w:r>
      <w:bookmarkEnd w:id="34"/>
      <w:bookmarkEnd w:id="35"/>
      <w:bookmarkEnd w:id="36"/>
    </w:p>
    <w:p w14:paraId="6E332C4E" w14:textId="77777777" w:rsidR="000820A9" w:rsidRPr="00E53BF9" w:rsidRDefault="000820A9" w:rsidP="000820A9">
      <w:pPr>
        <w:rPr>
          <w:szCs w:val="24"/>
        </w:rPr>
      </w:pPr>
      <w:bookmarkStart w:id="37" w:name="_Toc405981442"/>
      <w:bookmarkStart w:id="38" w:name="_Toc451339983"/>
      <w:r w:rsidRPr="00E53BF9">
        <w:rPr>
          <w:szCs w:val="24"/>
        </w:rPr>
        <w:t>Analysis was performed separately for residents of north Wales and south Wales</w:t>
      </w:r>
      <w:r>
        <w:rPr>
          <w:szCs w:val="24"/>
        </w:rPr>
        <w:t xml:space="preserve"> cardiac networks. North Wales cardiac network is inclusive of those</w:t>
      </w:r>
      <w:r w:rsidR="006B3BFA">
        <w:rPr>
          <w:szCs w:val="24"/>
        </w:rPr>
        <w:t xml:space="preserve"> </w:t>
      </w:r>
      <w:r>
        <w:rPr>
          <w:szCs w:val="24"/>
        </w:rPr>
        <w:t xml:space="preserve">resident in Betsi Cadwaladr University Health Board, with south Wales cardiac network covering the six other health boards in Wales. </w:t>
      </w:r>
      <w:r w:rsidRPr="00E53BF9">
        <w:rPr>
          <w:szCs w:val="24"/>
        </w:rPr>
        <w:t xml:space="preserve">Analysis on north Wales covered the whole study period of 2010-13 with no major changes over this time to the provision of revascularisation. Analysis on south Wales was split into two </w:t>
      </w:r>
      <w:r>
        <w:rPr>
          <w:szCs w:val="24"/>
        </w:rPr>
        <w:t>cohorts of those admitted in the 24 months between 01/01/2010 to 31/12/2011 (</w:t>
      </w:r>
      <w:r w:rsidRPr="00E53BF9">
        <w:rPr>
          <w:szCs w:val="24"/>
        </w:rPr>
        <w:t>2010-11</w:t>
      </w:r>
      <w:r>
        <w:rPr>
          <w:szCs w:val="24"/>
        </w:rPr>
        <w:t xml:space="preserve"> cohort)</w:t>
      </w:r>
      <w:r w:rsidRPr="00E53BF9">
        <w:rPr>
          <w:szCs w:val="24"/>
        </w:rPr>
        <w:t xml:space="preserve"> and </w:t>
      </w:r>
      <w:r>
        <w:rPr>
          <w:szCs w:val="24"/>
        </w:rPr>
        <w:t>those admitted in the 18 months between 01/01/2012 to 31/06/2013 (</w:t>
      </w:r>
      <w:r w:rsidRPr="00E53BF9">
        <w:rPr>
          <w:szCs w:val="24"/>
        </w:rPr>
        <w:t>2012-13</w:t>
      </w:r>
      <w:r>
        <w:rPr>
          <w:szCs w:val="24"/>
        </w:rPr>
        <w:t xml:space="preserve"> cohort), with the 2012-13 cohort relating to the time period post change in the provision of revascularisation.</w:t>
      </w:r>
    </w:p>
    <w:p w14:paraId="3C379CF4" w14:textId="77777777" w:rsidR="00BD5780" w:rsidRPr="00BD5780" w:rsidRDefault="00BD5780" w:rsidP="00BD5780">
      <w:pPr>
        <w:pStyle w:val="Heading3"/>
        <w:rPr>
          <w:color w:val="3182BD"/>
        </w:rPr>
      </w:pPr>
      <w:bookmarkStart w:id="39" w:name="_Toc500831802"/>
      <w:r w:rsidRPr="00BD5780">
        <w:rPr>
          <w:color w:val="3182BD"/>
        </w:rPr>
        <w:t>Descriptive Analysis</w:t>
      </w:r>
      <w:bookmarkEnd w:id="37"/>
      <w:bookmarkEnd w:id="38"/>
      <w:bookmarkEnd w:id="39"/>
    </w:p>
    <w:p w14:paraId="3C8D16C8" w14:textId="77777777" w:rsidR="000820A9" w:rsidRPr="00AF78FE" w:rsidRDefault="000820A9" w:rsidP="000820A9">
      <w:pPr>
        <w:rPr>
          <w:szCs w:val="24"/>
        </w:rPr>
      </w:pPr>
      <w:bookmarkStart w:id="40" w:name="_Toc405981443"/>
      <w:bookmarkStart w:id="41" w:name="_Toc451339984"/>
      <w:r>
        <w:rPr>
          <w:szCs w:val="24"/>
        </w:rPr>
        <w:t>T</w:t>
      </w:r>
      <w:r w:rsidRPr="00AF78FE">
        <w:rPr>
          <w:szCs w:val="24"/>
        </w:rPr>
        <w:t xml:space="preserve">he chi-squared test </w:t>
      </w:r>
      <w:r>
        <w:rPr>
          <w:szCs w:val="24"/>
        </w:rPr>
        <w:t xml:space="preserve">was used </w:t>
      </w:r>
      <w:r w:rsidRPr="00AF78FE">
        <w:rPr>
          <w:szCs w:val="24"/>
        </w:rPr>
        <w:t xml:space="preserve">to </w:t>
      </w:r>
      <w:r>
        <w:rPr>
          <w:szCs w:val="24"/>
        </w:rPr>
        <w:t>assess</w:t>
      </w:r>
      <w:r w:rsidRPr="00AF78FE">
        <w:rPr>
          <w:szCs w:val="24"/>
        </w:rPr>
        <w:t xml:space="preserve"> the distribution of the cohort</w:t>
      </w:r>
      <w:r>
        <w:rPr>
          <w:szCs w:val="24"/>
        </w:rPr>
        <w:t>s</w:t>
      </w:r>
      <w:r w:rsidRPr="00AF78FE">
        <w:rPr>
          <w:szCs w:val="24"/>
        </w:rPr>
        <w:t xml:space="preserve"> according to </w:t>
      </w:r>
      <w:r>
        <w:rPr>
          <w:szCs w:val="24"/>
        </w:rPr>
        <w:t>socioeconomic deprivation</w:t>
      </w:r>
      <w:r w:rsidRPr="00AF78FE">
        <w:rPr>
          <w:szCs w:val="24"/>
        </w:rPr>
        <w:t xml:space="preserve"> by the other explan</w:t>
      </w:r>
      <w:r>
        <w:rPr>
          <w:szCs w:val="24"/>
        </w:rPr>
        <w:t xml:space="preserve">atory variables, with a p-value </w:t>
      </w:r>
      <w:r w:rsidRPr="00AF78FE">
        <w:rPr>
          <w:szCs w:val="24"/>
        </w:rPr>
        <w:t>&lt;0.05 used to determine a statistically significant association. The inci</w:t>
      </w:r>
      <w:r>
        <w:rPr>
          <w:szCs w:val="24"/>
        </w:rPr>
        <w:t>dence rate of revascularisation</w:t>
      </w:r>
      <w:r w:rsidRPr="00AF78FE">
        <w:rPr>
          <w:szCs w:val="24"/>
        </w:rPr>
        <w:t xml:space="preserve"> per 1</w:t>
      </w:r>
      <w:r>
        <w:rPr>
          <w:szCs w:val="24"/>
        </w:rPr>
        <w:t>,000 person-days post-</w:t>
      </w:r>
      <w:r w:rsidRPr="00AF78FE">
        <w:rPr>
          <w:szCs w:val="24"/>
        </w:rPr>
        <w:t>AMI</w:t>
      </w:r>
      <w:r>
        <w:rPr>
          <w:szCs w:val="24"/>
        </w:rPr>
        <w:t xml:space="preserve"> admission</w:t>
      </w:r>
      <w:r w:rsidRPr="00AF78FE">
        <w:rPr>
          <w:szCs w:val="24"/>
        </w:rPr>
        <w:t xml:space="preserve"> was calculated for each </w:t>
      </w:r>
      <w:r>
        <w:rPr>
          <w:szCs w:val="24"/>
        </w:rPr>
        <w:t>deprivation quintile</w:t>
      </w:r>
      <w:r w:rsidRPr="00AF78FE">
        <w:rPr>
          <w:szCs w:val="24"/>
        </w:rPr>
        <w:t xml:space="preserve">, while also accounting for censoring, meaning that each person only contributed the number of days that they were followed up within the cohort. </w:t>
      </w:r>
    </w:p>
    <w:p w14:paraId="0BAFBDD7" w14:textId="77777777" w:rsidR="00BD5780" w:rsidRPr="00BD5780" w:rsidRDefault="00BD5780" w:rsidP="00BD5780">
      <w:pPr>
        <w:pStyle w:val="Heading3"/>
        <w:rPr>
          <w:color w:val="3182BD"/>
        </w:rPr>
      </w:pPr>
      <w:bookmarkStart w:id="42" w:name="_Toc500831803"/>
      <w:r w:rsidRPr="00BD5780">
        <w:rPr>
          <w:color w:val="3182BD"/>
        </w:rPr>
        <w:t>Univariable Analysis</w:t>
      </w:r>
      <w:bookmarkEnd w:id="40"/>
      <w:bookmarkEnd w:id="41"/>
      <w:bookmarkEnd w:id="42"/>
    </w:p>
    <w:p w14:paraId="7012AA02" w14:textId="77777777" w:rsidR="000820A9" w:rsidRPr="00E53BF9" w:rsidRDefault="000820A9" w:rsidP="000820A9">
      <w:pPr>
        <w:rPr>
          <w:szCs w:val="24"/>
        </w:rPr>
      </w:pPr>
      <w:bookmarkStart w:id="43" w:name="_Toc405981444"/>
      <w:bookmarkStart w:id="44" w:name="_Toc451339985"/>
      <w:r w:rsidRPr="004F5A56">
        <w:rPr>
          <w:szCs w:val="24"/>
        </w:rPr>
        <w:t xml:space="preserve">Kaplan-Meier estimates along with the log rank test </w:t>
      </w:r>
      <w:r>
        <w:rPr>
          <w:szCs w:val="24"/>
        </w:rPr>
        <w:t xml:space="preserve">for the equality of time to six </w:t>
      </w:r>
      <w:r w:rsidRPr="004F5A56">
        <w:rPr>
          <w:szCs w:val="24"/>
        </w:rPr>
        <w:t>month revascularisation were calculated to provide a univaria</w:t>
      </w:r>
      <w:r>
        <w:rPr>
          <w:szCs w:val="24"/>
        </w:rPr>
        <w:t>ble</w:t>
      </w:r>
      <w:r w:rsidRPr="004F5A56">
        <w:rPr>
          <w:szCs w:val="24"/>
        </w:rPr>
        <w:t xml:space="preserve"> summary of the data for both periods</w:t>
      </w:r>
      <w:r>
        <w:rPr>
          <w:szCs w:val="24"/>
        </w:rPr>
        <w:t>,</w:t>
      </w:r>
      <w:r w:rsidRPr="00E53BF9">
        <w:rPr>
          <w:szCs w:val="24"/>
        </w:rPr>
        <w:t xml:space="preserve"> under the null hypothesis:</w:t>
      </w:r>
    </w:p>
    <w:p w14:paraId="171104D1" w14:textId="77777777" w:rsidR="000820A9" w:rsidRPr="00E53BF9" w:rsidRDefault="000820A9" w:rsidP="000820A9">
      <w:pPr>
        <w:rPr>
          <w:szCs w:val="24"/>
        </w:rPr>
      </w:pPr>
      <w:r w:rsidRPr="00E53BF9">
        <w:rPr>
          <w:szCs w:val="24"/>
        </w:rPr>
        <w:t>H</w:t>
      </w:r>
      <w:r w:rsidRPr="00E53BF9">
        <w:rPr>
          <w:szCs w:val="24"/>
          <w:vertAlign w:val="subscript"/>
        </w:rPr>
        <w:t>0</w:t>
      </w:r>
      <w:r w:rsidRPr="00E53BF9">
        <w:rPr>
          <w:szCs w:val="24"/>
        </w:rPr>
        <w:t>: no difference in the time to revascularisation of i</w:t>
      </w:r>
      <w:r>
        <w:rPr>
          <w:szCs w:val="24"/>
        </w:rPr>
        <w:t>ndividuals by deprivation quintiles</w:t>
      </w:r>
    </w:p>
    <w:p w14:paraId="02F28399" w14:textId="77777777" w:rsidR="00BD5780" w:rsidRPr="00BD5780" w:rsidRDefault="00BD5780" w:rsidP="00BD5780">
      <w:pPr>
        <w:pStyle w:val="Heading3"/>
        <w:rPr>
          <w:color w:val="3182BD"/>
        </w:rPr>
      </w:pPr>
      <w:bookmarkStart w:id="45" w:name="_Toc500831804"/>
      <w:r w:rsidRPr="00BD5780">
        <w:rPr>
          <w:color w:val="3182BD"/>
        </w:rPr>
        <w:lastRenderedPageBreak/>
        <w:t>Multivariable Analysis</w:t>
      </w:r>
      <w:bookmarkEnd w:id="43"/>
      <w:bookmarkEnd w:id="44"/>
      <w:bookmarkEnd w:id="45"/>
      <w:r w:rsidRPr="00BD5780">
        <w:rPr>
          <w:color w:val="3182BD"/>
        </w:rPr>
        <w:t xml:space="preserve"> </w:t>
      </w:r>
    </w:p>
    <w:p w14:paraId="2CAF2481" w14:textId="77777777" w:rsidR="000820A9" w:rsidRPr="00EF1697" w:rsidRDefault="000820A9" w:rsidP="000820A9">
      <w:pPr>
        <w:rPr>
          <w:szCs w:val="24"/>
        </w:rPr>
      </w:pPr>
      <w:r w:rsidRPr="00EF1697">
        <w:rPr>
          <w:szCs w:val="24"/>
        </w:rPr>
        <w:t xml:space="preserve">Cox proportional hazards models were used to estimate hazard ratios to determine whether time to revascularisation differed between deprivation quintiles for </w:t>
      </w:r>
      <w:r>
        <w:rPr>
          <w:szCs w:val="24"/>
        </w:rPr>
        <w:t>each cohort</w:t>
      </w:r>
      <w:r w:rsidRPr="00EF1697">
        <w:rPr>
          <w:szCs w:val="24"/>
        </w:rPr>
        <w:t xml:space="preserve"> studied, </w:t>
      </w:r>
      <w:r w:rsidRPr="00E53BF9">
        <w:rPr>
          <w:szCs w:val="24"/>
        </w:rPr>
        <w:t xml:space="preserve">while allowing for the simultaneous adjustment for other explanatory variables in the </w:t>
      </w:r>
      <w:r w:rsidRPr="00EF1697">
        <w:rPr>
          <w:szCs w:val="24"/>
        </w:rPr>
        <w:t>cohorts.</w:t>
      </w:r>
      <w:r>
        <w:rPr>
          <w:szCs w:val="24"/>
        </w:rPr>
        <w:t xml:space="preserve"> </w:t>
      </w:r>
    </w:p>
    <w:p w14:paraId="56182AE0" w14:textId="77777777" w:rsidR="000820A9" w:rsidRDefault="000820A9" w:rsidP="000820A9">
      <w:pPr>
        <w:rPr>
          <w:szCs w:val="24"/>
        </w:rPr>
      </w:pPr>
      <w:r>
        <w:rPr>
          <w:szCs w:val="24"/>
        </w:rPr>
        <w:t>H</w:t>
      </w:r>
      <w:r w:rsidRPr="00E53BF9">
        <w:rPr>
          <w:szCs w:val="24"/>
        </w:rPr>
        <w:t xml:space="preserve">azard ratios were calculated for each </w:t>
      </w:r>
      <w:r>
        <w:rPr>
          <w:szCs w:val="24"/>
        </w:rPr>
        <w:t>deprivation quintile,</w:t>
      </w:r>
      <w:r w:rsidRPr="00E53BF9">
        <w:rPr>
          <w:szCs w:val="24"/>
        </w:rPr>
        <w:t xml:space="preserve"> with the least deprived </w:t>
      </w:r>
      <w:r>
        <w:rPr>
          <w:szCs w:val="24"/>
        </w:rPr>
        <w:t>quintile</w:t>
      </w:r>
      <w:r w:rsidRPr="00E53BF9">
        <w:rPr>
          <w:szCs w:val="24"/>
        </w:rPr>
        <w:t xml:space="preserve"> as the reference group.</w:t>
      </w:r>
    </w:p>
    <w:p w14:paraId="7831C530" w14:textId="77777777" w:rsidR="000820A9" w:rsidRDefault="000820A9" w:rsidP="000820A9">
      <w:pPr>
        <w:rPr>
          <w:szCs w:val="24"/>
        </w:rPr>
      </w:pPr>
      <w:r w:rsidRPr="00AF78FE">
        <w:rPr>
          <w:szCs w:val="24"/>
        </w:rPr>
        <w:t xml:space="preserve">The study followed Hosmer and Lemeshow’s </w:t>
      </w:r>
      <w:r>
        <w:rPr>
          <w:szCs w:val="24"/>
        </w:rPr>
        <w:t>(1999)</w:t>
      </w:r>
      <w:r w:rsidRPr="00AF78FE">
        <w:rPr>
          <w:szCs w:val="24"/>
        </w:rPr>
        <w:t xml:space="preserve"> ‘purposeful selection of covariates’ for model selection</w:t>
      </w:r>
      <w:r>
        <w:rPr>
          <w:szCs w:val="24"/>
        </w:rPr>
        <w:t xml:space="preserve">, which included testing for interactions. </w:t>
      </w:r>
      <w:r w:rsidRPr="00EF1697">
        <w:rPr>
          <w:szCs w:val="24"/>
        </w:rPr>
        <w:t>The proportional hazards assumption, a required assumption of the model, was tested using both a formal significance test based on Schoenfeld residuals, along with plots of both the Schoenfeld residuals and cumulative hazards.</w:t>
      </w:r>
      <w:r>
        <w:rPr>
          <w:szCs w:val="24"/>
        </w:rPr>
        <w:t xml:space="preserve"> In all models, the admitting hospital catheterisation facilities variable violated the proportional hazards assumption, </w:t>
      </w:r>
      <w:r w:rsidRPr="00DD1E6C">
        <w:rPr>
          <w:szCs w:val="24"/>
        </w:rPr>
        <w:t xml:space="preserve">with </w:t>
      </w:r>
      <w:r>
        <w:rPr>
          <w:szCs w:val="24"/>
        </w:rPr>
        <w:t>the</w:t>
      </w:r>
      <w:r w:rsidRPr="00DD1E6C">
        <w:rPr>
          <w:szCs w:val="24"/>
        </w:rPr>
        <w:t xml:space="preserve"> cumulative hazard plot</w:t>
      </w:r>
      <w:r>
        <w:rPr>
          <w:szCs w:val="24"/>
        </w:rPr>
        <w:t>s</w:t>
      </w:r>
      <w:r w:rsidRPr="00DD1E6C">
        <w:rPr>
          <w:szCs w:val="24"/>
        </w:rPr>
        <w:t xml:space="preserve"> converging as time increased</w:t>
      </w:r>
      <w:r>
        <w:rPr>
          <w:szCs w:val="24"/>
        </w:rPr>
        <w:t>.</w:t>
      </w:r>
      <w:r>
        <w:rPr>
          <w:rFonts w:ascii="Times New Roman" w:hAnsi="Times New Roman"/>
          <w:szCs w:val="24"/>
        </w:rPr>
        <w:t xml:space="preserve"> </w:t>
      </w:r>
      <w:r w:rsidRPr="0068710E">
        <w:rPr>
          <w:szCs w:val="24"/>
        </w:rPr>
        <w:t xml:space="preserve">This showed that patients admitted to a cardiac hospital received revascularisation more quickly than a non-cardiac hospital in </w:t>
      </w:r>
      <w:r>
        <w:rPr>
          <w:szCs w:val="24"/>
        </w:rPr>
        <w:t xml:space="preserve">approximately </w:t>
      </w:r>
      <w:r w:rsidRPr="0068710E">
        <w:rPr>
          <w:szCs w:val="24"/>
        </w:rPr>
        <w:t xml:space="preserve">the first </w:t>
      </w:r>
      <w:r>
        <w:rPr>
          <w:szCs w:val="24"/>
        </w:rPr>
        <w:t xml:space="preserve">three weeks following admission. Over the rest of the study period the </w:t>
      </w:r>
      <w:r w:rsidRPr="0068710E">
        <w:rPr>
          <w:szCs w:val="24"/>
        </w:rPr>
        <w:t>likelihoods were proportional.</w:t>
      </w:r>
      <w:r>
        <w:rPr>
          <w:rFonts w:ascii="Times New Roman" w:hAnsi="Times New Roman"/>
          <w:szCs w:val="24"/>
        </w:rPr>
        <w:t xml:space="preserve"> </w:t>
      </w:r>
      <w:r w:rsidRPr="003F4A56">
        <w:rPr>
          <w:szCs w:val="24"/>
        </w:rPr>
        <w:t>A</w:t>
      </w:r>
      <w:r>
        <w:rPr>
          <w:szCs w:val="24"/>
        </w:rPr>
        <w:t xml:space="preserve">ll models were therefore </w:t>
      </w:r>
      <w:r w:rsidRPr="003F4A56">
        <w:rPr>
          <w:szCs w:val="24"/>
        </w:rPr>
        <w:t xml:space="preserve">stratified </w:t>
      </w:r>
      <w:r>
        <w:rPr>
          <w:szCs w:val="24"/>
        </w:rPr>
        <w:t xml:space="preserve">on the non-adhering variable of </w:t>
      </w:r>
      <w:r w:rsidRPr="003F4A56">
        <w:rPr>
          <w:szCs w:val="24"/>
        </w:rPr>
        <w:t xml:space="preserve">admitting hospital </w:t>
      </w:r>
      <w:r>
        <w:rPr>
          <w:szCs w:val="24"/>
        </w:rPr>
        <w:t>catheterisation facilities</w:t>
      </w:r>
      <w:r w:rsidRPr="003F4A56">
        <w:rPr>
          <w:szCs w:val="24"/>
        </w:rPr>
        <w:t>.</w:t>
      </w:r>
      <w:r>
        <w:rPr>
          <w:szCs w:val="24"/>
        </w:rPr>
        <w:t xml:space="preserve"> </w:t>
      </w:r>
      <w:r w:rsidRPr="00EF1697">
        <w:rPr>
          <w:szCs w:val="24"/>
        </w:rPr>
        <w:t>This meant t</w:t>
      </w:r>
      <w:r>
        <w:rPr>
          <w:szCs w:val="24"/>
        </w:rPr>
        <w:t>hat the variable</w:t>
      </w:r>
      <w:r w:rsidRPr="00EF1697">
        <w:rPr>
          <w:szCs w:val="24"/>
        </w:rPr>
        <w:t xml:space="preserve"> could be adjusted for in the modelling process without estimating its effect, due to its violation of the proportional hazards assumption.</w:t>
      </w:r>
      <w:r>
        <w:rPr>
          <w:szCs w:val="24"/>
        </w:rPr>
        <w:t xml:space="preserve"> The proportional hazards assumption was satisfied in all stratified models.</w:t>
      </w:r>
    </w:p>
    <w:p w14:paraId="2866BF45" w14:textId="77777777" w:rsidR="000820A9" w:rsidRDefault="000820A9" w:rsidP="000820A9">
      <w:pPr>
        <w:rPr>
          <w:szCs w:val="24"/>
        </w:rPr>
      </w:pPr>
      <w:r>
        <w:rPr>
          <w:szCs w:val="24"/>
        </w:rPr>
        <w:t>A sensitivity analysis was run with the most deprived quintile compared to all other quintiles combined, rather than only the least deprived quintile. This analysis produced similar results to the primary analysis.</w:t>
      </w:r>
    </w:p>
    <w:p w14:paraId="08C48539" w14:textId="77777777" w:rsidR="000820A9" w:rsidRDefault="000820A9" w:rsidP="000820A9">
      <w:pPr>
        <w:rPr>
          <w:szCs w:val="24"/>
        </w:rPr>
      </w:pPr>
      <w:r w:rsidRPr="00AF78FE">
        <w:rPr>
          <w:szCs w:val="24"/>
        </w:rPr>
        <w:t>Analy</w:t>
      </w:r>
      <w:r>
        <w:rPr>
          <w:szCs w:val="24"/>
        </w:rPr>
        <w:t>sis was performed using STATA13 (StataCorp 2013) in the SAIL gateway.</w:t>
      </w:r>
      <w:r w:rsidRPr="00D773F2">
        <w:rPr>
          <w:szCs w:val="24"/>
        </w:rPr>
        <w:t xml:space="preserve"> </w:t>
      </w:r>
    </w:p>
    <w:p w14:paraId="7637964C" w14:textId="77777777" w:rsidR="00BD5780" w:rsidRDefault="00BD5780" w:rsidP="00BD5780">
      <w:pPr>
        <w:spacing w:before="0"/>
        <w:jc w:val="left"/>
        <w:rPr>
          <w:szCs w:val="24"/>
        </w:rPr>
      </w:pPr>
    </w:p>
    <w:p w14:paraId="4D8DE376" w14:textId="77777777" w:rsidR="00BD5780" w:rsidRDefault="00BD5780" w:rsidP="00F936E0">
      <w:pPr>
        <w:spacing w:before="0"/>
        <w:jc w:val="left"/>
      </w:pPr>
    </w:p>
    <w:p w14:paraId="575BF777" w14:textId="77777777" w:rsidR="00BD5780" w:rsidRDefault="00BD5780" w:rsidP="00F936E0">
      <w:pPr>
        <w:spacing w:before="0"/>
        <w:jc w:val="left"/>
      </w:pPr>
    </w:p>
    <w:p w14:paraId="7E3162A6" w14:textId="77777777" w:rsidR="00BD5780" w:rsidRDefault="00BD5780" w:rsidP="00F936E0">
      <w:pPr>
        <w:spacing w:before="0"/>
        <w:jc w:val="left"/>
      </w:pPr>
    </w:p>
    <w:p w14:paraId="47A27304" w14:textId="77777777" w:rsidR="00BD5780" w:rsidRDefault="00BD5780" w:rsidP="00F936E0">
      <w:pPr>
        <w:spacing w:before="0"/>
        <w:jc w:val="left"/>
      </w:pPr>
    </w:p>
    <w:p w14:paraId="3E232BE8" w14:textId="77777777" w:rsidR="00BD5780" w:rsidRDefault="00BD5780" w:rsidP="00F936E0">
      <w:pPr>
        <w:spacing w:before="0"/>
        <w:jc w:val="left"/>
      </w:pPr>
    </w:p>
    <w:p w14:paraId="665839BF" w14:textId="77777777" w:rsidR="00BD5780" w:rsidRDefault="00BD5780" w:rsidP="00F936E0">
      <w:pPr>
        <w:spacing w:before="0"/>
        <w:jc w:val="left"/>
      </w:pPr>
    </w:p>
    <w:p w14:paraId="61AC45C0" w14:textId="77777777" w:rsidR="00BD5780" w:rsidRDefault="00BD5780" w:rsidP="00F936E0">
      <w:pPr>
        <w:spacing w:before="0"/>
        <w:jc w:val="left"/>
      </w:pPr>
    </w:p>
    <w:p w14:paraId="28FCD023" w14:textId="77777777" w:rsidR="00BD5780" w:rsidRDefault="00BD5780" w:rsidP="00F936E0">
      <w:pPr>
        <w:spacing w:before="0"/>
        <w:jc w:val="left"/>
      </w:pPr>
    </w:p>
    <w:p w14:paraId="05C98C16" w14:textId="77777777" w:rsidR="00BD5780" w:rsidRDefault="00BD5780" w:rsidP="00F936E0">
      <w:pPr>
        <w:spacing w:before="0"/>
        <w:jc w:val="left"/>
      </w:pPr>
    </w:p>
    <w:p w14:paraId="200FD267" w14:textId="77777777" w:rsidR="00BD5780" w:rsidRDefault="00BD5780" w:rsidP="00F936E0">
      <w:pPr>
        <w:spacing w:before="0"/>
        <w:jc w:val="left"/>
      </w:pPr>
    </w:p>
    <w:p w14:paraId="1A078BEB" w14:textId="77777777" w:rsidR="00BD5780" w:rsidRDefault="00BD5780" w:rsidP="00F936E0">
      <w:pPr>
        <w:spacing w:before="0"/>
        <w:jc w:val="left"/>
      </w:pPr>
    </w:p>
    <w:p w14:paraId="2E8F6953" w14:textId="77777777" w:rsidR="00BD5780" w:rsidRDefault="00BD5780" w:rsidP="00F936E0">
      <w:pPr>
        <w:spacing w:before="0"/>
        <w:jc w:val="left"/>
      </w:pPr>
    </w:p>
    <w:p w14:paraId="4EC85C69" w14:textId="77777777" w:rsidR="00BD5780" w:rsidRDefault="00BD5780" w:rsidP="00F936E0">
      <w:pPr>
        <w:spacing w:before="0"/>
        <w:jc w:val="left"/>
      </w:pPr>
    </w:p>
    <w:p w14:paraId="778DF804" w14:textId="77777777" w:rsidR="00BD5780" w:rsidRDefault="00BD5780" w:rsidP="00F936E0">
      <w:pPr>
        <w:spacing w:before="0"/>
        <w:jc w:val="left"/>
      </w:pPr>
    </w:p>
    <w:p w14:paraId="1C70A36C" w14:textId="77777777" w:rsidR="00BD5780" w:rsidRDefault="00BD5780" w:rsidP="00F936E0">
      <w:pPr>
        <w:spacing w:before="0"/>
        <w:jc w:val="left"/>
      </w:pPr>
    </w:p>
    <w:p w14:paraId="283A245A" w14:textId="77777777" w:rsidR="00BD5780" w:rsidRDefault="00BD5780" w:rsidP="00F936E0">
      <w:pPr>
        <w:spacing w:before="0"/>
        <w:jc w:val="left"/>
      </w:pPr>
    </w:p>
    <w:p w14:paraId="59915A6C" w14:textId="77777777" w:rsidR="00BD5780" w:rsidRDefault="00BD5780" w:rsidP="00F936E0">
      <w:pPr>
        <w:spacing w:before="0"/>
        <w:jc w:val="left"/>
      </w:pPr>
    </w:p>
    <w:p w14:paraId="3846D73F" w14:textId="77777777" w:rsidR="00BD5780" w:rsidRDefault="00BD5780" w:rsidP="00F936E0">
      <w:pPr>
        <w:spacing w:before="0"/>
        <w:jc w:val="left"/>
      </w:pPr>
    </w:p>
    <w:p w14:paraId="10BC68F3" w14:textId="77777777" w:rsidR="00BD5780" w:rsidRDefault="00BD5780" w:rsidP="00F936E0">
      <w:pPr>
        <w:spacing w:before="0"/>
        <w:jc w:val="left"/>
      </w:pPr>
    </w:p>
    <w:p w14:paraId="2712FCAF" w14:textId="77777777" w:rsidR="00BD5780" w:rsidRDefault="00BD5780" w:rsidP="00F936E0">
      <w:pPr>
        <w:spacing w:before="0"/>
        <w:jc w:val="left"/>
      </w:pPr>
    </w:p>
    <w:p w14:paraId="1E748737" w14:textId="77777777" w:rsidR="00BD5780" w:rsidRDefault="00BD5780" w:rsidP="00F936E0">
      <w:pPr>
        <w:spacing w:before="0"/>
        <w:jc w:val="left"/>
      </w:pPr>
    </w:p>
    <w:p w14:paraId="777400F3" w14:textId="77777777" w:rsidR="00BD5780" w:rsidRDefault="00BD5780" w:rsidP="00F936E0">
      <w:pPr>
        <w:spacing w:before="0"/>
        <w:jc w:val="left"/>
      </w:pPr>
    </w:p>
    <w:p w14:paraId="38555E6B" w14:textId="77777777" w:rsidR="00BD5780" w:rsidRDefault="00BD5780" w:rsidP="00F936E0">
      <w:pPr>
        <w:spacing w:before="0"/>
        <w:jc w:val="left"/>
      </w:pPr>
    </w:p>
    <w:p w14:paraId="3E13F754" w14:textId="77777777" w:rsidR="00BD5780" w:rsidRDefault="00BD5780" w:rsidP="00F936E0">
      <w:pPr>
        <w:spacing w:before="0"/>
        <w:jc w:val="left"/>
      </w:pPr>
    </w:p>
    <w:p w14:paraId="1F041DCC" w14:textId="77777777" w:rsidR="00BD5780" w:rsidRDefault="00BD5780" w:rsidP="00F936E0">
      <w:pPr>
        <w:spacing w:before="0"/>
        <w:jc w:val="left"/>
      </w:pPr>
    </w:p>
    <w:p w14:paraId="7BF7CB23" w14:textId="77777777" w:rsidR="00BD5780" w:rsidRDefault="00BD5780" w:rsidP="00F936E0">
      <w:pPr>
        <w:spacing w:before="0"/>
        <w:jc w:val="left"/>
      </w:pPr>
    </w:p>
    <w:p w14:paraId="6C38E81C" w14:textId="77777777" w:rsidR="004B5858" w:rsidRDefault="004B5858" w:rsidP="004B5858">
      <w:pPr>
        <w:pStyle w:val="Heading1"/>
        <w:keepNext/>
        <w:numPr>
          <w:ilvl w:val="0"/>
          <w:numId w:val="3"/>
        </w:numPr>
        <w:spacing w:before="360"/>
        <w:jc w:val="left"/>
      </w:pPr>
      <w:bookmarkStart w:id="46" w:name="_Toc376285990"/>
      <w:bookmarkStart w:id="47" w:name="_Toc398748540"/>
      <w:bookmarkStart w:id="48" w:name="_Toc451339986"/>
      <w:bookmarkStart w:id="49" w:name="_Toc500831805"/>
      <w:r w:rsidRPr="00ED4A59">
        <w:lastRenderedPageBreak/>
        <w:t>Results</w:t>
      </w:r>
      <w:bookmarkEnd w:id="46"/>
      <w:bookmarkEnd w:id="47"/>
      <w:r>
        <w:t xml:space="preserve"> – North Wales</w:t>
      </w:r>
      <w:bookmarkEnd w:id="48"/>
      <w:bookmarkEnd w:id="49"/>
    </w:p>
    <w:p w14:paraId="5E2D77AD" w14:textId="77777777" w:rsidR="004B5858" w:rsidRPr="004B5858" w:rsidRDefault="004B5858" w:rsidP="004B5858">
      <w:pPr>
        <w:pStyle w:val="Heading2"/>
        <w:rPr>
          <w:color w:val="3182BD"/>
          <w:szCs w:val="32"/>
        </w:rPr>
      </w:pPr>
      <w:bookmarkStart w:id="50" w:name="_Toc405981446"/>
      <w:bookmarkStart w:id="51" w:name="_Toc451339987"/>
      <w:bookmarkStart w:id="52" w:name="_Toc500831806"/>
      <w:r w:rsidRPr="004B5858">
        <w:rPr>
          <w:color w:val="3182BD"/>
          <w:szCs w:val="32"/>
        </w:rPr>
        <w:t>Baseline Characteristics</w:t>
      </w:r>
      <w:bookmarkEnd w:id="50"/>
      <w:bookmarkEnd w:id="51"/>
      <w:bookmarkEnd w:id="52"/>
    </w:p>
    <w:p w14:paraId="11550B48" w14:textId="77777777" w:rsidR="000820A9" w:rsidRPr="00237C72" w:rsidRDefault="000820A9" w:rsidP="000820A9">
      <w:pPr>
        <w:rPr>
          <w:szCs w:val="24"/>
        </w:rPr>
      </w:pPr>
      <w:bookmarkStart w:id="53" w:name="_Toc451339988"/>
      <w:r w:rsidRPr="00237C72">
        <w:rPr>
          <w:szCs w:val="24"/>
        </w:rPr>
        <w:t>Of the 12,525 patients in the study, 3,397 patients were in the north Wales cohort.</w:t>
      </w:r>
    </w:p>
    <w:p w14:paraId="069E7E0F" w14:textId="77777777" w:rsidR="000820A9" w:rsidRPr="00237C72" w:rsidRDefault="000820A9" w:rsidP="000820A9">
      <w:pPr>
        <w:rPr>
          <w:szCs w:val="24"/>
        </w:rPr>
      </w:pPr>
      <w:r>
        <w:rPr>
          <w:szCs w:val="24"/>
        </w:rPr>
        <w:t>P</w:t>
      </w:r>
      <w:r w:rsidRPr="00237C72">
        <w:rPr>
          <w:szCs w:val="24"/>
        </w:rPr>
        <w:t xml:space="preserve">atients in the most deprived </w:t>
      </w:r>
      <w:r>
        <w:rPr>
          <w:szCs w:val="24"/>
        </w:rPr>
        <w:t>quintile</w:t>
      </w:r>
      <w:r w:rsidRPr="00237C72">
        <w:rPr>
          <w:szCs w:val="24"/>
        </w:rPr>
        <w:t xml:space="preserve"> were more likely t</w:t>
      </w:r>
      <w:r>
        <w:rPr>
          <w:szCs w:val="24"/>
        </w:rPr>
        <w:t xml:space="preserve">han those in the least deprived </w:t>
      </w:r>
      <w:r w:rsidRPr="00237C72">
        <w:rPr>
          <w:szCs w:val="24"/>
        </w:rPr>
        <w:t>to be younger, in particular aged under 55</w:t>
      </w:r>
      <w:r>
        <w:rPr>
          <w:szCs w:val="24"/>
        </w:rPr>
        <w:t xml:space="preserve"> years</w:t>
      </w:r>
      <w:r w:rsidRPr="00237C72">
        <w:rPr>
          <w:szCs w:val="24"/>
        </w:rPr>
        <w:t>, resident in urban areas and admitted to hospitals wi</w:t>
      </w:r>
      <w:r>
        <w:rPr>
          <w:szCs w:val="24"/>
        </w:rPr>
        <w:t>th revascularisation facilities (Appendix 2: Table 1).</w:t>
      </w:r>
    </w:p>
    <w:p w14:paraId="0956C212" w14:textId="77777777" w:rsidR="000820A9" w:rsidRPr="00237C72" w:rsidRDefault="000820A9" w:rsidP="000820A9">
      <w:pPr>
        <w:rPr>
          <w:szCs w:val="24"/>
        </w:rPr>
      </w:pPr>
      <w:r>
        <w:rPr>
          <w:szCs w:val="24"/>
        </w:rPr>
        <w:t>P</w:t>
      </w:r>
      <w:r w:rsidRPr="00237C72">
        <w:rPr>
          <w:szCs w:val="24"/>
        </w:rPr>
        <w:t xml:space="preserve">atients in the most deprived </w:t>
      </w:r>
      <w:r>
        <w:rPr>
          <w:szCs w:val="24"/>
        </w:rPr>
        <w:t>quintile</w:t>
      </w:r>
      <w:r w:rsidRPr="00237C72">
        <w:rPr>
          <w:szCs w:val="24"/>
        </w:rPr>
        <w:t xml:space="preserve"> had the highest incidence rate of 6.10 revascularisations per 1,000 person-days post-AMI, with the lo</w:t>
      </w:r>
      <w:r>
        <w:rPr>
          <w:szCs w:val="24"/>
        </w:rPr>
        <w:t xml:space="preserve">west rate in the least deprived </w:t>
      </w:r>
      <w:r w:rsidRPr="00237C72">
        <w:rPr>
          <w:szCs w:val="24"/>
        </w:rPr>
        <w:t xml:space="preserve">with 5.18 revascularisations per 1,000 person-days post-AMI. However there was no significant difference </w:t>
      </w:r>
      <w:r>
        <w:rPr>
          <w:szCs w:val="24"/>
        </w:rPr>
        <w:t>in</w:t>
      </w:r>
      <w:r w:rsidRPr="00237C72">
        <w:rPr>
          <w:szCs w:val="24"/>
        </w:rPr>
        <w:t xml:space="preserve"> the incidence rates </w:t>
      </w:r>
      <w:r>
        <w:rPr>
          <w:szCs w:val="24"/>
        </w:rPr>
        <w:t>between</w:t>
      </w:r>
      <w:r w:rsidRPr="00237C72">
        <w:rPr>
          <w:szCs w:val="24"/>
        </w:rPr>
        <w:t xml:space="preserve"> </w:t>
      </w:r>
      <w:r>
        <w:rPr>
          <w:szCs w:val="24"/>
        </w:rPr>
        <w:t>quintiles (Appendix 2: Table 2)</w:t>
      </w:r>
      <w:r w:rsidRPr="00237C72">
        <w:rPr>
          <w:szCs w:val="24"/>
        </w:rPr>
        <w:t>. Overall in north Wales there were 5-times as many PC</w:t>
      </w:r>
      <w:r>
        <w:rPr>
          <w:szCs w:val="24"/>
        </w:rPr>
        <w:t>I procedures as CABG procedures.</w:t>
      </w:r>
    </w:p>
    <w:p w14:paraId="605FDDFD" w14:textId="77777777" w:rsidR="004B5858" w:rsidRPr="004B5858" w:rsidRDefault="004B5858" w:rsidP="004B5858">
      <w:pPr>
        <w:pStyle w:val="Heading2"/>
        <w:rPr>
          <w:color w:val="3182BD"/>
        </w:rPr>
      </w:pPr>
      <w:bookmarkStart w:id="54" w:name="_Toc500831807"/>
      <w:r w:rsidRPr="004B5858">
        <w:rPr>
          <w:color w:val="3182BD"/>
        </w:rPr>
        <w:t>Univariable Analysis</w:t>
      </w:r>
      <w:bookmarkEnd w:id="53"/>
      <w:bookmarkEnd w:id="54"/>
    </w:p>
    <w:p w14:paraId="58D42E9E" w14:textId="77777777" w:rsidR="000820A9" w:rsidRPr="008320FD" w:rsidRDefault="000820A9" w:rsidP="000820A9">
      <w:bookmarkStart w:id="55" w:name="_Toc451339989"/>
      <w:r>
        <w:t xml:space="preserve">Kaplan-Meier estimates showed that </w:t>
      </w:r>
      <w:r>
        <w:rPr>
          <w:szCs w:val="24"/>
        </w:rPr>
        <w:t>at any time during the six</w:t>
      </w:r>
      <w:r w:rsidRPr="00237C72">
        <w:rPr>
          <w:szCs w:val="24"/>
        </w:rPr>
        <w:t xml:space="preserve"> months follow-up those in the most deprived </w:t>
      </w:r>
      <w:r>
        <w:rPr>
          <w:szCs w:val="24"/>
        </w:rPr>
        <w:t>quintile</w:t>
      </w:r>
      <w:r w:rsidRPr="00237C72">
        <w:rPr>
          <w:szCs w:val="24"/>
        </w:rPr>
        <w:t xml:space="preserve"> were more likely to receive revascularisat</w:t>
      </w:r>
      <w:r>
        <w:rPr>
          <w:szCs w:val="24"/>
        </w:rPr>
        <w:t xml:space="preserve">ion than those in any other quintile. Only in the most deprived quintile did over one-half of patients receive revascularisation at the end of the six months follow-up. However, </w:t>
      </w:r>
      <w:r w:rsidRPr="00237C72">
        <w:rPr>
          <w:szCs w:val="24"/>
        </w:rPr>
        <w:t xml:space="preserve">the log rank </w:t>
      </w:r>
      <w:r>
        <w:rPr>
          <w:szCs w:val="24"/>
        </w:rPr>
        <w:t>test (p=0.31</w:t>
      </w:r>
      <w:r w:rsidRPr="00237C72">
        <w:rPr>
          <w:szCs w:val="24"/>
        </w:rPr>
        <w:t xml:space="preserve">) </w:t>
      </w:r>
      <w:r>
        <w:rPr>
          <w:szCs w:val="24"/>
        </w:rPr>
        <w:t>indicated</w:t>
      </w:r>
      <w:r w:rsidRPr="00237C72">
        <w:rPr>
          <w:szCs w:val="24"/>
        </w:rPr>
        <w:t xml:space="preserve"> no </w:t>
      </w:r>
      <w:r>
        <w:rPr>
          <w:szCs w:val="24"/>
        </w:rPr>
        <w:t xml:space="preserve">significant </w:t>
      </w:r>
      <w:r w:rsidRPr="00237C72">
        <w:rPr>
          <w:szCs w:val="24"/>
        </w:rPr>
        <w:t>difference in the ti</w:t>
      </w:r>
      <w:r>
        <w:rPr>
          <w:szCs w:val="24"/>
        </w:rPr>
        <w:t xml:space="preserve">me to revascularisation in the six </w:t>
      </w:r>
      <w:r w:rsidRPr="00237C72">
        <w:rPr>
          <w:szCs w:val="24"/>
        </w:rPr>
        <w:t xml:space="preserve">months follow-up between </w:t>
      </w:r>
      <w:r>
        <w:rPr>
          <w:szCs w:val="24"/>
        </w:rPr>
        <w:t>quintiles (Appendix 2: Figure 1)</w:t>
      </w:r>
      <w:r w:rsidRPr="00237C72">
        <w:rPr>
          <w:szCs w:val="24"/>
        </w:rPr>
        <w:t>.</w:t>
      </w:r>
    </w:p>
    <w:p w14:paraId="5F0D38F7" w14:textId="77777777" w:rsidR="004B5858" w:rsidRPr="004B5858" w:rsidRDefault="004B5858" w:rsidP="004B5858">
      <w:pPr>
        <w:pStyle w:val="Heading2"/>
        <w:rPr>
          <w:color w:val="3182BD"/>
        </w:rPr>
      </w:pPr>
      <w:bookmarkStart w:id="56" w:name="_Toc500831808"/>
      <w:r w:rsidRPr="004B5858">
        <w:rPr>
          <w:color w:val="3182BD"/>
        </w:rPr>
        <w:t>Multivariable Analysis</w:t>
      </w:r>
      <w:bookmarkEnd w:id="55"/>
      <w:bookmarkEnd w:id="56"/>
    </w:p>
    <w:p w14:paraId="194F4635" w14:textId="77777777" w:rsidR="000820A9" w:rsidRDefault="000820A9" w:rsidP="000820A9">
      <w:pPr>
        <w:rPr>
          <w:szCs w:val="24"/>
        </w:rPr>
      </w:pPr>
      <w:r>
        <w:rPr>
          <w:szCs w:val="24"/>
        </w:rPr>
        <w:t>T</w:t>
      </w:r>
      <w:r w:rsidRPr="00C82A7D">
        <w:rPr>
          <w:szCs w:val="24"/>
        </w:rPr>
        <w:t>here was no significant difference in the likelihood of revascularisation at any time during the six months follow-up between quintiles</w:t>
      </w:r>
      <w:r>
        <w:rPr>
          <w:szCs w:val="24"/>
        </w:rPr>
        <w:t>,</w:t>
      </w:r>
      <w:r w:rsidRPr="00C82A7D">
        <w:rPr>
          <w:szCs w:val="24"/>
        </w:rPr>
        <w:t xml:space="preserve"> having adjusted for the effects of gender</w:t>
      </w:r>
      <w:r>
        <w:rPr>
          <w:szCs w:val="24"/>
        </w:rPr>
        <w:t xml:space="preserve">, </w:t>
      </w:r>
      <w:r w:rsidRPr="00C82A7D">
        <w:rPr>
          <w:szCs w:val="24"/>
        </w:rPr>
        <w:t>age</w:t>
      </w:r>
      <w:r>
        <w:rPr>
          <w:szCs w:val="24"/>
        </w:rPr>
        <w:t xml:space="preserve"> and comorbidities</w:t>
      </w:r>
      <w:r w:rsidRPr="00C82A7D">
        <w:rPr>
          <w:szCs w:val="24"/>
        </w:rPr>
        <w:t>,</w:t>
      </w:r>
      <w:r>
        <w:rPr>
          <w:szCs w:val="24"/>
        </w:rPr>
        <w:t xml:space="preserve"> and</w:t>
      </w:r>
      <w:r w:rsidRPr="00C82A7D">
        <w:rPr>
          <w:szCs w:val="24"/>
        </w:rPr>
        <w:t xml:space="preserve"> stratified on </w:t>
      </w:r>
      <w:r>
        <w:rPr>
          <w:szCs w:val="24"/>
        </w:rPr>
        <w:t>the admitting hospital catheterisation facilities variable</w:t>
      </w:r>
      <w:r w:rsidRPr="00C82A7D">
        <w:rPr>
          <w:szCs w:val="24"/>
        </w:rPr>
        <w:t xml:space="preserve"> (Table </w:t>
      </w:r>
      <w:r w:rsidR="004221C5">
        <w:rPr>
          <w:szCs w:val="24"/>
        </w:rPr>
        <w:t>3</w:t>
      </w:r>
      <w:r>
        <w:rPr>
          <w:szCs w:val="24"/>
        </w:rPr>
        <w:t xml:space="preserve">.1, Figure </w:t>
      </w:r>
      <w:r w:rsidR="004221C5">
        <w:rPr>
          <w:szCs w:val="24"/>
        </w:rPr>
        <w:t>3</w:t>
      </w:r>
      <w:r>
        <w:rPr>
          <w:szCs w:val="24"/>
        </w:rPr>
        <w:t>.1</w:t>
      </w:r>
      <w:r w:rsidRPr="00C82A7D">
        <w:rPr>
          <w:szCs w:val="24"/>
        </w:rPr>
        <w:t>).</w:t>
      </w:r>
      <w:r>
        <w:rPr>
          <w:szCs w:val="24"/>
        </w:rPr>
        <w:t xml:space="preserve"> The rural-urban classification was removed from the model, due to being non-significant in the multivariable model.</w:t>
      </w:r>
    </w:p>
    <w:p w14:paraId="11451701" w14:textId="77777777" w:rsidR="000820A9" w:rsidRDefault="000820A9" w:rsidP="000820A9">
      <w:pPr>
        <w:rPr>
          <w:szCs w:val="24"/>
        </w:rPr>
      </w:pPr>
      <w:r>
        <w:rPr>
          <w:szCs w:val="24"/>
        </w:rPr>
        <w:t xml:space="preserve">However, females were 33% less likely to receive revascularisation at any time in the six months follow-up compared to males </w:t>
      </w:r>
      <w:r w:rsidRPr="00C82A7D">
        <w:rPr>
          <w:szCs w:val="24"/>
        </w:rPr>
        <w:t>(HR=0.67; 95% CI: 0.</w:t>
      </w:r>
      <w:r>
        <w:rPr>
          <w:szCs w:val="24"/>
        </w:rPr>
        <w:t>60 to 0.75, p</w:t>
      </w:r>
      <w:r w:rsidRPr="00C82A7D">
        <w:rPr>
          <w:szCs w:val="24"/>
        </w:rPr>
        <w:t>&lt;0.001)</w:t>
      </w:r>
      <w:r>
        <w:rPr>
          <w:szCs w:val="24"/>
        </w:rPr>
        <w:t xml:space="preserve">, while those aged 75+ were 65% less likely to receive revascularisation compared to those aged 35-54 years </w:t>
      </w:r>
      <w:r w:rsidRPr="00C82A7D">
        <w:rPr>
          <w:szCs w:val="24"/>
        </w:rPr>
        <w:t>(HR=0.</w:t>
      </w:r>
      <w:r>
        <w:rPr>
          <w:szCs w:val="24"/>
        </w:rPr>
        <w:t>35</w:t>
      </w:r>
      <w:r w:rsidRPr="00C82A7D">
        <w:rPr>
          <w:szCs w:val="24"/>
        </w:rPr>
        <w:t>; 95% CI: 0.</w:t>
      </w:r>
      <w:r>
        <w:rPr>
          <w:szCs w:val="24"/>
        </w:rPr>
        <w:t xml:space="preserve">30 to </w:t>
      </w:r>
      <w:r w:rsidRPr="00C82A7D">
        <w:rPr>
          <w:szCs w:val="24"/>
        </w:rPr>
        <w:t>0.</w:t>
      </w:r>
      <w:r>
        <w:rPr>
          <w:szCs w:val="24"/>
        </w:rPr>
        <w:t>41, p</w:t>
      </w:r>
      <w:r w:rsidRPr="00C82A7D">
        <w:rPr>
          <w:szCs w:val="24"/>
        </w:rPr>
        <w:t>&lt;0.001)</w:t>
      </w:r>
      <w:r>
        <w:rPr>
          <w:szCs w:val="24"/>
        </w:rPr>
        <w:t>. Increasing number of comorbidities was associated with a significant decreased likelihood of revascularisation, with those with 3 or more comorbidities 70% less likely to receive revascularisation compared to those with no comorbidities (HR=0.30; 95% CI:0.24 to 0.38, p&lt;0.001).</w:t>
      </w:r>
    </w:p>
    <w:p w14:paraId="22903A3C" w14:textId="77777777" w:rsidR="004B5858" w:rsidRDefault="004221C5" w:rsidP="004B5858">
      <w:pPr>
        <w:rPr>
          <w:szCs w:val="24"/>
        </w:rPr>
      </w:pPr>
      <w:r w:rsidRPr="004221C5">
        <w:rPr>
          <w:noProof/>
          <w:szCs w:val="24"/>
        </w:rPr>
        <w:lastRenderedPageBreak/>
        <w:drawing>
          <wp:inline distT="0" distB="0" distL="0" distR="0" wp14:anchorId="0175633A" wp14:editId="0F6C6884">
            <wp:extent cx="3429000" cy="6677025"/>
            <wp:effectExtent l="1905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3429000" cy="6677025"/>
                    </a:xfrm>
                    <a:prstGeom prst="rect">
                      <a:avLst/>
                    </a:prstGeom>
                    <a:noFill/>
                    <a:ln w="9525">
                      <a:noFill/>
                      <a:miter lim="800000"/>
                      <a:headEnd/>
                      <a:tailEnd/>
                    </a:ln>
                  </pic:spPr>
                </pic:pic>
              </a:graphicData>
            </a:graphic>
          </wp:inline>
        </w:drawing>
      </w:r>
    </w:p>
    <w:p w14:paraId="1216E478" w14:textId="77777777" w:rsidR="004B5858" w:rsidRDefault="004221C5" w:rsidP="004B5858">
      <w:pPr>
        <w:rPr>
          <w:szCs w:val="24"/>
        </w:rPr>
      </w:pPr>
      <w:r w:rsidRPr="004221C5">
        <w:rPr>
          <w:noProof/>
          <w:szCs w:val="24"/>
        </w:rPr>
        <w:lastRenderedPageBreak/>
        <w:drawing>
          <wp:inline distT="0" distB="0" distL="0" distR="0" wp14:anchorId="4CF23C28" wp14:editId="03FA97B1">
            <wp:extent cx="5372100" cy="38766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a:stretch>
                      <a:fillRect/>
                    </a:stretch>
                  </pic:blipFill>
                  <pic:spPr bwMode="auto">
                    <a:xfrm>
                      <a:off x="0" y="0"/>
                      <a:ext cx="5372100" cy="3876675"/>
                    </a:xfrm>
                    <a:prstGeom prst="rect">
                      <a:avLst/>
                    </a:prstGeom>
                    <a:noFill/>
                    <a:ln w="9525">
                      <a:noFill/>
                      <a:miter lim="800000"/>
                      <a:headEnd/>
                      <a:tailEnd/>
                    </a:ln>
                  </pic:spPr>
                </pic:pic>
              </a:graphicData>
            </a:graphic>
          </wp:inline>
        </w:drawing>
      </w:r>
    </w:p>
    <w:p w14:paraId="13478CD0" w14:textId="77777777" w:rsidR="004B5858" w:rsidRDefault="004B5858" w:rsidP="004B5858">
      <w:pPr>
        <w:rPr>
          <w:szCs w:val="24"/>
        </w:rPr>
      </w:pPr>
    </w:p>
    <w:p w14:paraId="3AF1CA66" w14:textId="77777777" w:rsidR="004B5858" w:rsidRDefault="004B5858" w:rsidP="004B5858">
      <w:pPr>
        <w:rPr>
          <w:szCs w:val="24"/>
        </w:rPr>
      </w:pPr>
    </w:p>
    <w:p w14:paraId="68EE85CA" w14:textId="77777777" w:rsidR="004B5858" w:rsidRDefault="004B5858" w:rsidP="004B5858">
      <w:pPr>
        <w:rPr>
          <w:szCs w:val="24"/>
        </w:rPr>
      </w:pPr>
    </w:p>
    <w:p w14:paraId="218F9550" w14:textId="77777777" w:rsidR="004B5858" w:rsidRDefault="004B5858" w:rsidP="004B5858">
      <w:pPr>
        <w:rPr>
          <w:szCs w:val="24"/>
        </w:rPr>
      </w:pPr>
    </w:p>
    <w:p w14:paraId="1C5FEC5D" w14:textId="77777777" w:rsidR="00842C43" w:rsidRDefault="00842C43" w:rsidP="004B5858">
      <w:pPr>
        <w:rPr>
          <w:szCs w:val="24"/>
        </w:rPr>
      </w:pPr>
    </w:p>
    <w:p w14:paraId="26FB7E82" w14:textId="77777777" w:rsidR="00842C43" w:rsidRDefault="00842C43" w:rsidP="004B5858">
      <w:pPr>
        <w:rPr>
          <w:szCs w:val="24"/>
        </w:rPr>
      </w:pPr>
    </w:p>
    <w:p w14:paraId="19310916" w14:textId="77777777" w:rsidR="00842C43" w:rsidRDefault="00842C43" w:rsidP="004B5858">
      <w:pPr>
        <w:rPr>
          <w:szCs w:val="24"/>
        </w:rPr>
      </w:pPr>
    </w:p>
    <w:p w14:paraId="09364BE4" w14:textId="77777777" w:rsidR="00842C43" w:rsidRDefault="00842C43" w:rsidP="004B5858">
      <w:pPr>
        <w:rPr>
          <w:szCs w:val="24"/>
        </w:rPr>
      </w:pPr>
    </w:p>
    <w:p w14:paraId="030A1477" w14:textId="77777777" w:rsidR="00842C43" w:rsidRDefault="00842C43" w:rsidP="004B5858">
      <w:pPr>
        <w:rPr>
          <w:szCs w:val="24"/>
        </w:rPr>
      </w:pPr>
    </w:p>
    <w:p w14:paraId="34BFDA45" w14:textId="77777777" w:rsidR="00842C43" w:rsidRDefault="00842C43" w:rsidP="004B5858">
      <w:pPr>
        <w:rPr>
          <w:szCs w:val="24"/>
        </w:rPr>
      </w:pPr>
    </w:p>
    <w:p w14:paraId="3F255605" w14:textId="77777777" w:rsidR="00842C43" w:rsidRDefault="00842C43" w:rsidP="004B5858">
      <w:pPr>
        <w:rPr>
          <w:szCs w:val="24"/>
        </w:rPr>
      </w:pPr>
    </w:p>
    <w:p w14:paraId="1661DD34" w14:textId="77777777" w:rsidR="00842C43" w:rsidRDefault="00842C43" w:rsidP="004B5858">
      <w:pPr>
        <w:rPr>
          <w:szCs w:val="24"/>
        </w:rPr>
      </w:pPr>
    </w:p>
    <w:p w14:paraId="436FD022" w14:textId="77777777" w:rsidR="004B5858" w:rsidRDefault="004B5858" w:rsidP="004B5858">
      <w:pPr>
        <w:rPr>
          <w:szCs w:val="24"/>
        </w:rPr>
      </w:pPr>
    </w:p>
    <w:p w14:paraId="339083B1" w14:textId="77777777" w:rsidR="004B5858" w:rsidRPr="00545DFC" w:rsidRDefault="004B5858" w:rsidP="004B5858">
      <w:pPr>
        <w:pStyle w:val="Heading1"/>
        <w:keepNext/>
        <w:numPr>
          <w:ilvl w:val="0"/>
          <w:numId w:val="3"/>
        </w:numPr>
        <w:spacing w:before="360"/>
        <w:jc w:val="left"/>
        <w:rPr>
          <w:szCs w:val="36"/>
        </w:rPr>
      </w:pPr>
      <w:bookmarkStart w:id="57" w:name="_Toc451339990"/>
      <w:bookmarkStart w:id="58" w:name="_Toc500831809"/>
      <w:r w:rsidRPr="00545DFC">
        <w:rPr>
          <w:szCs w:val="36"/>
        </w:rPr>
        <w:lastRenderedPageBreak/>
        <w:t>Results – South Wales</w:t>
      </w:r>
      <w:bookmarkEnd w:id="57"/>
      <w:bookmarkEnd w:id="58"/>
    </w:p>
    <w:p w14:paraId="4A18E0E3" w14:textId="77777777" w:rsidR="004B5858" w:rsidRPr="004B5858" w:rsidRDefault="004B5858" w:rsidP="004B5858">
      <w:pPr>
        <w:pStyle w:val="Heading2"/>
        <w:rPr>
          <w:color w:val="3182BD"/>
          <w:szCs w:val="32"/>
        </w:rPr>
      </w:pPr>
      <w:bookmarkStart w:id="59" w:name="_Toc405981461"/>
      <w:bookmarkStart w:id="60" w:name="_Toc451339991"/>
      <w:bookmarkStart w:id="61" w:name="_Toc500831810"/>
      <w:r w:rsidRPr="004B5858">
        <w:rPr>
          <w:color w:val="3182BD"/>
          <w:szCs w:val="32"/>
        </w:rPr>
        <w:t>Baseline Characteristics</w:t>
      </w:r>
      <w:bookmarkEnd w:id="59"/>
      <w:bookmarkEnd w:id="60"/>
      <w:bookmarkEnd w:id="61"/>
    </w:p>
    <w:p w14:paraId="37783829" w14:textId="77777777" w:rsidR="000820A9" w:rsidRDefault="000820A9" w:rsidP="000820A9">
      <w:pPr>
        <w:rPr>
          <w:szCs w:val="24"/>
        </w:rPr>
      </w:pPr>
      <w:bookmarkStart w:id="62" w:name="_Toc451339992"/>
      <w:r w:rsidRPr="00EB688A">
        <w:rPr>
          <w:szCs w:val="24"/>
        </w:rPr>
        <w:t xml:space="preserve">5,431 patients were in the south Wales 2010-11 cohort </w:t>
      </w:r>
      <w:r w:rsidRPr="00051A54">
        <w:rPr>
          <w:szCs w:val="24"/>
        </w:rPr>
        <w:t>(01/1/2010 to 31/12/2011) and 3,697 patients in the south Wales 2012-13 cohort (01/01/2012 to 30/06/2013).</w:t>
      </w:r>
    </w:p>
    <w:p w14:paraId="1A0F529D" w14:textId="77777777" w:rsidR="000820A9" w:rsidRDefault="000820A9" w:rsidP="000820A9">
      <w:pPr>
        <w:rPr>
          <w:szCs w:val="24"/>
        </w:rPr>
      </w:pPr>
      <w:r w:rsidRPr="00202B52">
        <w:rPr>
          <w:szCs w:val="24"/>
        </w:rPr>
        <w:t xml:space="preserve">In both cohorts, patients in the most deprived </w:t>
      </w:r>
      <w:r>
        <w:rPr>
          <w:szCs w:val="24"/>
        </w:rPr>
        <w:t>quintile</w:t>
      </w:r>
      <w:r w:rsidRPr="00202B52">
        <w:rPr>
          <w:szCs w:val="24"/>
        </w:rPr>
        <w:t xml:space="preserve"> were more likely than those in the least deprived to be younger, in particular aged under 55 years, resident in urban areas, have more comorbidities and admitted to hospitals with no revascularisation facilities (</w:t>
      </w:r>
      <w:r>
        <w:rPr>
          <w:szCs w:val="24"/>
        </w:rPr>
        <w:t xml:space="preserve">Appendix 3: </w:t>
      </w:r>
      <w:r w:rsidRPr="00202B52">
        <w:rPr>
          <w:szCs w:val="24"/>
        </w:rPr>
        <w:t>Table 1; Table 2).</w:t>
      </w:r>
      <w:r>
        <w:rPr>
          <w:rFonts w:ascii="Times New Roman" w:hAnsi="Times New Roman"/>
          <w:szCs w:val="24"/>
        </w:rPr>
        <w:t xml:space="preserve"> </w:t>
      </w:r>
    </w:p>
    <w:p w14:paraId="58E12315" w14:textId="77777777" w:rsidR="000820A9" w:rsidRPr="00202B52" w:rsidRDefault="000820A9" w:rsidP="000820A9">
      <w:pPr>
        <w:rPr>
          <w:szCs w:val="24"/>
        </w:rPr>
      </w:pPr>
      <w:r>
        <w:rPr>
          <w:szCs w:val="24"/>
        </w:rPr>
        <w:t xml:space="preserve">In both cohorts, patients in the most deprived quintile had the lowest incidence rate of revascularisation. However, the incidence rate in each quintile in the 2012-13 cohort was statistically significantly higher than the rate in each quintile in the 2010-11 cohort (Appendix 3: Table 3). </w:t>
      </w:r>
      <w:r w:rsidRPr="00202B52">
        <w:rPr>
          <w:szCs w:val="24"/>
        </w:rPr>
        <w:t xml:space="preserve">There were 4-times as many PCI procedures as CABG procedures in the 2010-11 cohort, this rose to 6-fold in the 2012-13 cohort. </w:t>
      </w:r>
    </w:p>
    <w:p w14:paraId="500BB27F" w14:textId="77777777" w:rsidR="004B5858" w:rsidRPr="004B5858" w:rsidRDefault="004B5858" w:rsidP="004B5858">
      <w:pPr>
        <w:pStyle w:val="Heading2"/>
        <w:rPr>
          <w:color w:val="3182BD"/>
        </w:rPr>
      </w:pPr>
      <w:bookmarkStart w:id="63" w:name="_Toc500831811"/>
      <w:r w:rsidRPr="004B5858">
        <w:rPr>
          <w:color w:val="3182BD"/>
        </w:rPr>
        <w:t>Univariable Analysis</w:t>
      </w:r>
      <w:bookmarkEnd w:id="62"/>
      <w:bookmarkEnd w:id="63"/>
    </w:p>
    <w:p w14:paraId="6BCB921E" w14:textId="77777777" w:rsidR="000820A9" w:rsidRPr="00C82A7D" w:rsidRDefault="000820A9" w:rsidP="000820A9">
      <w:pPr>
        <w:rPr>
          <w:szCs w:val="24"/>
        </w:rPr>
      </w:pPr>
      <w:bookmarkStart w:id="64" w:name="_Toc451339993"/>
      <w:r w:rsidRPr="00C82A7D">
        <w:rPr>
          <w:szCs w:val="24"/>
        </w:rPr>
        <w:t xml:space="preserve">Kaplan-Meier estimates confirmed that the most deprived </w:t>
      </w:r>
      <w:r>
        <w:rPr>
          <w:szCs w:val="24"/>
        </w:rPr>
        <w:t>quintile</w:t>
      </w:r>
      <w:r w:rsidRPr="00C82A7D">
        <w:rPr>
          <w:szCs w:val="24"/>
        </w:rPr>
        <w:t xml:space="preserve"> received </w:t>
      </w:r>
      <w:r>
        <w:rPr>
          <w:szCs w:val="24"/>
        </w:rPr>
        <w:t xml:space="preserve">the least </w:t>
      </w:r>
      <w:r w:rsidRPr="00C82A7D">
        <w:rPr>
          <w:szCs w:val="24"/>
        </w:rPr>
        <w:t>revascularisation in the six months following admission</w:t>
      </w:r>
      <w:r>
        <w:rPr>
          <w:szCs w:val="24"/>
        </w:rPr>
        <w:t xml:space="preserve"> for a first AMI in both cohorts</w:t>
      </w:r>
      <w:r w:rsidRPr="00C82A7D">
        <w:rPr>
          <w:szCs w:val="24"/>
        </w:rPr>
        <w:t xml:space="preserve"> (2010-11=41.5%; 2012-13=52.1%). </w:t>
      </w:r>
      <w:r>
        <w:rPr>
          <w:szCs w:val="24"/>
        </w:rPr>
        <w:t xml:space="preserve">The time to revascularisation was statistically significantly longer for the most deprived quintile </w:t>
      </w:r>
      <w:r w:rsidRPr="00C82A7D">
        <w:rPr>
          <w:szCs w:val="24"/>
        </w:rPr>
        <w:t>in 2010-11</w:t>
      </w:r>
      <w:r>
        <w:rPr>
          <w:szCs w:val="24"/>
        </w:rPr>
        <w:t xml:space="preserve"> compared to the other quintiles (p=0.02).</w:t>
      </w:r>
      <w:r w:rsidRPr="00C82A7D">
        <w:rPr>
          <w:szCs w:val="24"/>
        </w:rPr>
        <w:t xml:space="preserve"> However, no</w:t>
      </w:r>
      <w:r>
        <w:rPr>
          <w:szCs w:val="24"/>
        </w:rPr>
        <w:t xml:space="preserve"> significant</w:t>
      </w:r>
      <w:r w:rsidRPr="00C82A7D">
        <w:rPr>
          <w:szCs w:val="24"/>
        </w:rPr>
        <w:t xml:space="preserve"> difference </w:t>
      </w:r>
      <w:r>
        <w:rPr>
          <w:szCs w:val="24"/>
        </w:rPr>
        <w:t xml:space="preserve">was seen </w:t>
      </w:r>
      <w:r w:rsidRPr="00C82A7D">
        <w:rPr>
          <w:szCs w:val="24"/>
        </w:rPr>
        <w:t>in the equality of time to revascularisation between quintiles</w:t>
      </w:r>
      <w:r>
        <w:rPr>
          <w:szCs w:val="24"/>
        </w:rPr>
        <w:t xml:space="preserve"> in 2012-13 (p=0.78)</w:t>
      </w:r>
      <w:r w:rsidRPr="00C82A7D">
        <w:rPr>
          <w:szCs w:val="24"/>
        </w:rPr>
        <w:t>.</w:t>
      </w:r>
    </w:p>
    <w:p w14:paraId="7BB17CE2" w14:textId="77777777" w:rsidR="000820A9" w:rsidRPr="00C82A7D" w:rsidRDefault="000820A9" w:rsidP="000820A9">
      <w:pPr>
        <w:rPr>
          <w:szCs w:val="24"/>
        </w:rPr>
      </w:pPr>
      <w:r w:rsidRPr="00C82A7D">
        <w:rPr>
          <w:szCs w:val="24"/>
        </w:rPr>
        <w:t xml:space="preserve">Kaplan-Meier estimates showed that </w:t>
      </w:r>
      <w:r>
        <w:rPr>
          <w:szCs w:val="24"/>
        </w:rPr>
        <w:t xml:space="preserve">the </w:t>
      </w:r>
      <w:r w:rsidRPr="00C82A7D">
        <w:rPr>
          <w:szCs w:val="24"/>
        </w:rPr>
        <w:t xml:space="preserve">proportion of patients receiving revascularisation on the first day following admission doubled between the two cohorts to between 17%-20% for all quintiles </w:t>
      </w:r>
      <w:r>
        <w:rPr>
          <w:szCs w:val="24"/>
        </w:rPr>
        <w:t>in the 2012-13 cohort</w:t>
      </w:r>
      <w:r w:rsidRPr="00C82A7D">
        <w:rPr>
          <w:szCs w:val="24"/>
        </w:rPr>
        <w:t xml:space="preserve">. In addition, a greater proportion of patients in all quintiles received revascularisation in the first month post-AMI admission in the 2012-13 cohort </w:t>
      </w:r>
      <w:r>
        <w:rPr>
          <w:szCs w:val="24"/>
        </w:rPr>
        <w:t xml:space="preserve">compared to </w:t>
      </w:r>
      <w:r w:rsidRPr="00C82A7D">
        <w:rPr>
          <w:szCs w:val="24"/>
        </w:rPr>
        <w:t>six-months post-AMI admission in the 2010-11</w:t>
      </w:r>
      <w:r>
        <w:rPr>
          <w:szCs w:val="24"/>
        </w:rPr>
        <w:t xml:space="preserve"> cohort (Appendix 3: Figure 1; Figure 2)</w:t>
      </w:r>
      <w:r w:rsidRPr="00C82A7D">
        <w:rPr>
          <w:szCs w:val="24"/>
        </w:rPr>
        <w:t>.</w:t>
      </w:r>
      <w:r>
        <w:rPr>
          <w:szCs w:val="24"/>
        </w:rPr>
        <w:t xml:space="preserve">  </w:t>
      </w:r>
    </w:p>
    <w:p w14:paraId="6310F132" w14:textId="77777777" w:rsidR="004B5858" w:rsidRPr="004B5858" w:rsidRDefault="004B5858" w:rsidP="004B5858">
      <w:pPr>
        <w:pStyle w:val="Heading2"/>
        <w:rPr>
          <w:color w:val="3182BD"/>
        </w:rPr>
      </w:pPr>
      <w:bookmarkStart w:id="65" w:name="_Toc500831812"/>
      <w:r w:rsidRPr="004B5858">
        <w:rPr>
          <w:color w:val="3182BD"/>
        </w:rPr>
        <w:t>Multivariable analysis</w:t>
      </w:r>
      <w:bookmarkEnd w:id="64"/>
      <w:bookmarkEnd w:id="65"/>
    </w:p>
    <w:p w14:paraId="1C01F830" w14:textId="77777777" w:rsidR="000820A9" w:rsidRPr="00C82A7D" w:rsidRDefault="000820A9" w:rsidP="000820A9">
      <w:pPr>
        <w:rPr>
          <w:szCs w:val="24"/>
        </w:rPr>
      </w:pPr>
      <w:r w:rsidRPr="00C82A7D">
        <w:rPr>
          <w:szCs w:val="24"/>
        </w:rPr>
        <w:t>In the 2010-11 cohort, there was a significant difference in the time to revascularisation between quintiles, with those in the most deprived quintile 20% (HR=</w:t>
      </w:r>
      <w:r>
        <w:rPr>
          <w:szCs w:val="24"/>
        </w:rPr>
        <w:t>0.80; 95% CI: 0.69 to 0.92, p</w:t>
      </w:r>
      <w:r w:rsidRPr="00C82A7D">
        <w:rPr>
          <w:szCs w:val="24"/>
        </w:rPr>
        <w:t xml:space="preserve">=0.002) less likely to receive revascularisation at any time during the six months follow-up compared to those in the least deprived. However in the 2012-13 cohort, there was no significant difference in the likelihood of revascularisation at any time during the six months follow-up </w:t>
      </w:r>
      <w:r>
        <w:rPr>
          <w:szCs w:val="24"/>
        </w:rPr>
        <w:t xml:space="preserve">for patients in the most deprived quintile compared to the least </w:t>
      </w:r>
      <w:r w:rsidRPr="00A863BC">
        <w:rPr>
          <w:szCs w:val="24"/>
        </w:rPr>
        <w:t>deprived (H</w:t>
      </w:r>
      <w:r>
        <w:rPr>
          <w:szCs w:val="24"/>
        </w:rPr>
        <w:t>R=</w:t>
      </w:r>
      <w:r w:rsidRPr="00A863BC">
        <w:rPr>
          <w:szCs w:val="24"/>
        </w:rPr>
        <w:t>1.04; 95% CI</w:t>
      </w:r>
      <w:r>
        <w:rPr>
          <w:szCs w:val="24"/>
        </w:rPr>
        <w:t>:</w:t>
      </w:r>
      <w:r w:rsidRPr="00A863BC">
        <w:rPr>
          <w:szCs w:val="24"/>
        </w:rPr>
        <w:t xml:space="preserve"> 0.89 to 1.20, p&lt;0.649),</w:t>
      </w:r>
      <w:r>
        <w:rPr>
          <w:szCs w:val="24"/>
        </w:rPr>
        <w:t xml:space="preserve"> </w:t>
      </w:r>
      <w:r w:rsidRPr="00C82A7D">
        <w:rPr>
          <w:szCs w:val="24"/>
        </w:rPr>
        <w:t>having adjusted for the effects of gender, age, rural-urban classification</w:t>
      </w:r>
      <w:r>
        <w:rPr>
          <w:szCs w:val="24"/>
        </w:rPr>
        <w:t>, comorbidities</w:t>
      </w:r>
      <w:r w:rsidRPr="00C82A7D">
        <w:rPr>
          <w:szCs w:val="24"/>
        </w:rPr>
        <w:t xml:space="preserve"> and stratified on the admitting hospital </w:t>
      </w:r>
      <w:r>
        <w:rPr>
          <w:szCs w:val="24"/>
        </w:rPr>
        <w:t>catheterisation facilities variable</w:t>
      </w:r>
      <w:r w:rsidRPr="00C82A7D">
        <w:rPr>
          <w:szCs w:val="24"/>
        </w:rPr>
        <w:t xml:space="preserve"> (Table </w:t>
      </w:r>
      <w:r w:rsidR="004221C5">
        <w:rPr>
          <w:szCs w:val="24"/>
        </w:rPr>
        <w:t>4</w:t>
      </w:r>
      <w:r>
        <w:rPr>
          <w:szCs w:val="24"/>
        </w:rPr>
        <w:t xml:space="preserve">.1, Figure </w:t>
      </w:r>
      <w:r w:rsidR="004221C5">
        <w:rPr>
          <w:szCs w:val="24"/>
        </w:rPr>
        <w:t>4</w:t>
      </w:r>
      <w:r>
        <w:rPr>
          <w:szCs w:val="24"/>
        </w:rPr>
        <w:t>.1</w:t>
      </w:r>
      <w:r w:rsidRPr="00C82A7D">
        <w:rPr>
          <w:szCs w:val="24"/>
        </w:rPr>
        <w:t>).</w:t>
      </w:r>
    </w:p>
    <w:p w14:paraId="129B07EE" w14:textId="77777777" w:rsidR="000820A9" w:rsidRPr="00C82A7D" w:rsidRDefault="000820A9" w:rsidP="000820A9">
      <w:pPr>
        <w:rPr>
          <w:szCs w:val="24"/>
        </w:rPr>
      </w:pPr>
      <w:r w:rsidRPr="00C82A7D">
        <w:rPr>
          <w:szCs w:val="24"/>
        </w:rPr>
        <w:t>In both cohorts, females were significantly less likely to receive revascularisation at any time during the six months follow-up; however while females were 33% (HR=0.67; 95% CI: 0.61</w:t>
      </w:r>
      <w:r>
        <w:rPr>
          <w:szCs w:val="24"/>
        </w:rPr>
        <w:t xml:space="preserve"> to </w:t>
      </w:r>
      <w:r w:rsidRPr="00C82A7D">
        <w:rPr>
          <w:szCs w:val="24"/>
        </w:rPr>
        <w:t>0.7</w:t>
      </w:r>
      <w:r>
        <w:rPr>
          <w:szCs w:val="24"/>
        </w:rPr>
        <w:t>5, p</w:t>
      </w:r>
      <w:r w:rsidRPr="00C82A7D">
        <w:rPr>
          <w:szCs w:val="24"/>
        </w:rPr>
        <w:t>&lt;0.001) less likely in the 2010-11 cohort, this had decreased to</w:t>
      </w:r>
      <w:r>
        <w:rPr>
          <w:szCs w:val="24"/>
        </w:rPr>
        <w:t xml:space="preserve"> 23% (HR=0.77; 95% CI: 0.70 to 0.85</w:t>
      </w:r>
      <w:r w:rsidRPr="00C82A7D">
        <w:rPr>
          <w:szCs w:val="24"/>
        </w:rPr>
        <w:t>, p&lt;0.001) in the 2012-13 cohort. Compared to those aged 35-54, those aged 55-74 were significantly less likely to receive revascularisation in 2010-11 (HR=0.73; 95% CI: 0.66</w:t>
      </w:r>
      <w:r>
        <w:rPr>
          <w:szCs w:val="24"/>
        </w:rPr>
        <w:t xml:space="preserve"> to 0.81, p</w:t>
      </w:r>
      <w:r w:rsidRPr="00C82A7D">
        <w:rPr>
          <w:szCs w:val="24"/>
        </w:rPr>
        <w:t xml:space="preserve">&lt;0.001), but not in 2012-13 (HR=0.95; </w:t>
      </w:r>
      <w:r>
        <w:rPr>
          <w:szCs w:val="24"/>
        </w:rPr>
        <w:t>95% CI: 0.84 to 1.07, p=0.372</w:t>
      </w:r>
      <w:r w:rsidRPr="00C82A7D">
        <w:rPr>
          <w:szCs w:val="24"/>
        </w:rPr>
        <w:t xml:space="preserve">). Those aged 75 years and over were significantly less likely </w:t>
      </w:r>
      <w:r>
        <w:rPr>
          <w:szCs w:val="24"/>
        </w:rPr>
        <w:t xml:space="preserve">to receive revascularisation </w:t>
      </w:r>
      <w:r w:rsidRPr="00C82A7D">
        <w:rPr>
          <w:szCs w:val="24"/>
        </w:rPr>
        <w:t xml:space="preserve">in both cohorts, </w:t>
      </w:r>
      <w:r w:rsidRPr="00C82A7D">
        <w:rPr>
          <w:szCs w:val="24"/>
        </w:rPr>
        <w:lastRenderedPageBreak/>
        <w:t>although the hazard ratios moved closer towards no significant difference between the two periods</w:t>
      </w:r>
      <w:r>
        <w:rPr>
          <w:szCs w:val="24"/>
        </w:rPr>
        <w:t xml:space="preserve"> </w:t>
      </w:r>
      <w:r w:rsidRPr="00C82A7D">
        <w:rPr>
          <w:szCs w:val="24"/>
        </w:rPr>
        <w:t>(</w:t>
      </w:r>
      <w:r>
        <w:rPr>
          <w:szCs w:val="24"/>
        </w:rPr>
        <w:t xml:space="preserve">2012-13: </w:t>
      </w:r>
      <w:r w:rsidRPr="00C82A7D">
        <w:rPr>
          <w:szCs w:val="24"/>
        </w:rPr>
        <w:t>HR=0.</w:t>
      </w:r>
      <w:r>
        <w:rPr>
          <w:szCs w:val="24"/>
        </w:rPr>
        <w:t>40</w:t>
      </w:r>
      <w:r w:rsidRPr="00C82A7D">
        <w:rPr>
          <w:szCs w:val="24"/>
        </w:rPr>
        <w:t>; 95% CI: 0.</w:t>
      </w:r>
      <w:r>
        <w:rPr>
          <w:szCs w:val="24"/>
        </w:rPr>
        <w:t>35 to 0</w:t>
      </w:r>
      <w:r w:rsidRPr="00C82A7D">
        <w:rPr>
          <w:szCs w:val="24"/>
        </w:rPr>
        <w:t>.</w:t>
      </w:r>
      <w:r>
        <w:rPr>
          <w:szCs w:val="24"/>
        </w:rPr>
        <w:t>46, p&lt;</w:t>
      </w:r>
      <w:r w:rsidRPr="00C82A7D">
        <w:rPr>
          <w:szCs w:val="24"/>
        </w:rPr>
        <w:t>0.</w:t>
      </w:r>
      <w:r>
        <w:rPr>
          <w:szCs w:val="24"/>
        </w:rPr>
        <w:t>001</w:t>
      </w:r>
      <w:r w:rsidRPr="00C82A7D">
        <w:rPr>
          <w:szCs w:val="24"/>
        </w:rPr>
        <w:t xml:space="preserve">). </w:t>
      </w:r>
      <w:r>
        <w:rPr>
          <w:szCs w:val="24"/>
        </w:rPr>
        <w:t>C</w:t>
      </w:r>
      <w:r w:rsidRPr="00C82A7D">
        <w:rPr>
          <w:szCs w:val="24"/>
        </w:rPr>
        <w:t>ompared to p</w:t>
      </w:r>
      <w:r>
        <w:rPr>
          <w:szCs w:val="24"/>
        </w:rPr>
        <w:t>atients resident in urban areas,</w:t>
      </w:r>
      <w:r w:rsidRPr="00C82A7D">
        <w:rPr>
          <w:szCs w:val="24"/>
        </w:rPr>
        <w:t xml:space="preserve"> </w:t>
      </w:r>
      <w:r>
        <w:rPr>
          <w:szCs w:val="24"/>
        </w:rPr>
        <w:t xml:space="preserve">patients </w:t>
      </w:r>
      <w:r w:rsidRPr="00C82A7D">
        <w:rPr>
          <w:szCs w:val="24"/>
        </w:rPr>
        <w:t>resident in rural areas were significantly more likely to receive revascularisation in both cohorts</w:t>
      </w:r>
      <w:r>
        <w:rPr>
          <w:szCs w:val="24"/>
        </w:rPr>
        <w:t>, with little change between cohorts</w:t>
      </w:r>
      <w:r w:rsidRPr="00C82A7D">
        <w:rPr>
          <w:szCs w:val="24"/>
        </w:rPr>
        <w:t xml:space="preserve">. </w:t>
      </w:r>
      <w:r w:rsidRPr="0025462F">
        <w:rPr>
          <w:szCs w:val="24"/>
        </w:rPr>
        <w:t xml:space="preserve">Increasing number of comorbidities showed a very strong association with decreasing likelihood of revascularisation in both cohorts, with those with 3 or more comorbidities having a 65% decreased likelihood of revascularisation compared to those with no </w:t>
      </w:r>
      <w:r>
        <w:rPr>
          <w:szCs w:val="24"/>
        </w:rPr>
        <w:t>comorbidities in 2012-13 (HR=0.35; 95% CI: 0.29 to 0.43, p</w:t>
      </w:r>
      <w:r w:rsidRPr="0025462F">
        <w:rPr>
          <w:szCs w:val="24"/>
        </w:rPr>
        <w:t>&lt;0.001).</w:t>
      </w:r>
    </w:p>
    <w:p w14:paraId="608BFBAB" w14:textId="77777777" w:rsidR="004B5858" w:rsidRDefault="004221C5" w:rsidP="004B5858">
      <w:pPr>
        <w:rPr>
          <w:szCs w:val="24"/>
        </w:rPr>
      </w:pPr>
      <w:r w:rsidRPr="004221C5">
        <w:rPr>
          <w:noProof/>
          <w:szCs w:val="24"/>
        </w:rPr>
        <w:drawing>
          <wp:inline distT="0" distB="0" distL="0" distR="0" wp14:anchorId="3F9A2017" wp14:editId="16CDF470">
            <wp:extent cx="5181600" cy="6181725"/>
            <wp:effectExtent l="1905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5181600" cy="6181725"/>
                    </a:xfrm>
                    <a:prstGeom prst="rect">
                      <a:avLst/>
                    </a:prstGeom>
                    <a:noFill/>
                    <a:ln w="9525">
                      <a:noFill/>
                      <a:miter lim="800000"/>
                      <a:headEnd/>
                      <a:tailEnd/>
                    </a:ln>
                  </pic:spPr>
                </pic:pic>
              </a:graphicData>
            </a:graphic>
          </wp:inline>
        </w:drawing>
      </w:r>
    </w:p>
    <w:p w14:paraId="7542B086" w14:textId="77777777" w:rsidR="004B5858" w:rsidRDefault="004B5858" w:rsidP="004B5858">
      <w:pPr>
        <w:rPr>
          <w:szCs w:val="24"/>
        </w:rPr>
      </w:pPr>
    </w:p>
    <w:p w14:paraId="1A7B09FB" w14:textId="77777777" w:rsidR="00BD5780" w:rsidRDefault="00BD5780" w:rsidP="00F936E0">
      <w:pPr>
        <w:spacing w:before="0"/>
        <w:jc w:val="left"/>
      </w:pPr>
    </w:p>
    <w:p w14:paraId="7D3A9B0D" w14:textId="77777777" w:rsidR="004B5858" w:rsidRDefault="004B5858" w:rsidP="00F936E0">
      <w:pPr>
        <w:spacing w:before="0"/>
        <w:jc w:val="left"/>
      </w:pPr>
    </w:p>
    <w:p w14:paraId="4C5B3CC1" w14:textId="77777777" w:rsidR="004B5858" w:rsidRDefault="004B5858" w:rsidP="00F936E0">
      <w:pPr>
        <w:spacing w:before="0"/>
        <w:jc w:val="left"/>
      </w:pPr>
    </w:p>
    <w:p w14:paraId="63369BD7" w14:textId="77777777" w:rsidR="004B5858" w:rsidRDefault="004B5858" w:rsidP="00F936E0">
      <w:pPr>
        <w:spacing w:before="0"/>
        <w:jc w:val="left"/>
      </w:pPr>
    </w:p>
    <w:p w14:paraId="41057E3E" w14:textId="77777777" w:rsidR="004B5858" w:rsidRDefault="004B5858" w:rsidP="00F936E0">
      <w:pPr>
        <w:spacing w:before="0"/>
        <w:jc w:val="left"/>
      </w:pPr>
    </w:p>
    <w:p w14:paraId="0AC8E306" w14:textId="77777777" w:rsidR="004B5858" w:rsidRDefault="004B5858" w:rsidP="00F936E0">
      <w:pPr>
        <w:spacing w:before="0"/>
        <w:jc w:val="left"/>
      </w:pPr>
    </w:p>
    <w:p w14:paraId="57BA1021" w14:textId="77777777" w:rsidR="004B5858" w:rsidRDefault="004B5858" w:rsidP="00F936E0">
      <w:pPr>
        <w:spacing w:before="0"/>
        <w:jc w:val="left"/>
      </w:pPr>
    </w:p>
    <w:p w14:paraId="1809AF9C" w14:textId="77777777" w:rsidR="004B5858" w:rsidRDefault="004B5858" w:rsidP="00F936E0">
      <w:pPr>
        <w:spacing w:before="0"/>
        <w:jc w:val="left"/>
      </w:pPr>
    </w:p>
    <w:p w14:paraId="46A2C38C" w14:textId="77777777" w:rsidR="004B5858" w:rsidRDefault="004B5858" w:rsidP="00F936E0">
      <w:pPr>
        <w:spacing w:before="0"/>
        <w:jc w:val="left"/>
      </w:pPr>
    </w:p>
    <w:p w14:paraId="6D349D76" w14:textId="77777777" w:rsidR="004B5858" w:rsidRDefault="004B5858" w:rsidP="00F936E0">
      <w:pPr>
        <w:spacing w:before="0"/>
        <w:jc w:val="left"/>
      </w:pPr>
    </w:p>
    <w:p w14:paraId="16899C46" w14:textId="77777777" w:rsidR="004B5858" w:rsidRDefault="004221C5" w:rsidP="00F936E0">
      <w:pPr>
        <w:spacing w:before="0"/>
        <w:jc w:val="left"/>
      </w:pPr>
      <w:r w:rsidRPr="004221C5">
        <w:rPr>
          <w:noProof/>
        </w:rPr>
        <w:drawing>
          <wp:inline distT="0" distB="0" distL="0" distR="0" wp14:anchorId="76273D9B" wp14:editId="5A736A1A">
            <wp:extent cx="5619750" cy="41433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srcRect/>
                    <a:stretch>
                      <a:fillRect/>
                    </a:stretch>
                  </pic:blipFill>
                  <pic:spPr bwMode="auto">
                    <a:xfrm>
                      <a:off x="0" y="0"/>
                      <a:ext cx="5619750" cy="4143375"/>
                    </a:xfrm>
                    <a:prstGeom prst="rect">
                      <a:avLst/>
                    </a:prstGeom>
                    <a:noFill/>
                    <a:ln w="9525">
                      <a:noFill/>
                      <a:miter lim="800000"/>
                      <a:headEnd/>
                      <a:tailEnd/>
                    </a:ln>
                  </pic:spPr>
                </pic:pic>
              </a:graphicData>
            </a:graphic>
          </wp:inline>
        </w:drawing>
      </w:r>
    </w:p>
    <w:p w14:paraId="383CEC31" w14:textId="77777777" w:rsidR="004B5858" w:rsidRDefault="004B5858" w:rsidP="00F936E0">
      <w:pPr>
        <w:spacing w:before="0"/>
        <w:jc w:val="left"/>
      </w:pPr>
    </w:p>
    <w:p w14:paraId="143DE793" w14:textId="77777777" w:rsidR="004B5858" w:rsidRDefault="004B5858" w:rsidP="00F936E0">
      <w:pPr>
        <w:spacing w:before="0"/>
        <w:jc w:val="left"/>
      </w:pPr>
    </w:p>
    <w:p w14:paraId="25E9A8BA" w14:textId="77777777" w:rsidR="004B5858" w:rsidRDefault="004B5858" w:rsidP="00F936E0">
      <w:pPr>
        <w:spacing w:before="0"/>
        <w:jc w:val="left"/>
      </w:pPr>
    </w:p>
    <w:p w14:paraId="0FFAB580" w14:textId="77777777" w:rsidR="004B5858" w:rsidRDefault="004B5858" w:rsidP="00F936E0">
      <w:pPr>
        <w:spacing w:before="0"/>
        <w:jc w:val="left"/>
      </w:pPr>
    </w:p>
    <w:p w14:paraId="20119F62" w14:textId="77777777" w:rsidR="004B5858" w:rsidRDefault="004B5858" w:rsidP="00F936E0">
      <w:pPr>
        <w:spacing w:before="0"/>
        <w:jc w:val="left"/>
      </w:pPr>
    </w:p>
    <w:p w14:paraId="5F1C28B3" w14:textId="77777777" w:rsidR="004B5858" w:rsidRDefault="004B5858" w:rsidP="00F936E0">
      <w:pPr>
        <w:spacing w:before="0"/>
        <w:jc w:val="left"/>
      </w:pPr>
    </w:p>
    <w:p w14:paraId="56523A69" w14:textId="77777777" w:rsidR="004B5858" w:rsidRDefault="004B5858" w:rsidP="00F936E0">
      <w:pPr>
        <w:spacing w:before="0"/>
        <w:jc w:val="left"/>
      </w:pPr>
    </w:p>
    <w:p w14:paraId="2B97B0C0" w14:textId="77777777" w:rsidR="004B5858" w:rsidRDefault="004B5858" w:rsidP="00F936E0">
      <w:pPr>
        <w:spacing w:before="0"/>
        <w:jc w:val="left"/>
      </w:pPr>
    </w:p>
    <w:p w14:paraId="75649116" w14:textId="77777777" w:rsidR="004B5858" w:rsidRDefault="004B5858" w:rsidP="00F936E0">
      <w:pPr>
        <w:spacing w:before="0"/>
        <w:jc w:val="left"/>
      </w:pPr>
    </w:p>
    <w:p w14:paraId="2E1EE2F1" w14:textId="77777777" w:rsidR="004B5858" w:rsidRDefault="004B5858" w:rsidP="00F936E0">
      <w:pPr>
        <w:spacing w:before="0"/>
        <w:jc w:val="left"/>
      </w:pPr>
    </w:p>
    <w:p w14:paraId="71F50B65" w14:textId="77777777" w:rsidR="004B5858" w:rsidRDefault="004B5858" w:rsidP="00F936E0">
      <w:pPr>
        <w:spacing w:before="0"/>
        <w:jc w:val="left"/>
      </w:pPr>
    </w:p>
    <w:p w14:paraId="60C30558" w14:textId="77777777" w:rsidR="004B5858" w:rsidRDefault="004B5858" w:rsidP="00F936E0">
      <w:pPr>
        <w:spacing w:before="0"/>
        <w:jc w:val="left"/>
      </w:pPr>
    </w:p>
    <w:p w14:paraId="34B0F14A" w14:textId="77777777" w:rsidR="004B5858" w:rsidRDefault="004B5858" w:rsidP="00F936E0">
      <w:pPr>
        <w:spacing w:before="0"/>
        <w:jc w:val="left"/>
      </w:pPr>
    </w:p>
    <w:p w14:paraId="03256214" w14:textId="77777777" w:rsidR="004B5858" w:rsidRDefault="004B5858" w:rsidP="00F936E0">
      <w:pPr>
        <w:spacing w:before="0"/>
        <w:jc w:val="left"/>
      </w:pPr>
    </w:p>
    <w:p w14:paraId="4C30439A" w14:textId="77777777" w:rsidR="004B5858" w:rsidRDefault="004B5858" w:rsidP="00F936E0">
      <w:pPr>
        <w:spacing w:before="0"/>
        <w:jc w:val="left"/>
      </w:pPr>
    </w:p>
    <w:p w14:paraId="729E3679" w14:textId="77777777" w:rsidR="004B5858" w:rsidRDefault="004B5858" w:rsidP="00F936E0">
      <w:pPr>
        <w:spacing w:before="0"/>
        <w:jc w:val="left"/>
      </w:pPr>
    </w:p>
    <w:p w14:paraId="3A9CB465" w14:textId="77777777" w:rsidR="004B5858" w:rsidRDefault="004B5858" w:rsidP="00F936E0">
      <w:pPr>
        <w:spacing w:before="0"/>
        <w:jc w:val="left"/>
      </w:pPr>
    </w:p>
    <w:p w14:paraId="28C16B06" w14:textId="77777777" w:rsidR="004B5858" w:rsidRDefault="004B5858" w:rsidP="00F936E0">
      <w:pPr>
        <w:spacing w:before="0"/>
        <w:jc w:val="left"/>
      </w:pPr>
    </w:p>
    <w:p w14:paraId="1F3380FA" w14:textId="77777777" w:rsidR="004B5858" w:rsidRDefault="004B5858" w:rsidP="00F936E0">
      <w:pPr>
        <w:spacing w:before="0"/>
        <w:jc w:val="left"/>
      </w:pPr>
    </w:p>
    <w:p w14:paraId="15E7A85A" w14:textId="77777777" w:rsidR="004B5858" w:rsidRDefault="004B5858" w:rsidP="00F936E0">
      <w:pPr>
        <w:spacing w:before="0"/>
        <w:jc w:val="left"/>
      </w:pPr>
    </w:p>
    <w:p w14:paraId="73323AA4" w14:textId="77777777" w:rsidR="004B5858" w:rsidRDefault="004B5858" w:rsidP="00F936E0">
      <w:pPr>
        <w:spacing w:before="0"/>
        <w:jc w:val="left"/>
      </w:pPr>
    </w:p>
    <w:p w14:paraId="69009D63" w14:textId="77777777" w:rsidR="004B5858" w:rsidRDefault="004B5858" w:rsidP="00F936E0">
      <w:pPr>
        <w:spacing w:before="0"/>
        <w:jc w:val="left"/>
      </w:pPr>
    </w:p>
    <w:p w14:paraId="57A2C9E3" w14:textId="77777777" w:rsidR="004B5858" w:rsidRDefault="004B5858" w:rsidP="00F936E0">
      <w:pPr>
        <w:spacing w:before="0"/>
        <w:jc w:val="left"/>
      </w:pPr>
    </w:p>
    <w:p w14:paraId="1B27EB06" w14:textId="77777777" w:rsidR="004B5858" w:rsidRDefault="004B5858" w:rsidP="00F936E0">
      <w:pPr>
        <w:spacing w:before="0"/>
        <w:jc w:val="left"/>
      </w:pPr>
    </w:p>
    <w:p w14:paraId="65700BAF" w14:textId="77777777" w:rsidR="004B5858" w:rsidRDefault="004B5858" w:rsidP="00F936E0">
      <w:pPr>
        <w:spacing w:before="0"/>
        <w:jc w:val="left"/>
      </w:pPr>
    </w:p>
    <w:p w14:paraId="167D35DB" w14:textId="77777777" w:rsidR="004B5858" w:rsidRDefault="004B5858" w:rsidP="00F936E0">
      <w:pPr>
        <w:spacing w:before="0"/>
        <w:jc w:val="left"/>
      </w:pPr>
    </w:p>
    <w:p w14:paraId="5C87E102" w14:textId="77777777" w:rsidR="004B5858" w:rsidRDefault="004B5858" w:rsidP="00F936E0">
      <w:pPr>
        <w:spacing w:before="0"/>
        <w:jc w:val="left"/>
      </w:pPr>
    </w:p>
    <w:p w14:paraId="63CFEA62" w14:textId="77777777" w:rsidR="004B5858" w:rsidRDefault="004B5858" w:rsidP="00F936E0">
      <w:pPr>
        <w:spacing w:before="0"/>
        <w:jc w:val="left"/>
      </w:pPr>
    </w:p>
    <w:p w14:paraId="3A5F9794" w14:textId="77777777" w:rsidR="004B5858" w:rsidRDefault="004B5858" w:rsidP="00F936E0">
      <w:pPr>
        <w:spacing w:before="0"/>
        <w:jc w:val="left"/>
      </w:pPr>
    </w:p>
    <w:p w14:paraId="0046EAC7" w14:textId="77777777" w:rsidR="004B5858" w:rsidRPr="004B5858" w:rsidRDefault="004B5858" w:rsidP="004B5858">
      <w:pPr>
        <w:pStyle w:val="Heading1"/>
        <w:keepNext/>
        <w:numPr>
          <w:ilvl w:val="0"/>
          <w:numId w:val="3"/>
        </w:numPr>
        <w:spacing w:before="360"/>
        <w:jc w:val="left"/>
      </w:pPr>
      <w:bookmarkStart w:id="66" w:name="_Toc451339994"/>
      <w:bookmarkStart w:id="67" w:name="_Toc500831813"/>
      <w:r w:rsidRPr="004B5858">
        <w:lastRenderedPageBreak/>
        <w:t>Discussion</w:t>
      </w:r>
      <w:bookmarkEnd w:id="66"/>
      <w:bookmarkEnd w:id="67"/>
    </w:p>
    <w:p w14:paraId="3BA977E2" w14:textId="77777777" w:rsidR="000820A9" w:rsidRPr="000820A9" w:rsidRDefault="000820A9" w:rsidP="000820A9">
      <w:pPr>
        <w:rPr>
          <w:szCs w:val="24"/>
        </w:rPr>
      </w:pPr>
      <w:bookmarkStart w:id="68" w:name="_Toc405981474"/>
      <w:bookmarkStart w:id="69" w:name="_Toc451339995"/>
      <w:r w:rsidRPr="000820A9">
        <w:rPr>
          <w:szCs w:val="24"/>
        </w:rPr>
        <w:t>The results of this study suggest that measures to improve access to services are working, with previous signs of socioeconomic inequity of access to revascularisation not apparent, but rather increased access for all and in a timelier manner regardless of socioeconomic deprivation for patients admitted to hospital with a first time AMI.</w:t>
      </w:r>
    </w:p>
    <w:p w14:paraId="6F68FDA7" w14:textId="77777777" w:rsidR="004B5858" w:rsidRPr="004B5858" w:rsidRDefault="004B5858" w:rsidP="004B5858">
      <w:pPr>
        <w:pStyle w:val="Heading2"/>
        <w:rPr>
          <w:color w:val="3182BD"/>
          <w:szCs w:val="32"/>
        </w:rPr>
      </w:pPr>
      <w:bookmarkStart w:id="70" w:name="_Toc500831814"/>
      <w:r w:rsidRPr="004B5858">
        <w:rPr>
          <w:color w:val="3182BD"/>
          <w:szCs w:val="32"/>
        </w:rPr>
        <w:t>Summary of results</w:t>
      </w:r>
      <w:bookmarkEnd w:id="68"/>
      <w:bookmarkEnd w:id="69"/>
      <w:bookmarkEnd w:id="70"/>
    </w:p>
    <w:p w14:paraId="29D7F51E" w14:textId="77777777" w:rsidR="000820A9" w:rsidRPr="000B203C" w:rsidRDefault="000820A9" w:rsidP="000820A9">
      <w:pPr>
        <w:rPr>
          <w:szCs w:val="24"/>
        </w:rPr>
      </w:pPr>
      <w:bookmarkStart w:id="71" w:name="_Toc451339996"/>
      <w:bookmarkStart w:id="72" w:name="_Toc405981475"/>
      <w:r w:rsidRPr="000B203C">
        <w:rPr>
          <w:szCs w:val="24"/>
        </w:rPr>
        <w:t xml:space="preserve">The results are summarised in relation to the </w:t>
      </w:r>
      <w:r>
        <w:rPr>
          <w:szCs w:val="24"/>
        </w:rPr>
        <w:t xml:space="preserve">study </w:t>
      </w:r>
      <w:r w:rsidRPr="000B203C">
        <w:rPr>
          <w:szCs w:val="24"/>
        </w:rPr>
        <w:t>objectives</w:t>
      </w:r>
      <w:r>
        <w:rPr>
          <w:szCs w:val="24"/>
        </w:rPr>
        <w:t>.</w:t>
      </w:r>
    </w:p>
    <w:p w14:paraId="5CE346B4" w14:textId="77777777" w:rsidR="004B5858" w:rsidRPr="004B5858" w:rsidRDefault="004B5858" w:rsidP="004B5858">
      <w:pPr>
        <w:pStyle w:val="Heading3"/>
        <w:rPr>
          <w:color w:val="3182BD"/>
        </w:rPr>
      </w:pPr>
      <w:bookmarkStart w:id="73" w:name="_Toc500831815"/>
      <w:r w:rsidRPr="004B5858">
        <w:rPr>
          <w:color w:val="3182BD"/>
        </w:rPr>
        <w:t>Objective 1</w:t>
      </w:r>
      <w:bookmarkEnd w:id="71"/>
      <w:bookmarkEnd w:id="73"/>
      <w:r w:rsidRPr="004B5858">
        <w:rPr>
          <w:color w:val="3182BD"/>
        </w:rPr>
        <w:t xml:space="preserve"> </w:t>
      </w:r>
      <w:bookmarkEnd w:id="72"/>
    </w:p>
    <w:p w14:paraId="161C5A2F" w14:textId="77777777" w:rsidR="000820A9" w:rsidRPr="000B203C" w:rsidRDefault="000820A9" w:rsidP="000820A9">
      <w:pPr>
        <w:rPr>
          <w:szCs w:val="24"/>
        </w:rPr>
      </w:pPr>
      <w:bookmarkStart w:id="74" w:name="_Toc405981476"/>
      <w:bookmarkStart w:id="75" w:name="_Toc451339997"/>
      <w:r w:rsidRPr="000B203C">
        <w:rPr>
          <w:szCs w:val="24"/>
        </w:rPr>
        <w:t xml:space="preserve">1. Welsh residents from the most deprived </w:t>
      </w:r>
      <w:r>
        <w:rPr>
          <w:szCs w:val="24"/>
        </w:rPr>
        <w:t>quintile</w:t>
      </w:r>
      <w:r w:rsidRPr="000B203C">
        <w:rPr>
          <w:szCs w:val="24"/>
        </w:rPr>
        <w:t xml:space="preserve"> admitted with AMI were more likely to be younger and living in urban areas</w:t>
      </w:r>
      <w:r>
        <w:rPr>
          <w:szCs w:val="24"/>
        </w:rPr>
        <w:t xml:space="preserve"> than those from the least deprived quintile</w:t>
      </w:r>
      <w:r w:rsidRPr="000B203C">
        <w:rPr>
          <w:szCs w:val="24"/>
        </w:rPr>
        <w:t>.</w:t>
      </w:r>
    </w:p>
    <w:p w14:paraId="58BC7B0A" w14:textId="77777777" w:rsidR="000820A9" w:rsidRPr="000B203C" w:rsidRDefault="000820A9" w:rsidP="000820A9">
      <w:pPr>
        <w:rPr>
          <w:szCs w:val="24"/>
        </w:rPr>
      </w:pPr>
      <w:r w:rsidRPr="000B203C">
        <w:rPr>
          <w:szCs w:val="24"/>
        </w:rPr>
        <w:t xml:space="preserve">2. </w:t>
      </w:r>
      <w:r>
        <w:rPr>
          <w:szCs w:val="24"/>
        </w:rPr>
        <w:t>R</w:t>
      </w:r>
      <w:r w:rsidRPr="000B203C">
        <w:rPr>
          <w:szCs w:val="24"/>
        </w:rPr>
        <w:t xml:space="preserve">esidents from the most deprived </w:t>
      </w:r>
      <w:r>
        <w:rPr>
          <w:szCs w:val="24"/>
        </w:rPr>
        <w:t>quintile</w:t>
      </w:r>
      <w:r w:rsidRPr="000B203C">
        <w:rPr>
          <w:szCs w:val="24"/>
        </w:rPr>
        <w:t xml:space="preserve"> </w:t>
      </w:r>
      <w:r>
        <w:rPr>
          <w:szCs w:val="24"/>
        </w:rPr>
        <w:t xml:space="preserve">in north Wales </w:t>
      </w:r>
      <w:r w:rsidRPr="000B203C">
        <w:rPr>
          <w:szCs w:val="24"/>
        </w:rPr>
        <w:t>were more likely to be admitted to hospitals with revascularisation facilities</w:t>
      </w:r>
      <w:r>
        <w:rPr>
          <w:szCs w:val="24"/>
        </w:rPr>
        <w:t>, while in south Wales they were more likely to have</w:t>
      </w:r>
      <w:r w:rsidRPr="000B203C">
        <w:rPr>
          <w:szCs w:val="24"/>
        </w:rPr>
        <w:t xml:space="preserve"> comorbidities and be admitted to hospitals without revascularisation facilities</w:t>
      </w:r>
      <w:r>
        <w:rPr>
          <w:szCs w:val="24"/>
        </w:rPr>
        <w:t>, compared to those from the least deprived quintile</w:t>
      </w:r>
      <w:r w:rsidRPr="000B203C">
        <w:rPr>
          <w:szCs w:val="24"/>
        </w:rPr>
        <w:t>.</w:t>
      </w:r>
    </w:p>
    <w:p w14:paraId="51C910CA" w14:textId="77777777" w:rsidR="004B5858" w:rsidRPr="004B5858" w:rsidRDefault="004B5858" w:rsidP="004B5858">
      <w:pPr>
        <w:pStyle w:val="Heading3"/>
        <w:rPr>
          <w:color w:val="3182BD"/>
        </w:rPr>
      </w:pPr>
      <w:bookmarkStart w:id="76" w:name="_Toc500831816"/>
      <w:r w:rsidRPr="004B5858">
        <w:rPr>
          <w:color w:val="3182BD"/>
        </w:rPr>
        <w:t xml:space="preserve">Objective </w:t>
      </w:r>
      <w:bookmarkEnd w:id="74"/>
      <w:r w:rsidRPr="004B5858">
        <w:rPr>
          <w:color w:val="3182BD"/>
        </w:rPr>
        <w:t>2</w:t>
      </w:r>
      <w:bookmarkEnd w:id="75"/>
      <w:bookmarkEnd w:id="76"/>
    </w:p>
    <w:p w14:paraId="2995ED47" w14:textId="77777777" w:rsidR="000820A9" w:rsidRDefault="000820A9" w:rsidP="000820A9">
      <w:pPr>
        <w:rPr>
          <w:szCs w:val="24"/>
        </w:rPr>
      </w:pPr>
      <w:bookmarkStart w:id="77" w:name="_Toc405981478"/>
      <w:bookmarkStart w:id="78" w:name="_Toc451339998"/>
      <w:r w:rsidRPr="000B203C">
        <w:rPr>
          <w:szCs w:val="24"/>
        </w:rPr>
        <w:t xml:space="preserve">1. </w:t>
      </w:r>
      <w:r>
        <w:rPr>
          <w:szCs w:val="24"/>
        </w:rPr>
        <w:t>Both univariable and multivariable analysis showed there was no</w:t>
      </w:r>
      <w:r w:rsidRPr="000B203C">
        <w:rPr>
          <w:szCs w:val="24"/>
        </w:rPr>
        <w:t xml:space="preserve"> difference in </w:t>
      </w:r>
      <w:r>
        <w:rPr>
          <w:szCs w:val="24"/>
        </w:rPr>
        <w:t xml:space="preserve">the </w:t>
      </w:r>
      <w:r w:rsidRPr="000B203C">
        <w:rPr>
          <w:szCs w:val="24"/>
        </w:rPr>
        <w:t xml:space="preserve">time to revascularisation </w:t>
      </w:r>
      <w:r>
        <w:rPr>
          <w:szCs w:val="24"/>
        </w:rPr>
        <w:t>between quintiles for north Wales residents.</w:t>
      </w:r>
    </w:p>
    <w:p w14:paraId="77BC72BD" w14:textId="77777777" w:rsidR="000820A9" w:rsidRPr="000B203C" w:rsidRDefault="000820A9" w:rsidP="000820A9">
      <w:pPr>
        <w:rPr>
          <w:szCs w:val="24"/>
        </w:rPr>
      </w:pPr>
      <w:r>
        <w:rPr>
          <w:szCs w:val="24"/>
        </w:rPr>
        <w:t>2</w:t>
      </w:r>
      <w:r w:rsidRPr="000B203C">
        <w:rPr>
          <w:szCs w:val="24"/>
        </w:rPr>
        <w:t xml:space="preserve">. </w:t>
      </w:r>
      <w:r>
        <w:rPr>
          <w:szCs w:val="24"/>
        </w:rPr>
        <w:t xml:space="preserve">While there was evidence of inequity by socioeconomic deprivation in south Wales in 2010-11, with those in the most deprived quintile 20% less likely to receive revascularisation compared to patients in the least deprived quintile, </w:t>
      </w:r>
      <w:r w:rsidRPr="00DA6026">
        <w:rPr>
          <w:szCs w:val="24"/>
        </w:rPr>
        <w:t>there was</w:t>
      </w:r>
      <w:r>
        <w:rPr>
          <w:szCs w:val="24"/>
        </w:rPr>
        <w:t xml:space="preserve"> not</w:t>
      </w:r>
      <w:r w:rsidRPr="00DA6026">
        <w:rPr>
          <w:szCs w:val="24"/>
        </w:rPr>
        <w:t xml:space="preserve"> a significant difference in the time to revascularisation between </w:t>
      </w:r>
      <w:r>
        <w:rPr>
          <w:szCs w:val="24"/>
        </w:rPr>
        <w:t>quintiles</w:t>
      </w:r>
      <w:r w:rsidRPr="00DA6026">
        <w:rPr>
          <w:szCs w:val="24"/>
        </w:rPr>
        <w:t xml:space="preserve"> in 2012-13.</w:t>
      </w:r>
    </w:p>
    <w:p w14:paraId="138AB479" w14:textId="77777777" w:rsidR="000820A9" w:rsidRDefault="000820A9" w:rsidP="000820A9">
      <w:pPr>
        <w:rPr>
          <w:szCs w:val="24"/>
        </w:rPr>
      </w:pPr>
      <w:r>
        <w:rPr>
          <w:szCs w:val="24"/>
        </w:rPr>
        <w:t>3</w:t>
      </w:r>
      <w:r w:rsidRPr="000B203C">
        <w:rPr>
          <w:szCs w:val="24"/>
        </w:rPr>
        <w:t xml:space="preserve">. </w:t>
      </w:r>
      <w:r>
        <w:rPr>
          <w:szCs w:val="24"/>
        </w:rPr>
        <w:t xml:space="preserve">Increased incidence rates of revascularisation have benefitted all, with rates statistically significantly higher in each quintile in </w:t>
      </w:r>
      <w:r w:rsidRPr="00DA6026">
        <w:rPr>
          <w:szCs w:val="24"/>
        </w:rPr>
        <w:t xml:space="preserve">the 2012-13 </w:t>
      </w:r>
      <w:r>
        <w:rPr>
          <w:szCs w:val="24"/>
        </w:rPr>
        <w:t>cohort</w:t>
      </w:r>
      <w:r w:rsidRPr="00DA6026">
        <w:rPr>
          <w:szCs w:val="24"/>
        </w:rPr>
        <w:t xml:space="preserve"> </w:t>
      </w:r>
      <w:r>
        <w:rPr>
          <w:szCs w:val="24"/>
        </w:rPr>
        <w:t xml:space="preserve">compared to the </w:t>
      </w:r>
      <w:r w:rsidRPr="00DA6026">
        <w:rPr>
          <w:szCs w:val="24"/>
        </w:rPr>
        <w:t>rate</w:t>
      </w:r>
      <w:r>
        <w:rPr>
          <w:szCs w:val="24"/>
        </w:rPr>
        <w:t>s</w:t>
      </w:r>
      <w:r w:rsidRPr="00DA6026">
        <w:rPr>
          <w:szCs w:val="24"/>
        </w:rPr>
        <w:t xml:space="preserve"> in a</w:t>
      </w:r>
      <w:r>
        <w:rPr>
          <w:szCs w:val="24"/>
        </w:rPr>
        <w:t>ll</w:t>
      </w:r>
      <w:r w:rsidRPr="00DA6026">
        <w:rPr>
          <w:szCs w:val="24"/>
        </w:rPr>
        <w:t xml:space="preserve"> </w:t>
      </w:r>
      <w:r>
        <w:rPr>
          <w:szCs w:val="24"/>
        </w:rPr>
        <w:t>quintiles</w:t>
      </w:r>
      <w:r w:rsidRPr="00DA6026">
        <w:rPr>
          <w:szCs w:val="24"/>
        </w:rPr>
        <w:t xml:space="preserve"> in 2010-11</w:t>
      </w:r>
      <w:r>
        <w:rPr>
          <w:szCs w:val="24"/>
        </w:rPr>
        <w:t xml:space="preserve"> in south Wales. </w:t>
      </w:r>
    </w:p>
    <w:p w14:paraId="4B3A4A84" w14:textId="77777777" w:rsidR="000820A9" w:rsidRDefault="000820A9" w:rsidP="000820A9">
      <w:pPr>
        <w:rPr>
          <w:szCs w:val="24"/>
        </w:rPr>
      </w:pPr>
      <w:r>
        <w:rPr>
          <w:szCs w:val="24"/>
        </w:rPr>
        <w:t>4</w:t>
      </w:r>
      <w:r w:rsidRPr="00DA6026">
        <w:rPr>
          <w:szCs w:val="24"/>
        </w:rPr>
        <w:t xml:space="preserve">. </w:t>
      </w:r>
      <w:r>
        <w:rPr>
          <w:szCs w:val="24"/>
        </w:rPr>
        <w:t>R</w:t>
      </w:r>
      <w:r w:rsidRPr="00DA6026">
        <w:rPr>
          <w:szCs w:val="24"/>
        </w:rPr>
        <w:t xml:space="preserve">evascularisation is being provided in a </w:t>
      </w:r>
      <w:r>
        <w:rPr>
          <w:szCs w:val="24"/>
        </w:rPr>
        <w:t>timelier</w:t>
      </w:r>
      <w:r w:rsidRPr="00DA6026">
        <w:rPr>
          <w:szCs w:val="24"/>
        </w:rPr>
        <w:t xml:space="preserve"> manner. The proportion of patients that received revascularisation on the first day following admission doubled between 2010-11 and 2012-13 for all </w:t>
      </w:r>
      <w:r>
        <w:rPr>
          <w:szCs w:val="24"/>
        </w:rPr>
        <w:t xml:space="preserve">quintiles in south Wales. Also, a greater proportion </w:t>
      </w:r>
      <w:r w:rsidRPr="00DA6026">
        <w:rPr>
          <w:szCs w:val="24"/>
        </w:rPr>
        <w:t xml:space="preserve">received revascularisation in the first month post-admission in all </w:t>
      </w:r>
      <w:r>
        <w:rPr>
          <w:szCs w:val="24"/>
        </w:rPr>
        <w:t>quintiles</w:t>
      </w:r>
      <w:r w:rsidRPr="00DA6026">
        <w:rPr>
          <w:szCs w:val="24"/>
        </w:rPr>
        <w:t xml:space="preserve"> </w:t>
      </w:r>
      <w:r>
        <w:rPr>
          <w:szCs w:val="24"/>
        </w:rPr>
        <w:t xml:space="preserve">in 2012-13 </w:t>
      </w:r>
      <w:r w:rsidRPr="00DA6026">
        <w:rPr>
          <w:szCs w:val="24"/>
        </w:rPr>
        <w:t xml:space="preserve">compared to six months post-admission in 2010-11. </w:t>
      </w:r>
    </w:p>
    <w:p w14:paraId="16498B83" w14:textId="77777777" w:rsidR="00DA5F1E" w:rsidRDefault="00DA5F1E" w:rsidP="00DA5F1E">
      <w:pPr>
        <w:rPr>
          <w:szCs w:val="24"/>
        </w:rPr>
      </w:pPr>
      <w:r>
        <w:rPr>
          <w:szCs w:val="24"/>
        </w:rPr>
        <w:t xml:space="preserve">5. </w:t>
      </w:r>
      <w:r w:rsidR="000820A9">
        <w:rPr>
          <w:szCs w:val="24"/>
        </w:rPr>
        <w:t>I</w:t>
      </w:r>
      <w:r w:rsidR="000820A9" w:rsidRPr="000B203C">
        <w:rPr>
          <w:szCs w:val="24"/>
        </w:rPr>
        <w:t xml:space="preserve">nequity </w:t>
      </w:r>
      <w:r w:rsidR="000820A9">
        <w:rPr>
          <w:szCs w:val="24"/>
        </w:rPr>
        <w:t>persists for both</w:t>
      </w:r>
      <w:r w:rsidR="000820A9" w:rsidRPr="000B203C">
        <w:rPr>
          <w:szCs w:val="24"/>
        </w:rPr>
        <w:t xml:space="preserve"> females </w:t>
      </w:r>
      <w:r w:rsidR="000820A9">
        <w:rPr>
          <w:szCs w:val="24"/>
        </w:rPr>
        <w:t>and those aged 75 years and over in the time to revascularisation in the six</w:t>
      </w:r>
      <w:r w:rsidR="000820A9" w:rsidRPr="000B203C">
        <w:rPr>
          <w:szCs w:val="24"/>
        </w:rPr>
        <w:t xml:space="preserve"> months following AMI admission</w:t>
      </w:r>
      <w:r w:rsidR="000820A9">
        <w:rPr>
          <w:szCs w:val="24"/>
        </w:rPr>
        <w:t xml:space="preserve"> in both north and south Wales</w:t>
      </w:r>
      <w:r w:rsidR="000820A9" w:rsidRPr="000B203C">
        <w:rPr>
          <w:szCs w:val="24"/>
        </w:rPr>
        <w:t>.</w:t>
      </w:r>
    </w:p>
    <w:p w14:paraId="1E79E71A" w14:textId="77777777" w:rsidR="004B5858" w:rsidRPr="00FD7508" w:rsidRDefault="004B5858" w:rsidP="00DA5F1E">
      <w:pPr>
        <w:pStyle w:val="Heading2"/>
        <w:rPr>
          <w:color w:val="3182BD"/>
        </w:rPr>
      </w:pPr>
      <w:bookmarkStart w:id="79" w:name="_Toc500831817"/>
      <w:r w:rsidRPr="00FD7508">
        <w:rPr>
          <w:color w:val="3182BD"/>
        </w:rPr>
        <w:t>Possible explanations for the patterns observed &amp; implications for policy</w:t>
      </w:r>
      <w:bookmarkEnd w:id="77"/>
      <w:bookmarkEnd w:id="78"/>
      <w:bookmarkEnd w:id="79"/>
    </w:p>
    <w:p w14:paraId="45A38100" w14:textId="77777777" w:rsidR="00FD7508" w:rsidRPr="000B203C" w:rsidRDefault="00FD7508" w:rsidP="00FD7508">
      <w:pPr>
        <w:rPr>
          <w:szCs w:val="24"/>
        </w:rPr>
      </w:pPr>
      <w:bookmarkStart w:id="80" w:name="_Toc405981480"/>
      <w:r w:rsidRPr="000B203C">
        <w:rPr>
          <w:szCs w:val="24"/>
        </w:rPr>
        <w:t xml:space="preserve">These results </w:t>
      </w:r>
      <w:r>
        <w:rPr>
          <w:szCs w:val="24"/>
        </w:rPr>
        <w:t>not only differ between the two periods studied in south Wales but also</w:t>
      </w:r>
      <w:r w:rsidRPr="000B203C">
        <w:rPr>
          <w:szCs w:val="24"/>
        </w:rPr>
        <w:t xml:space="preserve"> previous studies (Lester 2004; Cosh 2008; NPHS 2009</w:t>
      </w:r>
      <w:r>
        <w:rPr>
          <w:szCs w:val="24"/>
        </w:rPr>
        <w:t>; King 2014</w:t>
      </w:r>
      <w:r w:rsidRPr="000B203C">
        <w:rPr>
          <w:szCs w:val="24"/>
        </w:rPr>
        <w:t xml:space="preserve">) into inequity </w:t>
      </w:r>
      <w:r>
        <w:rPr>
          <w:szCs w:val="24"/>
        </w:rPr>
        <w:t>of</w:t>
      </w:r>
      <w:r w:rsidRPr="000B203C">
        <w:rPr>
          <w:szCs w:val="24"/>
        </w:rPr>
        <w:t xml:space="preserve"> access to </w:t>
      </w:r>
      <w:r>
        <w:rPr>
          <w:szCs w:val="24"/>
        </w:rPr>
        <w:t>revascularisation in Wales, which concluded</w:t>
      </w:r>
      <w:r w:rsidRPr="000B203C">
        <w:rPr>
          <w:szCs w:val="24"/>
        </w:rPr>
        <w:t xml:space="preserve"> </w:t>
      </w:r>
      <w:r>
        <w:rPr>
          <w:szCs w:val="24"/>
        </w:rPr>
        <w:t xml:space="preserve">that those living in the most socioeconomically deprived areas were disadvantaged in terms of access to revascularisation. </w:t>
      </w:r>
    </w:p>
    <w:p w14:paraId="2C98AB74" w14:textId="77777777" w:rsidR="00FD7508" w:rsidRDefault="00FD7508" w:rsidP="00FD7508">
      <w:pPr>
        <w:rPr>
          <w:szCs w:val="24"/>
        </w:rPr>
      </w:pPr>
      <w:r>
        <w:rPr>
          <w:szCs w:val="24"/>
        </w:rPr>
        <w:lastRenderedPageBreak/>
        <w:t>The most likely</w:t>
      </w:r>
      <w:r w:rsidRPr="000B203C">
        <w:rPr>
          <w:szCs w:val="24"/>
        </w:rPr>
        <w:t xml:space="preserve"> explanation </w:t>
      </w:r>
      <w:r>
        <w:rPr>
          <w:szCs w:val="24"/>
        </w:rPr>
        <w:t xml:space="preserve">for the apparent change from inequity to equity of access to </w:t>
      </w:r>
      <w:r w:rsidRPr="005E501F">
        <w:rPr>
          <w:szCs w:val="24"/>
        </w:rPr>
        <w:t>revascularisation are that</w:t>
      </w:r>
      <w:r>
        <w:rPr>
          <w:szCs w:val="24"/>
        </w:rPr>
        <w:t xml:space="preserve"> the </w:t>
      </w:r>
      <w:r w:rsidRPr="00E12D12">
        <w:rPr>
          <w:i/>
          <w:szCs w:val="24"/>
        </w:rPr>
        <w:t>Cardiac Disease National Service Framework</w:t>
      </w:r>
      <w:r>
        <w:rPr>
          <w:szCs w:val="24"/>
        </w:rPr>
        <w:t xml:space="preserve"> (Welsh Government 2009a) </w:t>
      </w:r>
      <w:r w:rsidRPr="005E501F">
        <w:rPr>
          <w:szCs w:val="24"/>
        </w:rPr>
        <w:t>along with other Welsh Government policies to reduce inequity in heal</w:t>
      </w:r>
      <w:r>
        <w:rPr>
          <w:szCs w:val="24"/>
        </w:rPr>
        <w:t xml:space="preserve">th such as </w:t>
      </w:r>
      <w:r w:rsidRPr="002D64A6">
        <w:rPr>
          <w:i/>
          <w:iCs/>
          <w:szCs w:val="24"/>
        </w:rPr>
        <w:t xml:space="preserve">Fairer Health Outcomes </w:t>
      </w:r>
      <w:r>
        <w:rPr>
          <w:i/>
          <w:iCs/>
          <w:szCs w:val="24"/>
        </w:rPr>
        <w:t>f</w:t>
      </w:r>
      <w:r w:rsidRPr="002D64A6">
        <w:rPr>
          <w:i/>
          <w:iCs/>
          <w:szCs w:val="24"/>
        </w:rPr>
        <w:t>or All</w:t>
      </w:r>
      <w:r>
        <w:rPr>
          <w:i/>
          <w:iCs/>
          <w:szCs w:val="24"/>
        </w:rPr>
        <w:t xml:space="preserve"> </w:t>
      </w:r>
      <w:r>
        <w:rPr>
          <w:szCs w:val="24"/>
        </w:rPr>
        <w:t xml:space="preserve">(Welsh Government 2011a) </w:t>
      </w:r>
      <w:r w:rsidRPr="002D64A6">
        <w:rPr>
          <w:iCs/>
          <w:szCs w:val="24"/>
        </w:rPr>
        <w:t>and</w:t>
      </w:r>
      <w:r w:rsidRPr="002D64A6">
        <w:rPr>
          <w:i/>
          <w:iCs/>
          <w:szCs w:val="24"/>
        </w:rPr>
        <w:t xml:space="preserve"> Our Healthy Future</w:t>
      </w:r>
      <w:r>
        <w:rPr>
          <w:i/>
          <w:iCs/>
          <w:szCs w:val="24"/>
        </w:rPr>
        <w:t xml:space="preserve"> </w:t>
      </w:r>
      <w:r>
        <w:rPr>
          <w:szCs w:val="24"/>
        </w:rPr>
        <w:t xml:space="preserve">(Welsh Government 2009b), are beginning to be effective. </w:t>
      </w:r>
      <w:r>
        <w:rPr>
          <w:iCs/>
          <w:szCs w:val="24"/>
        </w:rPr>
        <w:t xml:space="preserve">In addition, a </w:t>
      </w:r>
      <w:r w:rsidRPr="006C513E">
        <w:rPr>
          <w:i/>
          <w:iCs/>
          <w:szCs w:val="24"/>
        </w:rPr>
        <w:t>Cardiac Service Review</w:t>
      </w:r>
      <w:r>
        <w:rPr>
          <w:iCs/>
          <w:szCs w:val="24"/>
        </w:rPr>
        <w:t xml:space="preserve"> in 2011 by the Welsh Health Specialised Services Committee (WHSSC) also highlighted a number of changes in the provision of revascularisation. This included</w:t>
      </w:r>
      <w:r>
        <w:rPr>
          <w:szCs w:val="24"/>
        </w:rPr>
        <w:t xml:space="preserve"> the benefit of revascularisation in more high risk patients and older patients, which </w:t>
      </w:r>
      <w:r w:rsidRPr="000B203C">
        <w:rPr>
          <w:szCs w:val="24"/>
        </w:rPr>
        <w:t>would have diluted any previous s</w:t>
      </w:r>
      <w:r>
        <w:rPr>
          <w:szCs w:val="24"/>
        </w:rPr>
        <w:t xml:space="preserve">ocioeconomic inequity since patients from the </w:t>
      </w:r>
      <w:r w:rsidRPr="000B203C">
        <w:rPr>
          <w:szCs w:val="24"/>
        </w:rPr>
        <w:t xml:space="preserve">more deprived </w:t>
      </w:r>
      <w:r>
        <w:rPr>
          <w:szCs w:val="24"/>
        </w:rPr>
        <w:t>areas are associated with</w:t>
      </w:r>
      <w:r w:rsidRPr="000B203C">
        <w:rPr>
          <w:szCs w:val="24"/>
        </w:rPr>
        <w:t xml:space="preserve"> worse clinical prognosis</w:t>
      </w:r>
      <w:r>
        <w:rPr>
          <w:szCs w:val="24"/>
        </w:rPr>
        <w:t xml:space="preserve"> following AMI (Bergström et al. 2015), along with substantial capital investment in cardiac laboratories allowing more patients to be treated. The increased capacity of revascularisation saw PCI</w:t>
      </w:r>
      <w:r w:rsidRPr="003E278C">
        <w:rPr>
          <w:szCs w:val="24"/>
        </w:rPr>
        <w:t xml:space="preserve"> activity in Wales increas</w:t>
      </w:r>
      <w:r>
        <w:rPr>
          <w:szCs w:val="24"/>
        </w:rPr>
        <w:t>e</w:t>
      </w:r>
      <w:r w:rsidRPr="003E278C">
        <w:rPr>
          <w:szCs w:val="24"/>
        </w:rPr>
        <w:t xml:space="preserve"> by a</w:t>
      </w:r>
      <w:r>
        <w:rPr>
          <w:szCs w:val="24"/>
        </w:rPr>
        <w:t>lmost</w:t>
      </w:r>
      <w:r w:rsidRPr="003E278C">
        <w:rPr>
          <w:szCs w:val="24"/>
        </w:rPr>
        <w:t xml:space="preserve"> 25% between 2010 and 2013 to 1,341</w:t>
      </w:r>
      <w:r>
        <w:rPr>
          <w:szCs w:val="24"/>
        </w:rPr>
        <w:t xml:space="preserve"> PCI per million population</w:t>
      </w:r>
      <w:r w:rsidRPr="003E278C">
        <w:rPr>
          <w:szCs w:val="24"/>
        </w:rPr>
        <w:t xml:space="preserve">, with </w:t>
      </w:r>
      <w:r>
        <w:rPr>
          <w:szCs w:val="24"/>
        </w:rPr>
        <w:t xml:space="preserve">primary </w:t>
      </w:r>
      <w:r w:rsidRPr="003E278C">
        <w:rPr>
          <w:szCs w:val="24"/>
        </w:rPr>
        <w:t>PCI trebli</w:t>
      </w:r>
      <w:r>
        <w:rPr>
          <w:szCs w:val="24"/>
        </w:rPr>
        <w:t xml:space="preserve">ng over the same period to 333 primary </w:t>
      </w:r>
      <w:r w:rsidRPr="003E278C">
        <w:rPr>
          <w:szCs w:val="24"/>
        </w:rPr>
        <w:t xml:space="preserve">PCI </w:t>
      </w:r>
      <w:r>
        <w:rPr>
          <w:szCs w:val="24"/>
        </w:rPr>
        <w:t>per million population (BCIS 2014).</w:t>
      </w:r>
    </w:p>
    <w:p w14:paraId="77F63B6F" w14:textId="77777777" w:rsidR="00FD7508" w:rsidRDefault="00FD7508" w:rsidP="00FD7508">
      <w:pPr>
        <w:rPr>
          <w:szCs w:val="24"/>
        </w:rPr>
      </w:pPr>
      <w:r>
        <w:rPr>
          <w:szCs w:val="24"/>
        </w:rPr>
        <w:t>Since the NPHS report in 2009</w:t>
      </w:r>
      <w:r w:rsidRPr="000B203C">
        <w:rPr>
          <w:szCs w:val="24"/>
        </w:rPr>
        <w:t>, which used data up to 2006, Glan Clwyd Hospital in north Wales has moved from only starting to provide angiography in March 2006 to providing PCI</w:t>
      </w:r>
      <w:r>
        <w:rPr>
          <w:szCs w:val="24"/>
        </w:rPr>
        <w:t xml:space="preserve"> from mid-2009.</w:t>
      </w:r>
      <w:r w:rsidRPr="000B203C">
        <w:rPr>
          <w:szCs w:val="24"/>
        </w:rPr>
        <w:t xml:space="preserve"> </w:t>
      </w:r>
      <w:r>
        <w:rPr>
          <w:szCs w:val="24"/>
        </w:rPr>
        <w:t>A</w:t>
      </w:r>
      <w:r w:rsidRPr="000B203C">
        <w:rPr>
          <w:szCs w:val="24"/>
        </w:rPr>
        <w:t xml:space="preserve"> PCI service in Glan Clwyd </w:t>
      </w:r>
      <w:r>
        <w:rPr>
          <w:szCs w:val="24"/>
        </w:rPr>
        <w:t xml:space="preserve">Hospital </w:t>
      </w:r>
      <w:r w:rsidRPr="000B203C">
        <w:rPr>
          <w:szCs w:val="24"/>
        </w:rPr>
        <w:t xml:space="preserve">would not only have taken the burden off Liverpool Heart and Chest Hospital but </w:t>
      </w:r>
      <w:r>
        <w:rPr>
          <w:szCs w:val="24"/>
        </w:rPr>
        <w:t xml:space="preserve">also </w:t>
      </w:r>
      <w:r w:rsidRPr="000B203C">
        <w:rPr>
          <w:szCs w:val="24"/>
        </w:rPr>
        <w:t>increased capacity of revascularisation for those in the north</w:t>
      </w:r>
      <w:r>
        <w:rPr>
          <w:szCs w:val="24"/>
        </w:rPr>
        <w:t xml:space="preserve"> and</w:t>
      </w:r>
      <w:r w:rsidRPr="000B203C">
        <w:rPr>
          <w:szCs w:val="24"/>
        </w:rPr>
        <w:t xml:space="preserve"> decreased waiting times. </w:t>
      </w:r>
      <w:r>
        <w:rPr>
          <w:szCs w:val="24"/>
        </w:rPr>
        <w:t xml:space="preserve">Increased access for all in north Wales should continue with the expansion of </w:t>
      </w:r>
      <w:r w:rsidRPr="000B203C">
        <w:rPr>
          <w:szCs w:val="24"/>
        </w:rPr>
        <w:t xml:space="preserve">facilities in Glan Clwyd </w:t>
      </w:r>
      <w:r>
        <w:rPr>
          <w:szCs w:val="24"/>
        </w:rPr>
        <w:t xml:space="preserve">Hospital </w:t>
      </w:r>
      <w:r w:rsidRPr="000B203C">
        <w:rPr>
          <w:szCs w:val="24"/>
        </w:rPr>
        <w:t xml:space="preserve">in August 2014 and a 24/7 </w:t>
      </w:r>
      <w:r>
        <w:rPr>
          <w:szCs w:val="24"/>
        </w:rPr>
        <w:t xml:space="preserve">primary PCI service for north Wales implemented in autumn </w:t>
      </w:r>
      <w:r w:rsidRPr="000B203C">
        <w:rPr>
          <w:szCs w:val="24"/>
        </w:rPr>
        <w:t xml:space="preserve">2015. Likewise in south Wales, Royal Gwent started providing </w:t>
      </w:r>
      <w:r>
        <w:rPr>
          <w:szCs w:val="24"/>
        </w:rPr>
        <w:t>PCI</w:t>
      </w:r>
      <w:r w:rsidRPr="000B203C">
        <w:rPr>
          <w:szCs w:val="24"/>
        </w:rPr>
        <w:t xml:space="preserve"> mid</w:t>
      </w:r>
      <w:r>
        <w:rPr>
          <w:szCs w:val="24"/>
        </w:rPr>
        <w:t>-</w:t>
      </w:r>
      <w:r w:rsidRPr="000B203C">
        <w:rPr>
          <w:szCs w:val="24"/>
        </w:rPr>
        <w:t>2011, therefore providing a more local service for the Aneurin Bevan health board</w:t>
      </w:r>
      <w:r>
        <w:rPr>
          <w:szCs w:val="24"/>
        </w:rPr>
        <w:t>,</w:t>
      </w:r>
      <w:r w:rsidRPr="000B203C">
        <w:rPr>
          <w:szCs w:val="24"/>
        </w:rPr>
        <w:t xml:space="preserve"> </w:t>
      </w:r>
      <w:r>
        <w:rPr>
          <w:szCs w:val="24"/>
        </w:rPr>
        <w:t>which has</w:t>
      </w:r>
      <w:r w:rsidRPr="000B203C">
        <w:rPr>
          <w:szCs w:val="24"/>
        </w:rPr>
        <w:t xml:space="preserve"> </w:t>
      </w:r>
      <w:r>
        <w:rPr>
          <w:szCs w:val="24"/>
        </w:rPr>
        <w:t>areas</w:t>
      </w:r>
      <w:r w:rsidRPr="000B203C">
        <w:rPr>
          <w:szCs w:val="24"/>
        </w:rPr>
        <w:t xml:space="preserve"> of high</w:t>
      </w:r>
      <w:r>
        <w:rPr>
          <w:szCs w:val="24"/>
        </w:rPr>
        <w:t xml:space="preserve"> deprivation. </w:t>
      </w:r>
    </w:p>
    <w:p w14:paraId="3C52F74D" w14:textId="77777777" w:rsidR="00FD7508" w:rsidRDefault="00FD7508" w:rsidP="00FD7508">
      <w:pPr>
        <w:rPr>
          <w:szCs w:val="24"/>
        </w:rPr>
      </w:pPr>
      <w:r>
        <w:rPr>
          <w:szCs w:val="24"/>
        </w:rPr>
        <w:t xml:space="preserve">2012 saw access to primary PCI expanded across </w:t>
      </w:r>
      <w:r w:rsidRPr="00FF580D">
        <w:rPr>
          <w:szCs w:val="24"/>
        </w:rPr>
        <w:t xml:space="preserve">the </w:t>
      </w:r>
      <w:r>
        <w:rPr>
          <w:szCs w:val="24"/>
        </w:rPr>
        <w:t>whole</w:t>
      </w:r>
      <w:r w:rsidRPr="00FF580D">
        <w:rPr>
          <w:szCs w:val="24"/>
        </w:rPr>
        <w:t xml:space="preserve"> of south </w:t>
      </w:r>
      <w:r>
        <w:rPr>
          <w:szCs w:val="24"/>
        </w:rPr>
        <w:t xml:space="preserve">Wales, with “overwhelming evidence” of its effectiveness (WHSSC 2011). </w:t>
      </w:r>
      <w:r w:rsidRPr="007E17B5">
        <w:rPr>
          <w:szCs w:val="24"/>
        </w:rPr>
        <w:t xml:space="preserve">The expansion of </w:t>
      </w:r>
      <w:r>
        <w:rPr>
          <w:szCs w:val="24"/>
        </w:rPr>
        <w:t>the</w:t>
      </w:r>
      <w:r w:rsidRPr="007E17B5">
        <w:rPr>
          <w:szCs w:val="24"/>
        </w:rPr>
        <w:t xml:space="preserve"> primary PCI </w:t>
      </w:r>
      <w:r>
        <w:rPr>
          <w:szCs w:val="24"/>
        </w:rPr>
        <w:t xml:space="preserve">service </w:t>
      </w:r>
      <w:r w:rsidRPr="007E17B5">
        <w:rPr>
          <w:szCs w:val="24"/>
        </w:rPr>
        <w:t>across the whole of south Wales has not only made the delivery of revascularisation quicker but has also seemingly reduced the socioeconomic deprivation</w:t>
      </w:r>
      <w:r>
        <w:rPr>
          <w:szCs w:val="24"/>
        </w:rPr>
        <w:t xml:space="preserve"> impact of access to revascularisation for those with a first time AMI</w:t>
      </w:r>
      <w:r w:rsidRPr="007E17B5">
        <w:rPr>
          <w:szCs w:val="24"/>
        </w:rPr>
        <w:t>.</w:t>
      </w:r>
      <w:r>
        <w:rPr>
          <w:rFonts w:ascii="Times New Roman" w:hAnsi="Times New Roman"/>
          <w:szCs w:val="24"/>
        </w:rPr>
        <w:t xml:space="preserve"> </w:t>
      </w:r>
      <w:r>
        <w:rPr>
          <w:szCs w:val="24"/>
        </w:rPr>
        <w:t>The</w:t>
      </w:r>
      <w:r w:rsidRPr="0073024D">
        <w:rPr>
          <w:szCs w:val="24"/>
        </w:rPr>
        <w:t xml:space="preserve"> </w:t>
      </w:r>
      <w:r>
        <w:rPr>
          <w:szCs w:val="24"/>
        </w:rPr>
        <w:t xml:space="preserve">reduced impact of deprivation following the introduction of primary </w:t>
      </w:r>
      <w:r w:rsidRPr="0073024D">
        <w:rPr>
          <w:szCs w:val="24"/>
        </w:rPr>
        <w:t>PCI</w:t>
      </w:r>
      <w:r>
        <w:rPr>
          <w:szCs w:val="24"/>
        </w:rPr>
        <w:t xml:space="preserve"> has been noted elsewhere</w:t>
      </w:r>
      <w:r w:rsidRPr="0073024D">
        <w:rPr>
          <w:szCs w:val="24"/>
        </w:rPr>
        <w:t>, with socioeconomic factors having a small impact on time to revascularisation after presenting to a healthcare facility</w:t>
      </w:r>
      <w:r>
        <w:rPr>
          <w:szCs w:val="24"/>
        </w:rPr>
        <w:t xml:space="preserve"> (Agarwal et al. 2014). </w:t>
      </w:r>
      <w:r w:rsidRPr="00933AD8">
        <w:rPr>
          <w:szCs w:val="24"/>
        </w:rPr>
        <w:t>Previous inequity may have existed with physicians’ perceptions of non-c</w:t>
      </w:r>
      <w:r>
        <w:rPr>
          <w:szCs w:val="24"/>
        </w:rPr>
        <w:t>linical factors, such as low socioeconomic status (SES)</w:t>
      </w:r>
      <w:r w:rsidRPr="00933AD8">
        <w:rPr>
          <w:szCs w:val="24"/>
        </w:rPr>
        <w:t>, unhealthy lifestyle, and lack of social support, having more of a role, with the influence of non-clinical factors only diminishing once patients reac</w:t>
      </w:r>
      <w:r>
        <w:rPr>
          <w:szCs w:val="24"/>
        </w:rPr>
        <w:t>hed a cardiothoracic specialist</w:t>
      </w:r>
      <w:r w:rsidRPr="00933AD8">
        <w:rPr>
          <w:szCs w:val="24"/>
        </w:rPr>
        <w:t xml:space="preserve"> </w:t>
      </w:r>
      <w:r>
        <w:rPr>
          <w:szCs w:val="24"/>
        </w:rPr>
        <w:t>(Barnhart et al. 2003).</w:t>
      </w:r>
    </w:p>
    <w:p w14:paraId="55E6270E" w14:textId="77777777" w:rsidR="00FD7508" w:rsidRDefault="00FD7508" w:rsidP="00FD7508">
      <w:pPr>
        <w:rPr>
          <w:szCs w:val="24"/>
        </w:rPr>
      </w:pPr>
      <w:r w:rsidRPr="00C757AE">
        <w:rPr>
          <w:szCs w:val="24"/>
        </w:rPr>
        <w:t>However, the</w:t>
      </w:r>
      <w:r>
        <w:rPr>
          <w:szCs w:val="24"/>
        </w:rPr>
        <w:t xml:space="preserve"> study concentrated only on patients with a first time hospital admission for AMI, with e</w:t>
      </w:r>
      <w:r w:rsidRPr="00C757AE">
        <w:rPr>
          <w:szCs w:val="24"/>
        </w:rPr>
        <w:t>mergency admission</w:t>
      </w:r>
      <w:r>
        <w:rPr>
          <w:szCs w:val="24"/>
        </w:rPr>
        <w:t>s</w:t>
      </w:r>
      <w:r w:rsidRPr="00C757AE">
        <w:rPr>
          <w:szCs w:val="24"/>
        </w:rPr>
        <w:t xml:space="preserve"> used on the basis that they seem to avoid the difficulty that other type</w:t>
      </w:r>
      <w:r>
        <w:rPr>
          <w:szCs w:val="24"/>
        </w:rPr>
        <w:t>s</w:t>
      </w:r>
      <w:r w:rsidRPr="00C757AE">
        <w:rPr>
          <w:szCs w:val="24"/>
        </w:rPr>
        <w:t xml:space="preserve"> of admissions have in differing threshold for referrals and waiting times</w:t>
      </w:r>
      <w:r>
        <w:rPr>
          <w:szCs w:val="24"/>
        </w:rPr>
        <w:t xml:space="preserve">. </w:t>
      </w:r>
      <w:r w:rsidRPr="000B203C">
        <w:rPr>
          <w:szCs w:val="24"/>
        </w:rPr>
        <w:t xml:space="preserve">While we can conclude that there is </w:t>
      </w:r>
      <w:r>
        <w:rPr>
          <w:szCs w:val="24"/>
        </w:rPr>
        <w:t xml:space="preserve">currently no socioeconomic deprivation </w:t>
      </w:r>
      <w:r w:rsidRPr="000B203C">
        <w:rPr>
          <w:szCs w:val="24"/>
        </w:rPr>
        <w:t>inequity</w:t>
      </w:r>
      <w:r>
        <w:rPr>
          <w:szCs w:val="24"/>
        </w:rPr>
        <w:t xml:space="preserve"> </w:t>
      </w:r>
      <w:r w:rsidRPr="000B203C">
        <w:rPr>
          <w:szCs w:val="24"/>
        </w:rPr>
        <w:t xml:space="preserve">in those that are admitted </w:t>
      </w:r>
      <w:r>
        <w:rPr>
          <w:szCs w:val="24"/>
        </w:rPr>
        <w:t>directly</w:t>
      </w:r>
      <w:r w:rsidRPr="000B203C">
        <w:rPr>
          <w:szCs w:val="24"/>
        </w:rPr>
        <w:t xml:space="preserve"> to hospitals</w:t>
      </w:r>
      <w:r>
        <w:rPr>
          <w:szCs w:val="24"/>
        </w:rPr>
        <w:t xml:space="preserve"> with a first time AMI</w:t>
      </w:r>
      <w:r w:rsidRPr="000B203C">
        <w:rPr>
          <w:szCs w:val="24"/>
        </w:rPr>
        <w:t>, inequity could reside in the community</w:t>
      </w:r>
      <w:r>
        <w:rPr>
          <w:szCs w:val="24"/>
        </w:rPr>
        <w:t>, with</w:t>
      </w:r>
      <w:r w:rsidRPr="00C05070">
        <w:rPr>
          <w:szCs w:val="24"/>
        </w:rPr>
        <w:t xml:space="preserve"> </w:t>
      </w:r>
      <w:r w:rsidRPr="0073024D">
        <w:rPr>
          <w:szCs w:val="24"/>
        </w:rPr>
        <w:t xml:space="preserve">a greater degree of impact of </w:t>
      </w:r>
      <w:r>
        <w:rPr>
          <w:szCs w:val="24"/>
        </w:rPr>
        <w:t>SES</w:t>
      </w:r>
      <w:r w:rsidRPr="0073024D">
        <w:rPr>
          <w:szCs w:val="24"/>
        </w:rPr>
        <w:t xml:space="preserve"> on the duration between symptom </w:t>
      </w:r>
      <w:r>
        <w:rPr>
          <w:szCs w:val="24"/>
        </w:rPr>
        <w:t>onset and first medical contact (Agarwal et al. 2014)</w:t>
      </w:r>
      <w:r w:rsidRPr="000B203C">
        <w:rPr>
          <w:szCs w:val="24"/>
        </w:rPr>
        <w:t xml:space="preserve">. </w:t>
      </w:r>
      <w:r>
        <w:rPr>
          <w:szCs w:val="24"/>
        </w:rPr>
        <w:t xml:space="preserve">Patients with </w:t>
      </w:r>
      <w:r w:rsidRPr="00C757AE">
        <w:rPr>
          <w:szCs w:val="24"/>
        </w:rPr>
        <w:t>angina may also be suitable for revascularisation</w:t>
      </w:r>
      <w:r>
        <w:rPr>
          <w:szCs w:val="24"/>
        </w:rPr>
        <w:t>.</w:t>
      </w:r>
      <w:r w:rsidRPr="00C757AE">
        <w:rPr>
          <w:szCs w:val="24"/>
        </w:rPr>
        <w:t xml:space="preserve"> Those with angina generally present to their primary care physician, however, the most deprived have different illness thresholds and lower expectations in consulting GPs and therefore are less likely to visit a GP</w:t>
      </w:r>
      <w:r>
        <w:rPr>
          <w:szCs w:val="24"/>
        </w:rPr>
        <w:t xml:space="preserve"> (Hippisley-Cox and Pringle 2000; Richards et al. 2002)</w:t>
      </w:r>
      <w:r w:rsidRPr="00C757AE">
        <w:rPr>
          <w:szCs w:val="24"/>
        </w:rPr>
        <w:t>; whilst socioeconomic differences could reside in GPs referrals to specialist care</w:t>
      </w:r>
      <w:r>
        <w:rPr>
          <w:szCs w:val="24"/>
        </w:rPr>
        <w:t xml:space="preserve"> with the least deprived having a seemingly “louder voice” and greater expectations (McBride et al. 2010)</w:t>
      </w:r>
      <w:r w:rsidRPr="00DE44B0">
        <w:rPr>
          <w:szCs w:val="24"/>
        </w:rPr>
        <w:t>.</w:t>
      </w:r>
      <w:r>
        <w:rPr>
          <w:szCs w:val="24"/>
        </w:rPr>
        <w:t xml:space="preserve"> Korda et al. (2009) suggested that socioeconomic inequity existed in patients with angina but not AMI due to more discretion being used since intervention guidelines for angina are not as well established as those for AMI.   </w:t>
      </w:r>
    </w:p>
    <w:p w14:paraId="79751501" w14:textId="77777777" w:rsidR="004B5858" w:rsidRDefault="00FD7508" w:rsidP="004B5858">
      <w:pPr>
        <w:rPr>
          <w:szCs w:val="24"/>
        </w:rPr>
      </w:pPr>
      <w:r w:rsidRPr="003A5AF3">
        <w:rPr>
          <w:szCs w:val="24"/>
        </w:rPr>
        <w:t xml:space="preserve">In contrast, females and the older aged continued to be significantly less likely to receive revascularisation in the six months following AMI admission. The most likely explanation for </w:t>
      </w:r>
      <w:r w:rsidRPr="003A5AF3">
        <w:rPr>
          <w:szCs w:val="24"/>
        </w:rPr>
        <w:lastRenderedPageBreak/>
        <w:t xml:space="preserve">inequity in the older aged is, despite the falling thresholds in eligibility for revascularisation and adjusting for the number of comorbidities present in the models, that they are too ill-health to undergo a procedure. The reason for the apparent inequity in females is less obvious and requires further investigation. </w:t>
      </w:r>
      <w:r>
        <w:rPr>
          <w:szCs w:val="24"/>
        </w:rPr>
        <w:t xml:space="preserve">The lack of interaction between females and age means it cannot all be attributed to females being admitted at an older age than males. </w:t>
      </w:r>
      <w:r w:rsidRPr="003A5AF3">
        <w:rPr>
          <w:szCs w:val="24"/>
        </w:rPr>
        <w:t>One possible explanation is that STEMI is more often diagnosed in males</w:t>
      </w:r>
      <w:r>
        <w:rPr>
          <w:szCs w:val="24"/>
        </w:rPr>
        <w:t xml:space="preserve"> (Barlyski et al. 2011)</w:t>
      </w:r>
      <w:r w:rsidRPr="003A5AF3">
        <w:rPr>
          <w:szCs w:val="24"/>
        </w:rPr>
        <w:t>, and therefor</w:t>
      </w:r>
      <w:r>
        <w:rPr>
          <w:szCs w:val="24"/>
        </w:rPr>
        <w:t xml:space="preserve">e the expanded access to primary </w:t>
      </w:r>
      <w:r w:rsidRPr="003A5AF3">
        <w:rPr>
          <w:szCs w:val="24"/>
        </w:rPr>
        <w:t>PCI would have continued to benefit males more than females</w:t>
      </w:r>
      <w:r>
        <w:rPr>
          <w:szCs w:val="24"/>
        </w:rPr>
        <w:t>, with primary PCI provided to those with STEMI with a call-to-balloon time target of 120 minutes</w:t>
      </w:r>
      <w:r w:rsidRPr="003A5AF3">
        <w:rPr>
          <w:szCs w:val="24"/>
        </w:rPr>
        <w:t>. However, part of the inequity is more than likely due to an inability of the study to fully adjus</w:t>
      </w:r>
      <w:r>
        <w:rPr>
          <w:szCs w:val="24"/>
        </w:rPr>
        <w:t xml:space="preserve">t for all clinical conditions. </w:t>
      </w:r>
    </w:p>
    <w:p w14:paraId="1BB3CE29" w14:textId="77777777" w:rsidR="004B5858" w:rsidRPr="004B5858" w:rsidRDefault="004B5858" w:rsidP="004B5858">
      <w:pPr>
        <w:pStyle w:val="Heading2"/>
        <w:rPr>
          <w:color w:val="3182BD"/>
        </w:rPr>
      </w:pPr>
      <w:bookmarkStart w:id="81" w:name="_Toc451339999"/>
      <w:bookmarkStart w:id="82" w:name="_Toc500831818"/>
      <w:r w:rsidRPr="004B5858">
        <w:rPr>
          <w:color w:val="3182BD"/>
        </w:rPr>
        <w:t>Limitations of the study</w:t>
      </w:r>
      <w:bookmarkEnd w:id="80"/>
      <w:bookmarkEnd w:id="81"/>
      <w:bookmarkEnd w:id="82"/>
    </w:p>
    <w:p w14:paraId="5BF8CC0A" w14:textId="77777777" w:rsidR="00FD7508" w:rsidRPr="000B203C" w:rsidRDefault="00FD7508" w:rsidP="00FD7508">
      <w:pPr>
        <w:rPr>
          <w:szCs w:val="24"/>
        </w:rPr>
      </w:pPr>
      <w:r>
        <w:rPr>
          <w:szCs w:val="24"/>
        </w:rPr>
        <w:t xml:space="preserve">The study could not distinguish between </w:t>
      </w:r>
      <w:r w:rsidRPr="00A334AD">
        <w:rPr>
          <w:szCs w:val="24"/>
        </w:rPr>
        <w:t>ST Segment Elevation Myocardial Infarction (STEMI) and non-ST Segment Elevation Myocardial Infarction (NSTEMI)</w:t>
      </w:r>
      <w:r>
        <w:rPr>
          <w:szCs w:val="24"/>
        </w:rPr>
        <w:t xml:space="preserve">, </w:t>
      </w:r>
      <w:r w:rsidRPr="000B203C">
        <w:rPr>
          <w:szCs w:val="24"/>
        </w:rPr>
        <w:t>meaning they had to be analysed together</w:t>
      </w:r>
      <w:r>
        <w:rPr>
          <w:szCs w:val="24"/>
        </w:rPr>
        <w:t>,</w:t>
      </w:r>
      <w:r w:rsidRPr="000B203C">
        <w:rPr>
          <w:szCs w:val="24"/>
        </w:rPr>
        <w:t xml:space="preserve"> although </w:t>
      </w:r>
      <w:r>
        <w:rPr>
          <w:szCs w:val="24"/>
        </w:rPr>
        <w:t xml:space="preserve">clinically </w:t>
      </w:r>
      <w:r w:rsidRPr="000B203C">
        <w:rPr>
          <w:szCs w:val="24"/>
        </w:rPr>
        <w:t>they are both managed differently.</w:t>
      </w:r>
      <w:r>
        <w:rPr>
          <w:szCs w:val="24"/>
        </w:rPr>
        <w:t xml:space="preserve"> </w:t>
      </w:r>
      <w:r w:rsidRPr="00EA35ED">
        <w:rPr>
          <w:szCs w:val="24"/>
        </w:rPr>
        <w:t>Future research could link the existing dataset to the Myocardial Ischaemia National Audit Project (MINAP</w:t>
      </w:r>
      <w:r w:rsidRPr="00023A2F">
        <w:rPr>
          <w:szCs w:val="24"/>
        </w:rPr>
        <w:t xml:space="preserve">) dataset, which distinguishes between STEMI and NSTEMI, and possibly the SAIL GP dataset, as it increases its coverage throughout Wales. This would allow other confounding variables such as </w:t>
      </w:r>
      <w:r>
        <w:rPr>
          <w:szCs w:val="24"/>
        </w:rPr>
        <w:t>smoking status, alcohol intake and</w:t>
      </w:r>
      <w:r w:rsidRPr="00023A2F">
        <w:rPr>
          <w:szCs w:val="24"/>
        </w:rPr>
        <w:t xml:space="preserve"> BMI</w:t>
      </w:r>
      <w:r w:rsidRPr="00EA35ED">
        <w:rPr>
          <w:szCs w:val="24"/>
        </w:rPr>
        <w:t xml:space="preserve"> to be used</w:t>
      </w:r>
      <w:r>
        <w:rPr>
          <w:szCs w:val="24"/>
        </w:rPr>
        <w:t>, subject to an assessment of data quality and completeness</w:t>
      </w:r>
      <w:r w:rsidRPr="00EA35ED">
        <w:rPr>
          <w:szCs w:val="24"/>
        </w:rPr>
        <w:t>.</w:t>
      </w:r>
      <w:r>
        <w:rPr>
          <w:szCs w:val="24"/>
        </w:rPr>
        <w:t xml:space="preserve"> </w:t>
      </w:r>
    </w:p>
    <w:p w14:paraId="72B890F8" w14:textId="77777777" w:rsidR="00FD7508" w:rsidRPr="000B203C" w:rsidRDefault="00FD7508" w:rsidP="00FD7508">
      <w:pPr>
        <w:rPr>
          <w:szCs w:val="24"/>
        </w:rPr>
      </w:pPr>
      <w:r w:rsidRPr="000B203C">
        <w:rPr>
          <w:szCs w:val="24"/>
        </w:rPr>
        <w:t xml:space="preserve">The study </w:t>
      </w:r>
      <w:r>
        <w:rPr>
          <w:szCs w:val="24"/>
        </w:rPr>
        <w:t>could not include patients managed privately, with i</w:t>
      </w:r>
      <w:r w:rsidRPr="000B203C">
        <w:rPr>
          <w:szCs w:val="24"/>
        </w:rPr>
        <w:t xml:space="preserve">ndividuals in the least deprived </w:t>
      </w:r>
      <w:r>
        <w:rPr>
          <w:szCs w:val="24"/>
        </w:rPr>
        <w:t xml:space="preserve">quintile more </w:t>
      </w:r>
      <w:r w:rsidRPr="000B203C">
        <w:rPr>
          <w:szCs w:val="24"/>
        </w:rPr>
        <w:t>likely to benefit from private healthcare.</w:t>
      </w:r>
      <w:r>
        <w:rPr>
          <w:szCs w:val="24"/>
        </w:rPr>
        <w:t xml:space="preserve"> However, none of the five private hospitals in Wales offered revascularisation during the study period.</w:t>
      </w:r>
    </w:p>
    <w:p w14:paraId="2D9E652B" w14:textId="77777777" w:rsidR="004B5858" w:rsidRDefault="00FD7508" w:rsidP="00FD7508">
      <w:pPr>
        <w:rPr>
          <w:szCs w:val="24"/>
        </w:rPr>
      </w:pPr>
      <w:r w:rsidRPr="000B203C">
        <w:rPr>
          <w:szCs w:val="24"/>
        </w:rPr>
        <w:t xml:space="preserve">The assignment of SES to an individual based on the characteristics of area of residence and not on an individual’s characteristics is </w:t>
      </w:r>
      <w:r>
        <w:rPr>
          <w:szCs w:val="24"/>
        </w:rPr>
        <w:t xml:space="preserve">prone to the ecological fallacy (Robinson 1950). </w:t>
      </w:r>
      <w:r w:rsidRPr="000B203C">
        <w:rPr>
          <w:szCs w:val="24"/>
        </w:rPr>
        <w:t xml:space="preserve">However, this was the only reasonable option and the assignment of area-based deprivation measures to individuals is commonly used. </w:t>
      </w:r>
      <w:r>
        <w:rPr>
          <w:szCs w:val="24"/>
        </w:rPr>
        <w:t>In response to the ecological fallacy, Alker et al. (1969) made reference to the “individualistic fallacy”, whereby one wrongly assumes that individuals are unaffected by the neighbourhood in which they live, which individual-level SES does not account for.</w:t>
      </w:r>
    </w:p>
    <w:p w14:paraId="309BEBD4" w14:textId="77777777" w:rsidR="004B5858" w:rsidRDefault="004B5858" w:rsidP="004B5858">
      <w:pPr>
        <w:spacing w:before="0"/>
        <w:jc w:val="left"/>
        <w:rPr>
          <w:b/>
          <w:kern w:val="28"/>
          <w:sz w:val="32"/>
        </w:rPr>
      </w:pPr>
      <w:r>
        <w:br w:type="page"/>
      </w:r>
    </w:p>
    <w:p w14:paraId="68B2E93F" w14:textId="77777777" w:rsidR="004B5858" w:rsidRDefault="00FD7508" w:rsidP="004B5858">
      <w:pPr>
        <w:pStyle w:val="Heading1"/>
        <w:keepNext/>
        <w:numPr>
          <w:ilvl w:val="0"/>
          <w:numId w:val="3"/>
        </w:numPr>
        <w:spacing w:before="360"/>
        <w:jc w:val="left"/>
      </w:pPr>
      <w:bookmarkStart w:id="83" w:name="_Toc500831819"/>
      <w:r>
        <w:lastRenderedPageBreak/>
        <w:t>Conclusions</w:t>
      </w:r>
      <w:bookmarkEnd w:id="83"/>
    </w:p>
    <w:p w14:paraId="32AB0FCC" w14:textId="77777777" w:rsidR="00FD7508" w:rsidRDefault="00FD7508" w:rsidP="00FD7508">
      <w:pPr>
        <w:jc w:val="left"/>
      </w:pPr>
      <w:r>
        <w:t xml:space="preserve">This study investigated access to revascularisation for patients with first time AMI by socioeconomic deprivation in Wales. Recent years have seen increased resources in the provision of revascularisation, prior to this previous studies concluded that patients living in the most deprived areas of Wales were disadvantaged in terms of access to revascularisation.   </w:t>
      </w:r>
    </w:p>
    <w:p w14:paraId="6789CCE3" w14:textId="77777777" w:rsidR="00FD7508" w:rsidRDefault="00FD7508" w:rsidP="00FD7508">
      <w:r>
        <w:t>The key findings were:</w:t>
      </w:r>
    </w:p>
    <w:p w14:paraId="2C86211E" w14:textId="77777777" w:rsidR="00FD7508" w:rsidRDefault="00FD7508" w:rsidP="00FD7508"/>
    <w:p w14:paraId="30B15105" w14:textId="77777777" w:rsidR="00FD7508" w:rsidRPr="00DF0F64" w:rsidRDefault="00FD7508" w:rsidP="00FD7508">
      <w:pPr>
        <w:pStyle w:val="ListParagraph"/>
        <w:numPr>
          <w:ilvl w:val="0"/>
          <w:numId w:val="45"/>
        </w:numPr>
        <w:spacing w:before="0" w:after="200"/>
        <w:jc w:val="left"/>
        <w:rPr>
          <w:szCs w:val="24"/>
        </w:rPr>
      </w:pPr>
      <w:r w:rsidRPr="00DF0F64">
        <w:rPr>
          <w:szCs w:val="24"/>
        </w:rPr>
        <w:t>Access to revascularisation following first time AMI is being provided equitably by socioeconomic deprivation for Welsh residents.</w:t>
      </w:r>
    </w:p>
    <w:p w14:paraId="1D7DED7B" w14:textId="77777777" w:rsidR="00FD7508" w:rsidRPr="00DF0F64" w:rsidRDefault="00FD7508" w:rsidP="00FD7508">
      <w:pPr>
        <w:pStyle w:val="ListParagraph"/>
        <w:rPr>
          <w:szCs w:val="24"/>
        </w:rPr>
      </w:pPr>
    </w:p>
    <w:p w14:paraId="030C5829" w14:textId="77777777" w:rsidR="00FD7508" w:rsidRPr="00DF0F64" w:rsidRDefault="00FD7508" w:rsidP="00FD7508">
      <w:pPr>
        <w:pStyle w:val="ListParagraph"/>
        <w:numPr>
          <w:ilvl w:val="0"/>
          <w:numId w:val="45"/>
        </w:numPr>
        <w:spacing w:before="0" w:after="200"/>
        <w:jc w:val="left"/>
        <w:rPr>
          <w:szCs w:val="24"/>
        </w:rPr>
      </w:pPr>
      <w:r w:rsidRPr="00DF0F64">
        <w:rPr>
          <w:szCs w:val="24"/>
        </w:rPr>
        <w:t xml:space="preserve">A change in revascularisation provision in south Wales was associated with the elimination of the previously observed inequity between deprivation quintiles, along with statistically significantly increased rates of revascularisation for all deprivation quintiles and much timelier access to revascularisation. </w:t>
      </w:r>
    </w:p>
    <w:p w14:paraId="0B9ED385" w14:textId="77777777" w:rsidR="00FD7508" w:rsidRPr="00DF0F64" w:rsidRDefault="00FD7508" w:rsidP="00FD7508">
      <w:pPr>
        <w:pStyle w:val="ListParagraph"/>
        <w:rPr>
          <w:szCs w:val="24"/>
        </w:rPr>
      </w:pPr>
    </w:p>
    <w:p w14:paraId="672558C1" w14:textId="77777777" w:rsidR="00FD7508" w:rsidRPr="00DF0F64" w:rsidRDefault="00FD7508" w:rsidP="00FD7508">
      <w:pPr>
        <w:pStyle w:val="ListParagraph"/>
        <w:numPr>
          <w:ilvl w:val="0"/>
          <w:numId w:val="45"/>
        </w:numPr>
        <w:spacing w:before="0" w:after="200"/>
        <w:jc w:val="left"/>
        <w:rPr>
          <w:szCs w:val="24"/>
        </w:rPr>
      </w:pPr>
      <w:r w:rsidRPr="00DF0F64">
        <w:rPr>
          <w:szCs w:val="24"/>
        </w:rPr>
        <w:t xml:space="preserve">Analysis on the residents of north Wales provides evidence of no significant difference in the time to revascularisation between deprivation quintiles. </w:t>
      </w:r>
    </w:p>
    <w:p w14:paraId="1ECAC0DE" w14:textId="77777777" w:rsidR="00FD7508" w:rsidRPr="00DF0F64" w:rsidRDefault="00FD7508" w:rsidP="00FD7508">
      <w:pPr>
        <w:pStyle w:val="ListParagraph"/>
        <w:rPr>
          <w:szCs w:val="24"/>
        </w:rPr>
      </w:pPr>
    </w:p>
    <w:p w14:paraId="6355CA41" w14:textId="77777777" w:rsidR="004B5858" w:rsidRPr="00DF0F64" w:rsidRDefault="00FD7508" w:rsidP="004B5858">
      <w:pPr>
        <w:pStyle w:val="ListParagraph"/>
        <w:numPr>
          <w:ilvl w:val="0"/>
          <w:numId w:val="45"/>
        </w:numPr>
        <w:spacing w:before="0" w:after="200"/>
        <w:jc w:val="left"/>
        <w:rPr>
          <w:szCs w:val="24"/>
        </w:rPr>
      </w:pPr>
      <w:r w:rsidRPr="00DF0F64">
        <w:rPr>
          <w:szCs w:val="24"/>
        </w:rPr>
        <w:t>Results suggest inequity of access to revascularisation persist for both females and those aged 75 years and over across Wales.</w:t>
      </w:r>
    </w:p>
    <w:p w14:paraId="6D3D15FF" w14:textId="77777777" w:rsidR="004B5858" w:rsidRDefault="004B5858" w:rsidP="004B5858">
      <w:pPr>
        <w:spacing w:before="0"/>
        <w:jc w:val="left"/>
        <w:rPr>
          <w:sz w:val="24"/>
        </w:rPr>
      </w:pPr>
    </w:p>
    <w:p w14:paraId="5B81D78A" w14:textId="77777777" w:rsidR="004B5858" w:rsidRDefault="004B5858" w:rsidP="004B5858">
      <w:pPr>
        <w:spacing w:before="0"/>
        <w:jc w:val="left"/>
        <w:rPr>
          <w:sz w:val="24"/>
        </w:rPr>
      </w:pPr>
    </w:p>
    <w:p w14:paraId="1F36A55F" w14:textId="77777777" w:rsidR="004B5858" w:rsidRDefault="004B5858" w:rsidP="004B5858">
      <w:pPr>
        <w:spacing w:before="0"/>
        <w:jc w:val="left"/>
        <w:rPr>
          <w:sz w:val="24"/>
        </w:rPr>
      </w:pPr>
    </w:p>
    <w:p w14:paraId="0E72F7FE" w14:textId="77777777" w:rsidR="004B5858" w:rsidRDefault="004B5858" w:rsidP="004B5858">
      <w:pPr>
        <w:spacing w:before="0"/>
        <w:jc w:val="left"/>
        <w:rPr>
          <w:sz w:val="24"/>
        </w:rPr>
      </w:pPr>
    </w:p>
    <w:p w14:paraId="6BA093E0" w14:textId="77777777" w:rsidR="004B5858" w:rsidRDefault="004B5858" w:rsidP="004B5858">
      <w:pPr>
        <w:spacing w:before="0"/>
        <w:jc w:val="left"/>
        <w:rPr>
          <w:sz w:val="24"/>
        </w:rPr>
      </w:pPr>
    </w:p>
    <w:p w14:paraId="0A55F8F5" w14:textId="77777777" w:rsidR="004B5858" w:rsidRDefault="004B5858" w:rsidP="004B5858">
      <w:pPr>
        <w:spacing w:before="0"/>
        <w:jc w:val="left"/>
        <w:rPr>
          <w:sz w:val="24"/>
        </w:rPr>
      </w:pPr>
    </w:p>
    <w:p w14:paraId="1F3C76CB" w14:textId="77777777" w:rsidR="004B5858" w:rsidRDefault="004B5858" w:rsidP="004B5858">
      <w:pPr>
        <w:spacing w:before="0"/>
        <w:jc w:val="left"/>
        <w:rPr>
          <w:sz w:val="24"/>
        </w:rPr>
      </w:pPr>
    </w:p>
    <w:p w14:paraId="6DA60E87" w14:textId="77777777" w:rsidR="004B5858" w:rsidRDefault="004B5858" w:rsidP="004B5858">
      <w:pPr>
        <w:spacing w:before="0"/>
        <w:jc w:val="left"/>
        <w:rPr>
          <w:sz w:val="24"/>
        </w:rPr>
      </w:pPr>
    </w:p>
    <w:p w14:paraId="16884782" w14:textId="77777777" w:rsidR="004B5858" w:rsidRDefault="004B5858" w:rsidP="004B5858">
      <w:pPr>
        <w:spacing w:before="0"/>
        <w:jc w:val="left"/>
        <w:rPr>
          <w:sz w:val="24"/>
        </w:rPr>
      </w:pPr>
    </w:p>
    <w:p w14:paraId="052C0073" w14:textId="77777777" w:rsidR="004B5858" w:rsidRDefault="004B5858" w:rsidP="004B5858">
      <w:pPr>
        <w:spacing w:before="0"/>
        <w:jc w:val="left"/>
        <w:rPr>
          <w:sz w:val="24"/>
        </w:rPr>
      </w:pPr>
    </w:p>
    <w:p w14:paraId="0419F46D" w14:textId="77777777" w:rsidR="004B5858" w:rsidRDefault="004B5858" w:rsidP="004B5858">
      <w:pPr>
        <w:spacing w:before="0"/>
        <w:jc w:val="left"/>
        <w:rPr>
          <w:sz w:val="24"/>
        </w:rPr>
      </w:pPr>
    </w:p>
    <w:p w14:paraId="72C2B95C" w14:textId="77777777" w:rsidR="004B5858" w:rsidRDefault="004B5858" w:rsidP="004B5858">
      <w:pPr>
        <w:spacing w:before="0"/>
        <w:jc w:val="left"/>
        <w:rPr>
          <w:sz w:val="24"/>
        </w:rPr>
      </w:pPr>
    </w:p>
    <w:p w14:paraId="334DEE5E" w14:textId="77777777" w:rsidR="004B5858" w:rsidRDefault="004B5858" w:rsidP="004B5858">
      <w:pPr>
        <w:spacing w:before="0"/>
        <w:jc w:val="left"/>
        <w:rPr>
          <w:sz w:val="24"/>
        </w:rPr>
      </w:pPr>
    </w:p>
    <w:p w14:paraId="4FBE4E03" w14:textId="77777777" w:rsidR="004B5858" w:rsidRDefault="004B5858" w:rsidP="004B5858">
      <w:pPr>
        <w:spacing w:before="0"/>
        <w:jc w:val="left"/>
        <w:rPr>
          <w:sz w:val="24"/>
        </w:rPr>
      </w:pPr>
    </w:p>
    <w:p w14:paraId="52C395F7" w14:textId="77777777" w:rsidR="004B5858" w:rsidRDefault="004B5858" w:rsidP="004B5858">
      <w:pPr>
        <w:spacing w:before="0"/>
        <w:jc w:val="left"/>
        <w:rPr>
          <w:sz w:val="24"/>
        </w:rPr>
      </w:pPr>
    </w:p>
    <w:p w14:paraId="345D0C82" w14:textId="77777777" w:rsidR="004B5858" w:rsidRDefault="004B5858" w:rsidP="004B5858">
      <w:pPr>
        <w:spacing w:before="0"/>
        <w:jc w:val="left"/>
        <w:rPr>
          <w:sz w:val="24"/>
        </w:rPr>
      </w:pPr>
    </w:p>
    <w:p w14:paraId="70B5A0A7" w14:textId="77777777" w:rsidR="004B5858" w:rsidRDefault="004B5858" w:rsidP="004B5858">
      <w:pPr>
        <w:spacing w:before="0"/>
        <w:jc w:val="left"/>
        <w:rPr>
          <w:sz w:val="24"/>
        </w:rPr>
      </w:pPr>
    </w:p>
    <w:p w14:paraId="02E1272D" w14:textId="77777777" w:rsidR="004B5858" w:rsidRDefault="004B5858" w:rsidP="004B5858">
      <w:pPr>
        <w:spacing w:before="0"/>
        <w:jc w:val="left"/>
        <w:rPr>
          <w:sz w:val="24"/>
        </w:rPr>
      </w:pPr>
    </w:p>
    <w:p w14:paraId="12A88A3F" w14:textId="77777777" w:rsidR="004B5858" w:rsidRDefault="004B5858" w:rsidP="004B5858">
      <w:pPr>
        <w:spacing w:before="0"/>
        <w:jc w:val="left"/>
        <w:rPr>
          <w:sz w:val="24"/>
        </w:rPr>
      </w:pPr>
    </w:p>
    <w:p w14:paraId="66CC3C66" w14:textId="77777777" w:rsidR="004B5858" w:rsidRDefault="004B5858" w:rsidP="004B5858">
      <w:pPr>
        <w:spacing w:before="0"/>
        <w:jc w:val="left"/>
        <w:rPr>
          <w:sz w:val="24"/>
        </w:rPr>
      </w:pPr>
    </w:p>
    <w:p w14:paraId="4435F7A9" w14:textId="77777777" w:rsidR="004B5858" w:rsidRDefault="004B5858" w:rsidP="004B5858">
      <w:pPr>
        <w:spacing w:before="0"/>
        <w:jc w:val="left"/>
        <w:rPr>
          <w:sz w:val="24"/>
        </w:rPr>
      </w:pPr>
    </w:p>
    <w:p w14:paraId="656AE9BB" w14:textId="77777777" w:rsidR="004B5858" w:rsidRDefault="004B5858" w:rsidP="004B5858">
      <w:pPr>
        <w:spacing w:before="0"/>
        <w:jc w:val="left"/>
        <w:rPr>
          <w:sz w:val="24"/>
        </w:rPr>
      </w:pPr>
    </w:p>
    <w:p w14:paraId="519594E2" w14:textId="77777777" w:rsidR="004B5858" w:rsidRDefault="004B5858" w:rsidP="004B5858">
      <w:pPr>
        <w:spacing w:before="0"/>
        <w:jc w:val="left"/>
        <w:rPr>
          <w:sz w:val="24"/>
        </w:rPr>
      </w:pPr>
    </w:p>
    <w:p w14:paraId="727D75CB" w14:textId="77777777" w:rsidR="004B5858" w:rsidRDefault="004B5858" w:rsidP="004B5858">
      <w:pPr>
        <w:spacing w:before="0"/>
        <w:jc w:val="left"/>
        <w:rPr>
          <w:sz w:val="24"/>
        </w:rPr>
      </w:pPr>
    </w:p>
    <w:p w14:paraId="521CE8D4" w14:textId="77777777" w:rsidR="004B5858" w:rsidRDefault="004B5858" w:rsidP="004B5858">
      <w:pPr>
        <w:spacing w:before="0"/>
        <w:jc w:val="left"/>
        <w:rPr>
          <w:sz w:val="24"/>
        </w:rPr>
      </w:pPr>
    </w:p>
    <w:p w14:paraId="3A1CDF10" w14:textId="77777777" w:rsidR="004B5858" w:rsidRDefault="004B5858" w:rsidP="004B5858">
      <w:pPr>
        <w:spacing w:before="0"/>
        <w:jc w:val="left"/>
        <w:rPr>
          <w:sz w:val="24"/>
        </w:rPr>
      </w:pPr>
    </w:p>
    <w:p w14:paraId="00A63EAF" w14:textId="77777777" w:rsidR="004B5858" w:rsidRDefault="004B5858" w:rsidP="004B5858">
      <w:pPr>
        <w:spacing w:before="0"/>
        <w:jc w:val="left"/>
        <w:rPr>
          <w:sz w:val="24"/>
        </w:rPr>
      </w:pPr>
    </w:p>
    <w:p w14:paraId="04BF7933" w14:textId="77777777" w:rsidR="004B5858" w:rsidRPr="004B5858" w:rsidRDefault="00937DE7" w:rsidP="00937DE7">
      <w:pPr>
        <w:pStyle w:val="Heading1"/>
        <w:tabs>
          <w:tab w:val="left" w:pos="993"/>
        </w:tabs>
      </w:pPr>
      <w:bookmarkStart w:id="84" w:name="_Toc451340001"/>
      <w:bookmarkStart w:id="85" w:name="_Toc500831820"/>
      <w:r>
        <w:lastRenderedPageBreak/>
        <w:t>7</w:t>
      </w:r>
      <w:r>
        <w:tab/>
      </w:r>
      <w:r w:rsidR="004B5858" w:rsidRPr="004B5858">
        <w:t>References</w:t>
      </w:r>
      <w:bookmarkEnd w:id="84"/>
      <w:bookmarkEnd w:id="85"/>
    </w:p>
    <w:p w14:paraId="409940CB" w14:textId="77777777" w:rsidR="004B5858" w:rsidRPr="00937DE7" w:rsidRDefault="004B5858" w:rsidP="004B5858">
      <w:pPr>
        <w:autoSpaceDE w:val="0"/>
        <w:autoSpaceDN w:val="0"/>
        <w:adjustRightInd w:val="0"/>
        <w:jc w:val="left"/>
      </w:pPr>
      <w:r w:rsidRPr="00937DE7">
        <w:t>Agarwal S et al. (2014). Outcomes and Resource Utilization in ST-Elevation Myocardial Infarction in the United States: Evidence for Socioeconomic Disparities. J AM Heart Assoc.</w:t>
      </w:r>
    </w:p>
    <w:p w14:paraId="5257719C" w14:textId="77777777" w:rsidR="004B5858" w:rsidRPr="00937DE7" w:rsidRDefault="004B5858" w:rsidP="004B5858">
      <w:r w:rsidRPr="00937DE7">
        <w:t xml:space="preserve">Alker HA., Jr. (1969). A typology of ecological fallacies. In: Dogan M and Rokkan S, eds. </w:t>
      </w:r>
      <w:r w:rsidRPr="00937DE7">
        <w:rPr>
          <w:i/>
        </w:rPr>
        <w:t>Quantitative Ecological Analysis</w:t>
      </w:r>
      <w:r w:rsidRPr="00937DE7">
        <w:t xml:space="preserve">. Cambridge: Massachusetts Institute of Technology. pp.69–86. </w:t>
      </w:r>
    </w:p>
    <w:p w14:paraId="7FAE61A8" w14:textId="77777777" w:rsidR="004B5858" w:rsidRPr="00937DE7" w:rsidRDefault="004B5858" w:rsidP="004B5858">
      <w:pPr>
        <w:jc w:val="left"/>
      </w:pPr>
      <w:r w:rsidRPr="00937DE7">
        <w:t xml:space="preserve">Barnhart JM et al. (2003). Physicians’ perceptions of the effect of nonclinical factors on coronary revascularization. </w:t>
      </w:r>
      <w:r w:rsidRPr="00937DE7">
        <w:rPr>
          <w:i/>
        </w:rPr>
        <w:t>Heart Dis</w:t>
      </w:r>
      <w:r w:rsidRPr="00937DE7">
        <w:t xml:space="preserve"> 5:pp.313-319.</w:t>
      </w:r>
    </w:p>
    <w:p w14:paraId="5FE57120" w14:textId="77777777" w:rsidR="004B5858" w:rsidRPr="00937DE7" w:rsidRDefault="004B5858" w:rsidP="004B5858">
      <w:pPr>
        <w:jc w:val="left"/>
      </w:pPr>
      <w:r w:rsidRPr="00937DE7">
        <w:rPr>
          <w:noProof/>
        </w:rPr>
        <w:t>Barlyski M et al. (2011). Gender differences in the treatment of ischemic heart disease. Curr Pharm Des 17(11):pp.1059-69.</w:t>
      </w:r>
    </w:p>
    <w:p w14:paraId="0031C5A6" w14:textId="77777777" w:rsidR="004B5858" w:rsidRPr="00937DE7" w:rsidRDefault="004B5858" w:rsidP="004B5858">
      <w:pPr>
        <w:jc w:val="left"/>
        <w:rPr>
          <w:noProof/>
        </w:rPr>
      </w:pPr>
      <w:r w:rsidRPr="00937DE7">
        <w:rPr>
          <w:noProof/>
        </w:rPr>
        <w:t>Bergström G et al. (2015). Low socioeconomic status of a patient’s residential area is associated with worse clinical prognosis after acute myocardial infarction in Sweden. Int J Cardiol 182:pp.141-7.</w:t>
      </w:r>
    </w:p>
    <w:p w14:paraId="10782FCC" w14:textId="77777777" w:rsidR="004B5858" w:rsidRPr="00937DE7" w:rsidRDefault="004B5858" w:rsidP="004B5858">
      <w:pPr>
        <w:jc w:val="left"/>
      </w:pPr>
      <w:r w:rsidRPr="00937DE7">
        <w:t xml:space="preserve">British Cardiovascular Intervention Society. (2014). </w:t>
      </w:r>
      <w:r w:rsidRPr="00937DE7">
        <w:rPr>
          <w:i/>
          <w:iCs/>
        </w:rPr>
        <w:t xml:space="preserve">National Audit of Percutaneous Coronary Intervention Society Annual Public Report January 2013 – December 2013 </w:t>
      </w:r>
      <w:r w:rsidRPr="00937DE7">
        <w:t xml:space="preserve">[Online]. BCIS: University College London. Available at: </w:t>
      </w:r>
      <w:hyperlink r:id="rId20" w:history="1">
        <w:r w:rsidRPr="00937DE7">
          <w:rPr>
            <w:rStyle w:val="Hyperlink"/>
          </w:rPr>
          <w:t>http://www.bcis.org.uk/pages/page_box_contents.asp?pageid=678&amp;navcatid=25</w:t>
        </w:r>
      </w:hyperlink>
      <w:r w:rsidRPr="00937DE7">
        <w:rPr>
          <w:rStyle w:val="Hyperlink"/>
        </w:rPr>
        <w:t xml:space="preserve"> </w:t>
      </w:r>
      <w:r w:rsidRPr="00937DE7">
        <w:rPr>
          <w:iCs/>
        </w:rPr>
        <w:t>[Accessed: 22 January 2016].</w:t>
      </w:r>
    </w:p>
    <w:p w14:paraId="6DCE6B51" w14:textId="77777777" w:rsidR="004B5858" w:rsidRPr="00937DE7" w:rsidRDefault="004B5858" w:rsidP="004B5858">
      <w:pPr>
        <w:jc w:val="left"/>
      </w:pPr>
      <w:r w:rsidRPr="00937DE7">
        <w:t xml:space="preserve">Charlson ME et al. (1987). A new method of classifying prognostic comorbidity in longitudinal studies: development and validation. </w:t>
      </w:r>
      <w:r w:rsidRPr="00937DE7">
        <w:rPr>
          <w:i/>
        </w:rPr>
        <w:t>J Chronic Dis</w:t>
      </w:r>
      <w:r w:rsidRPr="00937DE7">
        <w:t xml:space="preserve"> 40(5):pp.373-83</w:t>
      </w:r>
    </w:p>
    <w:p w14:paraId="22F7F234" w14:textId="77777777" w:rsidR="004B5858" w:rsidRPr="00937DE7" w:rsidRDefault="004B5858" w:rsidP="004B5858">
      <w:pPr>
        <w:pStyle w:val="Default"/>
        <w:spacing w:before="240" w:after="240"/>
        <w:rPr>
          <w:rFonts w:ascii="Verdana" w:hAnsi="Verdana" w:cs="Times New Roman"/>
          <w:color w:val="auto"/>
          <w:sz w:val="22"/>
          <w:szCs w:val="22"/>
        </w:rPr>
      </w:pPr>
      <w:r w:rsidRPr="00937DE7">
        <w:rPr>
          <w:rFonts w:ascii="Verdana" w:hAnsi="Verdana" w:cs="Times New Roman"/>
          <w:color w:val="auto"/>
          <w:sz w:val="22"/>
          <w:szCs w:val="22"/>
        </w:rPr>
        <w:t xml:space="preserve">Cosh H. (2008). </w:t>
      </w:r>
      <w:r w:rsidRPr="00937DE7">
        <w:rPr>
          <w:rFonts w:ascii="Verdana" w:hAnsi="Verdana" w:cs="Times New Roman"/>
          <w:bCs/>
          <w:i/>
          <w:color w:val="auto"/>
          <w:sz w:val="22"/>
          <w:szCs w:val="22"/>
        </w:rPr>
        <w:t>Coronary heart disease in Wales: an ecological study of socioeconomic variations in mortality and hospital treatment, 1992-2006</w:t>
      </w:r>
      <w:r w:rsidRPr="00937DE7">
        <w:rPr>
          <w:rFonts w:ascii="Verdana" w:hAnsi="Verdana" w:cs="Times New Roman"/>
          <w:bCs/>
          <w:color w:val="auto"/>
          <w:sz w:val="22"/>
          <w:szCs w:val="22"/>
        </w:rPr>
        <w:t>.</w:t>
      </w:r>
      <w:r w:rsidRPr="00937DE7">
        <w:rPr>
          <w:rFonts w:ascii="Verdana" w:hAnsi="Verdana" w:cs="Times New Roman"/>
          <w:b/>
          <w:bCs/>
          <w:color w:val="auto"/>
          <w:sz w:val="22"/>
          <w:szCs w:val="22"/>
        </w:rPr>
        <w:t xml:space="preserve"> </w:t>
      </w:r>
      <w:r w:rsidRPr="00937DE7">
        <w:rPr>
          <w:rFonts w:ascii="Verdana" w:hAnsi="Verdana" w:cs="Times New Roman"/>
          <w:color w:val="auto"/>
          <w:sz w:val="22"/>
          <w:szCs w:val="22"/>
        </w:rPr>
        <w:t>Master of Public Health dissertation, University of Birmingham.</w:t>
      </w:r>
    </w:p>
    <w:p w14:paraId="1D13709C" w14:textId="77777777" w:rsidR="004B5858" w:rsidRPr="00937DE7" w:rsidRDefault="004B5858" w:rsidP="004B5858">
      <w:pPr>
        <w:shd w:val="clear" w:color="auto" w:fill="FFFFFF"/>
        <w:ind w:right="600"/>
        <w:jc w:val="left"/>
        <w:rPr>
          <w:rFonts w:cs="Arial"/>
        </w:rPr>
      </w:pPr>
      <w:r w:rsidRPr="00937DE7">
        <w:t xml:space="preserve">Cox DR. (1972). Regression models and life tables. </w:t>
      </w:r>
      <w:r w:rsidRPr="00937DE7">
        <w:rPr>
          <w:rFonts w:cs="Arial"/>
        </w:rPr>
        <w:t xml:space="preserve">J R Stat Soc Series B Stat Methodol </w:t>
      </w:r>
      <w:r w:rsidRPr="00937DE7">
        <w:rPr>
          <w:bCs/>
        </w:rPr>
        <w:t>34:pp.</w:t>
      </w:r>
      <w:r w:rsidRPr="00937DE7">
        <w:t>187–220.</w:t>
      </w:r>
    </w:p>
    <w:p w14:paraId="0DD3E199" w14:textId="77777777" w:rsidR="004B5858" w:rsidRPr="00937DE7" w:rsidRDefault="004B5858" w:rsidP="004B5858">
      <w:pPr>
        <w:autoSpaceDE w:val="0"/>
        <w:autoSpaceDN w:val="0"/>
        <w:adjustRightInd w:val="0"/>
        <w:jc w:val="left"/>
      </w:pPr>
      <w:r w:rsidRPr="00937DE7">
        <w:t>Fox KA et al. (2010). Long-term outcome of a routine versus selective invasive strategy in patients with non-ST-segment elevation acute coronary syndrome a meta-analysis of individual patient data. J AM Coll Cardiol 55(22):pp.2435-45.</w:t>
      </w:r>
    </w:p>
    <w:p w14:paraId="148264A8" w14:textId="77777777" w:rsidR="004B5858" w:rsidRPr="00937DE7" w:rsidRDefault="004B5858" w:rsidP="004B5858">
      <w:r w:rsidRPr="00937DE7">
        <w:t xml:space="preserve">Hippisley-Cox J and Pringle M. (2000). Inequalities in access to coronary angiography and revascularisation: the association of deprivation and location of primary care services. </w:t>
      </w:r>
      <w:r w:rsidRPr="00937DE7">
        <w:rPr>
          <w:i/>
          <w:iCs/>
        </w:rPr>
        <w:t>British Journal of General Practice</w:t>
      </w:r>
      <w:r w:rsidRPr="00937DE7">
        <w:t xml:space="preserve"> 50(455), pp.449-454.</w:t>
      </w:r>
    </w:p>
    <w:p w14:paraId="695C2BBD" w14:textId="77777777" w:rsidR="004B5858" w:rsidRPr="00937DE7" w:rsidRDefault="004B5858" w:rsidP="004B5858">
      <w:pPr>
        <w:pStyle w:val="Default"/>
        <w:spacing w:before="240" w:after="240"/>
        <w:rPr>
          <w:rFonts w:ascii="Verdana" w:hAnsi="Verdana" w:cs="Times New Roman"/>
          <w:sz w:val="22"/>
          <w:szCs w:val="22"/>
        </w:rPr>
      </w:pPr>
      <w:r w:rsidRPr="00937DE7">
        <w:rPr>
          <w:rFonts w:ascii="Verdana" w:hAnsi="Verdana" w:cs="Times New Roman"/>
          <w:sz w:val="22"/>
          <w:szCs w:val="22"/>
        </w:rPr>
        <w:t xml:space="preserve">Hosmer DW and Lemeshow S. (1999). </w:t>
      </w:r>
      <w:r w:rsidRPr="00937DE7">
        <w:rPr>
          <w:rStyle w:val="Emphasis"/>
          <w:rFonts w:ascii="Verdana" w:hAnsi="Verdana" w:cs="Times New Roman"/>
          <w:sz w:val="22"/>
          <w:szCs w:val="22"/>
        </w:rPr>
        <w:t>Applied Survival Analysis</w:t>
      </w:r>
      <w:r w:rsidRPr="00937DE7">
        <w:rPr>
          <w:rFonts w:ascii="Verdana" w:hAnsi="Verdana" w:cs="Times New Roman"/>
          <w:sz w:val="22"/>
          <w:szCs w:val="22"/>
        </w:rPr>
        <w:t>. New York: John Wiley &amp; Sons.</w:t>
      </w:r>
    </w:p>
    <w:p w14:paraId="1006E008" w14:textId="77777777" w:rsidR="004B5858" w:rsidRPr="00937DE7" w:rsidRDefault="004B5858" w:rsidP="004B5858">
      <w:pPr>
        <w:pStyle w:val="Default"/>
        <w:spacing w:before="240" w:after="240"/>
        <w:rPr>
          <w:rFonts w:ascii="Verdana" w:hAnsi="Verdana" w:cs="Times New Roman"/>
          <w:sz w:val="22"/>
          <w:szCs w:val="22"/>
        </w:rPr>
      </w:pPr>
      <w:r w:rsidRPr="00937DE7">
        <w:rPr>
          <w:rFonts w:ascii="Verdana" w:hAnsi="Verdana" w:cs="Times New Roman"/>
          <w:sz w:val="22"/>
          <w:szCs w:val="22"/>
        </w:rPr>
        <w:t>Keeley EC, Boura JA and Grines CL. (2003). Primary angioplasty versus intravenous thrombolytic therapy for acute myocardial infarction: a quantitative review of 23 randomised trials. Lancet 361:pp.13-20.</w:t>
      </w:r>
    </w:p>
    <w:p w14:paraId="72CD5BBC" w14:textId="77777777" w:rsidR="004B5858" w:rsidRPr="00937DE7" w:rsidRDefault="004B5858" w:rsidP="004B5858">
      <w:pPr>
        <w:pStyle w:val="Default"/>
        <w:spacing w:before="240" w:after="240"/>
        <w:rPr>
          <w:rFonts w:ascii="Verdana" w:hAnsi="Verdana" w:cs="Times New Roman"/>
          <w:color w:val="auto"/>
          <w:sz w:val="22"/>
          <w:szCs w:val="22"/>
        </w:rPr>
      </w:pPr>
      <w:r w:rsidRPr="00937DE7">
        <w:rPr>
          <w:rFonts w:ascii="Verdana" w:hAnsi="Verdana" w:cs="Times New Roman"/>
          <w:color w:val="auto"/>
          <w:sz w:val="22"/>
          <w:szCs w:val="22"/>
        </w:rPr>
        <w:t xml:space="preserve">King W. (2014). Is there evidence of social inequity in healthcare for coronary heart disease? An electronic-cohort analysis using record-linked, routine data. PhD Thesis, Cardiff University. </w:t>
      </w:r>
    </w:p>
    <w:p w14:paraId="4B452A6A" w14:textId="77777777" w:rsidR="004B5858" w:rsidRPr="00937DE7" w:rsidRDefault="004B5858" w:rsidP="004B5858">
      <w:r w:rsidRPr="00937DE7">
        <w:t xml:space="preserve">Korda RJ, Clements MS and Kelman CW. (2009). Universal health care no guarantee of equity: Comparison of socioeconomic inequalities in the receipt of coronary procedures in patients with acute myocardial infarction and angina. </w:t>
      </w:r>
      <w:r w:rsidRPr="00937DE7">
        <w:rPr>
          <w:i/>
        </w:rPr>
        <w:t>BMC Public Health</w:t>
      </w:r>
      <w:r w:rsidRPr="00937DE7">
        <w:t xml:space="preserve"> 9, pp.460-471. </w:t>
      </w:r>
    </w:p>
    <w:p w14:paraId="37790CBC" w14:textId="77777777" w:rsidR="004B5858" w:rsidRPr="00937DE7" w:rsidRDefault="004B5858" w:rsidP="004B5858">
      <w:pPr>
        <w:jc w:val="left"/>
      </w:pPr>
      <w:r w:rsidRPr="00937DE7">
        <w:lastRenderedPageBreak/>
        <w:t xml:space="preserve">Lester N. (2004). </w:t>
      </w:r>
      <w:r w:rsidRPr="00937DE7">
        <w:rPr>
          <w:bCs/>
          <w:i/>
        </w:rPr>
        <w:t>Is there equity of access to coronary angiography and revascularisation according to socio-economic deprivation for people in Wales? A cross-sectional ecological study</w:t>
      </w:r>
      <w:r w:rsidRPr="00937DE7">
        <w:rPr>
          <w:bCs/>
        </w:rPr>
        <w:t>.</w:t>
      </w:r>
      <w:r w:rsidRPr="00937DE7">
        <w:rPr>
          <w:b/>
          <w:bCs/>
        </w:rPr>
        <w:t xml:space="preserve"> </w:t>
      </w:r>
      <w:r w:rsidRPr="00937DE7">
        <w:t>Master of Public Health dissertation, University of Wales College of Medicine (now Cardiff University).</w:t>
      </w:r>
    </w:p>
    <w:p w14:paraId="39EA552D" w14:textId="77777777" w:rsidR="004B5858" w:rsidRPr="00937DE7" w:rsidRDefault="004B5858" w:rsidP="004B5858">
      <w:pPr>
        <w:autoSpaceDE w:val="0"/>
        <w:autoSpaceDN w:val="0"/>
        <w:adjustRightInd w:val="0"/>
      </w:pPr>
      <w:r w:rsidRPr="00937DE7">
        <w:t xml:space="preserve">McBride D et al. (2010). Explaining variation in referral from primary to secondary care: cohort study. </w:t>
      </w:r>
      <w:r w:rsidRPr="00937DE7">
        <w:rPr>
          <w:i/>
        </w:rPr>
        <w:t>BMJ</w:t>
      </w:r>
      <w:r w:rsidRPr="00937DE7">
        <w:t xml:space="preserve"> 341.</w:t>
      </w:r>
    </w:p>
    <w:p w14:paraId="6DD260C2" w14:textId="77777777" w:rsidR="004B5858" w:rsidRPr="00937DE7" w:rsidRDefault="004B5858" w:rsidP="004B5858">
      <w:pPr>
        <w:jc w:val="left"/>
        <w:rPr>
          <w:iCs/>
        </w:rPr>
      </w:pPr>
      <w:r w:rsidRPr="00937DE7">
        <w:rPr>
          <w:iCs/>
        </w:rPr>
        <w:t>National Public Health Service for Wales. (2009).</w:t>
      </w:r>
      <w:r w:rsidRPr="00937DE7">
        <w:rPr>
          <w:i/>
          <w:iCs/>
        </w:rPr>
        <w:t xml:space="preserve"> Equity in the provision of coronary angiography and revascularisation in Wales </w:t>
      </w:r>
      <w:r w:rsidRPr="00937DE7">
        <w:rPr>
          <w:iCs/>
        </w:rPr>
        <w:t>[Online].</w:t>
      </w:r>
      <w:r w:rsidRPr="00937DE7">
        <w:rPr>
          <w:i/>
          <w:iCs/>
        </w:rPr>
        <w:t xml:space="preserve"> </w:t>
      </w:r>
      <w:r w:rsidRPr="00937DE7">
        <w:rPr>
          <w:iCs/>
        </w:rPr>
        <w:t xml:space="preserve">NPHS, Cardiff. Available at: </w:t>
      </w:r>
      <w:hyperlink r:id="rId21" w:history="1">
        <w:r w:rsidRPr="00937DE7">
          <w:rPr>
            <w:rStyle w:val="Hyperlink"/>
            <w:iCs/>
          </w:rPr>
          <w:t>http://www.wales.nhs.uk/sitesplus/922/page/49907</w:t>
        </w:r>
      </w:hyperlink>
      <w:r w:rsidRPr="00937DE7">
        <w:rPr>
          <w:iCs/>
        </w:rPr>
        <w:t xml:space="preserve"> [Accessed: 22 January 2016].</w:t>
      </w:r>
    </w:p>
    <w:p w14:paraId="3AD6E245" w14:textId="77777777" w:rsidR="004B5858" w:rsidRPr="00937DE7" w:rsidRDefault="004B5858" w:rsidP="004B5858">
      <w:pPr>
        <w:autoSpaceDE w:val="0"/>
        <w:autoSpaceDN w:val="0"/>
        <w:adjustRightInd w:val="0"/>
        <w:jc w:val="left"/>
        <w:rPr>
          <w:rFonts w:eastAsiaTheme="minorHAnsi"/>
        </w:rPr>
      </w:pPr>
      <w:r w:rsidRPr="00937DE7">
        <w:t xml:space="preserve">Office for National Statistics. (2004). Rural/Urban Definition (England and Wales) [Online]. Available at: </w:t>
      </w:r>
      <w:hyperlink r:id="rId22" w:history="1">
        <w:r w:rsidRPr="00937DE7">
          <w:rPr>
            <w:rStyle w:val="Hyperlink"/>
          </w:rPr>
          <w:t>http://www.ons.gov.uk/ons/guide-method/geography/products/area-classifications/rural-urban-definition-and-la/rural-urban-definition--england-and-wales-/index.html</w:t>
        </w:r>
      </w:hyperlink>
      <w:r w:rsidRPr="00937DE7">
        <w:t xml:space="preserve"> [Accessed: 22 January 2016].</w:t>
      </w:r>
    </w:p>
    <w:p w14:paraId="60B34B34" w14:textId="77777777" w:rsidR="004B5858" w:rsidRPr="00937DE7" w:rsidRDefault="004B5858" w:rsidP="004B5858">
      <w:r w:rsidRPr="00937DE7">
        <w:t xml:space="preserve">Richards HM, Reid ME and Watt GCM. (2002). Socioeconomic variations in responses to chest pain: qualitative study. </w:t>
      </w:r>
      <w:r w:rsidRPr="00937DE7">
        <w:rPr>
          <w:i/>
          <w:iCs/>
        </w:rPr>
        <w:t>British Medical Journal</w:t>
      </w:r>
      <w:r w:rsidRPr="00937DE7">
        <w:t xml:space="preserve"> 324, pp. 1308-1311.</w:t>
      </w:r>
    </w:p>
    <w:p w14:paraId="5958F76F" w14:textId="77777777" w:rsidR="004B5858" w:rsidRPr="00937DE7" w:rsidRDefault="004B5858" w:rsidP="004B5858">
      <w:pPr>
        <w:autoSpaceDE w:val="0"/>
        <w:autoSpaceDN w:val="0"/>
        <w:adjustRightInd w:val="0"/>
        <w:jc w:val="left"/>
      </w:pPr>
      <w:r w:rsidRPr="00937DE7">
        <w:t xml:space="preserve">Robinson WS. (1950). Ecological Correlations and the Behavior of Individuals. </w:t>
      </w:r>
      <w:r w:rsidRPr="00937DE7">
        <w:rPr>
          <w:i/>
        </w:rPr>
        <w:t xml:space="preserve">Am Sociol Rev </w:t>
      </w:r>
      <w:r w:rsidRPr="00937DE7">
        <w:t>15:pp.351-357.</w:t>
      </w:r>
    </w:p>
    <w:p w14:paraId="45194C98" w14:textId="77777777" w:rsidR="004B5858" w:rsidRPr="00937DE7" w:rsidRDefault="004B5858" w:rsidP="004B5858">
      <w:pPr>
        <w:jc w:val="left"/>
      </w:pPr>
      <w:r w:rsidRPr="00937DE7">
        <w:t xml:space="preserve">StataCorp. (2013). </w:t>
      </w:r>
      <w:r w:rsidRPr="00937DE7">
        <w:rPr>
          <w:i/>
        </w:rPr>
        <w:t>Stata Statistical Software: Release 13</w:t>
      </w:r>
      <w:r w:rsidRPr="00937DE7">
        <w:t>. College Station, TX:StataCorp LP.</w:t>
      </w:r>
    </w:p>
    <w:p w14:paraId="769C32F0" w14:textId="77777777" w:rsidR="004B5858" w:rsidRPr="00937DE7" w:rsidRDefault="004B5858" w:rsidP="004B5858">
      <w:pPr>
        <w:jc w:val="left"/>
        <w:rPr>
          <w:iCs/>
        </w:rPr>
      </w:pPr>
      <w:r w:rsidRPr="00937DE7">
        <w:rPr>
          <w:iCs/>
        </w:rPr>
        <w:t>Welsh Government. (2001).</w:t>
      </w:r>
      <w:r w:rsidRPr="00937DE7">
        <w:rPr>
          <w:i/>
          <w:iCs/>
        </w:rPr>
        <w:t xml:space="preserve"> Coronary Heart Disease National Service Framework for Wales </w:t>
      </w:r>
      <w:r w:rsidRPr="00937DE7">
        <w:rPr>
          <w:iCs/>
        </w:rPr>
        <w:t>[Online].</w:t>
      </w:r>
      <w:r w:rsidRPr="00937DE7">
        <w:rPr>
          <w:i/>
          <w:iCs/>
        </w:rPr>
        <w:t xml:space="preserve"> </w:t>
      </w:r>
      <w:r w:rsidRPr="00937DE7">
        <w:rPr>
          <w:iCs/>
        </w:rPr>
        <w:t xml:space="preserve">Welsh Government, Cardiff. Available at: </w:t>
      </w:r>
      <w:hyperlink r:id="rId23" w:history="1">
        <w:r w:rsidRPr="00937DE7">
          <w:rPr>
            <w:rStyle w:val="Hyperlink"/>
            <w:iCs/>
          </w:rPr>
          <w:t>http://wales.gov.uk/topics/health/publications/health/guidance/cardiac/?lang=en</w:t>
        </w:r>
      </w:hyperlink>
      <w:r w:rsidRPr="00937DE7">
        <w:rPr>
          <w:i/>
          <w:iCs/>
        </w:rPr>
        <w:t xml:space="preserve"> </w:t>
      </w:r>
      <w:r w:rsidRPr="00937DE7">
        <w:rPr>
          <w:iCs/>
        </w:rPr>
        <w:t xml:space="preserve">[Accessed: </w:t>
      </w:r>
      <w:r w:rsidRPr="00937DE7">
        <w:t>22 January 2016</w:t>
      </w:r>
      <w:r w:rsidRPr="00937DE7">
        <w:rPr>
          <w:iCs/>
        </w:rPr>
        <w:t>].</w:t>
      </w:r>
    </w:p>
    <w:p w14:paraId="615B2B94" w14:textId="77777777" w:rsidR="004B5858" w:rsidRPr="00937DE7" w:rsidRDefault="004B5858" w:rsidP="004B5858">
      <w:pPr>
        <w:jc w:val="left"/>
        <w:rPr>
          <w:iCs/>
        </w:rPr>
      </w:pPr>
      <w:r w:rsidRPr="00937DE7">
        <w:rPr>
          <w:iCs/>
        </w:rPr>
        <w:t>Welsh Government. (2009a).</w:t>
      </w:r>
      <w:r w:rsidRPr="00937DE7">
        <w:rPr>
          <w:i/>
          <w:iCs/>
        </w:rPr>
        <w:t xml:space="preserve"> The Cardiac Disease National Service Framework for Wales </w:t>
      </w:r>
      <w:r w:rsidRPr="00937DE7">
        <w:rPr>
          <w:iCs/>
        </w:rPr>
        <w:t>[Online].</w:t>
      </w:r>
      <w:r w:rsidRPr="00937DE7">
        <w:rPr>
          <w:i/>
          <w:iCs/>
        </w:rPr>
        <w:t xml:space="preserve"> </w:t>
      </w:r>
      <w:r w:rsidRPr="00937DE7">
        <w:rPr>
          <w:iCs/>
        </w:rPr>
        <w:t xml:space="preserve">Welsh Government, Cardiff. Available at: </w:t>
      </w:r>
      <w:hyperlink r:id="rId24" w:history="1">
        <w:r w:rsidRPr="00937DE7">
          <w:rPr>
            <w:rStyle w:val="Hyperlink"/>
            <w:iCs/>
          </w:rPr>
          <w:t>http://wales.gov.uk/docs/dhss/publications/090706cardiacNSFen.pdf</w:t>
        </w:r>
      </w:hyperlink>
      <w:r w:rsidRPr="00937DE7">
        <w:rPr>
          <w:i/>
          <w:iCs/>
        </w:rPr>
        <w:t xml:space="preserve"> </w:t>
      </w:r>
      <w:r w:rsidRPr="00937DE7">
        <w:rPr>
          <w:iCs/>
        </w:rPr>
        <w:t xml:space="preserve">[Accessed: </w:t>
      </w:r>
      <w:r w:rsidRPr="00937DE7">
        <w:t>22 January 2016</w:t>
      </w:r>
      <w:r w:rsidRPr="00937DE7">
        <w:rPr>
          <w:iCs/>
        </w:rPr>
        <w:t>].</w:t>
      </w:r>
    </w:p>
    <w:p w14:paraId="01A3B97E" w14:textId="77777777" w:rsidR="004B5858" w:rsidRPr="00937DE7" w:rsidRDefault="004B5858" w:rsidP="004B5858">
      <w:pPr>
        <w:jc w:val="left"/>
        <w:rPr>
          <w:iCs/>
        </w:rPr>
      </w:pPr>
      <w:r w:rsidRPr="00937DE7">
        <w:rPr>
          <w:iCs/>
        </w:rPr>
        <w:t>Welsh Government. (2009b).</w:t>
      </w:r>
      <w:r w:rsidRPr="00937DE7">
        <w:rPr>
          <w:i/>
          <w:iCs/>
        </w:rPr>
        <w:t xml:space="preserve"> Our Healthy Future </w:t>
      </w:r>
      <w:r w:rsidRPr="00937DE7">
        <w:rPr>
          <w:iCs/>
        </w:rPr>
        <w:t>[Online].</w:t>
      </w:r>
      <w:r w:rsidRPr="00937DE7">
        <w:rPr>
          <w:i/>
          <w:iCs/>
        </w:rPr>
        <w:t xml:space="preserve"> </w:t>
      </w:r>
      <w:r w:rsidRPr="00937DE7">
        <w:rPr>
          <w:iCs/>
        </w:rPr>
        <w:t xml:space="preserve">Welsh Government, Cardiff. Available at: </w:t>
      </w:r>
      <w:hyperlink r:id="rId25" w:history="1">
        <w:r w:rsidRPr="00937DE7">
          <w:rPr>
            <w:rStyle w:val="Hyperlink"/>
            <w:iCs/>
          </w:rPr>
          <w:t>http://gov.wales/docs/phhs/publications/100527technicalen.pdf</w:t>
        </w:r>
      </w:hyperlink>
      <w:r w:rsidRPr="00937DE7">
        <w:rPr>
          <w:iCs/>
        </w:rPr>
        <w:t xml:space="preserve"> [Accessed: 22 January 2016].</w:t>
      </w:r>
    </w:p>
    <w:p w14:paraId="010FB965" w14:textId="77777777" w:rsidR="004B5858" w:rsidRPr="00937DE7" w:rsidRDefault="004B5858" w:rsidP="004B5858">
      <w:pPr>
        <w:jc w:val="left"/>
        <w:rPr>
          <w:iCs/>
        </w:rPr>
      </w:pPr>
      <w:r w:rsidRPr="00937DE7">
        <w:rPr>
          <w:iCs/>
        </w:rPr>
        <w:t>Welsh Government. (2011a).</w:t>
      </w:r>
      <w:r w:rsidRPr="00937DE7">
        <w:rPr>
          <w:i/>
          <w:iCs/>
        </w:rPr>
        <w:t xml:space="preserve"> Fairer Health Outcomes for All. Reducing Inequities In Health Strategic Action Plan </w:t>
      </w:r>
      <w:r w:rsidRPr="00937DE7">
        <w:rPr>
          <w:iCs/>
        </w:rPr>
        <w:t>[Online].</w:t>
      </w:r>
      <w:r w:rsidRPr="00937DE7">
        <w:rPr>
          <w:i/>
          <w:iCs/>
        </w:rPr>
        <w:t xml:space="preserve"> </w:t>
      </w:r>
      <w:r w:rsidRPr="00937DE7">
        <w:rPr>
          <w:iCs/>
        </w:rPr>
        <w:t xml:space="preserve">Welsh Government, Cardiff. Available at: </w:t>
      </w:r>
      <w:hyperlink r:id="rId26" w:history="1">
        <w:r w:rsidRPr="00937DE7">
          <w:rPr>
            <w:rStyle w:val="Hyperlink"/>
            <w:iCs/>
          </w:rPr>
          <w:t>http://wales.gov.uk/docs/phhs/publications/110329working2en.pdf</w:t>
        </w:r>
      </w:hyperlink>
      <w:r w:rsidRPr="00937DE7">
        <w:rPr>
          <w:i/>
          <w:iCs/>
        </w:rPr>
        <w:t xml:space="preserve"> </w:t>
      </w:r>
      <w:r w:rsidRPr="00937DE7">
        <w:rPr>
          <w:iCs/>
        </w:rPr>
        <w:t>[</w:t>
      </w:r>
      <w:r w:rsidRPr="00937DE7">
        <w:t>Accessed: 22 January 2016</w:t>
      </w:r>
      <w:r w:rsidRPr="00937DE7">
        <w:rPr>
          <w:iCs/>
        </w:rPr>
        <w:t>].</w:t>
      </w:r>
    </w:p>
    <w:p w14:paraId="53480805" w14:textId="77777777" w:rsidR="004B5858" w:rsidRPr="00937DE7" w:rsidRDefault="004B5858" w:rsidP="004B5858">
      <w:pPr>
        <w:jc w:val="left"/>
        <w:rPr>
          <w:iCs/>
        </w:rPr>
      </w:pPr>
      <w:r w:rsidRPr="00937DE7">
        <w:rPr>
          <w:iCs/>
        </w:rPr>
        <w:t>Welsh Government. (2011b)</w:t>
      </w:r>
      <w:r w:rsidRPr="00937DE7">
        <w:rPr>
          <w:i/>
          <w:iCs/>
        </w:rPr>
        <w:t xml:space="preserve">. Welsh Index of Multiple Deprivation 2011 </w:t>
      </w:r>
      <w:r w:rsidRPr="00937DE7">
        <w:rPr>
          <w:iCs/>
        </w:rPr>
        <w:t>[Online].</w:t>
      </w:r>
      <w:r w:rsidRPr="00937DE7">
        <w:rPr>
          <w:i/>
          <w:iCs/>
        </w:rPr>
        <w:t xml:space="preserve"> </w:t>
      </w:r>
      <w:r w:rsidRPr="00937DE7">
        <w:rPr>
          <w:iCs/>
        </w:rPr>
        <w:t xml:space="preserve">Welsh Government, Cardiff. Available at: </w:t>
      </w:r>
      <w:hyperlink r:id="rId27" w:history="1">
        <w:r w:rsidRPr="00937DE7">
          <w:rPr>
            <w:rStyle w:val="Hyperlink"/>
            <w:iCs/>
          </w:rPr>
          <w:t>http://wales.gov.uk/topics/statistics/theme/wimd/wimd2011/</w:t>
        </w:r>
      </w:hyperlink>
      <w:r w:rsidRPr="00937DE7">
        <w:rPr>
          <w:iCs/>
        </w:rPr>
        <w:t xml:space="preserve"> [Accessed: 22 January 2016].</w:t>
      </w:r>
    </w:p>
    <w:p w14:paraId="0D68933A" w14:textId="77777777" w:rsidR="004B5858" w:rsidRPr="00937DE7" w:rsidRDefault="004B5858" w:rsidP="004B5858">
      <w:pPr>
        <w:jc w:val="left"/>
      </w:pPr>
      <w:r w:rsidRPr="00937DE7">
        <w:rPr>
          <w:iCs/>
        </w:rPr>
        <w:t>Welsh Health Specialised Services Committee. (2011).</w:t>
      </w:r>
      <w:r w:rsidRPr="00937DE7">
        <w:rPr>
          <w:i/>
          <w:iCs/>
        </w:rPr>
        <w:t xml:space="preserve"> Cardiac Services Review </w:t>
      </w:r>
      <w:r w:rsidRPr="00937DE7">
        <w:rPr>
          <w:iCs/>
        </w:rPr>
        <w:t>[Online].</w:t>
      </w:r>
      <w:r w:rsidRPr="00937DE7">
        <w:rPr>
          <w:i/>
          <w:iCs/>
        </w:rPr>
        <w:t xml:space="preserve"> </w:t>
      </w:r>
      <w:r w:rsidRPr="00937DE7">
        <w:rPr>
          <w:iCs/>
        </w:rPr>
        <w:t xml:space="preserve">NHS Wales, Wales. Available at: </w:t>
      </w:r>
      <w:hyperlink r:id="rId28" w:history="1">
        <w:r w:rsidRPr="00937DE7">
          <w:rPr>
            <w:rStyle w:val="Hyperlink"/>
            <w:iCs/>
          </w:rPr>
          <w:t>http://www.wales.nhs.uk/sites3/documents/898/Microsoft%20Word%20-%20AI12%20-%20Cardiac%20Services%20Review.pdf</w:t>
        </w:r>
      </w:hyperlink>
      <w:r w:rsidRPr="00937DE7">
        <w:rPr>
          <w:i/>
          <w:iCs/>
        </w:rPr>
        <w:t xml:space="preserve"> </w:t>
      </w:r>
      <w:r w:rsidRPr="00937DE7">
        <w:rPr>
          <w:iCs/>
        </w:rPr>
        <w:t>[</w:t>
      </w:r>
      <w:r w:rsidRPr="00937DE7">
        <w:t>Accessed: 22 January 2016</w:t>
      </w:r>
      <w:r w:rsidRPr="00937DE7">
        <w:rPr>
          <w:iCs/>
        </w:rPr>
        <w:t>].</w:t>
      </w:r>
    </w:p>
    <w:p w14:paraId="75D5A462" w14:textId="77777777" w:rsidR="00140B90" w:rsidRDefault="00140B90" w:rsidP="00545DFC">
      <w:pPr>
        <w:pStyle w:val="Heading1"/>
      </w:pPr>
    </w:p>
    <w:p w14:paraId="7FE4D668" w14:textId="1B325AE4" w:rsidR="00545DFC" w:rsidRPr="00545DFC" w:rsidRDefault="00545DFC" w:rsidP="00545DFC">
      <w:pPr>
        <w:pStyle w:val="Heading1"/>
      </w:pPr>
      <w:bookmarkStart w:id="86" w:name="_Toc500831821"/>
      <w:r>
        <w:lastRenderedPageBreak/>
        <w:t>Appendix 1</w:t>
      </w:r>
      <w:bookmarkEnd w:id="86"/>
    </w:p>
    <w:p w14:paraId="090258C8" w14:textId="77777777" w:rsidR="00545DFC" w:rsidRDefault="00545DFC" w:rsidP="004B5858">
      <w:pPr>
        <w:spacing w:before="0"/>
        <w:jc w:val="left"/>
        <w:rPr>
          <w:sz w:val="24"/>
        </w:rPr>
      </w:pPr>
    </w:p>
    <w:p w14:paraId="3A14B404" w14:textId="77777777" w:rsidR="00545DFC" w:rsidRDefault="00545DFC" w:rsidP="004B5858">
      <w:pPr>
        <w:spacing w:before="0"/>
        <w:jc w:val="left"/>
      </w:pPr>
      <w:r w:rsidRPr="00545DFC">
        <w:rPr>
          <w:noProof/>
        </w:rPr>
        <w:drawing>
          <wp:anchor distT="0" distB="0" distL="114300" distR="114300" simplePos="0" relativeHeight="251707392" behindDoc="0" locked="0" layoutInCell="1" allowOverlap="1" wp14:anchorId="18BA5EF5" wp14:editId="40D9ABFB">
            <wp:simplePos x="0" y="0"/>
            <wp:positionH relativeFrom="column">
              <wp:posOffset>0</wp:posOffset>
            </wp:positionH>
            <wp:positionV relativeFrom="paragraph">
              <wp:posOffset>0</wp:posOffset>
            </wp:positionV>
            <wp:extent cx="5941695" cy="3018790"/>
            <wp:effectExtent l="19050" t="0" r="1905" b="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9" cstate="print"/>
                    <a:srcRect/>
                    <a:stretch>
                      <a:fillRect/>
                    </a:stretch>
                  </pic:blipFill>
                  <pic:spPr bwMode="auto">
                    <a:xfrm>
                      <a:off x="0" y="0"/>
                      <a:ext cx="5941695" cy="3018790"/>
                    </a:xfrm>
                    <a:prstGeom prst="rect">
                      <a:avLst/>
                    </a:prstGeom>
                    <a:noFill/>
                    <a:ln w="9525">
                      <a:noFill/>
                      <a:miter lim="800000"/>
                      <a:headEnd/>
                      <a:tailEnd/>
                    </a:ln>
                  </pic:spPr>
                </pic:pic>
              </a:graphicData>
            </a:graphic>
          </wp:anchor>
        </w:drawing>
      </w:r>
    </w:p>
    <w:p w14:paraId="474AE29B" w14:textId="77777777" w:rsidR="00545DFC" w:rsidRDefault="00545DFC" w:rsidP="004B5858">
      <w:pPr>
        <w:spacing w:before="0"/>
        <w:jc w:val="left"/>
      </w:pPr>
    </w:p>
    <w:p w14:paraId="1EE43664" w14:textId="77777777" w:rsidR="00545DFC" w:rsidRDefault="00545DFC" w:rsidP="004B5858">
      <w:pPr>
        <w:spacing w:before="0"/>
        <w:jc w:val="left"/>
      </w:pPr>
    </w:p>
    <w:p w14:paraId="34076B40" w14:textId="77777777" w:rsidR="00545DFC" w:rsidRDefault="00545DFC" w:rsidP="004B5858">
      <w:pPr>
        <w:spacing w:before="0"/>
        <w:jc w:val="left"/>
      </w:pPr>
    </w:p>
    <w:p w14:paraId="1BAA56AF" w14:textId="77777777" w:rsidR="00545DFC" w:rsidRDefault="00545DFC" w:rsidP="004B5858">
      <w:pPr>
        <w:spacing w:before="0"/>
        <w:jc w:val="left"/>
      </w:pPr>
    </w:p>
    <w:p w14:paraId="70CC48A5" w14:textId="77777777" w:rsidR="00545DFC" w:rsidRDefault="00545DFC" w:rsidP="004B5858">
      <w:pPr>
        <w:spacing w:before="0"/>
        <w:jc w:val="left"/>
      </w:pPr>
    </w:p>
    <w:p w14:paraId="680BD04F" w14:textId="77777777" w:rsidR="00545DFC" w:rsidRDefault="00545DFC" w:rsidP="004B5858">
      <w:pPr>
        <w:spacing w:before="0"/>
        <w:jc w:val="left"/>
      </w:pPr>
    </w:p>
    <w:p w14:paraId="284355F8" w14:textId="77777777" w:rsidR="00545DFC" w:rsidRDefault="00545DFC" w:rsidP="004B5858">
      <w:pPr>
        <w:spacing w:before="0"/>
        <w:jc w:val="left"/>
      </w:pPr>
    </w:p>
    <w:p w14:paraId="3A45DAD1" w14:textId="77777777" w:rsidR="00545DFC" w:rsidRDefault="00545DFC" w:rsidP="004B5858">
      <w:pPr>
        <w:spacing w:before="0"/>
        <w:jc w:val="left"/>
      </w:pPr>
    </w:p>
    <w:p w14:paraId="24E867F5" w14:textId="77777777" w:rsidR="00545DFC" w:rsidRDefault="00545DFC" w:rsidP="004B5858">
      <w:pPr>
        <w:spacing w:before="0"/>
        <w:jc w:val="left"/>
      </w:pPr>
    </w:p>
    <w:p w14:paraId="02E8E84A" w14:textId="77777777" w:rsidR="00545DFC" w:rsidRDefault="00545DFC" w:rsidP="004B5858">
      <w:pPr>
        <w:spacing w:before="0"/>
        <w:jc w:val="left"/>
      </w:pPr>
    </w:p>
    <w:p w14:paraId="3C2420E5" w14:textId="77777777" w:rsidR="00545DFC" w:rsidRDefault="00545DFC" w:rsidP="004B5858">
      <w:pPr>
        <w:spacing w:before="0"/>
        <w:jc w:val="left"/>
      </w:pPr>
    </w:p>
    <w:p w14:paraId="510ECC02" w14:textId="77777777" w:rsidR="00545DFC" w:rsidRDefault="00545DFC" w:rsidP="004B5858">
      <w:pPr>
        <w:spacing w:before="0"/>
        <w:jc w:val="left"/>
      </w:pPr>
    </w:p>
    <w:p w14:paraId="3FB538E6" w14:textId="77777777" w:rsidR="00545DFC" w:rsidRDefault="00545DFC" w:rsidP="004B5858">
      <w:pPr>
        <w:spacing w:before="0"/>
        <w:jc w:val="left"/>
      </w:pPr>
    </w:p>
    <w:p w14:paraId="2654B708" w14:textId="77777777" w:rsidR="00545DFC" w:rsidRDefault="00545DFC" w:rsidP="004B5858">
      <w:pPr>
        <w:spacing w:before="0"/>
        <w:jc w:val="left"/>
      </w:pPr>
    </w:p>
    <w:p w14:paraId="1AFE81D4" w14:textId="77777777" w:rsidR="00545DFC" w:rsidRDefault="00545DFC" w:rsidP="004B5858">
      <w:pPr>
        <w:spacing w:before="0"/>
        <w:jc w:val="left"/>
      </w:pPr>
    </w:p>
    <w:p w14:paraId="30C76647" w14:textId="77777777" w:rsidR="00545DFC" w:rsidRDefault="00545DFC" w:rsidP="004B5858">
      <w:pPr>
        <w:spacing w:before="0"/>
        <w:jc w:val="left"/>
      </w:pPr>
    </w:p>
    <w:p w14:paraId="6CAB7779" w14:textId="77777777" w:rsidR="00545DFC" w:rsidRDefault="00545DFC" w:rsidP="004B5858">
      <w:pPr>
        <w:spacing w:before="0"/>
        <w:jc w:val="left"/>
      </w:pPr>
    </w:p>
    <w:p w14:paraId="09135A51" w14:textId="77777777" w:rsidR="00545DFC" w:rsidRDefault="00545DFC" w:rsidP="004B5858">
      <w:pPr>
        <w:spacing w:before="0"/>
        <w:jc w:val="left"/>
      </w:pPr>
    </w:p>
    <w:p w14:paraId="467C848E" w14:textId="77777777" w:rsidR="00545DFC" w:rsidRDefault="00545DFC" w:rsidP="004B5858">
      <w:pPr>
        <w:spacing w:before="0"/>
        <w:jc w:val="left"/>
      </w:pPr>
    </w:p>
    <w:p w14:paraId="31F61F18" w14:textId="77777777" w:rsidR="00545DFC" w:rsidRDefault="00545DFC" w:rsidP="004B5858">
      <w:pPr>
        <w:spacing w:before="0"/>
        <w:jc w:val="left"/>
      </w:pPr>
    </w:p>
    <w:p w14:paraId="4A139796" w14:textId="77777777" w:rsidR="0063732D" w:rsidRDefault="0063732D" w:rsidP="004B5858">
      <w:pPr>
        <w:spacing w:before="0"/>
        <w:jc w:val="left"/>
      </w:pPr>
    </w:p>
    <w:p w14:paraId="6CAB3459" w14:textId="77777777" w:rsidR="0063732D" w:rsidRDefault="0063732D" w:rsidP="004B5858">
      <w:pPr>
        <w:spacing w:before="0"/>
        <w:jc w:val="left"/>
      </w:pPr>
    </w:p>
    <w:p w14:paraId="7F0438E2" w14:textId="77777777" w:rsidR="0063732D" w:rsidRDefault="0063732D" w:rsidP="004B5858">
      <w:pPr>
        <w:spacing w:before="0"/>
        <w:jc w:val="left"/>
      </w:pPr>
    </w:p>
    <w:p w14:paraId="60072E5C" w14:textId="77777777" w:rsidR="0063732D" w:rsidRDefault="0063732D" w:rsidP="004B5858">
      <w:pPr>
        <w:spacing w:before="0"/>
        <w:jc w:val="left"/>
      </w:pPr>
    </w:p>
    <w:p w14:paraId="0E8A6DCB" w14:textId="77777777" w:rsidR="0063732D" w:rsidRDefault="0063732D" w:rsidP="004B5858">
      <w:pPr>
        <w:spacing w:before="0"/>
        <w:jc w:val="left"/>
      </w:pPr>
    </w:p>
    <w:p w14:paraId="6FA2CD93" w14:textId="77777777" w:rsidR="0063732D" w:rsidRDefault="0063732D" w:rsidP="004B5858">
      <w:pPr>
        <w:spacing w:before="0"/>
        <w:jc w:val="left"/>
      </w:pPr>
    </w:p>
    <w:p w14:paraId="53B56F85" w14:textId="77777777" w:rsidR="0063732D" w:rsidRDefault="0063732D" w:rsidP="004B5858">
      <w:pPr>
        <w:spacing w:before="0"/>
        <w:jc w:val="left"/>
      </w:pPr>
    </w:p>
    <w:p w14:paraId="7284298A" w14:textId="77777777" w:rsidR="0063732D" w:rsidRDefault="0063732D" w:rsidP="004B5858">
      <w:pPr>
        <w:spacing w:before="0"/>
        <w:jc w:val="left"/>
      </w:pPr>
    </w:p>
    <w:p w14:paraId="533A865F" w14:textId="77777777" w:rsidR="0063732D" w:rsidRDefault="0063732D" w:rsidP="004B5858">
      <w:pPr>
        <w:spacing w:before="0"/>
        <w:jc w:val="left"/>
      </w:pPr>
    </w:p>
    <w:p w14:paraId="0741D271" w14:textId="77777777" w:rsidR="0063732D" w:rsidRDefault="0063732D" w:rsidP="004B5858">
      <w:pPr>
        <w:spacing w:before="0"/>
        <w:jc w:val="left"/>
      </w:pPr>
    </w:p>
    <w:p w14:paraId="0332EA0F" w14:textId="77777777" w:rsidR="0063732D" w:rsidRDefault="0063732D" w:rsidP="004B5858">
      <w:pPr>
        <w:spacing w:before="0"/>
        <w:jc w:val="left"/>
      </w:pPr>
    </w:p>
    <w:p w14:paraId="5349ECFB" w14:textId="77777777" w:rsidR="0063732D" w:rsidRDefault="0063732D" w:rsidP="004B5858">
      <w:pPr>
        <w:spacing w:before="0"/>
        <w:jc w:val="left"/>
      </w:pPr>
    </w:p>
    <w:p w14:paraId="5615477B" w14:textId="77777777" w:rsidR="0063732D" w:rsidRDefault="0063732D" w:rsidP="004B5858">
      <w:pPr>
        <w:spacing w:before="0"/>
        <w:jc w:val="left"/>
      </w:pPr>
    </w:p>
    <w:p w14:paraId="0964128D" w14:textId="77777777" w:rsidR="0063732D" w:rsidRDefault="0063732D" w:rsidP="004B5858">
      <w:pPr>
        <w:spacing w:before="0"/>
        <w:jc w:val="left"/>
      </w:pPr>
    </w:p>
    <w:p w14:paraId="5F286F08" w14:textId="77777777" w:rsidR="0063732D" w:rsidRDefault="0063732D" w:rsidP="004B5858">
      <w:pPr>
        <w:spacing w:before="0"/>
        <w:jc w:val="left"/>
      </w:pPr>
    </w:p>
    <w:p w14:paraId="2D386E82" w14:textId="77777777" w:rsidR="0063732D" w:rsidRDefault="0063732D" w:rsidP="004B5858">
      <w:pPr>
        <w:spacing w:before="0"/>
        <w:jc w:val="left"/>
      </w:pPr>
    </w:p>
    <w:p w14:paraId="68F43A94" w14:textId="77777777" w:rsidR="0063732D" w:rsidRDefault="0063732D" w:rsidP="004B5858">
      <w:pPr>
        <w:spacing w:before="0"/>
        <w:jc w:val="left"/>
      </w:pPr>
    </w:p>
    <w:p w14:paraId="7C78394C" w14:textId="77777777" w:rsidR="0063732D" w:rsidRDefault="0063732D" w:rsidP="004B5858">
      <w:pPr>
        <w:spacing w:before="0"/>
        <w:jc w:val="left"/>
      </w:pPr>
    </w:p>
    <w:p w14:paraId="2B3B0A47" w14:textId="77777777" w:rsidR="0063732D" w:rsidRDefault="0063732D" w:rsidP="004B5858">
      <w:pPr>
        <w:spacing w:before="0"/>
        <w:jc w:val="left"/>
      </w:pPr>
    </w:p>
    <w:p w14:paraId="13060E67" w14:textId="77777777" w:rsidR="0063732D" w:rsidRDefault="0063732D" w:rsidP="004B5858">
      <w:pPr>
        <w:spacing w:before="0"/>
        <w:jc w:val="left"/>
      </w:pPr>
    </w:p>
    <w:p w14:paraId="6A633944" w14:textId="77777777" w:rsidR="0063732D" w:rsidRDefault="0063732D" w:rsidP="004B5858">
      <w:pPr>
        <w:spacing w:before="0"/>
        <w:jc w:val="left"/>
      </w:pPr>
    </w:p>
    <w:p w14:paraId="7B98DA37" w14:textId="77777777" w:rsidR="0063732D" w:rsidRDefault="0063732D" w:rsidP="004B5858">
      <w:pPr>
        <w:spacing w:before="0"/>
        <w:jc w:val="left"/>
      </w:pPr>
    </w:p>
    <w:p w14:paraId="31F85B21" w14:textId="77777777" w:rsidR="0063732D" w:rsidRDefault="0063732D" w:rsidP="004B5858">
      <w:pPr>
        <w:spacing w:before="0"/>
        <w:jc w:val="left"/>
      </w:pPr>
    </w:p>
    <w:p w14:paraId="1FCCD13D" w14:textId="77777777" w:rsidR="0063732D" w:rsidRDefault="0063732D" w:rsidP="004B5858">
      <w:pPr>
        <w:spacing w:before="0"/>
        <w:jc w:val="left"/>
      </w:pPr>
    </w:p>
    <w:p w14:paraId="0F83D93F" w14:textId="77777777" w:rsidR="0063732D" w:rsidRDefault="0063732D" w:rsidP="004B5858">
      <w:pPr>
        <w:spacing w:before="0"/>
        <w:jc w:val="left"/>
      </w:pPr>
    </w:p>
    <w:p w14:paraId="5031EF52" w14:textId="77777777" w:rsidR="0063732D" w:rsidRDefault="0063732D" w:rsidP="004B5858">
      <w:pPr>
        <w:spacing w:before="0"/>
        <w:jc w:val="left"/>
      </w:pPr>
    </w:p>
    <w:p w14:paraId="26B707CA" w14:textId="77777777" w:rsidR="0063732D" w:rsidRDefault="0063732D" w:rsidP="004B5858">
      <w:pPr>
        <w:spacing w:before="0"/>
        <w:jc w:val="left"/>
      </w:pPr>
    </w:p>
    <w:p w14:paraId="56B2928B" w14:textId="77777777" w:rsidR="0063732D" w:rsidRDefault="0063732D" w:rsidP="004B5858">
      <w:pPr>
        <w:spacing w:before="0"/>
        <w:jc w:val="left"/>
      </w:pPr>
    </w:p>
    <w:p w14:paraId="1BACC740" w14:textId="77777777" w:rsidR="0063732D" w:rsidRDefault="0063732D" w:rsidP="004B5858">
      <w:pPr>
        <w:spacing w:before="0"/>
        <w:jc w:val="left"/>
      </w:pPr>
    </w:p>
    <w:p w14:paraId="4E64932D" w14:textId="77777777" w:rsidR="00545DFC" w:rsidRDefault="00545DFC" w:rsidP="00545DFC">
      <w:pPr>
        <w:pStyle w:val="Heading1"/>
      </w:pPr>
      <w:bookmarkStart w:id="87" w:name="_Toc500831822"/>
      <w:r>
        <w:lastRenderedPageBreak/>
        <w:t>Appendix 2</w:t>
      </w:r>
      <w:bookmarkEnd w:id="87"/>
    </w:p>
    <w:p w14:paraId="036F16A5" w14:textId="77777777" w:rsidR="00545DFC" w:rsidRDefault="00545DFC" w:rsidP="00545DFC">
      <w:r w:rsidRPr="00545DFC">
        <w:rPr>
          <w:noProof/>
        </w:rPr>
        <w:drawing>
          <wp:inline distT="0" distB="0" distL="0" distR="0" wp14:anchorId="79A780E4" wp14:editId="2A089A53">
            <wp:extent cx="6644005" cy="5251211"/>
            <wp:effectExtent l="1905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a:stretch>
                      <a:fillRect/>
                    </a:stretch>
                  </pic:blipFill>
                  <pic:spPr bwMode="auto">
                    <a:xfrm>
                      <a:off x="0" y="0"/>
                      <a:ext cx="6644005" cy="5251211"/>
                    </a:xfrm>
                    <a:prstGeom prst="rect">
                      <a:avLst/>
                    </a:prstGeom>
                    <a:noFill/>
                    <a:ln w="9525">
                      <a:noFill/>
                      <a:miter lim="800000"/>
                      <a:headEnd/>
                      <a:tailEnd/>
                    </a:ln>
                  </pic:spPr>
                </pic:pic>
              </a:graphicData>
            </a:graphic>
          </wp:inline>
        </w:drawing>
      </w:r>
    </w:p>
    <w:p w14:paraId="57C45DA1" w14:textId="77777777" w:rsidR="00545DFC" w:rsidRDefault="00545DFC" w:rsidP="00545DFC"/>
    <w:p w14:paraId="2348D157" w14:textId="77777777" w:rsidR="00545DFC" w:rsidRDefault="00545DFC" w:rsidP="00545DFC">
      <w:r w:rsidRPr="00545DFC">
        <w:rPr>
          <w:noProof/>
        </w:rPr>
        <w:drawing>
          <wp:inline distT="0" distB="0" distL="0" distR="0" wp14:anchorId="2715206B" wp14:editId="70898089">
            <wp:extent cx="4124325" cy="2276475"/>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srcRect/>
                    <a:stretch>
                      <a:fillRect/>
                    </a:stretch>
                  </pic:blipFill>
                  <pic:spPr bwMode="auto">
                    <a:xfrm>
                      <a:off x="0" y="0"/>
                      <a:ext cx="4124325" cy="2276475"/>
                    </a:xfrm>
                    <a:prstGeom prst="rect">
                      <a:avLst/>
                    </a:prstGeom>
                    <a:noFill/>
                    <a:ln w="9525">
                      <a:noFill/>
                      <a:miter lim="800000"/>
                      <a:headEnd/>
                      <a:tailEnd/>
                    </a:ln>
                  </pic:spPr>
                </pic:pic>
              </a:graphicData>
            </a:graphic>
          </wp:inline>
        </w:drawing>
      </w:r>
    </w:p>
    <w:p w14:paraId="3B93C701" w14:textId="77777777" w:rsidR="00545DFC" w:rsidRDefault="00545DFC" w:rsidP="00545DFC"/>
    <w:p w14:paraId="2F464762" w14:textId="77777777" w:rsidR="0063732D" w:rsidRDefault="0063732D" w:rsidP="00545DFC"/>
    <w:p w14:paraId="362D4229" w14:textId="77777777" w:rsidR="00545DFC" w:rsidRDefault="0063732D" w:rsidP="00545DFC">
      <w:r w:rsidRPr="0063732D">
        <w:rPr>
          <w:noProof/>
        </w:rPr>
        <w:lastRenderedPageBreak/>
        <w:drawing>
          <wp:inline distT="0" distB="0" distL="0" distR="0" wp14:anchorId="6614F58A" wp14:editId="4D1C8D04">
            <wp:extent cx="5743575" cy="4143375"/>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cstate="print"/>
                    <a:srcRect/>
                    <a:stretch>
                      <a:fillRect/>
                    </a:stretch>
                  </pic:blipFill>
                  <pic:spPr bwMode="auto">
                    <a:xfrm>
                      <a:off x="0" y="0"/>
                      <a:ext cx="5743575" cy="4143375"/>
                    </a:xfrm>
                    <a:prstGeom prst="rect">
                      <a:avLst/>
                    </a:prstGeom>
                    <a:noFill/>
                    <a:ln w="9525">
                      <a:noFill/>
                      <a:miter lim="800000"/>
                      <a:headEnd/>
                      <a:tailEnd/>
                    </a:ln>
                  </pic:spPr>
                </pic:pic>
              </a:graphicData>
            </a:graphic>
          </wp:inline>
        </w:drawing>
      </w:r>
    </w:p>
    <w:p w14:paraId="014FE448" w14:textId="77777777" w:rsidR="00545DFC" w:rsidRDefault="00545DFC" w:rsidP="00545DFC"/>
    <w:p w14:paraId="70F55946" w14:textId="77777777" w:rsidR="00545DFC" w:rsidRDefault="00545DFC" w:rsidP="00545DFC"/>
    <w:p w14:paraId="0F6EB856" w14:textId="77777777" w:rsidR="00545DFC" w:rsidRDefault="00545DFC" w:rsidP="00545DFC"/>
    <w:p w14:paraId="25A27B75" w14:textId="77777777" w:rsidR="0063732D" w:rsidRDefault="0063732D" w:rsidP="00545DFC"/>
    <w:p w14:paraId="65670487" w14:textId="77777777" w:rsidR="0063732D" w:rsidRDefault="0063732D" w:rsidP="00545DFC"/>
    <w:p w14:paraId="3C25A4C2" w14:textId="77777777" w:rsidR="0063732D" w:rsidRDefault="0063732D" w:rsidP="00545DFC"/>
    <w:p w14:paraId="0B2E67AB" w14:textId="77777777" w:rsidR="0063732D" w:rsidRDefault="0063732D" w:rsidP="00545DFC"/>
    <w:p w14:paraId="0E4BBFA6" w14:textId="77777777" w:rsidR="0063732D" w:rsidRDefault="0063732D" w:rsidP="00545DFC"/>
    <w:p w14:paraId="0B040372" w14:textId="77777777" w:rsidR="0063732D" w:rsidRDefault="0063732D" w:rsidP="00545DFC"/>
    <w:p w14:paraId="3404F279" w14:textId="77777777" w:rsidR="0063732D" w:rsidRDefault="0063732D" w:rsidP="00545DFC"/>
    <w:p w14:paraId="3CD6DF6D" w14:textId="77777777" w:rsidR="0063732D" w:rsidRDefault="0063732D" w:rsidP="00545DFC"/>
    <w:p w14:paraId="1A463FC7" w14:textId="77777777" w:rsidR="0063732D" w:rsidRDefault="0063732D" w:rsidP="00545DFC"/>
    <w:p w14:paraId="14096D58" w14:textId="77777777" w:rsidR="0063732D" w:rsidRDefault="0063732D" w:rsidP="00545DFC"/>
    <w:p w14:paraId="48B47759" w14:textId="77777777" w:rsidR="0063732D" w:rsidRDefault="0063732D" w:rsidP="00545DFC"/>
    <w:p w14:paraId="4E537BE1" w14:textId="77777777" w:rsidR="0063732D" w:rsidRDefault="0063732D" w:rsidP="00545DFC"/>
    <w:p w14:paraId="73C44BD0" w14:textId="77777777" w:rsidR="0063732D" w:rsidRDefault="0063732D" w:rsidP="0063732D">
      <w:pPr>
        <w:pStyle w:val="Heading1"/>
      </w:pPr>
      <w:bookmarkStart w:id="88" w:name="_Toc451340004"/>
      <w:bookmarkStart w:id="89" w:name="_Toc500831823"/>
      <w:r>
        <w:lastRenderedPageBreak/>
        <w:t>Appendix 3</w:t>
      </w:r>
      <w:bookmarkEnd w:id="88"/>
      <w:bookmarkEnd w:id="89"/>
    </w:p>
    <w:p w14:paraId="4C9D6C0A" w14:textId="77777777" w:rsidR="00545DFC" w:rsidRDefault="0063732D" w:rsidP="00545DFC">
      <w:r w:rsidRPr="0063732D">
        <w:rPr>
          <w:noProof/>
        </w:rPr>
        <w:drawing>
          <wp:inline distT="0" distB="0" distL="0" distR="0" wp14:anchorId="5B5AC325" wp14:editId="43FD4379">
            <wp:extent cx="6644005" cy="5294588"/>
            <wp:effectExtent l="1905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srcRect/>
                    <a:stretch>
                      <a:fillRect/>
                    </a:stretch>
                  </pic:blipFill>
                  <pic:spPr bwMode="auto">
                    <a:xfrm>
                      <a:off x="0" y="0"/>
                      <a:ext cx="6644005" cy="5294588"/>
                    </a:xfrm>
                    <a:prstGeom prst="rect">
                      <a:avLst/>
                    </a:prstGeom>
                    <a:noFill/>
                    <a:ln w="9525">
                      <a:noFill/>
                      <a:miter lim="800000"/>
                      <a:headEnd/>
                      <a:tailEnd/>
                    </a:ln>
                  </pic:spPr>
                </pic:pic>
              </a:graphicData>
            </a:graphic>
          </wp:inline>
        </w:drawing>
      </w:r>
    </w:p>
    <w:p w14:paraId="4E4690AD" w14:textId="77777777" w:rsidR="0063732D" w:rsidRDefault="0063732D" w:rsidP="00545DFC"/>
    <w:p w14:paraId="04291CE9" w14:textId="77777777" w:rsidR="0063732D" w:rsidRDefault="0063732D" w:rsidP="00545DFC">
      <w:r w:rsidRPr="0063732D">
        <w:rPr>
          <w:noProof/>
        </w:rPr>
        <w:lastRenderedPageBreak/>
        <w:drawing>
          <wp:inline distT="0" distB="0" distL="0" distR="0" wp14:anchorId="66125B69" wp14:editId="6949BEE8">
            <wp:extent cx="6644005" cy="5334187"/>
            <wp:effectExtent l="1905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srcRect/>
                    <a:stretch>
                      <a:fillRect/>
                    </a:stretch>
                  </pic:blipFill>
                  <pic:spPr bwMode="auto">
                    <a:xfrm>
                      <a:off x="0" y="0"/>
                      <a:ext cx="6644005" cy="5334187"/>
                    </a:xfrm>
                    <a:prstGeom prst="rect">
                      <a:avLst/>
                    </a:prstGeom>
                    <a:noFill/>
                    <a:ln w="9525">
                      <a:noFill/>
                      <a:miter lim="800000"/>
                      <a:headEnd/>
                      <a:tailEnd/>
                    </a:ln>
                  </pic:spPr>
                </pic:pic>
              </a:graphicData>
            </a:graphic>
          </wp:inline>
        </w:drawing>
      </w:r>
    </w:p>
    <w:p w14:paraId="3846C4E0" w14:textId="77777777" w:rsidR="0063732D" w:rsidRDefault="0063732D" w:rsidP="00545DFC"/>
    <w:p w14:paraId="0DFBA1FD" w14:textId="77777777" w:rsidR="0063732D" w:rsidRDefault="0063732D" w:rsidP="00545DFC">
      <w:r w:rsidRPr="0063732D">
        <w:rPr>
          <w:noProof/>
        </w:rPr>
        <w:drawing>
          <wp:inline distT="0" distB="0" distL="0" distR="0" wp14:anchorId="4D2DBC79" wp14:editId="6EA440E6">
            <wp:extent cx="6505575" cy="2352675"/>
            <wp:effectExtent l="1905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srcRect/>
                    <a:stretch>
                      <a:fillRect/>
                    </a:stretch>
                  </pic:blipFill>
                  <pic:spPr bwMode="auto">
                    <a:xfrm>
                      <a:off x="0" y="0"/>
                      <a:ext cx="6505575" cy="2352675"/>
                    </a:xfrm>
                    <a:prstGeom prst="rect">
                      <a:avLst/>
                    </a:prstGeom>
                    <a:noFill/>
                    <a:ln w="9525">
                      <a:noFill/>
                      <a:miter lim="800000"/>
                      <a:headEnd/>
                      <a:tailEnd/>
                    </a:ln>
                  </pic:spPr>
                </pic:pic>
              </a:graphicData>
            </a:graphic>
          </wp:inline>
        </w:drawing>
      </w:r>
    </w:p>
    <w:p w14:paraId="09822DDF" w14:textId="77777777" w:rsidR="0063732D" w:rsidRDefault="0063732D" w:rsidP="00545DFC"/>
    <w:p w14:paraId="62267803" w14:textId="77777777" w:rsidR="0063732D" w:rsidRDefault="0063732D" w:rsidP="00545DFC">
      <w:r w:rsidRPr="0063732D">
        <w:rPr>
          <w:noProof/>
        </w:rPr>
        <w:lastRenderedPageBreak/>
        <w:drawing>
          <wp:inline distT="0" distB="0" distL="0" distR="0" wp14:anchorId="2E5ABAAE" wp14:editId="69B87A41">
            <wp:extent cx="5657850" cy="4162425"/>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srcRect/>
                    <a:stretch>
                      <a:fillRect/>
                    </a:stretch>
                  </pic:blipFill>
                  <pic:spPr bwMode="auto">
                    <a:xfrm>
                      <a:off x="0" y="0"/>
                      <a:ext cx="5657850" cy="4162425"/>
                    </a:xfrm>
                    <a:prstGeom prst="rect">
                      <a:avLst/>
                    </a:prstGeom>
                    <a:noFill/>
                    <a:ln w="9525">
                      <a:noFill/>
                      <a:miter lim="800000"/>
                      <a:headEnd/>
                      <a:tailEnd/>
                    </a:ln>
                  </pic:spPr>
                </pic:pic>
              </a:graphicData>
            </a:graphic>
          </wp:inline>
        </w:drawing>
      </w:r>
    </w:p>
    <w:p w14:paraId="78D6E72C" w14:textId="77777777" w:rsidR="0063732D" w:rsidRDefault="0063732D" w:rsidP="00545DFC"/>
    <w:p w14:paraId="676F8C40" w14:textId="77777777" w:rsidR="00545DFC" w:rsidRPr="004B5858" w:rsidRDefault="0063732D" w:rsidP="0063732D">
      <w:pPr>
        <w:rPr>
          <w:sz w:val="24"/>
        </w:rPr>
      </w:pPr>
      <w:r w:rsidRPr="0063732D">
        <w:rPr>
          <w:noProof/>
        </w:rPr>
        <w:drawing>
          <wp:inline distT="0" distB="0" distL="0" distR="0" wp14:anchorId="6536EFAB" wp14:editId="07956E15">
            <wp:extent cx="5819775" cy="4191000"/>
            <wp:effectExtent l="19050" t="0" r="9525" b="0"/>
            <wp:docPr id="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srcRect/>
                    <a:stretch>
                      <a:fillRect/>
                    </a:stretch>
                  </pic:blipFill>
                  <pic:spPr bwMode="auto">
                    <a:xfrm>
                      <a:off x="0" y="0"/>
                      <a:ext cx="5819775" cy="4191000"/>
                    </a:xfrm>
                    <a:prstGeom prst="rect">
                      <a:avLst/>
                    </a:prstGeom>
                    <a:noFill/>
                    <a:ln w="9525">
                      <a:noFill/>
                      <a:miter lim="800000"/>
                      <a:headEnd/>
                      <a:tailEnd/>
                    </a:ln>
                  </pic:spPr>
                </pic:pic>
              </a:graphicData>
            </a:graphic>
          </wp:inline>
        </w:drawing>
      </w:r>
    </w:p>
    <w:sectPr w:rsidR="00545DFC" w:rsidRPr="004B5858" w:rsidSect="00261FD3">
      <w:headerReference w:type="even" r:id="rId38"/>
      <w:headerReference w:type="default" r:id="rId39"/>
      <w:footerReference w:type="even" r:id="rId40"/>
      <w:footerReference w:type="default" r:id="rId41"/>
      <w:pgSz w:w="11909" w:h="16834" w:code="9"/>
      <w:pgMar w:top="1250" w:right="726" w:bottom="720" w:left="720" w:header="567" w:footer="249"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6C84E2" w14:textId="77777777" w:rsidR="00B65CDF" w:rsidRDefault="00B65CDF" w:rsidP="006E7D29">
      <w:r>
        <w:separator/>
      </w:r>
    </w:p>
  </w:endnote>
  <w:endnote w:type="continuationSeparator" w:id="0">
    <w:p w14:paraId="03DBF22E" w14:textId="77777777" w:rsidR="00B65CDF" w:rsidRDefault="00B65CDF"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99679"/>
      <w:docPartObj>
        <w:docPartGallery w:val="Page Numbers (Bottom of Page)"/>
        <w:docPartUnique/>
      </w:docPartObj>
    </w:sdtPr>
    <w:sdtEndPr/>
    <w:sdtContent>
      <w:p w14:paraId="4DC7B1FB" w14:textId="72DA003D" w:rsidR="00B65CDF" w:rsidRDefault="00B65CDF" w:rsidP="00E33FE5">
        <w:pPr>
          <w:pStyle w:val="Footer"/>
          <w:jc w:val="center"/>
        </w:pPr>
        <w:r>
          <w:rPr>
            <w:rFonts w:ascii="Verdana" w:hAnsi="Verdana"/>
            <w:noProof/>
            <w:color w:val="FFFFFF" w:themeColor="background1"/>
            <w:szCs w:val="20"/>
          </w:rPr>
          <mc:AlternateContent>
            <mc:Choice Requires="wps">
              <w:drawing>
                <wp:anchor distT="0" distB="0" distL="114300" distR="114300" simplePos="0" relativeHeight="251658752" behindDoc="1" locked="0" layoutInCell="1" allowOverlap="1" wp14:anchorId="4851F9F5" wp14:editId="5B7B405B">
                  <wp:simplePos x="0" y="0"/>
                  <wp:positionH relativeFrom="column">
                    <wp:posOffset>-467360</wp:posOffset>
                  </wp:positionH>
                  <wp:positionV relativeFrom="paragraph">
                    <wp:posOffset>-18415</wp:posOffset>
                  </wp:positionV>
                  <wp:extent cx="7233285" cy="231140"/>
                  <wp:effectExtent l="0" t="1905" r="0" b="0"/>
                  <wp:wrapNone/>
                  <wp:docPr id="1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3285" cy="231140"/>
                          </a:xfrm>
                          <a:prstGeom prst="rect">
                            <a:avLst/>
                          </a:prstGeom>
                          <a:solidFill>
                            <a:srgbClr val="3182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A457CA" id="Rectangle 11" o:spid="_x0000_s1026" style="position:absolute;margin-left:-36.8pt;margin-top:-1.45pt;width:569.55pt;height:18.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" fillcolor="#3182bd" stroked="f"/>
              </w:pict>
            </mc:Fallback>
          </mc:AlternateContent>
        </w:r>
        <w:r w:rsidRPr="00F964DA">
          <w:rPr>
            <w:rFonts w:ascii="Verdana" w:hAnsi="Verdana"/>
            <w:color w:val="FFFFFF" w:themeColor="background1"/>
            <w:szCs w:val="20"/>
          </w:rPr>
          <w:t>Page</w:t>
        </w:r>
        <w:r w:rsidRPr="00F964DA">
          <w:rPr>
            <w:sz w:val="24"/>
          </w:rPr>
          <w:t xml:space="preserve"> </w:t>
        </w:r>
        <w:r w:rsidRPr="00F964DA">
          <w:rPr>
            <w:rFonts w:ascii="Verdana" w:hAnsi="Verdana"/>
            <w:b/>
            <w:color w:val="FFFFFF" w:themeColor="background1"/>
          </w:rPr>
          <w:fldChar w:fldCharType="begin"/>
        </w:r>
        <w:r w:rsidRPr="00F964DA">
          <w:rPr>
            <w:rFonts w:ascii="Verdana" w:hAnsi="Verdana"/>
            <w:b/>
            <w:color w:val="FFFFFF" w:themeColor="background1"/>
          </w:rPr>
          <w:instrText xml:space="preserve"> PAGE   \* MERGEFORMAT </w:instrText>
        </w:r>
        <w:r w:rsidRPr="00F964DA">
          <w:rPr>
            <w:rFonts w:ascii="Verdana" w:hAnsi="Verdana"/>
            <w:b/>
            <w:color w:val="FFFFFF" w:themeColor="background1"/>
          </w:rPr>
          <w:fldChar w:fldCharType="separate"/>
        </w:r>
        <w:r w:rsidR="00BD4AF3">
          <w:rPr>
            <w:rFonts w:ascii="Verdana" w:hAnsi="Verdana"/>
            <w:b/>
            <w:noProof/>
            <w:color w:val="FFFFFF" w:themeColor="background1"/>
          </w:rPr>
          <w:t>20</w:t>
        </w:r>
        <w:r w:rsidRPr="00F964DA">
          <w:rPr>
            <w:rFonts w:ascii="Verdana" w:hAnsi="Verdana"/>
            <w:b/>
            <w:color w:val="FFFFFF" w:themeColor="background1"/>
          </w:rPr>
          <w:fldChar w:fldCharType="end"/>
        </w:r>
      </w:p>
    </w:sdtContent>
  </w:sdt>
  <w:p w14:paraId="0103D410" w14:textId="77777777" w:rsidR="00B65CDF" w:rsidRDefault="00B65C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76D8682F" w14:textId="3A001049" w:rsidR="00B65CDF" w:rsidRDefault="00B65CDF" w:rsidP="00B369F5">
        <w:pPr>
          <w:pStyle w:val="Footer"/>
          <w:jc w:val="center"/>
        </w:pPr>
        <w:r>
          <w:rPr>
            <w:rFonts w:ascii="Verdana" w:hAnsi="Verdana"/>
            <w:b/>
            <w:noProof/>
            <w:color w:val="FFFFFF" w:themeColor="background1"/>
            <w:szCs w:val="20"/>
          </w:rPr>
          <mc:AlternateContent>
            <mc:Choice Requires="wps">
              <w:drawing>
                <wp:anchor distT="0" distB="0" distL="114300" distR="114300" simplePos="0" relativeHeight="251657728" behindDoc="1" locked="0" layoutInCell="1" allowOverlap="1" wp14:anchorId="0BEEF4C3" wp14:editId="54DFF1E5">
                  <wp:simplePos x="0" y="0"/>
                  <wp:positionH relativeFrom="column">
                    <wp:posOffset>-457835</wp:posOffset>
                  </wp:positionH>
                  <wp:positionV relativeFrom="paragraph">
                    <wp:posOffset>-40005</wp:posOffset>
                  </wp:positionV>
                  <wp:extent cx="7233285" cy="231140"/>
                  <wp:effectExtent l="0" t="0" r="0" b="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3285" cy="231140"/>
                          </a:xfrm>
                          <a:prstGeom prst="rect">
                            <a:avLst/>
                          </a:prstGeom>
                          <a:solidFill>
                            <a:srgbClr val="3182B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A44AFB" id="Rectangle 6" o:spid="_x0000_s1026" style="position:absolute;margin-left:-36.05pt;margin-top:-3.15pt;width:569.55pt;height:18.2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" fillcolor="#3182bd" stroked="f"/>
              </w:pict>
            </mc:Fallback>
          </mc:AlternateContent>
        </w:r>
        <w:r w:rsidRPr="00F964DA">
          <w:rPr>
            <w:rFonts w:ascii="Verdana" w:hAnsi="Verdana"/>
            <w:color w:val="FFFFFF" w:themeColor="background1"/>
            <w:szCs w:val="20"/>
          </w:rPr>
          <w:t>Page</w:t>
        </w:r>
        <w:r w:rsidRPr="00F964DA">
          <w:rPr>
            <w:sz w:val="24"/>
          </w:rPr>
          <w:t xml:space="preserve"> </w:t>
        </w:r>
        <w:r w:rsidRPr="00F964DA">
          <w:rPr>
            <w:rFonts w:ascii="Verdana" w:hAnsi="Verdana"/>
            <w:b/>
            <w:color w:val="FFFFFF" w:themeColor="background1"/>
          </w:rPr>
          <w:fldChar w:fldCharType="begin"/>
        </w:r>
        <w:r w:rsidRPr="00F964DA">
          <w:rPr>
            <w:rFonts w:ascii="Verdana" w:hAnsi="Verdana"/>
            <w:b/>
            <w:color w:val="FFFFFF" w:themeColor="background1"/>
          </w:rPr>
          <w:instrText xml:space="preserve"> PAGE   \* MERGEFORMAT </w:instrText>
        </w:r>
        <w:r w:rsidRPr="00F964DA">
          <w:rPr>
            <w:rFonts w:ascii="Verdana" w:hAnsi="Verdana"/>
            <w:b/>
            <w:color w:val="FFFFFF" w:themeColor="background1"/>
          </w:rPr>
          <w:fldChar w:fldCharType="separate"/>
        </w:r>
        <w:r w:rsidR="00BD4AF3">
          <w:rPr>
            <w:rFonts w:ascii="Verdana" w:hAnsi="Verdana"/>
            <w:b/>
            <w:noProof/>
            <w:color w:val="FFFFFF" w:themeColor="background1"/>
          </w:rPr>
          <w:t>1</w:t>
        </w:r>
        <w:r w:rsidRPr="00F964DA">
          <w:rPr>
            <w:rFonts w:ascii="Verdana" w:hAnsi="Verdana"/>
            <w:b/>
            <w:color w:val="FFFFFF" w:themeColor="background1"/>
          </w:rPr>
          <w:fldChar w:fldCharType="end"/>
        </w:r>
      </w:p>
    </w:sdtContent>
  </w:sdt>
  <w:p w14:paraId="6721D69C" w14:textId="77777777" w:rsidR="00B65CDF" w:rsidRPr="008410BD" w:rsidRDefault="00B65CDF" w:rsidP="006E7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A523BF" w14:textId="77777777" w:rsidR="00B65CDF" w:rsidRDefault="00B65CDF" w:rsidP="006E7D29">
      <w:r>
        <w:separator/>
      </w:r>
    </w:p>
  </w:footnote>
  <w:footnote w:type="continuationSeparator" w:id="0">
    <w:p w14:paraId="0ED51924" w14:textId="77777777" w:rsidR="00B65CDF" w:rsidRDefault="00B65CDF"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2C6F0" w14:textId="77777777" w:rsidR="00B65CDF" w:rsidRDefault="00B65CDF" w:rsidP="00E33FE5">
    <w:pPr>
      <w:pStyle w:val="Header"/>
      <w:tabs>
        <w:tab w:val="clear" w:pos="8640"/>
        <w:tab w:val="right" w:pos="10490"/>
      </w:tabs>
      <w:rPr>
        <w:rFonts w:ascii="Verdana" w:hAnsi="Verdana"/>
        <w:color w:val="3182BD"/>
        <w:szCs w:val="20"/>
      </w:rPr>
    </w:pPr>
    <w:r>
      <w:rPr>
        <w:rFonts w:ascii="Verdana" w:hAnsi="Verdana"/>
        <w:color w:val="3182BD"/>
        <w:szCs w:val="20"/>
      </w:rPr>
      <w:t xml:space="preserve">Equity of access to revascularisation </w:t>
    </w:r>
  </w:p>
  <w:p w14:paraId="2CD6C4DF" w14:textId="77777777" w:rsidR="00B65CDF" w:rsidRPr="00F936E0" w:rsidRDefault="00B65CDF" w:rsidP="00E33FE5">
    <w:pPr>
      <w:pStyle w:val="Header"/>
      <w:tabs>
        <w:tab w:val="clear" w:pos="8640"/>
        <w:tab w:val="right" w:pos="10490"/>
      </w:tabs>
      <w:rPr>
        <w:rFonts w:ascii="Verdana" w:hAnsi="Verdana"/>
        <w:color w:val="3182BD"/>
        <w:szCs w:val="20"/>
      </w:rPr>
    </w:pPr>
    <w:r>
      <w:rPr>
        <w:rFonts w:ascii="Verdana" w:hAnsi="Verdana"/>
        <w:color w:val="3182BD"/>
        <w:szCs w:val="20"/>
      </w:rPr>
      <w:t>in Wales by socioeconomic deprivation</w:t>
    </w:r>
    <w:r>
      <w:rPr>
        <w:rFonts w:ascii="Verdana" w:hAnsi="Verdana"/>
        <w:color w:val="3182BD"/>
        <w:szCs w:val="20"/>
      </w:rPr>
      <w:tab/>
    </w:r>
    <w:r>
      <w:rPr>
        <w:rFonts w:ascii="Verdana" w:hAnsi="Verdana"/>
        <w:color w:val="3182BD"/>
        <w:szCs w:val="20"/>
      </w:rPr>
      <w:tab/>
      <w:t>Public Health Wales Observatory</w:t>
    </w:r>
  </w:p>
  <w:p w14:paraId="464B7721" w14:textId="77777777" w:rsidR="00B65CDF" w:rsidRPr="00E33FE5" w:rsidRDefault="00B65CDF" w:rsidP="00E33F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A1DE8E" w14:textId="77777777" w:rsidR="00B65CDF" w:rsidRDefault="00B65CDF" w:rsidP="00C01FC2">
    <w:pPr>
      <w:pStyle w:val="Header"/>
      <w:tabs>
        <w:tab w:val="clear" w:pos="8640"/>
        <w:tab w:val="right" w:pos="10490"/>
      </w:tabs>
      <w:rPr>
        <w:rFonts w:ascii="Verdana" w:hAnsi="Verdana"/>
        <w:color w:val="3182BD"/>
        <w:szCs w:val="20"/>
      </w:rPr>
    </w:pPr>
    <w:r>
      <w:rPr>
        <w:rFonts w:ascii="Verdana" w:hAnsi="Verdana"/>
        <w:color w:val="3182BD"/>
        <w:szCs w:val="20"/>
      </w:rPr>
      <w:t>Public Health Wales Observatory</w:t>
    </w:r>
    <w:r>
      <w:rPr>
        <w:rFonts w:ascii="Verdana" w:hAnsi="Verdana"/>
        <w:color w:val="3182BD"/>
        <w:szCs w:val="20"/>
      </w:rPr>
      <w:tab/>
    </w:r>
    <w:r>
      <w:rPr>
        <w:rFonts w:ascii="Verdana" w:hAnsi="Verdana"/>
        <w:color w:val="3182BD"/>
        <w:szCs w:val="20"/>
      </w:rPr>
      <w:tab/>
      <w:t>Equity of access to revascularisation</w:t>
    </w:r>
  </w:p>
  <w:p w14:paraId="33E3B332" w14:textId="77777777" w:rsidR="00B65CDF" w:rsidRPr="00F936E0" w:rsidRDefault="00B65CDF" w:rsidP="00C01FC2">
    <w:pPr>
      <w:pStyle w:val="Header"/>
      <w:tabs>
        <w:tab w:val="clear" w:pos="8640"/>
        <w:tab w:val="right" w:pos="10490"/>
      </w:tabs>
      <w:rPr>
        <w:rFonts w:ascii="Verdana" w:hAnsi="Verdana"/>
        <w:color w:val="3182BD"/>
        <w:szCs w:val="20"/>
      </w:rPr>
    </w:pPr>
    <w:r>
      <w:rPr>
        <w:rFonts w:ascii="Verdana" w:hAnsi="Verdana"/>
        <w:color w:val="3182BD"/>
        <w:szCs w:val="20"/>
      </w:rPr>
      <w:tab/>
    </w:r>
    <w:r>
      <w:rPr>
        <w:rFonts w:ascii="Verdana" w:hAnsi="Verdana"/>
        <w:color w:val="3182BD"/>
        <w:szCs w:val="20"/>
      </w:rPr>
      <w:tab/>
      <w:t xml:space="preserve">     in Wales by socioeconomic deprivation</w:t>
    </w:r>
  </w:p>
  <w:p w14:paraId="415E5530" w14:textId="77777777" w:rsidR="00B65CDF" w:rsidRPr="006E7D29" w:rsidRDefault="00B65CDF"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B131F3"/>
    <w:multiLevelType w:val="multilevel"/>
    <w:tmpl w:val="04C41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EA0A7E"/>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3" w15:restartNumberingAfterBreak="0">
    <w:nsid w:val="0676030C"/>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 w15:restartNumberingAfterBreak="0">
    <w:nsid w:val="06995D0C"/>
    <w:multiLevelType w:val="hybridMultilevel"/>
    <w:tmpl w:val="4D6C8442"/>
    <w:lvl w:ilvl="0" w:tplc="2418FD6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A61525D"/>
    <w:multiLevelType w:val="hybridMultilevel"/>
    <w:tmpl w:val="DFEE7274"/>
    <w:lvl w:ilvl="0" w:tplc="37D2D3EE">
      <w:start w:val="1"/>
      <w:numFmt w:val="bullet"/>
      <w:lvlText w:val=""/>
      <w:lvlJc w:val="left"/>
      <w:pPr>
        <w:tabs>
          <w:tab w:val="num" w:pos="340"/>
        </w:tabs>
        <w:ind w:left="340" w:hanging="283"/>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3B7A5F"/>
    <w:multiLevelType w:val="hybridMultilevel"/>
    <w:tmpl w:val="0450D7FE"/>
    <w:lvl w:ilvl="0" w:tplc="D610BB1E">
      <w:start w:val="1"/>
      <w:numFmt w:val="decimal"/>
      <w:lvlText w:val="%1"/>
      <w:lvlJc w:val="left"/>
      <w:pPr>
        <w:ind w:left="720" w:hanging="360"/>
      </w:pPr>
      <w:rPr>
        <w:rFonts w:ascii="Verdana" w:hAnsi="Verdana" w:hint="default"/>
        <w:b w:val="0"/>
        <w:i w:val="0"/>
        <w:color w:val="B1D0E1"/>
        <w:sz w:val="96"/>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25A0A"/>
    <w:multiLevelType w:val="hybridMultilevel"/>
    <w:tmpl w:val="1B54A992"/>
    <w:lvl w:ilvl="0" w:tplc="0809000F">
      <w:start w:val="1"/>
      <w:numFmt w:val="decimal"/>
      <w:lvlText w:val="%1."/>
      <w:lvlJc w:val="left"/>
      <w:pPr>
        <w:tabs>
          <w:tab w:val="num" w:pos="873"/>
        </w:tabs>
        <w:ind w:left="873" w:hanging="360"/>
      </w:pPr>
      <w:rPr>
        <w:rFonts w:hint="default"/>
      </w:rPr>
    </w:lvl>
    <w:lvl w:ilvl="1" w:tplc="08090003">
      <w:start w:val="1"/>
      <w:numFmt w:val="bullet"/>
      <w:lvlText w:val="o"/>
      <w:lvlJc w:val="left"/>
      <w:pPr>
        <w:tabs>
          <w:tab w:val="num" w:pos="1896"/>
        </w:tabs>
        <w:ind w:left="1896" w:hanging="360"/>
      </w:pPr>
      <w:rPr>
        <w:rFonts w:ascii="Courier New" w:hAnsi="Courier New" w:cs="Courier New" w:hint="default"/>
      </w:rPr>
    </w:lvl>
    <w:lvl w:ilvl="2" w:tplc="08090005" w:tentative="1">
      <w:start w:val="1"/>
      <w:numFmt w:val="bullet"/>
      <w:lvlText w:val=""/>
      <w:lvlJc w:val="left"/>
      <w:pPr>
        <w:tabs>
          <w:tab w:val="num" w:pos="2616"/>
        </w:tabs>
        <w:ind w:left="2616" w:hanging="360"/>
      </w:pPr>
      <w:rPr>
        <w:rFonts w:ascii="Wingdings" w:hAnsi="Wingdings" w:hint="default"/>
      </w:rPr>
    </w:lvl>
    <w:lvl w:ilvl="3" w:tplc="08090001" w:tentative="1">
      <w:start w:val="1"/>
      <w:numFmt w:val="bullet"/>
      <w:lvlText w:val=""/>
      <w:lvlJc w:val="left"/>
      <w:pPr>
        <w:tabs>
          <w:tab w:val="num" w:pos="3336"/>
        </w:tabs>
        <w:ind w:left="3336" w:hanging="360"/>
      </w:pPr>
      <w:rPr>
        <w:rFonts w:ascii="Symbol" w:hAnsi="Symbol" w:hint="default"/>
      </w:rPr>
    </w:lvl>
    <w:lvl w:ilvl="4" w:tplc="08090003" w:tentative="1">
      <w:start w:val="1"/>
      <w:numFmt w:val="bullet"/>
      <w:lvlText w:val="o"/>
      <w:lvlJc w:val="left"/>
      <w:pPr>
        <w:tabs>
          <w:tab w:val="num" w:pos="4056"/>
        </w:tabs>
        <w:ind w:left="4056" w:hanging="360"/>
      </w:pPr>
      <w:rPr>
        <w:rFonts w:ascii="Courier New" w:hAnsi="Courier New" w:cs="Courier New" w:hint="default"/>
      </w:rPr>
    </w:lvl>
    <w:lvl w:ilvl="5" w:tplc="08090005" w:tentative="1">
      <w:start w:val="1"/>
      <w:numFmt w:val="bullet"/>
      <w:lvlText w:val=""/>
      <w:lvlJc w:val="left"/>
      <w:pPr>
        <w:tabs>
          <w:tab w:val="num" w:pos="4776"/>
        </w:tabs>
        <w:ind w:left="4776" w:hanging="360"/>
      </w:pPr>
      <w:rPr>
        <w:rFonts w:ascii="Wingdings" w:hAnsi="Wingdings" w:hint="default"/>
      </w:rPr>
    </w:lvl>
    <w:lvl w:ilvl="6" w:tplc="08090001" w:tentative="1">
      <w:start w:val="1"/>
      <w:numFmt w:val="bullet"/>
      <w:lvlText w:val=""/>
      <w:lvlJc w:val="left"/>
      <w:pPr>
        <w:tabs>
          <w:tab w:val="num" w:pos="5496"/>
        </w:tabs>
        <w:ind w:left="5496" w:hanging="360"/>
      </w:pPr>
      <w:rPr>
        <w:rFonts w:ascii="Symbol" w:hAnsi="Symbol" w:hint="default"/>
      </w:rPr>
    </w:lvl>
    <w:lvl w:ilvl="7" w:tplc="08090003" w:tentative="1">
      <w:start w:val="1"/>
      <w:numFmt w:val="bullet"/>
      <w:lvlText w:val="o"/>
      <w:lvlJc w:val="left"/>
      <w:pPr>
        <w:tabs>
          <w:tab w:val="num" w:pos="6216"/>
        </w:tabs>
        <w:ind w:left="6216" w:hanging="360"/>
      </w:pPr>
      <w:rPr>
        <w:rFonts w:ascii="Courier New" w:hAnsi="Courier New" w:cs="Courier New" w:hint="default"/>
      </w:rPr>
    </w:lvl>
    <w:lvl w:ilvl="8" w:tplc="08090005" w:tentative="1">
      <w:start w:val="1"/>
      <w:numFmt w:val="bullet"/>
      <w:lvlText w:val=""/>
      <w:lvlJc w:val="left"/>
      <w:pPr>
        <w:tabs>
          <w:tab w:val="num" w:pos="6936"/>
        </w:tabs>
        <w:ind w:left="6936" w:hanging="360"/>
      </w:pPr>
      <w:rPr>
        <w:rFonts w:ascii="Wingdings" w:hAnsi="Wingdings" w:hint="default"/>
      </w:rPr>
    </w:lvl>
  </w:abstractNum>
  <w:abstractNum w:abstractNumId="9" w15:restartNumberingAfterBreak="0">
    <w:nsid w:val="1B025D32"/>
    <w:multiLevelType w:val="hybridMultilevel"/>
    <w:tmpl w:val="3774DC36"/>
    <w:lvl w:ilvl="0" w:tplc="50EC026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9473B1"/>
    <w:multiLevelType w:val="hybridMultilevel"/>
    <w:tmpl w:val="45D6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4274B6"/>
    <w:multiLevelType w:val="hybridMultilevel"/>
    <w:tmpl w:val="9C68F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E8129C"/>
    <w:multiLevelType w:val="hybridMultilevel"/>
    <w:tmpl w:val="3B8E4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613D6E"/>
    <w:multiLevelType w:val="hybridMultilevel"/>
    <w:tmpl w:val="EFE2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44587D"/>
    <w:multiLevelType w:val="hybridMultilevel"/>
    <w:tmpl w:val="D0E45E4E"/>
    <w:lvl w:ilvl="0" w:tplc="0809000F">
      <w:start w:val="1"/>
      <w:numFmt w:val="decimal"/>
      <w:lvlText w:val="%1."/>
      <w:lvlJc w:val="left"/>
      <w:pPr>
        <w:ind w:left="644" w:hanging="360"/>
      </w:pPr>
    </w:lvl>
    <w:lvl w:ilvl="1" w:tplc="08090019">
      <w:start w:val="1"/>
      <w:numFmt w:val="decimal"/>
      <w:lvlText w:val="%2."/>
      <w:lvlJc w:val="left"/>
      <w:pPr>
        <w:tabs>
          <w:tab w:val="num" w:pos="1364"/>
        </w:tabs>
        <w:ind w:left="1364" w:hanging="360"/>
      </w:pPr>
    </w:lvl>
    <w:lvl w:ilvl="2" w:tplc="0809001B">
      <w:start w:val="1"/>
      <w:numFmt w:val="decimal"/>
      <w:lvlText w:val="%3."/>
      <w:lvlJc w:val="left"/>
      <w:pPr>
        <w:tabs>
          <w:tab w:val="num" w:pos="2084"/>
        </w:tabs>
        <w:ind w:left="2084" w:hanging="360"/>
      </w:pPr>
    </w:lvl>
    <w:lvl w:ilvl="3" w:tplc="0809000F">
      <w:start w:val="1"/>
      <w:numFmt w:val="decimal"/>
      <w:lvlText w:val="%4."/>
      <w:lvlJc w:val="left"/>
      <w:pPr>
        <w:tabs>
          <w:tab w:val="num" w:pos="2804"/>
        </w:tabs>
        <w:ind w:left="2804" w:hanging="360"/>
      </w:pPr>
    </w:lvl>
    <w:lvl w:ilvl="4" w:tplc="08090019">
      <w:start w:val="1"/>
      <w:numFmt w:val="decimal"/>
      <w:lvlText w:val="%5."/>
      <w:lvlJc w:val="left"/>
      <w:pPr>
        <w:tabs>
          <w:tab w:val="num" w:pos="3524"/>
        </w:tabs>
        <w:ind w:left="3524" w:hanging="360"/>
      </w:pPr>
    </w:lvl>
    <w:lvl w:ilvl="5" w:tplc="0809001B">
      <w:start w:val="1"/>
      <w:numFmt w:val="decimal"/>
      <w:lvlText w:val="%6."/>
      <w:lvlJc w:val="left"/>
      <w:pPr>
        <w:tabs>
          <w:tab w:val="num" w:pos="4244"/>
        </w:tabs>
        <w:ind w:left="4244" w:hanging="360"/>
      </w:pPr>
    </w:lvl>
    <w:lvl w:ilvl="6" w:tplc="0809000F">
      <w:start w:val="1"/>
      <w:numFmt w:val="decimal"/>
      <w:lvlText w:val="%7."/>
      <w:lvlJc w:val="left"/>
      <w:pPr>
        <w:tabs>
          <w:tab w:val="num" w:pos="4964"/>
        </w:tabs>
        <w:ind w:left="4964" w:hanging="360"/>
      </w:pPr>
    </w:lvl>
    <w:lvl w:ilvl="7" w:tplc="08090019">
      <w:start w:val="1"/>
      <w:numFmt w:val="decimal"/>
      <w:lvlText w:val="%8."/>
      <w:lvlJc w:val="left"/>
      <w:pPr>
        <w:tabs>
          <w:tab w:val="num" w:pos="5684"/>
        </w:tabs>
        <w:ind w:left="5684" w:hanging="360"/>
      </w:pPr>
    </w:lvl>
    <w:lvl w:ilvl="8" w:tplc="0809001B">
      <w:start w:val="1"/>
      <w:numFmt w:val="decimal"/>
      <w:lvlText w:val="%9."/>
      <w:lvlJc w:val="left"/>
      <w:pPr>
        <w:tabs>
          <w:tab w:val="num" w:pos="6404"/>
        </w:tabs>
        <w:ind w:left="6404" w:hanging="360"/>
      </w:pPr>
    </w:lvl>
  </w:abstractNum>
  <w:abstractNum w:abstractNumId="15" w15:restartNumberingAfterBreak="0">
    <w:nsid w:val="33BE31E1"/>
    <w:multiLevelType w:val="hybridMultilevel"/>
    <w:tmpl w:val="58BA40AA"/>
    <w:lvl w:ilvl="0" w:tplc="2F740076">
      <w:start w:val="1"/>
      <w:numFmt w:val="decimal"/>
      <w:lvlText w:val="%1)"/>
      <w:lvlJc w:val="left"/>
      <w:pPr>
        <w:ind w:left="720" w:hanging="360"/>
      </w:pPr>
      <w:rPr>
        <w:rFonts w:ascii="Verdana" w:eastAsiaTheme="minorHAnsi" w:hAnsi="Verdana"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C40130B"/>
    <w:multiLevelType w:val="hybridMultilevel"/>
    <w:tmpl w:val="8D9E4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2B5B39"/>
    <w:multiLevelType w:val="hybridMultilevel"/>
    <w:tmpl w:val="5FC6978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CF5B7C"/>
    <w:multiLevelType w:val="hybridMultilevel"/>
    <w:tmpl w:val="2EF614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E90B98"/>
    <w:multiLevelType w:val="hybridMultilevel"/>
    <w:tmpl w:val="DAB046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8814F67"/>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1" w15:restartNumberingAfterBreak="0">
    <w:nsid w:val="5A4D05A2"/>
    <w:multiLevelType w:val="hybridMultilevel"/>
    <w:tmpl w:val="6FEE97F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B382B34"/>
    <w:multiLevelType w:val="hybridMultilevel"/>
    <w:tmpl w:val="4386F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0D528A8"/>
    <w:multiLevelType w:val="hybridMultilevel"/>
    <w:tmpl w:val="2DCA0632"/>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ED22A4"/>
    <w:multiLevelType w:val="hybridMultilevel"/>
    <w:tmpl w:val="496E7FC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5" w15:restartNumberingAfterBreak="0">
    <w:nsid w:val="669A7CE2"/>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6" w15:restartNumberingAfterBreak="0">
    <w:nsid w:val="68F13B76"/>
    <w:multiLevelType w:val="hybridMultilevel"/>
    <w:tmpl w:val="DDE2AA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B206E2C"/>
    <w:multiLevelType w:val="hybridMultilevel"/>
    <w:tmpl w:val="AC801F0A"/>
    <w:lvl w:ilvl="0" w:tplc="842032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27549FF"/>
    <w:multiLevelType w:val="multilevel"/>
    <w:tmpl w:val="D88280E6"/>
    <w:lvl w:ilvl="0">
      <w:start w:val="1"/>
      <w:numFmt w:val="decimal"/>
      <w:lvlText w:val="%1"/>
      <w:lvlJc w:val="left"/>
      <w:pPr>
        <w:tabs>
          <w:tab w:val="num" w:pos="1008"/>
        </w:tabs>
        <w:ind w:left="1008" w:hanging="1008"/>
      </w:pPr>
      <w:rPr>
        <w:b/>
        <w:bCs w:val="0"/>
        <w:i w:val="0"/>
        <w:iCs w:val="0"/>
        <w:caps w:val="0"/>
        <w:smallCaps w:val="0"/>
        <w:strike w:val="0"/>
        <w:dstrike w:val="0"/>
        <w:noProof w:val="0"/>
        <w:vanish w:val="0"/>
        <w:color w:val="3182BD"/>
        <w:spacing w:val="0"/>
        <w:kern w:val="0"/>
        <w:position w:val="0"/>
        <w:sz w:val="48"/>
        <w:szCs w:val="4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tabs>
          <w:tab w:val="num" w:pos="1292"/>
        </w:tabs>
        <w:ind w:left="1292"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9" w15:restartNumberingAfterBreak="0">
    <w:nsid w:val="785A5753"/>
    <w:multiLevelType w:val="hybridMultilevel"/>
    <w:tmpl w:val="96863E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B8D1E0A"/>
    <w:multiLevelType w:val="hybridMultilevel"/>
    <w:tmpl w:val="5762C5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0"/>
  </w:num>
  <w:num w:numId="3">
    <w:abstractNumId w:val="28"/>
  </w:num>
  <w:num w:numId="4">
    <w:abstractNumId w:val="6"/>
  </w:num>
  <w:num w:numId="5">
    <w:abstractNumId w:val="8"/>
  </w:num>
  <w:num w:numId="6">
    <w:abstractNumId w:val="28"/>
  </w:num>
  <w:num w:numId="7">
    <w:abstractNumId w:val="24"/>
  </w:num>
  <w:num w:numId="8">
    <w:abstractNumId w:val="28"/>
  </w:num>
  <w:num w:numId="9">
    <w:abstractNumId w:val="28"/>
  </w:num>
  <w:num w:numId="10">
    <w:abstractNumId w:val="3"/>
  </w:num>
  <w:num w:numId="11">
    <w:abstractNumId w:val="2"/>
  </w:num>
  <w:num w:numId="12">
    <w:abstractNumId w:val="20"/>
  </w:num>
  <w:num w:numId="13">
    <w:abstractNumId w:val="25"/>
  </w:num>
  <w:num w:numId="14">
    <w:abstractNumId w:val="28"/>
    <w:lvlOverride w:ilvl="0">
      <w:startOverride w:val="4"/>
    </w:lvlOverride>
    <w:lvlOverride w:ilvl="1">
      <w:startOverride w:val="3"/>
    </w:lvlOverride>
    <w:lvlOverride w:ilvl="2">
      <w:startOverride w:val="2"/>
    </w:lvlOverride>
  </w:num>
  <w:num w:numId="15">
    <w:abstractNumId w:val="28"/>
  </w:num>
  <w:num w:numId="16">
    <w:abstractNumId w:val="28"/>
  </w:num>
  <w:num w:numId="17">
    <w:abstractNumId w:val="28"/>
  </w:num>
  <w:num w:numId="18">
    <w:abstractNumId w:val="28"/>
  </w:num>
  <w:num w:numId="19">
    <w:abstractNumId w:val="28"/>
  </w:num>
  <w:num w:numId="20">
    <w:abstractNumId w:val="28"/>
  </w:num>
  <w:num w:numId="21">
    <w:abstractNumId w:val="28"/>
  </w:num>
  <w:num w:numId="22">
    <w:abstractNumId w:val="28"/>
  </w:num>
  <w:num w:numId="23">
    <w:abstractNumId w:val="28"/>
  </w:num>
  <w:num w:numId="24">
    <w:abstractNumId w:val="27"/>
  </w:num>
  <w:num w:numId="25">
    <w:abstractNumId w:val="10"/>
  </w:num>
  <w:num w:numId="26">
    <w:abstractNumId w:val="4"/>
  </w:num>
  <w:num w:numId="27">
    <w:abstractNumId w:val="22"/>
  </w:num>
  <w:num w:numId="28">
    <w:abstractNumId w:val="1"/>
  </w:num>
  <w:num w:numId="29">
    <w:abstractNumId w:val="23"/>
  </w:num>
  <w:num w:numId="30">
    <w:abstractNumId w:val="18"/>
  </w:num>
  <w:num w:numId="31">
    <w:abstractNumId w:val="17"/>
  </w:num>
  <w:num w:numId="32">
    <w:abstractNumId w:val="13"/>
  </w:num>
  <w:num w:numId="33">
    <w:abstractNumId w:val="28"/>
  </w:num>
  <w:num w:numId="34">
    <w:abstractNumId w:val="28"/>
  </w:num>
  <w:num w:numId="35">
    <w:abstractNumId w:val="28"/>
  </w:num>
  <w:num w:numId="36">
    <w:abstractNumId w:val="28"/>
  </w:num>
  <w:num w:numId="37">
    <w:abstractNumId w:val="28"/>
  </w:num>
  <w:num w:numId="38">
    <w:abstractNumId w:val="7"/>
  </w:num>
  <w:num w:numId="39">
    <w:abstractNumId w:val="28"/>
  </w:num>
  <w:num w:numId="40">
    <w:abstractNumId w:val="26"/>
  </w:num>
  <w:num w:numId="41">
    <w:abstractNumId w:val="30"/>
  </w:num>
  <w:num w:numId="42">
    <w:abstractNumId w:val="19"/>
  </w:num>
  <w:num w:numId="43">
    <w:abstractNumId w:val="21"/>
  </w:num>
  <w:num w:numId="44">
    <w:abstractNumId w:val="16"/>
  </w:num>
  <w:num w:numId="45">
    <w:abstractNumId w:val="29"/>
  </w:num>
  <w:num w:numId="46">
    <w:abstractNumId w:val="15"/>
  </w:num>
  <w:num w:numId="47">
    <w:abstractNumId w:val="12"/>
  </w:num>
  <w:num w:numId="48">
    <w:abstractNumId w:val="14"/>
  </w:num>
  <w:num w:numId="49">
    <w:abstractNumId w:val="9"/>
  </w:num>
  <w:num w:numId="50">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evenAndOddHeaders/>
  <w:drawingGridHorizontalSpacing w:val="110"/>
  <w:displayHorizontalDrawingGridEvery w:val="0"/>
  <w:displayVerticalDrawingGridEvery w:val="0"/>
  <w:noPunctuationKerning/>
  <w:characterSpacingControl w:val="doNotCompress"/>
  <w:hdrShapeDefaults>
    <o:shapedefaults v:ext="edit" spidmax="134145" fill="f" fillcolor="white" strokecolor="none [2408]">
      <v:fill color="white" on="f"/>
      <v:stroke color="none [2408]" weight="1pt"/>
      <o:colormru v:ext="edit" colors="#3182bd,#d1a375"/>
      <o:colormenu v:ext="edit" fillcolor="#3182bd" strokecolor="#26649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3330"/>
    <w:rsid w:val="00004B4B"/>
    <w:rsid w:val="00004FCB"/>
    <w:rsid w:val="000056EF"/>
    <w:rsid w:val="00007D0A"/>
    <w:rsid w:val="00007DE7"/>
    <w:rsid w:val="000125F0"/>
    <w:rsid w:val="0001370E"/>
    <w:rsid w:val="00013C2E"/>
    <w:rsid w:val="000160AF"/>
    <w:rsid w:val="00017EB5"/>
    <w:rsid w:val="00020B4F"/>
    <w:rsid w:val="00021517"/>
    <w:rsid w:val="000218DC"/>
    <w:rsid w:val="00021DCA"/>
    <w:rsid w:val="00023578"/>
    <w:rsid w:val="0002509A"/>
    <w:rsid w:val="00025105"/>
    <w:rsid w:val="00033F0B"/>
    <w:rsid w:val="0003601F"/>
    <w:rsid w:val="000406E2"/>
    <w:rsid w:val="00041D44"/>
    <w:rsid w:val="00047082"/>
    <w:rsid w:val="00047584"/>
    <w:rsid w:val="000514DE"/>
    <w:rsid w:val="0005467A"/>
    <w:rsid w:val="000566F2"/>
    <w:rsid w:val="000573BF"/>
    <w:rsid w:val="00057B43"/>
    <w:rsid w:val="00061117"/>
    <w:rsid w:val="00061B36"/>
    <w:rsid w:val="000620ED"/>
    <w:rsid w:val="00063382"/>
    <w:rsid w:val="000637C5"/>
    <w:rsid w:val="00063EDD"/>
    <w:rsid w:val="000654CD"/>
    <w:rsid w:val="00065A16"/>
    <w:rsid w:val="00066692"/>
    <w:rsid w:val="00067BB3"/>
    <w:rsid w:val="000701FE"/>
    <w:rsid w:val="00074349"/>
    <w:rsid w:val="000820A9"/>
    <w:rsid w:val="0008442E"/>
    <w:rsid w:val="00085286"/>
    <w:rsid w:val="0008583F"/>
    <w:rsid w:val="0008618A"/>
    <w:rsid w:val="00086BC6"/>
    <w:rsid w:val="000870AB"/>
    <w:rsid w:val="00090C6D"/>
    <w:rsid w:val="00090ED1"/>
    <w:rsid w:val="00091776"/>
    <w:rsid w:val="00091B5D"/>
    <w:rsid w:val="00093DAE"/>
    <w:rsid w:val="00094F13"/>
    <w:rsid w:val="000A1F26"/>
    <w:rsid w:val="000A74AC"/>
    <w:rsid w:val="000B0335"/>
    <w:rsid w:val="000B11F5"/>
    <w:rsid w:val="000B1436"/>
    <w:rsid w:val="000B1A7A"/>
    <w:rsid w:val="000B1F34"/>
    <w:rsid w:val="000B383D"/>
    <w:rsid w:val="000B43E2"/>
    <w:rsid w:val="000B5AF2"/>
    <w:rsid w:val="000B7286"/>
    <w:rsid w:val="000C1848"/>
    <w:rsid w:val="000C26BD"/>
    <w:rsid w:val="000C2B43"/>
    <w:rsid w:val="000C3095"/>
    <w:rsid w:val="000C4B18"/>
    <w:rsid w:val="000C52E4"/>
    <w:rsid w:val="000C65E4"/>
    <w:rsid w:val="000C6673"/>
    <w:rsid w:val="000D555D"/>
    <w:rsid w:val="000D594F"/>
    <w:rsid w:val="000E2802"/>
    <w:rsid w:val="000E3AD5"/>
    <w:rsid w:val="000E4881"/>
    <w:rsid w:val="000E59FC"/>
    <w:rsid w:val="000F22E0"/>
    <w:rsid w:val="000F5319"/>
    <w:rsid w:val="000F63CE"/>
    <w:rsid w:val="000F7FE8"/>
    <w:rsid w:val="00100EF4"/>
    <w:rsid w:val="00101202"/>
    <w:rsid w:val="001019D1"/>
    <w:rsid w:val="00101C1B"/>
    <w:rsid w:val="0010567E"/>
    <w:rsid w:val="0010729C"/>
    <w:rsid w:val="00111594"/>
    <w:rsid w:val="0011171C"/>
    <w:rsid w:val="00112BF5"/>
    <w:rsid w:val="00112D8C"/>
    <w:rsid w:val="00113AA5"/>
    <w:rsid w:val="00115BFD"/>
    <w:rsid w:val="001163C5"/>
    <w:rsid w:val="001166B4"/>
    <w:rsid w:val="001214F4"/>
    <w:rsid w:val="00122C4F"/>
    <w:rsid w:val="00124396"/>
    <w:rsid w:val="00124F74"/>
    <w:rsid w:val="00125927"/>
    <w:rsid w:val="001262C0"/>
    <w:rsid w:val="00127574"/>
    <w:rsid w:val="00131B05"/>
    <w:rsid w:val="00134FD3"/>
    <w:rsid w:val="00135BE6"/>
    <w:rsid w:val="00140B90"/>
    <w:rsid w:val="00140F0A"/>
    <w:rsid w:val="00141EDB"/>
    <w:rsid w:val="0014264E"/>
    <w:rsid w:val="00142B22"/>
    <w:rsid w:val="00143266"/>
    <w:rsid w:val="001433E1"/>
    <w:rsid w:val="00143B39"/>
    <w:rsid w:val="0014616D"/>
    <w:rsid w:val="001503B8"/>
    <w:rsid w:val="00151B3B"/>
    <w:rsid w:val="00153485"/>
    <w:rsid w:val="0015395B"/>
    <w:rsid w:val="00154554"/>
    <w:rsid w:val="00160248"/>
    <w:rsid w:val="00161895"/>
    <w:rsid w:val="00162A3F"/>
    <w:rsid w:val="001639F0"/>
    <w:rsid w:val="00165034"/>
    <w:rsid w:val="00167F87"/>
    <w:rsid w:val="001714D9"/>
    <w:rsid w:val="001728CA"/>
    <w:rsid w:val="00173F33"/>
    <w:rsid w:val="00174B54"/>
    <w:rsid w:val="00176635"/>
    <w:rsid w:val="001813AE"/>
    <w:rsid w:val="0018154F"/>
    <w:rsid w:val="00182345"/>
    <w:rsid w:val="00183155"/>
    <w:rsid w:val="00184F1C"/>
    <w:rsid w:val="00186B40"/>
    <w:rsid w:val="00190191"/>
    <w:rsid w:val="001907C0"/>
    <w:rsid w:val="00196A37"/>
    <w:rsid w:val="00197DFF"/>
    <w:rsid w:val="001A7273"/>
    <w:rsid w:val="001B1190"/>
    <w:rsid w:val="001B2015"/>
    <w:rsid w:val="001B2FB2"/>
    <w:rsid w:val="001B392E"/>
    <w:rsid w:val="001B4741"/>
    <w:rsid w:val="001B722D"/>
    <w:rsid w:val="001C26D9"/>
    <w:rsid w:val="001C6674"/>
    <w:rsid w:val="001C745D"/>
    <w:rsid w:val="001C7F26"/>
    <w:rsid w:val="001D0ED4"/>
    <w:rsid w:val="001E0340"/>
    <w:rsid w:val="001E2544"/>
    <w:rsid w:val="001E36E4"/>
    <w:rsid w:val="001E400C"/>
    <w:rsid w:val="001E5463"/>
    <w:rsid w:val="001E6FE6"/>
    <w:rsid w:val="001F1E59"/>
    <w:rsid w:val="001F3C88"/>
    <w:rsid w:val="001F3E20"/>
    <w:rsid w:val="001F55DE"/>
    <w:rsid w:val="001F6366"/>
    <w:rsid w:val="001F6438"/>
    <w:rsid w:val="001F6CFB"/>
    <w:rsid w:val="001F703A"/>
    <w:rsid w:val="00200D1D"/>
    <w:rsid w:val="00201664"/>
    <w:rsid w:val="002021E2"/>
    <w:rsid w:val="00202B40"/>
    <w:rsid w:val="00203016"/>
    <w:rsid w:val="00204158"/>
    <w:rsid w:val="00204DB9"/>
    <w:rsid w:val="00205B85"/>
    <w:rsid w:val="00212436"/>
    <w:rsid w:val="002145ED"/>
    <w:rsid w:val="002157A7"/>
    <w:rsid w:val="00223199"/>
    <w:rsid w:val="00223A6D"/>
    <w:rsid w:val="00225423"/>
    <w:rsid w:val="002273EB"/>
    <w:rsid w:val="00232719"/>
    <w:rsid w:val="00232DC6"/>
    <w:rsid w:val="00233616"/>
    <w:rsid w:val="002350AC"/>
    <w:rsid w:val="00235C7A"/>
    <w:rsid w:val="00236F84"/>
    <w:rsid w:val="0024291A"/>
    <w:rsid w:val="00244E40"/>
    <w:rsid w:val="00246132"/>
    <w:rsid w:val="00246221"/>
    <w:rsid w:val="00250CD1"/>
    <w:rsid w:val="00251739"/>
    <w:rsid w:val="002523CC"/>
    <w:rsid w:val="00253BDA"/>
    <w:rsid w:val="002547DA"/>
    <w:rsid w:val="00260A29"/>
    <w:rsid w:val="00260C49"/>
    <w:rsid w:val="00261FD3"/>
    <w:rsid w:val="0026401E"/>
    <w:rsid w:val="002714A5"/>
    <w:rsid w:val="00272750"/>
    <w:rsid w:val="00272789"/>
    <w:rsid w:val="0027297E"/>
    <w:rsid w:val="00272D9B"/>
    <w:rsid w:val="00273D07"/>
    <w:rsid w:val="00274C4C"/>
    <w:rsid w:val="002804CC"/>
    <w:rsid w:val="00280EAD"/>
    <w:rsid w:val="0028129B"/>
    <w:rsid w:val="00282A7D"/>
    <w:rsid w:val="0028770C"/>
    <w:rsid w:val="00287B30"/>
    <w:rsid w:val="002908E6"/>
    <w:rsid w:val="00290E28"/>
    <w:rsid w:val="00291EFE"/>
    <w:rsid w:val="002921C6"/>
    <w:rsid w:val="00293280"/>
    <w:rsid w:val="00295059"/>
    <w:rsid w:val="00296408"/>
    <w:rsid w:val="0029666D"/>
    <w:rsid w:val="00296FC7"/>
    <w:rsid w:val="002A37BF"/>
    <w:rsid w:val="002A3B83"/>
    <w:rsid w:val="002B005F"/>
    <w:rsid w:val="002B357B"/>
    <w:rsid w:val="002B4312"/>
    <w:rsid w:val="002B5480"/>
    <w:rsid w:val="002B599A"/>
    <w:rsid w:val="002B5BCE"/>
    <w:rsid w:val="002B5F9A"/>
    <w:rsid w:val="002B619A"/>
    <w:rsid w:val="002B7FE7"/>
    <w:rsid w:val="002C392B"/>
    <w:rsid w:val="002C3EB1"/>
    <w:rsid w:val="002C3F26"/>
    <w:rsid w:val="002D0E06"/>
    <w:rsid w:val="002D624F"/>
    <w:rsid w:val="002D6AA2"/>
    <w:rsid w:val="002D7FEF"/>
    <w:rsid w:val="002E106A"/>
    <w:rsid w:val="002E5AB3"/>
    <w:rsid w:val="002E5DB8"/>
    <w:rsid w:val="002E639C"/>
    <w:rsid w:val="002F0DEF"/>
    <w:rsid w:val="002F1453"/>
    <w:rsid w:val="002F2DDE"/>
    <w:rsid w:val="002F3AF8"/>
    <w:rsid w:val="002F43D7"/>
    <w:rsid w:val="002F443B"/>
    <w:rsid w:val="002F5A24"/>
    <w:rsid w:val="002F7B68"/>
    <w:rsid w:val="0030145A"/>
    <w:rsid w:val="00301BCD"/>
    <w:rsid w:val="00305964"/>
    <w:rsid w:val="00305D0B"/>
    <w:rsid w:val="003060EC"/>
    <w:rsid w:val="0031244D"/>
    <w:rsid w:val="003135E0"/>
    <w:rsid w:val="00316690"/>
    <w:rsid w:val="00324613"/>
    <w:rsid w:val="00324AB9"/>
    <w:rsid w:val="00325351"/>
    <w:rsid w:val="00326E0C"/>
    <w:rsid w:val="00330E10"/>
    <w:rsid w:val="0033287A"/>
    <w:rsid w:val="00335949"/>
    <w:rsid w:val="0033606E"/>
    <w:rsid w:val="00336A06"/>
    <w:rsid w:val="00347C8F"/>
    <w:rsid w:val="00353414"/>
    <w:rsid w:val="00354C6D"/>
    <w:rsid w:val="003559D4"/>
    <w:rsid w:val="003578F1"/>
    <w:rsid w:val="003610F7"/>
    <w:rsid w:val="00361C6B"/>
    <w:rsid w:val="00363852"/>
    <w:rsid w:val="00364011"/>
    <w:rsid w:val="003642EE"/>
    <w:rsid w:val="00365CB2"/>
    <w:rsid w:val="00370C16"/>
    <w:rsid w:val="00372915"/>
    <w:rsid w:val="00372F1E"/>
    <w:rsid w:val="00373B06"/>
    <w:rsid w:val="00374043"/>
    <w:rsid w:val="00385CE6"/>
    <w:rsid w:val="00386B7A"/>
    <w:rsid w:val="00387267"/>
    <w:rsid w:val="00387CE4"/>
    <w:rsid w:val="0039236D"/>
    <w:rsid w:val="00392A95"/>
    <w:rsid w:val="00392BBB"/>
    <w:rsid w:val="003940E5"/>
    <w:rsid w:val="003945CA"/>
    <w:rsid w:val="00394BA2"/>
    <w:rsid w:val="00395F80"/>
    <w:rsid w:val="00396C66"/>
    <w:rsid w:val="003A036A"/>
    <w:rsid w:val="003A4ED1"/>
    <w:rsid w:val="003A51E6"/>
    <w:rsid w:val="003A58B2"/>
    <w:rsid w:val="003A5C71"/>
    <w:rsid w:val="003B11DE"/>
    <w:rsid w:val="003B34AE"/>
    <w:rsid w:val="003B41D9"/>
    <w:rsid w:val="003B45F5"/>
    <w:rsid w:val="003B62B1"/>
    <w:rsid w:val="003C0550"/>
    <w:rsid w:val="003C0AB7"/>
    <w:rsid w:val="003C1AF6"/>
    <w:rsid w:val="003C65B7"/>
    <w:rsid w:val="003C7DAB"/>
    <w:rsid w:val="003D55E3"/>
    <w:rsid w:val="003D7D49"/>
    <w:rsid w:val="003E0EE6"/>
    <w:rsid w:val="003E2C3A"/>
    <w:rsid w:val="003E2FFC"/>
    <w:rsid w:val="003E3389"/>
    <w:rsid w:val="003E46ED"/>
    <w:rsid w:val="003E5D74"/>
    <w:rsid w:val="003E7338"/>
    <w:rsid w:val="003F00B9"/>
    <w:rsid w:val="003F2A10"/>
    <w:rsid w:val="003F362D"/>
    <w:rsid w:val="003F468E"/>
    <w:rsid w:val="003F4F7A"/>
    <w:rsid w:val="003F5D37"/>
    <w:rsid w:val="00402F09"/>
    <w:rsid w:val="0040375E"/>
    <w:rsid w:val="00403A15"/>
    <w:rsid w:val="00404D0D"/>
    <w:rsid w:val="0041169E"/>
    <w:rsid w:val="0041173A"/>
    <w:rsid w:val="00412D86"/>
    <w:rsid w:val="004139EF"/>
    <w:rsid w:val="00414FD1"/>
    <w:rsid w:val="004150C3"/>
    <w:rsid w:val="0041739B"/>
    <w:rsid w:val="00417F5F"/>
    <w:rsid w:val="004221C5"/>
    <w:rsid w:val="00424E94"/>
    <w:rsid w:val="00426F8B"/>
    <w:rsid w:val="00427AEC"/>
    <w:rsid w:val="00430B01"/>
    <w:rsid w:val="00433D04"/>
    <w:rsid w:val="00434F1A"/>
    <w:rsid w:val="00435788"/>
    <w:rsid w:val="00436D68"/>
    <w:rsid w:val="00436E3B"/>
    <w:rsid w:val="00440158"/>
    <w:rsid w:val="00442251"/>
    <w:rsid w:val="00443140"/>
    <w:rsid w:val="00444880"/>
    <w:rsid w:val="00444C6E"/>
    <w:rsid w:val="00445E81"/>
    <w:rsid w:val="004508F3"/>
    <w:rsid w:val="00454961"/>
    <w:rsid w:val="004550E6"/>
    <w:rsid w:val="00455E79"/>
    <w:rsid w:val="00456A05"/>
    <w:rsid w:val="00456C49"/>
    <w:rsid w:val="004618AD"/>
    <w:rsid w:val="004618FD"/>
    <w:rsid w:val="00462291"/>
    <w:rsid w:val="00463421"/>
    <w:rsid w:val="004634A5"/>
    <w:rsid w:val="00465902"/>
    <w:rsid w:val="00465C96"/>
    <w:rsid w:val="004674E6"/>
    <w:rsid w:val="004676DC"/>
    <w:rsid w:val="0047179D"/>
    <w:rsid w:val="00472306"/>
    <w:rsid w:val="00474429"/>
    <w:rsid w:val="004758F8"/>
    <w:rsid w:val="00477E6B"/>
    <w:rsid w:val="00481C9E"/>
    <w:rsid w:val="00482504"/>
    <w:rsid w:val="00483252"/>
    <w:rsid w:val="004834A6"/>
    <w:rsid w:val="004844E8"/>
    <w:rsid w:val="004907DB"/>
    <w:rsid w:val="004909BC"/>
    <w:rsid w:val="00492201"/>
    <w:rsid w:val="004932B0"/>
    <w:rsid w:val="00495E79"/>
    <w:rsid w:val="00497C09"/>
    <w:rsid w:val="004A05B5"/>
    <w:rsid w:val="004A3715"/>
    <w:rsid w:val="004A413B"/>
    <w:rsid w:val="004A46FF"/>
    <w:rsid w:val="004A4940"/>
    <w:rsid w:val="004A7068"/>
    <w:rsid w:val="004A7DE1"/>
    <w:rsid w:val="004B2EBE"/>
    <w:rsid w:val="004B5858"/>
    <w:rsid w:val="004B5DC5"/>
    <w:rsid w:val="004B6E31"/>
    <w:rsid w:val="004B7D8C"/>
    <w:rsid w:val="004C0D13"/>
    <w:rsid w:val="004C3CDE"/>
    <w:rsid w:val="004C787D"/>
    <w:rsid w:val="004C7E40"/>
    <w:rsid w:val="004D074C"/>
    <w:rsid w:val="004D16D4"/>
    <w:rsid w:val="004D2A1E"/>
    <w:rsid w:val="004E1109"/>
    <w:rsid w:val="004E3A03"/>
    <w:rsid w:val="004E479F"/>
    <w:rsid w:val="004E4CB5"/>
    <w:rsid w:val="004E5961"/>
    <w:rsid w:val="004E76F3"/>
    <w:rsid w:val="004E7D84"/>
    <w:rsid w:val="004F1316"/>
    <w:rsid w:val="004F33DB"/>
    <w:rsid w:val="004F3FED"/>
    <w:rsid w:val="004F4069"/>
    <w:rsid w:val="004F44A2"/>
    <w:rsid w:val="004F5204"/>
    <w:rsid w:val="004F639F"/>
    <w:rsid w:val="00500DE9"/>
    <w:rsid w:val="00502372"/>
    <w:rsid w:val="0050630B"/>
    <w:rsid w:val="005071F9"/>
    <w:rsid w:val="005072D3"/>
    <w:rsid w:val="005140B9"/>
    <w:rsid w:val="00515C2A"/>
    <w:rsid w:val="00515EDF"/>
    <w:rsid w:val="0051647C"/>
    <w:rsid w:val="005164C2"/>
    <w:rsid w:val="005179DA"/>
    <w:rsid w:val="0052430A"/>
    <w:rsid w:val="0052504B"/>
    <w:rsid w:val="00530221"/>
    <w:rsid w:val="00531585"/>
    <w:rsid w:val="0053235C"/>
    <w:rsid w:val="0053252B"/>
    <w:rsid w:val="00533E22"/>
    <w:rsid w:val="005344BF"/>
    <w:rsid w:val="00536E3A"/>
    <w:rsid w:val="00540D31"/>
    <w:rsid w:val="00542A99"/>
    <w:rsid w:val="005434D5"/>
    <w:rsid w:val="005440C6"/>
    <w:rsid w:val="0054499C"/>
    <w:rsid w:val="00544E25"/>
    <w:rsid w:val="005454BA"/>
    <w:rsid w:val="00545DFC"/>
    <w:rsid w:val="00554D7D"/>
    <w:rsid w:val="005572BC"/>
    <w:rsid w:val="00560936"/>
    <w:rsid w:val="00560DCF"/>
    <w:rsid w:val="00561365"/>
    <w:rsid w:val="00561F39"/>
    <w:rsid w:val="00561FB3"/>
    <w:rsid w:val="00562F8A"/>
    <w:rsid w:val="0056349D"/>
    <w:rsid w:val="00564564"/>
    <w:rsid w:val="00567259"/>
    <w:rsid w:val="00570538"/>
    <w:rsid w:val="00570626"/>
    <w:rsid w:val="00570785"/>
    <w:rsid w:val="00570DBD"/>
    <w:rsid w:val="005727A6"/>
    <w:rsid w:val="00574F81"/>
    <w:rsid w:val="00576EE0"/>
    <w:rsid w:val="005777E7"/>
    <w:rsid w:val="00583447"/>
    <w:rsid w:val="005838C5"/>
    <w:rsid w:val="00584086"/>
    <w:rsid w:val="00586156"/>
    <w:rsid w:val="0058735C"/>
    <w:rsid w:val="00593088"/>
    <w:rsid w:val="00594C44"/>
    <w:rsid w:val="00594C64"/>
    <w:rsid w:val="005950BF"/>
    <w:rsid w:val="00597FD9"/>
    <w:rsid w:val="005A2838"/>
    <w:rsid w:val="005A3725"/>
    <w:rsid w:val="005A5A09"/>
    <w:rsid w:val="005A5F64"/>
    <w:rsid w:val="005B148A"/>
    <w:rsid w:val="005B1534"/>
    <w:rsid w:val="005B5350"/>
    <w:rsid w:val="005C03FB"/>
    <w:rsid w:val="005C1242"/>
    <w:rsid w:val="005C1A61"/>
    <w:rsid w:val="005C23E8"/>
    <w:rsid w:val="005C46F8"/>
    <w:rsid w:val="005C51BF"/>
    <w:rsid w:val="005C74C0"/>
    <w:rsid w:val="005C7F93"/>
    <w:rsid w:val="005D02A3"/>
    <w:rsid w:val="005D2543"/>
    <w:rsid w:val="005D347E"/>
    <w:rsid w:val="005D4CD0"/>
    <w:rsid w:val="005D50DA"/>
    <w:rsid w:val="005D56CA"/>
    <w:rsid w:val="005E0823"/>
    <w:rsid w:val="005E1A88"/>
    <w:rsid w:val="005E384B"/>
    <w:rsid w:val="005E3FBF"/>
    <w:rsid w:val="005E474C"/>
    <w:rsid w:val="005F1C3F"/>
    <w:rsid w:val="005F3B88"/>
    <w:rsid w:val="005F493B"/>
    <w:rsid w:val="005F5935"/>
    <w:rsid w:val="005F6B2A"/>
    <w:rsid w:val="005F7EEA"/>
    <w:rsid w:val="00600E2D"/>
    <w:rsid w:val="00602CF4"/>
    <w:rsid w:val="00605F94"/>
    <w:rsid w:val="00606124"/>
    <w:rsid w:val="006103B4"/>
    <w:rsid w:val="00611247"/>
    <w:rsid w:val="00611B0C"/>
    <w:rsid w:val="00613966"/>
    <w:rsid w:val="00614138"/>
    <w:rsid w:val="00614CC9"/>
    <w:rsid w:val="0062088C"/>
    <w:rsid w:val="0062147E"/>
    <w:rsid w:val="00622030"/>
    <w:rsid w:val="00623E39"/>
    <w:rsid w:val="006248C3"/>
    <w:rsid w:val="00627A2A"/>
    <w:rsid w:val="00632B37"/>
    <w:rsid w:val="0063732D"/>
    <w:rsid w:val="00640A1C"/>
    <w:rsid w:val="00641328"/>
    <w:rsid w:val="00641EA1"/>
    <w:rsid w:val="00643753"/>
    <w:rsid w:val="00647335"/>
    <w:rsid w:val="006509BF"/>
    <w:rsid w:val="00650B43"/>
    <w:rsid w:val="0065184D"/>
    <w:rsid w:val="00653182"/>
    <w:rsid w:val="0065427C"/>
    <w:rsid w:val="0066000E"/>
    <w:rsid w:val="006607A5"/>
    <w:rsid w:val="00661A59"/>
    <w:rsid w:val="00665E10"/>
    <w:rsid w:val="006669BC"/>
    <w:rsid w:val="006675AD"/>
    <w:rsid w:val="006704A0"/>
    <w:rsid w:val="00672042"/>
    <w:rsid w:val="00672564"/>
    <w:rsid w:val="006737EB"/>
    <w:rsid w:val="0068047C"/>
    <w:rsid w:val="006877CE"/>
    <w:rsid w:val="00691DA0"/>
    <w:rsid w:val="0069223F"/>
    <w:rsid w:val="006928D2"/>
    <w:rsid w:val="006937EA"/>
    <w:rsid w:val="00694323"/>
    <w:rsid w:val="00696BC0"/>
    <w:rsid w:val="006A13B1"/>
    <w:rsid w:val="006A2245"/>
    <w:rsid w:val="006A25A2"/>
    <w:rsid w:val="006A3382"/>
    <w:rsid w:val="006A3384"/>
    <w:rsid w:val="006A5007"/>
    <w:rsid w:val="006A5BFD"/>
    <w:rsid w:val="006A7F0B"/>
    <w:rsid w:val="006B0B42"/>
    <w:rsid w:val="006B2B85"/>
    <w:rsid w:val="006B30B3"/>
    <w:rsid w:val="006B3BFA"/>
    <w:rsid w:val="006B4316"/>
    <w:rsid w:val="006C03F6"/>
    <w:rsid w:val="006C0525"/>
    <w:rsid w:val="006C1789"/>
    <w:rsid w:val="006C2A3A"/>
    <w:rsid w:val="006D0C30"/>
    <w:rsid w:val="006D1843"/>
    <w:rsid w:val="006D2B72"/>
    <w:rsid w:val="006D43EE"/>
    <w:rsid w:val="006D78C8"/>
    <w:rsid w:val="006E1BDE"/>
    <w:rsid w:val="006E3C18"/>
    <w:rsid w:val="006E7549"/>
    <w:rsid w:val="006E78EA"/>
    <w:rsid w:val="006E7D29"/>
    <w:rsid w:val="006F3495"/>
    <w:rsid w:val="006F690A"/>
    <w:rsid w:val="006F75C3"/>
    <w:rsid w:val="00701EAF"/>
    <w:rsid w:val="00701FCD"/>
    <w:rsid w:val="0070250C"/>
    <w:rsid w:val="007062B9"/>
    <w:rsid w:val="00707B9E"/>
    <w:rsid w:val="00707C9B"/>
    <w:rsid w:val="007111CA"/>
    <w:rsid w:val="00712B72"/>
    <w:rsid w:val="00712FF1"/>
    <w:rsid w:val="007138BD"/>
    <w:rsid w:val="007217A7"/>
    <w:rsid w:val="00721EC5"/>
    <w:rsid w:val="0072404F"/>
    <w:rsid w:val="00724B3C"/>
    <w:rsid w:val="00724D19"/>
    <w:rsid w:val="00725FE1"/>
    <w:rsid w:val="0072797C"/>
    <w:rsid w:val="007304DF"/>
    <w:rsid w:val="00740A03"/>
    <w:rsid w:val="00741598"/>
    <w:rsid w:val="00741752"/>
    <w:rsid w:val="00742800"/>
    <w:rsid w:val="00743C1A"/>
    <w:rsid w:val="00743EB9"/>
    <w:rsid w:val="0074447B"/>
    <w:rsid w:val="007459E0"/>
    <w:rsid w:val="00746880"/>
    <w:rsid w:val="00750E7A"/>
    <w:rsid w:val="00751E2E"/>
    <w:rsid w:val="0075270F"/>
    <w:rsid w:val="00755A6C"/>
    <w:rsid w:val="00756C71"/>
    <w:rsid w:val="00761AB4"/>
    <w:rsid w:val="00761B4A"/>
    <w:rsid w:val="00762294"/>
    <w:rsid w:val="0076269D"/>
    <w:rsid w:val="007728F1"/>
    <w:rsid w:val="00774DA6"/>
    <w:rsid w:val="00776364"/>
    <w:rsid w:val="00780ACE"/>
    <w:rsid w:val="00781714"/>
    <w:rsid w:val="00781A9E"/>
    <w:rsid w:val="007908B5"/>
    <w:rsid w:val="00792963"/>
    <w:rsid w:val="00796E72"/>
    <w:rsid w:val="007A05F8"/>
    <w:rsid w:val="007A1D5F"/>
    <w:rsid w:val="007A1EB4"/>
    <w:rsid w:val="007A3CDF"/>
    <w:rsid w:val="007A416A"/>
    <w:rsid w:val="007A4BB5"/>
    <w:rsid w:val="007A5216"/>
    <w:rsid w:val="007A72F8"/>
    <w:rsid w:val="007B38B7"/>
    <w:rsid w:val="007B4937"/>
    <w:rsid w:val="007B50AE"/>
    <w:rsid w:val="007B6169"/>
    <w:rsid w:val="007B7146"/>
    <w:rsid w:val="007C108F"/>
    <w:rsid w:val="007C1870"/>
    <w:rsid w:val="007C6076"/>
    <w:rsid w:val="007C6B51"/>
    <w:rsid w:val="007C71BC"/>
    <w:rsid w:val="007C7D0C"/>
    <w:rsid w:val="007D04D4"/>
    <w:rsid w:val="007D09BC"/>
    <w:rsid w:val="007D199F"/>
    <w:rsid w:val="007D4A19"/>
    <w:rsid w:val="007D5372"/>
    <w:rsid w:val="007D6458"/>
    <w:rsid w:val="007D6C3E"/>
    <w:rsid w:val="007D6D8D"/>
    <w:rsid w:val="007D6D9B"/>
    <w:rsid w:val="007D7FB6"/>
    <w:rsid w:val="007E1098"/>
    <w:rsid w:val="007E2050"/>
    <w:rsid w:val="007E2989"/>
    <w:rsid w:val="007E4189"/>
    <w:rsid w:val="007E4515"/>
    <w:rsid w:val="007E541A"/>
    <w:rsid w:val="007E60F9"/>
    <w:rsid w:val="007E7F10"/>
    <w:rsid w:val="007F04EE"/>
    <w:rsid w:val="007F18FC"/>
    <w:rsid w:val="007F3F65"/>
    <w:rsid w:val="007F45A1"/>
    <w:rsid w:val="008011AA"/>
    <w:rsid w:val="0080184E"/>
    <w:rsid w:val="00803B6E"/>
    <w:rsid w:val="008060F7"/>
    <w:rsid w:val="00807876"/>
    <w:rsid w:val="008102EA"/>
    <w:rsid w:val="00817510"/>
    <w:rsid w:val="00817AD9"/>
    <w:rsid w:val="00820D5F"/>
    <w:rsid w:val="008210DE"/>
    <w:rsid w:val="00821DD7"/>
    <w:rsid w:val="00823182"/>
    <w:rsid w:val="0082527C"/>
    <w:rsid w:val="00827C8B"/>
    <w:rsid w:val="00831885"/>
    <w:rsid w:val="00831FB9"/>
    <w:rsid w:val="00832049"/>
    <w:rsid w:val="008358CE"/>
    <w:rsid w:val="00836EDE"/>
    <w:rsid w:val="008410BD"/>
    <w:rsid w:val="00842B6B"/>
    <w:rsid w:val="00842C43"/>
    <w:rsid w:val="00842DEC"/>
    <w:rsid w:val="00844FBF"/>
    <w:rsid w:val="00845BCC"/>
    <w:rsid w:val="008465DC"/>
    <w:rsid w:val="008469C2"/>
    <w:rsid w:val="00851B36"/>
    <w:rsid w:val="00852FBF"/>
    <w:rsid w:val="0085359E"/>
    <w:rsid w:val="00853B08"/>
    <w:rsid w:val="008543CF"/>
    <w:rsid w:val="00854869"/>
    <w:rsid w:val="0085619A"/>
    <w:rsid w:val="00856C4A"/>
    <w:rsid w:val="00860667"/>
    <w:rsid w:val="00860810"/>
    <w:rsid w:val="00861710"/>
    <w:rsid w:val="00861730"/>
    <w:rsid w:val="00861D44"/>
    <w:rsid w:val="00862683"/>
    <w:rsid w:val="00867E9F"/>
    <w:rsid w:val="00870469"/>
    <w:rsid w:val="008704BA"/>
    <w:rsid w:val="00871437"/>
    <w:rsid w:val="00873467"/>
    <w:rsid w:val="00874A3A"/>
    <w:rsid w:val="00874CB6"/>
    <w:rsid w:val="00875715"/>
    <w:rsid w:val="00876D58"/>
    <w:rsid w:val="0088029F"/>
    <w:rsid w:val="0088071E"/>
    <w:rsid w:val="0088091A"/>
    <w:rsid w:val="00880F5A"/>
    <w:rsid w:val="0088117E"/>
    <w:rsid w:val="008814E7"/>
    <w:rsid w:val="00881953"/>
    <w:rsid w:val="0088485B"/>
    <w:rsid w:val="00886081"/>
    <w:rsid w:val="00890353"/>
    <w:rsid w:val="00891424"/>
    <w:rsid w:val="00891C6C"/>
    <w:rsid w:val="00891E32"/>
    <w:rsid w:val="00895A5B"/>
    <w:rsid w:val="008A145F"/>
    <w:rsid w:val="008A2ADD"/>
    <w:rsid w:val="008A2FA6"/>
    <w:rsid w:val="008A3147"/>
    <w:rsid w:val="008A647E"/>
    <w:rsid w:val="008A6CA7"/>
    <w:rsid w:val="008A6D6D"/>
    <w:rsid w:val="008B08D3"/>
    <w:rsid w:val="008C2A7A"/>
    <w:rsid w:val="008C3E9C"/>
    <w:rsid w:val="008C5EA2"/>
    <w:rsid w:val="008C5EE2"/>
    <w:rsid w:val="008D0175"/>
    <w:rsid w:val="008D0294"/>
    <w:rsid w:val="008D04A7"/>
    <w:rsid w:val="008D2065"/>
    <w:rsid w:val="008D3688"/>
    <w:rsid w:val="008D36E3"/>
    <w:rsid w:val="008D57A0"/>
    <w:rsid w:val="008D5AF8"/>
    <w:rsid w:val="008E039A"/>
    <w:rsid w:val="008E18A1"/>
    <w:rsid w:val="008E3D5C"/>
    <w:rsid w:val="008E41C0"/>
    <w:rsid w:val="008E4656"/>
    <w:rsid w:val="008E5A54"/>
    <w:rsid w:val="008E5E78"/>
    <w:rsid w:val="008E6549"/>
    <w:rsid w:val="008E716C"/>
    <w:rsid w:val="008F1303"/>
    <w:rsid w:val="008F2FB3"/>
    <w:rsid w:val="008F44D2"/>
    <w:rsid w:val="00901E1A"/>
    <w:rsid w:val="00902F98"/>
    <w:rsid w:val="009060C7"/>
    <w:rsid w:val="009076BD"/>
    <w:rsid w:val="00910E90"/>
    <w:rsid w:val="00912AFC"/>
    <w:rsid w:val="0091311D"/>
    <w:rsid w:val="00913AAB"/>
    <w:rsid w:val="00914418"/>
    <w:rsid w:val="00915776"/>
    <w:rsid w:val="0091681D"/>
    <w:rsid w:val="009202D7"/>
    <w:rsid w:val="00922BE2"/>
    <w:rsid w:val="00924C7F"/>
    <w:rsid w:val="0092596C"/>
    <w:rsid w:val="0093157C"/>
    <w:rsid w:val="00932623"/>
    <w:rsid w:val="00932DBB"/>
    <w:rsid w:val="00933A8C"/>
    <w:rsid w:val="00937839"/>
    <w:rsid w:val="00937C6C"/>
    <w:rsid w:val="00937DE7"/>
    <w:rsid w:val="00945185"/>
    <w:rsid w:val="0094738B"/>
    <w:rsid w:val="00953B1E"/>
    <w:rsid w:val="00956473"/>
    <w:rsid w:val="009579D2"/>
    <w:rsid w:val="0096065D"/>
    <w:rsid w:val="00963A6A"/>
    <w:rsid w:val="00965277"/>
    <w:rsid w:val="009673BB"/>
    <w:rsid w:val="00970EF1"/>
    <w:rsid w:val="009729EF"/>
    <w:rsid w:val="00973329"/>
    <w:rsid w:val="009733A9"/>
    <w:rsid w:val="00974D02"/>
    <w:rsid w:val="00977AF1"/>
    <w:rsid w:val="009849FE"/>
    <w:rsid w:val="00985919"/>
    <w:rsid w:val="00992445"/>
    <w:rsid w:val="00993CEC"/>
    <w:rsid w:val="00993FF4"/>
    <w:rsid w:val="00995326"/>
    <w:rsid w:val="00997334"/>
    <w:rsid w:val="00997B1E"/>
    <w:rsid w:val="009A08BE"/>
    <w:rsid w:val="009A160C"/>
    <w:rsid w:val="009A36D4"/>
    <w:rsid w:val="009A3A7D"/>
    <w:rsid w:val="009A68F4"/>
    <w:rsid w:val="009B0521"/>
    <w:rsid w:val="009B0798"/>
    <w:rsid w:val="009B09C7"/>
    <w:rsid w:val="009B2653"/>
    <w:rsid w:val="009B4D51"/>
    <w:rsid w:val="009B6F34"/>
    <w:rsid w:val="009C145B"/>
    <w:rsid w:val="009C2AF5"/>
    <w:rsid w:val="009C2D0D"/>
    <w:rsid w:val="009C2FF5"/>
    <w:rsid w:val="009C5280"/>
    <w:rsid w:val="009C6EF2"/>
    <w:rsid w:val="009D0679"/>
    <w:rsid w:val="009D25F5"/>
    <w:rsid w:val="009D5C54"/>
    <w:rsid w:val="009D7CEC"/>
    <w:rsid w:val="009E1B08"/>
    <w:rsid w:val="009E1D40"/>
    <w:rsid w:val="009E6443"/>
    <w:rsid w:val="009E74B5"/>
    <w:rsid w:val="009F07D2"/>
    <w:rsid w:val="009F2501"/>
    <w:rsid w:val="009F433C"/>
    <w:rsid w:val="009F4B97"/>
    <w:rsid w:val="009F54B5"/>
    <w:rsid w:val="009F5A24"/>
    <w:rsid w:val="00A01A6E"/>
    <w:rsid w:val="00A0313B"/>
    <w:rsid w:val="00A05845"/>
    <w:rsid w:val="00A0592F"/>
    <w:rsid w:val="00A06289"/>
    <w:rsid w:val="00A066A0"/>
    <w:rsid w:val="00A06B2A"/>
    <w:rsid w:val="00A108A6"/>
    <w:rsid w:val="00A109FD"/>
    <w:rsid w:val="00A10C3E"/>
    <w:rsid w:val="00A12EA5"/>
    <w:rsid w:val="00A13662"/>
    <w:rsid w:val="00A165B0"/>
    <w:rsid w:val="00A1678E"/>
    <w:rsid w:val="00A2017A"/>
    <w:rsid w:val="00A20E44"/>
    <w:rsid w:val="00A22BD9"/>
    <w:rsid w:val="00A234CC"/>
    <w:rsid w:val="00A30F34"/>
    <w:rsid w:val="00A322AB"/>
    <w:rsid w:val="00A33883"/>
    <w:rsid w:val="00A3725E"/>
    <w:rsid w:val="00A40DB8"/>
    <w:rsid w:val="00A41480"/>
    <w:rsid w:val="00A42385"/>
    <w:rsid w:val="00A44C30"/>
    <w:rsid w:val="00A468F9"/>
    <w:rsid w:val="00A54172"/>
    <w:rsid w:val="00A6009F"/>
    <w:rsid w:val="00A60521"/>
    <w:rsid w:val="00A60545"/>
    <w:rsid w:val="00A60929"/>
    <w:rsid w:val="00A61038"/>
    <w:rsid w:val="00A6281E"/>
    <w:rsid w:val="00A62D3E"/>
    <w:rsid w:val="00A62EC5"/>
    <w:rsid w:val="00A632AB"/>
    <w:rsid w:val="00A64D34"/>
    <w:rsid w:val="00A672CC"/>
    <w:rsid w:val="00A7065E"/>
    <w:rsid w:val="00A70DE9"/>
    <w:rsid w:val="00A70EC0"/>
    <w:rsid w:val="00A7138C"/>
    <w:rsid w:val="00A733EA"/>
    <w:rsid w:val="00A742FD"/>
    <w:rsid w:val="00A7516C"/>
    <w:rsid w:val="00A77DB8"/>
    <w:rsid w:val="00A80D31"/>
    <w:rsid w:val="00A835CB"/>
    <w:rsid w:val="00A83D61"/>
    <w:rsid w:val="00A86D13"/>
    <w:rsid w:val="00A86E63"/>
    <w:rsid w:val="00A87996"/>
    <w:rsid w:val="00A90EDC"/>
    <w:rsid w:val="00A92D6F"/>
    <w:rsid w:val="00A93403"/>
    <w:rsid w:val="00A9569F"/>
    <w:rsid w:val="00A95E22"/>
    <w:rsid w:val="00A95EE1"/>
    <w:rsid w:val="00A964D5"/>
    <w:rsid w:val="00A96AA4"/>
    <w:rsid w:val="00AA3016"/>
    <w:rsid w:val="00AA3198"/>
    <w:rsid w:val="00AA3777"/>
    <w:rsid w:val="00AA5D69"/>
    <w:rsid w:val="00AA5EF8"/>
    <w:rsid w:val="00AA5FE4"/>
    <w:rsid w:val="00AA61A7"/>
    <w:rsid w:val="00AA7DC3"/>
    <w:rsid w:val="00AB41BB"/>
    <w:rsid w:val="00AB6F70"/>
    <w:rsid w:val="00AC050E"/>
    <w:rsid w:val="00AC12F8"/>
    <w:rsid w:val="00AC13C0"/>
    <w:rsid w:val="00AC221F"/>
    <w:rsid w:val="00AC3BBC"/>
    <w:rsid w:val="00AC6874"/>
    <w:rsid w:val="00AD0FCC"/>
    <w:rsid w:val="00AD42F0"/>
    <w:rsid w:val="00AD4D26"/>
    <w:rsid w:val="00AD4F0D"/>
    <w:rsid w:val="00AD575C"/>
    <w:rsid w:val="00AD66DA"/>
    <w:rsid w:val="00AD7186"/>
    <w:rsid w:val="00AE5B27"/>
    <w:rsid w:val="00AF08E9"/>
    <w:rsid w:val="00AF1D44"/>
    <w:rsid w:val="00AF4408"/>
    <w:rsid w:val="00AF4628"/>
    <w:rsid w:val="00AF48EC"/>
    <w:rsid w:val="00AF4AEC"/>
    <w:rsid w:val="00AF6580"/>
    <w:rsid w:val="00AF6A24"/>
    <w:rsid w:val="00B002A5"/>
    <w:rsid w:val="00B00F37"/>
    <w:rsid w:val="00B019BC"/>
    <w:rsid w:val="00B02C8D"/>
    <w:rsid w:val="00B02F34"/>
    <w:rsid w:val="00B0321C"/>
    <w:rsid w:val="00B067A2"/>
    <w:rsid w:val="00B06A0D"/>
    <w:rsid w:val="00B07ED3"/>
    <w:rsid w:val="00B10330"/>
    <w:rsid w:val="00B10340"/>
    <w:rsid w:val="00B104E5"/>
    <w:rsid w:val="00B12495"/>
    <w:rsid w:val="00B12D2A"/>
    <w:rsid w:val="00B14F68"/>
    <w:rsid w:val="00B15277"/>
    <w:rsid w:val="00B16BE6"/>
    <w:rsid w:val="00B17296"/>
    <w:rsid w:val="00B17E3C"/>
    <w:rsid w:val="00B20ACA"/>
    <w:rsid w:val="00B2109A"/>
    <w:rsid w:val="00B220F6"/>
    <w:rsid w:val="00B24534"/>
    <w:rsid w:val="00B24D0D"/>
    <w:rsid w:val="00B269B6"/>
    <w:rsid w:val="00B31417"/>
    <w:rsid w:val="00B32E8E"/>
    <w:rsid w:val="00B35017"/>
    <w:rsid w:val="00B3508E"/>
    <w:rsid w:val="00B350A1"/>
    <w:rsid w:val="00B35DA5"/>
    <w:rsid w:val="00B3684D"/>
    <w:rsid w:val="00B369F5"/>
    <w:rsid w:val="00B40362"/>
    <w:rsid w:val="00B40873"/>
    <w:rsid w:val="00B43BE8"/>
    <w:rsid w:val="00B43D1C"/>
    <w:rsid w:val="00B43ECD"/>
    <w:rsid w:val="00B446B6"/>
    <w:rsid w:val="00B45811"/>
    <w:rsid w:val="00B57BB8"/>
    <w:rsid w:val="00B62E35"/>
    <w:rsid w:val="00B63A68"/>
    <w:rsid w:val="00B6471E"/>
    <w:rsid w:val="00B6475F"/>
    <w:rsid w:val="00B6533E"/>
    <w:rsid w:val="00B65CDF"/>
    <w:rsid w:val="00B66B19"/>
    <w:rsid w:val="00B70132"/>
    <w:rsid w:val="00B70430"/>
    <w:rsid w:val="00B72804"/>
    <w:rsid w:val="00B728A9"/>
    <w:rsid w:val="00B72D8B"/>
    <w:rsid w:val="00B75748"/>
    <w:rsid w:val="00B75FB1"/>
    <w:rsid w:val="00B80619"/>
    <w:rsid w:val="00B80B1B"/>
    <w:rsid w:val="00B8226F"/>
    <w:rsid w:val="00B83083"/>
    <w:rsid w:val="00B83D99"/>
    <w:rsid w:val="00B844E4"/>
    <w:rsid w:val="00B84896"/>
    <w:rsid w:val="00B84A50"/>
    <w:rsid w:val="00B8518C"/>
    <w:rsid w:val="00B861EB"/>
    <w:rsid w:val="00B900F6"/>
    <w:rsid w:val="00B90A5B"/>
    <w:rsid w:val="00B92322"/>
    <w:rsid w:val="00B92EFF"/>
    <w:rsid w:val="00B9542E"/>
    <w:rsid w:val="00B96E4D"/>
    <w:rsid w:val="00BA1B04"/>
    <w:rsid w:val="00BA4346"/>
    <w:rsid w:val="00BA6E79"/>
    <w:rsid w:val="00BA7D8B"/>
    <w:rsid w:val="00BB12B1"/>
    <w:rsid w:val="00BB3641"/>
    <w:rsid w:val="00BB551A"/>
    <w:rsid w:val="00BB5832"/>
    <w:rsid w:val="00BB6923"/>
    <w:rsid w:val="00BB6A03"/>
    <w:rsid w:val="00BB7F30"/>
    <w:rsid w:val="00BC16C8"/>
    <w:rsid w:val="00BC18AC"/>
    <w:rsid w:val="00BC18C3"/>
    <w:rsid w:val="00BC2175"/>
    <w:rsid w:val="00BC295C"/>
    <w:rsid w:val="00BD0B00"/>
    <w:rsid w:val="00BD2F14"/>
    <w:rsid w:val="00BD4AF3"/>
    <w:rsid w:val="00BD5780"/>
    <w:rsid w:val="00BD61C5"/>
    <w:rsid w:val="00BD698D"/>
    <w:rsid w:val="00BD7A52"/>
    <w:rsid w:val="00BE2AE2"/>
    <w:rsid w:val="00BE7100"/>
    <w:rsid w:val="00BF0BC1"/>
    <w:rsid w:val="00BF3C27"/>
    <w:rsid w:val="00BF3C2C"/>
    <w:rsid w:val="00BF4B29"/>
    <w:rsid w:val="00BF4BF1"/>
    <w:rsid w:val="00BF6943"/>
    <w:rsid w:val="00C01FC2"/>
    <w:rsid w:val="00C02620"/>
    <w:rsid w:val="00C026DB"/>
    <w:rsid w:val="00C03D8D"/>
    <w:rsid w:val="00C03EF0"/>
    <w:rsid w:val="00C100A2"/>
    <w:rsid w:val="00C112E7"/>
    <w:rsid w:val="00C11A56"/>
    <w:rsid w:val="00C11AE2"/>
    <w:rsid w:val="00C12A9D"/>
    <w:rsid w:val="00C12BB7"/>
    <w:rsid w:val="00C13BB9"/>
    <w:rsid w:val="00C146C6"/>
    <w:rsid w:val="00C20308"/>
    <w:rsid w:val="00C22422"/>
    <w:rsid w:val="00C243CB"/>
    <w:rsid w:val="00C265CE"/>
    <w:rsid w:val="00C3222A"/>
    <w:rsid w:val="00C335FF"/>
    <w:rsid w:val="00C348E3"/>
    <w:rsid w:val="00C35330"/>
    <w:rsid w:val="00C41594"/>
    <w:rsid w:val="00C4356C"/>
    <w:rsid w:val="00C437F1"/>
    <w:rsid w:val="00C44D6C"/>
    <w:rsid w:val="00C46A43"/>
    <w:rsid w:val="00C47A61"/>
    <w:rsid w:val="00C50AFA"/>
    <w:rsid w:val="00C52D57"/>
    <w:rsid w:val="00C53BD7"/>
    <w:rsid w:val="00C54A86"/>
    <w:rsid w:val="00C607CF"/>
    <w:rsid w:val="00C625D0"/>
    <w:rsid w:val="00C63A8D"/>
    <w:rsid w:val="00C646BA"/>
    <w:rsid w:val="00C64C0E"/>
    <w:rsid w:val="00C661FB"/>
    <w:rsid w:val="00C668F5"/>
    <w:rsid w:val="00C70FE5"/>
    <w:rsid w:val="00C72384"/>
    <w:rsid w:val="00C723A7"/>
    <w:rsid w:val="00C73DD2"/>
    <w:rsid w:val="00C76148"/>
    <w:rsid w:val="00C76AC2"/>
    <w:rsid w:val="00C77D3B"/>
    <w:rsid w:val="00C80850"/>
    <w:rsid w:val="00C81AA3"/>
    <w:rsid w:val="00C82B08"/>
    <w:rsid w:val="00C8712C"/>
    <w:rsid w:val="00C87BD1"/>
    <w:rsid w:val="00C920B0"/>
    <w:rsid w:val="00C92EB4"/>
    <w:rsid w:val="00C94A39"/>
    <w:rsid w:val="00C950B1"/>
    <w:rsid w:val="00C95174"/>
    <w:rsid w:val="00CA027B"/>
    <w:rsid w:val="00CA04EC"/>
    <w:rsid w:val="00CA3016"/>
    <w:rsid w:val="00CA4263"/>
    <w:rsid w:val="00CA6655"/>
    <w:rsid w:val="00CA70A3"/>
    <w:rsid w:val="00CB2C0E"/>
    <w:rsid w:val="00CB3386"/>
    <w:rsid w:val="00CB425B"/>
    <w:rsid w:val="00CB45F1"/>
    <w:rsid w:val="00CB4762"/>
    <w:rsid w:val="00CB5FEA"/>
    <w:rsid w:val="00CC2206"/>
    <w:rsid w:val="00CC27CF"/>
    <w:rsid w:val="00CC364A"/>
    <w:rsid w:val="00CC5ECA"/>
    <w:rsid w:val="00CC69D8"/>
    <w:rsid w:val="00CC77D4"/>
    <w:rsid w:val="00CD0E7B"/>
    <w:rsid w:val="00CD1BD0"/>
    <w:rsid w:val="00CD271A"/>
    <w:rsid w:val="00CD3ACB"/>
    <w:rsid w:val="00CD3ED6"/>
    <w:rsid w:val="00CD42C2"/>
    <w:rsid w:val="00CD6064"/>
    <w:rsid w:val="00CD6157"/>
    <w:rsid w:val="00CE1244"/>
    <w:rsid w:val="00CE35AD"/>
    <w:rsid w:val="00CE367D"/>
    <w:rsid w:val="00CE5A4B"/>
    <w:rsid w:val="00CE62EC"/>
    <w:rsid w:val="00CF1E9A"/>
    <w:rsid w:val="00CF3797"/>
    <w:rsid w:val="00CF3FC7"/>
    <w:rsid w:val="00CF776C"/>
    <w:rsid w:val="00D0189E"/>
    <w:rsid w:val="00D04C9B"/>
    <w:rsid w:val="00D05579"/>
    <w:rsid w:val="00D0580D"/>
    <w:rsid w:val="00D0678C"/>
    <w:rsid w:val="00D074B8"/>
    <w:rsid w:val="00D12107"/>
    <w:rsid w:val="00D123CA"/>
    <w:rsid w:val="00D129B1"/>
    <w:rsid w:val="00D148A5"/>
    <w:rsid w:val="00D17D4E"/>
    <w:rsid w:val="00D20633"/>
    <w:rsid w:val="00D226EE"/>
    <w:rsid w:val="00D22FDA"/>
    <w:rsid w:val="00D249C1"/>
    <w:rsid w:val="00D25AFC"/>
    <w:rsid w:val="00D313C7"/>
    <w:rsid w:val="00D320EE"/>
    <w:rsid w:val="00D33DC6"/>
    <w:rsid w:val="00D35FB3"/>
    <w:rsid w:val="00D36B10"/>
    <w:rsid w:val="00D37330"/>
    <w:rsid w:val="00D37CBA"/>
    <w:rsid w:val="00D4043E"/>
    <w:rsid w:val="00D4123D"/>
    <w:rsid w:val="00D45AB2"/>
    <w:rsid w:val="00D46EC3"/>
    <w:rsid w:val="00D5099F"/>
    <w:rsid w:val="00D512D5"/>
    <w:rsid w:val="00D51A90"/>
    <w:rsid w:val="00D527C2"/>
    <w:rsid w:val="00D52D23"/>
    <w:rsid w:val="00D557ED"/>
    <w:rsid w:val="00D570E4"/>
    <w:rsid w:val="00D60531"/>
    <w:rsid w:val="00D6104F"/>
    <w:rsid w:val="00D61690"/>
    <w:rsid w:val="00D642CB"/>
    <w:rsid w:val="00D644D0"/>
    <w:rsid w:val="00D659D4"/>
    <w:rsid w:val="00D65DEA"/>
    <w:rsid w:val="00D66056"/>
    <w:rsid w:val="00D70DBB"/>
    <w:rsid w:val="00D71F7B"/>
    <w:rsid w:val="00D73430"/>
    <w:rsid w:val="00D7344B"/>
    <w:rsid w:val="00D80438"/>
    <w:rsid w:val="00D80541"/>
    <w:rsid w:val="00D83BA7"/>
    <w:rsid w:val="00D8565A"/>
    <w:rsid w:val="00D85775"/>
    <w:rsid w:val="00D85A6F"/>
    <w:rsid w:val="00D86012"/>
    <w:rsid w:val="00D87AB7"/>
    <w:rsid w:val="00D87D1F"/>
    <w:rsid w:val="00D92940"/>
    <w:rsid w:val="00D95F5B"/>
    <w:rsid w:val="00DA221B"/>
    <w:rsid w:val="00DA22DC"/>
    <w:rsid w:val="00DA5605"/>
    <w:rsid w:val="00DA5F1E"/>
    <w:rsid w:val="00DA65BF"/>
    <w:rsid w:val="00DB0CB4"/>
    <w:rsid w:val="00DB1624"/>
    <w:rsid w:val="00DB5F97"/>
    <w:rsid w:val="00DC039A"/>
    <w:rsid w:val="00DC2230"/>
    <w:rsid w:val="00DC31CB"/>
    <w:rsid w:val="00DC6D44"/>
    <w:rsid w:val="00DC71FE"/>
    <w:rsid w:val="00DD0083"/>
    <w:rsid w:val="00DD0F5D"/>
    <w:rsid w:val="00DD12AC"/>
    <w:rsid w:val="00DD12F0"/>
    <w:rsid w:val="00DD2F82"/>
    <w:rsid w:val="00DD3929"/>
    <w:rsid w:val="00DD3BCC"/>
    <w:rsid w:val="00DD4881"/>
    <w:rsid w:val="00DD509F"/>
    <w:rsid w:val="00DD5BB6"/>
    <w:rsid w:val="00DE162A"/>
    <w:rsid w:val="00DE6ACC"/>
    <w:rsid w:val="00DE73E0"/>
    <w:rsid w:val="00DE7E54"/>
    <w:rsid w:val="00DF0F64"/>
    <w:rsid w:val="00DF2DAC"/>
    <w:rsid w:val="00DF45CB"/>
    <w:rsid w:val="00DF53DF"/>
    <w:rsid w:val="00DF5F69"/>
    <w:rsid w:val="00E02C5A"/>
    <w:rsid w:val="00E06818"/>
    <w:rsid w:val="00E1243C"/>
    <w:rsid w:val="00E1336B"/>
    <w:rsid w:val="00E14BF4"/>
    <w:rsid w:val="00E17916"/>
    <w:rsid w:val="00E20E5D"/>
    <w:rsid w:val="00E235B5"/>
    <w:rsid w:val="00E24AB5"/>
    <w:rsid w:val="00E2618F"/>
    <w:rsid w:val="00E3042A"/>
    <w:rsid w:val="00E32DAA"/>
    <w:rsid w:val="00E33FE5"/>
    <w:rsid w:val="00E3761B"/>
    <w:rsid w:val="00E41A72"/>
    <w:rsid w:val="00E429E3"/>
    <w:rsid w:val="00E42B91"/>
    <w:rsid w:val="00E475DF"/>
    <w:rsid w:val="00E477C7"/>
    <w:rsid w:val="00E47CDB"/>
    <w:rsid w:val="00E503CE"/>
    <w:rsid w:val="00E50748"/>
    <w:rsid w:val="00E50805"/>
    <w:rsid w:val="00E521B7"/>
    <w:rsid w:val="00E52D51"/>
    <w:rsid w:val="00E542B1"/>
    <w:rsid w:val="00E5457D"/>
    <w:rsid w:val="00E54F53"/>
    <w:rsid w:val="00E56553"/>
    <w:rsid w:val="00E56B30"/>
    <w:rsid w:val="00E56F40"/>
    <w:rsid w:val="00E612ED"/>
    <w:rsid w:val="00E617D6"/>
    <w:rsid w:val="00E62F2A"/>
    <w:rsid w:val="00E63E17"/>
    <w:rsid w:val="00E63F6C"/>
    <w:rsid w:val="00E643BD"/>
    <w:rsid w:val="00E659E8"/>
    <w:rsid w:val="00E66FBD"/>
    <w:rsid w:val="00E676D7"/>
    <w:rsid w:val="00E67AD8"/>
    <w:rsid w:val="00E70AAA"/>
    <w:rsid w:val="00E7249E"/>
    <w:rsid w:val="00E730A1"/>
    <w:rsid w:val="00E73B40"/>
    <w:rsid w:val="00E74420"/>
    <w:rsid w:val="00E75BB2"/>
    <w:rsid w:val="00E769A2"/>
    <w:rsid w:val="00E81137"/>
    <w:rsid w:val="00E82068"/>
    <w:rsid w:val="00E825C8"/>
    <w:rsid w:val="00E85619"/>
    <w:rsid w:val="00E872B1"/>
    <w:rsid w:val="00E87982"/>
    <w:rsid w:val="00E87ABD"/>
    <w:rsid w:val="00E91674"/>
    <w:rsid w:val="00E94D3F"/>
    <w:rsid w:val="00E95DD8"/>
    <w:rsid w:val="00E96B97"/>
    <w:rsid w:val="00EA1C8C"/>
    <w:rsid w:val="00EA2488"/>
    <w:rsid w:val="00EA4173"/>
    <w:rsid w:val="00EA7325"/>
    <w:rsid w:val="00EA76CE"/>
    <w:rsid w:val="00EB2098"/>
    <w:rsid w:val="00EB24C6"/>
    <w:rsid w:val="00EB276F"/>
    <w:rsid w:val="00EB4C9B"/>
    <w:rsid w:val="00EB56F9"/>
    <w:rsid w:val="00EB6053"/>
    <w:rsid w:val="00EC1475"/>
    <w:rsid w:val="00EC2D34"/>
    <w:rsid w:val="00EC5359"/>
    <w:rsid w:val="00EC6834"/>
    <w:rsid w:val="00ED0624"/>
    <w:rsid w:val="00ED32E0"/>
    <w:rsid w:val="00ED3986"/>
    <w:rsid w:val="00ED53CC"/>
    <w:rsid w:val="00ED5FC4"/>
    <w:rsid w:val="00ED73B7"/>
    <w:rsid w:val="00EE1927"/>
    <w:rsid w:val="00EE3920"/>
    <w:rsid w:val="00EE3C98"/>
    <w:rsid w:val="00EE4CD9"/>
    <w:rsid w:val="00EE4F1A"/>
    <w:rsid w:val="00EE6014"/>
    <w:rsid w:val="00EE67BE"/>
    <w:rsid w:val="00EE684D"/>
    <w:rsid w:val="00EE728C"/>
    <w:rsid w:val="00EF0EC4"/>
    <w:rsid w:val="00EF1BCF"/>
    <w:rsid w:val="00EF7922"/>
    <w:rsid w:val="00F0069E"/>
    <w:rsid w:val="00F019ED"/>
    <w:rsid w:val="00F01EB8"/>
    <w:rsid w:val="00F028DC"/>
    <w:rsid w:val="00F033F8"/>
    <w:rsid w:val="00F048AC"/>
    <w:rsid w:val="00F05315"/>
    <w:rsid w:val="00F05A50"/>
    <w:rsid w:val="00F067E8"/>
    <w:rsid w:val="00F15EA7"/>
    <w:rsid w:val="00F1731B"/>
    <w:rsid w:val="00F2106D"/>
    <w:rsid w:val="00F22475"/>
    <w:rsid w:val="00F237F6"/>
    <w:rsid w:val="00F24ABF"/>
    <w:rsid w:val="00F25C67"/>
    <w:rsid w:val="00F25E7A"/>
    <w:rsid w:val="00F26928"/>
    <w:rsid w:val="00F308CC"/>
    <w:rsid w:val="00F3244A"/>
    <w:rsid w:val="00F33753"/>
    <w:rsid w:val="00F34CB4"/>
    <w:rsid w:val="00F35922"/>
    <w:rsid w:val="00F406C0"/>
    <w:rsid w:val="00F4286E"/>
    <w:rsid w:val="00F44B92"/>
    <w:rsid w:val="00F46297"/>
    <w:rsid w:val="00F52C21"/>
    <w:rsid w:val="00F552AE"/>
    <w:rsid w:val="00F55A7A"/>
    <w:rsid w:val="00F565ED"/>
    <w:rsid w:val="00F62BCD"/>
    <w:rsid w:val="00F62DED"/>
    <w:rsid w:val="00F62E82"/>
    <w:rsid w:val="00F62F3B"/>
    <w:rsid w:val="00F6342E"/>
    <w:rsid w:val="00F63B2D"/>
    <w:rsid w:val="00F64025"/>
    <w:rsid w:val="00F668AD"/>
    <w:rsid w:val="00F67EB7"/>
    <w:rsid w:val="00F708DB"/>
    <w:rsid w:val="00F74C2A"/>
    <w:rsid w:val="00F75974"/>
    <w:rsid w:val="00F83481"/>
    <w:rsid w:val="00F9110E"/>
    <w:rsid w:val="00F9295E"/>
    <w:rsid w:val="00F93539"/>
    <w:rsid w:val="00F936E0"/>
    <w:rsid w:val="00F9494D"/>
    <w:rsid w:val="00F964DA"/>
    <w:rsid w:val="00F97578"/>
    <w:rsid w:val="00FA0576"/>
    <w:rsid w:val="00FA4948"/>
    <w:rsid w:val="00FA71CA"/>
    <w:rsid w:val="00FB0A4B"/>
    <w:rsid w:val="00FB26E8"/>
    <w:rsid w:val="00FB35B3"/>
    <w:rsid w:val="00FB6D05"/>
    <w:rsid w:val="00FC1DCB"/>
    <w:rsid w:val="00FC22CE"/>
    <w:rsid w:val="00FC2B1A"/>
    <w:rsid w:val="00FD0FA7"/>
    <w:rsid w:val="00FD230A"/>
    <w:rsid w:val="00FD6684"/>
    <w:rsid w:val="00FD7508"/>
    <w:rsid w:val="00FE264A"/>
    <w:rsid w:val="00FE3B30"/>
    <w:rsid w:val="00FF21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4145" fill="f" fillcolor="white" strokecolor="none [2408]">
      <v:fill color="white" on="f"/>
      <v:stroke color="none [2408]" weight="1pt"/>
      <o:colormru v:ext="edit" colors="#3182bd,#d1a375"/>
      <o:colormenu v:ext="edit" fillcolor="#3182bd" strokecolor="#266492"/>
    </o:shapedefaults>
    <o:shapelayout v:ext="edit">
      <o:idmap v:ext="edit" data="1"/>
      <o:regrouptable v:ext="edit">
        <o:entry new="1" old="0"/>
        <o:entry new="2" old="0"/>
        <o:entry new="3" old="0"/>
        <o:entry new="4" old="0"/>
        <o:entry new="5" old="0"/>
        <o:entry new="6" old="0"/>
        <o:entry new="7" old="0"/>
        <o:entry new="8" old="0"/>
        <o:entry new="9" old="0"/>
        <o:entry new="10" old="0"/>
      </o:regrouptable>
    </o:shapelayout>
  </w:shapeDefaults>
  <w:decimalSymbol w:val="."/>
  <w:listSeparator w:val=","/>
  <w14:docId w14:val="14002458"/>
  <w15:docId w15:val="{C369889F-A10A-48E4-8338-4C76FB77B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29"/>
    <w:pPr>
      <w:spacing w:before="240"/>
      <w:jc w:val="both"/>
    </w:pPr>
    <w:rPr>
      <w:rFonts w:ascii="Verdana" w:hAnsi="Verdana" w:cs="TrebuchetMS"/>
      <w:sz w:val="22"/>
      <w:szCs w:val="22"/>
    </w:rPr>
  </w:style>
  <w:style w:type="paragraph" w:styleId="Heading1">
    <w:name w:val="heading 1"/>
    <w:basedOn w:val="Normal"/>
    <w:next w:val="Normal"/>
    <w:qFormat/>
    <w:rsid w:val="00993CEC"/>
    <w:pPr>
      <w:outlineLvl w:val="0"/>
    </w:pPr>
    <w:rPr>
      <w:b/>
      <w:color w:val="3182BD"/>
      <w:kern w:val="28"/>
      <w:sz w:val="48"/>
      <w:szCs w:val="48"/>
    </w:rPr>
  </w:style>
  <w:style w:type="paragraph" w:styleId="Heading2">
    <w:name w:val="heading 2"/>
    <w:basedOn w:val="Normal"/>
    <w:next w:val="Normal"/>
    <w:link w:val="Heading2Char"/>
    <w:qFormat/>
    <w:rsid w:val="00F964DA"/>
    <w:pPr>
      <w:keepNext/>
      <w:numPr>
        <w:ilvl w:val="1"/>
        <w:numId w:val="3"/>
      </w:numPr>
      <w:spacing w:before="360"/>
      <w:jc w:val="left"/>
      <w:outlineLvl w:val="1"/>
    </w:pPr>
    <w:rPr>
      <w:b/>
      <w:noProof/>
      <w:color w:val="266492"/>
      <w:sz w:val="24"/>
      <w:szCs w:val="26"/>
    </w:rPr>
  </w:style>
  <w:style w:type="paragraph" w:styleId="Heading3">
    <w:name w:val="heading 3"/>
    <w:basedOn w:val="Normal"/>
    <w:next w:val="Normal"/>
    <w:qFormat/>
    <w:rsid w:val="00ED0624"/>
    <w:pPr>
      <w:keepNext/>
      <w:numPr>
        <w:ilvl w:val="2"/>
        <w:numId w:val="3"/>
      </w:numPr>
      <w:tabs>
        <w:tab w:val="clear" w:pos="1292"/>
        <w:tab w:val="num" w:pos="1008"/>
      </w:tabs>
      <w:spacing w:before="360"/>
      <w:ind w:left="1008"/>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Heading1"/>
    <w:next w:val="Normal"/>
    <w:qFormat/>
    <w:rsid w:val="006509BF"/>
    <w:pPr>
      <w:outlineLvl w:val="6"/>
    </w:p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F15EA7"/>
    <w:pPr>
      <w:tabs>
        <w:tab w:val="left" w:pos="540"/>
        <w:tab w:val="right" w:leader="dot" w:pos="9072"/>
      </w:tabs>
      <w:ind w:left="547" w:hanging="547"/>
      <w:jc w:val="left"/>
    </w:pPr>
    <w:rPr>
      <w:b/>
      <w:caps/>
      <w:noProof/>
    </w:rPr>
  </w:style>
  <w:style w:type="paragraph" w:styleId="TOC2">
    <w:name w:val="toc 2"/>
    <w:basedOn w:val="Normal"/>
    <w:next w:val="Normal"/>
    <w:autoRedefine/>
    <w:uiPriority w:val="39"/>
    <w:qFormat/>
    <w:rsid w:val="00F15EA7"/>
    <w:pPr>
      <w:tabs>
        <w:tab w:val="left" w:pos="1276"/>
        <w:tab w:val="right" w:leader="dot" w:pos="9072"/>
      </w:tabs>
      <w:spacing w:before="0"/>
      <w:ind w:left="1276" w:hanging="709"/>
      <w:jc w:val="left"/>
    </w:pPr>
    <w:rPr>
      <w:noProof/>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pPr>
      <w:numPr>
        <w:ilvl w:val="0"/>
        <w:numId w:val="0"/>
      </w:numPr>
    </w:pPr>
  </w:style>
  <w:style w:type="character" w:styleId="PageNumber">
    <w:name w:val="page number"/>
    <w:basedOn w:val="DefaultParagraphFont"/>
    <w:rsid w:val="009B2653"/>
  </w:style>
  <w:style w:type="table" w:styleId="TableGrid">
    <w:name w:val="Table Grid"/>
    <w:basedOn w:val="TableNormal"/>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link w:val="CommentTextChar"/>
    <w:uiPriority w:val="99"/>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F15EA7"/>
    <w:pPr>
      <w:tabs>
        <w:tab w:val="left" w:pos="1320"/>
        <w:tab w:val="right" w:leader="dot" w:pos="9072"/>
      </w:tabs>
      <w:spacing w:after="100"/>
      <w:ind w:left="480"/>
    </w:pPr>
  </w:style>
  <w:style w:type="paragraph" w:styleId="TOCHeading">
    <w:name w:val="TOC Heading"/>
    <w:basedOn w:val="Heading1"/>
    <w:next w:val="Normal"/>
    <w:uiPriority w:val="39"/>
    <w:semiHidden/>
    <w:unhideWhenUsed/>
    <w:qFormat/>
    <w:rsid w:val="000E59FC"/>
    <w:pPr>
      <w:keepLines/>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F964DA"/>
    <w:rPr>
      <w:rFonts w:ascii="Verdana" w:hAnsi="Verdana" w:cs="TrebuchetMS"/>
      <w:b/>
      <w:noProof/>
      <w:color w:val="266492"/>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
    <w:name w:val="Body text Char"/>
    <w:basedOn w:val="DefaultParagraphFont"/>
    <w:link w:val="BodyText1"/>
    <w:rsid w:val="00183155"/>
    <w:rPr>
      <w:rFonts w:ascii="Verdana" w:hAnsi="Verdana" w:cs="TrebuchetMS"/>
      <w:sz w:val="22"/>
      <w:szCs w:val="22"/>
    </w:rPr>
  </w:style>
  <w:style w:type="character" w:styleId="Emphasis">
    <w:name w:val="Emphasis"/>
    <w:basedOn w:val="DefaultParagraphFont"/>
    <w:uiPriority w:val="20"/>
    <w:qFormat/>
    <w:rsid w:val="004B5858"/>
    <w:rPr>
      <w:i/>
      <w:iCs/>
    </w:rPr>
  </w:style>
  <w:style w:type="paragraph" w:customStyle="1" w:styleId="Default">
    <w:name w:val="Default"/>
    <w:rsid w:val="004B5858"/>
    <w:pPr>
      <w:autoSpaceDE w:val="0"/>
      <w:autoSpaceDN w:val="0"/>
      <w:adjustRightInd w:val="0"/>
    </w:pPr>
    <w:rPr>
      <w:rFonts w:ascii="Arial" w:eastAsiaTheme="minorHAnsi" w:hAnsi="Arial" w:cs="Arial"/>
      <w:color w:val="000000"/>
      <w:sz w:val="24"/>
      <w:szCs w:val="24"/>
      <w:lang w:eastAsia="en-US"/>
    </w:rPr>
  </w:style>
  <w:style w:type="paragraph" w:styleId="TOC5">
    <w:name w:val="toc 5"/>
    <w:basedOn w:val="Normal"/>
    <w:next w:val="Normal"/>
    <w:autoRedefine/>
    <w:rsid w:val="0091311D"/>
    <w:pPr>
      <w:spacing w:after="100"/>
      <w:ind w:left="880"/>
    </w:pPr>
  </w:style>
  <w:style w:type="character" w:customStyle="1" w:styleId="CommentTextChar">
    <w:name w:val="Comment Text Char"/>
    <w:basedOn w:val="DefaultParagraphFont"/>
    <w:link w:val="CommentText"/>
    <w:uiPriority w:val="99"/>
    <w:rsid w:val="0091311D"/>
    <w:rPr>
      <w:rFonts w:ascii="Verdana" w:hAnsi="Verdana" w:cs="TrebuchetM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92507885">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ublichealthwalesobservatory@wales.nhs.uk" TargetMode="External"/><Relationship Id="rId18" Type="http://schemas.openxmlformats.org/officeDocument/2006/relationships/image" Target="media/image5.emf"/><Relationship Id="rId26" Type="http://schemas.openxmlformats.org/officeDocument/2006/relationships/hyperlink" Target="http://wales.gov.uk/docs/phhs/publications/110329working2en.pdf" TargetMode="External"/><Relationship Id="rId39"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www.wales.nhs.uk/sitesplus/922/page/49907" TargetMode="External"/><Relationship Id="rId34" Type="http://schemas.openxmlformats.org/officeDocument/2006/relationships/image" Target="media/image12.emf"/><Relationship Id="rId42"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4.emf"/><Relationship Id="rId25" Type="http://schemas.openxmlformats.org/officeDocument/2006/relationships/hyperlink" Target="http://gov.wales/docs/phhs/publications/100527technicalen.pdf" TargetMode="External"/><Relationship Id="rId33" Type="http://schemas.openxmlformats.org/officeDocument/2006/relationships/image" Target="media/image11.emf"/><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yperlink" Target="http://www.bcis.org.uk/pages/page_box_contents.asp?pageid=678&amp;navcatid=25" TargetMode="External"/><Relationship Id="rId29" Type="http://schemas.openxmlformats.org/officeDocument/2006/relationships/image" Target="media/image7.emf"/><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ales.gov.uk/docs/dhss/publications/090706cardiacNSFen.pdf" TargetMode="External"/><Relationship Id="rId32" Type="http://schemas.openxmlformats.org/officeDocument/2006/relationships/image" Target="media/image10.emf"/><Relationship Id="rId37" Type="http://schemas.openxmlformats.org/officeDocument/2006/relationships/image" Target="media/image15.emf"/><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hyperlink" Target="http://wales.gov.uk/topics/health/publications/health/guidance/cardiac/?lang=en" TargetMode="External"/><Relationship Id="rId28" Type="http://schemas.openxmlformats.org/officeDocument/2006/relationships/hyperlink" Target="http://www.wales.nhs.uk/sites3/documents/898/Microsoft%20Word%20-%20AI12%20-%20Cardiac%20Services%20Review.pdf" TargetMode="External"/><Relationship Id="rId36" Type="http://schemas.openxmlformats.org/officeDocument/2006/relationships/image" Target="media/image14.emf"/><Relationship Id="rId10" Type="http://schemas.openxmlformats.org/officeDocument/2006/relationships/endnotes" Target="endnotes.xml"/><Relationship Id="rId19" Type="http://schemas.openxmlformats.org/officeDocument/2006/relationships/image" Target="media/image6.emf"/><Relationship Id="rId31" Type="http://schemas.openxmlformats.org/officeDocument/2006/relationships/image" Target="media/image9.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publichealthwalesobservatory.wales.nhs.uk/" TargetMode="External"/><Relationship Id="rId22" Type="http://schemas.openxmlformats.org/officeDocument/2006/relationships/hyperlink" Target="http://www.ons.gov.uk/ons/guide-method/geography/products/area-classifications/rural-urban-definition-and-la/rural-urban-definition--england-and-wales-/index.html" TargetMode="External"/><Relationship Id="rId27" Type="http://schemas.openxmlformats.org/officeDocument/2006/relationships/hyperlink" Target="http://wales.gov.uk/statistics-and-research/welsh-index-multiple-deprivation/?lang=en" TargetMode="External"/><Relationship Id="rId30" Type="http://schemas.openxmlformats.org/officeDocument/2006/relationships/image" Target="media/image8.emf"/><Relationship Id="rId35" Type="http://schemas.openxmlformats.org/officeDocument/2006/relationships/image" Target="media/image13.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9dbda9a1f64f45d02ff06bd91a3442a6">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d810eb703564286cbca9694aba1632a6"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4C5AEC-A3D9-46C7-BC55-6330B9538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C65C7B-A747-4B7E-A728-4B2AA61BAFA5}">
  <ds:schemaRefs>
    <ds:schemaRef ds:uri="http://schemas.microsoft.com/sharepoint/v3/contenttype/forms"/>
  </ds:schemaRefs>
</ds:datastoreItem>
</file>

<file path=customXml/itemProps3.xml><?xml version="1.0" encoding="utf-8"?>
<ds:datastoreItem xmlns:ds="http://schemas.openxmlformats.org/officeDocument/2006/customXml" ds:itemID="{F0100A57-387B-45E9-8E07-990D72CBAF41}">
  <ds:schemaRefs>
    <ds:schemaRef ds:uri="http://schemas.microsoft.com/office/2006/documentManagement/types"/>
    <ds:schemaRef ds:uri="b7e247b7-cca8-429f-8688-16f83c8fba5f"/>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f30bebb2-c01f-48d0-81da-dc8b123879c2"/>
    <ds:schemaRef ds:uri="http://www.w3.org/XML/1998/namespace"/>
  </ds:schemaRefs>
</ds:datastoreItem>
</file>

<file path=customXml/itemProps4.xml><?xml version="1.0" encoding="utf-8"?>
<ds:datastoreItem xmlns:ds="http://schemas.openxmlformats.org/officeDocument/2006/customXml" ds:itemID="{DFADC457-B7DD-42FE-AD28-5FF776326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5136</Words>
  <Characters>33939</Characters>
  <Application>Microsoft Office Word</Application>
  <DocSecurity>0</DocSecurity>
  <Lines>282</Lines>
  <Paragraphs>77</Paragraphs>
  <ScaleCrop>false</ScaleCrop>
  <HeadingPairs>
    <vt:vector size="2" baseType="variant">
      <vt:variant>
        <vt:lpstr>Title</vt:lpstr>
      </vt:variant>
      <vt:variant>
        <vt:i4>1</vt:i4>
      </vt:variant>
    </vt:vector>
  </HeadingPairs>
  <TitlesOfParts>
    <vt:vector size="1" baseType="lpstr">
      <vt:lpstr/>
    </vt:vector>
  </TitlesOfParts>
  <Company>National Public Health Service for Wales</Company>
  <LinksUpToDate>false</LinksUpToDate>
  <CharactersWithSpaces>38998</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 Hickey</dc:creator>
  <cp:lastModifiedBy>Rachel Burton (Public Health Wales - No. 2 Capital Quarter)</cp:lastModifiedBy>
  <cp:revision>2</cp:revision>
  <cp:lastPrinted>2016-04-14T16:28:00Z</cp:lastPrinted>
  <dcterms:created xsi:type="dcterms:W3CDTF">2021-07-02T14:38:00Z</dcterms:created>
  <dcterms:modified xsi:type="dcterms:W3CDTF">2021-07-02T14:38:00Z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