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322" w:type="dxa"/>
        <w:tblLook w:val="01E0"/>
      </w:tblPr>
      <w:tblGrid>
        <w:gridCol w:w="4650"/>
        <w:gridCol w:w="4651"/>
        <w:gridCol w:w="21"/>
      </w:tblGrid>
      <w:tr w:rsidR="00E24A32">
        <w:tc>
          <w:tcPr>
            <w:tcW w:w="9322" w:type="dxa"/>
            <w:gridSpan w:val="3"/>
          </w:tcPr>
          <w:p w:rsidR="00B67C99" w:rsidRDefault="00B67C99" w:rsidP="00DD4797">
            <w:pPr>
              <w:spacing w:before="0"/>
              <w:jc w:val="center"/>
              <w:rPr>
                <w:noProof/>
                <w:lang w:eastAsia="en-GB"/>
              </w:rPr>
            </w:pPr>
            <w:r>
              <w:rPr>
                <w:noProof/>
                <w:lang w:eastAsia="en-GB"/>
              </w:rPr>
              <w:drawing>
                <wp:inline distT="0" distB="0" distL="0" distR="0">
                  <wp:extent cx="5372100" cy="1209675"/>
                  <wp:effectExtent l="19050" t="0" r="0" b="0"/>
                  <wp:docPr id="4" name="Picture 16"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HW%20Observatory%20RGB"/>
                          <pic:cNvPicPr>
                            <a:picLocks noChangeAspect="1" noChangeArrowheads="1"/>
                          </pic:cNvPicPr>
                        </pic:nvPicPr>
                        <pic:blipFill>
                          <a:blip r:embed="rId8" cstate="print"/>
                          <a:srcRect/>
                          <a:stretch>
                            <a:fillRect/>
                          </a:stretch>
                        </pic:blipFill>
                        <pic:spPr bwMode="auto">
                          <a:xfrm>
                            <a:off x="0" y="0"/>
                            <a:ext cx="5372100" cy="1209675"/>
                          </a:xfrm>
                          <a:prstGeom prst="rect">
                            <a:avLst/>
                          </a:prstGeom>
                          <a:noFill/>
                          <a:ln w="9525">
                            <a:noFill/>
                            <a:miter lim="800000"/>
                            <a:headEnd/>
                            <a:tailEnd/>
                          </a:ln>
                        </pic:spPr>
                      </pic:pic>
                    </a:graphicData>
                  </a:graphic>
                </wp:inline>
              </w:drawing>
            </w:r>
          </w:p>
          <w:p w:rsidR="00B67C99" w:rsidRDefault="00B67C99" w:rsidP="00DD4797">
            <w:pPr>
              <w:spacing w:before="0"/>
              <w:jc w:val="center"/>
              <w:rPr>
                <w:noProof/>
                <w:lang w:eastAsia="en-GB"/>
              </w:rPr>
            </w:pPr>
          </w:p>
          <w:p w:rsidR="00E24A32" w:rsidRDefault="00E24A32" w:rsidP="00DD4797">
            <w:pPr>
              <w:spacing w:before="0"/>
              <w:jc w:val="center"/>
            </w:pPr>
          </w:p>
        </w:tc>
      </w:tr>
      <w:tr w:rsidR="00146B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146B0B" w:rsidRPr="003255BB" w:rsidRDefault="00B2147D" w:rsidP="00FA2329">
            <w:pPr>
              <w:pStyle w:val="Title"/>
              <w:rPr>
                <w:rFonts w:ascii="Verdana" w:hAnsi="Verdana"/>
              </w:rPr>
            </w:pPr>
            <w:bookmarkStart w:id="0" w:name="_Toc287554471"/>
            <w:bookmarkStart w:id="1" w:name="_Toc291577625"/>
            <w:bookmarkStart w:id="2" w:name="_Toc291585839"/>
            <w:bookmarkStart w:id="3" w:name="_Toc292462975"/>
            <w:bookmarkStart w:id="4" w:name="_Toc293043580"/>
            <w:bookmarkStart w:id="5" w:name="_Toc293043685"/>
            <w:bookmarkStart w:id="6" w:name="_Toc293675915"/>
            <w:bookmarkStart w:id="7" w:name="_Toc294781441"/>
            <w:bookmarkStart w:id="8" w:name="_Toc294781510"/>
            <w:bookmarkStart w:id="9" w:name="_Toc296076021"/>
            <w:bookmarkStart w:id="10" w:name="_Toc296084614"/>
            <w:bookmarkStart w:id="11" w:name="_Toc296086421"/>
            <w:bookmarkStart w:id="12" w:name="_Toc302070148"/>
            <w:bookmarkStart w:id="13" w:name="_Toc302074120"/>
            <w:bookmarkStart w:id="14" w:name="_Toc302120283"/>
            <w:bookmarkStart w:id="15" w:name="_Toc302293422"/>
            <w:r>
              <w:rPr>
                <w:rFonts w:ascii="Verdana" w:hAnsi="Verdana"/>
                <w:sz w:val="36"/>
                <w:szCs w:val="36"/>
              </w:rPr>
              <w:t xml:space="preserve">Cwm Taf </w:t>
            </w:r>
            <w:r w:rsidR="00D8724C">
              <w:rPr>
                <w:rFonts w:ascii="Verdana" w:hAnsi="Verdana"/>
                <w:sz w:val="36"/>
                <w:szCs w:val="36"/>
              </w:rPr>
              <w:t>eye</w:t>
            </w:r>
            <w:r w:rsidR="00132586">
              <w:rPr>
                <w:rFonts w:ascii="Verdana" w:hAnsi="Verdana"/>
                <w:sz w:val="36"/>
                <w:szCs w:val="36"/>
              </w:rPr>
              <w:t xml:space="preserve"> health equity profile</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tc>
      </w:tr>
      <w:tr w:rsidR="00146B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146B0B" w:rsidRPr="003255BB" w:rsidRDefault="005056E7" w:rsidP="00BB3960">
            <w:pPr>
              <w:pStyle w:val="CoverSheet"/>
              <w:rPr>
                <w:rFonts w:ascii="Verdana" w:hAnsi="Verdana"/>
              </w:rPr>
            </w:pPr>
            <w:bookmarkStart w:id="16" w:name="OLE_LINK11"/>
            <w:bookmarkStart w:id="17" w:name="OLE_LINK3"/>
            <w:r w:rsidRPr="003255BB">
              <w:rPr>
                <w:rFonts w:ascii="Verdana" w:hAnsi="Verdana"/>
                <w:b/>
              </w:rPr>
              <w:t>Author:</w:t>
            </w:r>
            <w:r w:rsidR="00FA2329" w:rsidRPr="003255BB">
              <w:rPr>
                <w:rFonts w:ascii="Verdana" w:hAnsi="Verdana"/>
              </w:rPr>
              <w:t xml:space="preserve"> </w:t>
            </w:r>
            <w:bookmarkEnd w:id="16"/>
            <w:r w:rsidR="00B2147D">
              <w:rPr>
                <w:rFonts w:ascii="Verdana" w:hAnsi="Verdana"/>
              </w:rPr>
              <w:t>Dr Rosalind Reilly, Specialty Registrar in Public Health</w:t>
            </w:r>
            <w:r w:rsidR="001B48B7" w:rsidRPr="003255BB">
              <w:rPr>
                <w:rFonts w:ascii="Verdana" w:hAnsi="Verdana"/>
              </w:rPr>
              <w:t xml:space="preserve"> </w:t>
            </w:r>
            <w:bookmarkEnd w:id="17"/>
            <w:r w:rsidR="00BB3960">
              <w:rPr>
                <w:rFonts w:ascii="Verdana" w:hAnsi="Verdana"/>
              </w:rPr>
              <w:t xml:space="preserve">and </w:t>
            </w:r>
            <w:r w:rsidR="00887909">
              <w:rPr>
                <w:rFonts w:ascii="Verdana" w:hAnsi="Verdana"/>
              </w:rPr>
              <w:t xml:space="preserve">Dr </w:t>
            </w:r>
            <w:r w:rsidR="00BB3960">
              <w:rPr>
                <w:rFonts w:ascii="Verdana" w:hAnsi="Verdana"/>
              </w:rPr>
              <w:t>Ciarán Humphreys, Consultant in Public Health/Health Intelligence</w:t>
            </w:r>
          </w:p>
        </w:tc>
      </w:tr>
      <w:tr w:rsidR="00CF52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4650" w:type="dxa"/>
          </w:tcPr>
          <w:p w:rsidR="00CF52B4" w:rsidRPr="003255BB" w:rsidRDefault="00CF52B4" w:rsidP="002C33EF">
            <w:pPr>
              <w:pStyle w:val="CoverSheet"/>
              <w:rPr>
                <w:rFonts w:ascii="Verdana" w:hAnsi="Verdana"/>
              </w:rPr>
            </w:pPr>
            <w:bookmarkStart w:id="18" w:name="OLE_LINK14"/>
            <w:bookmarkStart w:id="19" w:name="OLE_LINK25"/>
            <w:r w:rsidRPr="003255BB">
              <w:rPr>
                <w:rFonts w:ascii="Verdana" w:hAnsi="Verdana"/>
                <w:b/>
              </w:rPr>
              <w:t>Date:</w:t>
            </w:r>
            <w:r w:rsidR="00146B0B" w:rsidRPr="003255BB">
              <w:rPr>
                <w:rFonts w:ascii="Verdana" w:hAnsi="Verdana"/>
              </w:rPr>
              <w:t xml:space="preserve"> </w:t>
            </w:r>
            <w:bookmarkEnd w:id="18"/>
            <w:bookmarkEnd w:id="19"/>
            <w:r w:rsidR="00B13E5E">
              <w:rPr>
                <w:rFonts w:ascii="Verdana" w:hAnsi="Verdana"/>
              </w:rPr>
              <w:t>17</w:t>
            </w:r>
            <w:r w:rsidR="009B771C">
              <w:rPr>
                <w:rFonts w:ascii="Verdana" w:hAnsi="Verdana"/>
              </w:rPr>
              <w:t xml:space="preserve"> </w:t>
            </w:r>
            <w:r w:rsidR="002C33EF">
              <w:rPr>
                <w:rFonts w:ascii="Verdana" w:hAnsi="Verdana"/>
              </w:rPr>
              <w:t>June</w:t>
            </w:r>
            <w:r w:rsidR="00F1114F">
              <w:rPr>
                <w:rFonts w:ascii="Verdana" w:hAnsi="Verdana"/>
              </w:rPr>
              <w:t xml:space="preserve"> </w:t>
            </w:r>
            <w:r w:rsidR="00E74C12">
              <w:rPr>
                <w:rFonts w:ascii="Verdana" w:hAnsi="Verdana"/>
              </w:rPr>
              <w:t>2011</w:t>
            </w:r>
          </w:p>
        </w:tc>
        <w:tc>
          <w:tcPr>
            <w:tcW w:w="4651" w:type="dxa"/>
          </w:tcPr>
          <w:p w:rsidR="00CF52B4" w:rsidRPr="003255BB" w:rsidRDefault="00304E0B" w:rsidP="00146B0B">
            <w:pPr>
              <w:pStyle w:val="CoverSheet"/>
              <w:rPr>
                <w:rFonts w:ascii="Verdana" w:hAnsi="Verdana"/>
              </w:rPr>
            </w:pPr>
            <w:bookmarkStart w:id="20" w:name="OLE_LINK13"/>
            <w:bookmarkStart w:id="21" w:name="OLE_LINK4"/>
            <w:r>
              <w:rPr>
                <w:rFonts w:ascii="Verdana" w:hAnsi="Verdana"/>
                <w:b/>
              </w:rPr>
              <w:t>Version</w:t>
            </w:r>
            <w:r w:rsidR="000E2BB4" w:rsidRPr="003255BB">
              <w:rPr>
                <w:rFonts w:ascii="Verdana" w:hAnsi="Verdana"/>
                <w:b/>
              </w:rPr>
              <w:t>:</w:t>
            </w:r>
            <w:r w:rsidR="00A54EB2" w:rsidRPr="003255BB">
              <w:rPr>
                <w:rFonts w:ascii="Verdana" w:hAnsi="Verdana"/>
              </w:rPr>
              <w:t xml:space="preserve"> </w:t>
            </w:r>
            <w:bookmarkEnd w:id="20"/>
            <w:bookmarkEnd w:id="21"/>
            <w:r w:rsidR="005E2C10">
              <w:rPr>
                <w:rFonts w:ascii="Verdana" w:hAnsi="Verdana"/>
              </w:rPr>
              <w:t>1</w:t>
            </w:r>
          </w:p>
        </w:tc>
      </w:tr>
      <w:tr w:rsidR="001412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5D4445" w:rsidRPr="003255BB" w:rsidRDefault="005D4445" w:rsidP="004F16F4">
            <w:pPr>
              <w:pStyle w:val="CoverSheet"/>
              <w:rPr>
                <w:rFonts w:ascii="Verdana" w:hAnsi="Verdana"/>
              </w:rPr>
            </w:pPr>
            <w:bookmarkStart w:id="22" w:name="OLE_LINK16"/>
            <w:bookmarkStart w:id="23" w:name="OLE_LINK27"/>
            <w:bookmarkStart w:id="24" w:name="OLE_LINK10"/>
            <w:r w:rsidRPr="003255BB">
              <w:rPr>
                <w:rFonts w:ascii="Verdana" w:hAnsi="Verdana"/>
                <w:b/>
              </w:rPr>
              <w:t>Publication/ Distribution</w:t>
            </w:r>
            <w:r w:rsidR="00937742" w:rsidRPr="003255BB">
              <w:rPr>
                <w:rFonts w:ascii="Verdana" w:hAnsi="Verdana"/>
                <w:b/>
              </w:rPr>
              <w:t>:</w:t>
            </w:r>
            <w:r w:rsidR="00E24A32" w:rsidRPr="003255BB">
              <w:rPr>
                <w:rFonts w:ascii="Verdana" w:hAnsi="Verdana"/>
                <w:b/>
              </w:rPr>
              <w:t xml:space="preserve"> </w:t>
            </w:r>
            <w:r w:rsidR="00E24A32" w:rsidRPr="003255BB">
              <w:rPr>
                <w:rFonts w:ascii="Verdana" w:hAnsi="Verdana"/>
              </w:rPr>
              <w:t xml:space="preserve"> </w:t>
            </w:r>
          </w:p>
          <w:bookmarkEnd w:id="22"/>
          <w:bookmarkEnd w:id="23"/>
          <w:p w:rsidR="00C10735" w:rsidRDefault="00C10735" w:rsidP="00CC2DF1">
            <w:pPr>
              <w:pStyle w:val="CoverSheet"/>
              <w:numPr>
                <w:ilvl w:val="0"/>
                <w:numId w:val="3"/>
              </w:numPr>
              <w:rPr>
                <w:rFonts w:ascii="Verdana" w:hAnsi="Verdana"/>
              </w:rPr>
            </w:pPr>
            <w:r>
              <w:rPr>
                <w:rFonts w:ascii="Verdana" w:hAnsi="Verdana"/>
              </w:rPr>
              <w:t>Cwm Taf Director of Public Health</w:t>
            </w:r>
          </w:p>
          <w:p w:rsidR="00C10735" w:rsidRDefault="00C10735" w:rsidP="00C10735">
            <w:pPr>
              <w:pStyle w:val="CoverSheet"/>
              <w:numPr>
                <w:ilvl w:val="0"/>
                <w:numId w:val="3"/>
              </w:numPr>
              <w:rPr>
                <w:rFonts w:ascii="Verdana" w:hAnsi="Verdana"/>
              </w:rPr>
            </w:pPr>
            <w:r>
              <w:rPr>
                <w:rFonts w:ascii="Verdana" w:hAnsi="Verdana"/>
              </w:rPr>
              <w:t>Royal National Institute of Blind People (RNIB)</w:t>
            </w:r>
          </w:p>
          <w:p w:rsidR="00C10735" w:rsidRPr="003255BB" w:rsidRDefault="00C10735" w:rsidP="00C10735">
            <w:pPr>
              <w:pStyle w:val="CoverSheet"/>
              <w:numPr>
                <w:ilvl w:val="0"/>
                <w:numId w:val="3"/>
              </w:numPr>
              <w:rPr>
                <w:rFonts w:ascii="Verdana" w:hAnsi="Verdana"/>
              </w:rPr>
            </w:pPr>
            <w:r w:rsidRPr="003255BB">
              <w:rPr>
                <w:rFonts w:ascii="Verdana" w:hAnsi="Verdana"/>
              </w:rPr>
              <w:t>NHS Wales (Intranet)</w:t>
            </w:r>
          </w:p>
          <w:p w:rsidR="00D751BC" w:rsidRPr="003255BB" w:rsidRDefault="00CC2DF1" w:rsidP="00C10735">
            <w:pPr>
              <w:pStyle w:val="CoverSheet"/>
              <w:numPr>
                <w:ilvl w:val="0"/>
                <w:numId w:val="3"/>
              </w:numPr>
              <w:rPr>
                <w:rFonts w:ascii="Verdana" w:hAnsi="Verdana"/>
              </w:rPr>
            </w:pPr>
            <w:r w:rsidRPr="003255BB">
              <w:rPr>
                <w:rFonts w:ascii="Verdana" w:hAnsi="Verdana"/>
              </w:rPr>
              <w:t>Public (Internet)</w:t>
            </w:r>
          </w:p>
        </w:tc>
      </w:tr>
      <w:bookmarkEnd w:id="24"/>
      <w:tr w:rsidR="006C3E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6C3E76" w:rsidRPr="003255BB" w:rsidRDefault="005D4445" w:rsidP="00E74C12">
            <w:pPr>
              <w:pStyle w:val="CoverSheet"/>
              <w:rPr>
                <w:rFonts w:ascii="Verdana" w:hAnsi="Verdana"/>
              </w:rPr>
            </w:pPr>
            <w:r w:rsidRPr="003255BB">
              <w:rPr>
                <w:rFonts w:ascii="Verdana" w:hAnsi="Verdana"/>
                <w:b/>
              </w:rPr>
              <w:t>Review Date</w:t>
            </w:r>
            <w:r w:rsidR="006C3E76" w:rsidRPr="003255BB">
              <w:rPr>
                <w:rFonts w:ascii="Verdana" w:hAnsi="Verdana"/>
                <w:b/>
              </w:rPr>
              <w:t>:</w:t>
            </w:r>
            <w:r w:rsidRPr="003255BB">
              <w:rPr>
                <w:rFonts w:ascii="Verdana" w:hAnsi="Verdana"/>
                <w:b/>
              </w:rPr>
              <w:t xml:space="preserve"> </w:t>
            </w:r>
            <w:r w:rsidR="00E74C12" w:rsidRPr="00E74C12">
              <w:rPr>
                <w:rFonts w:ascii="Verdana" w:hAnsi="Verdana"/>
              </w:rPr>
              <w:t>N/A</w:t>
            </w:r>
          </w:p>
        </w:tc>
      </w:tr>
      <w:tr w:rsidR="00F00170" w:rsidTr="00FC2F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Height w:val="2411"/>
        </w:trPr>
        <w:tc>
          <w:tcPr>
            <w:tcW w:w="9301" w:type="dxa"/>
            <w:gridSpan w:val="2"/>
          </w:tcPr>
          <w:p w:rsidR="00F00170" w:rsidRPr="003255BB" w:rsidRDefault="00F00170" w:rsidP="00146B0B">
            <w:pPr>
              <w:pStyle w:val="CoverSheet"/>
              <w:rPr>
                <w:rFonts w:ascii="Verdana" w:hAnsi="Verdana"/>
                <w:b/>
              </w:rPr>
            </w:pPr>
            <w:r w:rsidRPr="003255BB">
              <w:rPr>
                <w:rFonts w:ascii="Verdana" w:hAnsi="Verdana"/>
                <w:b/>
              </w:rPr>
              <w:t>Purpose and Summary of Document:</w:t>
            </w:r>
          </w:p>
          <w:p w:rsidR="00F00170" w:rsidRPr="00FC2F4E" w:rsidRDefault="008227C2" w:rsidP="00132586">
            <w:pPr>
              <w:pStyle w:val="CoverSheet"/>
              <w:rPr>
                <w:rFonts w:ascii="Verdana" w:hAnsi="Verdana"/>
              </w:rPr>
            </w:pPr>
            <w:r w:rsidRPr="00FC2F4E">
              <w:rPr>
                <w:rFonts w:ascii="Verdana" w:hAnsi="Verdana"/>
              </w:rPr>
              <w:t xml:space="preserve">This </w:t>
            </w:r>
            <w:r w:rsidR="00D8724C">
              <w:rPr>
                <w:rFonts w:ascii="Verdana" w:hAnsi="Verdana"/>
              </w:rPr>
              <w:t>eye</w:t>
            </w:r>
            <w:r w:rsidR="00132586">
              <w:rPr>
                <w:rFonts w:ascii="Verdana" w:hAnsi="Verdana"/>
              </w:rPr>
              <w:t xml:space="preserve"> health equity profile</w:t>
            </w:r>
            <w:r w:rsidRPr="00FC2F4E">
              <w:rPr>
                <w:rFonts w:ascii="Verdana" w:hAnsi="Verdana"/>
              </w:rPr>
              <w:t xml:space="preserve"> is intended to inform the development of the RNIB’s Community Engagement Project in </w:t>
            </w:r>
            <w:r w:rsidR="009842A7">
              <w:rPr>
                <w:rFonts w:ascii="Verdana" w:hAnsi="Verdana"/>
              </w:rPr>
              <w:t xml:space="preserve">the </w:t>
            </w:r>
            <w:r w:rsidR="00C42EAE">
              <w:rPr>
                <w:rFonts w:ascii="Verdana" w:hAnsi="Verdana"/>
              </w:rPr>
              <w:t>Cwm Taf Health B</w:t>
            </w:r>
            <w:r w:rsidRPr="00FC2F4E">
              <w:rPr>
                <w:rFonts w:ascii="Verdana" w:hAnsi="Verdana"/>
              </w:rPr>
              <w:t>oard area.  It includes a descripti</w:t>
            </w:r>
            <w:r w:rsidR="00132586">
              <w:rPr>
                <w:rFonts w:ascii="Verdana" w:hAnsi="Verdana"/>
              </w:rPr>
              <w:t>on of the population of Cwm Taf;</w:t>
            </w:r>
            <w:r w:rsidRPr="00FC2F4E">
              <w:rPr>
                <w:rFonts w:ascii="Verdana" w:hAnsi="Verdana"/>
              </w:rPr>
              <w:t xml:space="preserve"> the epidemiology of the main </w:t>
            </w:r>
            <w:r w:rsidR="00D8724C">
              <w:rPr>
                <w:rFonts w:ascii="Verdana" w:hAnsi="Verdana"/>
              </w:rPr>
              <w:t>eye</w:t>
            </w:r>
            <w:r w:rsidRPr="00FC2F4E">
              <w:rPr>
                <w:rFonts w:ascii="Verdana" w:hAnsi="Verdana"/>
              </w:rPr>
              <w:t xml:space="preserve"> conditions</w:t>
            </w:r>
            <w:r w:rsidR="00132586">
              <w:rPr>
                <w:rFonts w:ascii="Verdana" w:hAnsi="Verdana"/>
              </w:rPr>
              <w:t>;</w:t>
            </w:r>
            <w:r w:rsidRPr="00FC2F4E">
              <w:rPr>
                <w:rFonts w:ascii="Verdana" w:hAnsi="Verdana"/>
              </w:rPr>
              <w:t xml:space="preserve"> the provision of services</w:t>
            </w:r>
            <w:r w:rsidR="00FC2F4E" w:rsidRPr="00FC2F4E">
              <w:rPr>
                <w:rFonts w:ascii="Verdana" w:hAnsi="Verdana"/>
              </w:rPr>
              <w:t xml:space="preserve"> within Cwm Taf</w:t>
            </w:r>
            <w:r w:rsidR="00132586">
              <w:rPr>
                <w:rFonts w:ascii="Verdana" w:hAnsi="Verdana"/>
              </w:rPr>
              <w:t xml:space="preserve"> </w:t>
            </w:r>
            <w:r w:rsidRPr="00FC2F4E">
              <w:rPr>
                <w:rFonts w:ascii="Verdana" w:hAnsi="Verdana"/>
              </w:rPr>
              <w:t xml:space="preserve">and </w:t>
            </w:r>
            <w:r w:rsidR="00132586">
              <w:rPr>
                <w:rFonts w:ascii="Verdana" w:hAnsi="Verdana"/>
              </w:rPr>
              <w:t xml:space="preserve">considers </w:t>
            </w:r>
            <w:r w:rsidRPr="00FC2F4E">
              <w:rPr>
                <w:rFonts w:ascii="Verdana" w:hAnsi="Verdana"/>
              </w:rPr>
              <w:t>the provision o</w:t>
            </w:r>
            <w:r w:rsidR="00132586">
              <w:rPr>
                <w:rFonts w:ascii="Verdana" w:hAnsi="Verdana"/>
              </w:rPr>
              <w:t xml:space="preserve">f services in relation to need.  </w:t>
            </w:r>
            <w:r w:rsidR="00FC2F4E" w:rsidRPr="00FC2F4E">
              <w:rPr>
                <w:rFonts w:ascii="Verdana" w:hAnsi="Verdana"/>
              </w:rPr>
              <w:t xml:space="preserve">This document will also provide information for a wider </w:t>
            </w:r>
            <w:r w:rsidR="00D8724C">
              <w:rPr>
                <w:rFonts w:ascii="Verdana" w:hAnsi="Verdana"/>
              </w:rPr>
              <w:t>eye</w:t>
            </w:r>
            <w:r w:rsidR="00C42EAE">
              <w:rPr>
                <w:rFonts w:ascii="Verdana" w:hAnsi="Verdana"/>
              </w:rPr>
              <w:t xml:space="preserve"> health strategy for Cwm Taf Health B</w:t>
            </w:r>
            <w:r w:rsidR="00FC2F4E" w:rsidRPr="00FC2F4E">
              <w:rPr>
                <w:rFonts w:ascii="Verdana" w:hAnsi="Verdana"/>
              </w:rPr>
              <w:t xml:space="preserve">oard with the aim of improving equity, outcomes and quality of life for people with or at risk of poor </w:t>
            </w:r>
            <w:r w:rsidR="00D8724C">
              <w:rPr>
                <w:rFonts w:ascii="Verdana" w:hAnsi="Verdana"/>
              </w:rPr>
              <w:t>eye</w:t>
            </w:r>
            <w:r w:rsidR="00FC2F4E" w:rsidRPr="00FC2F4E">
              <w:rPr>
                <w:rFonts w:ascii="Verdana" w:hAnsi="Verdana"/>
              </w:rPr>
              <w:t xml:space="preserve"> health.</w:t>
            </w:r>
          </w:p>
        </w:tc>
      </w:tr>
      <w:tr w:rsidR="005E2C10" w:rsidTr="005E2C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Height w:val="630"/>
        </w:trPr>
        <w:tc>
          <w:tcPr>
            <w:tcW w:w="9301" w:type="dxa"/>
            <w:gridSpan w:val="2"/>
          </w:tcPr>
          <w:p w:rsidR="005E2C10" w:rsidRPr="00E17106" w:rsidRDefault="005E2C10" w:rsidP="005E2C10">
            <w:r w:rsidRPr="005E2C10">
              <w:rPr>
                <w:b/>
              </w:rPr>
              <w:t>Work Plan reference:</w:t>
            </w:r>
            <w:r w:rsidRPr="00E17106">
              <w:t xml:space="preserve"> </w:t>
            </w:r>
            <w:r w:rsidR="00C11372">
              <w:t>HI46</w:t>
            </w:r>
          </w:p>
        </w:tc>
      </w:tr>
    </w:tbl>
    <w:p w:rsidR="00304E0B" w:rsidRDefault="00304E0B" w:rsidP="00013471">
      <w:pPr>
        <w:sectPr w:rsidR="00304E0B" w:rsidSect="00EA1BE6">
          <w:headerReference w:type="default" r:id="rId9"/>
          <w:footerReference w:type="default" r:id="rId10"/>
          <w:pgSz w:w="11909" w:h="16834" w:code="9"/>
          <w:pgMar w:top="1440" w:right="1412" w:bottom="1440" w:left="1412" w:header="720" w:footer="720" w:gutter="0"/>
          <w:cols w:space="720"/>
          <w:noEndnote/>
          <w:titlePg/>
        </w:sectPr>
      </w:pPr>
    </w:p>
    <w:p w:rsidR="00B67C99" w:rsidRDefault="00B67C99">
      <w:pPr>
        <w:spacing w:before="0"/>
        <w:jc w:val="left"/>
        <w:rPr>
          <w:b/>
          <w:sz w:val="28"/>
          <w:szCs w:val="28"/>
        </w:rPr>
      </w:pPr>
      <w:r>
        <w:rPr>
          <w:b/>
          <w:sz w:val="28"/>
          <w:szCs w:val="28"/>
        </w:rPr>
        <w:lastRenderedPageBreak/>
        <w:br w:type="page"/>
      </w:r>
    </w:p>
    <w:p w:rsidR="005E2C10" w:rsidRPr="003C4050" w:rsidRDefault="005E2C10" w:rsidP="005E2C10">
      <w:pPr>
        <w:pStyle w:val="Heading1"/>
        <w:numPr>
          <w:ilvl w:val="0"/>
          <w:numId w:val="0"/>
        </w:numPr>
      </w:pPr>
      <w:bookmarkStart w:id="25" w:name="_Toc302293423"/>
      <w:r w:rsidRPr="003C4050">
        <w:rPr>
          <w:sz w:val="28"/>
          <w:szCs w:val="28"/>
        </w:rPr>
        <w:lastRenderedPageBreak/>
        <w:t>Acknowledgements</w:t>
      </w:r>
      <w:bookmarkEnd w:id="25"/>
    </w:p>
    <w:p w:rsidR="005E2C10" w:rsidRDefault="005E2C10" w:rsidP="005E2C10">
      <w:r>
        <w:t xml:space="preserve">The authors would like to </w:t>
      </w:r>
      <w:r w:rsidRPr="00BB3960">
        <w:t xml:space="preserve">thank </w:t>
      </w:r>
      <w:r>
        <w:t xml:space="preserve">the following people for their contributions to this report: </w:t>
      </w:r>
    </w:p>
    <w:p w:rsidR="005E2C10" w:rsidRPr="00BB3960" w:rsidRDefault="005E2C10" w:rsidP="005E2C10">
      <w:r>
        <w:t xml:space="preserve">Kerry Bailey, </w:t>
      </w:r>
      <w:r w:rsidRPr="00BB3960">
        <w:t>Sian Biddyr</w:t>
      </w:r>
      <w:r>
        <w:t xml:space="preserve">, Catey Bunce, </w:t>
      </w:r>
      <w:r w:rsidRPr="00BB3960">
        <w:t>Peter Garwood</w:t>
      </w:r>
      <w:r>
        <w:t>,</w:t>
      </w:r>
      <w:r w:rsidRPr="00BB3960">
        <w:t xml:space="preserve"> Anne Hinch</w:t>
      </w:r>
      <w:r>
        <w:t>liffe,</w:t>
      </w:r>
      <w:r w:rsidRPr="00BB3960">
        <w:t xml:space="preserve"> Martin Holloway</w:t>
      </w:r>
      <w:r>
        <w:t xml:space="preserve">, </w:t>
      </w:r>
      <w:r w:rsidRPr="00BB3960">
        <w:t>Ceri Jackson</w:t>
      </w:r>
      <w:r>
        <w:t xml:space="preserve">, Nicola John, Selwyn Jones, </w:t>
      </w:r>
      <w:r w:rsidRPr="00BB3960">
        <w:t>Rosemarie Keigwin</w:t>
      </w:r>
      <w:r>
        <w:t>-</w:t>
      </w:r>
      <w:r w:rsidRPr="00BB3960">
        <w:t>Harris</w:t>
      </w:r>
      <w:r>
        <w:t xml:space="preserve">, Shaun Leamon, </w:t>
      </w:r>
      <w:r w:rsidRPr="00BB3960">
        <w:t>Helen Lee</w:t>
      </w:r>
      <w:r>
        <w:t>,</w:t>
      </w:r>
      <w:r w:rsidRPr="00BB3960">
        <w:t xml:space="preserve"> Nathan Lester</w:t>
      </w:r>
      <w:r>
        <w:t xml:space="preserve">, </w:t>
      </w:r>
      <w:r w:rsidRPr="00BB3960">
        <w:t>Marilyn Meecham</w:t>
      </w:r>
      <w:r>
        <w:t xml:space="preserve">, Margaret Munkley, </w:t>
      </w:r>
      <w:r w:rsidRPr="00BB3960">
        <w:t>Linda Morris</w:t>
      </w:r>
      <w:r>
        <w:t xml:space="preserve">, </w:t>
      </w:r>
      <w:r w:rsidRPr="00BB3960">
        <w:t>Bethan Patterson</w:t>
      </w:r>
      <w:r>
        <w:t>, Isabel Puscas, Raghu Ram,</w:t>
      </w:r>
      <w:r w:rsidRPr="00BB3960">
        <w:t xml:space="preserve"> </w:t>
      </w:r>
      <w:r>
        <w:t xml:space="preserve">Jonathan Richards and </w:t>
      </w:r>
      <w:r w:rsidRPr="00BB3960">
        <w:t>Margaret Webber</w:t>
      </w:r>
      <w:r>
        <w:t>.</w:t>
      </w:r>
    </w:p>
    <w:p w:rsidR="005E2C10" w:rsidRDefault="005E2C10" w:rsidP="005E2C10">
      <w:pPr>
        <w:rPr>
          <w:sz w:val="20"/>
        </w:rPr>
      </w:pPr>
    </w:p>
    <w:p w:rsidR="005E2C10" w:rsidRDefault="005E2C10" w:rsidP="005E2C10"/>
    <w:p w:rsidR="005E2C10" w:rsidRDefault="005E2C10" w:rsidP="005E2C10"/>
    <w:p w:rsidR="005E2C10" w:rsidRDefault="005E2C10" w:rsidP="005E2C10"/>
    <w:p w:rsidR="005E2C10" w:rsidRDefault="005E2C10" w:rsidP="005E2C10"/>
    <w:p w:rsidR="005E2C10" w:rsidRDefault="005E2C10" w:rsidP="005E2C10"/>
    <w:p w:rsidR="005E2C10" w:rsidRDefault="005E2C10" w:rsidP="005E2C10"/>
    <w:p w:rsidR="005E2C10" w:rsidRDefault="005E2C10" w:rsidP="005E2C10"/>
    <w:p w:rsidR="005E2C10" w:rsidRDefault="005E2C10" w:rsidP="005E2C10"/>
    <w:p w:rsidR="005E2C10" w:rsidRDefault="005E2C10" w:rsidP="005E2C10"/>
    <w:p w:rsidR="005E2C10" w:rsidRPr="00B67C99" w:rsidRDefault="005E2C10" w:rsidP="005E2C10">
      <w:r w:rsidRPr="00B67C99">
        <w:t xml:space="preserve">This report can be downloaded from the Observatory website: </w:t>
      </w:r>
      <w:hyperlink r:id="rId11" w:history="1">
        <w:r w:rsidRPr="00B67C99">
          <w:t>http://www.publichealthwales.wales.nhs.uk</w:t>
        </w:r>
      </w:hyperlink>
      <w:r w:rsidRPr="00B67C99">
        <w:t xml:space="preserve">. </w:t>
      </w:r>
    </w:p>
    <w:p w:rsidR="005E2C10" w:rsidRPr="00B67C99" w:rsidRDefault="005E2C10" w:rsidP="005E2C10">
      <w:r w:rsidRPr="00B67C99">
        <w:t>For any further information please contact us on:</w:t>
      </w:r>
    </w:p>
    <w:p w:rsidR="005E2C10" w:rsidRPr="00B67C99" w:rsidRDefault="001060C2" w:rsidP="005E2C10">
      <w:hyperlink r:id="rId12" w:history="1">
        <w:r w:rsidR="005E2C10" w:rsidRPr="00B67C99">
          <w:t>publichealthwalesobservatory@wales.nhs.uk</w:t>
        </w:r>
      </w:hyperlink>
      <w:r w:rsidR="005E2C10" w:rsidRPr="00B67C99">
        <w:t>.</w:t>
      </w:r>
    </w:p>
    <w:p w:rsidR="005E2C10" w:rsidRPr="00B67C99" w:rsidRDefault="005E2C10" w:rsidP="005E2C10"/>
    <w:p w:rsidR="005E2C10" w:rsidRPr="00B67C99" w:rsidRDefault="005E2C10" w:rsidP="005E2C10">
      <w:pPr>
        <w:jc w:val="center"/>
      </w:pPr>
      <w:r w:rsidRPr="00B67C99">
        <w:t>© 2011 Public Health Wales NHS Trust.</w:t>
      </w:r>
    </w:p>
    <w:p w:rsidR="005E2C10" w:rsidRPr="00B67C99" w:rsidRDefault="005E2C10" w:rsidP="005E2C10">
      <w:pPr>
        <w:jc w:val="center"/>
      </w:pPr>
      <w:r w:rsidRPr="00B67C99">
        <w:t>Material contained in this document may be reproduced without prior permission provided it is done so accurately and is not used in a misleading context.</w:t>
      </w:r>
    </w:p>
    <w:p w:rsidR="005E2C10" w:rsidRPr="00B67C99" w:rsidRDefault="005E2C10" w:rsidP="005E2C10">
      <w:pPr>
        <w:jc w:val="center"/>
      </w:pPr>
      <w:r w:rsidRPr="00B67C99">
        <w:t>Acknowledgement to Public Health Wales NHS Trust to be stated.</w:t>
      </w:r>
    </w:p>
    <w:p w:rsidR="005E2C10" w:rsidRPr="00B67C99" w:rsidRDefault="005E2C10" w:rsidP="005E2C10">
      <w:pPr>
        <w:jc w:val="center"/>
      </w:pPr>
      <w:r w:rsidRPr="00B67C99">
        <w:t>Copyright in the typographical arrangement, design and layout belongs to Public Health Wales NHS Trust.</w:t>
      </w:r>
    </w:p>
    <w:p w:rsidR="00132586" w:rsidRDefault="00132586" w:rsidP="0027562D">
      <w:pPr>
        <w:spacing w:before="0"/>
        <w:jc w:val="center"/>
        <w:rPr>
          <w:b/>
          <w:kern w:val="28"/>
          <w:sz w:val="32"/>
          <w:highlight w:val="lightGray"/>
        </w:rPr>
      </w:pPr>
      <w:r>
        <w:rPr>
          <w:highlight w:val="lightGray"/>
        </w:rPr>
        <w:br w:type="page"/>
      </w:r>
    </w:p>
    <w:p w:rsidR="00F801B9" w:rsidRDefault="00F801B9" w:rsidP="00F801B9">
      <w:pPr>
        <w:pStyle w:val="Heading1"/>
        <w:numPr>
          <w:ilvl w:val="0"/>
          <w:numId w:val="0"/>
        </w:numPr>
        <w:ind w:left="1008" w:hanging="1008"/>
      </w:pPr>
      <w:bookmarkStart w:id="26" w:name="_Toc302293424"/>
      <w:r>
        <w:lastRenderedPageBreak/>
        <w:t>Abbreviations</w:t>
      </w:r>
      <w:bookmarkEnd w:id="26"/>
    </w:p>
    <w:p w:rsidR="00F801B9" w:rsidRPr="00F801B9" w:rsidRDefault="00F801B9" w:rsidP="00F801B9"/>
    <w:tbl>
      <w:tblPr>
        <w:tblW w:w="9465"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27"/>
        <w:gridCol w:w="7938"/>
      </w:tblGrid>
      <w:tr w:rsidR="00F801B9" w:rsidTr="00F801B9">
        <w:trPr>
          <w:trHeight w:val="527"/>
        </w:trPr>
        <w:tc>
          <w:tcPr>
            <w:tcW w:w="1527" w:type="dxa"/>
            <w:vAlign w:val="center"/>
          </w:tcPr>
          <w:p w:rsidR="00F801B9" w:rsidRDefault="00EF5A3C" w:rsidP="00F801B9">
            <w:pPr>
              <w:spacing w:before="0"/>
              <w:jc w:val="left"/>
            </w:pPr>
            <w:r>
              <w:t>APHO</w:t>
            </w:r>
          </w:p>
        </w:tc>
        <w:tc>
          <w:tcPr>
            <w:tcW w:w="7938" w:type="dxa"/>
          </w:tcPr>
          <w:p w:rsidR="00F801B9" w:rsidRDefault="00EF5A3C" w:rsidP="00F801B9">
            <w:pPr>
              <w:spacing w:before="120" w:after="120"/>
              <w:jc w:val="left"/>
            </w:pPr>
            <w:r>
              <w:t>Association of Public Health Observatories</w:t>
            </w:r>
          </w:p>
        </w:tc>
      </w:tr>
      <w:tr w:rsidR="00EF5A3C" w:rsidTr="00F801B9">
        <w:trPr>
          <w:trHeight w:val="527"/>
        </w:trPr>
        <w:tc>
          <w:tcPr>
            <w:tcW w:w="1527" w:type="dxa"/>
            <w:vAlign w:val="center"/>
          </w:tcPr>
          <w:p w:rsidR="00EF5A3C" w:rsidRDefault="00EF5A3C" w:rsidP="00F801B9">
            <w:pPr>
              <w:spacing w:before="0"/>
              <w:jc w:val="left"/>
            </w:pPr>
            <w:r>
              <w:t>ARMD</w:t>
            </w:r>
          </w:p>
        </w:tc>
        <w:tc>
          <w:tcPr>
            <w:tcW w:w="7938" w:type="dxa"/>
          </w:tcPr>
          <w:p w:rsidR="00EF5A3C" w:rsidRDefault="00EF5A3C" w:rsidP="00F801B9">
            <w:pPr>
              <w:spacing w:before="120" w:after="120"/>
              <w:jc w:val="left"/>
            </w:pPr>
            <w:r>
              <w:t>Age-related macular degeneration</w:t>
            </w:r>
          </w:p>
        </w:tc>
      </w:tr>
      <w:tr w:rsidR="00EF5A3C" w:rsidTr="00F801B9">
        <w:trPr>
          <w:trHeight w:val="527"/>
        </w:trPr>
        <w:tc>
          <w:tcPr>
            <w:tcW w:w="1527" w:type="dxa"/>
            <w:vAlign w:val="center"/>
          </w:tcPr>
          <w:p w:rsidR="00EF5A3C" w:rsidRDefault="00EF5A3C" w:rsidP="00EF5A3C">
            <w:pPr>
              <w:spacing w:before="0"/>
              <w:jc w:val="left"/>
            </w:pPr>
            <w:r>
              <w:t>CEP</w:t>
            </w:r>
          </w:p>
        </w:tc>
        <w:tc>
          <w:tcPr>
            <w:tcW w:w="7938" w:type="dxa"/>
          </w:tcPr>
          <w:p w:rsidR="00EF5A3C" w:rsidRDefault="00EF5A3C" w:rsidP="00EF5A3C">
            <w:pPr>
              <w:spacing w:before="120" w:after="120"/>
              <w:jc w:val="left"/>
            </w:pPr>
            <w:r>
              <w:t>Community Engagement Project</w:t>
            </w:r>
          </w:p>
        </w:tc>
      </w:tr>
      <w:tr w:rsidR="00D5124A" w:rsidTr="00F801B9">
        <w:trPr>
          <w:trHeight w:val="527"/>
        </w:trPr>
        <w:tc>
          <w:tcPr>
            <w:tcW w:w="1527" w:type="dxa"/>
            <w:vAlign w:val="center"/>
          </w:tcPr>
          <w:p w:rsidR="00D5124A" w:rsidRDefault="00D5124A" w:rsidP="00EF5A3C">
            <w:pPr>
              <w:spacing w:before="0"/>
              <w:jc w:val="left"/>
            </w:pPr>
            <w:r>
              <w:t>CVI</w:t>
            </w:r>
            <w:r w:rsidR="00E55CDB">
              <w:t>(W)</w:t>
            </w:r>
          </w:p>
        </w:tc>
        <w:tc>
          <w:tcPr>
            <w:tcW w:w="7938" w:type="dxa"/>
          </w:tcPr>
          <w:p w:rsidR="00D5124A" w:rsidRDefault="00D5124A" w:rsidP="00D5124A">
            <w:pPr>
              <w:spacing w:before="120" w:after="120"/>
              <w:jc w:val="left"/>
            </w:pPr>
            <w:r>
              <w:t>Certificate of visual impairment</w:t>
            </w:r>
            <w:r w:rsidR="00E55CDB">
              <w:t xml:space="preserve"> (Wales)</w:t>
            </w:r>
          </w:p>
        </w:tc>
      </w:tr>
      <w:tr w:rsidR="00EF5A3C" w:rsidTr="00F801B9">
        <w:trPr>
          <w:trHeight w:val="527"/>
        </w:trPr>
        <w:tc>
          <w:tcPr>
            <w:tcW w:w="1527" w:type="dxa"/>
            <w:vAlign w:val="center"/>
          </w:tcPr>
          <w:p w:rsidR="00EF5A3C" w:rsidRDefault="00EF5A3C" w:rsidP="00EF5A3C">
            <w:pPr>
              <w:spacing w:before="0"/>
              <w:jc w:val="left"/>
            </w:pPr>
            <w:r>
              <w:t>DRSSW</w:t>
            </w:r>
          </w:p>
        </w:tc>
        <w:tc>
          <w:tcPr>
            <w:tcW w:w="7938" w:type="dxa"/>
          </w:tcPr>
          <w:p w:rsidR="00EF5A3C" w:rsidRDefault="00EF5A3C" w:rsidP="00EF5A3C">
            <w:pPr>
              <w:spacing w:before="120" w:after="120"/>
              <w:jc w:val="left"/>
            </w:pPr>
            <w:r>
              <w:t>Diabetic Retinopathy Screening Service for Wales</w:t>
            </w:r>
          </w:p>
        </w:tc>
      </w:tr>
      <w:tr w:rsidR="00EF5A3C" w:rsidTr="00F801B9">
        <w:trPr>
          <w:trHeight w:val="527"/>
        </w:trPr>
        <w:tc>
          <w:tcPr>
            <w:tcW w:w="1527" w:type="dxa"/>
            <w:vAlign w:val="center"/>
          </w:tcPr>
          <w:p w:rsidR="00EF5A3C" w:rsidRDefault="00EF5A3C" w:rsidP="00EF5A3C">
            <w:pPr>
              <w:spacing w:before="0"/>
              <w:jc w:val="left"/>
            </w:pPr>
            <w:r>
              <w:t>EASR</w:t>
            </w:r>
          </w:p>
        </w:tc>
        <w:tc>
          <w:tcPr>
            <w:tcW w:w="7938" w:type="dxa"/>
          </w:tcPr>
          <w:p w:rsidR="00EF5A3C" w:rsidRDefault="007419BF" w:rsidP="00EF5A3C">
            <w:pPr>
              <w:spacing w:before="120" w:after="120"/>
              <w:jc w:val="left"/>
            </w:pPr>
            <w:r>
              <w:t>European age-</w:t>
            </w:r>
            <w:r w:rsidR="00220AEF">
              <w:t xml:space="preserve">standardised </w:t>
            </w:r>
            <w:r w:rsidR="00EF5A3C">
              <w:t>rate</w:t>
            </w:r>
          </w:p>
        </w:tc>
      </w:tr>
      <w:tr w:rsidR="00EF5A3C" w:rsidTr="00F801B9">
        <w:trPr>
          <w:trHeight w:val="527"/>
        </w:trPr>
        <w:tc>
          <w:tcPr>
            <w:tcW w:w="1527" w:type="dxa"/>
            <w:vAlign w:val="center"/>
          </w:tcPr>
          <w:p w:rsidR="00EF5A3C" w:rsidRDefault="00EF5A3C" w:rsidP="00F801B9">
            <w:pPr>
              <w:spacing w:before="0"/>
              <w:jc w:val="left"/>
            </w:pPr>
            <w:r>
              <w:t>GOS</w:t>
            </w:r>
          </w:p>
        </w:tc>
        <w:tc>
          <w:tcPr>
            <w:tcW w:w="7938" w:type="dxa"/>
          </w:tcPr>
          <w:p w:rsidR="00EF5A3C" w:rsidRDefault="00EF5A3C" w:rsidP="00F801B9">
            <w:pPr>
              <w:spacing w:before="120" w:after="120"/>
              <w:jc w:val="left"/>
            </w:pPr>
            <w:r>
              <w:t>General Ophthalmic Services</w:t>
            </w:r>
          </w:p>
        </w:tc>
      </w:tr>
      <w:tr w:rsidR="00D5124A" w:rsidTr="00F801B9">
        <w:trPr>
          <w:trHeight w:val="527"/>
        </w:trPr>
        <w:tc>
          <w:tcPr>
            <w:tcW w:w="1527" w:type="dxa"/>
            <w:vAlign w:val="center"/>
          </w:tcPr>
          <w:p w:rsidR="00D5124A" w:rsidRDefault="00D5124A" w:rsidP="00F801B9">
            <w:pPr>
              <w:spacing w:before="0"/>
              <w:jc w:val="left"/>
            </w:pPr>
            <w:r>
              <w:t>LSOA</w:t>
            </w:r>
          </w:p>
        </w:tc>
        <w:tc>
          <w:tcPr>
            <w:tcW w:w="7938" w:type="dxa"/>
          </w:tcPr>
          <w:p w:rsidR="00D5124A" w:rsidRDefault="00D5124A" w:rsidP="00F801B9">
            <w:pPr>
              <w:spacing w:before="120" w:after="120"/>
              <w:jc w:val="left"/>
            </w:pPr>
            <w:r>
              <w:t>Lower layer super output area</w:t>
            </w:r>
          </w:p>
        </w:tc>
      </w:tr>
      <w:tr w:rsidR="00EF5A3C" w:rsidRPr="00E17106" w:rsidTr="00F801B9">
        <w:trPr>
          <w:trHeight w:val="527"/>
        </w:trPr>
        <w:tc>
          <w:tcPr>
            <w:tcW w:w="1527" w:type="dxa"/>
          </w:tcPr>
          <w:p w:rsidR="00EF5A3C" w:rsidRPr="00E17106" w:rsidRDefault="00EF5A3C" w:rsidP="00F801B9">
            <w:pPr>
              <w:spacing w:before="120" w:after="120"/>
              <w:jc w:val="left"/>
            </w:pPr>
            <w:r>
              <w:t>NEHEM</w:t>
            </w:r>
          </w:p>
        </w:tc>
        <w:tc>
          <w:tcPr>
            <w:tcW w:w="7938" w:type="dxa"/>
          </w:tcPr>
          <w:p w:rsidR="00EF5A3C" w:rsidRPr="00E17106" w:rsidRDefault="00EF5A3C" w:rsidP="00F801B9">
            <w:pPr>
              <w:spacing w:before="120" w:after="120"/>
              <w:jc w:val="left"/>
            </w:pPr>
            <w:r>
              <w:t>National Eye Health Epidemiological Model</w:t>
            </w:r>
          </w:p>
        </w:tc>
      </w:tr>
      <w:tr w:rsidR="00EF5A3C" w:rsidTr="00F801B9">
        <w:trPr>
          <w:trHeight w:val="528"/>
        </w:trPr>
        <w:tc>
          <w:tcPr>
            <w:tcW w:w="1527" w:type="dxa"/>
          </w:tcPr>
          <w:p w:rsidR="00EF5A3C" w:rsidRPr="00E17106" w:rsidRDefault="00EF5A3C" w:rsidP="00F801B9">
            <w:pPr>
              <w:spacing w:before="120" w:after="120"/>
              <w:jc w:val="left"/>
            </w:pPr>
            <w:r>
              <w:t>PEARS</w:t>
            </w:r>
          </w:p>
        </w:tc>
        <w:tc>
          <w:tcPr>
            <w:tcW w:w="7938" w:type="dxa"/>
          </w:tcPr>
          <w:p w:rsidR="00EF5A3C" w:rsidRDefault="00EF5A3C" w:rsidP="007419BF">
            <w:pPr>
              <w:spacing w:before="120" w:after="120"/>
              <w:jc w:val="left"/>
            </w:pPr>
            <w:r>
              <w:t xml:space="preserve">Primary Eyecare </w:t>
            </w:r>
            <w:r w:rsidR="007419BF">
              <w:t>Acute</w:t>
            </w:r>
            <w:r>
              <w:t xml:space="preserve"> Referral S</w:t>
            </w:r>
            <w:r w:rsidR="007419BF">
              <w:t>cheme</w:t>
            </w:r>
          </w:p>
        </w:tc>
      </w:tr>
      <w:tr w:rsidR="00EF5A3C" w:rsidRPr="00E17106" w:rsidTr="00F801B9">
        <w:trPr>
          <w:trHeight w:val="528"/>
        </w:trPr>
        <w:tc>
          <w:tcPr>
            <w:tcW w:w="1527" w:type="dxa"/>
          </w:tcPr>
          <w:p w:rsidR="00EF5A3C" w:rsidRPr="00E17106" w:rsidRDefault="00EF5A3C" w:rsidP="00F801B9">
            <w:pPr>
              <w:spacing w:before="120" w:after="120"/>
              <w:jc w:val="left"/>
            </w:pPr>
            <w:r w:rsidRPr="00E17106">
              <w:t>PEDW</w:t>
            </w:r>
          </w:p>
        </w:tc>
        <w:tc>
          <w:tcPr>
            <w:tcW w:w="7938" w:type="dxa"/>
          </w:tcPr>
          <w:p w:rsidR="00EF5A3C" w:rsidRPr="00E17106" w:rsidRDefault="00EF5A3C" w:rsidP="00F801B9">
            <w:pPr>
              <w:spacing w:before="120" w:after="120"/>
              <w:jc w:val="left"/>
            </w:pPr>
            <w:r>
              <w:t xml:space="preserve">Patient Episode Database for </w:t>
            </w:r>
            <w:smartTag w:uri="urn:schemas-microsoft-com:office:smarttags" w:element="place">
              <w:smartTag w:uri="urn:schemas-microsoft-com:office:smarttags" w:element="country-region">
                <w:r>
                  <w:t>Wales</w:t>
                </w:r>
              </w:smartTag>
            </w:smartTag>
          </w:p>
        </w:tc>
      </w:tr>
      <w:tr w:rsidR="00D5124A" w:rsidRPr="00E17106" w:rsidTr="00F801B9">
        <w:trPr>
          <w:trHeight w:val="528"/>
        </w:trPr>
        <w:tc>
          <w:tcPr>
            <w:tcW w:w="1527" w:type="dxa"/>
          </w:tcPr>
          <w:p w:rsidR="00D5124A" w:rsidRPr="00E17106" w:rsidRDefault="00D5124A" w:rsidP="00F801B9">
            <w:pPr>
              <w:spacing w:before="120" w:after="120"/>
              <w:jc w:val="left"/>
            </w:pPr>
            <w:r>
              <w:t>QOF</w:t>
            </w:r>
          </w:p>
        </w:tc>
        <w:tc>
          <w:tcPr>
            <w:tcW w:w="7938" w:type="dxa"/>
          </w:tcPr>
          <w:p w:rsidR="00D5124A" w:rsidRDefault="00D5124A" w:rsidP="00F801B9">
            <w:pPr>
              <w:spacing w:before="120" w:after="120"/>
              <w:jc w:val="left"/>
            </w:pPr>
            <w:r>
              <w:t>Quality and Outcomes Framework</w:t>
            </w:r>
          </w:p>
        </w:tc>
      </w:tr>
      <w:tr w:rsidR="00EF5A3C" w:rsidRPr="00E17106" w:rsidTr="00F801B9">
        <w:trPr>
          <w:trHeight w:val="528"/>
        </w:trPr>
        <w:tc>
          <w:tcPr>
            <w:tcW w:w="1527" w:type="dxa"/>
          </w:tcPr>
          <w:p w:rsidR="00EF5A3C" w:rsidRPr="00E17106" w:rsidRDefault="00EF5A3C" w:rsidP="00F801B9">
            <w:pPr>
              <w:spacing w:before="120" w:after="120"/>
              <w:jc w:val="left"/>
            </w:pPr>
            <w:r>
              <w:t>RNIB</w:t>
            </w:r>
          </w:p>
        </w:tc>
        <w:tc>
          <w:tcPr>
            <w:tcW w:w="7938" w:type="dxa"/>
          </w:tcPr>
          <w:p w:rsidR="00EF5A3C" w:rsidRDefault="00EF5A3C" w:rsidP="00F801B9">
            <w:pPr>
              <w:spacing w:before="120" w:after="120"/>
              <w:jc w:val="left"/>
            </w:pPr>
            <w:r>
              <w:t>Royal National Institute for Blind People</w:t>
            </w:r>
          </w:p>
        </w:tc>
      </w:tr>
      <w:tr w:rsidR="00EF5A3C" w:rsidRPr="00E17106" w:rsidTr="00F801B9">
        <w:trPr>
          <w:trHeight w:val="528"/>
        </w:trPr>
        <w:tc>
          <w:tcPr>
            <w:tcW w:w="1527" w:type="dxa"/>
          </w:tcPr>
          <w:p w:rsidR="00EF5A3C" w:rsidRPr="00E17106" w:rsidRDefault="00EF5A3C" w:rsidP="00F801B9">
            <w:pPr>
              <w:spacing w:before="120" w:after="120"/>
              <w:jc w:val="left"/>
            </w:pPr>
            <w:r>
              <w:t>USOA</w:t>
            </w:r>
          </w:p>
        </w:tc>
        <w:tc>
          <w:tcPr>
            <w:tcW w:w="7938" w:type="dxa"/>
          </w:tcPr>
          <w:p w:rsidR="00EF5A3C" w:rsidRDefault="00EF5A3C" w:rsidP="00F801B9">
            <w:pPr>
              <w:spacing w:before="120" w:after="120"/>
              <w:jc w:val="left"/>
            </w:pPr>
            <w:r>
              <w:t>Upper layer super output area</w:t>
            </w:r>
          </w:p>
        </w:tc>
      </w:tr>
      <w:tr w:rsidR="00EF5A3C" w:rsidRPr="00E17106" w:rsidTr="00F801B9">
        <w:trPr>
          <w:trHeight w:val="528"/>
        </w:trPr>
        <w:tc>
          <w:tcPr>
            <w:tcW w:w="1527" w:type="dxa"/>
          </w:tcPr>
          <w:p w:rsidR="00EF5A3C" w:rsidRDefault="00EF5A3C" w:rsidP="00F801B9">
            <w:pPr>
              <w:spacing w:before="120" w:after="120"/>
              <w:jc w:val="left"/>
            </w:pPr>
            <w:r>
              <w:t>WAG</w:t>
            </w:r>
          </w:p>
        </w:tc>
        <w:tc>
          <w:tcPr>
            <w:tcW w:w="7938" w:type="dxa"/>
          </w:tcPr>
          <w:p w:rsidR="00EF5A3C" w:rsidRDefault="00EF5A3C" w:rsidP="00F801B9">
            <w:pPr>
              <w:spacing w:before="120" w:after="120"/>
              <w:jc w:val="left"/>
            </w:pPr>
            <w:r>
              <w:t>Welsh Assembly Government</w:t>
            </w:r>
          </w:p>
        </w:tc>
      </w:tr>
      <w:tr w:rsidR="00EF5A3C" w:rsidTr="00F801B9">
        <w:trPr>
          <w:trHeight w:val="528"/>
        </w:trPr>
        <w:tc>
          <w:tcPr>
            <w:tcW w:w="1527" w:type="dxa"/>
          </w:tcPr>
          <w:p w:rsidR="00EF5A3C" w:rsidRDefault="00EF5A3C" w:rsidP="00F801B9">
            <w:pPr>
              <w:spacing w:before="120" w:after="120"/>
              <w:jc w:val="left"/>
            </w:pPr>
            <w:r>
              <w:t>WECHE</w:t>
            </w:r>
          </w:p>
        </w:tc>
        <w:tc>
          <w:tcPr>
            <w:tcW w:w="7938" w:type="dxa"/>
          </w:tcPr>
          <w:p w:rsidR="00EF5A3C" w:rsidRDefault="00EF5A3C" w:rsidP="00F801B9">
            <w:pPr>
              <w:spacing w:before="120" w:after="120"/>
              <w:jc w:val="left"/>
            </w:pPr>
            <w:r>
              <w:t>Welsh Eye Care Health Examination</w:t>
            </w:r>
          </w:p>
        </w:tc>
      </w:tr>
      <w:tr w:rsidR="00EF5A3C" w:rsidTr="00F801B9">
        <w:trPr>
          <w:trHeight w:val="528"/>
        </w:trPr>
        <w:tc>
          <w:tcPr>
            <w:tcW w:w="1527" w:type="dxa"/>
          </w:tcPr>
          <w:p w:rsidR="00EF5A3C" w:rsidRDefault="00EF5A3C" w:rsidP="00F801B9">
            <w:pPr>
              <w:spacing w:before="120" w:after="120"/>
              <w:jc w:val="left"/>
            </w:pPr>
            <w:r>
              <w:t>WECI</w:t>
            </w:r>
          </w:p>
        </w:tc>
        <w:tc>
          <w:tcPr>
            <w:tcW w:w="7938" w:type="dxa"/>
          </w:tcPr>
          <w:p w:rsidR="00EF5A3C" w:rsidRDefault="00EF5A3C" w:rsidP="00F801B9">
            <w:pPr>
              <w:spacing w:before="120" w:after="120"/>
              <w:jc w:val="left"/>
            </w:pPr>
            <w:r>
              <w:rPr>
                <w:szCs w:val="24"/>
              </w:rPr>
              <w:t>Welsh Eye Care Initiative</w:t>
            </w:r>
          </w:p>
        </w:tc>
      </w:tr>
      <w:tr w:rsidR="00EF5A3C" w:rsidTr="00F801B9">
        <w:trPr>
          <w:trHeight w:val="528"/>
        </w:trPr>
        <w:tc>
          <w:tcPr>
            <w:tcW w:w="1527" w:type="dxa"/>
          </w:tcPr>
          <w:p w:rsidR="00EF5A3C" w:rsidRDefault="00EF5A3C" w:rsidP="00F801B9">
            <w:pPr>
              <w:spacing w:before="120" w:after="120"/>
              <w:jc w:val="left"/>
            </w:pPr>
            <w:r>
              <w:t>WHS</w:t>
            </w:r>
          </w:p>
        </w:tc>
        <w:tc>
          <w:tcPr>
            <w:tcW w:w="7938" w:type="dxa"/>
          </w:tcPr>
          <w:p w:rsidR="00EF5A3C" w:rsidRDefault="00EF5A3C" w:rsidP="00F801B9">
            <w:pPr>
              <w:spacing w:before="120" w:after="120"/>
              <w:jc w:val="left"/>
              <w:rPr>
                <w:szCs w:val="24"/>
              </w:rPr>
            </w:pPr>
            <w:r>
              <w:rPr>
                <w:szCs w:val="24"/>
              </w:rPr>
              <w:t>Welsh Health Survey</w:t>
            </w:r>
          </w:p>
        </w:tc>
      </w:tr>
      <w:tr w:rsidR="00E55CDB" w:rsidTr="00F801B9">
        <w:trPr>
          <w:trHeight w:val="528"/>
        </w:trPr>
        <w:tc>
          <w:tcPr>
            <w:tcW w:w="1527" w:type="dxa"/>
          </w:tcPr>
          <w:p w:rsidR="00E55CDB" w:rsidRDefault="00E55CDB" w:rsidP="00E55CDB">
            <w:pPr>
              <w:spacing w:before="120" w:after="120"/>
              <w:jc w:val="left"/>
            </w:pPr>
            <w:r>
              <w:t>WIMD</w:t>
            </w:r>
          </w:p>
        </w:tc>
        <w:tc>
          <w:tcPr>
            <w:tcW w:w="7938" w:type="dxa"/>
          </w:tcPr>
          <w:p w:rsidR="00E55CDB" w:rsidRDefault="00E55CDB" w:rsidP="00E55CDB">
            <w:pPr>
              <w:spacing w:before="120" w:after="120"/>
              <w:jc w:val="left"/>
              <w:rPr>
                <w:szCs w:val="24"/>
              </w:rPr>
            </w:pPr>
            <w:r>
              <w:rPr>
                <w:szCs w:val="24"/>
              </w:rPr>
              <w:t>Welsh Index of Multiple Deprivation</w:t>
            </w:r>
          </w:p>
        </w:tc>
      </w:tr>
    </w:tbl>
    <w:p w:rsidR="00F801B9" w:rsidRDefault="00F801B9" w:rsidP="00F801B9">
      <w:pPr>
        <w:pStyle w:val="Heading1"/>
        <w:numPr>
          <w:ilvl w:val="0"/>
          <w:numId w:val="0"/>
        </w:numPr>
        <w:ind w:left="1008" w:hanging="1008"/>
      </w:pPr>
    </w:p>
    <w:p w:rsidR="00F801B9" w:rsidRDefault="00F801B9" w:rsidP="00F801B9">
      <w:pPr>
        <w:pStyle w:val="Heading1"/>
        <w:numPr>
          <w:ilvl w:val="0"/>
          <w:numId w:val="0"/>
        </w:numPr>
        <w:ind w:left="1008" w:hanging="1008"/>
      </w:pPr>
      <w:r>
        <w:br w:type="page"/>
      </w:r>
    </w:p>
    <w:p w:rsidR="004D1E75" w:rsidRDefault="00287963" w:rsidP="00885A8F">
      <w:pPr>
        <w:rPr>
          <w:noProof/>
        </w:rPr>
      </w:pPr>
      <w:r w:rsidRPr="00287963">
        <w:rPr>
          <w:b/>
          <w:sz w:val="28"/>
          <w:szCs w:val="28"/>
        </w:rPr>
        <w:lastRenderedPageBreak/>
        <w:t>Contents</w:t>
      </w:r>
      <w:r w:rsidR="001060C2">
        <w:rPr>
          <w:b/>
          <w:sz w:val="28"/>
          <w:szCs w:val="28"/>
        </w:rPr>
        <w:fldChar w:fldCharType="begin"/>
      </w:r>
      <w:r w:rsidR="001502E6">
        <w:rPr>
          <w:b/>
          <w:sz w:val="28"/>
          <w:szCs w:val="28"/>
        </w:rPr>
        <w:instrText xml:space="preserve"> TOC \o "1-3" \h \z \u </w:instrText>
      </w:r>
      <w:r w:rsidR="001060C2">
        <w:rPr>
          <w:b/>
          <w:sz w:val="28"/>
          <w:szCs w:val="28"/>
        </w:rPr>
        <w:fldChar w:fldCharType="separate"/>
      </w:r>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23" w:history="1">
        <w:r w:rsidR="004D1E75" w:rsidRPr="00676E65">
          <w:rPr>
            <w:rStyle w:val="Hyperlink"/>
          </w:rPr>
          <w:t>Acknowledgements</w:t>
        </w:r>
        <w:r w:rsidR="004D1E75">
          <w:rPr>
            <w:webHidden/>
          </w:rPr>
          <w:tab/>
        </w:r>
        <w:r>
          <w:rPr>
            <w:webHidden/>
          </w:rPr>
          <w:fldChar w:fldCharType="begin"/>
        </w:r>
        <w:r w:rsidR="004D1E75">
          <w:rPr>
            <w:webHidden/>
          </w:rPr>
          <w:instrText xml:space="preserve"> PAGEREF _Toc302293423 \h </w:instrText>
        </w:r>
        <w:r>
          <w:rPr>
            <w:webHidden/>
          </w:rPr>
        </w:r>
        <w:r>
          <w:rPr>
            <w:webHidden/>
          </w:rPr>
          <w:fldChar w:fldCharType="separate"/>
        </w:r>
        <w:r w:rsidR="00F96900">
          <w:rPr>
            <w:webHidden/>
          </w:rPr>
          <w:t>2</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24" w:history="1">
        <w:r w:rsidR="004D1E75" w:rsidRPr="00676E65">
          <w:rPr>
            <w:rStyle w:val="Hyperlink"/>
          </w:rPr>
          <w:t>Abbreviations</w:t>
        </w:r>
        <w:r w:rsidR="004D1E75">
          <w:rPr>
            <w:webHidden/>
          </w:rPr>
          <w:tab/>
        </w:r>
        <w:r>
          <w:rPr>
            <w:webHidden/>
          </w:rPr>
          <w:fldChar w:fldCharType="begin"/>
        </w:r>
        <w:r w:rsidR="004D1E75">
          <w:rPr>
            <w:webHidden/>
          </w:rPr>
          <w:instrText xml:space="preserve"> PAGEREF _Toc302293424 \h </w:instrText>
        </w:r>
        <w:r>
          <w:rPr>
            <w:webHidden/>
          </w:rPr>
        </w:r>
        <w:r>
          <w:rPr>
            <w:webHidden/>
          </w:rPr>
          <w:fldChar w:fldCharType="separate"/>
        </w:r>
        <w:r w:rsidR="00F96900">
          <w:rPr>
            <w:webHidden/>
          </w:rPr>
          <w:t>3</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25" w:history="1">
        <w:r w:rsidR="004D1E75" w:rsidRPr="00676E65">
          <w:rPr>
            <w:rStyle w:val="Hyperlink"/>
          </w:rPr>
          <w:t>Summary</w:t>
        </w:r>
        <w:r w:rsidR="004D1E75">
          <w:rPr>
            <w:webHidden/>
          </w:rPr>
          <w:tab/>
        </w:r>
        <w:r>
          <w:rPr>
            <w:webHidden/>
          </w:rPr>
          <w:fldChar w:fldCharType="begin"/>
        </w:r>
        <w:r w:rsidR="004D1E75">
          <w:rPr>
            <w:webHidden/>
          </w:rPr>
          <w:instrText xml:space="preserve"> PAGEREF _Toc302293425 \h </w:instrText>
        </w:r>
        <w:r>
          <w:rPr>
            <w:webHidden/>
          </w:rPr>
        </w:r>
        <w:r>
          <w:rPr>
            <w:webHidden/>
          </w:rPr>
          <w:fldChar w:fldCharType="separate"/>
        </w:r>
        <w:r w:rsidR="00F96900">
          <w:rPr>
            <w:webHidden/>
          </w:rPr>
          <w:t>10</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26" w:history="1">
        <w:r w:rsidR="004D1E75" w:rsidRPr="00676E65">
          <w:rPr>
            <w:rStyle w:val="Hyperlink"/>
          </w:rPr>
          <w:t>Background</w:t>
        </w:r>
        <w:r w:rsidR="004D1E75">
          <w:rPr>
            <w:webHidden/>
          </w:rPr>
          <w:tab/>
        </w:r>
        <w:r>
          <w:rPr>
            <w:webHidden/>
          </w:rPr>
          <w:fldChar w:fldCharType="begin"/>
        </w:r>
        <w:r w:rsidR="004D1E75">
          <w:rPr>
            <w:webHidden/>
          </w:rPr>
          <w:instrText xml:space="preserve"> PAGEREF _Toc302293426 \h </w:instrText>
        </w:r>
        <w:r>
          <w:rPr>
            <w:webHidden/>
          </w:rPr>
        </w:r>
        <w:r>
          <w:rPr>
            <w:webHidden/>
          </w:rPr>
          <w:fldChar w:fldCharType="separate"/>
        </w:r>
        <w:r w:rsidR="00F96900">
          <w:rPr>
            <w:webHidden/>
          </w:rPr>
          <w:t>14</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27" w:history="1">
        <w:r w:rsidR="004D1E75" w:rsidRPr="00676E65">
          <w:rPr>
            <w:rStyle w:val="Hyperlink"/>
          </w:rPr>
          <w:t>1</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Aims and objectives</w:t>
        </w:r>
        <w:r w:rsidR="004D1E75">
          <w:rPr>
            <w:webHidden/>
          </w:rPr>
          <w:tab/>
        </w:r>
        <w:r>
          <w:rPr>
            <w:webHidden/>
          </w:rPr>
          <w:fldChar w:fldCharType="begin"/>
        </w:r>
        <w:r w:rsidR="004D1E75">
          <w:rPr>
            <w:webHidden/>
          </w:rPr>
          <w:instrText xml:space="preserve"> PAGEREF _Toc302293427 \h </w:instrText>
        </w:r>
        <w:r>
          <w:rPr>
            <w:webHidden/>
          </w:rPr>
        </w:r>
        <w:r>
          <w:rPr>
            <w:webHidden/>
          </w:rPr>
          <w:fldChar w:fldCharType="separate"/>
        </w:r>
        <w:r w:rsidR="00F96900">
          <w:rPr>
            <w:webHidden/>
          </w:rPr>
          <w:t>14</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28" w:history="1">
        <w:r w:rsidR="004D1E75" w:rsidRPr="00676E65">
          <w:rPr>
            <w:rStyle w:val="Hyperlink"/>
          </w:rPr>
          <w:t>1.1</w:t>
        </w:r>
        <w:r w:rsidR="004D1E75">
          <w:rPr>
            <w:rFonts w:asciiTheme="minorHAnsi" w:eastAsiaTheme="minorEastAsia" w:hAnsiTheme="minorHAnsi" w:cstheme="minorBidi"/>
            <w:sz w:val="22"/>
            <w:szCs w:val="22"/>
            <w:lang w:val="en-IE" w:eastAsia="en-IE"/>
          </w:rPr>
          <w:tab/>
        </w:r>
        <w:r w:rsidR="004D1E75" w:rsidRPr="00676E65">
          <w:rPr>
            <w:rStyle w:val="Hyperlink"/>
          </w:rPr>
          <w:t>Aims</w:t>
        </w:r>
        <w:r w:rsidR="004D1E75">
          <w:rPr>
            <w:webHidden/>
          </w:rPr>
          <w:tab/>
        </w:r>
        <w:r>
          <w:rPr>
            <w:webHidden/>
          </w:rPr>
          <w:fldChar w:fldCharType="begin"/>
        </w:r>
        <w:r w:rsidR="004D1E75">
          <w:rPr>
            <w:webHidden/>
          </w:rPr>
          <w:instrText xml:space="preserve"> PAGEREF _Toc302293428 \h </w:instrText>
        </w:r>
        <w:r>
          <w:rPr>
            <w:webHidden/>
          </w:rPr>
        </w:r>
        <w:r>
          <w:rPr>
            <w:webHidden/>
          </w:rPr>
          <w:fldChar w:fldCharType="separate"/>
        </w:r>
        <w:r w:rsidR="00F96900">
          <w:rPr>
            <w:webHidden/>
          </w:rPr>
          <w:t>14</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29" w:history="1">
        <w:r w:rsidR="004D1E75" w:rsidRPr="00676E65">
          <w:rPr>
            <w:rStyle w:val="Hyperlink"/>
          </w:rPr>
          <w:t>1.2</w:t>
        </w:r>
        <w:r w:rsidR="004D1E75">
          <w:rPr>
            <w:rFonts w:asciiTheme="minorHAnsi" w:eastAsiaTheme="minorEastAsia" w:hAnsiTheme="minorHAnsi" w:cstheme="minorBidi"/>
            <w:sz w:val="22"/>
            <w:szCs w:val="22"/>
            <w:lang w:val="en-IE" w:eastAsia="en-IE"/>
          </w:rPr>
          <w:tab/>
        </w:r>
        <w:r w:rsidR="004D1E75" w:rsidRPr="00676E65">
          <w:rPr>
            <w:rStyle w:val="Hyperlink"/>
          </w:rPr>
          <w:t>Objectives</w:t>
        </w:r>
        <w:r w:rsidR="004D1E75">
          <w:rPr>
            <w:webHidden/>
          </w:rPr>
          <w:tab/>
        </w:r>
        <w:r>
          <w:rPr>
            <w:webHidden/>
          </w:rPr>
          <w:fldChar w:fldCharType="begin"/>
        </w:r>
        <w:r w:rsidR="004D1E75">
          <w:rPr>
            <w:webHidden/>
          </w:rPr>
          <w:instrText xml:space="preserve"> PAGEREF _Toc302293429 \h </w:instrText>
        </w:r>
        <w:r>
          <w:rPr>
            <w:webHidden/>
          </w:rPr>
        </w:r>
        <w:r>
          <w:rPr>
            <w:webHidden/>
          </w:rPr>
          <w:fldChar w:fldCharType="separate"/>
        </w:r>
        <w:r w:rsidR="00F96900">
          <w:rPr>
            <w:webHidden/>
          </w:rPr>
          <w:t>14</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30" w:history="1">
        <w:r w:rsidR="004D1E75" w:rsidRPr="00676E65">
          <w:rPr>
            <w:rStyle w:val="Hyperlink"/>
          </w:rPr>
          <w:t>2</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Methodology</w:t>
        </w:r>
        <w:r w:rsidR="004D1E75">
          <w:rPr>
            <w:webHidden/>
          </w:rPr>
          <w:tab/>
        </w:r>
        <w:r>
          <w:rPr>
            <w:webHidden/>
          </w:rPr>
          <w:fldChar w:fldCharType="begin"/>
        </w:r>
        <w:r w:rsidR="004D1E75">
          <w:rPr>
            <w:webHidden/>
          </w:rPr>
          <w:instrText xml:space="preserve"> PAGEREF _Toc302293430 \h </w:instrText>
        </w:r>
        <w:r>
          <w:rPr>
            <w:webHidden/>
          </w:rPr>
        </w:r>
        <w:r>
          <w:rPr>
            <w:webHidden/>
          </w:rPr>
          <w:fldChar w:fldCharType="separate"/>
        </w:r>
        <w:r w:rsidR="00F96900">
          <w:rPr>
            <w:webHidden/>
          </w:rPr>
          <w:t>15</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31" w:history="1">
        <w:r w:rsidR="004D1E75" w:rsidRPr="00676E65">
          <w:rPr>
            <w:rStyle w:val="Hyperlink"/>
          </w:rPr>
          <w:t>3</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Policy and strategic context</w:t>
        </w:r>
        <w:r w:rsidR="004D1E75">
          <w:rPr>
            <w:webHidden/>
          </w:rPr>
          <w:tab/>
        </w:r>
        <w:r>
          <w:rPr>
            <w:webHidden/>
          </w:rPr>
          <w:fldChar w:fldCharType="begin"/>
        </w:r>
        <w:r w:rsidR="004D1E75">
          <w:rPr>
            <w:webHidden/>
          </w:rPr>
          <w:instrText xml:space="preserve"> PAGEREF _Toc302293431 \h </w:instrText>
        </w:r>
        <w:r>
          <w:rPr>
            <w:webHidden/>
          </w:rPr>
        </w:r>
        <w:r>
          <w:rPr>
            <w:webHidden/>
          </w:rPr>
          <w:fldChar w:fldCharType="separate"/>
        </w:r>
        <w:r w:rsidR="00F96900">
          <w:rPr>
            <w:webHidden/>
          </w:rPr>
          <w:t>16</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32" w:history="1">
        <w:r w:rsidR="004D1E75" w:rsidRPr="00676E65">
          <w:rPr>
            <w:rStyle w:val="Hyperlink"/>
          </w:rPr>
          <w:t>3.1</w:t>
        </w:r>
        <w:r w:rsidR="004D1E75">
          <w:rPr>
            <w:rFonts w:asciiTheme="minorHAnsi" w:eastAsiaTheme="minorEastAsia" w:hAnsiTheme="minorHAnsi" w:cstheme="minorBidi"/>
            <w:sz w:val="22"/>
            <w:szCs w:val="22"/>
            <w:lang w:val="en-IE" w:eastAsia="en-IE"/>
          </w:rPr>
          <w:tab/>
        </w:r>
        <w:r w:rsidR="004D1E75" w:rsidRPr="00676E65">
          <w:rPr>
            <w:rStyle w:val="Hyperlink"/>
          </w:rPr>
          <w:t>National</w:t>
        </w:r>
        <w:r w:rsidR="004D1E75">
          <w:rPr>
            <w:webHidden/>
          </w:rPr>
          <w:tab/>
        </w:r>
        <w:r>
          <w:rPr>
            <w:webHidden/>
          </w:rPr>
          <w:fldChar w:fldCharType="begin"/>
        </w:r>
        <w:r w:rsidR="004D1E75">
          <w:rPr>
            <w:webHidden/>
          </w:rPr>
          <w:instrText xml:space="preserve"> PAGEREF _Toc302293432 \h </w:instrText>
        </w:r>
        <w:r>
          <w:rPr>
            <w:webHidden/>
          </w:rPr>
        </w:r>
        <w:r>
          <w:rPr>
            <w:webHidden/>
          </w:rPr>
          <w:fldChar w:fldCharType="separate"/>
        </w:r>
        <w:r w:rsidR="00F96900">
          <w:rPr>
            <w:webHidden/>
          </w:rPr>
          <w:t>16</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33" w:history="1">
        <w:r w:rsidR="004D1E75" w:rsidRPr="00676E65">
          <w:rPr>
            <w:rStyle w:val="Hyperlink"/>
          </w:rPr>
          <w:t>3.2</w:t>
        </w:r>
        <w:r w:rsidR="004D1E75">
          <w:rPr>
            <w:rFonts w:asciiTheme="minorHAnsi" w:eastAsiaTheme="minorEastAsia" w:hAnsiTheme="minorHAnsi" w:cstheme="minorBidi"/>
            <w:sz w:val="22"/>
            <w:szCs w:val="22"/>
            <w:lang w:val="en-IE" w:eastAsia="en-IE"/>
          </w:rPr>
          <w:tab/>
        </w:r>
        <w:r w:rsidR="004D1E75" w:rsidRPr="00676E65">
          <w:rPr>
            <w:rStyle w:val="Hyperlink"/>
          </w:rPr>
          <w:t>Local</w:t>
        </w:r>
        <w:r w:rsidR="004D1E75">
          <w:rPr>
            <w:webHidden/>
          </w:rPr>
          <w:tab/>
        </w:r>
        <w:r>
          <w:rPr>
            <w:webHidden/>
          </w:rPr>
          <w:fldChar w:fldCharType="begin"/>
        </w:r>
        <w:r w:rsidR="004D1E75">
          <w:rPr>
            <w:webHidden/>
          </w:rPr>
          <w:instrText xml:space="preserve"> PAGEREF _Toc302293433 \h </w:instrText>
        </w:r>
        <w:r>
          <w:rPr>
            <w:webHidden/>
          </w:rPr>
        </w:r>
        <w:r>
          <w:rPr>
            <w:webHidden/>
          </w:rPr>
          <w:fldChar w:fldCharType="separate"/>
        </w:r>
        <w:r w:rsidR="00F96900">
          <w:rPr>
            <w:webHidden/>
          </w:rPr>
          <w:t>19</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34" w:history="1">
        <w:r w:rsidR="004D1E75" w:rsidRPr="00676E65">
          <w:rPr>
            <w:rStyle w:val="Hyperlink"/>
          </w:rPr>
          <w:t>4</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Demography</w:t>
        </w:r>
        <w:r w:rsidR="004D1E75">
          <w:rPr>
            <w:webHidden/>
          </w:rPr>
          <w:tab/>
        </w:r>
        <w:r>
          <w:rPr>
            <w:webHidden/>
          </w:rPr>
          <w:fldChar w:fldCharType="begin"/>
        </w:r>
        <w:r w:rsidR="004D1E75">
          <w:rPr>
            <w:webHidden/>
          </w:rPr>
          <w:instrText xml:space="preserve"> PAGEREF _Toc302293434 \h </w:instrText>
        </w:r>
        <w:r>
          <w:rPr>
            <w:webHidden/>
          </w:rPr>
        </w:r>
        <w:r>
          <w:rPr>
            <w:webHidden/>
          </w:rPr>
          <w:fldChar w:fldCharType="separate"/>
        </w:r>
        <w:r w:rsidR="00F96900">
          <w:rPr>
            <w:webHidden/>
          </w:rPr>
          <w:t>19</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35" w:history="1">
        <w:r w:rsidR="004D1E75" w:rsidRPr="00676E65">
          <w:rPr>
            <w:rStyle w:val="Hyperlink"/>
          </w:rPr>
          <w:t>4.1</w:t>
        </w:r>
        <w:r w:rsidR="004D1E75">
          <w:rPr>
            <w:rFonts w:asciiTheme="minorHAnsi" w:eastAsiaTheme="minorEastAsia" w:hAnsiTheme="minorHAnsi" w:cstheme="minorBidi"/>
            <w:sz w:val="22"/>
            <w:szCs w:val="22"/>
            <w:lang w:val="en-IE" w:eastAsia="en-IE"/>
          </w:rPr>
          <w:tab/>
        </w:r>
        <w:r w:rsidR="004D1E75" w:rsidRPr="00676E65">
          <w:rPr>
            <w:rStyle w:val="Hyperlink"/>
          </w:rPr>
          <w:t>Method</w:t>
        </w:r>
        <w:r w:rsidR="004D1E75">
          <w:rPr>
            <w:webHidden/>
          </w:rPr>
          <w:tab/>
        </w:r>
        <w:r>
          <w:rPr>
            <w:webHidden/>
          </w:rPr>
          <w:fldChar w:fldCharType="begin"/>
        </w:r>
        <w:r w:rsidR="004D1E75">
          <w:rPr>
            <w:webHidden/>
          </w:rPr>
          <w:instrText xml:space="preserve"> PAGEREF _Toc302293435 \h </w:instrText>
        </w:r>
        <w:r>
          <w:rPr>
            <w:webHidden/>
          </w:rPr>
        </w:r>
        <w:r>
          <w:rPr>
            <w:webHidden/>
          </w:rPr>
          <w:fldChar w:fldCharType="separate"/>
        </w:r>
        <w:r w:rsidR="00F96900">
          <w:rPr>
            <w:webHidden/>
          </w:rPr>
          <w:t>19</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36" w:history="1">
        <w:r w:rsidR="004D1E75" w:rsidRPr="00676E65">
          <w:rPr>
            <w:rStyle w:val="Hyperlink"/>
            <w:noProof/>
          </w:rPr>
          <w:t>4.1.1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Data sources</w:t>
        </w:r>
        <w:r w:rsidR="004D1E75">
          <w:rPr>
            <w:noProof/>
            <w:webHidden/>
          </w:rPr>
          <w:tab/>
        </w:r>
        <w:r>
          <w:rPr>
            <w:noProof/>
            <w:webHidden/>
          </w:rPr>
          <w:fldChar w:fldCharType="begin"/>
        </w:r>
        <w:r w:rsidR="004D1E75">
          <w:rPr>
            <w:noProof/>
            <w:webHidden/>
          </w:rPr>
          <w:instrText xml:space="preserve"> PAGEREF _Toc302293436 \h </w:instrText>
        </w:r>
        <w:r>
          <w:rPr>
            <w:noProof/>
            <w:webHidden/>
          </w:rPr>
        </w:r>
        <w:r>
          <w:rPr>
            <w:noProof/>
            <w:webHidden/>
          </w:rPr>
          <w:fldChar w:fldCharType="separate"/>
        </w:r>
        <w:r w:rsidR="00F96900">
          <w:rPr>
            <w:noProof/>
            <w:webHidden/>
          </w:rPr>
          <w:t>19</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37" w:history="1">
        <w:r w:rsidR="004D1E75" w:rsidRPr="00676E65">
          <w:rPr>
            <w:rStyle w:val="Hyperlink"/>
            <w:noProof/>
          </w:rPr>
          <w:t>4.1.2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Analysis</w:t>
        </w:r>
        <w:r w:rsidR="004D1E75">
          <w:rPr>
            <w:noProof/>
            <w:webHidden/>
          </w:rPr>
          <w:tab/>
        </w:r>
        <w:r>
          <w:rPr>
            <w:noProof/>
            <w:webHidden/>
          </w:rPr>
          <w:fldChar w:fldCharType="begin"/>
        </w:r>
        <w:r w:rsidR="004D1E75">
          <w:rPr>
            <w:noProof/>
            <w:webHidden/>
          </w:rPr>
          <w:instrText xml:space="preserve"> PAGEREF _Toc302293437 \h </w:instrText>
        </w:r>
        <w:r>
          <w:rPr>
            <w:noProof/>
            <w:webHidden/>
          </w:rPr>
        </w:r>
        <w:r>
          <w:rPr>
            <w:noProof/>
            <w:webHidden/>
          </w:rPr>
          <w:fldChar w:fldCharType="separate"/>
        </w:r>
        <w:r w:rsidR="00F96900">
          <w:rPr>
            <w:noProof/>
            <w:webHidden/>
          </w:rPr>
          <w:t>19</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38" w:history="1">
        <w:r w:rsidR="004D1E75" w:rsidRPr="00676E65">
          <w:rPr>
            <w:rStyle w:val="Hyperlink"/>
          </w:rPr>
          <w:t>4.2</w:t>
        </w:r>
        <w:r w:rsidR="004D1E75">
          <w:rPr>
            <w:rFonts w:asciiTheme="minorHAnsi" w:eastAsiaTheme="minorEastAsia" w:hAnsiTheme="minorHAnsi" w:cstheme="minorBidi"/>
            <w:sz w:val="22"/>
            <w:szCs w:val="22"/>
            <w:lang w:val="en-IE" w:eastAsia="en-IE"/>
          </w:rPr>
          <w:tab/>
        </w:r>
        <w:r w:rsidR="004D1E75" w:rsidRPr="00676E65">
          <w:rPr>
            <w:rStyle w:val="Hyperlink"/>
          </w:rPr>
          <w:t>Results</w:t>
        </w:r>
        <w:r w:rsidR="004D1E75">
          <w:rPr>
            <w:webHidden/>
          </w:rPr>
          <w:tab/>
        </w:r>
        <w:r>
          <w:rPr>
            <w:webHidden/>
          </w:rPr>
          <w:fldChar w:fldCharType="begin"/>
        </w:r>
        <w:r w:rsidR="004D1E75">
          <w:rPr>
            <w:webHidden/>
          </w:rPr>
          <w:instrText xml:space="preserve"> PAGEREF _Toc302293438 \h </w:instrText>
        </w:r>
        <w:r>
          <w:rPr>
            <w:webHidden/>
          </w:rPr>
        </w:r>
        <w:r>
          <w:rPr>
            <w:webHidden/>
          </w:rPr>
          <w:fldChar w:fldCharType="separate"/>
        </w:r>
        <w:r w:rsidR="00F96900">
          <w:rPr>
            <w:webHidden/>
          </w:rPr>
          <w:t>20</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39" w:history="1">
        <w:r w:rsidR="004D1E75" w:rsidRPr="00676E65">
          <w:rPr>
            <w:rStyle w:val="Hyperlink"/>
            <w:noProof/>
          </w:rPr>
          <w:t>4.2.1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Deprivation</w:t>
        </w:r>
        <w:r w:rsidR="004D1E75">
          <w:rPr>
            <w:noProof/>
            <w:webHidden/>
          </w:rPr>
          <w:tab/>
        </w:r>
        <w:r>
          <w:rPr>
            <w:noProof/>
            <w:webHidden/>
          </w:rPr>
          <w:fldChar w:fldCharType="begin"/>
        </w:r>
        <w:r w:rsidR="004D1E75">
          <w:rPr>
            <w:noProof/>
            <w:webHidden/>
          </w:rPr>
          <w:instrText xml:space="preserve"> PAGEREF _Toc302293439 \h </w:instrText>
        </w:r>
        <w:r>
          <w:rPr>
            <w:noProof/>
            <w:webHidden/>
          </w:rPr>
        </w:r>
        <w:r>
          <w:rPr>
            <w:noProof/>
            <w:webHidden/>
          </w:rPr>
          <w:fldChar w:fldCharType="separate"/>
        </w:r>
        <w:r w:rsidR="00F96900">
          <w:rPr>
            <w:noProof/>
            <w:webHidden/>
          </w:rPr>
          <w:t>20</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0" w:history="1">
        <w:r w:rsidR="004D1E75" w:rsidRPr="00676E65">
          <w:rPr>
            <w:rStyle w:val="Hyperlink"/>
            <w:noProof/>
          </w:rPr>
          <w:t>4.2.2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Age and gender</w:t>
        </w:r>
        <w:r w:rsidR="004D1E75">
          <w:rPr>
            <w:noProof/>
            <w:webHidden/>
          </w:rPr>
          <w:tab/>
        </w:r>
        <w:r>
          <w:rPr>
            <w:noProof/>
            <w:webHidden/>
          </w:rPr>
          <w:fldChar w:fldCharType="begin"/>
        </w:r>
        <w:r w:rsidR="004D1E75">
          <w:rPr>
            <w:noProof/>
            <w:webHidden/>
          </w:rPr>
          <w:instrText xml:space="preserve"> PAGEREF _Toc302293440 \h </w:instrText>
        </w:r>
        <w:r>
          <w:rPr>
            <w:noProof/>
            <w:webHidden/>
          </w:rPr>
        </w:r>
        <w:r>
          <w:rPr>
            <w:noProof/>
            <w:webHidden/>
          </w:rPr>
          <w:fldChar w:fldCharType="separate"/>
        </w:r>
        <w:r w:rsidR="00F96900">
          <w:rPr>
            <w:noProof/>
            <w:webHidden/>
          </w:rPr>
          <w:t>22</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1" w:history="1">
        <w:r w:rsidR="004D1E75" w:rsidRPr="00676E65">
          <w:rPr>
            <w:rStyle w:val="Hyperlink"/>
            <w:noProof/>
          </w:rPr>
          <w:t>4.2.3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Ethnicity</w:t>
        </w:r>
        <w:r w:rsidR="004D1E75">
          <w:rPr>
            <w:noProof/>
            <w:webHidden/>
          </w:rPr>
          <w:tab/>
        </w:r>
        <w:r>
          <w:rPr>
            <w:noProof/>
            <w:webHidden/>
          </w:rPr>
          <w:fldChar w:fldCharType="begin"/>
        </w:r>
        <w:r w:rsidR="004D1E75">
          <w:rPr>
            <w:noProof/>
            <w:webHidden/>
          </w:rPr>
          <w:instrText xml:space="preserve"> PAGEREF _Toc302293441 \h </w:instrText>
        </w:r>
        <w:r>
          <w:rPr>
            <w:noProof/>
            <w:webHidden/>
          </w:rPr>
        </w:r>
        <w:r>
          <w:rPr>
            <w:noProof/>
            <w:webHidden/>
          </w:rPr>
          <w:fldChar w:fldCharType="separate"/>
        </w:r>
        <w:r w:rsidR="00F96900">
          <w:rPr>
            <w:noProof/>
            <w:webHidden/>
          </w:rPr>
          <w:t>26</w:t>
        </w:r>
        <w:r>
          <w:rPr>
            <w:noProof/>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42" w:history="1">
        <w:r w:rsidR="004D1E75" w:rsidRPr="00676E65">
          <w:rPr>
            <w:rStyle w:val="Hyperlink"/>
          </w:rPr>
          <w:t>5</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Epidemiology of eye conditions</w:t>
        </w:r>
        <w:r w:rsidR="004D1E75">
          <w:rPr>
            <w:webHidden/>
          </w:rPr>
          <w:tab/>
        </w:r>
        <w:r>
          <w:rPr>
            <w:webHidden/>
          </w:rPr>
          <w:fldChar w:fldCharType="begin"/>
        </w:r>
        <w:r w:rsidR="004D1E75">
          <w:rPr>
            <w:webHidden/>
          </w:rPr>
          <w:instrText xml:space="preserve"> PAGEREF _Toc302293442 \h </w:instrText>
        </w:r>
        <w:r>
          <w:rPr>
            <w:webHidden/>
          </w:rPr>
        </w:r>
        <w:r>
          <w:rPr>
            <w:webHidden/>
          </w:rPr>
          <w:fldChar w:fldCharType="separate"/>
        </w:r>
        <w:r w:rsidR="00F96900">
          <w:rPr>
            <w:webHidden/>
          </w:rPr>
          <w:t>26</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43" w:history="1">
        <w:r w:rsidR="004D1E75" w:rsidRPr="00676E65">
          <w:rPr>
            <w:rStyle w:val="Hyperlink"/>
          </w:rPr>
          <w:t>5.1</w:t>
        </w:r>
        <w:r w:rsidR="004D1E75">
          <w:rPr>
            <w:rFonts w:asciiTheme="minorHAnsi" w:eastAsiaTheme="minorEastAsia" w:hAnsiTheme="minorHAnsi" w:cstheme="minorBidi"/>
            <w:sz w:val="22"/>
            <w:szCs w:val="22"/>
            <w:lang w:val="en-IE" w:eastAsia="en-IE"/>
          </w:rPr>
          <w:tab/>
        </w:r>
        <w:r w:rsidR="004D1E75" w:rsidRPr="00676E65">
          <w:rPr>
            <w:rStyle w:val="Hyperlink"/>
          </w:rPr>
          <w:t>Data sources</w:t>
        </w:r>
        <w:r w:rsidR="004D1E75">
          <w:rPr>
            <w:webHidden/>
          </w:rPr>
          <w:tab/>
        </w:r>
        <w:r>
          <w:rPr>
            <w:webHidden/>
          </w:rPr>
          <w:fldChar w:fldCharType="begin"/>
        </w:r>
        <w:r w:rsidR="004D1E75">
          <w:rPr>
            <w:webHidden/>
          </w:rPr>
          <w:instrText xml:space="preserve"> PAGEREF _Toc302293443 \h </w:instrText>
        </w:r>
        <w:r>
          <w:rPr>
            <w:webHidden/>
          </w:rPr>
        </w:r>
        <w:r>
          <w:rPr>
            <w:webHidden/>
          </w:rPr>
          <w:fldChar w:fldCharType="separate"/>
        </w:r>
        <w:r w:rsidR="00F96900">
          <w:rPr>
            <w:webHidden/>
          </w:rPr>
          <w:t>26</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4" w:history="1">
        <w:r w:rsidR="004D1E75" w:rsidRPr="00676E65">
          <w:rPr>
            <w:rStyle w:val="Hyperlink"/>
            <w:noProof/>
          </w:rPr>
          <w:t>5.1.1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National Eye Health Epidemiological Model</w:t>
        </w:r>
        <w:r w:rsidR="004D1E75">
          <w:rPr>
            <w:noProof/>
            <w:webHidden/>
          </w:rPr>
          <w:tab/>
        </w:r>
        <w:r>
          <w:rPr>
            <w:noProof/>
            <w:webHidden/>
          </w:rPr>
          <w:fldChar w:fldCharType="begin"/>
        </w:r>
        <w:r w:rsidR="004D1E75">
          <w:rPr>
            <w:noProof/>
            <w:webHidden/>
          </w:rPr>
          <w:instrText xml:space="preserve"> PAGEREF _Toc302293444 \h </w:instrText>
        </w:r>
        <w:r>
          <w:rPr>
            <w:noProof/>
            <w:webHidden/>
          </w:rPr>
        </w:r>
        <w:r>
          <w:rPr>
            <w:noProof/>
            <w:webHidden/>
          </w:rPr>
          <w:fldChar w:fldCharType="separate"/>
        </w:r>
        <w:r w:rsidR="00F96900">
          <w:rPr>
            <w:noProof/>
            <w:webHidden/>
          </w:rPr>
          <w:t>26</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5" w:history="1">
        <w:r w:rsidR="004D1E75" w:rsidRPr="00676E65">
          <w:rPr>
            <w:rStyle w:val="Hyperlink"/>
            <w:noProof/>
          </w:rPr>
          <w:t>5.1.2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GP annual prevalence survey</w:t>
        </w:r>
        <w:r w:rsidR="004D1E75">
          <w:rPr>
            <w:noProof/>
            <w:webHidden/>
          </w:rPr>
          <w:tab/>
        </w:r>
        <w:r>
          <w:rPr>
            <w:noProof/>
            <w:webHidden/>
          </w:rPr>
          <w:fldChar w:fldCharType="begin"/>
        </w:r>
        <w:r w:rsidR="004D1E75">
          <w:rPr>
            <w:noProof/>
            <w:webHidden/>
          </w:rPr>
          <w:instrText xml:space="preserve"> PAGEREF _Toc302293445 \h </w:instrText>
        </w:r>
        <w:r>
          <w:rPr>
            <w:noProof/>
            <w:webHidden/>
          </w:rPr>
        </w:r>
        <w:r>
          <w:rPr>
            <w:noProof/>
            <w:webHidden/>
          </w:rPr>
          <w:fldChar w:fldCharType="separate"/>
        </w:r>
        <w:r w:rsidR="00F96900">
          <w:rPr>
            <w:noProof/>
            <w:webHidden/>
          </w:rPr>
          <w:t>29</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6" w:history="1">
        <w:r w:rsidR="004D1E75" w:rsidRPr="00676E65">
          <w:rPr>
            <w:rStyle w:val="Hyperlink"/>
            <w:noProof/>
          </w:rPr>
          <w:t>5.1.3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Quality and Outcomes Framework data</w:t>
        </w:r>
        <w:r w:rsidR="004D1E75">
          <w:rPr>
            <w:noProof/>
            <w:webHidden/>
          </w:rPr>
          <w:tab/>
        </w:r>
        <w:r>
          <w:rPr>
            <w:noProof/>
            <w:webHidden/>
          </w:rPr>
          <w:fldChar w:fldCharType="begin"/>
        </w:r>
        <w:r w:rsidR="004D1E75">
          <w:rPr>
            <w:noProof/>
            <w:webHidden/>
          </w:rPr>
          <w:instrText xml:space="preserve"> PAGEREF _Toc302293446 \h </w:instrText>
        </w:r>
        <w:r>
          <w:rPr>
            <w:noProof/>
            <w:webHidden/>
          </w:rPr>
        </w:r>
        <w:r>
          <w:rPr>
            <w:noProof/>
            <w:webHidden/>
          </w:rPr>
          <w:fldChar w:fldCharType="separate"/>
        </w:r>
        <w:r w:rsidR="00F96900">
          <w:rPr>
            <w:noProof/>
            <w:webHidden/>
          </w:rPr>
          <w:t>30</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7" w:history="1">
        <w:r w:rsidR="004D1E75" w:rsidRPr="00676E65">
          <w:rPr>
            <w:rStyle w:val="Hyperlink"/>
            <w:noProof/>
          </w:rPr>
          <w:t>5.1.4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Association of Public Health Observatories and Welsh Health Survey data</w:t>
        </w:r>
        <w:r w:rsidR="004D1E75">
          <w:rPr>
            <w:noProof/>
            <w:webHidden/>
          </w:rPr>
          <w:tab/>
        </w:r>
        <w:r>
          <w:rPr>
            <w:noProof/>
            <w:webHidden/>
          </w:rPr>
          <w:fldChar w:fldCharType="begin"/>
        </w:r>
        <w:r w:rsidR="004D1E75">
          <w:rPr>
            <w:noProof/>
            <w:webHidden/>
          </w:rPr>
          <w:instrText xml:space="preserve"> PAGEREF _Toc302293447 \h </w:instrText>
        </w:r>
        <w:r>
          <w:rPr>
            <w:noProof/>
            <w:webHidden/>
          </w:rPr>
        </w:r>
        <w:r>
          <w:rPr>
            <w:noProof/>
            <w:webHidden/>
          </w:rPr>
          <w:fldChar w:fldCharType="separate"/>
        </w:r>
        <w:r w:rsidR="00F96900">
          <w:rPr>
            <w:noProof/>
            <w:webHidden/>
          </w:rPr>
          <w:t>30</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48" w:history="1">
        <w:r w:rsidR="004D1E75" w:rsidRPr="00676E65">
          <w:rPr>
            <w:rStyle w:val="Hyperlink"/>
          </w:rPr>
          <w:t>5.2</w:t>
        </w:r>
        <w:r w:rsidR="004D1E75">
          <w:rPr>
            <w:rFonts w:asciiTheme="minorHAnsi" w:eastAsiaTheme="minorEastAsia" w:hAnsiTheme="minorHAnsi" w:cstheme="minorBidi"/>
            <w:sz w:val="22"/>
            <w:szCs w:val="22"/>
            <w:lang w:val="en-IE" w:eastAsia="en-IE"/>
          </w:rPr>
          <w:tab/>
        </w:r>
        <w:r w:rsidR="004D1E75" w:rsidRPr="00676E65">
          <w:rPr>
            <w:rStyle w:val="Hyperlink"/>
          </w:rPr>
          <w:t>Data analysis</w:t>
        </w:r>
        <w:r w:rsidR="004D1E75">
          <w:rPr>
            <w:webHidden/>
          </w:rPr>
          <w:tab/>
        </w:r>
        <w:r>
          <w:rPr>
            <w:webHidden/>
          </w:rPr>
          <w:fldChar w:fldCharType="begin"/>
        </w:r>
        <w:r w:rsidR="004D1E75">
          <w:rPr>
            <w:webHidden/>
          </w:rPr>
          <w:instrText xml:space="preserve"> PAGEREF _Toc302293448 \h </w:instrText>
        </w:r>
        <w:r>
          <w:rPr>
            <w:webHidden/>
          </w:rPr>
        </w:r>
        <w:r>
          <w:rPr>
            <w:webHidden/>
          </w:rPr>
          <w:fldChar w:fldCharType="separate"/>
        </w:r>
        <w:r w:rsidR="00F96900">
          <w:rPr>
            <w:webHidden/>
          </w:rPr>
          <w:t>30</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49" w:history="1">
        <w:r w:rsidR="004D1E75" w:rsidRPr="00676E65">
          <w:rPr>
            <w:rStyle w:val="Hyperlink"/>
            <w:noProof/>
          </w:rPr>
          <w:t>5.2.1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National Eye Health Epidemiological Model</w:t>
        </w:r>
        <w:r w:rsidR="004D1E75">
          <w:rPr>
            <w:noProof/>
            <w:webHidden/>
          </w:rPr>
          <w:tab/>
        </w:r>
        <w:r>
          <w:rPr>
            <w:noProof/>
            <w:webHidden/>
          </w:rPr>
          <w:fldChar w:fldCharType="begin"/>
        </w:r>
        <w:r w:rsidR="004D1E75">
          <w:rPr>
            <w:noProof/>
            <w:webHidden/>
          </w:rPr>
          <w:instrText xml:space="preserve"> PAGEREF _Toc302293449 \h </w:instrText>
        </w:r>
        <w:r>
          <w:rPr>
            <w:noProof/>
            <w:webHidden/>
          </w:rPr>
        </w:r>
        <w:r>
          <w:rPr>
            <w:noProof/>
            <w:webHidden/>
          </w:rPr>
          <w:fldChar w:fldCharType="separate"/>
        </w:r>
        <w:r w:rsidR="00F96900">
          <w:rPr>
            <w:noProof/>
            <w:webHidden/>
          </w:rPr>
          <w:t>30</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0" w:history="1">
        <w:r w:rsidR="004D1E75" w:rsidRPr="00676E65">
          <w:rPr>
            <w:rStyle w:val="Hyperlink"/>
            <w:noProof/>
          </w:rPr>
          <w:t>5.2.2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GP annual prevalence survey</w:t>
        </w:r>
        <w:r w:rsidR="004D1E75">
          <w:rPr>
            <w:noProof/>
            <w:webHidden/>
          </w:rPr>
          <w:tab/>
        </w:r>
        <w:r>
          <w:rPr>
            <w:noProof/>
            <w:webHidden/>
          </w:rPr>
          <w:fldChar w:fldCharType="begin"/>
        </w:r>
        <w:r w:rsidR="004D1E75">
          <w:rPr>
            <w:noProof/>
            <w:webHidden/>
          </w:rPr>
          <w:instrText xml:space="preserve"> PAGEREF _Toc302293450 \h </w:instrText>
        </w:r>
        <w:r>
          <w:rPr>
            <w:noProof/>
            <w:webHidden/>
          </w:rPr>
        </w:r>
        <w:r>
          <w:rPr>
            <w:noProof/>
            <w:webHidden/>
          </w:rPr>
          <w:fldChar w:fldCharType="separate"/>
        </w:r>
        <w:r w:rsidR="00F96900">
          <w:rPr>
            <w:noProof/>
            <w:webHidden/>
          </w:rPr>
          <w:t>31</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1" w:history="1">
        <w:r w:rsidR="004D1E75" w:rsidRPr="00676E65">
          <w:rPr>
            <w:rStyle w:val="Hyperlink"/>
            <w:noProof/>
          </w:rPr>
          <w:t>5.2.3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Quality and Outcomes Framework data</w:t>
        </w:r>
        <w:r w:rsidR="004D1E75">
          <w:rPr>
            <w:noProof/>
            <w:webHidden/>
          </w:rPr>
          <w:tab/>
        </w:r>
        <w:r>
          <w:rPr>
            <w:noProof/>
            <w:webHidden/>
          </w:rPr>
          <w:fldChar w:fldCharType="begin"/>
        </w:r>
        <w:r w:rsidR="004D1E75">
          <w:rPr>
            <w:noProof/>
            <w:webHidden/>
          </w:rPr>
          <w:instrText xml:space="preserve"> PAGEREF _Toc302293451 \h </w:instrText>
        </w:r>
        <w:r>
          <w:rPr>
            <w:noProof/>
            <w:webHidden/>
          </w:rPr>
        </w:r>
        <w:r>
          <w:rPr>
            <w:noProof/>
            <w:webHidden/>
          </w:rPr>
          <w:fldChar w:fldCharType="separate"/>
        </w:r>
        <w:r w:rsidR="00F96900">
          <w:rPr>
            <w:noProof/>
            <w:webHidden/>
          </w:rPr>
          <w:t>31</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2" w:history="1">
        <w:r w:rsidR="004D1E75" w:rsidRPr="00676E65">
          <w:rPr>
            <w:rStyle w:val="Hyperlink"/>
            <w:noProof/>
          </w:rPr>
          <w:t>5.2.4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Association of Public Health Observatories and Welsh Health Survey data</w:t>
        </w:r>
        <w:r w:rsidR="004D1E75">
          <w:rPr>
            <w:noProof/>
            <w:webHidden/>
          </w:rPr>
          <w:tab/>
        </w:r>
        <w:r>
          <w:rPr>
            <w:noProof/>
            <w:webHidden/>
          </w:rPr>
          <w:fldChar w:fldCharType="begin"/>
        </w:r>
        <w:r w:rsidR="004D1E75">
          <w:rPr>
            <w:noProof/>
            <w:webHidden/>
          </w:rPr>
          <w:instrText xml:space="preserve"> PAGEREF _Toc302293452 \h </w:instrText>
        </w:r>
        <w:r>
          <w:rPr>
            <w:noProof/>
            <w:webHidden/>
          </w:rPr>
        </w:r>
        <w:r>
          <w:rPr>
            <w:noProof/>
            <w:webHidden/>
          </w:rPr>
          <w:fldChar w:fldCharType="separate"/>
        </w:r>
        <w:r w:rsidR="00F96900">
          <w:rPr>
            <w:noProof/>
            <w:webHidden/>
          </w:rPr>
          <w:t>32</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53" w:history="1">
        <w:r w:rsidR="004D1E75" w:rsidRPr="00676E65">
          <w:rPr>
            <w:rStyle w:val="Hyperlink"/>
          </w:rPr>
          <w:t>5.3</w:t>
        </w:r>
        <w:r w:rsidR="004D1E75">
          <w:rPr>
            <w:rFonts w:asciiTheme="minorHAnsi" w:eastAsiaTheme="minorEastAsia" w:hAnsiTheme="minorHAnsi" w:cstheme="minorBidi"/>
            <w:sz w:val="22"/>
            <w:szCs w:val="22"/>
            <w:lang w:val="en-IE" w:eastAsia="en-IE"/>
          </w:rPr>
          <w:tab/>
        </w:r>
        <w:r w:rsidR="004D1E75" w:rsidRPr="00676E65">
          <w:rPr>
            <w:rStyle w:val="Hyperlink"/>
          </w:rPr>
          <w:t>Results</w:t>
        </w:r>
        <w:r w:rsidR="004D1E75">
          <w:rPr>
            <w:webHidden/>
          </w:rPr>
          <w:tab/>
        </w:r>
        <w:r>
          <w:rPr>
            <w:webHidden/>
          </w:rPr>
          <w:fldChar w:fldCharType="begin"/>
        </w:r>
        <w:r w:rsidR="004D1E75">
          <w:rPr>
            <w:webHidden/>
          </w:rPr>
          <w:instrText xml:space="preserve"> PAGEREF _Toc302293453 \h </w:instrText>
        </w:r>
        <w:r>
          <w:rPr>
            <w:webHidden/>
          </w:rPr>
        </w:r>
        <w:r>
          <w:rPr>
            <w:webHidden/>
          </w:rPr>
          <w:fldChar w:fldCharType="separate"/>
        </w:r>
        <w:r w:rsidR="00F96900">
          <w:rPr>
            <w:webHidden/>
          </w:rPr>
          <w:t>32</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4" w:history="1">
        <w:r w:rsidR="004D1E75" w:rsidRPr="00676E65">
          <w:rPr>
            <w:rStyle w:val="Hyperlink"/>
            <w:noProof/>
          </w:rPr>
          <w:t>5.3.1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Vision impairment</w:t>
        </w:r>
        <w:r w:rsidR="004D1E75">
          <w:rPr>
            <w:noProof/>
            <w:webHidden/>
          </w:rPr>
          <w:tab/>
        </w:r>
        <w:r>
          <w:rPr>
            <w:noProof/>
            <w:webHidden/>
          </w:rPr>
          <w:fldChar w:fldCharType="begin"/>
        </w:r>
        <w:r w:rsidR="004D1E75">
          <w:rPr>
            <w:noProof/>
            <w:webHidden/>
          </w:rPr>
          <w:instrText xml:space="preserve"> PAGEREF _Toc302293454 \h </w:instrText>
        </w:r>
        <w:r>
          <w:rPr>
            <w:noProof/>
            <w:webHidden/>
          </w:rPr>
        </w:r>
        <w:r>
          <w:rPr>
            <w:noProof/>
            <w:webHidden/>
          </w:rPr>
          <w:fldChar w:fldCharType="separate"/>
        </w:r>
        <w:r w:rsidR="00F96900">
          <w:rPr>
            <w:noProof/>
            <w:webHidden/>
          </w:rPr>
          <w:t>32</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5" w:history="1">
        <w:r w:rsidR="004D1E75" w:rsidRPr="00676E65">
          <w:rPr>
            <w:rStyle w:val="Hyperlink"/>
            <w:noProof/>
          </w:rPr>
          <w:t>5.3.2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Diabetic retinopathy</w:t>
        </w:r>
        <w:r w:rsidR="004D1E75">
          <w:rPr>
            <w:noProof/>
            <w:webHidden/>
          </w:rPr>
          <w:tab/>
        </w:r>
        <w:r>
          <w:rPr>
            <w:noProof/>
            <w:webHidden/>
          </w:rPr>
          <w:fldChar w:fldCharType="begin"/>
        </w:r>
        <w:r w:rsidR="004D1E75">
          <w:rPr>
            <w:noProof/>
            <w:webHidden/>
          </w:rPr>
          <w:instrText xml:space="preserve"> PAGEREF _Toc302293455 \h </w:instrText>
        </w:r>
        <w:r>
          <w:rPr>
            <w:noProof/>
            <w:webHidden/>
          </w:rPr>
        </w:r>
        <w:r>
          <w:rPr>
            <w:noProof/>
            <w:webHidden/>
          </w:rPr>
          <w:fldChar w:fldCharType="separate"/>
        </w:r>
        <w:r w:rsidR="00F96900">
          <w:rPr>
            <w:noProof/>
            <w:webHidden/>
          </w:rPr>
          <w:t>34</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6" w:history="1">
        <w:r w:rsidR="004D1E75" w:rsidRPr="00676E65">
          <w:rPr>
            <w:rStyle w:val="Hyperlink"/>
            <w:noProof/>
          </w:rPr>
          <w:t>5.3.3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Glaucoma</w:t>
        </w:r>
        <w:r w:rsidR="004D1E75">
          <w:rPr>
            <w:noProof/>
            <w:webHidden/>
          </w:rPr>
          <w:tab/>
        </w:r>
        <w:r>
          <w:rPr>
            <w:noProof/>
            <w:webHidden/>
          </w:rPr>
          <w:fldChar w:fldCharType="begin"/>
        </w:r>
        <w:r w:rsidR="004D1E75">
          <w:rPr>
            <w:noProof/>
            <w:webHidden/>
          </w:rPr>
          <w:instrText xml:space="preserve"> PAGEREF _Toc302293456 \h </w:instrText>
        </w:r>
        <w:r>
          <w:rPr>
            <w:noProof/>
            <w:webHidden/>
          </w:rPr>
        </w:r>
        <w:r>
          <w:rPr>
            <w:noProof/>
            <w:webHidden/>
          </w:rPr>
          <w:fldChar w:fldCharType="separate"/>
        </w:r>
        <w:r w:rsidR="00F96900">
          <w:rPr>
            <w:noProof/>
            <w:webHidden/>
          </w:rPr>
          <w:t>41</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7" w:history="1">
        <w:r w:rsidR="004D1E75" w:rsidRPr="00676E65">
          <w:rPr>
            <w:rStyle w:val="Hyperlink"/>
            <w:noProof/>
          </w:rPr>
          <w:t>5.3.4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Cataracts</w:t>
        </w:r>
        <w:r w:rsidR="004D1E75">
          <w:rPr>
            <w:noProof/>
            <w:webHidden/>
          </w:rPr>
          <w:tab/>
        </w:r>
        <w:r>
          <w:rPr>
            <w:noProof/>
            <w:webHidden/>
          </w:rPr>
          <w:fldChar w:fldCharType="begin"/>
        </w:r>
        <w:r w:rsidR="004D1E75">
          <w:rPr>
            <w:noProof/>
            <w:webHidden/>
          </w:rPr>
          <w:instrText xml:space="preserve"> PAGEREF _Toc302293457 \h </w:instrText>
        </w:r>
        <w:r>
          <w:rPr>
            <w:noProof/>
            <w:webHidden/>
          </w:rPr>
        </w:r>
        <w:r>
          <w:rPr>
            <w:noProof/>
            <w:webHidden/>
          </w:rPr>
          <w:fldChar w:fldCharType="separate"/>
        </w:r>
        <w:r w:rsidR="00F96900">
          <w:rPr>
            <w:noProof/>
            <w:webHidden/>
          </w:rPr>
          <w:t>43</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58" w:history="1">
        <w:r w:rsidR="004D1E75" w:rsidRPr="00676E65">
          <w:rPr>
            <w:rStyle w:val="Hyperlink"/>
            <w:noProof/>
          </w:rPr>
          <w:t>5.3.5</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Age-related macular degeneration</w:t>
        </w:r>
        <w:r w:rsidR="004D1E75">
          <w:rPr>
            <w:noProof/>
            <w:webHidden/>
          </w:rPr>
          <w:tab/>
        </w:r>
        <w:r>
          <w:rPr>
            <w:noProof/>
            <w:webHidden/>
          </w:rPr>
          <w:fldChar w:fldCharType="begin"/>
        </w:r>
        <w:r w:rsidR="004D1E75">
          <w:rPr>
            <w:noProof/>
            <w:webHidden/>
          </w:rPr>
          <w:instrText xml:space="preserve"> PAGEREF _Toc302293458 \h </w:instrText>
        </w:r>
        <w:r>
          <w:rPr>
            <w:noProof/>
            <w:webHidden/>
          </w:rPr>
        </w:r>
        <w:r>
          <w:rPr>
            <w:noProof/>
            <w:webHidden/>
          </w:rPr>
          <w:fldChar w:fldCharType="separate"/>
        </w:r>
        <w:r w:rsidR="00F96900">
          <w:rPr>
            <w:noProof/>
            <w:webHidden/>
          </w:rPr>
          <w:t>46</w:t>
        </w:r>
        <w:r>
          <w:rPr>
            <w:noProof/>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59" w:history="1">
        <w:r w:rsidR="004D1E75" w:rsidRPr="00676E65">
          <w:rPr>
            <w:rStyle w:val="Hyperlink"/>
          </w:rPr>
          <w:t>6</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Eye health service provision</w:t>
        </w:r>
        <w:r w:rsidR="004D1E75">
          <w:rPr>
            <w:webHidden/>
          </w:rPr>
          <w:tab/>
        </w:r>
        <w:r>
          <w:rPr>
            <w:webHidden/>
          </w:rPr>
          <w:fldChar w:fldCharType="begin"/>
        </w:r>
        <w:r w:rsidR="004D1E75">
          <w:rPr>
            <w:webHidden/>
          </w:rPr>
          <w:instrText xml:space="preserve"> PAGEREF _Toc302293459 \h </w:instrText>
        </w:r>
        <w:r>
          <w:rPr>
            <w:webHidden/>
          </w:rPr>
        </w:r>
        <w:r>
          <w:rPr>
            <w:webHidden/>
          </w:rPr>
          <w:fldChar w:fldCharType="separate"/>
        </w:r>
        <w:r w:rsidR="00F96900">
          <w:rPr>
            <w:webHidden/>
          </w:rPr>
          <w:t>48</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60" w:history="1">
        <w:r w:rsidR="004D1E75" w:rsidRPr="00676E65">
          <w:rPr>
            <w:rStyle w:val="Hyperlink"/>
          </w:rPr>
          <w:t>6.1</w:t>
        </w:r>
        <w:r w:rsidR="004D1E75">
          <w:rPr>
            <w:rFonts w:asciiTheme="minorHAnsi" w:eastAsiaTheme="minorEastAsia" w:hAnsiTheme="minorHAnsi" w:cstheme="minorBidi"/>
            <w:sz w:val="22"/>
            <w:szCs w:val="22"/>
            <w:lang w:val="en-IE" w:eastAsia="en-IE"/>
          </w:rPr>
          <w:tab/>
        </w:r>
        <w:r w:rsidR="004D1E75" w:rsidRPr="00676E65">
          <w:rPr>
            <w:rStyle w:val="Hyperlink"/>
          </w:rPr>
          <w:t>Eye care in the Community</w:t>
        </w:r>
        <w:r w:rsidR="004D1E75">
          <w:rPr>
            <w:webHidden/>
          </w:rPr>
          <w:tab/>
        </w:r>
        <w:r>
          <w:rPr>
            <w:webHidden/>
          </w:rPr>
          <w:fldChar w:fldCharType="begin"/>
        </w:r>
        <w:r w:rsidR="004D1E75">
          <w:rPr>
            <w:webHidden/>
          </w:rPr>
          <w:instrText xml:space="preserve"> PAGEREF _Toc302293460 \h </w:instrText>
        </w:r>
        <w:r>
          <w:rPr>
            <w:webHidden/>
          </w:rPr>
        </w:r>
        <w:r>
          <w:rPr>
            <w:webHidden/>
          </w:rPr>
          <w:fldChar w:fldCharType="separate"/>
        </w:r>
        <w:r w:rsidR="00F96900">
          <w:rPr>
            <w:webHidden/>
          </w:rPr>
          <w:t>48</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1" w:history="1">
        <w:r w:rsidR="004D1E75" w:rsidRPr="00676E65">
          <w:rPr>
            <w:rStyle w:val="Hyperlink"/>
            <w:noProof/>
          </w:rPr>
          <w:t>6.1.1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Optometry</w:t>
        </w:r>
        <w:r w:rsidR="004D1E75">
          <w:rPr>
            <w:noProof/>
            <w:webHidden/>
          </w:rPr>
          <w:tab/>
        </w:r>
        <w:r>
          <w:rPr>
            <w:noProof/>
            <w:webHidden/>
          </w:rPr>
          <w:fldChar w:fldCharType="begin"/>
        </w:r>
        <w:r w:rsidR="004D1E75">
          <w:rPr>
            <w:noProof/>
            <w:webHidden/>
          </w:rPr>
          <w:instrText xml:space="preserve"> PAGEREF _Toc302293461 \h </w:instrText>
        </w:r>
        <w:r>
          <w:rPr>
            <w:noProof/>
            <w:webHidden/>
          </w:rPr>
        </w:r>
        <w:r>
          <w:rPr>
            <w:noProof/>
            <w:webHidden/>
          </w:rPr>
          <w:fldChar w:fldCharType="separate"/>
        </w:r>
        <w:r w:rsidR="00F96900">
          <w:rPr>
            <w:noProof/>
            <w:webHidden/>
          </w:rPr>
          <w:t>48</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2" w:history="1">
        <w:r w:rsidR="004D1E75" w:rsidRPr="00676E65">
          <w:rPr>
            <w:rStyle w:val="Hyperlink"/>
            <w:noProof/>
          </w:rPr>
          <w:t>6.1.2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Enhanced community eye care</w:t>
        </w:r>
        <w:r w:rsidR="004D1E75">
          <w:rPr>
            <w:noProof/>
            <w:webHidden/>
          </w:rPr>
          <w:tab/>
        </w:r>
        <w:r>
          <w:rPr>
            <w:noProof/>
            <w:webHidden/>
          </w:rPr>
          <w:fldChar w:fldCharType="begin"/>
        </w:r>
        <w:r w:rsidR="004D1E75">
          <w:rPr>
            <w:noProof/>
            <w:webHidden/>
          </w:rPr>
          <w:instrText xml:space="preserve"> PAGEREF _Toc302293462 \h </w:instrText>
        </w:r>
        <w:r>
          <w:rPr>
            <w:noProof/>
            <w:webHidden/>
          </w:rPr>
        </w:r>
        <w:r>
          <w:rPr>
            <w:noProof/>
            <w:webHidden/>
          </w:rPr>
          <w:fldChar w:fldCharType="separate"/>
        </w:r>
        <w:r w:rsidR="00F96900">
          <w:rPr>
            <w:noProof/>
            <w:webHidden/>
          </w:rPr>
          <w:t>51</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3" w:history="1">
        <w:r w:rsidR="004D1E75" w:rsidRPr="00676E65">
          <w:rPr>
            <w:rStyle w:val="Hyperlink"/>
            <w:noProof/>
          </w:rPr>
          <w:t>6.1.3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Diabetic retinopathy screening</w:t>
        </w:r>
        <w:r w:rsidR="004D1E75">
          <w:rPr>
            <w:noProof/>
            <w:webHidden/>
          </w:rPr>
          <w:tab/>
        </w:r>
        <w:r>
          <w:rPr>
            <w:noProof/>
            <w:webHidden/>
          </w:rPr>
          <w:fldChar w:fldCharType="begin"/>
        </w:r>
        <w:r w:rsidR="004D1E75">
          <w:rPr>
            <w:noProof/>
            <w:webHidden/>
          </w:rPr>
          <w:instrText xml:space="preserve"> PAGEREF _Toc302293463 \h </w:instrText>
        </w:r>
        <w:r>
          <w:rPr>
            <w:noProof/>
            <w:webHidden/>
          </w:rPr>
        </w:r>
        <w:r>
          <w:rPr>
            <w:noProof/>
            <w:webHidden/>
          </w:rPr>
          <w:fldChar w:fldCharType="separate"/>
        </w:r>
        <w:r w:rsidR="00F96900">
          <w:rPr>
            <w:noProof/>
            <w:webHidden/>
          </w:rPr>
          <w:t>53</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4" w:history="1">
        <w:r w:rsidR="004D1E75" w:rsidRPr="00676E65">
          <w:rPr>
            <w:rStyle w:val="Hyperlink"/>
            <w:noProof/>
          </w:rPr>
          <w:t>6.1.4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Ophthalmic primary care</w:t>
        </w:r>
        <w:r w:rsidR="004D1E75">
          <w:rPr>
            <w:noProof/>
            <w:webHidden/>
          </w:rPr>
          <w:tab/>
        </w:r>
        <w:r>
          <w:rPr>
            <w:noProof/>
            <w:webHidden/>
          </w:rPr>
          <w:fldChar w:fldCharType="begin"/>
        </w:r>
        <w:r w:rsidR="004D1E75">
          <w:rPr>
            <w:noProof/>
            <w:webHidden/>
          </w:rPr>
          <w:instrText xml:space="preserve"> PAGEREF _Toc302293464 \h </w:instrText>
        </w:r>
        <w:r>
          <w:rPr>
            <w:noProof/>
            <w:webHidden/>
          </w:rPr>
        </w:r>
        <w:r>
          <w:rPr>
            <w:noProof/>
            <w:webHidden/>
          </w:rPr>
          <w:fldChar w:fldCharType="separate"/>
        </w:r>
        <w:r w:rsidR="00F96900">
          <w:rPr>
            <w:noProof/>
            <w:webHidden/>
          </w:rPr>
          <w:t>53</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5" w:history="1">
        <w:r w:rsidR="004D1E75" w:rsidRPr="00676E65">
          <w:rPr>
            <w:rStyle w:val="Hyperlink"/>
            <w:noProof/>
          </w:rPr>
          <w:t>6.1.5</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Certificate of visual impairment and local authority registration</w:t>
        </w:r>
        <w:r w:rsidR="004D1E75">
          <w:rPr>
            <w:noProof/>
            <w:webHidden/>
          </w:rPr>
          <w:tab/>
        </w:r>
        <w:r>
          <w:rPr>
            <w:noProof/>
            <w:webHidden/>
          </w:rPr>
          <w:fldChar w:fldCharType="begin"/>
        </w:r>
        <w:r w:rsidR="004D1E75">
          <w:rPr>
            <w:noProof/>
            <w:webHidden/>
          </w:rPr>
          <w:instrText xml:space="preserve"> PAGEREF _Toc302293465 \h </w:instrText>
        </w:r>
        <w:r>
          <w:rPr>
            <w:noProof/>
            <w:webHidden/>
          </w:rPr>
        </w:r>
        <w:r>
          <w:rPr>
            <w:noProof/>
            <w:webHidden/>
          </w:rPr>
          <w:fldChar w:fldCharType="separate"/>
        </w:r>
        <w:r w:rsidR="00F96900">
          <w:rPr>
            <w:noProof/>
            <w:webHidden/>
          </w:rPr>
          <w:t>53</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66" w:history="1">
        <w:r w:rsidR="004D1E75" w:rsidRPr="00676E65">
          <w:rPr>
            <w:rStyle w:val="Hyperlink"/>
            <w:noProof/>
            <w:lang w:eastAsia="en-GB"/>
          </w:rPr>
          <w:t>6.1.6</w:t>
        </w:r>
        <w:r w:rsidR="004D1E75">
          <w:rPr>
            <w:rFonts w:asciiTheme="minorHAnsi" w:eastAsiaTheme="minorEastAsia" w:hAnsiTheme="minorHAnsi" w:cstheme="minorBidi"/>
            <w:noProof/>
            <w:sz w:val="22"/>
            <w:szCs w:val="22"/>
            <w:lang w:val="en-IE" w:eastAsia="en-IE"/>
          </w:rPr>
          <w:tab/>
        </w:r>
        <w:r w:rsidR="004D1E75" w:rsidRPr="00676E65">
          <w:rPr>
            <w:rStyle w:val="Hyperlink"/>
            <w:noProof/>
            <w:lang w:eastAsia="en-GB"/>
          </w:rPr>
          <w:t>Pharmacy</w:t>
        </w:r>
        <w:r w:rsidR="004D1E75">
          <w:rPr>
            <w:noProof/>
            <w:webHidden/>
          </w:rPr>
          <w:tab/>
        </w:r>
        <w:r>
          <w:rPr>
            <w:noProof/>
            <w:webHidden/>
          </w:rPr>
          <w:fldChar w:fldCharType="begin"/>
        </w:r>
        <w:r w:rsidR="004D1E75">
          <w:rPr>
            <w:noProof/>
            <w:webHidden/>
          </w:rPr>
          <w:instrText xml:space="preserve"> PAGEREF _Toc302293466 \h </w:instrText>
        </w:r>
        <w:r>
          <w:rPr>
            <w:noProof/>
            <w:webHidden/>
          </w:rPr>
        </w:r>
        <w:r>
          <w:rPr>
            <w:noProof/>
            <w:webHidden/>
          </w:rPr>
          <w:fldChar w:fldCharType="separate"/>
        </w:r>
        <w:r w:rsidR="00F96900">
          <w:rPr>
            <w:noProof/>
            <w:webHidden/>
          </w:rPr>
          <w:t>54</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67" w:history="1">
        <w:r w:rsidR="004D1E75" w:rsidRPr="00676E65">
          <w:rPr>
            <w:rStyle w:val="Hyperlink"/>
          </w:rPr>
          <w:t>6.2</w:t>
        </w:r>
        <w:r w:rsidR="004D1E75">
          <w:rPr>
            <w:rFonts w:asciiTheme="minorHAnsi" w:eastAsiaTheme="minorEastAsia" w:hAnsiTheme="minorHAnsi" w:cstheme="minorBidi"/>
            <w:sz w:val="22"/>
            <w:szCs w:val="22"/>
            <w:lang w:val="en-IE" w:eastAsia="en-IE"/>
          </w:rPr>
          <w:tab/>
        </w:r>
        <w:r w:rsidR="004D1E75" w:rsidRPr="00676E65">
          <w:rPr>
            <w:rStyle w:val="Hyperlink"/>
          </w:rPr>
          <w:t>Secondary care</w:t>
        </w:r>
        <w:r w:rsidR="004D1E75">
          <w:rPr>
            <w:webHidden/>
          </w:rPr>
          <w:tab/>
        </w:r>
        <w:r>
          <w:rPr>
            <w:webHidden/>
          </w:rPr>
          <w:fldChar w:fldCharType="begin"/>
        </w:r>
        <w:r w:rsidR="004D1E75">
          <w:rPr>
            <w:webHidden/>
          </w:rPr>
          <w:instrText xml:space="preserve"> PAGEREF _Toc302293467 \h </w:instrText>
        </w:r>
        <w:r>
          <w:rPr>
            <w:webHidden/>
          </w:rPr>
        </w:r>
        <w:r>
          <w:rPr>
            <w:webHidden/>
          </w:rPr>
          <w:fldChar w:fldCharType="separate"/>
        </w:r>
        <w:r w:rsidR="00F96900">
          <w:rPr>
            <w:webHidden/>
          </w:rPr>
          <w:t>54</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68" w:history="1">
        <w:r w:rsidR="004D1E75" w:rsidRPr="00676E65">
          <w:rPr>
            <w:rStyle w:val="Hyperlink"/>
          </w:rPr>
          <w:t>7</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Eye health service uptake</w:t>
        </w:r>
        <w:r w:rsidR="004D1E75">
          <w:rPr>
            <w:webHidden/>
          </w:rPr>
          <w:tab/>
        </w:r>
        <w:r>
          <w:rPr>
            <w:webHidden/>
          </w:rPr>
          <w:fldChar w:fldCharType="begin"/>
        </w:r>
        <w:r w:rsidR="004D1E75">
          <w:rPr>
            <w:webHidden/>
          </w:rPr>
          <w:instrText xml:space="preserve"> PAGEREF _Toc302293468 \h </w:instrText>
        </w:r>
        <w:r>
          <w:rPr>
            <w:webHidden/>
          </w:rPr>
        </w:r>
        <w:r>
          <w:rPr>
            <w:webHidden/>
          </w:rPr>
          <w:fldChar w:fldCharType="separate"/>
        </w:r>
        <w:r w:rsidR="00F96900">
          <w:rPr>
            <w:webHidden/>
          </w:rPr>
          <w:t>55</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69" w:history="1">
        <w:r w:rsidR="004D1E75" w:rsidRPr="00676E65">
          <w:rPr>
            <w:rStyle w:val="Hyperlink"/>
          </w:rPr>
          <w:t>7.1</w:t>
        </w:r>
        <w:r w:rsidR="004D1E75">
          <w:rPr>
            <w:rFonts w:asciiTheme="minorHAnsi" w:eastAsiaTheme="minorEastAsia" w:hAnsiTheme="minorHAnsi" w:cstheme="minorBidi"/>
            <w:sz w:val="22"/>
            <w:szCs w:val="22"/>
            <w:lang w:val="en-IE" w:eastAsia="en-IE"/>
          </w:rPr>
          <w:tab/>
        </w:r>
        <w:r w:rsidR="004D1E75" w:rsidRPr="00676E65">
          <w:rPr>
            <w:rStyle w:val="Hyperlink"/>
          </w:rPr>
          <w:t>Primary and community care</w:t>
        </w:r>
        <w:r w:rsidR="004D1E75">
          <w:rPr>
            <w:webHidden/>
          </w:rPr>
          <w:tab/>
        </w:r>
        <w:r>
          <w:rPr>
            <w:webHidden/>
          </w:rPr>
          <w:fldChar w:fldCharType="begin"/>
        </w:r>
        <w:r w:rsidR="004D1E75">
          <w:rPr>
            <w:webHidden/>
          </w:rPr>
          <w:instrText xml:space="preserve"> PAGEREF _Toc302293469 \h </w:instrText>
        </w:r>
        <w:r>
          <w:rPr>
            <w:webHidden/>
          </w:rPr>
        </w:r>
        <w:r>
          <w:rPr>
            <w:webHidden/>
          </w:rPr>
          <w:fldChar w:fldCharType="separate"/>
        </w:r>
        <w:r w:rsidR="00F96900">
          <w:rPr>
            <w:webHidden/>
          </w:rPr>
          <w:t>55</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0" w:history="1">
        <w:r w:rsidR="004D1E75" w:rsidRPr="00676E65">
          <w:rPr>
            <w:rStyle w:val="Hyperlink"/>
            <w:noProof/>
          </w:rPr>
          <w:t>7.1.1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Optometry and enhanced community eye care</w:t>
        </w:r>
        <w:r w:rsidR="004D1E75">
          <w:rPr>
            <w:noProof/>
            <w:webHidden/>
          </w:rPr>
          <w:tab/>
        </w:r>
        <w:r>
          <w:rPr>
            <w:noProof/>
            <w:webHidden/>
          </w:rPr>
          <w:fldChar w:fldCharType="begin"/>
        </w:r>
        <w:r w:rsidR="004D1E75">
          <w:rPr>
            <w:noProof/>
            <w:webHidden/>
          </w:rPr>
          <w:instrText xml:space="preserve"> PAGEREF _Toc302293470 \h </w:instrText>
        </w:r>
        <w:r>
          <w:rPr>
            <w:noProof/>
            <w:webHidden/>
          </w:rPr>
        </w:r>
        <w:r>
          <w:rPr>
            <w:noProof/>
            <w:webHidden/>
          </w:rPr>
          <w:fldChar w:fldCharType="separate"/>
        </w:r>
        <w:r w:rsidR="00F96900">
          <w:rPr>
            <w:noProof/>
            <w:webHidden/>
          </w:rPr>
          <w:t>55</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1" w:history="1">
        <w:r w:rsidR="004D1E75" w:rsidRPr="00676E65">
          <w:rPr>
            <w:rStyle w:val="Hyperlink"/>
            <w:noProof/>
          </w:rPr>
          <w:t>7.1.2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Diabetic retinopathy screening</w:t>
        </w:r>
        <w:r w:rsidR="004D1E75">
          <w:rPr>
            <w:noProof/>
            <w:webHidden/>
          </w:rPr>
          <w:tab/>
        </w:r>
        <w:r>
          <w:rPr>
            <w:noProof/>
            <w:webHidden/>
          </w:rPr>
          <w:fldChar w:fldCharType="begin"/>
        </w:r>
        <w:r w:rsidR="004D1E75">
          <w:rPr>
            <w:noProof/>
            <w:webHidden/>
          </w:rPr>
          <w:instrText xml:space="preserve"> PAGEREF _Toc302293471 \h </w:instrText>
        </w:r>
        <w:r>
          <w:rPr>
            <w:noProof/>
            <w:webHidden/>
          </w:rPr>
        </w:r>
        <w:r>
          <w:rPr>
            <w:noProof/>
            <w:webHidden/>
          </w:rPr>
          <w:fldChar w:fldCharType="separate"/>
        </w:r>
        <w:r w:rsidR="00F96900">
          <w:rPr>
            <w:noProof/>
            <w:webHidden/>
          </w:rPr>
          <w:t>60</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2" w:history="1">
        <w:r w:rsidR="004D1E75" w:rsidRPr="00676E65">
          <w:rPr>
            <w:rStyle w:val="Hyperlink"/>
            <w:noProof/>
          </w:rPr>
          <w:t>7.1.3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Certificate of visual impairment and local authority registration</w:t>
        </w:r>
        <w:r w:rsidR="004D1E75">
          <w:rPr>
            <w:noProof/>
            <w:webHidden/>
          </w:rPr>
          <w:tab/>
        </w:r>
        <w:r>
          <w:rPr>
            <w:noProof/>
            <w:webHidden/>
          </w:rPr>
          <w:fldChar w:fldCharType="begin"/>
        </w:r>
        <w:r w:rsidR="004D1E75">
          <w:rPr>
            <w:noProof/>
            <w:webHidden/>
          </w:rPr>
          <w:instrText xml:space="preserve"> PAGEREF _Toc302293472 \h </w:instrText>
        </w:r>
        <w:r>
          <w:rPr>
            <w:noProof/>
            <w:webHidden/>
          </w:rPr>
        </w:r>
        <w:r>
          <w:rPr>
            <w:noProof/>
            <w:webHidden/>
          </w:rPr>
          <w:fldChar w:fldCharType="separate"/>
        </w:r>
        <w:r w:rsidR="00F96900">
          <w:rPr>
            <w:noProof/>
            <w:webHidden/>
          </w:rPr>
          <w:t>67</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3" w:history="1">
        <w:r w:rsidR="004D1E75" w:rsidRPr="00676E65">
          <w:rPr>
            <w:rStyle w:val="Hyperlink"/>
            <w:noProof/>
          </w:rPr>
          <w:t>7.1.4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Pharmacy data</w:t>
        </w:r>
        <w:r w:rsidR="004D1E75">
          <w:rPr>
            <w:noProof/>
            <w:webHidden/>
          </w:rPr>
          <w:tab/>
        </w:r>
        <w:r>
          <w:rPr>
            <w:noProof/>
            <w:webHidden/>
          </w:rPr>
          <w:fldChar w:fldCharType="begin"/>
        </w:r>
        <w:r w:rsidR="004D1E75">
          <w:rPr>
            <w:noProof/>
            <w:webHidden/>
          </w:rPr>
          <w:instrText xml:space="preserve"> PAGEREF _Toc302293473 \h </w:instrText>
        </w:r>
        <w:r>
          <w:rPr>
            <w:noProof/>
            <w:webHidden/>
          </w:rPr>
        </w:r>
        <w:r>
          <w:rPr>
            <w:noProof/>
            <w:webHidden/>
          </w:rPr>
          <w:fldChar w:fldCharType="separate"/>
        </w:r>
        <w:r w:rsidR="00F96900">
          <w:rPr>
            <w:noProof/>
            <w:webHidden/>
          </w:rPr>
          <w:t>70</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74" w:history="1">
        <w:r w:rsidR="004D1E75" w:rsidRPr="00676E65">
          <w:rPr>
            <w:rStyle w:val="Hyperlink"/>
          </w:rPr>
          <w:t>7.2</w:t>
        </w:r>
        <w:r w:rsidR="004D1E75">
          <w:rPr>
            <w:rFonts w:asciiTheme="minorHAnsi" w:eastAsiaTheme="minorEastAsia" w:hAnsiTheme="minorHAnsi" w:cstheme="minorBidi"/>
            <w:sz w:val="22"/>
            <w:szCs w:val="22"/>
            <w:lang w:val="en-IE" w:eastAsia="en-IE"/>
          </w:rPr>
          <w:tab/>
        </w:r>
        <w:r w:rsidR="004D1E75" w:rsidRPr="00676E65">
          <w:rPr>
            <w:rStyle w:val="Hyperlink"/>
          </w:rPr>
          <w:t>Secondary care</w:t>
        </w:r>
        <w:r w:rsidR="004D1E75">
          <w:rPr>
            <w:webHidden/>
          </w:rPr>
          <w:tab/>
        </w:r>
        <w:r>
          <w:rPr>
            <w:webHidden/>
          </w:rPr>
          <w:fldChar w:fldCharType="begin"/>
        </w:r>
        <w:r w:rsidR="004D1E75">
          <w:rPr>
            <w:webHidden/>
          </w:rPr>
          <w:instrText xml:space="preserve"> PAGEREF _Toc302293474 \h </w:instrText>
        </w:r>
        <w:r>
          <w:rPr>
            <w:webHidden/>
          </w:rPr>
        </w:r>
        <w:r>
          <w:rPr>
            <w:webHidden/>
          </w:rPr>
          <w:fldChar w:fldCharType="separate"/>
        </w:r>
        <w:r w:rsidR="00F96900">
          <w:rPr>
            <w:webHidden/>
          </w:rPr>
          <w:t>71</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5" w:history="1">
        <w:r w:rsidR="004D1E75" w:rsidRPr="00676E65">
          <w:rPr>
            <w:rStyle w:val="Hyperlink"/>
            <w:noProof/>
          </w:rPr>
          <w:t>7.2.1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Outpatients</w:t>
        </w:r>
        <w:r w:rsidR="004D1E75">
          <w:rPr>
            <w:noProof/>
            <w:webHidden/>
          </w:rPr>
          <w:tab/>
        </w:r>
        <w:r>
          <w:rPr>
            <w:noProof/>
            <w:webHidden/>
          </w:rPr>
          <w:fldChar w:fldCharType="begin"/>
        </w:r>
        <w:r w:rsidR="004D1E75">
          <w:rPr>
            <w:noProof/>
            <w:webHidden/>
          </w:rPr>
          <w:instrText xml:space="preserve"> PAGEREF _Toc302293475 \h </w:instrText>
        </w:r>
        <w:r>
          <w:rPr>
            <w:noProof/>
            <w:webHidden/>
          </w:rPr>
        </w:r>
        <w:r>
          <w:rPr>
            <w:noProof/>
            <w:webHidden/>
          </w:rPr>
          <w:fldChar w:fldCharType="separate"/>
        </w:r>
        <w:r w:rsidR="00F96900">
          <w:rPr>
            <w:noProof/>
            <w:webHidden/>
          </w:rPr>
          <w:t>71</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76" w:history="1">
        <w:r w:rsidR="004D1E75" w:rsidRPr="00676E65">
          <w:rPr>
            <w:rStyle w:val="Hyperlink"/>
            <w:noProof/>
          </w:rPr>
          <w:t>7.2.2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Inpatients</w:t>
        </w:r>
        <w:r w:rsidR="004D1E75">
          <w:rPr>
            <w:noProof/>
            <w:webHidden/>
          </w:rPr>
          <w:tab/>
        </w:r>
        <w:r>
          <w:rPr>
            <w:noProof/>
            <w:webHidden/>
          </w:rPr>
          <w:fldChar w:fldCharType="begin"/>
        </w:r>
        <w:r w:rsidR="004D1E75">
          <w:rPr>
            <w:noProof/>
            <w:webHidden/>
          </w:rPr>
          <w:instrText xml:space="preserve"> PAGEREF _Toc302293476 \h </w:instrText>
        </w:r>
        <w:r>
          <w:rPr>
            <w:noProof/>
            <w:webHidden/>
          </w:rPr>
        </w:r>
        <w:r>
          <w:rPr>
            <w:noProof/>
            <w:webHidden/>
          </w:rPr>
          <w:fldChar w:fldCharType="separate"/>
        </w:r>
        <w:r w:rsidR="00F96900">
          <w:rPr>
            <w:noProof/>
            <w:webHidden/>
          </w:rPr>
          <w:t>75</w:t>
        </w:r>
        <w:r>
          <w:rPr>
            <w:noProof/>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77" w:history="1">
        <w:r w:rsidR="004D1E75" w:rsidRPr="00676E65">
          <w:rPr>
            <w:rStyle w:val="Hyperlink"/>
          </w:rPr>
          <w:t>8</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Comparison of provision and need</w:t>
        </w:r>
        <w:r w:rsidR="004D1E75">
          <w:rPr>
            <w:webHidden/>
          </w:rPr>
          <w:tab/>
        </w:r>
        <w:r>
          <w:rPr>
            <w:webHidden/>
          </w:rPr>
          <w:fldChar w:fldCharType="begin"/>
        </w:r>
        <w:r w:rsidR="004D1E75">
          <w:rPr>
            <w:webHidden/>
          </w:rPr>
          <w:instrText xml:space="preserve"> PAGEREF _Toc302293477 \h </w:instrText>
        </w:r>
        <w:r>
          <w:rPr>
            <w:webHidden/>
          </w:rPr>
        </w:r>
        <w:r>
          <w:rPr>
            <w:webHidden/>
          </w:rPr>
          <w:fldChar w:fldCharType="separate"/>
        </w:r>
        <w:r w:rsidR="00F96900">
          <w:rPr>
            <w:webHidden/>
          </w:rPr>
          <w:t>79</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78" w:history="1">
        <w:r w:rsidR="004D1E75" w:rsidRPr="00676E65">
          <w:rPr>
            <w:rStyle w:val="Hyperlink"/>
          </w:rPr>
          <w:t>8.1</w:t>
        </w:r>
        <w:r w:rsidR="004D1E75">
          <w:rPr>
            <w:rFonts w:asciiTheme="minorHAnsi" w:eastAsiaTheme="minorEastAsia" w:hAnsiTheme="minorHAnsi" w:cstheme="minorBidi"/>
            <w:sz w:val="22"/>
            <w:szCs w:val="22"/>
            <w:lang w:val="en-IE" w:eastAsia="en-IE"/>
          </w:rPr>
          <w:tab/>
        </w:r>
        <w:r w:rsidR="004D1E75" w:rsidRPr="00676E65">
          <w:rPr>
            <w:rStyle w:val="Hyperlink"/>
          </w:rPr>
          <w:t>Vision impairment</w:t>
        </w:r>
        <w:r w:rsidR="004D1E75">
          <w:rPr>
            <w:webHidden/>
          </w:rPr>
          <w:tab/>
        </w:r>
        <w:r>
          <w:rPr>
            <w:webHidden/>
          </w:rPr>
          <w:fldChar w:fldCharType="begin"/>
        </w:r>
        <w:r w:rsidR="004D1E75">
          <w:rPr>
            <w:webHidden/>
          </w:rPr>
          <w:instrText xml:space="preserve"> PAGEREF _Toc302293478 \h </w:instrText>
        </w:r>
        <w:r>
          <w:rPr>
            <w:webHidden/>
          </w:rPr>
        </w:r>
        <w:r>
          <w:rPr>
            <w:webHidden/>
          </w:rPr>
          <w:fldChar w:fldCharType="separate"/>
        </w:r>
        <w:r w:rsidR="00F96900">
          <w:rPr>
            <w:webHidden/>
          </w:rPr>
          <w:t>79</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79" w:history="1">
        <w:r w:rsidR="004D1E75" w:rsidRPr="00676E65">
          <w:rPr>
            <w:rStyle w:val="Hyperlink"/>
          </w:rPr>
          <w:t>8.2</w:t>
        </w:r>
        <w:r w:rsidR="004D1E75">
          <w:rPr>
            <w:rFonts w:asciiTheme="minorHAnsi" w:eastAsiaTheme="minorEastAsia" w:hAnsiTheme="minorHAnsi" w:cstheme="minorBidi"/>
            <w:sz w:val="22"/>
            <w:szCs w:val="22"/>
            <w:lang w:val="en-IE" w:eastAsia="en-IE"/>
          </w:rPr>
          <w:tab/>
        </w:r>
        <w:r w:rsidR="004D1E75" w:rsidRPr="00676E65">
          <w:rPr>
            <w:rStyle w:val="Hyperlink"/>
          </w:rPr>
          <w:t>Diabetic retinopathy</w:t>
        </w:r>
        <w:r w:rsidR="004D1E75">
          <w:rPr>
            <w:webHidden/>
          </w:rPr>
          <w:tab/>
        </w:r>
        <w:r>
          <w:rPr>
            <w:webHidden/>
          </w:rPr>
          <w:fldChar w:fldCharType="begin"/>
        </w:r>
        <w:r w:rsidR="004D1E75">
          <w:rPr>
            <w:webHidden/>
          </w:rPr>
          <w:instrText xml:space="preserve"> PAGEREF _Toc302293479 \h </w:instrText>
        </w:r>
        <w:r>
          <w:rPr>
            <w:webHidden/>
          </w:rPr>
        </w:r>
        <w:r>
          <w:rPr>
            <w:webHidden/>
          </w:rPr>
          <w:fldChar w:fldCharType="separate"/>
        </w:r>
        <w:r w:rsidR="00F96900">
          <w:rPr>
            <w:webHidden/>
          </w:rPr>
          <w:t>81</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80" w:history="1">
        <w:r w:rsidR="004D1E75" w:rsidRPr="00676E65">
          <w:rPr>
            <w:rStyle w:val="Hyperlink"/>
          </w:rPr>
          <w:t>8.3</w:t>
        </w:r>
        <w:r w:rsidR="004D1E75">
          <w:rPr>
            <w:rFonts w:asciiTheme="minorHAnsi" w:eastAsiaTheme="minorEastAsia" w:hAnsiTheme="minorHAnsi" w:cstheme="minorBidi"/>
            <w:sz w:val="22"/>
            <w:szCs w:val="22"/>
            <w:lang w:val="en-IE" w:eastAsia="en-IE"/>
          </w:rPr>
          <w:tab/>
        </w:r>
        <w:r w:rsidR="004D1E75" w:rsidRPr="00676E65">
          <w:rPr>
            <w:rStyle w:val="Hyperlink"/>
          </w:rPr>
          <w:t>Glaucoma</w:t>
        </w:r>
        <w:r w:rsidR="004D1E75">
          <w:rPr>
            <w:webHidden/>
          </w:rPr>
          <w:tab/>
        </w:r>
        <w:r>
          <w:rPr>
            <w:webHidden/>
          </w:rPr>
          <w:fldChar w:fldCharType="begin"/>
        </w:r>
        <w:r w:rsidR="004D1E75">
          <w:rPr>
            <w:webHidden/>
          </w:rPr>
          <w:instrText xml:space="preserve"> PAGEREF _Toc302293480 \h </w:instrText>
        </w:r>
        <w:r>
          <w:rPr>
            <w:webHidden/>
          </w:rPr>
        </w:r>
        <w:r>
          <w:rPr>
            <w:webHidden/>
          </w:rPr>
          <w:fldChar w:fldCharType="separate"/>
        </w:r>
        <w:r w:rsidR="00F96900">
          <w:rPr>
            <w:webHidden/>
          </w:rPr>
          <w:t>82</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81" w:history="1">
        <w:r w:rsidR="004D1E75" w:rsidRPr="00676E65">
          <w:rPr>
            <w:rStyle w:val="Hyperlink"/>
          </w:rPr>
          <w:t>8.4</w:t>
        </w:r>
        <w:r w:rsidR="004D1E75">
          <w:rPr>
            <w:rFonts w:asciiTheme="minorHAnsi" w:eastAsiaTheme="minorEastAsia" w:hAnsiTheme="minorHAnsi" w:cstheme="minorBidi"/>
            <w:sz w:val="22"/>
            <w:szCs w:val="22"/>
            <w:lang w:val="en-IE" w:eastAsia="en-IE"/>
          </w:rPr>
          <w:tab/>
        </w:r>
        <w:r w:rsidR="004D1E75" w:rsidRPr="00676E65">
          <w:rPr>
            <w:rStyle w:val="Hyperlink"/>
          </w:rPr>
          <w:t>Cataracts</w:t>
        </w:r>
        <w:r w:rsidR="004D1E75">
          <w:rPr>
            <w:webHidden/>
          </w:rPr>
          <w:tab/>
        </w:r>
        <w:r>
          <w:rPr>
            <w:webHidden/>
          </w:rPr>
          <w:fldChar w:fldCharType="begin"/>
        </w:r>
        <w:r w:rsidR="004D1E75">
          <w:rPr>
            <w:webHidden/>
          </w:rPr>
          <w:instrText xml:space="preserve"> PAGEREF _Toc302293481 \h </w:instrText>
        </w:r>
        <w:r>
          <w:rPr>
            <w:webHidden/>
          </w:rPr>
        </w:r>
        <w:r>
          <w:rPr>
            <w:webHidden/>
          </w:rPr>
          <w:fldChar w:fldCharType="separate"/>
        </w:r>
        <w:r w:rsidR="00F96900">
          <w:rPr>
            <w:webHidden/>
          </w:rPr>
          <w:t>83</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82" w:history="1">
        <w:r w:rsidR="004D1E75" w:rsidRPr="00676E65">
          <w:rPr>
            <w:rStyle w:val="Hyperlink"/>
          </w:rPr>
          <w:t>8.5</w:t>
        </w:r>
        <w:r w:rsidR="004D1E75">
          <w:rPr>
            <w:rFonts w:asciiTheme="minorHAnsi" w:eastAsiaTheme="minorEastAsia" w:hAnsiTheme="minorHAnsi" w:cstheme="minorBidi"/>
            <w:sz w:val="22"/>
            <w:szCs w:val="22"/>
            <w:lang w:val="en-IE" w:eastAsia="en-IE"/>
          </w:rPr>
          <w:tab/>
        </w:r>
        <w:r w:rsidR="004D1E75" w:rsidRPr="00676E65">
          <w:rPr>
            <w:rStyle w:val="Hyperlink"/>
          </w:rPr>
          <w:t>Age-related macular degeneration</w:t>
        </w:r>
        <w:r w:rsidR="004D1E75">
          <w:rPr>
            <w:webHidden/>
          </w:rPr>
          <w:tab/>
        </w:r>
        <w:r>
          <w:rPr>
            <w:webHidden/>
          </w:rPr>
          <w:fldChar w:fldCharType="begin"/>
        </w:r>
        <w:r w:rsidR="004D1E75">
          <w:rPr>
            <w:webHidden/>
          </w:rPr>
          <w:instrText xml:space="preserve"> PAGEREF _Toc302293482 \h </w:instrText>
        </w:r>
        <w:r>
          <w:rPr>
            <w:webHidden/>
          </w:rPr>
        </w:r>
        <w:r>
          <w:rPr>
            <w:webHidden/>
          </w:rPr>
          <w:fldChar w:fldCharType="separate"/>
        </w:r>
        <w:r w:rsidR="00F96900">
          <w:rPr>
            <w:webHidden/>
          </w:rPr>
          <w:t>86</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83" w:history="1">
        <w:r w:rsidR="004D1E75" w:rsidRPr="00676E65">
          <w:rPr>
            <w:rStyle w:val="Hyperlink"/>
          </w:rPr>
          <w:t>9</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Research and audit</w:t>
        </w:r>
        <w:r w:rsidR="004D1E75">
          <w:rPr>
            <w:webHidden/>
          </w:rPr>
          <w:tab/>
        </w:r>
        <w:r>
          <w:rPr>
            <w:webHidden/>
          </w:rPr>
          <w:fldChar w:fldCharType="begin"/>
        </w:r>
        <w:r w:rsidR="004D1E75">
          <w:rPr>
            <w:webHidden/>
          </w:rPr>
          <w:instrText xml:space="preserve"> PAGEREF _Toc302293483 \h </w:instrText>
        </w:r>
        <w:r>
          <w:rPr>
            <w:webHidden/>
          </w:rPr>
        </w:r>
        <w:r>
          <w:rPr>
            <w:webHidden/>
          </w:rPr>
          <w:fldChar w:fldCharType="separate"/>
        </w:r>
        <w:r w:rsidR="00F96900">
          <w:rPr>
            <w:webHidden/>
          </w:rPr>
          <w:t>87</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84" w:history="1">
        <w:r w:rsidR="004D1E75" w:rsidRPr="00676E65">
          <w:rPr>
            <w:rStyle w:val="Hyperlink"/>
          </w:rPr>
          <w:t>10</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Recommendations</w:t>
        </w:r>
        <w:r w:rsidR="004D1E75">
          <w:rPr>
            <w:webHidden/>
          </w:rPr>
          <w:tab/>
        </w:r>
        <w:r>
          <w:rPr>
            <w:webHidden/>
          </w:rPr>
          <w:fldChar w:fldCharType="begin"/>
        </w:r>
        <w:r w:rsidR="004D1E75">
          <w:rPr>
            <w:webHidden/>
          </w:rPr>
          <w:instrText xml:space="preserve"> PAGEREF _Toc302293484 \h </w:instrText>
        </w:r>
        <w:r>
          <w:rPr>
            <w:webHidden/>
          </w:rPr>
        </w:r>
        <w:r>
          <w:rPr>
            <w:webHidden/>
          </w:rPr>
          <w:fldChar w:fldCharType="separate"/>
        </w:r>
        <w:r w:rsidR="00F96900">
          <w:rPr>
            <w:webHidden/>
          </w:rPr>
          <w:t>87</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85" w:history="1">
        <w:r w:rsidR="004D1E75" w:rsidRPr="00676E65">
          <w:rPr>
            <w:rStyle w:val="Hyperlink"/>
          </w:rPr>
          <w:t>10.1</w:t>
        </w:r>
        <w:r w:rsidR="004D1E75">
          <w:rPr>
            <w:rFonts w:asciiTheme="minorHAnsi" w:eastAsiaTheme="minorEastAsia" w:hAnsiTheme="minorHAnsi" w:cstheme="minorBidi"/>
            <w:sz w:val="22"/>
            <w:szCs w:val="22"/>
            <w:lang w:val="en-IE" w:eastAsia="en-IE"/>
          </w:rPr>
          <w:tab/>
        </w:r>
        <w:r w:rsidR="004D1E75" w:rsidRPr="00676E65">
          <w:rPr>
            <w:rStyle w:val="Hyperlink"/>
          </w:rPr>
          <w:t>Recommendations for the Community Engagement Project</w:t>
        </w:r>
        <w:r w:rsidR="004D1E75">
          <w:rPr>
            <w:webHidden/>
          </w:rPr>
          <w:tab/>
        </w:r>
        <w:r>
          <w:rPr>
            <w:webHidden/>
          </w:rPr>
          <w:fldChar w:fldCharType="begin"/>
        </w:r>
        <w:r w:rsidR="004D1E75">
          <w:rPr>
            <w:webHidden/>
          </w:rPr>
          <w:instrText xml:space="preserve"> PAGEREF _Toc302293485 \h </w:instrText>
        </w:r>
        <w:r>
          <w:rPr>
            <w:webHidden/>
          </w:rPr>
        </w:r>
        <w:r>
          <w:rPr>
            <w:webHidden/>
          </w:rPr>
          <w:fldChar w:fldCharType="separate"/>
        </w:r>
        <w:r w:rsidR="00F96900">
          <w:rPr>
            <w:webHidden/>
          </w:rPr>
          <w:t>87</w:t>
        </w:r>
        <w:r>
          <w:rPr>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86" w:history="1">
        <w:r w:rsidR="004D1E75" w:rsidRPr="00676E65">
          <w:rPr>
            <w:rStyle w:val="Hyperlink"/>
          </w:rPr>
          <w:t>10.2</w:t>
        </w:r>
        <w:r w:rsidR="004D1E75">
          <w:rPr>
            <w:rFonts w:asciiTheme="minorHAnsi" w:eastAsiaTheme="minorEastAsia" w:hAnsiTheme="minorHAnsi" w:cstheme="minorBidi"/>
            <w:sz w:val="22"/>
            <w:szCs w:val="22"/>
            <w:lang w:val="en-IE" w:eastAsia="en-IE"/>
          </w:rPr>
          <w:tab/>
        </w:r>
        <w:r w:rsidR="004D1E75" w:rsidRPr="00676E65">
          <w:rPr>
            <w:rStyle w:val="Hyperlink"/>
          </w:rPr>
          <w:t>Recommendations for local care pathways</w:t>
        </w:r>
        <w:r w:rsidR="004D1E75">
          <w:rPr>
            <w:webHidden/>
          </w:rPr>
          <w:tab/>
        </w:r>
        <w:r>
          <w:rPr>
            <w:webHidden/>
          </w:rPr>
          <w:fldChar w:fldCharType="begin"/>
        </w:r>
        <w:r w:rsidR="004D1E75">
          <w:rPr>
            <w:webHidden/>
          </w:rPr>
          <w:instrText xml:space="preserve"> PAGEREF _Toc302293486 \h </w:instrText>
        </w:r>
        <w:r>
          <w:rPr>
            <w:webHidden/>
          </w:rPr>
        </w:r>
        <w:r>
          <w:rPr>
            <w:webHidden/>
          </w:rPr>
          <w:fldChar w:fldCharType="separate"/>
        </w:r>
        <w:r w:rsidR="00F96900">
          <w:rPr>
            <w:webHidden/>
          </w:rPr>
          <w:t>88</w:t>
        </w:r>
        <w:r>
          <w:rPr>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87" w:history="1">
        <w:r w:rsidR="004D1E75" w:rsidRPr="00676E65">
          <w:rPr>
            <w:rStyle w:val="Hyperlink"/>
            <w:noProof/>
          </w:rPr>
          <w:t>10.2.1</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Vision impairment</w:t>
        </w:r>
        <w:r w:rsidR="004D1E75">
          <w:rPr>
            <w:noProof/>
            <w:webHidden/>
          </w:rPr>
          <w:tab/>
        </w:r>
        <w:r>
          <w:rPr>
            <w:noProof/>
            <w:webHidden/>
          </w:rPr>
          <w:fldChar w:fldCharType="begin"/>
        </w:r>
        <w:r w:rsidR="004D1E75">
          <w:rPr>
            <w:noProof/>
            <w:webHidden/>
          </w:rPr>
          <w:instrText xml:space="preserve"> PAGEREF _Toc302293487 \h </w:instrText>
        </w:r>
        <w:r>
          <w:rPr>
            <w:noProof/>
            <w:webHidden/>
          </w:rPr>
        </w:r>
        <w:r>
          <w:rPr>
            <w:noProof/>
            <w:webHidden/>
          </w:rPr>
          <w:fldChar w:fldCharType="separate"/>
        </w:r>
        <w:r w:rsidR="00F96900">
          <w:rPr>
            <w:noProof/>
            <w:webHidden/>
          </w:rPr>
          <w:t>88</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88" w:history="1">
        <w:r w:rsidR="004D1E75" w:rsidRPr="00676E65">
          <w:rPr>
            <w:rStyle w:val="Hyperlink"/>
            <w:noProof/>
          </w:rPr>
          <w:t>10.2.2</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Diabetic retinopathy</w:t>
        </w:r>
        <w:r w:rsidR="004D1E75">
          <w:rPr>
            <w:noProof/>
            <w:webHidden/>
          </w:rPr>
          <w:tab/>
        </w:r>
        <w:r>
          <w:rPr>
            <w:noProof/>
            <w:webHidden/>
          </w:rPr>
          <w:fldChar w:fldCharType="begin"/>
        </w:r>
        <w:r w:rsidR="004D1E75">
          <w:rPr>
            <w:noProof/>
            <w:webHidden/>
          </w:rPr>
          <w:instrText xml:space="preserve"> PAGEREF _Toc302293488 \h </w:instrText>
        </w:r>
        <w:r>
          <w:rPr>
            <w:noProof/>
            <w:webHidden/>
          </w:rPr>
        </w:r>
        <w:r>
          <w:rPr>
            <w:noProof/>
            <w:webHidden/>
          </w:rPr>
          <w:fldChar w:fldCharType="separate"/>
        </w:r>
        <w:r w:rsidR="00F96900">
          <w:rPr>
            <w:noProof/>
            <w:webHidden/>
          </w:rPr>
          <w:t>88</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89" w:history="1">
        <w:r w:rsidR="004D1E75" w:rsidRPr="00676E65">
          <w:rPr>
            <w:rStyle w:val="Hyperlink"/>
            <w:noProof/>
          </w:rPr>
          <w:t>10.2.3</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Glaucoma</w:t>
        </w:r>
        <w:r w:rsidR="004D1E75">
          <w:rPr>
            <w:noProof/>
            <w:webHidden/>
          </w:rPr>
          <w:tab/>
        </w:r>
        <w:r>
          <w:rPr>
            <w:noProof/>
            <w:webHidden/>
          </w:rPr>
          <w:fldChar w:fldCharType="begin"/>
        </w:r>
        <w:r w:rsidR="004D1E75">
          <w:rPr>
            <w:noProof/>
            <w:webHidden/>
          </w:rPr>
          <w:instrText xml:space="preserve"> PAGEREF _Toc302293489 \h </w:instrText>
        </w:r>
        <w:r>
          <w:rPr>
            <w:noProof/>
            <w:webHidden/>
          </w:rPr>
        </w:r>
        <w:r>
          <w:rPr>
            <w:noProof/>
            <w:webHidden/>
          </w:rPr>
          <w:fldChar w:fldCharType="separate"/>
        </w:r>
        <w:r w:rsidR="00F96900">
          <w:rPr>
            <w:noProof/>
            <w:webHidden/>
          </w:rPr>
          <w:t>88</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90" w:history="1">
        <w:r w:rsidR="004D1E75" w:rsidRPr="00676E65">
          <w:rPr>
            <w:rStyle w:val="Hyperlink"/>
            <w:noProof/>
          </w:rPr>
          <w:t>10.2.4</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Cataracts</w:t>
        </w:r>
        <w:r w:rsidR="004D1E75">
          <w:rPr>
            <w:noProof/>
            <w:webHidden/>
          </w:rPr>
          <w:tab/>
        </w:r>
        <w:r>
          <w:rPr>
            <w:noProof/>
            <w:webHidden/>
          </w:rPr>
          <w:fldChar w:fldCharType="begin"/>
        </w:r>
        <w:r w:rsidR="004D1E75">
          <w:rPr>
            <w:noProof/>
            <w:webHidden/>
          </w:rPr>
          <w:instrText xml:space="preserve"> PAGEREF _Toc302293490 \h </w:instrText>
        </w:r>
        <w:r>
          <w:rPr>
            <w:noProof/>
            <w:webHidden/>
          </w:rPr>
        </w:r>
        <w:r>
          <w:rPr>
            <w:noProof/>
            <w:webHidden/>
          </w:rPr>
          <w:fldChar w:fldCharType="separate"/>
        </w:r>
        <w:r w:rsidR="00F96900">
          <w:rPr>
            <w:noProof/>
            <w:webHidden/>
          </w:rPr>
          <w:t>89</w:t>
        </w:r>
        <w:r>
          <w:rPr>
            <w:noProof/>
            <w:webHidden/>
          </w:rPr>
          <w:fldChar w:fldCharType="end"/>
        </w:r>
      </w:hyperlink>
    </w:p>
    <w:p w:rsidR="004D1E75" w:rsidRDefault="001060C2">
      <w:pPr>
        <w:pStyle w:val="TOC3"/>
        <w:tabs>
          <w:tab w:val="left" w:pos="1540"/>
          <w:tab w:val="right" w:leader="dot" w:pos="9075"/>
        </w:tabs>
        <w:rPr>
          <w:rFonts w:asciiTheme="minorHAnsi" w:eastAsiaTheme="minorEastAsia" w:hAnsiTheme="minorHAnsi" w:cstheme="minorBidi"/>
          <w:noProof/>
          <w:sz w:val="22"/>
          <w:szCs w:val="22"/>
          <w:lang w:val="en-IE" w:eastAsia="en-IE"/>
        </w:rPr>
      </w:pPr>
      <w:hyperlink w:anchor="_Toc302293491" w:history="1">
        <w:r w:rsidR="004D1E75" w:rsidRPr="00676E65">
          <w:rPr>
            <w:rStyle w:val="Hyperlink"/>
            <w:noProof/>
          </w:rPr>
          <w:t>10.2.5</w:t>
        </w:r>
        <w:r w:rsidR="004D1E75">
          <w:rPr>
            <w:rFonts w:asciiTheme="minorHAnsi" w:eastAsiaTheme="minorEastAsia" w:hAnsiTheme="minorHAnsi" w:cstheme="minorBidi"/>
            <w:noProof/>
            <w:sz w:val="22"/>
            <w:szCs w:val="22"/>
            <w:lang w:val="en-IE" w:eastAsia="en-IE"/>
          </w:rPr>
          <w:tab/>
        </w:r>
        <w:r w:rsidR="004D1E75" w:rsidRPr="00676E65">
          <w:rPr>
            <w:rStyle w:val="Hyperlink"/>
            <w:noProof/>
          </w:rPr>
          <w:t>Age-related macular degeneration</w:t>
        </w:r>
        <w:r w:rsidR="004D1E75">
          <w:rPr>
            <w:noProof/>
            <w:webHidden/>
          </w:rPr>
          <w:tab/>
        </w:r>
        <w:r>
          <w:rPr>
            <w:noProof/>
            <w:webHidden/>
          </w:rPr>
          <w:fldChar w:fldCharType="begin"/>
        </w:r>
        <w:r w:rsidR="004D1E75">
          <w:rPr>
            <w:noProof/>
            <w:webHidden/>
          </w:rPr>
          <w:instrText xml:space="preserve"> PAGEREF _Toc302293491 \h </w:instrText>
        </w:r>
        <w:r>
          <w:rPr>
            <w:noProof/>
            <w:webHidden/>
          </w:rPr>
        </w:r>
        <w:r>
          <w:rPr>
            <w:noProof/>
            <w:webHidden/>
          </w:rPr>
          <w:fldChar w:fldCharType="separate"/>
        </w:r>
        <w:r w:rsidR="00F96900">
          <w:rPr>
            <w:noProof/>
            <w:webHidden/>
          </w:rPr>
          <w:t>89</w:t>
        </w:r>
        <w:r>
          <w:rPr>
            <w:noProof/>
            <w:webHidden/>
          </w:rPr>
          <w:fldChar w:fldCharType="end"/>
        </w:r>
      </w:hyperlink>
    </w:p>
    <w:p w:rsidR="004D1E75" w:rsidRDefault="001060C2">
      <w:pPr>
        <w:pStyle w:val="TOC2"/>
        <w:rPr>
          <w:rFonts w:asciiTheme="minorHAnsi" w:eastAsiaTheme="minorEastAsia" w:hAnsiTheme="minorHAnsi" w:cstheme="minorBidi"/>
          <w:sz w:val="22"/>
          <w:szCs w:val="22"/>
          <w:lang w:val="en-IE" w:eastAsia="en-IE"/>
        </w:rPr>
      </w:pPr>
      <w:hyperlink w:anchor="_Toc302293492" w:history="1">
        <w:r w:rsidR="004D1E75" w:rsidRPr="00676E65">
          <w:rPr>
            <w:rStyle w:val="Hyperlink"/>
          </w:rPr>
          <w:t>10.3</w:t>
        </w:r>
        <w:r w:rsidR="004D1E75">
          <w:rPr>
            <w:rFonts w:asciiTheme="minorHAnsi" w:eastAsiaTheme="minorEastAsia" w:hAnsiTheme="minorHAnsi" w:cstheme="minorBidi"/>
            <w:sz w:val="22"/>
            <w:szCs w:val="22"/>
            <w:lang w:val="en-IE" w:eastAsia="en-IE"/>
          </w:rPr>
          <w:tab/>
        </w:r>
        <w:r w:rsidR="004D1E75" w:rsidRPr="00676E65">
          <w:rPr>
            <w:rStyle w:val="Hyperlink"/>
          </w:rPr>
          <w:t>Recommendations for Wales Eye Health Improvement Project Steering Group</w:t>
        </w:r>
        <w:r w:rsidR="004D1E75">
          <w:rPr>
            <w:webHidden/>
          </w:rPr>
          <w:tab/>
        </w:r>
        <w:r>
          <w:rPr>
            <w:webHidden/>
          </w:rPr>
          <w:fldChar w:fldCharType="begin"/>
        </w:r>
        <w:r w:rsidR="004D1E75">
          <w:rPr>
            <w:webHidden/>
          </w:rPr>
          <w:instrText xml:space="preserve"> PAGEREF _Toc302293492 \h </w:instrText>
        </w:r>
        <w:r>
          <w:rPr>
            <w:webHidden/>
          </w:rPr>
        </w:r>
        <w:r>
          <w:rPr>
            <w:webHidden/>
          </w:rPr>
          <w:fldChar w:fldCharType="separate"/>
        </w:r>
        <w:r w:rsidR="00F96900">
          <w:rPr>
            <w:webHidden/>
          </w:rPr>
          <w:t>89</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93" w:history="1">
        <w:r w:rsidR="004D1E75" w:rsidRPr="00676E65">
          <w:rPr>
            <w:rStyle w:val="Hyperlink"/>
          </w:rPr>
          <w:t>11</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Conclusion</w:t>
        </w:r>
        <w:r w:rsidR="004D1E75">
          <w:rPr>
            <w:webHidden/>
          </w:rPr>
          <w:tab/>
        </w:r>
        <w:r>
          <w:rPr>
            <w:webHidden/>
          </w:rPr>
          <w:fldChar w:fldCharType="begin"/>
        </w:r>
        <w:r w:rsidR="004D1E75">
          <w:rPr>
            <w:webHidden/>
          </w:rPr>
          <w:instrText xml:space="preserve"> PAGEREF _Toc302293493 \h </w:instrText>
        </w:r>
        <w:r>
          <w:rPr>
            <w:webHidden/>
          </w:rPr>
        </w:r>
        <w:r>
          <w:rPr>
            <w:webHidden/>
          </w:rPr>
          <w:fldChar w:fldCharType="separate"/>
        </w:r>
        <w:r w:rsidR="00F96900">
          <w:rPr>
            <w:webHidden/>
          </w:rPr>
          <w:t>89</w:t>
        </w:r>
        <w:r>
          <w:rPr>
            <w:webHidden/>
          </w:rPr>
          <w:fldChar w:fldCharType="end"/>
        </w:r>
      </w:hyperlink>
    </w:p>
    <w:p w:rsidR="004D1E75" w:rsidRDefault="001060C2">
      <w:pPr>
        <w:pStyle w:val="TOC1"/>
        <w:rPr>
          <w:rFonts w:asciiTheme="minorHAnsi" w:eastAsiaTheme="minorEastAsia" w:hAnsiTheme="minorHAnsi" w:cstheme="minorBidi"/>
          <w:b w:val="0"/>
          <w:caps w:val="0"/>
          <w:sz w:val="22"/>
          <w:szCs w:val="22"/>
          <w:lang w:val="en-IE" w:eastAsia="en-IE"/>
        </w:rPr>
      </w:pPr>
      <w:hyperlink w:anchor="_Toc302293494" w:history="1">
        <w:r w:rsidR="004D1E75" w:rsidRPr="00676E65">
          <w:rPr>
            <w:rStyle w:val="Hyperlink"/>
          </w:rPr>
          <w:t>12</w:t>
        </w:r>
        <w:r w:rsidR="004D1E75">
          <w:rPr>
            <w:rFonts w:asciiTheme="minorHAnsi" w:eastAsiaTheme="minorEastAsia" w:hAnsiTheme="minorHAnsi" w:cstheme="minorBidi"/>
            <w:b w:val="0"/>
            <w:caps w:val="0"/>
            <w:sz w:val="22"/>
            <w:szCs w:val="22"/>
            <w:lang w:val="en-IE" w:eastAsia="en-IE"/>
          </w:rPr>
          <w:tab/>
        </w:r>
        <w:r w:rsidR="004D1E75" w:rsidRPr="00676E65">
          <w:rPr>
            <w:rStyle w:val="Hyperlink"/>
          </w:rPr>
          <w:t>References</w:t>
        </w:r>
        <w:r w:rsidR="004D1E75">
          <w:rPr>
            <w:webHidden/>
          </w:rPr>
          <w:tab/>
        </w:r>
        <w:r>
          <w:rPr>
            <w:webHidden/>
          </w:rPr>
          <w:fldChar w:fldCharType="begin"/>
        </w:r>
        <w:r w:rsidR="004D1E75">
          <w:rPr>
            <w:webHidden/>
          </w:rPr>
          <w:instrText xml:space="preserve"> PAGEREF _Toc302293494 \h </w:instrText>
        </w:r>
        <w:r>
          <w:rPr>
            <w:webHidden/>
          </w:rPr>
        </w:r>
        <w:r>
          <w:rPr>
            <w:webHidden/>
          </w:rPr>
          <w:fldChar w:fldCharType="separate"/>
        </w:r>
        <w:r w:rsidR="00F96900">
          <w:rPr>
            <w:webHidden/>
          </w:rPr>
          <w:t>91</w:t>
        </w:r>
        <w:r>
          <w:rPr>
            <w:webHidden/>
          </w:rPr>
          <w:fldChar w:fldCharType="end"/>
        </w:r>
      </w:hyperlink>
    </w:p>
    <w:p w:rsidR="00313CEF" w:rsidRPr="00287963" w:rsidRDefault="001060C2" w:rsidP="00287963">
      <w:pPr>
        <w:rPr>
          <w:b/>
          <w:sz w:val="28"/>
          <w:szCs w:val="28"/>
        </w:rPr>
      </w:pPr>
      <w:r>
        <w:rPr>
          <w:b/>
          <w:sz w:val="28"/>
          <w:szCs w:val="28"/>
        </w:rPr>
        <w:fldChar w:fldCharType="end"/>
      </w:r>
    </w:p>
    <w:p w:rsidR="00976E79" w:rsidRDefault="00976E79" w:rsidP="00887909">
      <w:pPr>
        <w:spacing w:before="0"/>
        <w:jc w:val="left"/>
        <w:rPr>
          <w:b/>
          <w:sz w:val="28"/>
          <w:szCs w:val="28"/>
        </w:rPr>
      </w:pPr>
    </w:p>
    <w:p w:rsidR="00B67A48" w:rsidRDefault="00FF1E39" w:rsidP="00D90D15">
      <w:pPr>
        <w:spacing w:before="0"/>
        <w:jc w:val="left"/>
        <w:rPr>
          <w:b/>
          <w:sz w:val="28"/>
          <w:szCs w:val="28"/>
        </w:rPr>
      </w:pPr>
      <w:r>
        <w:rPr>
          <w:b/>
          <w:sz w:val="28"/>
          <w:szCs w:val="28"/>
        </w:rPr>
        <w:lastRenderedPageBreak/>
        <w:t>F</w:t>
      </w:r>
      <w:r w:rsidR="00287963" w:rsidRPr="00287963">
        <w:rPr>
          <w:b/>
          <w:sz w:val="28"/>
          <w:szCs w:val="28"/>
        </w:rPr>
        <w:t>igures</w:t>
      </w:r>
      <w:bookmarkStart w:id="27" w:name="_Toc291577626"/>
    </w:p>
    <w:p w:rsidR="00D90D15" w:rsidRDefault="00D90D15" w:rsidP="00D90D15">
      <w:pPr>
        <w:spacing w:before="0"/>
        <w:jc w:val="left"/>
        <w:rPr>
          <w:b/>
          <w:sz w:val="28"/>
          <w:szCs w:val="28"/>
        </w:rPr>
      </w:pPr>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r>
        <w:rPr>
          <w:b/>
          <w:sz w:val="28"/>
          <w:szCs w:val="28"/>
        </w:rPr>
        <w:fldChar w:fldCharType="begin"/>
      </w:r>
      <w:r w:rsidR="00C909B0">
        <w:rPr>
          <w:b/>
          <w:sz w:val="28"/>
          <w:szCs w:val="28"/>
        </w:rPr>
        <w:instrText xml:space="preserve"> TOC \h \z \c "Figure" </w:instrText>
      </w:r>
      <w:r>
        <w:rPr>
          <w:b/>
          <w:sz w:val="28"/>
          <w:szCs w:val="28"/>
        </w:rPr>
        <w:fldChar w:fldCharType="separate"/>
      </w:r>
      <w:hyperlink w:anchor="_Toc302232612" w:history="1">
        <w:r w:rsidR="002C49FE" w:rsidRPr="00C3679B">
          <w:rPr>
            <w:rStyle w:val="Hyperlink"/>
            <w:noProof/>
          </w:rPr>
          <w:t>Figure 1. Map of Cwm Taf with USOA boundaries and level of deprivation</w:t>
        </w:r>
        <w:r w:rsidR="002C49FE">
          <w:rPr>
            <w:noProof/>
            <w:webHidden/>
          </w:rPr>
          <w:tab/>
        </w:r>
        <w:r>
          <w:rPr>
            <w:noProof/>
            <w:webHidden/>
          </w:rPr>
          <w:fldChar w:fldCharType="begin"/>
        </w:r>
        <w:r w:rsidR="002C49FE">
          <w:rPr>
            <w:noProof/>
            <w:webHidden/>
          </w:rPr>
          <w:instrText xml:space="preserve"> PAGEREF _Toc302232612 \h </w:instrText>
        </w:r>
        <w:r>
          <w:rPr>
            <w:noProof/>
            <w:webHidden/>
          </w:rPr>
        </w:r>
        <w:r>
          <w:rPr>
            <w:noProof/>
            <w:webHidden/>
          </w:rPr>
          <w:fldChar w:fldCharType="separate"/>
        </w:r>
        <w:r w:rsidR="00F96900">
          <w:rPr>
            <w:noProof/>
            <w:webHidden/>
          </w:rPr>
          <w:t>21</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3" w:history="1">
        <w:r w:rsidR="002C49FE" w:rsidRPr="00C3679B">
          <w:rPr>
            <w:rStyle w:val="Hyperlink"/>
            <w:noProof/>
          </w:rPr>
          <w:t>Figure 2. Population pyramid by age and sex (per cent), Cwm Taf, 2009</w:t>
        </w:r>
        <w:r w:rsidR="002C49FE">
          <w:rPr>
            <w:noProof/>
            <w:webHidden/>
          </w:rPr>
          <w:tab/>
        </w:r>
        <w:r>
          <w:rPr>
            <w:noProof/>
            <w:webHidden/>
          </w:rPr>
          <w:fldChar w:fldCharType="begin"/>
        </w:r>
        <w:r w:rsidR="002C49FE">
          <w:rPr>
            <w:noProof/>
            <w:webHidden/>
          </w:rPr>
          <w:instrText xml:space="preserve"> PAGEREF _Toc302232613 \h </w:instrText>
        </w:r>
        <w:r>
          <w:rPr>
            <w:noProof/>
            <w:webHidden/>
          </w:rPr>
        </w:r>
        <w:r>
          <w:rPr>
            <w:noProof/>
            <w:webHidden/>
          </w:rPr>
          <w:fldChar w:fldCharType="separate"/>
        </w:r>
        <w:r w:rsidR="00F96900">
          <w:rPr>
            <w:noProof/>
            <w:webHidden/>
          </w:rPr>
          <w:t>22</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4" w:history="1">
        <w:r w:rsidR="002C49FE" w:rsidRPr="00C3679B">
          <w:rPr>
            <w:rStyle w:val="Hyperlink"/>
            <w:noProof/>
          </w:rPr>
          <w:t>Figure 3. Per cent change in population by age group, Cwm Taf, 2008-2033</w:t>
        </w:r>
        <w:r w:rsidR="002C49FE">
          <w:rPr>
            <w:noProof/>
            <w:webHidden/>
          </w:rPr>
          <w:tab/>
        </w:r>
        <w:r>
          <w:rPr>
            <w:noProof/>
            <w:webHidden/>
          </w:rPr>
          <w:fldChar w:fldCharType="begin"/>
        </w:r>
        <w:r w:rsidR="002C49FE">
          <w:rPr>
            <w:noProof/>
            <w:webHidden/>
          </w:rPr>
          <w:instrText xml:space="preserve"> PAGEREF _Toc302232614 \h </w:instrText>
        </w:r>
        <w:r>
          <w:rPr>
            <w:noProof/>
            <w:webHidden/>
          </w:rPr>
        </w:r>
        <w:r>
          <w:rPr>
            <w:noProof/>
            <w:webHidden/>
          </w:rPr>
          <w:fldChar w:fldCharType="separate"/>
        </w:r>
        <w:r w:rsidR="00F96900">
          <w:rPr>
            <w:noProof/>
            <w:webHidden/>
          </w:rPr>
          <w:t>25</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5" w:history="1">
        <w:r w:rsidR="002C49FE" w:rsidRPr="00C3679B">
          <w:rPr>
            <w:rStyle w:val="Hyperlink"/>
            <w:noProof/>
          </w:rPr>
          <w:t>Figure 4. Ethnic groups, Wales, Cwm Taf, Rhondda Cynon Taf and Merthyr Tydfil, 2007</w:t>
        </w:r>
        <w:r w:rsidR="002C49FE">
          <w:rPr>
            <w:noProof/>
            <w:webHidden/>
          </w:rPr>
          <w:tab/>
        </w:r>
        <w:r>
          <w:rPr>
            <w:noProof/>
            <w:webHidden/>
          </w:rPr>
          <w:fldChar w:fldCharType="begin"/>
        </w:r>
        <w:r w:rsidR="002C49FE">
          <w:rPr>
            <w:noProof/>
            <w:webHidden/>
          </w:rPr>
          <w:instrText xml:space="preserve"> PAGEREF _Toc302232615 \h </w:instrText>
        </w:r>
        <w:r>
          <w:rPr>
            <w:noProof/>
            <w:webHidden/>
          </w:rPr>
        </w:r>
        <w:r>
          <w:rPr>
            <w:noProof/>
            <w:webHidden/>
          </w:rPr>
          <w:fldChar w:fldCharType="separate"/>
        </w:r>
        <w:r w:rsidR="00F96900">
          <w:rPr>
            <w:noProof/>
            <w:webHidden/>
          </w:rPr>
          <w:t>26</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6" w:history="1">
        <w:r w:rsidR="002C49FE" w:rsidRPr="00C3679B">
          <w:rPr>
            <w:rStyle w:val="Hyperlink"/>
            <w:noProof/>
          </w:rPr>
          <w:t>Figure 5. Prevalence of diabetes mellitus, EASR and crude rate, health board level, 2009-2010</w:t>
        </w:r>
        <w:r w:rsidR="002C49FE">
          <w:rPr>
            <w:noProof/>
            <w:webHidden/>
          </w:rPr>
          <w:tab/>
        </w:r>
        <w:r>
          <w:rPr>
            <w:noProof/>
            <w:webHidden/>
          </w:rPr>
          <w:fldChar w:fldCharType="begin"/>
        </w:r>
        <w:r w:rsidR="002C49FE">
          <w:rPr>
            <w:noProof/>
            <w:webHidden/>
          </w:rPr>
          <w:instrText xml:space="preserve"> PAGEREF _Toc302232616 \h </w:instrText>
        </w:r>
        <w:r>
          <w:rPr>
            <w:noProof/>
            <w:webHidden/>
          </w:rPr>
        </w:r>
        <w:r>
          <w:rPr>
            <w:noProof/>
            <w:webHidden/>
          </w:rPr>
          <w:fldChar w:fldCharType="separate"/>
        </w:r>
        <w:r w:rsidR="00F96900">
          <w:rPr>
            <w:noProof/>
            <w:webHidden/>
          </w:rPr>
          <w:t>34</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7" w:history="1">
        <w:r w:rsidR="002C49FE" w:rsidRPr="00C3679B">
          <w:rPr>
            <w:rStyle w:val="Hyperlink"/>
            <w:noProof/>
          </w:rPr>
          <w:t>Figure 6. Prevalence of diabetes mellitus, EASR and crude rate, local authority level, 2009-2010</w:t>
        </w:r>
        <w:r w:rsidR="002C49FE">
          <w:rPr>
            <w:noProof/>
            <w:webHidden/>
          </w:rPr>
          <w:tab/>
        </w:r>
        <w:r>
          <w:rPr>
            <w:noProof/>
            <w:webHidden/>
          </w:rPr>
          <w:fldChar w:fldCharType="begin"/>
        </w:r>
        <w:r w:rsidR="002C49FE">
          <w:rPr>
            <w:noProof/>
            <w:webHidden/>
          </w:rPr>
          <w:instrText xml:space="preserve"> PAGEREF _Toc302232617 \h </w:instrText>
        </w:r>
        <w:r>
          <w:rPr>
            <w:noProof/>
            <w:webHidden/>
          </w:rPr>
        </w:r>
        <w:r>
          <w:rPr>
            <w:noProof/>
            <w:webHidden/>
          </w:rPr>
          <w:fldChar w:fldCharType="separate"/>
        </w:r>
        <w:r w:rsidR="00F96900">
          <w:rPr>
            <w:noProof/>
            <w:webHidden/>
          </w:rPr>
          <w:t>35</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8" w:history="1">
        <w:r w:rsidR="002C49FE" w:rsidRPr="00C3679B">
          <w:rPr>
            <w:rStyle w:val="Hyperlink"/>
            <w:noProof/>
          </w:rPr>
          <w:t>Figure 7.  Prevalence of diabetes mellitus in GP practices, Wales</w:t>
        </w:r>
        <w:r w:rsidR="002C49FE">
          <w:rPr>
            <w:noProof/>
            <w:webHidden/>
          </w:rPr>
          <w:tab/>
        </w:r>
        <w:r>
          <w:rPr>
            <w:noProof/>
            <w:webHidden/>
          </w:rPr>
          <w:fldChar w:fldCharType="begin"/>
        </w:r>
        <w:r w:rsidR="002C49FE">
          <w:rPr>
            <w:noProof/>
            <w:webHidden/>
          </w:rPr>
          <w:instrText xml:space="preserve"> PAGEREF _Toc302232618 \h </w:instrText>
        </w:r>
        <w:r>
          <w:rPr>
            <w:noProof/>
            <w:webHidden/>
          </w:rPr>
        </w:r>
        <w:r>
          <w:rPr>
            <w:noProof/>
            <w:webHidden/>
          </w:rPr>
          <w:fldChar w:fldCharType="separate"/>
        </w:r>
        <w:r w:rsidR="00F96900">
          <w:rPr>
            <w:noProof/>
            <w:webHidden/>
          </w:rPr>
          <w:t>36</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19" w:history="1">
        <w:r w:rsidR="002C49FE" w:rsidRPr="00C3679B">
          <w:rPr>
            <w:rStyle w:val="Hyperlink"/>
            <w:noProof/>
          </w:rPr>
          <w:t>Figure 8. Management of diabetes: blood pressure &lt;145/85, GP practices, 2009-2010</w:t>
        </w:r>
        <w:r w:rsidR="002C49FE">
          <w:rPr>
            <w:noProof/>
            <w:webHidden/>
          </w:rPr>
          <w:tab/>
        </w:r>
        <w:r>
          <w:rPr>
            <w:noProof/>
            <w:webHidden/>
          </w:rPr>
          <w:fldChar w:fldCharType="begin"/>
        </w:r>
        <w:r w:rsidR="002C49FE">
          <w:rPr>
            <w:noProof/>
            <w:webHidden/>
          </w:rPr>
          <w:instrText xml:space="preserve"> PAGEREF _Toc302232619 \h </w:instrText>
        </w:r>
        <w:r>
          <w:rPr>
            <w:noProof/>
            <w:webHidden/>
          </w:rPr>
        </w:r>
        <w:r>
          <w:rPr>
            <w:noProof/>
            <w:webHidden/>
          </w:rPr>
          <w:fldChar w:fldCharType="separate"/>
        </w:r>
        <w:r w:rsidR="00F96900">
          <w:rPr>
            <w:noProof/>
            <w:webHidden/>
          </w:rPr>
          <w:t>37</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0" w:history="1">
        <w:r w:rsidR="002C49FE" w:rsidRPr="00C3679B">
          <w:rPr>
            <w:rStyle w:val="Hyperlink"/>
            <w:noProof/>
          </w:rPr>
          <w:t>Figure 9. Management of diabetes: HbA1c &lt;7 per cent, GP practices, 2009-2010</w:t>
        </w:r>
        <w:r w:rsidR="002C49FE">
          <w:rPr>
            <w:noProof/>
            <w:webHidden/>
          </w:rPr>
          <w:tab/>
        </w:r>
        <w:r>
          <w:rPr>
            <w:noProof/>
            <w:webHidden/>
          </w:rPr>
          <w:fldChar w:fldCharType="begin"/>
        </w:r>
        <w:r w:rsidR="002C49FE">
          <w:rPr>
            <w:noProof/>
            <w:webHidden/>
          </w:rPr>
          <w:instrText xml:space="preserve"> PAGEREF _Toc302232620 \h </w:instrText>
        </w:r>
        <w:r>
          <w:rPr>
            <w:noProof/>
            <w:webHidden/>
          </w:rPr>
        </w:r>
        <w:r>
          <w:rPr>
            <w:noProof/>
            <w:webHidden/>
          </w:rPr>
          <w:fldChar w:fldCharType="separate"/>
        </w:r>
        <w:r w:rsidR="00F96900">
          <w:rPr>
            <w:noProof/>
            <w:webHidden/>
          </w:rPr>
          <w:t>39</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1" w:history="1">
        <w:r w:rsidR="002C49FE" w:rsidRPr="00C3679B">
          <w:rPr>
            <w:rStyle w:val="Hyperlink"/>
            <w:noProof/>
          </w:rPr>
          <w:t>Figure 10. Management of diabetes: HbA1c &lt;9 per cent, GP practices, 2009-2010</w:t>
        </w:r>
        <w:r w:rsidR="002C49FE">
          <w:rPr>
            <w:noProof/>
            <w:webHidden/>
          </w:rPr>
          <w:tab/>
        </w:r>
        <w:r>
          <w:rPr>
            <w:noProof/>
            <w:webHidden/>
          </w:rPr>
          <w:fldChar w:fldCharType="begin"/>
        </w:r>
        <w:r w:rsidR="002C49FE">
          <w:rPr>
            <w:noProof/>
            <w:webHidden/>
          </w:rPr>
          <w:instrText xml:space="preserve"> PAGEREF _Toc302232621 \h </w:instrText>
        </w:r>
        <w:r>
          <w:rPr>
            <w:noProof/>
            <w:webHidden/>
          </w:rPr>
        </w:r>
        <w:r>
          <w:rPr>
            <w:noProof/>
            <w:webHidden/>
          </w:rPr>
          <w:fldChar w:fldCharType="separate"/>
        </w:r>
        <w:r w:rsidR="00F96900">
          <w:rPr>
            <w:noProof/>
            <w:webHidden/>
          </w:rPr>
          <w:t>40</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2" w:history="1">
        <w:r w:rsidR="002C49FE" w:rsidRPr="00C3679B">
          <w:rPr>
            <w:rStyle w:val="Hyperlink"/>
            <w:noProof/>
          </w:rPr>
          <w:t>Figure 11. Age specific prevalence of glaucoma, 2007</w:t>
        </w:r>
        <w:r w:rsidR="002C49FE">
          <w:rPr>
            <w:noProof/>
            <w:webHidden/>
          </w:rPr>
          <w:tab/>
        </w:r>
        <w:r>
          <w:rPr>
            <w:noProof/>
            <w:webHidden/>
          </w:rPr>
          <w:fldChar w:fldCharType="begin"/>
        </w:r>
        <w:r w:rsidR="002C49FE">
          <w:rPr>
            <w:noProof/>
            <w:webHidden/>
          </w:rPr>
          <w:instrText xml:space="preserve"> PAGEREF _Toc302232622 \h </w:instrText>
        </w:r>
        <w:r>
          <w:rPr>
            <w:noProof/>
            <w:webHidden/>
          </w:rPr>
        </w:r>
        <w:r>
          <w:rPr>
            <w:noProof/>
            <w:webHidden/>
          </w:rPr>
          <w:fldChar w:fldCharType="separate"/>
        </w:r>
        <w:r w:rsidR="00F96900">
          <w:rPr>
            <w:noProof/>
            <w:webHidden/>
          </w:rPr>
          <w:t>43</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3" w:history="1">
        <w:r w:rsidR="002C49FE" w:rsidRPr="00C3679B">
          <w:rPr>
            <w:rStyle w:val="Hyperlink"/>
            <w:noProof/>
          </w:rPr>
          <w:t>Figure 12. Age specific prevalence of cataracts, 2007</w:t>
        </w:r>
        <w:r w:rsidR="002C49FE">
          <w:rPr>
            <w:noProof/>
            <w:webHidden/>
          </w:rPr>
          <w:tab/>
        </w:r>
        <w:r>
          <w:rPr>
            <w:noProof/>
            <w:webHidden/>
          </w:rPr>
          <w:fldChar w:fldCharType="begin"/>
        </w:r>
        <w:r w:rsidR="002C49FE">
          <w:rPr>
            <w:noProof/>
            <w:webHidden/>
          </w:rPr>
          <w:instrText xml:space="preserve"> PAGEREF _Toc302232623 \h </w:instrText>
        </w:r>
        <w:r>
          <w:rPr>
            <w:noProof/>
            <w:webHidden/>
          </w:rPr>
        </w:r>
        <w:r>
          <w:rPr>
            <w:noProof/>
            <w:webHidden/>
          </w:rPr>
          <w:fldChar w:fldCharType="separate"/>
        </w:r>
        <w:r w:rsidR="00F96900">
          <w:rPr>
            <w:noProof/>
            <w:webHidden/>
          </w:rPr>
          <w:t>46</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4" w:history="1">
        <w:r w:rsidR="002C49FE" w:rsidRPr="00C3679B">
          <w:rPr>
            <w:rStyle w:val="Hyperlink"/>
            <w:noProof/>
          </w:rPr>
          <w:t>Figure 13. Location of optometric practices, Cwm Taf</w:t>
        </w:r>
        <w:r w:rsidR="002C49FE">
          <w:rPr>
            <w:noProof/>
            <w:webHidden/>
          </w:rPr>
          <w:tab/>
        </w:r>
        <w:r>
          <w:rPr>
            <w:noProof/>
            <w:webHidden/>
          </w:rPr>
          <w:fldChar w:fldCharType="begin"/>
        </w:r>
        <w:r w:rsidR="002C49FE">
          <w:rPr>
            <w:noProof/>
            <w:webHidden/>
          </w:rPr>
          <w:instrText xml:space="preserve"> PAGEREF _Toc302232624 \h </w:instrText>
        </w:r>
        <w:r>
          <w:rPr>
            <w:noProof/>
            <w:webHidden/>
          </w:rPr>
        </w:r>
        <w:r>
          <w:rPr>
            <w:noProof/>
            <w:webHidden/>
          </w:rPr>
          <w:fldChar w:fldCharType="separate"/>
        </w:r>
        <w:r w:rsidR="00F96900">
          <w:rPr>
            <w:noProof/>
            <w:webHidden/>
          </w:rPr>
          <w:t>50</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5" w:history="1">
        <w:r w:rsidR="002C49FE" w:rsidRPr="00C3679B">
          <w:rPr>
            <w:rStyle w:val="Hyperlink"/>
            <w:noProof/>
          </w:rPr>
          <w:t>Figure 14. Location of optometric practices offering WECHE and PEARS examinations, Cwm Taf</w:t>
        </w:r>
        <w:r w:rsidR="002C49FE">
          <w:rPr>
            <w:noProof/>
            <w:webHidden/>
          </w:rPr>
          <w:tab/>
        </w:r>
        <w:r>
          <w:rPr>
            <w:noProof/>
            <w:webHidden/>
          </w:rPr>
          <w:fldChar w:fldCharType="begin"/>
        </w:r>
        <w:r w:rsidR="002C49FE">
          <w:rPr>
            <w:noProof/>
            <w:webHidden/>
          </w:rPr>
          <w:instrText xml:space="preserve"> PAGEREF _Toc302232625 \h </w:instrText>
        </w:r>
        <w:r>
          <w:rPr>
            <w:noProof/>
            <w:webHidden/>
          </w:rPr>
        </w:r>
        <w:r>
          <w:rPr>
            <w:noProof/>
            <w:webHidden/>
          </w:rPr>
          <w:fldChar w:fldCharType="separate"/>
        </w:r>
        <w:r w:rsidR="00F96900">
          <w:rPr>
            <w:noProof/>
            <w:webHidden/>
          </w:rPr>
          <w:t>52</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6" w:history="1">
        <w:r w:rsidR="002C49FE" w:rsidRPr="00C3679B">
          <w:rPr>
            <w:rStyle w:val="Hyperlink"/>
            <w:noProof/>
          </w:rPr>
          <w:t>Figure 15. Profile of diabetic retinopathy screening by health board, 2009-2010</w:t>
        </w:r>
        <w:r w:rsidR="002C49FE">
          <w:rPr>
            <w:noProof/>
            <w:webHidden/>
          </w:rPr>
          <w:tab/>
        </w:r>
        <w:r>
          <w:rPr>
            <w:noProof/>
            <w:webHidden/>
          </w:rPr>
          <w:fldChar w:fldCharType="begin"/>
        </w:r>
        <w:r w:rsidR="002C49FE">
          <w:rPr>
            <w:noProof/>
            <w:webHidden/>
          </w:rPr>
          <w:instrText xml:space="preserve"> PAGEREF _Toc302232626 \h </w:instrText>
        </w:r>
        <w:r>
          <w:rPr>
            <w:noProof/>
            <w:webHidden/>
          </w:rPr>
        </w:r>
        <w:r>
          <w:rPr>
            <w:noProof/>
            <w:webHidden/>
          </w:rPr>
          <w:fldChar w:fldCharType="separate"/>
        </w:r>
        <w:r w:rsidR="00F96900">
          <w:rPr>
            <w:noProof/>
            <w:webHidden/>
          </w:rPr>
          <w:t>61</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7" w:history="1">
        <w:r w:rsidR="002C49FE" w:rsidRPr="00C3679B">
          <w:rPr>
            <w:rStyle w:val="Hyperlink"/>
            <w:noProof/>
          </w:rPr>
          <w:t>Figure 16. Profile of diabetic retinopathy screening by local authority, 2009-2010</w:t>
        </w:r>
        <w:r w:rsidR="002C49FE">
          <w:rPr>
            <w:noProof/>
            <w:webHidden/>
          </w:rPr>
          <w:tab/>
        </w:r>
        <w:r>
          <w:rPr>
            <w:noProof/>
            <w:webHidden/>
          </w:rPr>
          <w:fldChar w:fldCharType="begin"/>
        </w:r>
        <w:r w:rsidR="002C49FE">
          <w:rPr>
            <w:noProof/>
            <w:webHidden/>
          </w:rPr>
          <w:instrText xml:space="preserve"> PAGEREF _Toc302232627 \h </w:instrText>
        </w:r>
        <w:r>
          <w:rPr>
            <w:noProof/>
            <w:webHidden/>
          </w:rPr>
        </w:r>
        <w:r>
          <w:rPr>
            <w:noProof/>
            <w:webHidden/>
          </w:rPr>
          <w:fldChar w:fldCharType="separate"/>
        </w:r>
        <w:r w:rsidR="00F96900">
          <w:rPr>
            <w:noProof/>
            <w:webHidden/>
          </w:rPr>
          <w:t>62</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8" w:history="1">
        <w:r w:rsidR="002C49FE" w:rsidRPr="00C3679B">
          <w:rPr>
            <w:rStyle w:val="Hyperlink"/>
            <w:noProof/>
          </w:rPr>
          <w:t>Figure 17. Control chart showing per cent of diabetic patients screened for diabetic retinopathy, GP practices, Wales, 2009-2010</w:t>
        </w:r>
        <w:r w:rsidR="002C49FE">
          <w:rPr>
            <w:noProof/>
            <w:webHidden/>
          </w:rPr>
          <w:tab/>
        </w:r>
        <w:r>
          <w:rPr>
            <w:noProof/>
            <w:webHidden/>
          </w:rPr>
          <w:fldChar w:fldCharType="begin"/>
        </w:r>
        <w:r w:rsidR="002C49FE">
          <w:rPr>
            <w:noProof/>
            <w:webHidden/>
          </w:rPr>
          <w:instrText xml:space="preserve"> PAGEREF _Toc302232628 \h </w:instrText>
        </w:r>
        <w:r>
          <w:rPr>
            <w:noProof/>
            <w:webHidden/>
          </w:rPr>
        </w:r>
        <w:r>
          <w:rPr>
            <w:noProof/>
            <w:webHidden/>
          </w:rPr>
          <w:fldChar w:fldCharType="separate"/>
        </w:r>
        <w:r w:rsidR="00F96900">
          <w:rPr>
            <w:noProof/>
            <w:webHidden/>
          </w:rPr>
          <w:t>63</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29" w:history="1">
        <w:r w:rsidR="002C49FE" w:rsidRPr="00C3679B">
          <w:rPr>
            <w:rStyle w:val="Hyperlink"/>
            <w:noProof/>
          </w:rPr>
          <w:t>Figure 18. Control chart showing per cent of qualifying diabetic patients screened for diabetic retinopathy in GP practices, Wales, 2009-2010</w:t>
        </w:r>
        <w:r w:rsidR="002C49FE">
          <w:rPr>
            <w:noProof/>
            <w:webHidden/>
          </w:rPr>
          <w:tab/>
        </w:r>
        <w:r>
          <w:rPr>
            <w:noProof/>
            <w:webHidden/>
          </w:rPr>
          <w:fldChar w:fldCharType="begin"/>
        </w:r>
        <w:r w:rsidR="002C49FE">
          <w:rPr>
            <w:noProof/>
            <w:webHidden/>
          </w:rPr>
          <w:instrText xml:space="preserve"> PAGEREF _Toc302232629 \h </w:instrText>
        </w:r>
        <w:r>
          <w:rPr>
            <w:noProof/>
            <w:webHidden/>
          </w:rPr>
        </w:r>
        <w:r>
          <w:rPr>
            <w:noProof/>
            <w:webHidden/>
          </w:rPr>
          <w:fldChar w:fldCharType="separate"/>
        </w:r>
        <w:r w:rsidR="00F96900">
          <w:rPr>
            <w:noProof/>
            <w:webHidden/>
          </w:rPr>
          <w:t>64</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0" w:history="1">
        <w:r w:rsidR="002C49FE" w:rsidRPr="00C3679B">
          <w:rPr>
            <w:rStyle w:val="Hyperlink"/>
            <w:noProof/>
          </w:rPr>
          <w:t>Figure 19. Attendance for new ophthalmology appointments, per 1,000 population, health board level, 2009</w:t>
        </w:r>
        <w:r w:rsidR="002C49FE">
          <w:rPr>
            <w:noProof/>
            <w:webHidden/>
          </w:rPr>
          <w:tab/>
        </w:r>
        <w:r>
          <w:rPr>
            <w:noProof/>
            <w:webHidden/>
          </w:rPr>
          <w:fldChar w:fldCharType="begin"/>
        </w:r>
        <w:r w:rsidR="002C49FE">
          <w:rPr>
            <w:noProof/>
            <w:webHidden/>
          </w:rPr>
          <w:instrText xml:space="preserve"> PAGEREF _Toc302232630 \h </w:instrText>
        </w:r>
        <w:r>
          <w:rPr>
            <w:noProof/>
            <w:webHidden/>
          </w:rPr>
        </w:r>
        <w:r>
          <w:rPr>
            <w:noProof/>
            <w:webHidden/>
          </w:rPr>
          <w:fldChar w:fldCharType="separate"/>
        </w:r>
        <w:r w:rsidR="00F96900">
          <w:rPr>
            <w:noProof/>
            <w:webHidden/>
          </w:rPr>
          <w:t>73</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1" w:history="1">
        <w:r w:rsidR="002C49FE" w:rsidRPr="00C3679B">
          <w:rPr>
            <w:rStyle w:val="Hyperlink"/>
            <w:noProof/>
          </w:rPr>
          <w:t>Figure 20. Attendance for new ophthalmology appointments, per 1,000 population, Cwm Taf USOA level, 2009</w:t>
        </w:r>
        <w:r w:rsidR="002C49FE">
          <w:rPr>
            <w:noProof/>
            <w:webHidden/>
          </w:rPr>
          <w:tab/>
        </w:r>
        <w:r>
          <w:rPr>
            <w:noProof/>
            <w:webHidden/>
          </w:rPr>
          <w:fldChar w:fldCharType="begin"/>
        </w:r>
        <w:r w:rsidR="002C49FE">
          <w:rPr>
            <w:noProof/>
            <w:webHidden/>
          </w:rPr>
          <w:instrText xml:space="preserve"> PAGEREF _Toc302232631 \h </w:instrText>
        </w:r>
        <w:r>
          <w:rPr>
            <w:noProof/>
            <w:webHidden/>
          </w:rPr>
        </w:r>
        <w:r>
          <w:rPr>
            <w:noProof/>
            <w:webHidden/>
          </w:rPr>
          <w:fldChar w:fldCharType="separate"/>
        </w:r>
        <w:r w:rsidR="00F96900">
          <w:rPr>
            <w:noProof/>
            <w:webHidden/>
          </w:rPr>
          <w:t>74</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2" w:history="1">
        <w:r w:rsidR="002C49FE" w:rsidRPr="00C3679B">
          <w:rPr>
            <w:rStyle w:val="Hyperlink"/>
            <w:noProof/>
          </w:rPr>
          <w:t>Figure 21. Cataract procedures, per 1,000 population, health board level, 2008</w:t>
        </w:r>
        <w:r w:rsidR="002C49FE">
          <w:rPr>
            <w:noProof/>
            <w:webHidden/>
          </w:rPr>
          <w:tab/>
        </w:r>
        <w:r>
          <w:rPr>
            <w:noProof/>
            <w:webHidden/>
          </w:rPr>
          <w:fldChar w:fldCharType="begin"/>
        </w:r>
        <w:r w:rsidR="002C49FE">
          <w:rPr>
            <w:noProof/>
            <w:webHidden/>
          </w:rPr>
          <w:instrText xml:space="preserve"> PAGEREF _Toc302232632 \h </w:instrText>
        </w:r>
        <w:r>
          <w:rPr>
            <w:noProof/>
            <w:webHidden/>
          </w:rPr>
        </w:r>
        <w:r>
          <w:rPr>
            <w:noProof/>
            <w:webHidden/>
          </w:rPr>
          <w:fldChar w:fldCharType="separate"/>
        </w:r>
        <w:r w:rsidR="00F96900">
          <w:rPr>
            <w:noProof/>
            <w:webHidden/>
          </w:rPr>
          <w:t>76</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3" w:history="1">
        <w:r w:rsidR="002C49FE" w:rsidRPr="00C3679B">
          <w:rPr>
            <w:rStyle w:val="Hyperlink"/>
            <w:noProof/>
          </w:rPr>
          <w:t>Figure 22. Cataract procedures, per 1,000, local authority level, 2008</w:t>
        </w:r>
        <w:r w:rsidR="002C49FE">
          <w:rPr>
            <w:noProof/>
            <w:webHidden/>
          </w:rPr>
          <w:tab/>
        </w:r>
        <w:r>
          <w:rPr>
            <w:noProof/>
            <w:webHidden/>
          </w:rPr>
          <w:fldChar w:fldCharType="begin"/>
        </w:r>
        <w:r w:rsidR="002C49FE">
          <w:rPr>
            <w:noProof/>
            <w:webHidden/>
          </w:rPr>
          <w:instrText xml:space="preserve"> PAGEREF _Toc302232633 \h </w:instrText>
        </w:r>
        <w:r>
          <w:rPr>
            <w:noProof/>
            <w:webHidden/>
          </w:rPr>
        </w:r>
        <w:r>
          <w:rPr>
            <w:noProof/>
            <w:webHidden/>
          </w:rPr>
          <w:fldChar w:fldCharType="separate"/>
        </w:r>
        <w:r w:rsidR="00F96900">
          <w:rPr>
            <w:noProof/>
            <w:webHidden/>
          </w:rPr>
          <w:t>77</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4" w:history="1">
        <w:r w:rsidR="002C49FE" w:rsidRPr="00C3679B">
          <w:rPr>
            <w:rStyle w:val="Hyperlink"/>
            <w:noProof/>
          </w:rPr>
          <w:t>Figure 23. Cataract procedures, per 1,000, Cwm Taf USOA level, 2008</w:t>
        </w:r>
        <w:r w:rsidR="002C49FE">
          <w:rPr>
            <w:noProof/>
            <w:webHidden/>
          </w:rPr>
          <w:tab/>
        </w:r>
        <w:r>
          <w:rPr>
            <w:noProof/>
            <w:webHidden/>
          </w:rPr>
          <w:fldChar w:fldCharType="begin"/>
        </w:r>
        <w:r w:rsidR="002C49FE">
          <w:rPr>
            <w:noProof/>
            <w:webHidden/>
          </w:rPr>
          <w:instrText xml:space="preserve"> PAGEREF _Toc302232634 \h </w:instrText>
        </w:r>
        <w:r>
          <w:rPr>
            <w:noProof/>
            <w:webHidden/>
          </w:rPr>
        </w:r>
        <w:r>
          <w:rPr>
            <w:noProof/>
            <w:webHidden/>
          </w:rPr>
          <w:fldChar w:fldCharType="separate"/>
        </w:r>
        <w:r w:rsidR="00F96900">
          <w:rPr>
            <w:noProof/>
            <w:webHidden/>
          </w:rPr>
          <w:t>78</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5" w:history="1">
        <w:r w:rsidR="002C49FE" w:rsidRPr="00C3679B">
          <w:rPr>
            <w:rStyle w:val="Hyperlink"/>
            <w:noProof/>
          </w:rPr>
          <w:t>Figure 24. Diabetes and diabetic retinopathy screening</w:t>
        </w:r>
        <w:r w:rsidR="002C49FE">
          <w:rPr>
            <w:noProof/>
            <w:webHidden/>
          </w:rPr>
          <w:tab/>
        </w:r>
        <w:r>
          <w:rPr>
            <w:noProof/>
            <w:webHidden/>
          </w:rPr>
          <w:fldChar w:fldCharType="begin"/>
        </w:r>
        <w:r w:rsidR="002C49FE">
          <w:rPr>
            <w:noProof/>
            <w:webHidden/>
          </w:rPr>
          <w:instrText xml:space="preserve"> PAGEREF _Toc302232635 \h </w:instrText>
        </w:r>
        <w:r>
          <w:rPr>
            <w:noProof/>
            <w:webHidden/>
          </w:rPr>
        </w:r>
        <w:r>
          <w:rPr>
            <w:noProof/>
            <w:webHidden/>
          </w:rPr>
          <w:fldChar w:fldCharType="separate"/>
        </w:r>
        <w:r w:rsidR="00F96900">
          <w:rPr>
            <w:noProof/>
            <w:webHidden/>
          </w:rPr>
          <w:t>82</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6" w:history="1">
        <w:r w:rsidR="002C49FE" w:rsidRPr="00C3679B">
          <w:rPr>
            <w:rStyle w:val="Hyperlink"/>
            <w:noProof/>
          </w:rPr>
          <w:t>Figure 25. Glaucoma: Estimates of need and provision relative to NEHEM 2009 estimate of need</w:t>
        </w:r>
        <w:r w:rsidR="002C49FE">
          <w:rPr>
            <w:noProof/>
            <w:webHidden/>
          </w:rPr>
          <w:tab/>
        </w:r>
        <w:r>
          <w:rPr>
            <w:noProof/>
            <w:webHidden/>
          </w:rPr>
          <w:fldChar w:fldCharType="begin"/>
        </w:r>
        <w:r w:rsidR="002C49FE">
          <w:rPr>
            <w:noProof/>
            <w:webHidden/>
          </w:rPr>
          <w:instrText xml:space="preserve"> PAGEREF _Toc302232636 \h </w:instrText>
        </w:r>
        <w:r>
          <w:rPr>
            <w:noProof/>
            <w:webHidden/>
          </w:rPr>
        </w:r>
        <w:r>
          <w:rPr>
            <w:noProof/>
            <w:webHidden/>
          </w:rPr>
          <w:fldChar w:fldCharType="separate"/>
        </w:r>
        <w:r w:rsidR="00F96900">
          <w:rPr>
            <w:noProof/>
            <w:webHidden/>
          </w:rPr>
          <w:t>83</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7" w:history="1">
        <w:r w:rsidR="002C49FE" w:rsidRPr="00C3679B">
          <w:rPr>
            <w:rStyle w:val="Hyperlink"/>
            <w:noProof/>
          </w:rPr>
          <w:t>Figure 26. Prevalence of cataract in comparison to crude rate of cataract operations, local authority level, 2008</w:t>
        </w:r>
        <w:r w:rsidR="002C49FE">
          <w:rPr>
            <w:noProof/>
            <w:webHidden/>
          </w:rPr>
          <w:tab/>
        </w:r>
        <w:r>
          <w:rPr>
            <w:noProof/>
            <w:webHidden/>
          </w:rPr>
          <w:fldChar w:fldCharType="begin"/>
        </w:r>
        <w:r w:rsidR="002C49FE">
          <w:rPr>
            <w:noProof/>
            <w:webHidden/>
          </w:rPr>
          <w:instrText xml:space="preserve"> PAGEREF _Toc302232637 \h </w:instrText>
        </w:r>
        <w:r>
          <w:rPr>
            <w:noProof/>
            <w:webHidden/>
          </w:rPr>
        </w:r>
        <w:r>
          <w:rPr>
            <w:noProof/>
            <w:webHidden/>
          </w:rPr>
          <w:fldChar w:fldCharType="separate"/>
        </w:r>
        <w:r w:rsidR="00F96900">
          <w:rPr>
            <w:noProof/>
            <w:webHidden/>
          </w:rPr>
          <w:t>84</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8" w:history="1">
        <w:r w:rsidR="002C49FE" w:rsidRPr="00C3679B">
          <w:rPr>
            <w:rStyle w:val="Hyperlink"/>
            <w:noProof/>
          </w:rPr>
          <w:t>Figure 27.  Prevalence of cataract in comparison to cataract operations, Cwm Taf USOA level, 2008</w:t>
        </w:r>
        <w:r w:rsidR="002C49FE">
          <w:rPr>
            <w:noProof/>
            <w:webHidden/>
          </w:rPr>
          <w:tab/>
        </w:r>
        <w:r>
          <w:rPr>
            <w:noProof/>
            <w:webHidden/>
          </w:rPr>
          <w:fldChar w:fldCharType="begin"/>
        </w:r>
        <w:r w:rsidR="002C49FE">
          <w:rPr>
            <w:noProof/>
            <w:webHidden/>
          </w:rPr>
          <w:instrText xml:space="preserve"> PAGEREF _Toc302232638 \h </w:instrText>
        </w:r>
        <w:r>
          <w:rPr>
            <w:noProof/>
            <w:webHidden/>
          </w:rPr>
        </w:r>
        <w:r>
          <w:rPr>
            <w:noProof/>
            <w:webHidden/>
          </w:rPr>
          <w:fldChar w:fldCharType="separate"/>
        </w:r>
        <w:r w:rsidR="00F96900">
          <w:rPr>
            <w:noProof/>
            <w:webHidden/>
          </w:rPr>
          <w:t>85</w:t>
        </w:r>
        <w:r>
          <w:rPr>
            <w:noProof/>
            <w:webHidden/>
          </w:rPr>
          <w:fldChar w:fldCharType="end"/>
        </w:r>
      </w:hyperlink>
    </w:p>
    <w:p w:rsidR="002C49FE"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32639" w:history="1">
        <w:r w:rsidR="002C49FE" w:rsidRPr="00C3679B">
          <w:rPr>
            <w:rStyle w:val="Hyperlink"/>
            <w:noProof/>
          </w:rPr>
          <w:t>Figure 28. EASR of cataract operations and level of deprivation, local authority level, 2008</w:t>
        </w:r>
        <w:r w:rsidR="002C49FE">
          <w:rPr>
            <w:noProof/>
            <w:webHidden/>
          </w:rPr>
          <w:tab/>
        </w:r>
        <w:r>
          <w:rPr>
            <w:noProof/>
            <w:webHidden/>
          </w:rPr>
          <w:fldChar w:fldCharType="begin"/>
        </w:r>
        <w:r w:rsidR="002C49FE">
          <w:rPr>
            <w:noProof/>
            <w:webHidden/>
          </w:rPr>
          <w:instrText xml:space="preserve"> PAGEREF _Toc302232639 \h </w:instrText>
        </w:r>
        <w:r>
          <w:rPr>
            <w:noProof/>
            <w:webHidden/>
          </w:rPr>
        </w:r>
        <w:r>
          <w:rPr>
            <w:noProof/>
            <w:webHidden/>
          </w:rPr>
          <w:fldChar w:fldCharType="separate"/>
        </w:r>
        <w:r w:rsidR="00F96900">
          <w:rPr>
            <w:noProof/>
            <w:webHidden/>
          </w:rPr>
          <w:t>86</w:t>
        </w:r>
        <w:r>
          <w:rPr>
            <w:noProof/>
            <w:webHidden/>
          </w:rPr>
          <w:fldChar w:fldCharType="end"/>
        </w:r>
      </w:hyperlink>
    </w:p>
    <w:p w:rsidR="009E7124" w:rsidRDefault="001060C2" w:rsidP="00FF1E39">
      <w:pPr>
        <w:rPr>
          <w:b/>
          <w:sz w:val="28"/>
          <w:szCs w:val="28"/>
        </w:rPr>
      </w:pPr>
      <w:r>
        <w:rPr>
          <w:b/>
          <w:sz w:val="28"/>
          <w:szCs w:val="28"/>
        </w:rPr>
        <w:fldChar w:fldCharType="end"/>
      </w:r>
    </w:p>
    <w:p w:rsidR="009E7124" w:rsidRDefault="009E7124">
      <w:pPr>
        <w:spacing w:before="0"/>
        <w:jc w:val="left"/>
        <w:rPr>
          <w:b/>
          <w:sz w:val="28"/>
          <w:szCs w:val="28"/>
        </w:rPr>
      </w:pPr>
      <w:r>
        <w:rPr>
          <w:b/>
          <w:sz w:val="28"/>
          <w:szCs w:val="28"/>
        </w:rPr>
        <w:br w:type="page"/>
      </w:r>
    </w:p>
    <w:p w:rsidR="00FF048A" w:rsidRDefault="00FF1E39" w:rsidP="00FF1E39">
      <w:pPr>
        <w:rPr>
          <w:b/>
          <w:sz w:val="28"/>
          <w:szCs w:val="28"/>
        </w:rPr>
      </w:pPr>
      <w:r w:rsidRPr="00FF1E39">
        <w:rPr>
          <w:b/>
          <w:sz w:val="28"/>
          <w:szCs w:val="28"/>
        </w:rPr>
        <w:lastRenderedPageBreak/>
        <w:t>Tables</w:t>
      </w:r>
      <w:bookmarkEnd w:id="27"/>
      <w:r w:rsidRPr="00FF1E39">
        <w:rPr>
          <w:b/>
          <w:sz w:val="28"/>
          <w:szCs w:val="28"/>
        </w:rPr>
        <w:t xml:space="preserve"> </w:t>
      </w:r>
    </w:p>
    <w:p w:rsidR="00EF5A3C" w:rsidRDefault="00EF5A3C">
      <w:pPr>
        <w:pStyle w:val="TableofFigures"/>
        <w:tabs>
          <w:tab w:val="right" w:leader="dot" w:pos="9075"/>
        </w:tabs>
      </w:pPr>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r w:rsidRPr="001060C2">
        <w:fldChar w:fldCharType="begin"/>
      </w:r>
      <w:r w:rsidR="00FF1E39">
        <w:instrText xml:space="preserve"> TOC \h \z \c "Table" </w:instrText>
      </w:r>
      <w:r w:rsidRPr="001060C2">
        <w:fldChar w:fldCharType="separate"/>
      </w:r>
      <w:hyperlink w:anchor="_Toc302293543" w:history="1">
        <w:r w:rsidR="004D1E75" w:rsidRPr="004D1E75">
          <w:rPr>
            <w:rStyle w:val="Hyperlink"/>
            <w:noProof/>
          </w:rPr>
          <w:t>Table 1. Population aged 60 years and over, Cwm Taf USOAs, Merthyr Tydfil, Rhondda Cynon Taf, Cwm Taf and Wales, 2009</w:t>
        </w:r>
        <w:r w:rsidR="004D1E75" w:rsidRPr="004D1E75">
          <w:rPr>
            <w:noProof/>
            <w:webHidden/>
          </w:rPr>
          <w:tab/>
        </w:r>
        <w:r w:rsidRPr="004D1E75">
          <w:rPr>
            <w:noProof/>
            <w:webHidden/>
          </w:rPr>
          <w:fldChar w:fldCharType="begin"/>
        </w:r>
        <w:r w:rsidR="004D1E75" w:rsidRPr="004D1E75">
          <w:rPr>
            <w:noProof/>
            <w:webHidden/>
          </w:rPr>
          <w:instrText xml:space="preserve"> PAGEREF _Toc302293543 \h </w:instrText>
        </w:r>
        <w:r w:rsidRPr="004D1E75">
          <w:rPr>
            <w:noProof/>
            <w:webHidden/>
          </w:rPr>
        </w:r>
        <w:r w:rsidRPr="004D1E75">
          <w:rPr>
            <w:noProof/>
            <w:webHidden/>
          </w:rPr>
          <w:fldChar w:fldCharType="separate"/>
        </w:r>
        <w:r w:rsidR="00F96900">
          <w:rPr>
            <w:noProof/>
            <w:webHidden/>
          </w:rPr>
          <w:t>23</w:t>
        </w:r>
        <w:r w:rsidRPr="004D1E75">
          <w:rPr>
            <w:noProof/>
            <w:webHidden/>
          </w:rPr>
          <w:fldChar w:fldCharType="end"/>
        </w:r>
      </w:hyperlink>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4" w:history="1">
        <w:r w:rsidR="004D1E75" w:rsidRPr="004D1E75">
          <w:rPr>
            <w:rStyle w:val="Hyperlink"/>
            <w:noProof/>
          </w:rPr>
          <w:t>Table 2. Population aged 65 years and over, Cwm Taf USOAs, Merthyr Tydfil, Rhondda Cynon Taf, Cwm Taf and Wales, 2009</w:t>
        </w:r>
        <w:r w:rsidR="004D1E75" w:rsidRPr="004D1E75">
          <w:rPr>
            <w:noProof/>
            <w:webHidden/>
          </w:rPr>
          <w:tab/>
        </w:r>
        <w:r w:rsidRPr="004D1E75">
          <w:rPr>
            <w:noProof/>
            <w:webHidden/>
          </w:rPr>
          <w:fldChar w:fldCharType="begin"/>
        </w:r>
        <w:r w:rsidR="004D1E75" w:rsidRPr="004D1E75">
          <w:rPr>
            <w:noProof/>
            <w:webHidden/>
          </w:rPr>
          <w:instrText xml:space="preserve"> PAGEREF _Toc302293544 \h </w:instrText>
        </w:r>
        <w:r w:rsidRPr="004D1E75">
          <w:rPr>
            <w:noProof/>
            <w:webHidden/>
          </w:rPr>
        </w:r>
        <w:r w:rsidRPr="004D1E75">
          <w:rPr>
            <w:noProof/>
            <w:webHidden/>
          </w:rPr>
          <w:fldChar w:fldCharType="separate"/>
        </w:r>
        <w:r w:rsidR="00F96900">
          <w:rPr>
            <w:noProof/>
            <w:webHidden/>
          </w:rPr>
          <w:t>24</w:t>
        </w:r>
        <w:r w:rsidRPr="004D1E75">
          <w:rPr>
            <w:noProof/>
            <w:webHidden/>
          </w:rPr>
          <w:fldChar w:fldCharType="end"/>
        </w:r>
      </w:hyperlink>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5" w:history="1">
        <w:r w:rsidR="004D1E75" w:rsidRPr="004D1E75">
          <w:rPr>
            <w:rStyle w:val="Hyperlink"/>
            <w:noProof/>
          </w:rPr>
          <w:t>Table 3. Prevalence of vision impairment, 2001</w:t>
        </w:r>
        <w:r w:rsidR="004D1E75" w:rsidRPr="004D1E75">
          <w:rPr>
            <w:noProof/>
            <w:webHidden/>
          </w:rPr>
          <w:tab/>
        </w:r>
        <w:r w:rsidRPr="004D1E75">
          <w:rPr>
            <w:noProof/>
            <w:webHidden/>
          </w:rPr>
          <w:fldChar w:fldCharType="begin"/>
        </w:r>
        <w:r w:rsidR="004D1E75" w:rsidRPr="004D1E75">
          <w:rPr>
            <w:noProof/>
            <w:webHidden/>
          </w:rPr>
          <w:instrText xml:space="preserve"> PAGEREF _Toc302293545 \h </w:instrText>
        </w:r>
        <w:r w:rsidRPr="004D1E75">
          <w:rPr>
            <w:noProof/>
            <w:webHidden/>
          </w:rPr>
        </w:r>
        <w:r w:rsidRPr="004D1E75">
          <w:rPr>
            <w:noProof/>
            <w:webHidden/>
          </w:rPr>
          <w:fldChar w:fldCharType="separate"/>
        </w:r>
        <w:r w:rsidR="00F96900">
          <w:rPr>
            <w:noProof/>
            <w:webHidden/>
          </w:rPr>
          <w:t>33</w:t>
        </w:r>
        <w:r w:rsidRPr="004D1E75">
          <w:rPr>
            <w:noProof/>
            <w:webHidden/>
          </w:rPr>
          <w:fldChar w:fldCharType="end"/>
        </w:r>
      </w:hyperlink>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6" w:history="1">
        <w:r w:rsidR="004D1E75" w:rsidRPr="004D1E75">
          <w:rPr>
            <w:rStyle w:val="Hyperlink"/>
            <w:noProof/>
          </w:rPr>
          <w:t>Table 4. Prevalence of vision impairment, 2009</w:t>
        </w:r>
        <w:r w:rsidR="004D1E75" w:rsidRPr="004D1E75">
          <w:rPr>
            <w:noProof/>
            <w:webHidden/>
          </w:rPr>
          <w:tab/>
        </w:r>
        <w:r w:rsidRPr="004D1E75">
          <w:rPr>
            <w:noProof/>
            <w:webHidden/>
          </w:rPr>
          <w:fldChar w:fldCharType="begin"/>
        </w:r>
        <w:r w:rsidR="004D1E75" w:rsidRPr="004D1E75">
          <w:rPr>
            <w:noProof/>
            <w:webHidden/>
          </w:rPr>
          <w:instrText xml:space="preserve"> PAGEREF _Toc302293546 \h </w:instrText>
        </w:r>
        <w:r w:rsidRPr="004D1E75">
          <w:rPr>
            <w:noProof/>
            <w:webHidden/>
          </w:rPr>
        </w:r>
        <w:r w:rsidRPr="004D1E75">
          <w:rPr>
            <w:noProof/>
            <w:webHidden/>
          </w:rPr>
          <w:fldChar w:fldCharType="separate"/>
        </w:r>
        <w:r w:rsidR="00F96900">
          <w:rPr>
            <w:noProof/>
            <w:webHidden/>
          </w:rPr>
          <w:t>34</w:t>
        </w:r>
        <w:r w:rsidRPr="004D1E75">
          <w:rPr>
            <w:noProof/>
            <w:webHidden/>
          </w:rPr>
          <w:fldChar w:fldCharType="end"/>
        </w:r>
      </w:hyperlink>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7" w:history="1">
        <w:r w:rsidR="004D1E75" w:rsidRPr="004D1E75">
          <w:rPr>
            <w:rStyle w:val="Hyperlink"/>
            <w:noProof/>
          </w:rPr>
          <w:t>Table 5. GP practices in Cwm Taf USOAs with significantly high or low EASRs of diabetes mellitus</w:t>
        </w:r>
        <w:r w:rsidR="004D1E75" w:rsidRPr="004D1E75">
          <w:rPr>
            <w:noProof/>
            <w:webHidden/>
          </w:rPr>
          <w:tab/>
        </w:r>
        <w:r w:rsidRPr="004D1E75">
          <w:rPr>
            <w:noProof/>
            <w:webHidden/>
          </w:rPr>
          <w:fldChar w:fldCharType="begin"/>
        </w:r>
        <w:r w:rsidR="004D1E75" w:rsidRPr="004D1E75">
          <w:rPr>
            <w:noProof/>
            <w:webHidden/>
          </w:rPr>
          <w:instrText xml:space="preserve"> PAGEREF _Toc302293547 \h </w:instrText>
        </w:r>
        <w:r w:rsidRPr="004D1E75">
          <w:rPr>
            <w:noProof/>
            <w:webHidden/>
          </w:rPr>
        </w:r>
        <w:r w:rsidRPr="004D1E75">
          <w:rPr>
            <w:noProof/>
            <w:webHidden/>
          </w:rPr>
          <w:fldChar w:fldCharType="separate"/>
        </w:r>
        <w:r w:rsidR="00F96900">
          <w:rPr>
            <w:noProof/>
            <w:webHidden/>
          </w:rPr>
          <w:t>36</w:t>
        </w:r>
        <w:r w:rsidRPr="004D1E75">
          <w:rPr>
            <w:noProof/>
            <w:webHidden/>
          </w:rPr>
          <w:fldChar w:fldCharType="end"/>
        </w:r>
      </w:hyperlink>
    </w:p>
    <w:p w:rsidR="004D1E75" w:rsidRP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8" w:history="1">
        <w:r w:rsidR="004D1E75" w:rsidRPr="004D1E75">
          <w:rPr>
            <w:rStyle w:val="Hyperlink"/>
            <w:noProof/>
          </w:rPr>
          <w:t>Table 6. Estimates of prevalence of diabetes mellitus, Wales, Rhondda Cynon Taf and Merthyr Tydfil, 2009</w:t>
        </w:r>
        <w:r w:rsidR="004D1E75" w:rsidRPr="004D1E75">
          <w:rPr>
            <w:noProof/>
            <w:webHidden/>
          </w:rPr>
          <w:tab/>
        </w:r>
        <w:r w:rsidRPr="004D1E75">
          <w:rPr>
            <w:noProof/>
            <w:webHidden/>
          </w:rPr>
          <w:fldChar w:fldCharType="begin"/>
        </w:r>
        <w:r w:rsidR="004D1E75" w:rsidRPr="004D1E75">
          <w:rPr>
            <w:noProof/>
            <w:webHidden/>
          </w:rPr>
          <w:instrText xml:space="preserve"> PAGEREF _Toc302293548 \h </w:instrText>
        </w:r>
        <w:r w:rsidRPr="004D1E75">
          <w:rPr>
            <w:noProof/>
            <w:webHidden/>
          </w:rPr>
        </w:r>
        <w:r w:rsidRPr="004D1E75">
          <w:rPr>
            <w:noProof/>
            <w:webHidden/>
          </w:rPr>
          <w:fldChar w:fldCharType="separate"/>
        </w:r>
        <w:r w:rsidR="00F96900">
          <w:rPr>
            <w:noProof/>
            <w:webHidden/>
          </w:rPr>
          <w:t>37</w:t>
        </w:r>
        <w:r w:rsidRPr="004D1E75">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49" w:history="1">
        <w:r w:rsidR="004D1E75" w:rsidRPr="004D1E75">
          <w:rPr>
            <w:rStyle w:val="Hyperlink"/>
            <w:noProof/>
          </w:rPr>
          <w:t>Table 7. GP practices in Cwm Taf USOAs with significantly high or low per cent of diabetic patients with BP&lt;145/85</w:t>
        </w:r>
        <w:r w:rsidR="004D1E75" w:rsidRPr="004D1E75">
          <w:rPr>
            <w:noProof/>
            <w:webHidden/>
          </w:rPr>
          <w:tab/>
        </w:r>
        <w:r w:rsidRPr="004D1E75">
          <w:rPr>
            <w:noProof/>
            <w:webHidden/>
          </w:rPr>
          <w:fldChar w:fldCharType="begin"/>
        </w:r>
        <w:r w:rsidR="004D1E75" w:rsidRPr="004D1E75">
          <w:rPr>
            <w:noProof/>
            <w:webHidden/>
          </w:rPr>
          <w:instrText xml:space="preserve"> PAGEREF _Toc302293549 \h </w:instrText>
        </w:r>
        <w:r w:rsidRPr="004D1E75">
          <w:rPr>
            <w:noProof/>
            <w:webHidden/>
          </w:rPr>
        </w:r>
        <w:r w:rsidRPr="004D1E75">
          <w:rPr>
            <w:noProof/>
            <w:webHidden/>
          </w:rPr>
          <w:fldChar w:fldCharType="separate"/>
        </w:r>
        <w:r w:rsidR="00F96900">
          <w:rPr>
            <w:noProof/>
            <w:webHidden/>
          </w:rPr>
          <w:t>38</w:t>
        </w:r>
        <w:r w:rsidRPr="004D1E75">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0" w:history="1">
        <w:r w:rsidR="004D1E75" w:rsidRPr="00493BC6">
          <w:rPr>
            <w:rStyle w:val="Hyperlink"/>
            <w:noProof/>
          </w:rPr>
          <w:t>Table 8. GP practices in Cwm Taf USOAs with significantly high or low per cent of diabetic patients with HbA1c &lt;7 per cent</w:t>
        </w:r>
        <w:r w:rsidR="004D1E75">
          <w:rPr>
            <w:noProof/>
            <w:webHidden/>
          </w:rPr>
          <w:tab/>
        </w:r>
        <w:r>
          <w:rPr>
            <w:noProof/>
            <w:webHidden/>
          </w:rPr>
          <w:fldChar w:fldCharType="begin"/>
        </w:r>
        <w:r w:rsidR="004D1E75">
          <w:rPr>
            <w:noProof/>
            <w:webHidden/>
          </w:rPr>
          <w:instrText xml:space="preserve"> PAGEREF _Toc302293550 \h </w:instrText>
        </w:r>
        <w:r>
          <w:rPr>
            <w:noProof/>
            <w:webHidden/>
          </w:rPr>
        </w:r>
        <w:r>
          <w:rPr>
            <w:noProof/>
            <w:webHidden/>
          </w:rPr>
          <w:fldChar w:fldCharType="separate"/>
        </w:r>
        <w:r w:rsidR="00F96900">
          <w:rPr>
            <w:noProof/>
            <w:webHidden/>
          </w:rPr>
          <w:t>39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1" w:history="1">
        <w:r w:rsidR="004D1E75" w:rsidRPr="00493BC6">
          <w:rPr>
            <w:rStyle w:val="Hyperlink"/>
            <w:noProof/>
          </w:rPr>
          <w:t>Table 9. GP practices in Cwm Taf USOAs with significantly high or low  per cent of diabetic patients with HbA1c &lt;9 per cent</w:t>
        </w:r>
        <w:r w:rsidR="004D1E75">
          <w:rPr>
            <w:noProof/>
            <w:webHidden/>
          </w:rPr>
          <w:tab/>
        </w:r>
        <w:r>
          <w:rPr>
            <w:noProof/>
            <w:webHidden/>
          </w:rPr>
          <w:fldChar w:fldCharType="begin"/>
        </w:r>
        <w:r w:rsidR="004D1E75">
          <w:rPr>
            <w:noProof/>
            <w:webHidden/>
          </w:rPr>
          <w:instrText xml:space="preserve"> PAGEREF _Toc302293551 \h </w:instrText>
        </w:r>
        <w:r>
          <w:rPr>
            <w:noProof/>
            <w:webHidden/>
          </w:rPr>
        </w:r>
        <w:r>
          <w:rPr>
            <w:noProof/>
            <w:webHidden/>
          </w:rPr>
          <w:fldChar w:fldCharType="separate"/>
        </w:r>
        <w:r w:rsidR="00F96900">
          <w:rPr>
            <w:noProof/>
            <w:webHidden/>
          </w:rPr>
          <w:t>40</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2" w:history="1">
        <w:r w:rsidR="004D1E75" w:rsidRPr="00493BC6">
          <w:rPr>
            <w:rStyle w:val="Hyperlink"/>
            <w:noProof/>
          </w:rPr>
          <w:t>Table 10. Prevalence of glaucoma, 2001</w:t>
        </w:r>
        <w:r w:rsidR="004D1E75">
          <w:rPr>
            <w:noProof/>
            <w:webHidden/>
          </w:rPr>
          <w:tab/>
        </w:r>
        <w:r>
          <w:rPr>
            <w:noProof/>
            <w:webHidden/>
          </w:rPr>
          <w:fldChar w:fldCharType="begin"/>
        </w:r>
        <w:r w:rsidR="004D1E75">
          <w:rPr>
            <w:noProof/>
            <w:webHidden/>
          </w:rPr>
          <w:instrText xml:space="preserve"> PAGEREF _Toc302293552 \h </w:instrText>
        </w:r>
        <w:r>
          <w:rPr>
            <w:noProof/>
            <w:webHidden/>
          </w:rPr>
        </w:r>
        <w:r>
          <w:rPr>
            <w:noProof/>
            <w:webHidden/>
          </w:rPr>
          <w:fldChar w:fldCharType="separate"/>
        </w:r>
        <w:r w:rsidR="00F96900">
          <w:rPr>
            <w:noProof/>
            <w:webHidden/>
          </w:rPr>
          <w:t>41</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3" w:history="1">
        <w:r w:rsidR="004D1E75" w:rsidRPr="00493BC6">
          <w:rPr>
            <w:rStyle w:val="Hyperlink"/>
            <w:noProof/>
          </w:rPr>
          <w:t>Table 11. Prevalence of glaucoma, 2009</w:t>
        </w:r>
        <w:r w:rsidR="004D1E75">
          <w:rPr>
            <w:noProof/>
            <w:webHidden/>
          </w:rPr>
          <w:tab/>
        </w:r>
        <w:r>
          <w:rPr>
            <w:noProof/>
            <w:webHidden/>
          </w:rPr>
          <w:fldChar w:fldCharType="begin"/>
        </w:r>
        <w:r w:rsidR="004D1E75">
          <w:rPr>
            <w:noProof/>
            <w:webHidden/>
          </w:rPr>
          <w:instrText xml:space="preserve"> PAGEREF _Toc302293553 \h </w:instrText>
        </w:r>
        <w:r>
          <w:rPr>
            <w:noProof/>
            <w:webHidden/>
          </w:rPr>
        </w:r>
        <w:r>
          <w:rPr>
            <w:noProof/>
            <w:webHidden/>
          </w:rPr>
          <w:fldChar w:fldCharType="separate"/>
        </w:r>
        <w:r w:rsidR="00F96900">
          <w:rPr>
            <w:noProof/>
            <w:webHidden/>
          </w:rPr>
          <w:t>42</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4" w:history="1">
        <w:r w:rsidR="004D1E75" w:rsidRPr="00493BC6">
          <w:rPr>
            <w:rStyle w:val="Hyperlink"/>
            <w:noProof/>
          </w:rPr>
          <w:t>Table 12. Estimated glaucoma prevalence, 2009</w:t>
        </w:r>
        <w:r w:rsidR="004D1E75">
          <w:rPr>
            <w:noProof/>
            <w:webHidden/>
          </w:rPr>
          <w:tab/>
        </w:r>
        <w:r>
          <w:rPr>
            <w:noProof/>
            <w:webHidden/>
          </w:rPr>
          <w:fldChar w:fldCharType="begin"/>
        </w:r>
        <w:r w:rsidR="004D1E75">
          <w:rPr>
            <w:noProof/>
            <w:webHidden/>
          </w:rPr>
          <w:instrText xml:space="preserve"> PAGEREF _Toc302293554 \h </w:instrText>
        </w:r>
        <w:r>
          <w:rPr>
            <w:noProof/>
            <w:webHidden/>
          </w:rPr>
        </w:r>
        <w:r>
          <w:rPr>
            <w:noProof/>
            <w:webHidden/>
          </w:rPr>
          <w:fldChar w:fldCharType="separate"/>
        </w:r>
        <w:r w:rsidR="00F96900">
          <w:rPr>
            <w:noProof/>
            <w:webHidden/>
          </w:rPr>
          <w:t>43</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5" w:history="1">
        <w:r w:rsidR="004D1E75" w:rsidRPr="00493BC6">
          <w:rPr>
            <w:rStyle w:val="Hyperlink"/>
            <w:noProof/>
          </w:rPr>
          <w:t>Table 13. Prevalence of cataracts, 2001</w:t>
        </w:r>
        <w:r w:rsidR="004D1E75">
          <w:rPr>
            <w:noProof/>
            <w:webHidden/>
          </w:rPr>
          <w:tab/>
        </w:r>
        <w:r>
          <w:rPr>
            <w:noProof/>
            <w:webHidden/>
          </w:rPr>
          <w:fldChar w:fldCharType="begin"/>
        </w:r>
        <w:r w:rsidR="004D1E75">
          <w:rPr>
            <w:noProof/>
            <w:webHidden/>
          </w:rPr>
          <w:instrText xml:space="preserve"> PAGEREF _Toc302293555 \h </w:instrText>
        </w:r>
        <w:r>
          <w:rPr>
            <w:noProof/>
            <w:webHidden/>
          </w:rPr>
        </w:r>
        <w:r>
          <w:rPr>
            <w:noProof/>
            <w:webHidden/>
          </w:rPr>
          <w:fldChar w:fldCharType="separate"/>
        </w:r>
        <w:r w:rsidR="00F96900">
          <w:rPr>
            <w:noProof/>
            <w:webHidden/>
          </w:rPr>
          <w:t>44</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6" w:history="1">
        <w:r w:rsidR="004D1E75" w:rsidRPr="00493BC6">
          <w:rPr>
            <w:rStyle w:val="Hyperlink"/>
            <w:noProof/>
          </w:rPr>
          <w:t>Table 14. Prevalence of cataracts, 2009</w:t>
        </w:r>
        <w:r w:rsidR="004D1E75">
          <w:rPr>
            <w:noProof/>
            <w:webHidden/>
          </w:rPr>
          <w:tab/>
        </w:r>
        <w:r>
          <w:rPr>
            <w:noProof/>
            <w:webHidden/>
          </w:rPr>
          <w:fldChar w:fldCharType="begin"/>
        </w:r>
        <w:r w:rsidR="004D1E75">
          <w:rPr>
            <w:noProof/>
            <w:webHidden/>
          </w:rPr>
          <w:instrText xml:space="preserve"> PAGEREF _Toc302293556 \h </w:instrText>
        </w:r>
        <w:r>
          <w:rPr>
            <w:noProof/>
            <w:webHidden/>
          </w:rPr>
        </w:r>
        <w:r>
          <w:rPr>
            <w:noProof/>
            <w:webHidden/>
          </w:rPr>
          <w:fldChar w:fldCharType="separate"/>
        </w:r>
        <w:r w:rsidR="00F96900">
          <w:rPr>
            <w:noProof/>
            <w:webHidden/>
          </w:rPr>
          <w:t>45</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7" w:history="1">
        <w:r w:rsidR="004D1E75" w:rsidRPr="00493BC6">
          <w:rPr>
            <w:rStyle w:val="Hyperlink"/>
            <w:noProof/>
          </w:rPr>
          <w:t>Table 15. Estimated cataracts prevalence, 2009</w:t>
        </w:r>
        <w:r w:rsidR="004D1E75">
          <w:rPr>
            <w:noProof/>
            <w:webHidden/>
          </w:rPr>
          <w:tab/>
        </w:r>
        <w:r>
          <w:rPr>
            <w:noProof/>
            <w:webHidden/>
          </w:rPr>
          <w:fldChar w:fldCharType="begin"/>
        </w:r>
        <w:r w:rsidR="004D1E75">
          <w:rPr>
            <w:noProof/>
            <w:webHidden/>
          </w:rPr>
          <w:instrText xml:space="preserve"> PAGEREF _Toc302293557 \h </w:instrText>
        </w:r>
        <w:r>
          <w:rPr>
            <w:noProof/>
            <w:webHidden/>
          </w:rPr>
        </w:r>
        <w:r>
          <w:rPr>
            <w:noProof/>
            <w:webHidden/>
          </w:rPr>
          <w:fldChar w:fldCharType="separate"/>
        </w:r>
        <w:r w:rsidR="00F96900">
          <w:rPr>
            <w:noProof/>
            <w:webHidden/>
          </w:rPr>
          <w:t>46</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8" w:history="1">
        <w:r w:rsidR="004D1E75" w:rsidRPr="00493BC6">
          <w:rPr>
            <w:rStyle w:val="Hyperlink"/>
            <w:noProof/>
          </w:rPr>
          <w:t>Table 16. Prevalence of age-related macular degeneration, 2001</w:t>
        </w:r>
        <w:r w:rsidR="004D1E75">
          <w:rPr>
            <w:noProof/>
            <w:webHidden/>
          </w:rPr>
          <w:tab/>
        </w:r>
        <w:r>
          <w:rPr>
            <w:noProof/>
            <w:webHidden/>
          </w:rPr>
          <w:fldChar w:fldCharType="begin"/>
        </w:r>
        <w:r w:rsidR="004D1E75">
          <w:rPr>
            <w:noProof/>
            <w:webHidden/>
          </w:rPr>
          <w:instrText xml:space="preserve"> PAGEREF _Toc302293558 \h </w:instrText>
        </w:r>
        <w:r>
          <w:rPr>
            <w:noProof/>
            <w:webHidden/>
          </w:rPr>
        </w:r>
        <w:r>
          <w:rPr>
            <w:noProof/>
            <w:webHidden/>
          </w:rPr>
          <w:fldChar w:fldCharType="separate"/>
        </w:r>
        <w:r w:rsidR="00F96900">
          <w:rPr>
            <w:noProof/>
            <w:webHidden/>
          </w:rPr>
          <w:t>47</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59" w:history="1">
        <w:r w:rsidR="004D1E75" w:rsidRPr="00493BC6">
          <w:rPr>
            <w:rStyle w:val="Hyperlink"/>
            <w:noProof/>
          </w:rPr>
          <w:t>Table 17.  Prevalence of age-related macular degeneration, 2009</w:t>
        </w:r>
        <w:r w:rsidR="004D1E75">
          <w:rPr>
            <w:noProof/>
            <w:webHidden/>
          </w:rPr>
          <w:tab/>
        </w:r>
        <w:r>
          <w:rPr>
            <w:noProof/>
            <w:webHidden/>
          </w:rPr>
          <w:fldChar w:fldCharType="begin"/>
        </w:r>
        <w:r w:rsidR="004D1E75">
          <w:rPr>
            <w:noProof/>
            <w:webHidden/>
          </w:rPr>
          <w:instrText xml:space="preserve"> PAGEREF _Toc302293559 \h </w:instrText>
        </w:r>
        <w:r>
          <w:rPr>
            <w:noProof/>
            <w:webHidden/>
          </w:rPr>
        </w:r>
        <w:r>
          <w:rPr>
            <w:noProof/>
            <w:webHidden/>
          </w:rPr>
          <w:fldChar w:fldCharType="separate"/>
        </w:r>
        <w:r w:rsidR="00F96900">
          <w:rPr>
            <w:noProof/>
            <w:webHidden/>
          </w:rPr>
          <w:t>48</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0" w:history="1">
        <w:r w:rsidR="004D1E75" w:rsidRPr="00493BC6">
          <w:rPr>
            <w:rStyle w:val="Hyperlink"/>
            <w:noProof/>
          </w:rPr>
          <w:t>Table 18. Travel time to optometric practices, Cwm Taf, 2009</w:t>
        </w:r>
        <w:r w:rsidR="004D1E75">
          <w:rPr>
            <w:noProof/>
            <w:webHidden/>
          </w:rPr>
          <w:tab/>
        </w:r>
        <w:r>
          <w:rPr>
            <w:noProof/>
            <w:webHidden/>
          </w:rPr>
          <w:fldChar w:fldCharType="begin"/>
        </w:r>
        <w:r w:rsidR="004D1E75">
          <w:rPr>
            <w:noProof/>
            <w:webHidden/>
          </w:rPr>
          <w:instrText xml:space="preserve"> PAGEREF _Toc302293560 \h </w:instrText>
        </w:r>
        <w:r>
          <w:rPr>
            <w:noProof/>
            <w:webHidden/>
          </w:rPr>
        </w:r>
        <w:r>
          <w:rPr>
            <w:noProof/>
            <w:webHidden/>
          </w:rPr>
          <w:fldChar w:fldCharType="separate"/>
        </w:r>
        <w:r w:rsidR="00F96900">
          <w:rPr>
            <w:noProof/>
            <w:webHidden/>
          </w:rPr>
          <w:t>51</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1" w:history="1">
        <w:r w:rsidR="004D1E75" w:rsidRPr="00493BC6">
          <w:rPr>
            <w:rStyle w:val="Hyperlink"/>
            <w:noProof/>
          </w:rPr>
          <w:t>Table 19. WECHE, PEARS examinations and NHS funded sights tests, South East Wales, April 2009–March 2010</w:t>
        </w:r>
        <w:r w:rsidR="004D1E75">
          <w:rPr>
            <w:noProof/>
            <w:webHidden/>
          </w:rPr>
          <w:tab/>
        </w:r>
        <w:r>
          <w:rPr>
            <w:noProof/>
            <w:webHidden/>
          </w:rPr>
          <w:fldChar w:fldCharType="begin"/>
        </w:r>
        <w:r w:rsidR="004D1E75">
          <w:rPr>
            <w:noProof/>
            <w:webHidden/>
          </w:rPr>
          <w:instrText xml:space="preserve"> PAGEREF _Toc302293561 \h </w:instrText>
        </w:r>
        <w:r>
          <w:rPr>
            <w:noProof/>
            <w:webHidden/>
          </w:rPr>
        </w:r>
        <w:r>
          <w:rPr>
            <w:noProof/>
            <w:webHidden/>
          </w:rPr>
          <w:fldChar w:fldCharType="separate"/>
        </w:r>
        <w:r w:rsidR="00F96900">
          <w:rPr>
            <w:noProof/>
            <w:webHidden/>
          </w:rPr>
          <w:t>57</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2" w:history="1">
        <w:r w:rsidR="004D1E75" w:rsidRPr="00493BC6">
          <w:rPr>
            <w:rStyle w:val="Hyperlink"/>
            <w:noProof/>
          </w:rPr>
          <w:t>Table 20. Reasons for NHS funded sight tests in Cwm Taf and Wales, 2009-2010</w:t>
        </w:r>
        <w:r w:rsidR="004D1E75">
          <w:rPr>
            <w:noProof/>
            <w:webHidden/>
          </w:rPr>
          <w:tab/>
        </w:r>
        <w:r>
          <w:rPr>
            <w:noProof/>
            <w:webHidden/>
          </w:rPr>
          <w:fldChar w:fldCharType="begin"/>
        </w:r>
        <w:r w:rsidR="004D1E75">
          <w:rPr>
            <w:noProof/>
            <w:webHidden/>
          </w:rPr>
          <w:instrText xml:space="preserve"> PAGEREF _Toc302293562 \h </w:instrText>
        </w:r>
        <w:r>
          <w:rPr>
            <w:noProof/>
            <w:webHidden/>
          </w:rPr>
        </w:r>
        <w:r>
          <w:rPr>
            <w:noProof/>
            <w:webHidden/>
          </w:rPr>
          <w:fldChar w:fldCharType="separate"/>
        </w:r>
        <w:r w:rsidR="00F96900">
          <w:rPr>
            <w:noProof/>
            <w:webHidden/>
          </w:rPr>
          <w:t>58</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3" w:history="1">
        <w:r w:rsidR="004D1E75" w:rsidRPr="00493BC6">
          <w:rPr>
            <w:rStyle w:val="Hyperlink"/>
            <w:noProof/>
          </w:rPr>
          <w:t>Table 21. People aged 60 years and over receiving NHS funded sight tests</w:t>
        </w:r>
        <w:r w:rsidR="004D1E75">
          <w:rPr>
            <w:noProof/>
            <w:webHidden/>
          </w:rPr>
          <w:tab/>
        </w:r>
        <w:r>
          <w:rPr>
            <w:noProof/>
            <w:webHidden/>
          </w:rPr>
          <w:fldChar w:fldCharType="begin"/>
        </w:r>
        <w:r w:rsidR="004D1E75">
          <w:rPr>
            <w:noProof/>
            <w:webHidden/>
          </w:rPr>
          <w:instrText xml:space="preserve"> PAGEREF _Toc302293563 \h </w:instrText>
        </w:r>
        <w:r>
          <w:rPr>
            <w:noProof/>
            <w:webHidden/>
          </w:rPr>
        </w:r>
        <w:r>
          <w:rPr>
            <w:noProof/>
            <w:webHidden/>
          </w:rPr>
          <w:fldChar w:fldCharType="separate"/>
        </w:r>
        <w:r w:rsidR="00F96900">
          <w:rPr>
            <w:noProof/>
            <w:webHidden/>
          </w:rPr>
          <w:t>59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4" w:history="1">
        <w:r w:rsidR="004D1E75" w:rsidRPr="00493BC6">
          <w:rPr>
            <w:rStyle w:val="Hyperlink"/>
            <w:noProof/>
          </w:rPr>
          <w:t>Table 22. People aged 15 years and under receiving NHS funded sight tests</w:t>
        </w:r>
        <w:r w:rsidR="004D1E75">
          <w:rPr>
            <w:noProof/>
            <w:webHidden/>
          </w:rPr>
          <w:tab/>
        </w:r>
        <w:r>
          <w:rPr>
            <w:noProof/>
            <w:webHidden/>
          </w:rPr>
          <w:fldChar w:fldCharType="begin"/>
        </w:r>
        <w:r w:rsidR="004D1E75">
          <w:rPr>
            <w:noProof/>
            <w:webHidden/>
          </w:rPr>
          <w:instrText xml:space="preserve"> PAGEREF _Toc302293564 \h </w:instrText>
        </w:r>
        <w:r>
          <w:rPr>
            <w:noProof/>
            <w:webHidden/>
          </w:rPr>
        </w:r>
        <w:r>
          <w:rPr>
            <w:noProof/>
            <w:webHidden/>
          </w:rPr>
          <w:fldChar w:fldCharType="separate"/>
        </w:r>
        <w:r w:rsidR="00F96900">
          <w:rPr>
            <w:noProof/>
            <w:webHidden/>
          </w:rPr>
          <w:t>59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5" w:history="1">
        <w:r w:rsidR="004D1E75" w:rsidRPr="00493BC6">
          <w:rPr>
            <w:rStyle w:val="Hyperlink"/>
            <w:noProof/>
          </w:rPr>
          <w:t>Table 23. People on register for sight impairment and severe sight impairment receiving NHS funded sight tests</w:t>
        </w:r>
        <w:r w:rsidR="004D1E75">
          <w:rPr>
            <w:noProof/>
            <w:webHidden/>
          </w:rPr>
          <w:tab/>
        </w:r>
        <w:r>
          <w:rPr>
            <w:noProof/>
            <w:webHidden/>
          </w:rPr>
          <w:fldChar w:fldCharType="begin"/>
        </w:r>
        <w:r w:rsidR="004D1E75">
          <w:rPr>
            <w:noProof/>
            <w:webHidden/>
          </w:rPr>
          <w:instrText xml:space="preserve"> PAGEREF _Toc302293565 \h </w:instrText>
        </w:r>
        <w:r>
          <w:rPr>
            <w:noProof/>
            <w:webHidden/>
          </w:rPr>
        </w:r>
        <w:r>
          <w:rPr>
            <w:noProof/>
            <w:webHidden/>
          </w:rPr>
          <w:fldChar w:fldCharType="separate"/>
        </w:r>
        <w:r w:rsidR="00F96900">
          <w:rPr>
            <w:noProof/>
            <w:webHidden/>
          </w:rPr>
          <w:t>60</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6" w:history="1">
        <w:r w:rsidR="004D1E75" w:rsidRPr="00493BC6">
          <w:rPr>
            <w:rStyle w:val="Hyperlink"/>
            <w:noProof/>
          </w:rPr>
          <w:t>Table 24. People receiving jobseeker’s allowance and receiving NHS funded sight tests</w:t>
        </w:r>
        <w:r w:rsidR="004D1E75">
          <w:rPr>
            <w:noProof/>
            <w:webHidden/>
          </w:rPr>
          <w:tab/>
        </w:r>
        <w:r>
          <w:rPr>
            <w:noProof/>
            <w:webHidden/>
          </w:rPr>
          <w:fldChar w:fldCharType="begin"/>
        </w:r>
        <w:r w:rsidR="004D1E75">
          <w:rPr>
            <w:noProof/>
            <w:webHidden/>
          </w:rPr>
          <w:instrText xml:space="preserve"> PAGEREF _Toc302293566 \h </w:instrText>
        </w:r>
        <w:r>
          <w:rPr>
            <w:noProof/>
            <w:webHidden/>
          </w:rPr>
        </w:r>
        <w:r>
          <w:rPr>
            <w:noProof/>
            <w:webHidden/>
          </w:rPr>
          <w:fldChar w:fldCharType="separate"/>
        </w:r>
        <w:r w:rsidR="00F96900">
          <w:rPr>
            <w:noProof/>
            <w:webHidden/>
          </w:rPr>
          <w:t>60</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7" w:history="1">
        <w:r w:rsidR="004D1E75" w:rsidRPr="00493BC6">
          <w:rPr>
            <w:rStyle w:val="Hyperlink"/>
            <w:noProof/>
          </w:rPr>
          <w:t>Table 25. People receiving income support and receiving NHS funded sight tests</w:t>
        </w:r>
        <w:r w:rsidR="004D1E75">
          <w:rPr>
            <w:noProof/>
            <w:webHidden/>
          </w:rPr>
          <w:tab/>
        </w:r>
        <w:r>
          <w:rPr>
            <w:noProof/>
            <w:webHidden/>
          </w:rPr>
          <w:fldChar w:fldCharType="begin"/>
        </w:r>
        <w:r w:rsidR="004D1E75">
          <w:rPr>
            <w:noProof/>
            <w:webHidden/>
          </w:rPr>
          <w:instrText xml:space="preserve"> PAGEREF _Toc302293567 \h </w:instrText>
        </w:r>
        <w:r>
          <w:rPr>
            <w:noProof/>
            <w:webHidden/>
          </w:rPr>
        </w:r>
        <w:r>
          <w:rPr>
            <w:noProof/>
            <w:webHidden/>
          </w:rPr>
          <w:fldChar w:fldCharType="separate"/>
        </w:r>
        <w:r w:rsidR="00F96900">
          <w:rPr>
            <w:noProof/>
            <w:webHidden/>
          </w:rPr>
          <w:t>60</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8" w:history="1">
        <w:r w:rsidR="004D1E75" w:rsidRPr="00493BC6">
          <w:rPr>
            <w:rStyle w:val="Hyperlink"/>
            <w:noProof/>
          </w:rPr>
          <w:t>Table 26.  GP practices in Cwm Taf with significantly high or low per cent of diabetic patients who received diabetic retinopathy screening</w:t>
        </w:r>
        <w:r w:rsidR="004D1E75">
          <w:rPr>
            <w:noProof/>
            <w:webHidden/>
          </w:rPr>
          <w:tab/>
        </w:r>
        <w:r>
          <w:rPr>
            <w:noProof/>
            <w:webHidden/>
          </w:rPr>
          <w:fldChar w:fldCharType="begin"/>
        </w:r>
        <w:r w:rsidR="004D1E75">
          <w:rPr>
            <w:noProof/>
            <w:webHidden/>
          </w:rPr>
          <w:instrText xml:space="preserve"> PAGEREF _Toc302293568 \h </w:instrText>
        </w:r>
        <w:r>
          <w:rPr>
            <w:noProof/>
            <w:webHidden/>
          </w:rPr>
        </w:r>
        <w:r>
          <w:rPr>
            <w:noProof/>
            <w:webHidden/>
          </w:rPr>
          <w:fldChar w:fldCharType="separate"/>
        </w:r>
        <w:r w:rsidR="00F96900">
          <w:rPr>
            <w:noProof/>
            <w:webHidden/>
          </w:rPr>
          <w:t>65</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69" w:history="1">
        <w:r w:rsidR="004D1E75" w:rsidRPr="00493BC6">
          <w:rPr>
            <w:rStyle w:val="Hyperlink"/>
            <w:noProof/>
          </w:rPr>
          <w:t>Table 27. GP practices in Cwm Taf with significantly high or low per cent of diabetic patients receiving diabetic retinopathy screening</w:t>
        </w:r>
        <w:r w:rsidR="004D1E75">
          <w:rPr>
            <w:noProof/>
            <w:webHidden/>
          </w:rPr>
          <w:tab/>
        </w:r>
        <w:r>
          <w:rPr>
            <w:noProof/>
            <w:webHidden/>
          </w:rPr>
          <w:fldChar w:fldCharType="begin"/>
        </w:r>
        <w:r w:rsidR="004D1E75">
          <w:rPr>
            <w:noProof/>
            <w:webHidden/>
          </w:rPr>
          <w:instrText xml:space="preserve"> PAGEREF _Toc302293569 \h </w:instrText>
        </w:r>
        <w:r>
          <w:rPr>
            <w:noProof/>
            <w:webHidden/>
          </w:rPr>
        </w:r>
        <w:r>
          <w:rPr>
            <w:noProof/>
            <w:webHidden/>
          </w:rPr>
          <w:fldChar w:fldCharType="separate"/>
        </w:r>
        <w:r w:rsidR="00F96900">
          <w:rPr>
            <w:noProof/>
            <w:webHidden/>
          </w:rPr>
          <w:t>66</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0" w:history="1">
        <w:r w:rsidR="004D1E75" w:rsidRPr="00493BC6">
          <w:rPr>
            <w:rStyle w:val="Hyperlink"/>
            <w:noProof/>
          </w:rPr>
          <w:t>Table 28. Certificates of visual impairment sent to Moorfields Eye Hospital</w:t>
        </w:r>
        <w:r w:rsidR="004D1E75">
          <w:rPr>
            <w:noProof/>
            <w:webHidden/>
          </w:rPr>
          <w:tab/>
        </w:r>
        <w:r>
          <w:rPr>
            <w:noProof/>
            <w:webHidden/>
          </w:rPr>
          <w:fldChar w:fldCharType="begin"/>
        </w:r>
        <w:r w:rsidR="004D1E75">
          <w:rPr>
            <w:noProof/>
            <w:webHidden/>
          </w:rPr>
          <w:instrText xml:space="preserve"> PAGEREF _Toc302293570 \h </w:instrText>
        </w:r>
        <w:r>
          <w:rPr>
            <w:noProof/>
            <w:webHidden/>
          </w:rPr>
        </w:r>
        <w:r>
          <w:rPr>
            <w:noProof/>
            <w:webHidden/>
          </w:rPr>
          <w:fldChar w:fldCharType="separate"/>
        </w:r>
        <w:r w:rsidR="00F96900">
          <w:rPr>
            <w:noProof/>
            <w:webHidden/>
          </w:rPr>
          <w:t>68</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1" w:history="1">
        <w:r w:rsidR="004D1E75" w:rsidRPr="00493BC6">
          <w:rPr>
            <w:rStyle w:val="Hyperlink"/>
            <w:noProof/>
          </w:rPr>
          <w:t>Table 29. Local authority register of people with sight impairment by local authority, 2009</w:t>
        </w:r>
        <w:r w:rsidR="004D1E75">
          <w:rPr>
            <w:noProof/>
            <w:webHidden/>
          </w:rPr>
          <w:tab/>
        </w:r>
        <w:r>
          <w:rPr>
            <w:noProof/>
            <w:webHidden/>
          </w:rPr>
          <w:fldChar w:fldCharType="begin"/>
        </w:r>
        <w:r w:rsidR="004D1E75">
          <w:rPr>
            <w:noProof/>
            <w:webHidden/>
          </w:rPr>
          <w:instrText xml:space="preserve"> PAGEREF _Toc302293571 \h </w:instrText>
        </w:r>
        <w:r>
          <w:rPr>
            <w:noProof/>
            <w:webHidden/>
          </w:rPr>
        </w:r>
        <w:r>
          <w:rPr>
            <w:noProof/>
            <w:webHidden/>
          </w:rPr>
          <w:fldChar w:fldCharType="separate"/>
        </w:r>
        <w:r w:rsidR="00F96900">
          <w:rPr>
            <w:noProof/>
            <w:webHidden/>
          </w:rPr>
          <w:t>69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2" w:history="1">
        <w:r w:rsidR="004D1E75" w:rsidRPr="00493BC6">
          <w:rPr>
            <w:rStyle w:val="Hyperlink"/>
            <w:noProof/>
          </w:rPr>
          <w:t>Table 30. Local authority register of people with sight impairment by health board, 2009</w:t>
        </w:r>
        <w:r w:rsidR="004D1E75">
          <w:rPr>
            <w:noProof/>
            <w:webHidden/>
          </w:rPr>
          <w:tab/>
        </w:r>
        <w:r>
          <w:rPr>
            <w:noProof/>
            <w:webHidden/>
          </w:rPr>
          <w:fldChar w:fldCharType="begin"/>
        </w:r>
        <w:r w:rsidR="004D1E75">
          <w:rPr>
            <w:noProof/>
            <w:webHidden/>
          </w:rPr>
          <w:instrText xml:space="preserve"> PAGEREF _Toc302293572 \h </w:instrText>
        </w:r>
        <w:r>
          <w:rPr>
            <w:noProof/>
            <w:webHidden/>
          </w:rPr>
        </w:r>
        <w:r>
          <w:rPr>
            <w:noProof/>
            <w:webHidden/>
          </w:rPr>
          <w:fldChar w:fldCharType="separate"/>
        </w:r>
        <w:r w:rsidR="00F96900">
          <w:rPr>
            <w:noProof/>
            <w:webHidden/>
          </w:rPr>
          <w:t>69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3" w:history="1">
        <w:r w:rsidR="004D1E75" w:rsidRPr="00493BC6">
          <w:rPr>
            <w:rStyle w:val="Hyperlink"/>
            <w:noProof/>
          </w:rPr>
          <w:t>Table 31. Minimum and maximum estimates of monthly ophthalmic glaucoma preparations, Merthyr Tydfil, Rhondda Cynon Taf, 2009-2010 data</w:t>
        </w:r>
        <w:r w:rsidR="004D1E75">
          <w:rPr>
            <w:noProof/>
            <w:webHidden/>
          </w:rPr>
          <w:tab/>
        </w:r>
        <w:r>
          <w:rPr>
            <w:noProof/>
            <w:webHidden/>
          </w:rPr>
          <w:fldChar w:fldCharType="begin"/>
        </w:r>
        <w:r w:rsidR="004D1E75">
          <w:rPr>
            <w:noProof/>
            <w:webHidden/>
          </w:rPr>
          <w:instrText xml:space="preserve"> PAGEREF _Toc302293573 \h </w:instrText>
        </w:r>
        <w:r>
          <w:rPr>
            <w:noProof/>
            <w:webHidden/>
          </w:rPr>
        </w:r>
        <w:r>
          <w:rPr>
            <w:noProof/>
            <w:webHidden/>
          </w:rPr>
          <w:fldChar w:fldCharType="separate"/>
        </w:r>
        <w:r w:rsidR="00F96900">
          <w:rPr>
            <w:noProof/>
            <w:webHidden/>
          </w:rPr>
          <w:t>71</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4" w:history="1">
        <w:r w:rsidR="004D1E75" w:rsidRPr="00493BC6">
          <w:rPr>
            <w:rStyle w:val="Hyperlink"/>
            <w:noProof/>
          </w:rPr>
          <w:t>Table 32. Local authority and NEHEM comparison of severe sight impairment, 2009</w:t>
        </w:r>
        <w:r w:rsidR="004D1E75">
          <w:rPr>
            <w:noProof/>
            <w:webHidden/>
          </w:rPr>
          <w:tab/>
        </w:r>
        <w:r>
          <w:rPr>
            <w:noProof/>
            <w:webHidden/>
          </w:rPr>
          <w:fldChar w:fldCharType="begin"/>
        </w:r>
        <w:r w:rsidR="004D1E75">
          <w:rPr>
            <w:noProof/>
            <w:webHidden/>
          </w:rPr>
          <w:instrText xml:space="preserve"> PAGEREF _Toc302293574 \h </w:instrText>
        </w:r>
        <w:r>
          <w:rPr>
            <w:noProof/>
            <w:webHidden/>
          </w:rPr>
        </w:r>
        <w:r>
          <w:rPr>
            <w:noProof/>
            <w:webHidden/>
          </w:rPr>
          <w:fldChar w:fldCharType="separate"/>
        </w:r>
        <w:r w:rsidR="00F96900">
          <w:rPr>
            <w:noProof/>
            <w:webHidden/>
          </w:rPr>
          <w:t>79</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5" w:history="1">
        <w:r w:rsidR="004D1E75" w:rsidRPr="00493BC6">
          <w:rPr>
            <w:rStyle w:val="Hyperlink"/>
            <w:noProof/>
          </w:rPr>
          <w:t>Table 33. Local authority and NEHEM comparison of sight impairment / low vision, 2009</w:t>
        </w:r>
        <w:r w:rsidR="004D1E75">
          <w:rPr>
            <w:noProof/>
            <w:webHidden/>
          </w:rPr>
          <w:tab/>
        </w:r>
        <w:r>
          <w:rPr>
            <w:noProof/>
            <w:webHidden/>
          </w:rPr>
          <w:fldChar w:fldCharType="begin"/>
        </w:r>
        <w:r w:rsidR="004D1E75">
          <w:rPr>
            <w:noProof/>
            <w:webHidden/>
          </w:rPr>
          <w:instrText xml:space="preserve"> PAGEREF _Toc302293575 \h </w:instrText>
        </w:r>
        <w:r>
          <w:rPr>
            <w:noProof/>
            <w:webHidden/>
          </w:rPr>
        </w:r>
        <w:r>
          <w:rPr>
            <w:noProof/>
            <w:webHidden/>
          </w:rPr>
          <w:fldChar w:fldCharType="separate"/>
        </w:r>
        <w:r w:rsidR="00F96900">
          <w:rPr>
            <w:noProof/>
            <w:webHidden/>
          </w:rPr>
          <w:t>80</w:t>
        </w:r>
        <w:r>
          <w:rPr>
            <w:noProof/>
            <w:webHidden/>
          </w:rPr>
          <w:fldChar w:fldCharType="end"/>
        </w:r>
      </w:hyperlink>
    </w:p>
    <w:p w:rsidR="004D1E75" w:rsidRDefault="001060C2">
      <w:pPr>
        <w:pStyle w:val="TableofFigures"/>
        <w:tabs>
          <w:tab w:val="right" w:leader="dot" w:pos="9075"/>
        </w:tabs>
        <w:rPr>
          <w:rFonts w:asciiTheme="minorHAnsi" w:eastAsiaTheme="minorEastAsia" w:hAnsiTheme="minorHAnsi" w:cstheme="minorBidi"/>
          <w:noProof/>
          <w:sz w:val="22"/>
          <w:szCs w:val="22"/>
          <w:lang w:val="en-IE" w:eastAsia="en-IE"/>
        </w:rPr>
      </w:pPr>
      <w:hyperlink w:anchor="_Toc302293576" w:history="1">
        <w:r w:rsidR="004D1E75" w:rsidRPr="00493BC6">
          <w:rPr>
            <w:rStyle w:val="Hyperlink"/>
            <w:noProof/>
          </w:rPr>
          <w:t>Table 34. Glaucoma: Estimates of need and provision</w:t>
        </w:r>
        <w:r w:rsidR="004D1E75">
          <w:rPr>
            <w:noProof/>
            <w:webHidden/>
          </w:rPr>
          <w:tab/>
        </w:r>
        <w:r>
          <w:rPr>
            <w:noProof/>
            <w:webHidden/>
          </w:rPr>
          <w:fldChar w:fldCharType="begin"/>
        </w:r>
        <w:r w:rsidR="004D1E75">
          <w:rPr>
            <w:noProof/>
            <w:webHidden/>
          </w:rPr>
          <w:instrText xml:space="preserve"> PAGEREF _Toc302293576 \h </w:instrText>
        </w:r>
        <w:r>
          <w:rPr>
            <w:noProof/>
            <w:webHidden/>
          </w:rPr>
        </w:r>
        <w:r>
          <w:rPr>
            <w:noProof/>
            <w:webHidden/>
          </w:rPr>
          <w:fldChar w:fldCharType="separate"/>
        </w:r>
        <w:r w:rsidR="00F96900">
          <w:rPr>
            <w:noProof/>
            <w:webHidden/>
          </w:rPr>
          <w:t>83</w:t>
        </w:r>
        <w:r>
          <w:rPr>
            <w:noProof/>
            <w:webHidden/>
          </w:rPr>
          <w:fldChar w:fldCharType="end"/>
        </w:r>
      </w:hyperlink>
    </w:p>
    <w:p w:rsidR="00B67C99" w:rsidRDefault="001060C2" w:rsidP="003C4050">
      <w:pPr>
        <w:pStyle w:val="Heading1"/>
        <w:numPr>
          <w:ilvl w:val="0"/>
          <w:numId w:val="0"/>
        </w:numPr>
      </w:pPr>
      <w:r>
        <w:fldChar w:fldCharType="end"/>
      </w:r>
    </w:p>
    <w:p w:rsidR="00B67C99" w:rsidRDefault="00B67C99" w:rsidP="00B67C99">
      <w:pPr>
        <w:rPr>
          <w:kern w:val="28"/>
          <w:sz w:val="32"/>
        </w:rPr>
      </w:pPr>
      <w:r>
        <w:br w:type="page"/>
      </w:r>
    </w:p>
    <w:p w:rsidR="00132586" w:rsidRDefault="00132586" w:rsidP="00132586">
      <w:pPr>
        <w:pStyle w:val="Heading1"/>
        <w:numPr>
          <w:ilvl w:val="0"/>
          <w:numId w:val="0"/>
        </w:numPr>
      </w:pPr>
      <w:bookmarkStart w:id="28" w:name="_Toc302293425"/>
      <w:bookmarkStart w:id="29" w:name="_Toc291585840"/>
      <w:r>
        <w:lastRenderedPageBreak/>
        <w:t>Summary</w:t>
      </w:r>
      <w:bookmarkEnd w:id="28"/>
    </w:p>
    <w:p w:rsidR="00132586" w:rsidRDefault="00132586" w:rsidP="00132586">
      <w:pPr>
        <w:rPr>
          <w:b/>
          <w:szCs w:val="24"/>
        </w:rPr>
      </w:pPr>
      <w:bookmarkStart w:id="30" w:name="_Toc291585899"/>
      <w:r w:rsidRPr="00897533">
        <w:rPr>
          <w:szCs w:val="24"/>
        </w:rPr>
        <w:t xml:space="preserve">This </w:t>
      </w:r>
      <w:r w:rsidR="00D8724C">
        <w:rPr>
          <w:szCs w:val="24"/>
        </w:rPr>
        <w:t>eye</w:t>
      </w:r>
      <w:r>
        <w:rPr>
          <w:szCs w:val="24"/>
        </w:rPr>
        <w:t xml:space="preserve"> health equity profile</w:t>
      </w:r>
      <w:r w:rsidRPr="00897533">
        <w:rPr>
          <w:szCs w:val="24"/>
        </w:rPr>
        <w:t xml:space="preserve"> has been used to inform the development of the Royal National Institute of Blind People’s (RNIB) Community Engagement Project</w:t>
      </w:r>
      <w:r w:rsidR="00013464">
        <w:rPr>
          <w:szCs w:val="24"/>
        </w:rPr>
        <w:t xml:space="preserve"> (CEP)</w:t>
      </w:r>
      <w:r w:rsidRPr="00897533">
        <w:rPr>
          <w:szCs w:val="24"/>
        </w:rPr>
        <w:t xml:space="preserve">.  It is hoped that </w:t>
      </w:r>
      <w:r>
        <w:rPr>
          <w:szCs w:val="24"/>
        </w:rPr>
        <w:t xml:space="preserve">it can also be used </w:t>
      </w:r>
      <w:r w:rsidRPr="00897533">
        <w:t xml:space="preserve">to inform the development of an </w:t>
      </w:r>
      <w:r w:rsidR="00D8724C">
        <w:t>eye</w:t>
      </w:r>
      <w:r w:rsidR="00C42EAE">
        <w:t xml:space="preserve"> health strategy for Cwm Taf Health B</w:t>
      </w:r>
      <w:r w:rsidRPr="00897533">
        <w:t>oard</w:t>
      </w:r>
      <w:r>
        <w:t>.</w:t>
      </w:r>
      <w:r>
        <w:rPr>
          <w:b/>
          <w:szCs w:val="24"/>
        </w:rPr>
        <w:t xml:space="preserve"> </w:t>
      </w:r>
    </w:p>
    <w:p w:rsidR="00132586" w:rsidRDefault="00132586" w:rsidP="00132586">
      <w:pPr>
        <w:rPr>
          <w:szCs w:val="24"/>
        </w:rPr>
      </w:pPr>
      <w:r>
        <w:rPr>
          <w:szCs w:val="24"/>
        </w:rPr>
        <w:t xml:space="preserve">The Wales Vision Strategy Advisory Group set out in 2010 the priorities for meeting objectives of the UK Vision Strategy which has the overarching aim of eliminating avoidable blindness.  The Wales </w:t>
      </w:r>
      <w:r w:rsidR="00D8724C">
        <w:rPr>
          <w:szCs w:val="24"/>
        </w:rPr>
        <w:t>Eye</w:t>
      </w:r>
      <w:r>
        <w:rPr>
          <w:szCs w:val="24"/>
        </w:rPr>
        <w:t xml:space="preserve"> Health Improvement Project and the Welsh </w:t>
      </w:r>
      <w:r w:rsidR="00D8724C">
        <w:rPr>
          <w:szCs w:val="24"/>
        </w:rPr>
        <w:t>Eye</w:t>
      </w:r>
      <w:r>
        <w:rPr>
          <w:szCs w:val="24"/>
        </w:rPr>
        <w:t xml:space="preserve"> Care Initiative</w:t>
      </w:r>
      <w:r w:rsidR="00013464">
        <w:rPr>
          <w:szCs w:val="24"/>
        </w:rPr>
        <w:t xml:space="preserve"> (WECI)</w:t>
      </w:r>
      <w:r>
        <w:rPr>
          <w:szCs w:val="24"/>
        </w:rPr>
        <w:t xml:space="preserve"> contribute to this agenda.</w:t>
      </w:r>
    </w:p>
    <w:p w:rsidR="00132586" w:rsidRDefault="00132586" w:rsidP="00132586">
      <w:r>
        <w:t xml:space="preserve">The quality of the available data on </w:t>
      </w:r>
      <w:r w:rsidR="00D8724C">
        <w:t>eye</w:t>
      </w:r>
      <w:r>
        <w:t xml:space="preserve"> health is quite poor.  Although prevalence models exist, these do not take into account factors such as deprivation.  The models suggest that Cwm Taf has less need in terms of </w:t>
      </w:r>
      <w:r w:rsidR="00D8724C">
        <w:t>eye</w:t>
      </w:r>
      <w:r>
        <w:t xml:space="preserve"> health care compared with Wales, but more deprived areas are likely to have greater need.  The service data is also limited, and where available largely relates to items of service with little or no information about who is accessing these services.  Local research and audit relating to </w:t>
      </w:r>
      <w:r w:rsidR="00D8724C">
        <w:t>eye</w:t>
      </w:r>
      <w:r>
        <w:t xml:space="preserve"> health care in Cwm Taf was sought in this project.  This identified one audit which has looked at the cataract pathway and one study </w:t>
      </w:r>
      <w:r w:rsidR="0027562D">
        <w:t>which has</w:t>
      </w:r>
      <w:r>
        <w:t xml:space="preserve"> looked at the presentation of people with cataracts across the health board area.  </w:t>
      </w:r>
    </w:p>
    <w:bookmarkEnd w:id="30"/>
    <w:p w:rsidR="00132586" w:rsidRDefault="00132586" w:rsidP="00132586">
      <w:r>
        <w:t xml:space="preserve">Cwm Taf has one of the most deprived populations in Wales. </w:t>
      </w:r>
      <w:r w:rsidRPr="002C1DAD">
        <w:t>The</w:t>
      </w:r>
      <w:r>
        <w:t xml:space="preserve"> </w:t>
      </w:r>
      <w:r w:rsidRPr="002C1DAD">
        <w:t>high</w:t>
      </w:r>
      <w:r>
        <w:t>est</w:t>
      </w:r>
      <w:r w:rsidRPr="002C1DAD">
        <w:t xml:space="preserve"> levels of deprivation</w:t>
      </w:r>
      <w:r>
        <w:t xml:space="preserve"> are</w:t>
      </w:r>
      <w:r w:rsidRPr="002C1DAD">
        <w:t xml:space="preserve"> in </w:t>
      </w:r>
      <w:r>
        <w:t xml:space="preserve">upper </w:t>
      </w:r>
      <w:r w:rsidR="00D5124A">
        <w:t xml:space="preserve">layer </w:t>
      </w:r>
      <w:r>
        <w:t>super output areas (</w:t>
      </w:r>
      <w:r w:rsidRPr="002C1DAD">
        <w:t>USOAs</w:t>
      </w:r>
      <w:r>
        <w:t>)</w:t>
      </w:r>
      <w:r w:rsidRPr="002C1DAD">
        <w:t xml:space="preserve"> Me</w:t>
      </w:r>
      <w:r>
        <w:t>rthyr02, RCT01, RCT03 and RCT04.  C</w:t>
      </w:r>
      <w:r w:rsidRPr="002C1DAD">
        <w:t xml:space="preserve">wm Taf has </w:t>
      </w:r>
      <w:r>
        <w:t xml:space="preserve">a slightly </w:t>
      </w:r>
      <w:r w:rsidRPr="002C1DAD">
        <w:t xml:space="preserve">lower </w:t>
      </w:r>
      <w:r>
        <w:t>proportion of older people (16.9</w:t>
      </w:r>
      <w:r w:rsidR="0027562D">
        <w:t xml:space="preserve"> </w:t>
      </w:r>
      <w:r w:rsidR="00976E79">
        <w:t>per cent</w:t>
      </w:r>
      <w:r w:rsidR="0027562D">
        <w:t xml:space="preserve"> people </w:t>
      </w:r>
      <w:r w:rsidR="0015111E">
        <w:t xml:space="preserve">aged </w:t>
      </w:r>
      <w:r>
        <w:t>65 years</w:t>
      </w:r>
      <w:r w:rsidR="0027562D">
        <w:t xml:space="preserve"> and over</w:t>
      </w:r>
      <w:r>
        <w:t xml:space="preserve">) </w:t>
      </w:r>
      <w:r w:rsidR="00976E79">
        <w:t xml:space="preserve">compared to </w:t>
      </w:r>
      <w:r w:rsidRPr="002C1DAD">
        <w:t>Wales</w:t>
      </w:r>
      <w:r>
        <w:t xml:space="preserve"> (18.3</w:t>
      </w:r>
      <w:r w:rsidR="0027562D">
        <w:t xml:space="preserve"> </w:t>
      </w:r>
      <w:r w:rsidR="00976E79">
        <w:t>per cent</w:t>
      </w:r>
      <w:r>
        <w:t>).  USOA RCT04 (19.0</w:t>
      </w:r>
      <w:r w:rsidR="00CB30E2">
        <w:t xml:space="preserve"> </w:t>
      </w:r>
      <w:r w:rsidR="00976E79">
        <w:t>per cent</w:t>
      </w:r>
      <w:r>
        <w:t xml:space="preserve">) has </w:t>
      </w:r>
      <w:r w:rsidRPr="002C1DAD">
        <w:t xml:space="preserve">the highest </w:t>
      </w:r>
      <w:r>
        <w:t>proportion of older people and USOA RCT07 (14.4</w:t>
      </w:r>
      <w:r w:rsidR="0027562D">
        <w:t xml:space="preserve"> </w:t>
      </w:r>
      <w:r w:rsidR="00976E79">
        <w:t>per cent</w:t>
      </w:r>
      <w:r>
        <w:t>) has the lowest proportion of older people in Cwm Taf. A</w:t>
      </w:r>
      <w:r w:rsidRPr="002C1DAD">
        <w:t xml:space="preserve"> very low proportion of the population of Cwm Taf belong to a black or minority ethnic group</w:t>
      </w:r>
      <w:r>
        <w:t xml:space="preserve"> (1.8</w:t>
      </w:r>
      <w:r w:rsidR="0027562D">
        <w:t xml:space="preserve"> </w:t>
      </w:r>
      <w:r w:rsidR="00976E79">
        <w:t>per cent</w:t>
      </w:r>
      <w:r>
        <w:t>)</w:t>
      </w:r>
      <w:r w:rsidRPr="002C1DAD">
        <w:t xml:space="preserve">. </w:t>
      </w:r>
    </w:p>
    <w:p w:rsidR="00132586" w:rsidRPr="007C1314" w:rsidRDefault="00132586" w:rsidP="00132586">
      <w:pPr>
        <w:rPr>
          <w:b/>
        </w:rPr>
      </w:pPr>
      <w:bookmarkStart w:id="31" w:name="_Toc291585901"/>
      <w:r w:rsidRPr="007C1314">
        <w:rPr>
          <w:b/>
        </w:rPr>
        <w:t>Vision impairment</w:t>
      </w:r>
      <w:bookmarkEnd w:id="31"/>
    </w:p>
    <w:p w:rsidR="00132586" w:rsidRDefault="00132586" w:rsidP="00132586">
      <w:pPr>
        <w:numPr>
          <w:ilvl w:val="0"/>
          <w:numId w:val="19"/>
        </w:numPr>
        <w:ind w:left="714" w:hanging="357"/>
      </w:pPr>
      <w:r>
        <w:t>There are an estimated 4,203 people</w:t>
      </w:r>
      <w:r w:rsidR="00783933">
        <w:t xml:space="preserve"> aged 50 years and over</w:t>
      </w:r>
      <w:r>
        <w:t xml:space="preserve"> with vision impairment in Cwm Taf and 47,386 in Wales</w:t>
      </w:r>
      <w:r w:rsidR="00C10735">
        <w:t xml:space="preserve"> </w:t>
      </w:r>
    </w:p>
    <w:p w:rsidR="00132586" w:rsidRDefault="00132586" w:rsidP="00132586">
      <w:pPr>
        <w:numPr>
          <w:ilvl w:val="0"/>
          <w:numId w:val="19"/>
        </w:numPr>
        <w:ind w:left="714" w:hanging="357"/>
      </w:pPr>
      <w:r>
        <w:t>The estimated prevalence of vision impairment</w:t>
      </w:r>
      <w:r w:rsidR="00D5124A">
        <w:t xml:space="preserve"> in the population </w:t>
      </w:r>
      <w:r>
        <w:t>is slightly lower in Cwm Taf compared with Wales due to the lower proportion of older people in Cwm Taf</w:t>
      </w:r>
    </w:p>
    <w:p w:rsidR="00132586" w:rsidRDefault="00132586" w:rsidP="00132586">
      <w:pPr>
        <w:numPr>
          <w:ilvl w:val="0"/>
          <w:numId w:val="19"/>
        </w:numPr>
        <w:ind w:left="714" w:hanging="357"/>
      </w:pPr>
      <w:r>
        <w:t>Within Cwm Taf, the estimated prevalence of vision impairment</w:t>
      </w:r>
      <w:r w:rsidR="00CC2DF1">
        <w:t xml:space="preserve"> in the population </w:t>
      </w:r>
      <w:r>
        <w:t>is higher in USOAs RCT04 and 06, where there is a higher proportion of older people</w:t>
      </w:r>
    </w:p>
    <w:p w:rsidR="00132586" w:rsidRDefault="00132586" w:rsidP="00132586">
      <w:pPr>
        <w:numPr>
          <w:ilvl w:val="0"/>
          <w:numId w:val="19"/>
        </w:numPr>
        <w:ind w:left="714" w:hanging="357"/>
      </w:pPr>
      <w:r>
        <w:lastRenderedPageBreak/>
        <w:t xml:space="preserve">The Welsh </w:t>
      </w:r>
      <w:r w:rsidR="00D8724C">
        <w:t>Eye</w:t>
      </w:r>
      <w:r>
        <w:t xml:space="preserve"> Care Health Examination (WECHE) rate is variable in South East Wales and low in Rhondda Cynon Taf (2.9 per </w:t>
      </w:r>
      <w:r w:rsidR="009836A6">
        <w:t>1,000</w:t>
      </w:r>
      <w:r>
        <w:t xml:space="preserve"> in </w:t>
      </w:r>
      <w:r w:rsidR="005904D8">
        <w:t xml:space="preserve">Rhondda Cynon Taf </w:t>
      </w:r>
      <w:r>
        <w:t>and 10.3 per 1,000 in Merthyr Tydfil)</w:t>
      </w:r>
    </w:p>
    <w:p w:rsidR="00132586" w:rsidRDefault="00132586" w:rsidP="00132586">
      <w:pPr>
        <w:numPr>
          <w:ilvl w:val="0"/>
          <w:numId w:val="19"/>
        </w:numPr>
        <w:ind w:left="714" w:hanging="357"/>
      </w:pPr>
      <w:r>
        <w:t xml:space="preserve">The crude rate of NHS </w:t>
      </w:r>
      <w:r w:rsidR="00C42EAE">
        <w:t xml:space="preserve">funded </w:t>
      </w:r>
      <w:r>
        <w:t xml:space="preserve">sight tests in Cwm Taf (261.5 per 1,000) is slightly higher than that of Wales (245.5 per 1,000); the rate of </w:t>
      </w:r>
      <w:r w:rsidR="00C42EAE">
        <w:t xml:space="preserve">NHS funded </w:t>
      </w:r>
      <w:r>
        <w:t xml:space="preserve">sight tests for people aged 60 years and over and </w:t>
      </w:r>
      <w:r w:rsidR="0015111E">
        <w:t xml:space="preserve">aged </w:t>
      </w:r>
      <w:r>
        <w:t xml:space="preserve">15 years and under is higher in Cwm Taf compared to Wales but the rate of </w:t>
      </w:r>
      <w:r w:rsidR="00C42EAE">
        <w:t>NHS funded</w:t>
      </w:r>
      <w:r>
        <w:t xml:space="preserve"> sight tests for sight impaired and severely sight impaired people and people receiving jobseeker’s allowance or income support is lower compared to Wales</w:t>
      </w:r>
    </w:p>
    <w:p w:rsidR="00132586" w:rsidRDefault="00132586" w:rsidP="00132586">
      <w:pPr>
        <w:numPr>
          <w:ilvl w:val="0"/>
          <w:numId w:val="19"/>
        </w:numPr>
        <w:ind w:left="714" w:hanging="357"/>
      </w:pPr>
      <w:r>
        <w:t xml:space="preserve">The reasons for </w:t>
      </w:r>
      <w:r w:rsidR="00C42EAE">
        <w:t>NHS funded sight test</w:t>
      </w:r>
      <w:r>
        <w:t>s in Cwm Taf are less driven by income factors than might be expected</w:t>
      </w:r>
    </w:p>
    <w:p w:rsidR="00132586" w:rsidRDefault="00132586" w:rsidP="00132586">
      <w:pPr>
        <w:numPr>
          <w:ilvl w:val="0"/>
          <w:numId w:val="19"/>
        </w:numPr>
        <w:ind w:left="714" w:hanging="357"/>
      </w:pPr>
      <w:r>
        <w:t xml:space="preserve">The </w:t>
      </w:r>
      <w:r w:rsidR="00CB30E2">
        <w:t xml:space="preserve">National </w:t>
      </w:r>
      <w:r w:rsidR="00D8724C">
        <w:t>Eye</w:t>
      </w:r>
      <w:r w:rsidR="00CB30E2">
        <w:t xml:space="preserve"> Health Epidemiological Model (</w:t>
      </w:r>
      <w:r>
        <w:t>NEHEM</w:t>
      </w:r>
      <w:r w:rsidR="00CB30E2">
        <w:t>)</w:t>
      </w:r>
      <w:r>
        <w:t xml:space="preserve"> predicts fewer severely sight impaired people (642) than the number on the local authority register (966), but predicts considerably more people with low vision (3,580) than are registered as sight impaired with the local authority (888). However, definitions do differ. Further work looking at this could be beneficial</w:t>
      </w:r>
    </w:p>
    <w:p w:rsidR="00132586" w:rsidRPr="00887909" w:rsidRDefault="00132586" w:rsidP="00132586">
      <w:pPr>
        <w:pStyle w:val="ListParagraph"/>
        <w:numPr>
          <w:ilvl w:val="0"/>
          <w:numId w:val="19"/>
        </w:numPr>
      </w:pPr>
      <w:r>
        <w:rPr>
          <w:rFonts w:cs="Arial"/>
          <w:szCs w:val="28"/>
          <w:lang w:eastAsia="en-GB"/>
        </w:rPr>
        <w:t>Data from the Welsh Health Survey shows that a</w:t>
      </w:r>
      <w:r w:rsidRPr="00B30544">
        <w:rPr>
          <w:rFonts w:cs="Arial"/>
          <w:szCs w:val="28"/>
          <w:lang w:eastAsia="en-GB"/>
        </w:rPr>
        <w:t>dults in the most deprived deprivation quintile were less likely to have visited an optician in the previous twelve months compared with people in the least deprived qu</w:t>
      </w:r>
      <w:r>
        <w:rPr>
          <w:rFonts w:cs="Arial"/>
          <w:szCs w:val="28"/>
          <w:lang w:eastAsia="en-GB"/>
        </w:rPr>
        <w:t>intile</w:t>
      </w:r>
    </w:p>
    <w:p w:rsidR="00132586" w:rsidRPr="00887909" w:rsidRDefault="00132586" w:rsidP="00132586">
      <w:pPr>
        <w:pStyle w:val="ListParagraph"/>
      </w:pPr>
    </w:p>
    <w:p w:rsidR="00132586" w:rsidRPr="00CB30E2" w:rsidRDefault="00132586" w:rsidP="00132586">
      <w:pPr>
        <w:pStyle w:val="ListParagraph"/>
        <w:numPr>
          <w:ilvl w:val="0"/>
          <w:numId w:val="19"/>
        </w:numPr>
        <w:rPr>
          <w:rFonts w:cs="Arial"/>
          <w:b/>
          <w:szCs w:val="28"/>
          <w:lang w:eastAsia="en-GB"/>
        </w:rPr>
      </w:pPr>
      <w:r>
        <w:rPr>
          <w:rFonts w:cs="Arial"/>
          <w:szCs w:val="28"/>
          <w:lang w:eastAsia="en-GB"/>
        </w:rPr>
        <w:t xml:space="preserve">The majority of Optometrists seem to be located in less deprived areas in Cwm Taf. </w:t>
      </w:r>
      <w:bookmarkStart w:id="32" w:name="_Toc291585902"/>
    </w:p>
    <w:p w:rsidR="00CB30E2" w:rsidRPr="00CB30E2" w:rsidRDefault="00CB30E2" w:rsidP="00CB30E2">
      <w:pPr>
        <w:pStyle w:val="ListParagraph"/>
        <w:rPr>
          <w:rFonts w:cs="Arial"/>
          <w:b/>
          <w:szCs w:val="28"/>
          <w:lang w:eastAsia="en-GB"/>
        </w:rPr>
      </w:pPr>
    </w:p>
    <w:p w:rsidR="00132586" w:rsidRPr="00CB30E2" w:rsidRDefault="00132586" w:rsidP="00CB30E2">
      <w:pPr>
        <w:rPr>
          <w:rFonts w:cs="Arial"/>
          <w:b/>
          <w:szCs w:val="28"/>
          <w:lang w:eastAsia="en-GB"/>
        </w:rPr>
      </w:pPr>
      <w:r w:rsidRPr="00CB30E2">
        <w:rPr>
          <w:rFonts w:cs="Arial"/>
          <w:b/>
          <w:szCs w:val="28"/>
          <w:lang w:eastAsia="en-GB"/>
        </w:rPr>
        <w:t>Diabetic retinopathy</w:t>
      </w:r>
      <w:bookmarkEnd w:id="32"/>
    </w:p>
    <w:p w:rsidR="00132586" w:rsidRDefault="00132586" w:rsidP="00132586">
      <w:pPr>
        <w:numPr>
          <w:ilvl w:val="0"/>
          <w:numId w:val="19"/>
        </w:numPr>
        <w:ind w:left="714" w:hanging="357"/>
      </w:pPr>
      <w:r w:rsidRPr="00C352AC">
        <w:rPr>
          <w:rFonts w:cs="Arial"/>
          <w:szCs w:val="28"/>
          <w:lang w:eastAsia="en-GB"/>
        </w:rPr>
        <w:t>The estimated prevalence of diabetes is 4.7-6</w:t>
      </w:r>
      <w:r w:rsidR="00CB30E2">
        <w:rPr>
          <w:rFonts w:cs="Arial"/>
          <w:szCs w:val="28"/>
          <w:lang w:eastAsia="en-GB"/>
        </w:rPr>
        <w:t xml:space="preserve"> </w:t>
      </w:r>
      <w:r w:rsidR="00976E79">
        <w:rPr>
          <w:rFonts w:cs="Arial"/>
          <w:szCs w:val="28"/>
          <w:lang w:eastAsia="en-GB"/>
        </w:rPr>
        <w:t>per cent</w:t>
      </w:r>
      <w:r w:rsidRPr="00C352AC">
        <w:rPr>
          <w:rFonts w:cs="Arial"/>
          <w:szCs w:val="28"/>
          <w:lang w:eastAsia="en-GB"/>
        </w:rPr>
        <w:t xml:space="preserve"> in Merthyr Tydfi</w:t>
      </w:r>
      <w:r w:rsidRPr="00C352AC">
        <w:t>l, and 10</w:t>
      </w:r>
      <w:r w:rsidR="00CB30E2">
        <w:t xml:space="preserve"> </w:t>
      </w:r>
      <w:r w:rsidR="00976E79">
        <w:t>per cent</w:t>
      </w:r>
      <w:r w:rsidRPr="00C352AC">
        <w:t xml:space="preserve"> when undiagnosed diabetes is included in the estimate</w:t>
      </w:r>
    </w:p>
    <w:p w:rsidR="00132586" w:rsidRPr="00C352AC" w:rsidRDefault="00132586" w:rsidP="00132586">
      <w:pPr>
        <w:numPr>
          <w:ilvl w:val="0"/>
          <w:numId w:val="19"/>
        </w:numPr>
        <w:ind w:left="714" w:hanging="357"/>
      </w:pPr>
      <w:r>
        <w:t xml:space="preserve">There are an estimated 21,848 people with diagnosed and undiagnosed diabetes in Cwm Taf, and 221,777 in Wales </w:t>
      </w:r>
    </w:p>
    <w:p w:rsidR="00132586" w:rsidRDefault="00132586" w:rsidP="00132586">
      <w:pPr>
        <w:numPr>
          <w:ilvl w:val="0"/>
          <w:numId w:val="19"/>
        </w:numPr>
        <w:ind w:left="714" w:hanging="357"/>
      </w:pPr>
      <w:r>
        <w:t xml:space="preserve">GP practices with the highest rates of diabetes and the lowest proportion of patients with adequate management of diabetes were generally in the most deprived USOAs </w:t>
      </w:r>
    </w:p>
    <w:p w:rsidR="00132586" w:rsidRDefault="00132586" w:rsidP="00132586">
      <w:pPr>
        <w:numPr>
          <w:ilvl w:val="0"/>
          <w:numId w:val="19"/>
        </w:numPr>
        <w:ind w:left="714" w:hanging="357"/>
      </w:pPr>
      <w:r>
        <w:t>There was 93</w:t>
      </w:r>
      <w:r w:rsidR="00CB30E2">
        <w:t xml:space="preserve"> </w:t>
      </w:r>
      <w:r w:rsidR="00976E79">
        <w:t>per cent</w:t>
      </w:r>
      <w:r>
        <w:t xml:space="preserve"> uptake of diabetic retinopathy screening in diabetic people eligible for screening who were registered with Cwm Taf GP practices when measured using Quality </w:t>
      </w:r>
      <w:r w:rsidR="00783933">
        <w:t xml:space="preserve">and </w:t>
      </w:r>
      <w:r>
        <w:t>Outcome</w:t>
      </w:r>
      <w:r w:rsidR="00783933">
        <w:t>s</w:t>
      </w:r>
      <w:r>
        <w:t xml:space="preserve"> Framework (QOF) data over 15 months</w:t>
      </w:r>
      <w:r w:rsidR="00CB30E2">
        <w:t>.  However</w:t>
      </w:r>
      <w:r>
        <w:t xml:space="preserve">, </w:t>
      </w:r>
      <w:r w:rsidR="00CB30E2">
        <w:t xml:space="preserve">the Diabetic Retinopathy Screening Service </w:t>
      </w:r>
      <w:r w:rsidR="00013464">
        <w:t xml:space="preserve">for </w:t>
      </w:r>
      <w:r w:rsidR="00CB30E2">
        <w:t xml:space="preserve">Wales (DRSSW) </w:t>
      </w:r>
      <w:r w:rsidR="005904D8">
        <w:t xml:space="preserve">data </w:t>
      </w:r>
      <w:r w:rsidR="00CB30E2">
        <w:t xml:space="preserve">showed that </w:t>
      </w:r>
      <w:r w:rsidR="00CB30E2">
        <w:lastRenderedPageBreak/>
        <w:t xml:space="preserve">there was </w:t>
      </w:r>
      <w:r>
        <w:t>a 73</w:t>
      </w:r>
      <w:r w:rsidR="00CB30E2">
        <w:t xml:space="preserve"> </w:t>
      </w:r>
      <w:r w:rsidR="00976E79">
        <w:t>per cent</w:t>
      </w:r>
      <w:r>
        <w:t xml:space="preserve"> uptake of diabetic retinopathy screening of people offered screening in Cwm Taf over 12 months. There are uncertainties related to these figures which may warrant investigation  </w:t>
      </w:r>
    </w:p>
    <w:p w:rsidR="00132586" w:rsidRDefault="00132586" w:rsidP="00132586">
      <w:pPr>
        <w:numPr>
          <w:ilvl w:val="0"/>
          <w:numId w:val="19"/>
        </w:numPr>
        <w:ind w:left="714" w:hanging="357"/>
      </w:pPr>
      <w:r>
        <w:t>Several practices had lower screening activity compared to Cwm Taf and Wales, these were mainly in RCT02</w:t>
      </w:r>
    </w:p>
    <w:p w:rsidR="00132586" w:rsidRDefault="00132586" w:rsidP="00132586">
      <w:pPr>
        <w:numPr>
          <w:ilvl w:val="0"/>
          <w:numId w:val="19"/>
        </w:numPr>
        <w:ind w:left="714" w:hanging="357"/>
      </w:pPr>
      <w:r>
        <w:t>There were proportionately more exceptions to the diabetic screening QOF measure in Merthyr Tydfil compared to other local authority areas.</w:t>
      </w:r>
    </w:p>
    <w:p w:rsidR="00132586" w:rsidRPr="007C1314" w:rsidRDefault="00132586" w:rsidP="00132586">
      <w:pPr>
        <w:rPr>
          <w:b/>
        </w:rPr>
      </w:pPr>
      <w:bookmarkStart w:id="33" w:name="_Toc291585903"/>
      <w:r w:rsidRPr="007C1314">
        <w:rPr>
          <w:b/>
        </w:rPr>
        <w:t>Glaucoma</w:t>
      </w:r>
      <w:bookmarkEnd w:id="33"/>
    </w:p>
    <w:p w:rsidR="00132586" w:rsidRDefault="00132586" w:rsidP="00132586">
      <w:pPr>
        <w:numPr>
          <w:ilvl w:val="0"/>
          <w:numId w:val="19"/>
        </w:numPr>
        <w:ind w:left="714" w:hanging="357"/>
      </w:pPr>
      <w:r>
        <w:t>Estimated prevalence of glaucoma</w:t>
      </w:r>
      <w:r w:rsidR="00CC2DF1">
        <w:t xml:space="preserve"> in the population aged 30 years and over</w:t>
      </w:r>
      <w:r>
        <w:t xml:space="preserve"> is lower in Cwm Taf (1.5</w:t>
      </w:r>
      <w:r w:rsidR="00CB30E2">
        <w:t xml:space="preserve"> </w:t>
      </w:r>
      <w:r w:rsidR="00976E79">
        <w:t>per cent</w:t>
      </w:r>
      <w:r>
        <w:t xml:space="preserve"> NEHEM estimate, 1.1</w:t>
      </w:r>
      <w:r w:rsidR="00CB30E2">
        <w:t xml:space="preserve"> </w:t>
      </w:r>
      <w:r w:rsidR="00976E79">
        <w:t>per cent</w:t>
      </w:r>
      <w:r>
        <w:t xml:space="preserve"> </w:t>
      </w:r>
      <w:r w:rsidR="00CB30E2">
        <w:t>GP annual prevalence survey</w:t>
      </w:r>
      <w:r>
        <w:t xml:space="preserve"> estimate) compared with Wales (1.6</w:t>
      </w:r>
      <w:r w:rsidR="00CB30E2">
        <w:t xml:space="preserve"> </w:t>
      </w:r>
      <w:r w:rsidR="00976E79">
        <w:t>per cent</w:t>
      </w:r>
      <w:r>
        <w:t xml:space="preserve"> NEHEM estimate, 1.2</w:t>
      </w:r>
      <w:r w:rsidR="00CB30E2">
        <w:t xml:space="preserve">  </w:t>
      </w:r>
      <w:r w:rsidR="00976E79">
        <w:t>per cent</w:t>
      </w:r>
      <w:r w:rsidR="00CB30E2">
        <w:t xml:space="preserve"> GP annual prevalence survey</w:t>
      </w:r>
      <w:r>
        <w:t xml:space="preserve"> estimate) due to the lower proportion of older people in Cwm Taf</w:t>
      </w:r>
    </w:p>
    <w:p w:rsidR="00132586" w:rsidRDefault="00132586" w:rsidP="00132586">
      <w:pPr>
        <w:numPr>
          <w:ilvl w:val="0"/>
          <w:numId w:val="19"/>
        </w:numPr>
        <w:ind w:left="714" w:hanging="357"/>
      </w:pPr>
      <w:r>
        <w:t>From the model estimates, there are 2,0</w:t>
      </w:r>
      <w:r w:rsidR="00783933">
        <w:t>03</w:t>
      </w:r>
      <w:r>
        <w:t xml:space="preserve">-2,713 people </w:t>
      </w:r>
      <w:r w:rsidR="00783933">
        <w:t xml:space="preserve">aged 30 years and over </w:t>
      </w:r>
      <w:r>
        <w:t>wit</w:t>
      </w:r>
      <w:r w:rsidR="00783933">
        <w:t>h glaucoma in Cwm Taf and 22,225</w:t>
      </w:r>
      <w:r>
        <w:t>-30,027 in Wales</w:t>
      </w:r>
    </w:p>
    <w:p w:rsidR="00132586" w:rsidRDefault="00132586" w:rsidP="00132586">
      <w:pPr>
        <w:numPr>
          <w:ilvl w:val="0"/>
          <w:numId w:val="19"/>
        </w:numPr>
        <w:ind w:left="714" w:hanging="357"/>
      </w:pPr>
      <w:r>
        <w:t>Within Cwm Taf, the estimated prevalence of glaucoma is higher in USOAs RCT04 and 06, where there is a higher proportion of older people</w:t>
      </w:r>
    </w:p>
    <w:p w:rsidR="00132586" w:rsidRDefault="00132586" w:rsidP="00132586">
      <w:pPr>
        <w:numPr>
          <w:ilvl w:val="0"/>
          <w:numId w:val="19"/>
        </w:numPr>
        <w:ind w:left="714" w:hanging="357"/>
      </w:pPr>
      <w:r>
        <w:t xml:space="preserve">The ratio of glaucoma medications relative to need was estimated to be between 0.95 and 1.7 in Cwm Taf.  This is compared to an estimate of between 0.84 and 1.3 </w:t>
      </w:r>
      <w:r w:rsidRPr="000F403B">
        <w:t>in Wales.</w:t>
      </w:r>
      <w:r>
        <w:t xml:space="preserve">  From these figures, unmet need is less likely in Cwm Taf compared to </w:t>
      </w:r>
      <w:r w:rsidRPr="000F403B">
        <w:t>Wales</w:t>
      </w:r>
    </w:p>
    <w:p w:rsidR="00132586" w:rsidRDefault="00132586" w:rsidP="00132586">
      <w:pPr>
        <w:numPr>
          <w:ilvl w:val="0"/>
          <w:numId w:val="19"/>
        </w:numPr>
        <w:ind w:left="714" w:hanging="357"/>
      </w:pPr>
      <w:r>
        <w:t>Although it appears that fewer people have visual field tests in secondary care than the estimated number of people with glaucoma, the number of people tested in the community is unknown.</w:t>
      </w:r>
    </w:p>
    <w:p w:rsidR="00132586" w:rsidRPr="007C1314" w:rsidRDefault="00132586" w:rsidP="00132586">
      <w:pPr>
        <w:rPr>
          <w:b/>
        </w:rPr>
      </w:pPr>
      <w:bookmarkStart w:id="34" w:name="_Toc291585904"/>
      <w:r w:rsidRPr="007C1314">
        <w:rPr>
          <w:b/>
        </w:rPr>
        <w:t>Cataracts</w:t>
      </w:r>
      <w:bookmarkEnd w:id="34"/>
    </w:p>
    <w:p w:rsidR="00132586" w:rsidRDefault="00132586" w:rsidP="00132586">
      <w:pPr>
        <w:numPr>
          <w:ilvl w:val="0"/>
          <w:numId w:val="19"/>
        </w:numPr>
        <w:ind w:left="714" w:hanging="357"/>
      </w:pPr>
      <w:r>
        <w:t>Estimated prevalence of cataracts</w:t>
      </w:r>
      <w:r w:rsidR="00CC2DF1">
        <w:t xml:space="preserve"> in the population aged 40 years and over</w:t>
      </w:r>
      <w:r>
        <w:t xml:space="preserve"> is lower in Cwm Taf (1.9-6.8</w:t>
      </w:r>
      <w:r w:rsidR="00CB30E2">
        <w:t xml:space="preserve"> </w:t>
      </w:r>
      <w:r w:rsidR="00976E79">
        <w:t>per cent</w:t>
      </w:r>
      <w:r>
        <w:t xml:space="preserve"> NEHEM estimate, 1.7</w:t>
      </w:r>
      <w:r w:rsidR="00CB30E2">
        <w:t xml:space="preserve"> </w:t>
      </w:r>
      <w:r w:rsidR="00976E79">
        <w:t>per cent</w:t>
      </w:r>
      <w:r w:rsidR="00CB30E2">
        <w:t xml:space="preserve"> GP annual prevalence survey</w:t>
      </w:r>
      <w:r>
        <w:t xml:space="preserve"> estimate) compared with Wales (2.0-7.1</w:t>
      </w:r>
      <w:r w:rsidR="00CB30E2">
        <w:t xml:space="preserve"> </w:t>
      </w:r>
      <w:r w:rsidR="00976E79">
        <w:t>per cent</w:t>
      </w:r>
      <w:r>
        <w:t xml:space="preserve"> NEHEM estimate, 1.7</w:t>
      </w:r>
      <w:r w:rsidR="00CB30E2">
        <w:t xml:space="preserve"> </w:t>
      </w:r>
      <w:r w:rsidR="00976E79">
        <w:t>per cent</w:t>
      </w:r>
      <w:r>
        <w:t xml:space="preserve"> GP </w:t>
      </w:r>
      <w:r w:rsidR="005904D8">
        <w:t>a</w:t>
      </w:r>
      <w:r w:rsidR="00CB30E2">
        <w:t>nnual prevalence survey</w:t>
      </w:r>
      <w:r>
        <w:t xml:space="preserve"> estimate) due to the lower proportion of older people in Cwm Taf</w:t>
      </w:r>
    </w:p>
    <w:p w:rsidR="00132586" w:rsidRDefault="00132586" w:rsidP="00132586">
      <w:pPr>
        <w:numPr>
          <w:ilvl w:val="0"/>
          <w:numId w:val="19"/>
        </w:numPr>
        <w:ind w:left="714" w:hanging="357"/>
      </w:pPr>
      <w:r>
        <w:lastRenderedPageBreak/>
        <w:t>From the model estimates, there are 2,</w:t>
      </w:r>
      <w:r w:rsidR="00783933">
        <w:t>388</w:t>
      </w:r>
      <w:r>
        <w:t>-9,880 people</w:t>
      </w:r>
      <w:r w:rsidR="00783933">
        <w:t xml:space="preserve"> aged 40 years and over</w:t>
      </w:r>
      <w:r>
        <w:t xml:space="preserve"> with</w:t>
      </w:r>
      <w:r w:rsidR="00783933">
        <w:t xml:space="preserve"> cataracts in Cwm Taf and 26,622</w:t>
      </w:r>
      <w:r>
        <w:t xml:space="preserve">-109,862 in Wales </w:t>
      </w:r>
    </w:p>
    <w:p w:rsidR="00132586" w:rsidRDefault="00132586" w:rsidP="00132586">
      <w:pPr>
        <w:numPr>
          <w:ilvl w:val="0"/>
          <w:numId w:val="19"/>
        </w:numPr>
        <w:ind w:left="714" w:hanging="357"/>
      </w:pPr>
      <w:r>
        <w:t>Within Cwm Taf, the estimated prevalence of cataracts</w:t>
      </w:r>
      <w:r w:rsidR="00CC2DF1">
        <w:t xml:space="preserve"> </w:t>
      </w:r>
      <w:r>
        <w:t>is higher in USOAs RCT04 and 06, where there is a higher proportion of older people</w:t>
      </w:r>
    </w:p>
    <w:p w:rsidR="00132586" w:rsidRDefault="00C42EAE" w:rsidP="00132586">
      <w:pPr>
        <w:numPr>
          <w:ilvl w:val="0"/>
          <w:numId w:val="19"/>
        </w:numPr>
        <w:ind w:left="714" w:hanging="357"/>
      </w:pPr>
      <w:r>
        <w:t xml:space="preserve">Cwm Taf had a higher </w:t>
      </w:r>
      <w:r w:rsidR="007419BF">
        <w:t xml:space="preserve">European </w:t>
      </w:r>
      <w:r>
        <w:t>age-</w:t>
      </w:r>
      <w:r w:rsidR="00132586">
        <w:t>standardised rate</w:t>
      </w:r>
      <w:r w:rsidR="007419BF">
        <w:t xml:space="preserve"> (EASR)</w:t>
      </w:r>
      <w:r w:rsidR="00132586">
        <w:t xml:space="preserve"> (4.3 per </w:t>
      </w:r>
      <w:r w:rsidR="009836A6">
        <w:t>1,000</w:t>
      </w:r>
      <w:r w:rsidR="00132586">
        <w:t xml:space="preserve">) of cataract procedures than the Wales average (4.0 per </w:t>
      </w:r>
      <w:r w:rsidR="009836A6">
        <w:t>1,000</w:t>
      </w:r>
      <w:r w:rsidR="00132586">
        <w:t>)</w:t>
      </w:r>
    </w:p>
    <w:p w:rsidR="00132586" w:rsidRDefault="00132586" w:rsidP="00132586">
      <w:pPr>
        <w:numPr>
          <w:ilvl w:val="0"/>
          <w:numId w:val="19"/>
        </w:numPr>
        <w:ind w:left="714" w:hanging="357"/>
      </w:pPr>
      <w:r>
        <w:t xml:space="preserve">Provision of cataract operations is generally positively associated with the prevalence of cataracts at local authority and </w:t>
      </w:r>
      <w:r w:rsidR="005904D8">
        <w:t xml:space="preserve">Cwm Taf </w:t>
      </w:r>
      <w:r>
        <w:t>USOA level.</w:t>
      </w:r>
    </w:p>
    <w:p w:rsidR="00132586" w:rsidRPr="007C1314" w:rsidRDefault="00132586" w:rsidP="00132586">
      <w:pPr>
        <w:rPr>
          <w:b/>
        </w:rPr>
      </w:pPr>
      <w:bookmarkStart w:id="35" w:name="_Toc291585905"/>
      <w:r w:rsidRPr="00CB30E2">
        <w:rPr>
          <w:b/>
        </w:rPr>
        <w:t>Age-related macular degeneration</w:t>
      </w:r>
      <w:bookmarkEnd w:id="35"/>
    </w:p>
    <w:p w:rsidR="00132586" w:rsidRDefault="00132586" w:rsidP="00132586">
      <w:pPr>
        <w:numPr>
          <w:ilvl w:val="0"/>
          <w:numId w:val="19"/>
        </w:numPr>
        <w:ind w:left="714" w:hanging="357"/>
      </w:pPr>
      <w:r>
        <w:t>Estimated prevalence of age</w:t>
      </w:r>
      <w:r w:rsidR="00CB30E2">
        <w:t>-</w:t>
      </w:r>
      <w:r>
        <w:t>related macular degeneration</w:t>
      </w:r>
      <w:r w:rsidR="00CB30E2">
        <w:t xml:space="preserve"> (ARMD)</w:t>
      </w:r>
      <w:r>
        <w:t xml:space="preserve"> </w:t>
      </w:r>
      <w:r w:rsidR="00CC2DF1">
        <w:t xml:space="preserve">in the population aged 50 years and over </w:t>
      </w:r>
      <w:r>
        <w:t>is similar in Cwm Taf compared with Wales (2.5</w:t>
      </w:r>
      <w:r w:rsidR="00CB30E2">
        <w:t xml:space="preserve"> </w:t>
      </w:r>
      <w:r w:rsidR="00976E79">
        <w:t>per cent</w:t>
      </w:r>
      <w:r>
        <w:t>)</w:t>
      </w:r>
    </w:p>
    <w:p w:rsidR="00132586" w:rsidRDefault="00132586" w:rsidP="00132586">
      <w:pPr>
        <w:numPr>
          <w:ilvl w:val="0"/>
          <w:numId w:val="19"/>
        </w:numPr>
        <w:ind w:left="714" w:hanging="357"/>
      </w:pPr>
      <w:r>
        <w:t xml:space="preserve">There are an estimated 2,538 people </w:t>
      </w:r>
      <w:r w:rsidR="00783933">
        <w:t xml:space="preserve">aged 50 years and over </w:t>
      </w:r>
      <w:r>
        <w:t xml:space="preserve">with </w:t>
      </w:r>
      <w:r w:rsidR="00CB30E2">
        <w:t>ARMD</w:t>
      </w:r>
      <w:r>
        <w:t xml:space="preserve"> in Cwm Taf and 28,599 in Wales</w:t>
      </w:r>
      <w:r w:rsidR="00C10735">
        <w:t xml:space="preserve"> </w:t>
      </w:r>
    </w:p>
    <w:p w:rsidR="00132586" w:rsidRDefault="00132586" w:rsidP="00132586">
      <w:pPr>
        <w:numPr>
          <w:ilvl w:val="0"/>
          <w:numId w:val="19"/>
        </w:numPr>
        <w:ind w:left="714" w:hanging="357"/>
      </w:pPr>
      <w:r>
        <w:t xml:space="preserve">Within Cwm Taf, the estimated prevalence of </w:t>
      </w:r>
      <w:r w:rsidR="00CB30E2">
        <w:t>AR</w:t>
      </w:r>
      <w:r w:rsidR="005904D8">
        <w:t>M</w:t>
      </w:r>
      <w:r w:rsidR="00CB30E2">
        <w:t xml:space="preserve">D </w:t>
      </w:r>
      <w:r>
        <w:t>is higher in USOAs RCT04 and 06, where there is a higher proportion of older people</w:t>
      </w:r>
    </w:p>
    <w:p w:rsidR="00132586" w:rsidRDefault="00132586" w:rsidP="00132586">
      <w:pPr>
        <w:numPr>
          <w:ilvl w:val="0"/>
          <w:numId w:val="19"/>
        </w:numPr>
        <w:ind w:left="714" w:hanging="357"/>
      </w:pPr>
      <w:r>
        <w:t>The provision of services related to need is unknown.</w:t>
      </w:r>
    </w:p>
    <w:p w:rsidR="00132586" w:rsidRDefault="00132586" w:rsidP="00132586">
      <w:r>
        <w:t xml:space="preserve">Recommendations based on the report have been made for the </w:t>
      </w:r>
      <w:r w:rsidR="00013464">
        <w:t>CEP</w:t>
      </w:r>
      <w:r>
        <w:t xml:space="preserve">, local care pathways and the Wales </w:t>
      </w:r>
      <w:r w:rsidR="00D8724C">
        <w:t>Eye</w:t>
      </w:r>
      <w:r>
        <w:t xml:space="preserve"> Health Improvement Project Steering Group.</w:t>
      </w:r>
    </w:p>
    <w:p w:rsidR="00132586" w:rsidRDefault="00132586" w:rsidP="00132586">
      <w:pPr>
        <w:spacing w:before="0"/>
        <w:jc w:val="left"/>
        <w:rPr>
          <w:b/>
          <w:sz w:val="28"/>
          <w:szCs w:val="28"/>
        </w:rPr>
      </w:pPr>
    </w:p>
    <w:p w:rsidR="00CB30E2" w:rsidRDefault="00CB30E2">
      <w:pPr>
        <w:spacing w:before="0"/>
        <w:jc w:val="left"/>
        <w:rPr>
          <w:b/>
          <w:kern w:val="28"/>
          <w:sz w:val="32"/>
        </w:rPr>
      </w:pPr>
      <w:r>
        <w:br w:type="page"/>
      </w:r>
    </w:p>
    <w:p w:rsidR="00F86D52" w:rsidRDefault="00191AF6" w:rsidP="00A850A4">
      <w:pPr>
        <w:pStyle w:val="Heading1"/>
        <w:numPr>
          <w:ilvl w:val="0"/>
          <w:numId w:val="0"/>
        </w:numPr>
      </w:pPr>
      <w:bookmarkStart w:id="36" w:name="_Toc302293426"/>
      <w:r>
        <w:lastRenderedPageBreak/>
        <w:t>Background</w:t>
      </w:r>
      <w:bookmarkEnd w:id="29"/>
      <w:bookmarkEnd w:id="36"/>
    </w:p>
    <w:p w:rsidR="00FE4511" w:rsidRDefault="00FE4511" w:rsidP="00F86D52">
      <w:r>
        <w:t xml:space="preserve">In Wales, there are an estimated 115,000 people with severe sight loss </w:t>
      </w:r>
      <w:r w:rsidRPr="000F403B">
        <w:t>(O</w:t>
      </w:r>
      <w:r w:rsidR="000F403B" w:rsidRPr="000F403B">
        <w:t xml:space="preserve">ffice for </w:t>
      </w:r>
      <w:r w:rsidRPr="000F403B">
        <w:t>N</w:t>
      </w:r>
      <w:r w:rsidR="000F403B" w:rsidRPr="000F403B">
        <w:t xml:space="preserve">ational </w:t>
      </w:r>
      <w:r w:rsidRPr="000F403B">
        <w:t>S</w:t>
      </w:r>
      <w:r w:rsidR="000F403B" w:rsidRPr="000F403B">
        <w:t>tatistics</w:t>
      </w:r>
      <w:r w:rsidRPr="000F403B">
        <w:t xml:space="preserve"> 2007</w:t>
      </w:r>
      <w:r w:rsidR="009F13C9" w:rsidRPr="000F403B">
        <w:t xml:space="preserve"> </w:t>
      </w:r>
      <w:r w:rsidR="00E43332" w:rsidRPr="005904D8">
        <w:t xml:space="preserve">in </w:t>
      </w:r>
      <w:r w:rsidR="005904D8" w:rsidRPr="005904D8">
        <w:t>RNIB</w:t>
      </w:r>
      <w:r w:rsidR="00E43332" w:rsidRPr="005904D8">
        <w:t xml:space="preserve"> Cymru</w:t>
      </w:r>
      <w:r w:rsidR="005904D8" w:rsidRPr="005904D8">
        <w:t>,</w:t>
      </w:r>
      <w:r w:rsidR="00E43332" w:rsidRPr="005904D8">
        <w:t xml:space="preserve"> 2010</w:t>
      </w:r>
      <w:r w:rsidRPr="005904D8">
        <w:t>)</w:t>
      </w:r>
      <w:r>
        <w:t xml:space="preserve"> and a further 200,000 people over the age of 65 years who have a visual impairment that could be improved </w:t>
      </w:r>
      <w:r w:rsidR="00FC2F4E">
        <w:t>by wearing glasses (Evans et al</w:t>
      </w:r>
      <w:r>
        <w:t xml:space="preserve"> 2004</w:t>
      </w:r>
      <w:r w:rsidR="00575E9E">
        <w:t xml:space="preserve"> in RNIB Cymru</w:t>
      </w:r>
      <w:r w:rsidR="005904D8">
        <w:t>,</w:t>
      </w:r>
      <w:r w:rsidR="00575E9E">
        <w:t xml:space="preserve"> 2010</w:t>
      </w:r>
      <w:r>
        <w:t>).  Half of all sight loss is preventable with early dete</w:t>
      </w:r>
      <w:r w:rsidR="00FC2F4E">
        <w:t>ction and treatment (Tate et al</w:t>
      </w:r>
      <w:r>
        <w:t xml:space="preserve"> 2005</w:t>
      </w:r>
      <w:r w:rsidR="00575E9E">
        <w:t xml:space="preserve"> in RNIB Cymru</w:t>
      </w:r>
      <w:r w:rsidR="005904D8">
        <w:t>,</w:t>
      </w:r>
      <w:r w:rsidR="00575E9E">
        <w:t xml:space="preserve"> 2010</w:t>
      </w:r>
      <w:r>
        <w:t>).  The direct costs to NHS Wales are estimated to be £107 million annually (Access Economics 2009</w:t>
      </w:r>
      <w:r w:rsidR="00575E9E">
        <w:t xml:space="preserve"> in RNIB Cymru</w:t>
      </w:r>
      <w:r w:rsidR="005904D8">
        <w:t>,</w:t>
      </w:r>
      <w:r w:rsidR="00575E9E">
        <w:t xml:space="preserve"> 2010</w:t>
      </w:r>
      <w:r>
        <w:t xml:space="preserve">). </w:t>
      </w:r>
    </w:p>
    <w:p w:rsidR="000E6CD4" w:rsidRDefault="000E6CD4" w:rsidP="000E6CD4">
      <w:pPr>
        <w:autoSpaceDE w:val="0"/>
        <w:autoSpaceDN w:val="0"/>
        <w:adjustRightInd w:val="0"/>
      </w:pPr>
      <w:r>
        <w:t>The Royal</w:t>
      </w:r>
      <w:r w:rsidR="00117904">
        <w:t xml:space="preserve"> National</w:t>
      </w:r>
      <w:r>
        <w:t xml:space="preserve"> Institute of Blind People (</w:t>
      </w:r>
      <w:r w:rsidR="009F13C9">
        <w:t>RNIB</w:t>
      </w:r>
      <w:r>
        <w:t>)</w:t>
      </w:r>
      <w:r w:rsidR="009F13C9">
        <w:t xml:space="preserve"> ha</w:t>
      </w:r>
      <w:r w:rsidR="00FC2F4E">
        <w:t>ve</w:t>
      </w:r>
      <w:r w:rsidR="009F13C9">
        <w:t xml:space="preserve"> commissioned five </w:t>
      </w:r>
      <w:r>
        <w:t>Community Engagement Projects (</w:t>
      </w:r>
      <w:r w:rsidR="009F13C9">
        <w:t>CEPs</w:t>
      </w:r>
      <w:r>
        <w:t>)</w:t>
      </w:r>
      <w:r w:rsidR="009F13C9">
        <w:t xml:space="preserve"> across the UK from 2010 to 2013 which will develop preventive interventions targeting priority communities.  </w:t>
      </w:r>
    </w:p>
    <w:p w:rsidR="0085393E" w:rsidRDefault="009F13C9" w:rsidP="001502E6">
      <w:r>
        <w:t>The sites are Cwm Taf, Belfast, Glasgow, Leeds</w:t>
      </w:r>
      <w:r w:rsidR="000E6CD4">
        <w:t xml:space="preserve"> and </w:t>
      </w:r>
      <w:r w:rsidR="009B5456">
        <w:t>Hackney</w:t>
      </w:r>
      <w:r w:rsidR="000E6CD4">
        <w:t xml:space="preserve">.  </w:t>
      </w:r>
      <w:r w:rsidR="00C42EAE">
        <w:t>Cwm Taf H</w:t>
      </w:r>
      <w:r w:rsidR="00D8724C">
        <w:t xml:space="preserve">ealth </w:t>
      </w:r>
      <w:r w:rsidR="00C42EAE">
        <w:t>B</w:t>
      </w:r>
      <w:r w:rsidR="00D8724C">
        <w:t xml:space="preserve">oard is located in South Wales and covers the Rhondda Cynon Taf and Merthyr Tydfil local authority areas. </w:t>
      </w:r>
      <w:r w:rsidR="00FC2F4E">
        <w:t xml:space="preserve">Each site is conducting an </w:t>
      </w:r>
      <w:r w:rsidR="00D8724C">
        <w:t>eye</w:t>
      </w:r>
      <w:r w:rsidR="00132586">
        <w:t xml:space="preserve"> health equity profile</w:t>
      </w:r>
      <w:r>
        <w:t xml:space="preserve"> to </w:t>
      </w:r>
      <w:r w:rsidR="00E92361">
        <w:t>inform the development of the CEP and in particular to help identify an appropriate population to target with sight</w:t>
      </w:r>
      <w:r>
        <w:t xml:space="preserve"> </w:t>
      </w:r>
      <w:r w:rsidR="00E92361">
        <w:t>loss prevention interventions.</w:t>
      </w:r>
      <w:r w:rsidR="00FC2F4E">
        <w:t xml:space="preserve"> </w:t>
      </w:r>
      <w:r w:rsidR="0085393E">
        <w:t xml:space="preserve">The interim findings of this </w:t>
      </w:r>
      <w:r w:rsidR="00D8724C">
        <w:t>eye</w:t>
      </w:r>
      <w:r w:rsidR="00132586">
        <w:t xml:space="preserve"> health equity profile</w:t>
      </w:r>
      <w:r w:rsidR="0085393E">
        <w:t xml:space="preserve"> were presented at a stakeholder meeting and potential areas for the location of the CEP</w:t>
      </w:r>
      <w:r w:rsidR="000F403B">
        <w:t xml:space="preserve"> within Cwm Taf</w:t>
      </w:r>
      <w:r w:rsidR="0085393E">
        <w:t xml:space="preserve"> were discussed</w:t>
      </w:r>
      <w:r w:rsidR="00383A21">
        <w:t xml:space="preserve">.  It was agreed that the areas of Treherbert, Maerdy, Ferndale and Tylorstown in Rhondda Cynon Taf would be the location of the CEP. </w:t>
      </w:r>
      <w:r w:rsidR="0085393E">
        <w:t xml:space="preserve"> </w:t>
      </w:r>
    </w:p>
    <w:p w:rsidR="00D8724C" w:rsidRDefault="00D8724C" w:rsidP="00D8724C">
      <w:r>
        <w:t>The eye health equity profile will also provide information for a wider e</w:t>
      </w:r>
      <w:r w:rsidR="00C42EAE">
        <w:t>ye health strategy for Cwm Taf Health B</w:t>
      </w:r>
      <w:r>
        <w:t xml:space="preserve">oard with the aim of improving equity, outcomes and quality of life for people with or at risk of poor eye health. </w:t>
      </w:r>
    </w:p>
    <w:p w:rsidR="00191AF6" w:rsidRDefault="00191AF6" w:rsidP="00191AF6">
      <w:pPr>
        <w:pStyle w:val="Heading1"/>
      </w:pPr>
      <w:bookmarkStart w:id="37" w:name="_Toc291585841"/>
      <w:bookmarkStart w:id="38" w:name="_Toc302293427"/>
      <w:r>
        <w:t>Aims and objectives</w:t>
      </w:r>
      <w:bookmarkEnd w:id="37"/>
      <w:bookmarkEnd w:id="38"/>
    </w:p>
    <w:p w:rsidR="00F85943" w:rsidRDefault="00A701FA" w:rsidP="00F85943">
      <w:r w:rsidRPr="005904D8">
        <w:t>The aims and objectives were based on a specification provided by the RNIB.</w:t>
      </w:r>
    </w:p>
    <w:p w:rsidR="003A3924" w:rsidRDefault="003A3924" w:rsidP="003A3924">
      <w:pPr>
        <w:pStyle w:val="Heading2"/>
      </w:pPr>
      <w:bookmarkStart w:id="39" w:name="_Toc291585842"/>
      <w:bookmarkStart w:id="40" w:name="_Toc302293428"/>
      <w:r>
        <w:t>Aims</w:t>
      </w:r>
      <w:bookmarkEnd w:id="39"/>
      <w:bookmarkEnd w:id="40"/>
    </w:p>
    <w:p w:rsidR="00F86D52" w:rsidRDefault="009F13C9" w:rsidP="00F86D52">
      <w:r>
        <w:t xml:space="preserve">The aim of the </w:t>
      </w:r>
      <w:r w:rsidR="005904D8">
        <w:t>e</w:t>
      </w:r>
      <w:r w:rsidR="00D8724C">
        <w:t>ye</w:t>
      </w:r>
      <w:r w:rsidR="00132586">
        <w:t xml:space="preserve"> health equity profile</w:t>
      </w:r>
      <w:r>
        <w:t xml:space="preserve"> is t</w:t>
      </w:r>
      <w:r w:rsidR="00F86D52">
        <w:t xml:space="preserve">o assess the need for </w:t>
      </w:r>
      <w:r w:rsidR="00D8724C">
        <w:t>eye</w:t>
      </w:r>
      <w:r w:rsidR="00F86D52">
        <w:t xml:space="preserve"> care in Cwm Taf in relation to the services provided and equity of access</w:t>
      </w:r>
      <w:r>
        <w:t xml:space="preserve"> to these services</w:t>
      </w:r>
      <w:r w:rsidR="00F86D52">
        <w:t xml:space="preserve">. </w:t>
      </w:r>
    </w:p>
    <w:p w:rsidR="003A3924" w:rsidRDefault="003A3924" w:rsidP="003A3924">
      <w:pPr>
        <w:pStyle w:val="Heading2"/>
      </w:pPr>
      <w:bookmarkStart w:id="41" w:name="_Toc291585843"/>
      <w:bookmarkStart w:id="42" w:name="_Toc302293429"/>
      <w:r>
        <w:t>Objectives</w:t>
      </w:r>
      <w:bookmarkEnd w:id="41"/>
      <w:bookmarkEnd w:id="42"/>
    </w:p>
    <w:p w:rsidR="00F86D52" w:rsidRPr="00C33607" w:rsidRDefault="00AD7C08" w:rsidP="001660E8">
      <w:r>
        <w:t xml:space="preserve">The objectives of this </w:t>
      </w:r>
      <w:r w:rsidR="005904D8">
        <w:t>e</w:t>
      </w:r>
      <w:r w:rsidR="00D8724C">
        <w:t>ye</w:t>
      </w:r>
      <w:r w:rsidR="00132586">
        <w:t xml:space="preserve"> health equity profile</w:t>
      </w:r>
      <w:r w:rsidR="00676E32">
        <w:t xml:space="preserve"> are:</w:t>
      </w:r>
    </w:p>
    <w:p w:rsidR="00676E32" w:rsidRDefault="00676E32" w:rsidP="00676E32">
      <w:pPr>
        <w:numPr>
          <w:ilvl w:val="0"/>
          <w:numId w:val="9"/>
        </w:numPr>
      </w:pPr>
      <w:r>
        <w:lastRenderedPageBreak/>
        <w:t xml:space="preserve">To describe the background policy and strategic context at a </w:t>
      </w:r>
      <w:r w:rsidR="009726D9">
        <w:t>local</w:t>
      </w:r>
      <w:r w:rsidR="00F435D0">
        <w:t xml:space="preserve"> </w:t>
      </w:r>
      <w:r w:rsidR="00AD7C08">
        <w:t>and national level</w:t>
      </w:r>
    </w:p>
    <w:p w:rsidR="00FF048A" w:rsidRDefault="00FF048A" w:rsidP="00676E32">
      <w:pPr>
        <w:numPr>
          <w:ilvl w:val="0"/>
          <w:numId w:val="9"/>
        </w:numPr>
      </w:pPr>
      <w:r>
        <w:t xml:space="preserve">To describe need for </w:t>
      </w:r>
      <w:r w:rsidR="00D8724C">
        <w:t>eye</w:t>
      </w:r>
      <w:r>
        <w:t xml:space="preserve"> health care in the population of Cwm Taf to include</w:t>
      </w:r>
      <w:r w:rsidR="000F403B">
        <w:t>:</w:t>
      </w:r>
    </w:p>
    <w:p w:rsidR="00676E32" w:rsidRDefault="00FF048A" w:rsidP="001660E8">
      <w:pPr>
        <w:numPr>
          <w:ilvl w:val="1"/>
          <w:numId w:val="9"/>
        </w:numPr>
      </w:pPr>
      <w:r>
        <w:t>De</w:t>
      </w:r>
      <w:r w:rsidR="00676E32">
        <w:t>scri</w:t>
      </w:r>
      <w:r>
        <w:t xml:space="preserve">ption of </w:t>
      </w:r>
      <w:r w:rsidR="00676E32">
        <w:t>the demograp</w:t>
      </w:r>
      <w:r>
        <w:t>hy of the population of Cwm Taf</w:t>
      </w:r>
    </w:p>
    <w:p w:rsidR="001660E8" w:rsidRDefault="00FF048A" w:rsidP="001660E8">
      <w:pPr>
        <w:numPr>
          <w:ilvl w:val="1"/>
          <w:numId w:val="9"/>
        </w:numPr>
      </w:pPr>
      <w:r>
        <w:t>D</w:t>
      </w:r>
      <w:r w:rsidR="00676E32">
        <w:t>escri</w:t>
      </w:r>
      <w:r>
        <w:t xml:space="preserve">ption of </w:t>
      </w:r>
      <w:r w:rsidR="00676E32">
        <w:t xml:space="preserve">the epidemiology </w:t>
      </w:r>
      <w:r w:rsidR="001660E8">
        <w:t xml:space="preserve">of the four main </w:t>
      </w:r>
      <w:r w:rsidR="00D8724C">
        <w:t>eye</w:t>
      </w:r>
      <w:r w:rsidR="001660E8">
        <w:t xml:space="preserve"> conditions</w:t>
      </w:r>
      <w:r w:rsidR="00006270">
        <w:t xml:space="preserve"> (</w:t>
      </w:r>
      <w:r w:rsidR="00BE6038">
        <w:t>cataracts</w:t>
      </w:r>
      <w:r w:rsidR="00006270">
        <w:t xml:space="preserve">, </w:t>
      </w:r>
      <w:r w:rsidR="00E71911">
        <w:t>glaucoma</w:t>
      </w:r>
      <w:r w:rsidR="00006270">
        <w:t>, ARMD and diabetic retinopathy)</w:t>
      </w:r>
    </w:p>
    <w:p w:rsidR="00F86D52" w:rsidRDefault="00FF048A" w:rsidP="001660E8">
      <w:pPr>
        <w:numPr>
          <w:ilvl w:val="1"/>
          <w:numId w:val="9"/>
        </w:numPr>
      </w:pPr>
      <w:r>
        <w:t>De</w:t>
      </w:r>
      <w:r w:rsidR="00F86D52">
        <w:t>scri</w:t>
      </w:r>
      <w:r>
        <w:t xml:space="preserve">ption of </w:t>
      </w:r>
      <w:r w:rsidR="00F86D52">
        <w:t xml:space="preserve">the distribution of </w:t>
      </w:r>
      <w:r w:rsidR="005904D8">
        <w:t xml:space="preserve">vision </w:t>
      </w:r>
      <w:r w:rsidR="00F86D52">
        <w:t xml:space="preserve">impairment in the population of Cwm Taf </w:t>
      </w:r>
    </w:p>
    <w:p w:rsidR="00FF048A" w:rsidRDefault="00FF048A" w:rsidP="001660E8">
      <w:pPr>
        <w:numPr>
          <w:ilvl w:val="0"/>
          <w:numId w:val="8"/>
        </w:numPr>
      </w:pPr>
      <w:r>
        <w:t xml:space="preserve">To describe the </w:t>
      </w:r>
      <w:r w:rsidR="000C050E">
        <w:t xml:space="preserve">provision </w:t>
      </w:r>
      <w:r w:rsidR="00890498">
        <w:t xml:space="preserve">and uptake </w:t>
      </w:r>
      <w:r>
        <w:t xml:space="preserve">of </w:t>
      </w:r>
      <w:r w:rsidR="00D8724C">
        <w:t>eye</w:t>
      </w:r>
      <w:r>
        <w:t xml:space="preserve"> care services in Cwm Taf to include</w:t>
      </w:r>
      <w:r w:rsidR="000F403B">
        <w:t>:</w:t>
      </w:r>
    </w:p>
    <w:p w:rsidR="000C050E" w:rsidRDefault="005904D8" w:rsidP="00FF048A">
      <w:pPr>
        <w:numPr>
          <w:ilvl w:val="1"/>
          <w:numId w:val="8"/>
        </w:numPr>
      </w:pPr>
      <w:r>
        <w:t>General Ophthalmic S</w:t>
      </w:r>
      <w:r w:rsidR="00E74C12">
        <w:t>ervices</w:t>
      </w:r>
      <w:r>
        <w:t xml:space="preserve"> (GOS)</w:t>
      </w:r>
      <w:r w:rsidR="00E74C12">
        <w:t xml:space="preserve">, </w:t>
      </w:r>
      <w:r w:rsidR="000C050E">
        <w:t>diabetic retinopathy screening, primary care servic</w:t>
      </w:r>
      <w:r w:rsidR="00E74C12">
        <w:t xml:space="preserve">es, secondary care services, dispensed </w:t>
      </w:r>
      <w:r w:rsidR="000C050E">
        <w:t>drugs</w:t>
      </w:r>
      <w:r w:rsidR="00E74C12">
        <w:t xml:space="preserve"> and </w:t>
      </w:r>
      <w:r w:rsidR="009726D9">
        <w:t>local</w:t>
      </w:r>
      <w:r w:rsidR="00F435D0">
        <w:t xml:space="preserve"> </w:t>
      </w:r>
      <w:r w:rsidR="007B32C7">
        <w:t>authority</w:t>
      </w:r>
      <w:r w:rsidR="00E74C12">
        <w:t xml:space="preserve"> services</w:t>
      </w:r>
      <w:r w:rsidR="000C050E">
        <w:t xml:space="preserve"> </w:t>
      </w:r>
      <w:r w:rsidR="001660E8">
        <w:t xml:space="preserve"> </w:t>
      </w:r>
    </w:p>
    <w:p w:rsidR="000C050E" w:rsidRDefault="000C050E" w:rsidP="001660E8">
      <w:pPr>
        <w:numPr>
          <w:ilvl w:val="0"/>
          <w:numId w:val="8"/>
        </w:numPr>
      </w:pPr>
      <w:r>
        <w:t>To descri</w:t>
      </w:r>
      <w:r w:rsidR="00856081">
        <w:t>be equity of access to services</w:t>
      </w:r>
    </w:p>
    <w:p w:rsidR="00890498" w:rsidRDefault="00890498" w:rsidP="00890498">
      <w:pPr>
        <w:numPr>
          <w:ilvl w:val="0"/>
          <w:numId w:val="8"/>
        </w:numPr>
      </w:pPr>
      <w:r>
        <w:t>To identify unmet need by comparing u</w:t>
      </w:r>
      <w:r w:rsidR="00E74C12">
        <w:t xml:space="preserve">ptake of </w:t>
      </w:r>
      <w:r w:rsidR="00D8724C">
        <w:t>eye</w:t>
      </w:r>
      <w:r w:rsidR="00E74C12">
        <w:t xml:space="preserve"> care services </w:t>
      </w:r>
      <w:r w:rsidR="00856081">
        <w:t>with expected need</w:t>
      </w:r>
    </w:p>
    <w:p w:rsidR="00C33607" w:rsidRDefault="00C33607" w:rsidP="00890498">
      <w:pPr>
        <w:numPr>
          <w:ilvl w:val="0"/>
          <w:numId w:val="8"/>
        </w:numPr>
      </w:pPr>
      <w:r>
        <w:t xml:space="preserve">To identify any recent ophthalmology related research </w:t>
      </w:r>
      <w:r w:rsidR="00856081">
        <w:t>or audit in Cwm Taf</w:t>
      </w:r>
    </w:p>
    <w:p w:rsidR="00F036F3" w:rsidRPr="00C33607" w:rsidRDefault="001660E8" w:rsidP="00C33607">
      <w:pPr>
        <w:numPr>
          <w:ilvl w:val="0"/>
          <w:numId w:val="8"/>
        </w:numPr>
      </w:pPr>
      <w:r>
        <w:t xml:space="preserve">To make recommendations for </w:t>
      </w:r>
      <w:r w:rsidR="009726D9">
        <w:t>local</w:t>
      </w:r>
      <w:r w:rsidR="00F435D0">
        <w:t xml:space="preserve"> </w:t>
      </w:r>
      <w:r>
        <w:t>action to be developed as part of the C</w:t>
      </w:r>
      <w:r w:rsidR="00013464">
        <w:t>EP</w:t>
      </w:r>
      <w:r>
        <w:t xml:space="preserve"> and influence </w:t>
      </w:r>
      <w:r w:rsidR="009726D9">
        <w:t>local</w:t>
      </w:r>
      <w:r w:rsidR="00F435D0">
        <w:t xml:space="preserve"> </w:t>
      </w:r>
      <w:r>
        <w:t>commissioning and care pathway</w:t>
      </w:r>
      <w:r w:rsidR="00C33607">
        <w:t xml:space="preserve">s. </w:t>
      </w:r>
    </w:p>
    <w:p w:rsidR="00006270" w:rsidRPr="003A3924" w:rsidRDefault="00006270" w:rsidP="00006270">
      <w:pPr>
        <w:ind w:left="360"/>
      </w:pPr>
    </w:p>
    <w:p w:rsidR="00562C03" w:rsidRDefault="00562C03" w:rsidP="00191AF6">
      <w:pPr>
        <w:pStyle w:val="Heading1"/>
      </w:pPr>
      <w:bookmarkStart w:id="43" w:name="_Toc291585844"/>
      <w:bookmarkStart w:id="44" w:name="_Toc302293430"/>
      <w:r>
        <w:t>Methodology</w:t>
      </w:r>
      <w:bookmarkEnd w:id="43"/>
      <w:bookmarkEnd w:id="44"/>
    </w:p>
    <w:p w:rsidR="00562C03" w:rsidRDefault="00562C03" w:rsidP="00562C03">
      <w:r>
        <w:t>These objectives will be met by:</w:t>
      </w:r>
    </w:p>
    <w:p w:rsidR="00562C03" w:rsidRDefault="00562C03" w:rsidP="00856081">
      <w:pPr>
        <w:numPr>
          <w:ilvl w:val="0"/>
          <w:numId w:val="8"/>
        </w:numPr>
      </w:pPr>
      <w:r>
        <w:t xml:space="preserve">A brief literature search to identify national and </w:t>
      </w:r>
      <w:r w:rsidR="009726D9">
        <w:t>local</w:t>
      </w:r>
      <w:r w:rsidR="00F435D0">
        <w:t xml:space="preserve"> </w:t>
      </w:r>
      <w:r w:rsidR="00856081">
        <w:t>policies</w:t>
      </w:r>
    </w:p>
    <w:p w:rsidR="00562C03" w:rsidRDefault="00562C03" w:rsidP="00856081">
      <w:pPr>
        <w:numPr>
          <w:ilvl w:val="0"/>
          <w:numId w:val="8"/>
        </w:numPr>
      </w:pPr>
      <w:r>
        <w:t>Using the N</w:t>
      </w:r>
      <w:r w:rsidR="000F403B">
        <w:t xml:space="preserve">EHEM </w:t>
      </w:r>
      <w:r>
        <w:t xml:space="preserve">to obtain estimated prevalence of </w:t>
      </w:r>
      <w:r w:rsidR="00AD7C08">
        <w:t xml:space="preserve">vision impairment, </w:t>
      </w:r>
      <w:r w:rsidR="00856081">
        <w:t>g</w:t>
      </w:r>
      <w:r w:rsidR="00E71911">
        <w:t>laucoma</w:t>
      </w:r>
      <w:r w:rsidR="00856081">
        <w:t xml:space="preserve">, </w:t>
      </w:r>
      <w:r w:rsidR="00AD7C08">
        <w:t xml:space="preserve">cataracts and </w:t>
      </w:r>
      <w:r w:rsidR="00856081">
        <w:t xml:space="preserve">ARMD </w:t>
      </w:r>
    </w:p>
    <w:p w:rsidR="00562C03" w:rsidRDefault="00562C03" w:rsidP="00856081">
      <w:pPr>
        <w:numPr>
          <w:ilvl w:val="0"/>
          <w:numId w:val="8"/>
        </w:numPr>
      </w:pPr>
      <w:r>
        <w:t xml:space="preserve">Using the GP </w:t>
      </w:r>
      <w:r w:rsidR="008721DF">
        <w:t>a</w:t>
      </w:r>
      <w:r w:rsidR="00CB30E2">
        <w:t>nnual prevalence survey</w:t>
      </w:r>
      <w:r w:rsidR="008721DF">
        <w:t xml:space="preserve"> age</w:t>
      </w:r>
      <w:r w:rsidR="005904D8">
        <w:t xml:space="preserve"> specific </w:t>
      </w:r>
      <w:r>
        <w:t>prevalence</w:t>
      </w:r>
      <w:r w:rsidR="00B4713C">
        <w:t xml:space="preserve"> figures and applying them to the population of Cwm Taf to obtain estimated prevalence of </w:t>
      </w:r>
      <w:r w:rsidR="00856081">
        <w:t>g</w:t>
      </w:r>
      <w:r w:rsidR="00E71911">
        <w:t>laucoma</w:t>
      </w:r>
      <w:r w:rsidR="00B4713C">
        <w:t xml:space="preserve"> and </w:t>
      </w:r>
      <w:r w:rsidR="00856081">
        <w:t>c</w:t>
      </w:r>
      <w:r w:rsidR="00BE6038">
        <w:t>ataracts</w:t>
      </w:r>
    </w:p>
    <w:p w:rsidR="00562C03" w:rsidRDefault="00562C03" w:rsidP="00856081">
      <w:pPr>
        <w:numPr>
          <w:ilvl w:val="0"/>
          <w:numId w:val="8"/>
        </w:numPr>
      </w:pPr>
      <w:r>
        <w:t xml:space="preserve">Mapping location of </w:t>
      </w:r>
      <w:r w:rsidR="00D8724C">
        <w:t>eye</w:t>
      </w:r>
      <w:r>
        <w:t xml:space="preserve"> care services</w:t>
      </w:r>
      <w:r w:rsidR="00B4713C">
        <w:t xml:space="preserve"> related to most deprived tenth or fifth of the population in Cwm Taf</w:t>
      </w:r>
    </w:p>
    <w:p w:rsidR="00562C03" w:rsidRDefault="00562C03" w:rsidP="00856081">
      <w:pPr>
        <w:numPr>
          <w:ilvl w:val="0"/>
          <w:numId w:val="8"/>
        </w:numPr>
      </w:pPr>
      <w:r>
        <w:lastRenderedPageBreak/>
        <w:t xml:space="preserve">Analysis of </w:t>
      </w:r>
      <w:r w:rsidR="00856081">
        <w:t>GOS</w:t>
      </w:r>
      <w:r w:rsidR="00C43DC6">
        <w:t xml:space="preserve">, </w:t>
      </w:r>
      <w:r w:rsidR="00AD7C08">
        <w:t>Patient Episode Database Wales (</w:t>
      </w:r>
      <w:r>
        <w:t>PEDW</w:t>
      </w:r>
      <w:r w:rsidR="00AD7C08">
        <w:t>)</w:t>
      </w:r>
      <w:r>
        <w:t xml:space="preserve">, WECHE and </w:t>
      </w:r>
      <w:r w:rsidR="00AD7C08">
        <w:t xml:space="preserve">Primary </w:t>
      </w:r>
      <w:r w:rsidR="00D8724C">
        <w:t>Eye</w:t>
      </w:r>
      <w:r w:rsidR="00AD7C08">
        <w:t xml:space="preserve">care </w:t>
      </w:r>
      <w:r w:rsidR="007419BF">
        <w:t>Acute</w:t>
      </w:r>
      <w:r w:rsidR="00AD7C08">
        <w:t xml:space="preserve"> Referral S</w:t>
      </w:r>
      <w:r w:rsidR="007419BF">
        <w:t>cheme</w:t>
      </w:r>
      <w:r w:rsidR="00AD7C08">
        <w:t xml:space="preserve"> (</w:t>
      </w:r>
      <w:r>
        <w:t>PEARS</w:t>
      </w:r>
      <w:r w:rsidR="00AD7C08">
        <w:t>)</w:t>
      </w:r>
      <w:r>
        <w:t xml:space="preserve"> </w:t>
      </w:r>
      <w:r w:rsidR="00C43DC6">
        <w:t xml:space="preserve">and </w:t>
      </w:r>
      <w:r w:rsidR="009726D9">
        <w:t>local</w:t>
      </w:r>
      <w:r w:rsidR="00F435D0">
        <w:t xml:space="preserve"> </w:t>
      </w:r>
      <w:r w:rsidR="007B32C7">
        <w:t>authority</w:t>
      </w:r>
      <w:r>
        <w:t xml:space="preserve"> register data</w:t>
      </w:r>
      <w:r w:rsidR="00856081">
        <w:t>.</w:t>
      </w:r>
    </w:p>
    <w:p w:rsidR="001A64CC" w:rsidRPr="00562C03" w:rsidRDefault="001A64CC" w:rsidP="00856081">
      <w:r>
        <w:t>Further description of the methodology is available in each section.</w:t>
      </w:r>
    </w:p>
    <w:p w:rsidR="00191AF6" w:rsidRDefault="00191AF6" w:rsidP="00191AF6">
      <w:pPr>
        <w:pStyle w:val="Heading1"/>
      </w:pPr>
      <w:bookmarkStart w:id="45" w:name="_Toc291585845"/>
      <w:bookmarkStart w:id="46" w:name="_Toc302293431"/>
      <w:r>
        <w:t>Policy and strategic context</w:t>
      </w:r>
      <w:bookmarkEnd w:id="45"/>
      <w:bookmarkEnd w:id="46"/>
    </w:p>
    <w:p w:rsidR="00191AF6" w:rsidRDefault="00191AF6" w:rsidP="00191AF6">
      <w:pPr>
        <w:pStyle w:val="Heading2"/>
      </w:pPr>
      <w:bookmarkStart w:id="47" w:name="_Toc291585846"/>
      <w:bookmarkStart w:id="48" w:name="_Toc302293432"/>
      <w:r>
        <w:t>National</w:t>
      </w:r>
      <w:bookmarkEnd w:id="47"/>
      <w:bookmarkEnd w:id="48"/>
    </w:p>
    <w:p w:rsidR="00D63E89" w:rsidRDefault="00A8280B" w:rsidP="00A8280B">
      <w:r>
        <w:t xml:space="preserve">The UK Vision Strategy was developed in </w:t>
      </w:r>
      <w:r w:rsidR="0054265E">
        <w:t>response to the World Health Assembly</w:t>
      </w:r>
      <w:r w:rsidR="00047A7E">
        <w:t xml:space="preserve"> </w:t>
      </w:r>
      <w:r w:rsidR="00562C03">
        <w:t xml:space="preserve">resolution in 2003 known as </w:t>
      </w:r>
      <w:r w:rsidR="00047A7E">
        <w:t>VISION 2020</w:t>
      </w:r>
      <w:r w:rsidR="00562C03">
        <w:t xml:space="preserve">.  It </w:t>
      </w:r>
      <w:r w:rsidR="00047A7E">
        <w:t xml:space="preserve">is the global </w:t>
      </w:r>
      <w:r w:rsidR="00047A7E" w:rsidRPr="00047A7E">
        <w:rPr>
          <w:bCs/>
        </w:rPr>
        <w:t>initiative for the elimination of avoidable blindness and is</w:t>
      </w:r>
      <w:r w:rsidR="00047A7E" w:rsidRPr="00047A7E">
        <w:rPr>
          <w:b/>
          <w:bCs/>
        </w:rPr>
        <w:t xml:space="preserve"> </w:t>
      </w:r>
      <w:r w:rsidR="00047A7E" w:rsidRPr="00047A7E">
        <w:t>a joint programme of the World Health Organization</w:t>
      </w:r>
      <w:r w:rsidR="00AD7C08">
        <w:t xml:space="preserve"> </w:t>
      </w:r>
      <w:r w:rsidR="00047A7E" w:rsidRPr="00047A7E">
        <w:t>and the International Agency for the Prevention of Blindness with an international membership of N</w:t>
      </w:r>
      <w:r w:rsidR="00641D85">
        <w:t>on</w:t>
      </w:r>
      <w:r w:rsidR="008721DF">
        <w:t>-</w:t>
      </w:r>
      <w:r w:rsidR="00047A7E" w:rsidRPr="00047A7E">
        <w:t>G</w:t>
      </w:r>
      <w:r w:rsidR="00641D85">
        <w:t xml:space="preserve">overnmental </w:t>
      </w:r>
      <w:r w:rsidR="00047A7E" w:rsidRPr="00047A7E">
        <w:t>O</w:t>
      </w:r>
      <w:r w:rsidR="00641D85">
        <w:t>rganisation</w:t>
      </w:r>
      <w:r w:rsidR="00047A7E" w:rsidRPr="00047A7E">
        <w:t xml:space="preserve">s, professional associations, </w:t>
      </w:r>
      <w:r w:rsidR="00D8724C">
        <w:t>eye</w:t>
      </w:r>
      <w:r w:rsidR="00047A7E" w:rsidRPr="00047A7E">
        <w:t xml:space="preserve"> care institutions and corporations</w:t>
      </w:r>
      <w:r w:rsidR="004B207F">
        <w:t xml:space="preserve"> (Vision 2020</w:t>
      </w:r>
      <w:r w:rsidR="008721DF">
        <w:t>,</w:t>
      </w:r>
      <w:r w:rsidR="00047A7E">
        <w:t xml:space="preserve"> 2010</w:t>
      </w:r>
      <w:r w:rsidR="00131394">
        <w:t xml:space="preserve">a).  </w:t>
      </w:r>
      <w:r w:rsidR="00047A7E">
        <w:t xml:space="preserve">The Wales Vision Strategy Advisory Group produced an </w:t>
      </w:r>
      <w:r w:rsidR="00A509CE">
        <w:t>implementation p</w:t>
      </w:r>
      <w:r w:rsidR="00047A7E">
        <w:t xml:space="preserve">lan </w:t>
      </w:r>
      <w:r w:rsidR="00A509CE">
        <w:t>for the strategy in Wales in June 2010</w:t>
      </w:r>
      <w:r w:rsidR="00013464">
        <w:t xml:space="preserve"> (Vision 2020, 2010b</w:t>
      </w:r>
      <w:r w:rsidR="00131394">
        <w:t xml:space="preserve">).  </w:t>
      </w:r>
      <w:r w:rsidR="008F13CA">
        <w:t xml:space="preserve">It set out priorities </w:t>
      </w:r>
      <w:r w:rsidR="00D63E89">
        <w:t xml:space="preserve">in meeting </w:t>
      </w:r>
      <w:r w:rsidR="00562C03">
        <w:t xml:space="preserve">these </w:t>
      </w:r>
      <w:r w:rsidR="00D63E89">
        <w:t>key objectives:</w:t>
      </w:r>
    </w:p>
    <w:p w:rsidR="00D63E89" w:rsidRDefault="00D63E89" w:rsidP="00D63E89">
      <w:pPr>
        <w:numPr>
          <w:ilvl w:val="0"/>
          <w:numId w:val="12"/>
        </w:numPr>
      </w:pPr>
      <w:r>
        <w:t xml:space="preserve">To improve the </w:t>
      </w:r>
      <w:r w:rsidR="00D8724C">
        <w:t>eye</w:t>
      </w:r>
      <w:r>
        <w:t xml:space="preserve"> health of the people of </w:t>
      </w:r>
      <w:smartTag w:uri="urn:schemas-microsoft-com:office:smarttags" w:element="place">
        <w:smartTag w:uri="urn:schemas-microsoft-com:office:smarttags" w:element="country-region">
          <w:r>
            <w:t>Wales</w:t>
          </w:r>
        </w:smartTag>
      </w:smartTag>
    </w:p>
    <w:p w:rsidR="00D63E89" w:rsidRDefault="00D63E89" w:rsidP="00D63E89">
      <w:pPr>
        <w:numPr>
          <w:ilvl w:val="0"/>
          <w:numId w:val="12"/>
        </w:numPr>
      </w:pPr>
      <w:r>
        <w:t>To eliminate avoidable sight loss and to deliver excellent support to people with sight loss</w:t>
      </w:r>
    </w:p>
    <w:p w:rsidR="00A8280B" w:rsidRPr="00A8280B" w:rsidRDefault="00D63E89" w:rsidP="00D63E89">
      <w:pPr>
        <w:numPr>
          <w:ilvl w:val="0"/>
          <w:numId w:val="12"/>
        </w:numPr>
      </w:pPr>
      <w:r>
        <w:t>Inclusion, participation and independ</w:t>
      </w:r>
      <w:r w:rsidR="00013464">
        <w:t>ence for people with sight loss</w:t>
      </w:r>
      <w:r>
        <w:t>.</w:t>
      </w:r>
      <w:r w:rsidR="00047A7E">
        <w:t xml:space="preserve"> </w:t>
      </w:r>
    </w:p>
    <w:p w:rsidR="004B207F" w:rsidRDefault="007E291F" w:rsidP="00315CD5">
      <w:r>
        <w:t xml:space="preserve">The Wales </w:t>
      </w:r>
      <w:r w:rsidR="00D8724C">
        <w:t>Eye</w:t>
      </w:r>
      <w:r>
        <w:t xml:space="preserve"> </w:t>
      </w:r>
      <w:r w:rsidR="004B207F">
        <w:t xml:space="preserve">Health Improvement </w:t>
      </w:r>
      <w:r>
        <w:t>Projec</w:t>
      </w:r>
      <w:r w:rsidR="004B207F">
        <w:t xml:space="preserve">t was established in April 2010 with aims to raise the profile of </w:t>
      </w:r>
      <w:r w:rsidR="00D8724C">
        <w:t>eye</w:t>
      </w:r>
      <w:r w:rsidR="004B207F">
        <w:t xml:space="preserve"> care </w:t>
      </w:r>
      <w:r w:rsidR="00315CD5">
        <w:t xml:space="preserve">on to the Welsh health agenda, promote the importance of avoidable sight loss and the achieve improvements in the quality of </w:t>
      </w:r>
      <w:r w:rsidR="00D8724C">
        <w:t>eye</w:t>
      </w:r>
      <w:r w:rsidR="00315CD5">
        <w:t xml:space="preserve"> care services.  The steering group consists of members from agencies such as Welsh health boards, Public Health Wales, </w:t>
      </w:r>
      <w:r w:rsidR="00013464">
        <w:t>Welsh Assembly Government (WAG)</w:t>
      </w:r>
      <w:r w:rsidR="001C2D38">
        <w:t>, RNIB and N</w:t>
      </w:r>
      <w:r w:rsidR="008A739E">
        <w:t xml:space="preserve">ational </w:t>
      </w:r>
      <w:r w:rsidR="001C2D38">
        <w:t>L</w:t>
      </w:r>
      <w:r w:rsidR="008A739E">
        <w:t xml:space="preserve">eadership and </w:t>
      </w:r>
      <w:r w:rsidR="001C2D38">
        <w:t>I</w:t>
      </w:r>
      <w:r w:rsidR="008A739E">
        <w:t xml:space="preserve">nnovation </w:t>
      </w:r>
      <w:r w:rsidR="001C2D38">
        <w:t>A</w:t>
      </w:r>
      <w:r w:rsidR="008A739E">
        <w:t xml:space="preserve">gency for </w:t>
      </w:r>
      <w:r w:rsidR="001C2D38">
        <w:t>H</w:t>
      </w:r>
      <w:r w:rsidR="008A739E">
        <w:t>ealthcare</w:t>
      </w:r>
      <w:r w:rsidR="001C2D38">
        <w:t xml:space="preserve"> (p</w:t>
      </w:r>
      <w:r w:rsidR="00315CD5">
        <w:t xml:space="preserve">ersonal communication, Ceri Jackson). </w:t>
      </w:r>
    </w:p>
    <w:p w:rsidR="00575E9E" w:rsidRDefault="00A02620" w:rsidP="00575E9E">
      <w:r>
        <w:t xml:space="preserve">In 2004, the </w:t>
      </w:r>
      <w:r w:rsidR="00013464">
        <w:t>W</w:t>
      </w:r>
      <w:r w:rsidRPr="00575E9E">
        <w:t>ECI</w:t>
      </w:r>
      <w:r>
        <w:t xml:space="preserve"> which</w:t>
      </w:r>
      <w:r w:rsidR="00D63E89" w:rsidRPr="00575E9E">
        <w:t xml:space="preserve"> </w:t>
      </w:r>
      <w:r>
        <w:t xml:space="preserve">is </w:t>
      </w:r>
      <w:r w:rsidR="00D63E89" w:rsidRPr="00575E9E">
        <w:t xml:space="preserve">funded by </w:t>
      </w:r>
      <w:r w:rsidR="00013464">
        <w:t xml:space="preserve">WAG </w:t>
      </w:r>
      <w:r w:rsidR="005D65AC">
        <w:t xml:space="preserve">began </w:t>
      </w:r>
      <w:r w:rsidR="00D63E89" w:rsidRPr="00575E9E">
        <w:t xml:space="preserve">with the aim of preserving sight through the early detection of </w:t>
      </w:r>
      <w:r w:rsidR="00D8724C">
        <w:t>eye</w:t>
      </w:r>
      <w:r w:rsidR="00D63E89" w:rsidRPr="00575E9E">
        <w:t xml:space="preserve"> disease and to give help to those who have low vision and whose sight is unlikely</w:t>
      </w:r>
      <w:r w:rsidR="00D63E89">
        <w:t xml:space="preserve"> to improve. </w:t>
      </w:r>
      <w:r w:rsidR="00575E9E">
        <w:t xml:space="preserve"> The initiative includes</w:t>
      </w:r>
      <w:r>
        <w:t xml:space="preserve"> t</w:t>
      </w:r>
      <w:r w:rsidR="00575E9E" w:rsidRPr="00575E9E">
        <w:t xml:space="preserve">he </w:t>
      </w:r>
      <w:r w:rsidR="00AD7C08">
        <w:t>WECHE</w:t>
      </w:r>
      <w:r>
        <w:t>, t</w:t>
      </w:r>
      <w:r w:rsidR="00575E9E" w:rsidRPr="00575E9E">
        <w:t>he Welsh Low Vision Service</w:t>
      </w:r>
      <w:r>
        <w:t>, t</w:t>
      </w:r>
      <w:r w:rsidR="00575E9E" w:rsidRPr="00575E9E">
        <w:t>he Children’s Low Vision Project</w:t>
      </w:r>
      <w:r>
        <w:t xml:space="preserve"> and </w:t>
      </w:r>
      <w:r w:rsidR="00131394">
        <w:t>d</w:t>
      </w:r>
      <w:r w:rsidR="00013464">
        <w:t>iabetic r</w:t>
      </w:r>
      <w:r w:rsidR="00575E9E" w:rsidRPr="00575E9E">
        <w:t>etinopathy screening</w:t>
      </w:r>
      <w:r w:rsidR="00575E9E">
        <w:t xml:space="preserve"> (</w:t>
      </w:r>
      <w:r w:rsidR="00D8724C">
        <w:t>Eye</w:t>
      </w:r>
      <w:r w:rsidR="00575E9E">
        <w:t xml:space="preserve"> Care Wales</w:t>
      </w:r>
      <w:r w:rsidR="00013464">
        <w:t>,</w:t>
      </w:r>
      <w:r w:rsidR="00575E9E">
        <w:t xml:space="preserve"> 2007)</w:t>
      </w:r>
      <w:r>
        <w:t>.</w:t>
      </w:r>
      <w:r w:rsidR="005F60D9">
        <w:t xml:space="preserve">  In 2005 </w:t>
      </w:r>
      <w:r w:rsidR="00013464">
        <w:t>WAG</w:t>
      </w:r>
      <w:r w:rsidR="003224E1" w:rsidRPr="005F60D9">
        <w:t xml:space="preserve"> </w:t>
      </w:r>
      <w:r w:rsidR="003224E1">
        <w:t xml:space="preserve">introduced the </w:t>
      </w:r>
      <w:r w:rsidR="005F60D9">
        <w:t>PEARS scheme in Wales</w:t>
      </w:r>
      <w:r w:rsidR="003224E1">
        <w:t xml:space="preserve">. </w:t>
      </w:r>
    </w:p>
    <w:p w:rsidR="009038D2" w:rsidRDefault="009038D2" w:rsidP="009038D2">
      <w:r>
        <w:t xml:space="preserve">The </w:t>
      </w:r>
      <w:r w:rsidRPr="001712BB">
        <w:t>WECHE</w:t>
      </w:r>
      <w:r w:rsidRPr="005658A6">
        <w:t xml:space="preserve"> </w:t>
      </w:r>
      <w:r>
        <w:t xml:space="preserve">is </w:t>
      </w:r>
      <w:r w:rsidRPr="005658A6">
        <w:t>provided to patients</w:t>
      </w:r>
      <w:r>
        <w:t xml:space="preserve"> who are more at risk of developing </w:t>
      </w:r>
      <w:r w:rsidR="00D8724C">
        <w:t>eye</w:t>
      </w:r>
      <w:r>
        <w:t xml:space="preserve"> disease or patients who would find the consequences of losing their sight </w:t>
      </w:r>
      <w:r>
        <w:lastRenderedPageBreak/>
        <w:t>particularly difficult.  Early detection is therefore important.  These patients include:</w:t>
      </w:r>
    </w:p>
    <w:p w:rsidR="009038D2" w:rsidRDefault="009038D2" w:rsidP="00695375">
      <w:pPr>
        <w:numPr>
          <w:ilvl w:val="0"/>
          <w:numId w:val="10"/>
        </w:numPr>
      </w:pPr>
      <w:r>
        <w:t xml:space="preserve">People who have retinitis pigmentosa, or if a parent has an </w:t>
      </w:r>
      <w:r w:rsidR="00D8724C">
        <w:t>eye</w:t>
      </w:r>
      <w:r>
        <w:t xml:space="preserve"> disease which is known to be inherited</w:t>
      </w:r>
    </w:p>
    <w:p w:rsidR="009038D2" w:rsidRDefault="009038D2" w:rsidP="00695375">
      <w:pPr>
        <w:numPr>
          <w:ilvl w:val="0"/>
          <w:numId w:val="10"/>
        </w:numPr>
      </w:pPr>
      <w:r>
        <w:t>People whose family origins are Black African, Black Caribbean, Indian, Pakistani or Bangladeshi</w:t>
      </w:r>
    </w:p>
    <w:p w:rsidR="009038D2" w:rsidRDefault="009038D2" w:rsidP="009038D2">
      <w:pPr>
        <w:numPr>
          <w:ilvl w:val="0"/>
          <w:numId w:val="10"/>
        </w:numPr>
      </w:pPr>
      <w:r>
        <w:t xml:space="preserve">People who are at risk of </w:t>
      </w:r>
      <w:r w:rsidR="00D8724C">
        <w:t>eye</w:t>
      </w:r>
      <w:r>
        <w:t xml:space="preserve"> disease </w:t>
      </w:r>
      <w:r w:rsidR="00695375">
        <w:t>by other race or family reasons</w:t>
      </w:r>
    </w:p>
    <w:p w:rsidR="00131394" w:rsidRDefault="00131394" w:rsidP="00131394">
      <w:pPr>
        <w:numPr>
          <w:ilvl w:val="0"/>
          <w:numId w:val="10"/>
        </w:numPr>
      </w:pPr>
      <w:r>
        <w:t>People who have sight in one eye only</w:t>
      </w:r>
    </w:p>
    <w:p w:rsidR="00695375" w:rsidRDefault="00695375" w:rsidP="00695375">
      <w:pPr>
        <w:numPr>
          <w:ilvl w:val="0"/>
          <w:numId w:val="10"/>
        </w:numPr>
      </w:pPr>
      <w:r>
        <w:t>People who have a hearing impairment and are profoundly deaf as these people need sight to lip read.</w:t>
      </w:r>
    </w:p>
    <w:p w:rsidR="009038D2" w:rsidRPr="00E772A0" w:rsidRDefault="009038D2" w:rsidP="009038D2">
      <w:pPr>
        <w:pStyle w:val="NormalWeb"/>
        <w:shd w:val="clear" w:color="auto" w:fill="FFFFFF"/>
        <w:jc w:val="both"/>
        <w:rPr>
          <w:rFonts w:ascii="Verdana" w:hAnsi="Verdana"/>
          <w:szCs w:val="20"/>
          <w:lang w:eastAsia="en-US"/>
        </w:rPr>
      </w:pPr>
      <w:r w:rsidRPr="00E772A0">
        <w:rPr>
          <w:rFonts w:ascii="Verdana" w:hAnsi="Verdana"/>
          <w:szCs w:val="20"/>
          <w:lang w:eastAsia="en-US"/>
        </w:rPr>
        <w:t xml:space="preserve">Patients may self-refer, or be referred by their general practitioner for the </w:t>
      </w:r>
      <w:r w:rsidR="00695375">
        <w:rPr>
          <w:rFonts w:ascii="Verdana" w:hAnsi="Verdana"/>
          <w:szCs w:val="20"/>
          <w:lang w:eastAsia="en-US"/>
        </w:rPr>
        <w:t>ey</w:t>
      </w:r>
      <w:r w:rsidR="00D8724C">
        <w:rPr>
          <w:rFonts w:ascii="Verdana" w:hAnsi="Verdana"/>
          <w:szCs w:val="20"/>
          <w:lang w:eastAsia="en-US"/>
        </w:rPr>
        <w:t>e</w:t>
      </w:r>
      <w:r w:rsidR="00695375">
        <w:rPr>
          <w:rFonts w:ascii="Verdana" w:hAnsi="Verdana"/>
          <w:szCs w:val="20"/>
          <w:lang w:eastAsia="en-US"/>
        </w:rPr>
        <w:t xml:space="preserve"> health e</w:t>
      </w:r>
      <w:r w:rsidRPr="00E772A0">
        <w:rPr>
          <w:rFonts w:ascii="Verdana" w:hAnsi="Verdana"/>
          <w:szCs w:val="20"/>
          <w:lang w:eastAsia="en-US"/>
        </w:rPr>
        <w:t>xamination</w:t>
      </w:r>
      <w:r>
        <w:rPr>
          <w:rFonts w:ascii="Verdana" w:hAnsi="Verdana"/>
          <w:szCs w:val="20"/>
          <w:lang w:eastAsia="en-US"/>
        </w:rPr>
        <w:t xml:space="preserve"> (</w:t>
      </w:r>
      <w:r w:rsidR="00D8724C">
        <w:rPr>
          <w:rFonts w:ascii="Verdana" w:hAnsi="Verdana"/>
          <w:szCs w:val="20"/>
          <w:lang w:eastAsia="en-US"/>
        </w:rPr>
        <w:t>Eye</w:t>
      </w:r>
      <w:r>
        <w:rPr>
          <w:rFonts w:ascii="Verdana" w:hAnsi="Verdana"/>
          <w:szCs w:val="20"/>
          <w:lang w:eastAsia="en-US"/>
        </w:rPr>
        <w:t xml:space="preserve"> Care Wales</w:t>
      </w:r>
      <w:r w:rsidR="00695375">
        <w:rPr>
          <w:rFonts w:ascii="Verdana" w:hAnsi="Verdana"/>
          <w:szCs w:val="20"/>
          <w:lang w:eastAsia="en-US"/>
        </w:rPr>
        <w:t>,</w:t>
      </w:r>
      <w:r>
        <w:rPr>
          <w:rFonts w:ascii="Verdana" w:hAnsi="Verdana"/>
          <w:szCs w:val="20"/>
          <w:lang w:eastAsia="en-US"/>
        </w:rPr>
        <w:t xml:space="preserve"> 2006)</w:t>
      </w:r>
      <w:r w:rsidRPr="00E772A0">
        <w:rPr>
          <w:rFonts w:ascii="Verdana" w:hAnsi="Verdana"/>
          <w:szCs w:val="20"/>
          <w:lang w:eastAsia="en-US"/>
        </w:rPr>
        <w:t xml:space="preserve">. </w:t>
      </w:r>
    </w:p>
    <w:p w:rsidR="009038D2" w:rsidRDefault="009038D2" w:rsidP="009038D2">
      <w:pPr>
        <w:pStyle w:val="NormalWeb"/>
        <w:shd w:val="clear" w:color="auto" w:fill="FFFFFF"/>
        <w:jc w:val="both"/>
        <w:rPr>
          <w:rFonts w:ascii="Verdana" w:hAnsi="Verdana"/>
        </w:rPr>
      </w:pPr>
      <w:r w:rsidRPr="0047034C">
        <w:rPr>
          <w:rFonts w:ascii="Verdana" w:hAnsi="Verdana"/>
        </w:rPr>
        <w:t xml:space="preserve">The </w:t>
      </w:r>
      <w:r w:rsidRPr="001712BB">
        <w:rPr>
          <w:rFonts w:ascii="Verdana" w:hAnsi="Verdana"/>
        </w:rPr>
        <w:t xml:space="preserve">PEARS examination is intended for patients presenting with an acute </w:t>
      </w:r>
      <w:r w:rsidR="00D8724C">
        <w:rPr>
          <w:rFonts w:ascii="Verdana" w:hAnsi="Verdana"/>
        </w:rPr>
        <w:t>eye</w:t>
      </w:r>
      <w:r w:rsidRPr="001712BB">
        <w:rPr>
          <w:rFonts w:ascii="Verdana" w:hAnsi="Verdana"/>
        </w:rPr>
        <w:t xml:space="preserve"> condition</w:t>
      </w:r>
      <w:r w:rsidRPr="0047034C">
        <w:rPr>
          <w:rFonts w:ascii="Verdana" w:hAnsi="Verdana"/>
        </w:rPr>
        <w:t xml:space="preserve"> i.e. ocular symptoms which would require urgent attention. The aim of the scheme is to maintain as many patients as possible in the primary </w:t>
      </w:r>
      <w:r w:rsidR="00D8724C">
        <w:rPr>
          <w:rFonts w:ascii="Verdana" w:hAnsi="Verdana"/>
        </w:rPr>
        <w:t>eye</w:t>
      </w:r>
      <w:r w:rsidRPr="0047034C">
        <w:rPr>
          <w:rFonts w:ascii="Verdana" w:hAnsi="Verdana"/>
        </w:rPr>
        <w:t xml:space="preserve"> care setting, thus avoiding unnecessary referrals to hospital </w:t>
      </w:r>
      <w:r w:rsidR="00D8724C">
        <w:rPr>
          <w:rFonts w:ascii="Verdana" w:hAnsi="Verdana"/>
        </w:rPr>
        <w:t>eye</w:t>
      </w:r>
      <w:r w:rsidRPr="0047034C">
        <w:rPr>
          <w:rFonts w:ascii="Verdana" w:hAnsi="Verdana"/>
        </w:rPr>
        <w:t xml:space="preserve"> service departments.  </w:t>
      </w:r>
    </w:p>
    <w:p w:rsidR="009038D2" w:rsidRPr="00131394" w:rsidRDefault="009038D2" w:rsidP="009038D2">
      <w:pPr>
        <w:pStyle w:val="NormalWeb"/>
        <w:shd w:val="clear" w:color="auto" w:fill="FFFFFF"/>
        <w:jc w:val="both"/>
        <w:rPr>
          <w:rFonts w:ascii="Verdana" w:hAnsi="Verdana"/>
        </w:rPr>
      </w:pPr>
      <w:r w:rsidRPr="0047034C">
        <w:rPr>
          <w:rFonts w:ascii="Verdana" w:hAnsi="Verdana"/>
        </w:rPr>
        <w:t>Any patient presenting with acute symptoms requi</w:t>
      </w:r>
      <w:r w:rsidR="0090129D">
        <w:rPr>
          <w:rFonts w:ascii="Verdana" w:hAnsi="Verdana"/>
        </w:rPr>
        <w:t>ring attention can have a PEARS</w:t>
      </w:r>
      <w:r w:rsidRPr="0047034C">
        <w:rPr>
          <w:rFonts w:ascii="Verdana" w:hAnsi="Verdana"/>
        </w:rPr>
        <w:t xml:space="preserve"> examination at no charge to th</w:t>
      </w:r>
      <w:r w:rsidR="00695375">
        <w:rPr>
          <w:rFonts w:ascii="Verdana" w:hAnsi="Verdana"/>
        </w:rPr>
        <w:t xml:space="preserve">e patient. The patient can self </w:t>
      </w:r>
      <w:r w:rsidRPr="0047034C">
        <w:rPr>
          <w:rFonts w:ascii="Verdana" w:hAnsi="Verdana"/>
        </w:rPr>
        <w:t xml:space="preserve">refer for a PEARS examination or may be referred by their general </w:t>
      </w:r>
      <w:r w:rsidRPr="00131394">
        <w:rPr>
          <w:rFonts w:ascii="Verdana" w:hAnsi="Verdana"/>
        </w:rPr>
        <w:t>practitioner (</w:t>
      </w:r>
      <w:r w:rsidR="00D8724C" w:rsidRPr="00131394">
        <w:rPr>
          <w:rFonts w:ascii="Verdana" w:hAnsi="Verdana"/>
        </w:rPr>
        <w:t>Eye</w:t>
      </w:r>
      <w:r w:rsidRPr="00131394">
        <w:rPr>
          <w:rFonts w:ascii="Verdana" w:hAnsi="Verdana"/>
        </w:rPr>
        <w:t xml:space="preserve"> Care Wales</w:t>
      </w:r>
      <w:r w:rsidR="00695375" w:rsidRPr="00131394">
        <w:rPr>
          <w:rFonts w:ascii="Verdana" w:hAnsi="Verdana"/>
        </w:rPr>
        <w:t>,</w:t>
      </w:r>
      <w:r w:rsidRPr="00131394">
        <w:rPr>
          <w:rFonts w:ascii="Verdana" w:hAnsi="Verdana"/>
        </w:rPr>
        <w:t xml:space="preserve"> 2006).</w:t>
      </w:r>
    </w:p>
    <w:p w:rsidR="00221362" w:rsidRPr="00131394" w:rsidRDefault="009038D2" w:rsidP="009038D2">
      <w:r w:rsidRPr="00131394">
        <w:rPr>
          <w:szCs w:val="24"/>
          <w:lang w:eastAsia="en-GB"/>
        </w:rPr>
        <w:t xml:space="preserve">The </w:t>
      </w:r>
      <w:r w:rsidR="00675F1C" w:rsidRPr="00131394">
        <w:rPr>
          <w:szCs w:val="24"/>
          <w:lang w:eastAsia="en-GB"/>
        </w:rPr>
        <w:t xml:space="preserve">Welsh Low Vision </w:t>
      </w:r>
      <w:r w:rsidR="00675F1C" w:rsidRPr="00131394">
        <w:t xml:space="preserve">Service is provided to </w:t>
      </w:r>
      <w:r w:rsidRPr="00131394">
        <w:t xml:space="preserve">determine if any low vision aids </w:t>
      </w:r>
      <w:r w:rsidR="00675F1C" w:rsidRPr="00131394">
        <w:t xml:space="preserve">can be used to </w:t>
      </w:r>
      <w:r w:rsidRPr="00131394">
        <w:t>help a person with low vision</w:t>
      </w:r>
      <w:r w:rsidR="00675F1C" w:rsidRPr="00131394">
        <w:t xml:space="preserve">.  Assessments by accredited optometrists are </w:t>
      </w:r>
      <w:r w:rsidRPr="00131394">
        <w:t>provided free of charge by the NHS and all the low vision aids are available on loan</w:t>
      </w:r>
      <w:r w:rsidR="00675F1C" w:rsidRPr="00131394">
        <w:t>,</w:t>
      </w:r>
      <w:r w:rsidR="00221362" w:rsidRPr="00131394">
        <w:t xml:space="preserve"> </w:t>
      </w:r>
      <w:r w:rsidRPr="00131394">
        <w:t>free of charge.</w:t>
      </w:r>
      <w:r w:rsidR="00675F1C" w:rsidRPr="00131394">
        <w:t xml:space="preserve">  </w:t>
      </w:r>
      <w:r w:rsidRPr="00131394">
        <w:t xml:space="preserve">Traditionally patients went to a </w:t>
      </w:r>
      <w:r w:rsidR="00221362" w:rsidRPr="00131394">
        <w:t>s</w:t>
      </w:r>
      <w:r w:rsidRPr="00131394">
        <w:t xml:space="preserve">econdary </w:t>
      </w:r>
      <w:r w:rsidR="00221362" w:rsidRPr="00131394">
        <w:t>c</w:t>
      </w:r>
      <w:r w:rsidRPr="00131394">
        <w:t>are setting for t</w:t>
      </w:r>
      <w:r w:rsidR="00221362" w:rsidRPr="00131394">
        <w:t>he assessment and provision of low vision a</w:t>
      </w:r>
      <w:r w:rsidRPr="00131394">
        <w:t xml:space="preserve">ids. The only other alternative was by way of a small number of practitioners who offered a private service. With this scheme </w:t>
      </w:r>
      <w:r w:rsidR="00221362" w:rsidRPr="00131394">
        <w:t>low v</w:t>
      </w:r>
      <w:r w:rsidRPr="00131394">
        <w:t>ision patients can access these services within their own community. The scheme has a centre based in Carmarthen which oversees t</w:t>
      </w:r>
      <w:r w:rsidR="007D1B70" w:rsidRPr="00131394">
        <w:t>he requirements of the patients (</w:t>
      </w:r>
      <w:r w:rsidR="00D8724C" w:rsidRPr="00131394">
        <w:t>Eye</w:t>
      </w:r>
      <w:r w:rsidR="007D1B70" w:rsidRPr="00131394">
        <w:t xml:space="preserve"> Care Wales</w:t>
      </w:r>
      <w:r w:rsidR="00695375" w:rsidRPr="00131394">
        <w:t>,</w:t>
      </w:r>
      <w:r w:rsidR="007D1B70" w:rsidRPr="00131394">
        <w:t xml:space="preserve"> 2007).</w:t>
      </w:r>
      <w:r w:rsidRPr="00131394">
        <w:t xml:space="preserve"> </w:t>
      </w:r>
    </w:p>
    <w:p w:rsidR="007D1B70" w:rsidRDefault="007D1B70" w:rsidP="009038D2">
      <w:r w:rsidRPr="00131394">
        <w:t>Diabetic retinopathy screening is offered annually</w:t>
      </w:r>
      <w:r>
        <w:t xml:space="preserve"> to all people with diabetes who are registered with a GP in Wales, unless they are under the care of an Ophthalmologist, are medically unfit or have opted out of screening.  It is run by DRSSW (</w:t>
      </w:r>
      <w:r w:rsidR="00D8724C">
        <w:t>Eye</w:t>
      </w:r>
      <w:r>
        <w:t xml:space="preserve"> Care Wales</w:t>
      </w:r>
      <w:r w:rsidR="00695375">
        <w:t>,</w:t>
      </w:r>
      <w:r>
        <w:t xml:space="preserve"> 2007).</w:t>
      </w:r>
    </w:p>
    <w:p w:rsidR="00641D85" w:rsidRPr="00641D85" w:rsidRDefault="00641D85" w:rsidP="00641D85">
      <w:r w:rsidRPr="00641D85">
        <w:t>In</w:t>
      </w:r>
      <w:r w:rsidR="00F7626A" w:rsidRPr="00641D85">
        <w:t xml:space="preserve"> 2007</w:t>
      </w:r>
      <w:r w:rsidR="00695375">
        <w:t xml:space="preserve">, </w:t>
      </w:r>
      <w:r w:rsidR="00013464">
        <w:t>WAG</w:t>
      </w:r>
      <w:r w:rsidRPr="00641D85">
        <w:t xml:space="preserve"> revised </w:t>
      </w:r>
      <w:r w:rsidR="00695375">
        <w:t xml:space="preserve">the </w:t>
      </w:r>
      <w:r w:rsidRPr="00641D85">
        <w:t xml:space="preserve">process of </w:t>
      </w:r>
      <w:r w:rsidR="00F7626A" w:rsidRPr="00641D85">
        <w:t>registering as blind and partially sighted</w:t>
      </w:r>
      <w:r w:rsidR="00695375">
        <w:t xml:space="preserve"> and t</w:t>
      </w:r>
      <w:r w:rsidRPr="00641D85">
        <w:t xml:space="preserve">he </w:t>
      </w:r>
      <w:r w:rsidR="00D5124A">
        <w:t>Certificate of visual i</w:t>
      </w:r>
      <w:r w:rsidR="00F7626A" w:rsidRPr="00641D85">
        <w:t>mpairment</w:t>
      </w:r>
      <w:r w:rsidR="00CD0778">
        <w:t xml:space="preserve"> (Wales)</w:t>
      </w:r>
      <w:r w:rsidR="00F7626A" w:rsidRPr="00641D85">
        <w:t xml:space="preserve"> (</w:t>
      </w:r>
      <w:r w:rsidR="00CD0778">
        <w:t>CVI(W)</w:t>
      </w:r>
      <w:r w:rsidR="00F7626A" w:rsidRPr="00641D85">
        <w:t>) was introduced</w:t>
      </w:r>
      <w:r w:rsidR="00695375">
        <w:t xml:space="preserve">.  </w:t>
      </w:r>
      <w:r w:rsidR="00F7626A" w:rsidRPr="00641D85">
        <w:t xml:space="preserve">The </w:t>
      </w:r>
      <w:r w:rsidR="00CD0778">
        <w:t>CVI(W</w:t>
      </w:r>
      <w:r w:rsidR="00F7626A" w:rsidRPr="00641D85">
        <w:t xml:space="preserve">) certifies people as severely sight impaired or </w:t>
      </w:r>
      <w:r w:rsidR="00F7626A" w:rsidRPr="00641D85">
        <w:lastRenderedPageBreak/>
        <w:t xml:space="preserve">sight impaired, rather than blind or partially sighted. </w:t>
      </w:r>
      <w:r w:rsidRPr="00641D85">
        <w:t xml:space="preserve"> </w:t>
      </w:r>
      <w:r w:rsidR="00DB76EF" w:rsidRPr="00641D85">
        <w:t>Two other forms were also introduced in 2007, the Letter of Vision Impairment (LVI) for optometrists to enable easy referral to support services and the Referral of Vis</w:t>
      </w:r>
      <w:r w:rsidR="00695375">
        <w:t>ion Impaired Patient (RVI) for h</w:t>
      </w:r>
      <w:r w:rsidR="00DB76EF" w:rsidRPr="00641D85">
        <w:t xml:space="preserve">ospital </w:t>
      </w:r>
      <w:r w:rsidR="00695375">
        <w:t>e</w:t>
      </w:r>
      <w:r w:rsidR="00D8724C">
        <w:t>ye</w:t>
      </w:r>
      <w:r w:rsidR="00695375">
        <w:t xml:space="preserve"> c</w:t>
      </w:r>
      <w:r w:rsidR="00DB76EF" w:rsidRPr="00641D85">
        <w:t>linics to use when people have sight problems that are not severe enough for regi</w:t>
      </w:r>
      <w:r w:rsidR="00562C03">
        <w:t>stration.</w:t>
      </w:r>
      <w:r w:rsidR="00DB76EF" w:rsidRPr="00641D85">
        <w:t xml:space="preserve"> </w:t>
      </w:r>
      <w:r w:rsidRPr="00641D85">
        <w:t xml:space="preserve"> </w:t>
      </w:r>
      <w:r w:rsidR="00DB76EF" w:rsidRPr="00641D85">
        <w:t xml:space="preserve">People with sight loss who have been certified as sight impaired or severely sight impaired should be contacted by their </w:t>
      </w:r>
      <w:r w:rsidR="009726D9">
        <w:t>local</w:t>
      </w:r>
      <w:r w:rsidR="00F435D0">
        <w:t xml:space="preserve"> </w:t>
      </w:r>
      <w:r w:rsidR="00695375">
        <w:t>social services d</w:t>
      </w:r>
      <w:r w:rsidR="00DB76EF" w:rsidRPr="00641D85">
        <w:t>epartments for an assessment</w:t>
      </w:r>
      <w:r w:rsidRPr="00641D85">
        <w:t xml:space="preserve"> of their needs </w:t>
      </w:r>
      <w:r w:rsidRPr="00641D85">
        <w:rPr>
          <w:color w:val="000000"/>
          <w:szCs w:val="24"/>
          <w:lang w:eastAsia="en-GB"/>
        </w:rPr>
        <w:t>(Jackson and Hughes</w:t>
      </w:r>
      <w:r w:rsidR="00695375">
        <w:rPr>
          <w:color w:val="000000"/>
          <w:szCs w:val="24"/>
          <w:lang w:eastAsia="en-GB"/>
        </w:rPr>
        <w:t>,</w:t>
      </w:r>
      <w:r w:rsidRPr="00641D85">
        <w:rPr>
          <w:color w:val="000000"/>
          <w:szCs w:val="24"/>
          <w:lang w:eastAsia="en-GB"/>
        </w:rPr>
        <w:t xml:space="preserve"> 2008).</w:t>
      </w:r>
    </w:p>
    <w:p w:rsidR="000201C2" w:rsidRPr="00A82828" w:rsidRDefault="005F60D9" w:rsidP="00A82828">
      <w:r w:rsidRPr="001A64CC">
        <w:t xml:space="preserve">The </w:t>
      </w:r>
      <w:r w:rsidR="00AD7C08">
        <w:t>GOS</w:t>
      </w:r>
      <w:r w:rsidR="00AF4EA2">
        <w:t xml:space="preserve"> </w:t>
      </w:r>
      <w:r w:rsidR="005B3E56" w:rsidRPr="005B3E56">
        <w:t xml:space="preserve">provide, through community opticians’ practices, preventative and corrective </w:t>
      </w:r>
      <w:r w:rsidR="00D8724C">
        <w:t>eye</w:t>
      </w:r>
      <w:r w:rsidR="005B3E56" w:rsidRPr="005B3E56">
        <w:t xml:space="preserve"> care for children, people aged 60 and over, people on low incomes, and those suffering from or pre-disposed to </w:t>
      </w:r>
      <w:r w:rsidR="00D8724C">
        <w:t>eye</w:t>
      </w:r>
      <w:r w:rsidR="005B3E56" w:rsidRPr="005B3E56">
        <w:t xml:space="preserve"> disease. </w:t>
      </w:r>
      <w:r w:rsidR="00A82828">
        <w:t xml:space="preserve"> </w:t>
      </w:r>
      <w:r w:rsidR="000201C2" w:rsidRPr="00F7712A">
        <w:rPr>
          <w:rFonts w:cs="Arial"/>
          <w:szCs w:val="24"/>
        </w:rPr>
        <w:t>People in the following categories are entitled to a</w:t>
      </w:r>
      <w:r w:rsidR="00C42EAE">
        <w:rPr>
          <w:rFonts w:cs="Arial"/>
          <w:szCs w:val="24"/>
        </w:rPr>
        <w:t>n</w:t>
      </w:r>
      <w:r w:rsidR="000201C2" w:rsidRPr="00F7712A">
        <w:rPr>
          <w:rFonts w:cs="Arial"/>
          <w:szCs w:val="24"/>
        </w:rPr>
        <w:t xml:space="preserve"> </w:t>
      </w:r>
      <w:r w:rsidR="00C42EAE">
        <w:rPr>
          <w:rFonts w:cs="Arial"/>
          <w:szCs w:val="24"/>
        </w:rPr>
        <w:t>NHS funded sight test</w:t>
      </w:r>
      <w:r w:rsidR="000201C2" w:rsidRPr="00F7712A">
        <w:rPr>
          <w:rFonts w:cs="Arial"/>
          <w:szCs w:val="24"/>
        </w:rPr>
        <w:t xml:space="preserve"> in Wales:</w:t>
      </w:r>
    </w:p>
    <w:p w:rsidR="000201C2" w:rsidRPr="00695375" w:rsidRDefault="000201C2" w:rsidP="00695375">
      <w:pPr>
        <w:numPr>
          <w:ilvl w:val="0"/>
          <w:numId w:val="10"/>
        </w:numPr>
      </w:pPr>
      <w:r w:rsidRPr="00695375">
        <w:t>Aged under 16</w:t>
      </w:r>
      <w:r w:rsidR="00131394">
        <w:t xml:space="preserve"> years</w:t>
      </w:r>
    </w:p>
    <w:p w:rsidR="000201C2" w:rsidRPr="00695375" w:rsidRDefault="000201C2" w:rsidP="00695375">
      <w:pPr>
        <w:numPr>
          <w:ilvl w:val="0"/>
          <w:numId w:val="10"/>
        </w:numPr>
      </w:pPr>
      <w:r w:rsidRPr="00695375">
        <w:t xml:space="preserve">Aged 16, 17 or 18 </w:t>
      </w:r>
      <w:r w:rsidR="00131394">
        <w:t xml:space="preserve">years </w:t>
      </w:r>
      <w:r w:rsidRPr="00695375">
        <w:t>and in full-time education</w:t>
      </w:r>
    </w:p>
    <w:p w:rsidR="000201C2" w:rsidRPr="00695375" w:rsidRDefault="000201C2" w:rsidP="00695375">
      <w:pPr>
        <w:numPr>
          <w:ilvl w:val="0"/>
          <w:numId w:val="10"/>
        </w:numPr>
      </w:pPr>
      <w:r w:rsidRPr="00695375">
        <w:t>Age</w:t>
      </w:r>
      <w:r w:rsidR="00131394">
        <w:t>d</w:t>
      </w:r>
      <w:r w:rsidRPr="00695375">
        <w:t xml:space="preserve"> 60 </w:t>
      </w:r>
      <w:r w:rsidR="00131394">
        <w:t>years and</w:t>
      </w:r>
      <w:r w:rsidRPr="00695375">
        <w:t xml:space="preserve"> over</w:t>
      </w:r>
    </w:p>
    <w:p w:rsidR="000201C2" w:rsidRPr="00695375" w:rsidRDefault="000201C2" w:rsidP="00695375">
      <w:pPr>
        <w:numPr>
          <w:ilvl w:val="0"/>
          <w:numId w:val="10"/>
        </w:numPr>
      </w:pPr>
      <w:r w:rsidRPr="00695375">
        <w:t xml:space="preserve">Diagnosed </w:t>
      </w:r>
      <w:r w:rsidR="00E71911" w:rsidRPr="00695375">
        <w:t>glaucoma</w:t>
      </w:r>
      <w:r w:rsidRPr="00695375">
        <w:t xml:space="preserve"> patients</w:t>
      </w:r>
    </w:p>
    <w:p w:rsidR="000201C2" w:rsidRPr="00695375" w:rsidRDefault="000201C2" w:rsidP="00695375">
      <w:pPr>
        <w:numPr>
          <w:ilvl w:val="0"/>
          <w:numId w:val="10"/>
        </w:numPr>
      </w:pPr>
      <w:r w:rsidRPr="00695375">
        <w:t xml:space="preserve">Aged 40 </w:t>
      </w:r>
      <w:r w:rsidR="00131394">
        <w:t xml:space="preserve">years and </w:t>
      </w:r>
      <w:r w:rsidRPr="00695375">
        <w:t xml:space="preserve">over and are either a parent, brother, sister, son or daughter of a diagnosed </w:t>
      </w:r>
      <w:r w:rsidR="00E71911" w:rsidRPr="00695375">
        <w:t>glaucoma</w:t>
      </w:r>
      <w:r w:rsidRPr="00695375">
        <w:t xml:space="preserve"> patie</w:t>
      </w:r>
      <w:r w:rsidR="00131394">
        <w:t>nt, or have been advised by an Ophthalmic P</w:t>
      </w:r>
      <w:r w:rsidRPr="00695375">
        <w:t xml:space="preserve">ractitioner that they are at risk of </w:t>
      </w:r>
      <w:r w:rsidR="00E71911" w:rsidRPr="00695375">
        <w:t>glaucoma</w:t>
      </w:r>
    </w:p>
    <w:p w:rsidR="000201C2" w:rsidRPr="00695375" w:rsidRDefault="000201C2" w:rsidP="00695375">
      <w:pPr>
        <w:numPr>
          <w:ilvl w:val="0"/>
          <w:numId w:val="10"/>
        </w:numPr>
      </w:pPr>
      <w:r w:rsidRPr="00695375">
        <w:t>Diagnosed diabetes patients</w:t>
      </w:r>
    </w:p>
    <w:p w:rsidR="000201C2" w:rsidRPr="00695375" w:rsidRDefault="000201C2" w:rsidP="00695375">
      <w:pPr>
        <w:numPr>
          <w:ilvl w:val="0"/>
          <w:numId w:val="10"/>
        </w:numPr>
      </w:pPr>
      <w:r w:rsidRPr="00695375">
        <w:t xml:space="preserve">Registered </w:t>
      </w:r>
      <w:r w:rsidR="00AD7C08" w:rsidRPr="00695375">
        <w:t>sight impaired or severely sight impaired</w:t>
      </w:r>
    </w:p>
    <w:p w:rsidR="000201C2" w:rsidRPr="00695375" w:rsidRDefault="000201C2" w:rsidP="00695375">
      <w:pPr>
        <w:numPr>
          <w:ilvl w:val="0"/>
          <w:numId w:val="10"/>
        </w:numPr>
      </w:pPr>
      <w:r w:rsidRPr="00695375">
        <w:t>Require complex lenses</w:t>
      </w:r>
    </w:p>
    <w:p w:rsidR="000201C2" w:rsidRPr="00695375" w:rsidRDefault="000201C2" w:rsidP="00695375">
      <w:pPr>
        <w:numPr>
          <w:ilvl w:val="0"/>
          <w:numId w:val="10"/>
        </w:numPr>
      </w:pPr>
      <w:r w:rsidRPr="00695375">
        <w:t xml:space="preserve">Those whose sight test is carried out by a hospital </w:t>
      </w:r>
      <w:r w:rsidR="00D8724C" w:rsidRPr="00695375">
        <w:t>eye</w:t>
      </w:r>
      <w:r w:rsidRPr="00695375">
        <w:t xml:space="preserve"> department as part of the management of an optical condition</w:t>
      </w:r>
    </w:p>
    <w:p w:rsidR="000201C2" w:rsidRPr="00695375" w:rsidRDefault="000201C2" w:rsidP="00695375">
      <w:pPr>
        <w:numPr>
          <w:ilvl w:val="0"/>
          <w:numId w:val="10"/>
        </w:numPr>
      </w:pPr>
      <w:r w:rsidRPr="00695375">
        <w:t xml:space="preserve">Patient or partner </w:t>
      </w:r>
      <w:r w:rsidR="00695375">
        <w:t>in receipt of income support, income-based jobseekers a</w:t>
      </w:r>
      <w:r w:rsidRPr="00695375">
        <w:t>llow</w:t>
      </w:r>
      <w:r w:rsidR="00695375">
        <w:t>ance or pension credit g</w:t>
      </w:r>
      <w:r w:rsidRPr="00695375">
        <w:t xml:space="preserve">uarantee </w:t>
      </w:r>
      <w:r w:rsidR="00695375">
        <w:t>c</w:t>
      </w:r>
      <w:r w:rsidRPr="00695375">
        <w:t>redit</w:t>
      </w:r>
    </w:p>
    <w:p w:rsidR="000201C2" w:rsidRPr="00695375" w:rsidRDefault="000201C2" w:rsidP="00695375">
      <w:pPr>
        <w:numPr>
          <w:ilvl w:val="0"/>
          <w:numId w:val="10"/>
        </w:numPr>
      </w:pPr>
      <w:r w:rsidRPr="00695375">
        <w:t>Named on a valid NHS tax credit exemption certificate</w:t>
      </w:r>
    </w:p>
    <w:p w:rsidR="000201C2" w:rsidRPr="00131394" w:rsidRDefault="000201C2" w:rsidP="00695375">
      <w:pPr>
        <w:numPr>
          <w:ilvl w:val="0"/>
          <w:numId w:val="10"/>
        </w:numPr>
      </w:pPr>
      <w:r w:rsidRPr="00695375">
        <w:t xml:space="preserve">Named on a valid </w:t>
      </w:r>
      <w:r w:rsidRPr="00131394">
        <w:t>HC2W certificate</w:t>
      </w:r>
      <w:r w:rsidR="00131394">
        <w:t xml:space="preserve"> (entitles holder to help with full cost of vouchers towards cost of glasses)</w:t>
      </w:r>
    </w:p>
    <w:p w:rsidR="000201C2" w:rsidRPr="00695375" w:rsidRDefault="000201C2" w:rsidP="00695375">
      <w:pPr>
        <w:numPr>
          <w:ilvl w:val="0"/>
          <w:numId w:val="10"/>
        </w:numPr>
      </w:pPr>
      <w:r w:rsidRPr="00131394">
        <w:t>Partial help if named in a valid HC3W certificate</w:t>
      </w:r>
      <w:r w:rsidR="00131394">
        <w:t xml:space="preserve"> (entitles holder to help with partial cost of vouchers towards cost of glasses)</w:t>
      </w:r>
      <w:r w:rsidR="00B252D5" w:rsidRPr="00695375">
        <w:t>.</w:t>
      </w:r>
    </w:p>
    <w:p w:rsidR="000201C2" w:rsidRPr="00F7712A" w:rsidRDefault="000201C2" w:rsidP="000201C2">
      <w:pPr>
        <w:shd w:val="clear" w:color="auto" w:fill="FFFFFF"/>
        <w:spacing w:before="100" w:beforeAutospacing="1" w:after="100" w:afterAutospacing="1"/>
        <w:ind w:left="140"/>
        <w:rPr>
          <w:rFonts w:cs="Arial"/>
          <w:szCs w:val="24"/>
        </w:rPr>
      </w:pPr>
      <w:r>
        <w:rPr>
          <w:rFonts w:cs="Arial"/>
        </w:rPr>
        <w:t>(NHS Direct Wales</w:t>
      </w:r>
      <w:r w:rsidR="00695375">
        <w:rPr>
          <w:rFonts w:cs="Arial"/>
        </w:rPr>
        <w:t>,</w:t>
      </w:r>
      <w:r>
        <w:rPr>
          <w:rFonts w:cs="Arial"/>
        </w:rPr>
        <w:t xml:space="preserve"> 2010)</w:t>
      </w:r>
    </w:p>
    <w:p w:rsidR="00A02620" w:rsidRDefault="000201C2" w:rsidP="00A02620">
      <w:r>
        <w:lastRenderedPageBreak/>
        <w:t>A</w:t>
      </w:r>
      <w:r w:rsidR="00A02620" w:rsidRPr="005F60D9">
        <w:t xml:space="preserve">part from the </w:t>
      </w:r>
      <w:r w:rsidR="00AD7C08">
        <w:t>GOS</w:t>
      </w:r>
      <w:r w:rsidR="00A02620" w:rsidRPr="005F60D9">
        <w:t xml:space="preserve"> </w:t>
      </w:r>
      <w:r w:rsidR="005F60D9" w:rsidRPr="005F60D9">
        <w:t xml:space="preserve">there are </w:t>
      </w:r>
      <w:r w:rsidR="00A02620" w:rsidRPr="005F60D9">
        <w:t xml:space="preserve">several additional </w:t>
      </w:r>
      <w:r>
        <w:t>policies in Wales</w:t>
      </w:r>
      <w:r w:rsidR="005F60D9">
        <w:t xml:space="preserve"> including</w:t>
      </w:r>
      <w:r>
        <w:t xml:space="preserve"> </w:t>
      </w:r>
      <w:r w:rsidR="00A02620">
        <w:t xml:space="preserve">Direct Referral for </w:t>
      </w:r>
      <w:r w:rsidR="00BE6038">
        <w:t>Cataract</w:t>
      </w:r>
      <w:r w:rsidR="00A02620">
        <w:t xml:space="preserve"> Surgery</w:t>
      </w:r>
      <w:r>
        <w:t xml:space="preserve"> for Ophthalmic Practitioners, direct referral for Ophthalmic Practitioners to secondary care for patients with sight threatening wet macular degeneration, and the </w:t>
      </w:r>
      <w:r w:rsidR="00E71911">
        <w:t>Glaucoma</w:t>
      </w:r>
      <w:r w:rsidR="00A02620" w:rsidRPr="00694981">
        <w:t xml:space="preserve"> </w:t>
      </w:r>
      <w:r w:rsidR="00A02620">
        <w:t>Management</w:t>
      </w:r>
      <w:r w:rsidR="00A02620" w:rsidRPr="00694981">
        <w:t xml:space="preserve"> Scheme</w:t>
      </w:r>
      <w:r>
        <w:t xml:space="preserve"> for practitioners to refine referrals to secondary care</w:t>
      </w:r>
      <w:r w:rsidRPr="00131394">
        <w:t xml:space="preserve">.  </w:t>
      </w:r>
      <w:r w:rsidR="00BE52AC" w:rsidRPr="00131394">
        <w:t>In this scheme, patients who have raised pressures at an initial consultation are reviewed and the pressures are re-checked</w:t>
      </w:r>
      <w:r w:rsidR="00E246F0" w:rsidRPr="00131394">
        <w:t xml:space="preserve">.  </w:t>
      </w:r>
      <w:r w:rsidR="00BE52AC" w:rsidRPr="00131394">
        <w:t xml:space="preserve"> </w:t>
      </w:r>
      <w:r w:rsidR="00131394">
        <w:t>Depending on the second pressure measurement, p</w:t>
      </w:r>
      <w:r w:rsidR="00131394" w:rsidRPr="00131394">
        <w:t xml:space="preserve">eople are then either referred to secondary care or </w:t>
      </w:r>
      <w:r w:rsidR="00131394">
        <w:t xml:space="preserve">are monitored in the community.  </w:t>
      </w:r>
      <w:r w:rsidR="00E246F0" w:rsidRPr="00131394">
        <w:t>A proposed scheme funded by</w:t>
      </w:r>
      <w:r w:rsidRPr="00131394">
        <w:t xml:space="preserve"> </w:t>
      </w:r>
      <w:r w:rsidR="00013464" w:rsidRPr="00131394">
        <w:t>WAG</w:t>
      </w:r>
      <w:r w:rsidRPr="00131394">
        <w:t xml:space="preserve"> includes the follow up of stable</w:t>
      </w:r>
      <w:r>
        <w:t xml:space="preserve"> </w:t>
      </w:r>
      <w:r w:rsidR="00E71911">
        <w:t>glaucoma</w:t>
      </w:r>
      <w:r>
        <w:t xml:space="preserve"> patients in primary care by accredited Ophthalmic P</w:t>
      </w:r>
      <w:r w:rsidRPr="000201C2">
        <w:t>ractitioners</w:t>
      </w:r>
      <w:r w:rsidR="001C2D38">
        <w:t xml:space="preserve"> (p</w:t>
      </w:r>
      <w:r w:rsidR="00F24C48">
        <w:t>ersonal communication, Peter Garwood).</w:t>
      </w:r>
    </w:p>
    <w:p w:rsidR="00191AF6" w:rsidRDefault="009726D9" w:rsidP="00191AF6">
      <w:pPr>
        <w:pStyle w:val="Heading2"/>
      </w:pPr>
      <w:bookmarkStart w:id="49" w:name="_Toc291585847"/>
      <w:bookmarkStart w:id="50" w:name="_Toc302293433"/>
      <w:r>
        <w:t>Local</w:t>
      </w:r>
      <w:bookmarkEnd w:id="49"/>
      <w:bookmarkEnd w:id="50"/>
    </w:p>
    <w:p w:rsidR="00E86C96" w:rsidRPr="00112376" w:rsidRDefault="00112376" w:rsidP="00E86C96">
      <w:r w:rsidRPr="00112376">
        <w:t xml:space="preserve">There is no specific </w:t>
      </w:r>
      <w:r w:rsidR="009726D9">
        <w:t>local</w:t>
      </w:r>
      <w:r w:rsidR="00F435D0">
        <w:t xml:space="preserve"> </w:t>
      </w:r>
      <w:r w:rsidR="00D8724C">
        <w:t>eye</w:t>
      </w:r>
      <w:r w:rsidRPr="00112376">
        <w:t xml:space="preserve"> health strategy in Cwm Taf.</w:t>
      </w:r>
    </w:p>
    <w:p w:rsidR="00191AF6" w:rsidRDefault="00191AF6" w:rsidP="00191AF6">
      <w:pPr>
        <w:pStyle w:val="Heading1"/>
      </w:pPr>
      <w:bookmarkStart w:id="51" w:name="_Toc291585848"/>
      <w:bookmarkStart w:id="52" w:name="_Toc302293434"/>
      <w:r>
        <w:t>Demograph</w:t>
      </w:r>
      <w:r w:rsidR="00875CBE">
        <w:t>y</w:t>
      </w:r>
      <w:bookmarkEnd w:id="51"/>
      <w:bookmarkEnd w:id="52"/>
    </w:p>
    <w:p w:rsidR="00191AF6" w:rsidRDefault="00191AF6" w:rsidP="00191AF6">
      <w:pPr>
        <w:pStyle w:val="Heading2"/>
      </w:pPr>
      <w:bookmarkStart w:id="53" w:name="_Toc291585849"/>
      <w:bookmarkStart w:id="54" w:name="_Toc302293435"/>
      <w:r>
        <w:t>Method</w:t>
      </w:r>
      <w:bookmarkEnd w:id="53"/>
      <w:bookmarkEnd w:id="54"/>
    </w:p>
    <w:p w:rsidR="00E246F0" w:rsidRPr="00F63BBA" w:rsidRDefault="00191AF6" w:rsidP="00E246F0">
      <w:pPr>
        <w:pStyle w:val="Heading3"/>
      </w:pPr>
      <w:bookmarkStart w:id="55" w:name="_Toc291585850"/>
      <w:bookmarkStart w:id="56" w:name="_Toc302293436"/>
      <w:r>
        <w:t>Data sources</w:t>
      </w:r>
      <w:bookmarkEnd w:id="55"/>
      <w:bookmarkEnd w:id="56"/>
    </w:p>
    <w:p w:rsidR="00B971F6" w:rsidRDefault="00B971F6" w:rsidP="00B971F6">
      <w:r>
        <w:t xml:space="preserve">For </w:t>
      </w:r>
      <w:r w:rsidR="00F63BBA">
        <w:t xml:space="preserve">information on </w:t>
      </w:r>
      <w:r>
        <w:t>deprivation</w:t>
      </w:r>
      <w:r w:rsidR="00F63BBA">
        <w:t xml:space="preserve">, Welsh Index of Multiple Deprivation (WIMD) </w:t>
      </w:r>
      <w:r>
        <w:t>2008</w:t>
      </w:r>
      <w:r w:rsidR="00F63BBA">
        <w:t xml:space="preserve"> data</w:t>
      </w:r>
      <w:r>
        <w:t xml:space="preserve"> were extracted (</w:t>
      </w:r>
      <w:r w:rsidR="00013464">
        <w:t>W</w:t>
      </w:r>
      <w:r w:rsidR="00F63BBA">
        <w:t xml:space="preserve">elsh </w:t>
      </w:r>
      <w:r w:rsidR="00013464">
        <w:t>A</w:t>
      </w:r>
      <w:r w:rsidR="00F63BBA">
        <w:t xml:space="preserve">ssembly </w:t>
      </w:r>
      <w:r w:rsidR="00013464">
        <w:t>G</w:t>
      </w:r>
      <w:r w:rsidR="00F63BBA">
        <w:t>overnment,</w:t>
      </w:r>
      <w:r>
        <w:t xml:space="preserve"> 2010a).  </w:t>
      </w:r>
      <w:r w:rsidR="00F63BBA">
        <w:t xml:space="preserve">WIMD </w:t>
      </w:r>
      <w:r>
        <w:t xml:space="preserve">is the official measure of deprivation for small areas called lower </w:t>
      </w:r>
      <w:r w:rsidR="00D5124A">
        <w:t xml:space="preserve">layer </w:t>
      </w:r>
      <w:r>
        <w:t>super output areas (LSOAs) with populations of around</w:t>
      </w:r>
      <w:r w:rsidR="00F63BBA">
        <w:t xml:space="preserve"> 1</w:t>
      </w:r>
      <w:r w:rsidR="0015111E">
        <w:t>,</w:t>
      </w:r>
      <w:r w:rsidR="00F63BBA">
        <w:t xml:space="preserve">500 people.  </w:t>
      </w:r>
      <w:r>
        <w:t>It ranks the 1</w:t>
      </w:r>
      <w:r w:rsidR="00525017">
        <w:t>,</w:t>
      </w:r>
      <w:r>
        <w:t>896 LSOAs in Wales by scores according to seven domains: income, employment, health, education, skills and training, geographical access to services, housing and physical environment as the indicators of deprivation (</w:t>
      </w:r>
      <w:r w:rsidR="00F63BBA">
        <w:t>Welsh Assembly Government,</w:t>
      </w:r>
      <w:r>
        <w:t xml:space="preserve"> 2005).  The ranks are then divided into five or ten portions to derive the quintiles or deciles. </w:t>
      </w:r>
    </w:p>
    <w:p w:rsidR="003A3924" w:rsidRDefault="006C60D8" w:rsidP="003A3924">
      <w:r>
        <w:t xml:space="preserve">Information on </w:t>
      </w:r>
      <w:r w:rsidR="00F40A14">
        <w:t>mid-</w:t>
      </w:r>
      <w:r w:rsidR="00FE509C">
        <w:t xml:space="preserve">year </w:t>
      </w:r>
      <w:r>
        <w:t xml:space="preserve">population estimates </w:t>
      </w:r>
      <w:r w:rsidR="00FE509C">
        <w:t>for 2009 were</w:t>
      </w:r>
      <w:r>
        <w:t xml:space="preserve"> obtained from </w:t>
      </w:r>
      <w:r w:rsidR="00013464">
        <w:t>WAG</w:t>
      </w:r>
      <w:r w:rsidR="00F63BBA">
        <w:t xml:space="preserve"> (Welsh Assembly Government</w:t>
      </w:r>
      <w:r w:rsidR="00E435FA">
        <w:t>,</w:t>
      </w:r>
      <w:r w:rsidR="00F63BBA">
        <w:t xml:space="preserve"> 2010a).    </w:t>
      </w:r>
    </w:p>
    <w:p w:rsidR="003B1271" w:rsidRPr="00DF4B86" w:rsidRDefault="003B1271" w:rsidP="003A3924">
      <w:r>
        <w:t>Population projections were obtained fro</w:t>
      </w:r>
      <w:r w:rsidR="00F36DC8">
        <w:t xml:space="preserve">m Public Health Wales Demography profiles </w:t>
      </w:r>
      <w:r w:rsidR="00F63BBA">
        <w:t>(</w:t>
      </w:r>
      <w:r w:rsidR="00525017">
        <w:t xml:space="preserve">Public Health Wales Observatory, 2009). </w:t>
      </w:r>
      <w:r w:rsidR="00F63BBA">
        <w:rPr>
          <w:b/>
        </w:rPr>
        <w:t xml:space="preserve"> </w:t>
      </w:r>
    </w:p>
    <w:p w:rsidR="00711E2A" w:rsidRDefault="00711E2A" w:rsidP="00711E2A">
      <w:r>
        <w:t>Ethnicity</w:t>
      </w:r>
      <w:r w:rsidR="009B1343">
        <w:t xml:space="preserve"> data </w:t>
      </w:r>
      <w:r w:rsidR="00F40A14">
        <w:t>were</w:t>
      </w:r>
      <w:r w:rsidR="009B1343">
        <w:t xml:space="preserve"> obtained from </w:t>
      </w:r>
      <w:r w:rsidR="00F63BBA">
        <w:t xml:space="preserve">WAG </w:t>
      </w:r>
      <w:r w:rsidR="00EF4CDC">
        <w:t>(</w:t>
      </w:r>
      <w:r w:rsidR="00F63BBA">
        <w:t xml:space="preserve">Welsh Assembly Government, </w:t>
      </w:r>
      <w:r w:rsidR="00EF4CDC">
        <w:t xml:space="preserve">2010a).   </w:t>
      </w:r>
      <w:r w:rsidR="0055792B">
        <w:t xml:space="preserve"> </w:t>
      </w:r>
    </w:p>
    <w:p w:rsidR="00191AF6" w:rsidRDefault="00191AF6" w:rsidP="00191AF6">
      <w:pPr>
        <w:pStyle w:val="Heading3"/>
      </w:pPr>
      <w:bookmarkStart w:id="57" w:name="_Toc291585851"/>
      <w:bookmarkStart w:id="58" w:name="_Toc302293437"/>
      <w:r>
        <w:t>Analysis</w:t>
      </w:r>
      <w:bookmarkEnd w:id="57"/>
      <w:bookmarkEnd w:id="58"/>
    </w:p>
    <w:p w:rsidR="00242FDA" w:rsidRDefault="00242FDA" w:rsidP="00FE509C">
      <w:r>
        <w:t xml:space="preserve">Deprivation data was displayed on a map of Cwm Taf showing the quintiles of deprivation.  </w:t>
      </w:r>
    </w:p>
    <w:p w:rsidR="00242FDA" w:rsidRDefault="009B1343" w:rsidP="00242FDA">
      <w:r>
        <w:lastRenderedPageBreak/>
        <w:t xml:space="preserve">Counts and </w:t>
      </w:r>
      <w:r w:rsidR="00976E79">
        <w:t>per cent</w:t>
      </w:r>
      <w:r>
        <w:t>s of the population by age band were calculated.</w:t>
      </w:r>
      <w:r w:rsidR="003E204A">
        <w:t xml:space="preserve"> Population pyramids were used to show the number and </w:t>
      </w:r>
      <w:r w:rsidR="00976E79">
        <w:t>per cent</w:t>
      </w:r>
      <w:r w:rsidR="003E204A">
        <w:t xml:space="preserve"> in each age band in Cwm Taf.  The proportion of people </w:t>
      </w:r>
      <w:r w:rsidR="0015111E">
        <w:t xml:space="preserve">aged </w:t>
      </w:r>
      <w:r w:rsidR="003E204A">
        <w:t xml:space="preserve">60 years </w:t>
      </w:r>
      <w:r w:rsidR="007916CD">
        <w:t>and</w:t>
      </w:r>
      <w:r w:rsidR="0015111E">
        <w:t xml:space="preserve"> over and</w:t>
      </w:r>
      <w:r w:rsidR="007916CD">
        <w:t xml:space="preserve"> </w:t>
      </w:r>
      <w:r w:rsidR="0015111E">
        <w:t xml:space="preserve">aged </w:t>
      </w:r>
      <w:r w:rsidR="003E204A">
        <w:t xml:space="preserve">65 years </w:t>
      </w:r>
      <w:r w:rsidR="007916CD">
        <w:t xml:space="preserve">and over </w:t>
      </w:r>
      <w:r w:rsidR="003E204A">
        <w:t>were calculated for Wa</w:t>
      </w:r>
      <w:r w:rsidR="00F24C48">
        <w:t>les, Cwm Taf, Rhondda Cynon Taf</w:t>
      </w:r>
      <w:r w:rsidR="003E204A">
        <w:t xml:space="preserve">, Merthyr Tydfil and </w:t>
      </w:r>
      <w:r w:rsidR="00F40A14">
        <w:t xml:space="preserve">the </w:t>
      </w:r>
      <w:r w:rsidR="003E204A">
        <w:t xml:space="preserve">nine USOAs within Cwm Taf.  </w:t>
      </w:r>
      <w:r w:rsidR="00242FDA">
        <w:t>USOAs represent statistical geographies of uniform population size.  There are 94 USOAs in Wales (Office for National Statistics</w:t>
      </w:r>
      <w:r w:rsidR="007916CD">
        <w:t>,</w:t>
      </w:r>
      <w:r w:rsidR="00242FDA">
        <w:t xml:space="preserve"> 2008) with populations between 26,000 and 43,000 (</w:t>
      </w:r>
      <w:r w:rsidR="007916CD">
        <w:t>Welsh Assembly Government,</w:t>
      </w:r>
      <w:r w:rsidR="00D73FC9">
        <w:t xml:space="preserve"> 2010a).  The decision to use USOAs as a geographical area was taken in consultation with the Director of Public Health for Cwm Taf. </w:t>
      </w:r>
    </w:p>
    <w:p w:rsidR="00FE509C" w:rsidRPr="00FE509C" w:rsidRDefault="009B1343" w:rsidP="00FE509C">
      <w:r>
        <w:t xml:space="preserve">Ethnicity data was used to calculate </w:t>
      </w:r>
      <w:r w:rsidR="00976E79">
        <w:t>per cent</w:t>
      </w:r>
      <w:r>
        <w:t>s of ethnic groups within the population</w:t>
      </w:r>
      <w:r w:rsidR="00FD31AD">
        <w:t xml:space="preserve"> and this was displayed in a bar chart</w:t>
      </w:r>
      <w:r>
        <w:t xml:space="preserve">. </w:t>
      </w:r>
    </w:p>
    <w:p w:rsidR="00191AF6" w:rsidRDefault="00191AF6" w:rsidP="00191AF6">
      <w:pPr>
        <w:pStyle w:val="Heading2"/>
      </w:pPr>
      <w:bookmarkStart w:id="59" w:name="_Toc291585852"/>
      <w:bookmarkStart w:id="60" w:name="_Toc302293438"/>
      <w:r>
        <w:t>Results</w:t>
      </w:r>
      <w:bookmarkEnd w:id="59"/>
      <w:bookmarkEnd w:id="60"/>
    </w:p>
    <w:p w:rsidR="0027398F" w:rsidRDefault="0027398F" w:rsidP="001A274C">
      <w:pPr>
        <w:pStyle w:val="Heading3"/>
      </w:pPr>
      <w:bookmarkStart w:id="61" w:name="_Toc291585853"/>
      <w:bookmarkStart w:id="62" w:name="_Toc302293439"/>
      <w:r>
        <w:t>Deprivation</w:t>
      </w:r>
      <w:bookmarkEnd w:id="61"/>
      <w:bookmarkEnd w:id="62"/>
    </w:p>
    <w:p w:rsidR="00B971F6" w:rsidRDefault="0027398F" w:rsidP="00B971F6">
      <w:r>
        <w:t>There are 188 LSOAs in Cwm Taf.  Of these, 73 (39</w:t>
      </w:r>
      <w:r w:rsidR="00CB30E2">
        <w:t xml:space="preserve"> </w:t>
      </w:r>
      <w:r w:rsidR="00976E79">
        <w:t>per cent</w:t>
      </w:r>
      <w:r>
        <w:t>) are in the most deprived quintile, and 17 (9</w:t>
      </w:r>
      <w:r w:rsidR="00CB30E2">
        <w:t xml:space="preserve"> </w:t>
      </w:r>
      <w:r w:rsidR="00976E79">
        <w:t>per cent</w:t>
      </w:r>
      <w:r>
        <w:t>) in the least deprived quintile.  In Merthyr Tydfil, 50</w:t>
      </w:r>
      <w:r w:rsidR="00CB30E2">
        <w:t xml:space="preserve"> </w:t>
      </w:r>
      <w:r w:rsidR="00976E79">
        <w:t>per cent</w:t>
      </w:r>
      <w:r>
        <w:t xml:space="preserve"> of LSOAs are in the most deprived quintile</w:t>
      </w:r>
      <w:r w:rsidR="007F46AC">
        <w:t>, which is the highest proportion of LSOAs in any local authority in Wales.  I</w:t>
      </w:r>
      <w:r>
        <w:t>n Rhondda Cynon Taf, 36</w:t>
      </w:r>
      <w:r w:rsidR="00CB30E2">
        <w:t xml:space="preserve"> </w:t>
      </w:r>
      <w:r w:rsidR="00976E79">
        <w:t>per cent</w:t>
      </w:r>
      <w:r>
        <w:t xml:space="preserve"> of LSOAs are in the most deprived quintile.  </w:t>
      </w:r>
    </w:p>
    <w:p w:rsidR="0027398F" w:rsidRDefault="009D650E" w:rsidP="0027398F">
      <w:pPr>
        <w:rPr>
          <w:b/>
          <w:sz w:val="20"/>
        </w:rPr>
      </w:pPr>
      <w:r>
        <w:rPr>
          <w:szCs w:val="24"/>
        </w:rPr>
        <w:t xml:space="preserve">Figure 1 </w:t>
      </w:r>
      <w:r w:rsidR="0027398F" w:rsidRPr="0027398F">
        <w:rPr>
          <w:szCs w:val="24"/>
        </w:rPr>
        <w:t>sh</w:t>
      </w:r>
      <w:r w:rsidR="0027398F">
        <w:t xml:space="preserve">ows a map of Cwm Taf with the dark areas relating to LSOAs in the most deprived quintile and the light areas relating to the least deprived quintile.  The most deprived USOAs are Merthyr02, RCT01, RCT03 and RCT04.  The least deprived USOAs are RCT05 and RCT07. </w:t>
      </w:r>
    </w:p>
    <w:p w:rsidR="0027398F" w:rsidRDefault="0027398F" w:rsidP="0027398F">
      <w:pPr>
        <w:autoSpaceDE w:val="0"/>
        <w:autoSpaceDN w:val="0"/>
        <w:adjustRightInd w:val="0"/>
        <w:rPr>
          <w:rFonts w:cs="Arial"/>
          <w:szCs w:val="28"/>
          <w:lang w:eastAsia="en-GB"/>
        </w:rPr>
      </w:pPr>
      <w:r w:rsidRPr="0025071E">
        <w:rPr>
          <w:rFonts w:cs="Arial"/>
          <w:szCs w:val="28"/>
          <w:lang w:eastAsia="en-GB"/>
        </w:rPr>
        <w:t xml:space="preserve">The relationship between social deprivation and access to </w:t>
      </w:r>
      <w:r w:rsidR="00D8724C">
        <w:rPr>
          <w:rFonts w:cs="Arial"/>
          <w:szCs w:val="28"/>
          <w:lang w:eastAsia="en-GB"/>
        </w:rPr>
        <w:t>eye</w:t>
      </w:r>
      <w:r w:rsidRPr="0025071E">
        <w:rPr>
          <w:rFonts w:cs="Arial"/>
          <w:szCs w:val="28"/>
          <w:lang w:eastAsia="en-GB"/>
        </w:rPr>
        <w:t xml:space="preserve"> care services</w:t>
      </w:r>
      <w:r>
        <w:rPr>
          <w:rFonts w:cs="Arial"/>
          <w:szCs w:val="28"/>
          <w:lang w:eastAsia="en-GB"/>
        </w:rPr>
        <w:t xml:space="preserve"> </w:t>
      </w:r>
      <w:r w:rsidRPr="0025071E">
        <w:rPr>
          <w:rFonts w:cs="Arial"/>
          <w:szCs w:val="28"/>
          <w:lang w:eastAsia="en-GB"/>
        </w:rPr>
        <w:t xml:space="preserve">is well established. Late presentation in patients suffering from </w:t>
      </w:r>
      <w:r>
        <w:rPr>
          <w:rFonts w:cs="Arial"/>
          <w:szCs w:val="28"/>
          <w:lang w:eastAsia="en-GB"/>
        </w:rPr>
        <w:t>glaucoma</w:t>
      </w:r>
      <w:r w:rsidRPr="0025071E">
        <w:rPr>
          <w:rFonts w:cs="Arial"/>
          <w:szCs w:val="28"/>
          <w:lang w:eastAsia="en-GB"/>
        </w:rPr>
        <w:t xml:space="preserve"> is</w:t>
      </w:r>
      <w:r>
        <w:rPr>
          <w:rFonts w:cs="Arial"/>
          <w:szCs w:val="28"/>
          <w:lang w:eastAsia="en-GB"/>
        </w:rPr>
        <w:t xml:space="preserve"> </w:t>
      </w:r>
      <w:r w:rsidRPr="0025071E">
        <w:rPr>
          <w:rFonts w:cs="Arial"/>
          <w:szCs w:val="28"/>
          <w:lang w:eastAsia="en-GB"/>
        </w:rPr>
        <w:t>more common in patients from lower socio-economic groups</w:t>
      </w:r>
      <w:r>
        <w:rPr>
          <w:rFonts w:cs="Arial"/>
          <w:szCs w:val="28"/>
          <w:lang w:eastAsia="en-GB"/>
        </w:rPr>
        <w:t xml:space="preserve">, (Fraser et al </w:t>
      </w:r>
      <w:r w:rsidRPr="0025071E">
        <w:rPr>
          <w:rFonts w:cs="Arial"/>
          <w:szCs w:val="28"/>
          <w:lang w:eastAsia="en-GB"/>
        </w:rPr>
        <w:t>2001</w:t>
      </w:r>
      <w:r>
        <w:rPr>
          <w:rFonts w:cs="Arial"/>
          <w:szCs w:val="28"/>
          <w:lang w:eastAsia="en-GB"/>
        </w:rPr>
        <w:t xml:space="preserve"> in Rughani</w:t>
      </w:r>
      <w:r w:rsidR="007916CD">
        <w:rPr>
          <w:rFonts w:cs="Arial"/>
          <w:szCs w:val="28"/>
          <w:lang w:eastAsia="en-GB"/>
        </w:rPr>
        <w:t>,</w:t>
      </w:r>
      <w:r>
        <w:rPr>
          <w:rFonts w:cs="Arial"/>
          <w:szCs w:val="28"/>
          <w:lang w:eastAsia="en-GB"/>
        </w:rPr>
        <w:t xml:space="preserve"> 2010</w:t>
      </w:r>
      <w:r w:rsidRPr="0025071E">
        <w:rPr>
          <w:rFonts w:cs="Arial"/>
          <w:szCs w:val="28"/>
          <w:lang w:eastAsia="en-GB"/>
        </w:rPr>
        <w:t xml:space="preserve">). </w:t>
      </w:r>
    </w:p>
    <w:p w:rsidR="0027398F" w:rsidRDefault="0027398F" w:rsidP="0027398F">
      <w:pPr>
        <w:rPr>
          <w:b/>
          <w:sz w:val="20"/>
        </w:rPr>
      </w:pPr>
    </w:p>
    <w:p w:rsidR="0027398F" w:rsidRPr="000C7DDD" w:rsidRDefault="0027398F" w:rsidP="0027398F">
      <w:pPr>
        <w:pStyle w:val="Caption"/>
        <w:rPr>
          <w:sz w:val="20"/>
        </w:rPr>
      </w:pPr>
      <w:bookmarkStart w:id="63" w:name="_Ref291584024"/>
      <w:bookmarkStart w:id="64" w:name="_Toc291585908"/>
      <w:bookmarkStart w:id="65" w:name="_Toc292463285"/>
      <w:bookmarkStart w:id="66" w:name="_Toc302232612"/>
      <w:r w:rsidRPr="0027398F">
        <w:rPr>
          <w:sz w:val="20"/>
        </w:rPr>
        <w:lastRenderedPageBreak/>
        <w:t xml:space="preserve">Figure </w:t>
      </w:r>
      <w:r w:rsidR="001060C2" w:rsidRPr="0027398F">
        <w:rPr>
          <w:sz w:val="20"/>
        </w:rPr>
        <w:fldChar w:fldCharType="begin"/>
      </w:r>
      <w:r w:rsidRPr="0027398F">
        <w:rPr>
          <w:sz w:val="20"/>
        </w:rPr>
        <w:instrText xml:space="preserve"> SEQ Figure \* ARABIC </w:instrText>
      </w:r>
      <w:r w:rsidR="001060C2" w:rsidRPr="0027398F">
        <w:rPr>
          <w:sz w:val="20"/>
        </w:rPr>
        <w:fldChar w:fldCharType="separate"/>
      </w:r>
      <w:r w:rsidR="00F96900">
        <w:rPr>
          <w:noProof/>
          <w:sz w:val="20"/>
        </w:rPr>
        <w:t>1</w:t>
      </w:r>
      <w:r w:rsidR="001060C2" w:rsidRPr="0027398F">
        <w:rPr>
          <w:sz w:val="20"/>
        </w:rPr>
        <w:fldChar w:fldCharType="end"/>
      </w:r>
      <w:bookmarkEnd w:id="63"/>
      <w:r w:rsidR="007916CD">
        <w:rPr>
          <w:sz w:val="20"/>
        </w:rPr>
        <w:t xml:space="preserve">. </w:t>
      </w:r>
      <w:r w:rsidRPr="0027398F">
        <w:rPr>
          <w:sz w:val="20"/>
        </w:rPr>
        <w:t>Map of</w:t>
      </w:r>
      <w:r w:rsidRPr="000C7DDD">
        <w:rPr>
          <w:sz w:val="20"/>
        </w:rPr>
        <w:t xml:space="preserve"> Cwm Taf with USOA boundaries and level of deprivation</w:t>
      </w:r>
      <w:bookmarkEnd w:id="64"/>
      <w:bookmarkEnd w:id="65"/>
      <w:bookmarkEnd w:id="66"/>
    </w:p>
    <w:p w:rsidR="0027398F" w:rsidRPr="0027398F" w:rsidRDefault="0027398F" w:rsidP="0027398F">
      <w:r w:rsidRPr="0027398F">
        <w:rPr>
          <w:noProof/>
          <w:lang w:eastAsia="en-GB"/>
        </w:rPr>
        <w:drawing>
          <wp:inline distT="0" distB="0" distL="0" distR="0">
            <wp:extent cx="5768975" cy="8152130"/>
            <wp:effectExtent l="19050" t="0" r="3175" b="0"/>
            <wp:docPr id="69" name="Picture 3" descr="20101210_CwmTaf_WIMDUSOA_MW_HC_BPv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1210_CwmTaf_WIMDUSOA_MW_HC_BPv3.JPG"/>
                    <pic:cNvPicPr/>
                  </pic:nvPicPr>
                  <pic:blipFill>
                    <a:blip r:embed="rId13" cstate="print"/>
                    <a:stretch>
                      <a:fillRect/>
                    </a:stretch>
                  </pic:blipFill>
                  <pic:spPr>
                    <a:xfrm>
                      <a:off x="0" y="0"/>
                      <a:ext cx="5768975" cy="8152130"/>
                    </a:xfrm>
                    <a:prstGeom prst="rect">
                      <a:avLst/>
                    </a:prstGeom>
                  </pic:spPr>
                </pic:pic>
              </a:graphicData>
            </a:graphic>
          </wp:inline>
        </w:drawing>
      </w:r>
    </w:p>
    <w:p w:rsidR="001A274C" w:rsidRPr="001A274C" w:rsidRDefault="001A274C" w:rsidP="001A274C">
      <w:pPr>
        <w:pStyle w:val="Heading3"/>
      </w:pPr>
      <w:bookmarkStart w:id="67" w:name="_Toc291585854"/>
      <w:bookmarkStart w:id="68" w:name="_Toc302293440"/>
      <w:r>
        <w:lastRenderedPageBreak/>
        <w:t>Age and gender</w:t>
      </w:r>
      <w:bookmarkEnd w:id="67"/>
      <w:bookmarkEnd w:id="68"/>
    </w:p>
    <w:p w:rsidR="00416955" w:rsidRDefault="001F3DF4" w:rsidP="001F3DF4">
      <w:r>
        <w:t xml:space="preserve">The 2009 mid-year estimate for the population of Cwm Taf </w:t>
      </w:r>
      <w:r w:rsidR="00F40A14">
        <w:t>wa</w:t>
      </w:r>
      <w:r>
        <w:t xml:space="preserve">s 290,060. </w:t>
      </w:r>
      <w:r w:rsidR="009D650E">
        <w:t xml:space="preserve">Figure 2 </w:t>
      </w:r>
      <w:r>
        <w:rPr>
          <w:szCs w:val="24"/>
        </w:rPr>
        <w:t>d</w:t>
      </w:r>
      <w:r w:rsidR="00416955">
        <w:t>emonstrate</w:t>
      </w:r>
      <w:r>
        <w:t>s</w:t>
      </w:r>
      <w:r w:rsidR="00416955">
        <w:t xml:space="preserve"> </w:t>
      </w:r>
      <w:r w:rsidR="00D83866">
        <w:t xml:space="preserve">the age and gender profile </w:t>
      </w:r>
      <w:r>
        <w:t xml:space="preserve">of the population in Cwm Taf.  It </w:t>
      </w:r>
      <w:r w:rsidR="00D83866">
        <w:t>show</w:t>
      </w:r>
      <w:r>
        <w:t>s</w:t>
      </w:r>
      <w:r w:rsidR="00D83866">
        <w:t xml:space="preserve"> that</w:t>
      </w:r>
      <w:r w:rsidR="00416955">
        <w:t>:</w:t>
      </w:r>
    </w:p>
    <w:p w:rsidR="00416955" w:rsidRDefault="00D83866" w:rsidP="00416955">
      <w:pPr>
        <w:numPr>
          <w:ilvl w:val="0"/>
          <w:numId w:val="6"/>
        </w:numPr>
      </w:pPr>
      <w:r>
        <w:t>Females account for 51</w:t>
      </w:r>
      <w:r w:rsidR="00CB30E2">
        <w:t xml:space="preserve"> </w:t>
      </w:r>
      <w:r w:rsidR="00976E79">
        <w:t>per cent</w:t>
      </w:r>
      <w:r>
        <w:t xml:space="preserve"> </w:t>
      </w:r>
      <w:r w:rsidR="00F40A14">
        <w:t>of the population and males 49</w:t>
      </w:r>
      <w:r w:rsidR="00CB30E2">
        <w:t xml:space="preserve"> </w:t>
      </w:r>
      <w:r w:rsidR="00976E79">
        <w:t>per cent</w:t>
      </w:r>
      <w:r>
        <w:t xml:space="preserve">  </w:t>
      </w:r>
    </w:p>
    <w:p w:rsidR="009200F0" w:rsidRPr="00BC2066" w:rsidRDefault="00416955" w:rsidP="00416955">
      <w:pPr>
        <w:numPr>
          <w:ilvl w:val="0"/>
          <w:numId w:val="6"/>
        </w:numPr>
      </w:pPr>
      <w:r w:rsidRPr="00BC2066">
        <w:t>People ag</w:t>
      </w:r>
      <w:r w:rsidR="007916CD">
        <w:t xml:space="preserve">ed under </w:t>
      </w:r>
      <w:r w:rsidR="0011253F" w:rsidRPr="00BC2066">
        <w:t>20 years account for 24</w:t>
      </w:r>
      <w:r w:rsidR="00CB30E2">
        <w:t xml:space="preserve"> </w:t>
      </w:r>
      <w:r w:rsidR="00976E79">
        <w:t>per cent</w:t>
      </w:r>
      <w:r w:rsidRPr="00BC2066">
        <w:t xml:space="preserve"> of the population</w:t>
      </w:r>
      <w:r w:rsidR="0011253F" w:rsidRPr="00BC2066">
        <w:t xml:space="preserve"> in Cwm Taf</w:t>
      </w:r>
      <w:r w:rsidRPr="00BC2066">
        <w:t>, people</w:t>
      </w:r>
      <w:r w:rsidR="0011253F" w:rsidRPr="00BC2066">
        <w:t xml:space="preserve"> aged 20-64 years 59</w:t>
      </w:r>
      <w:r w:rsidR="00CB30E2">
        <w:t xml:space="preserve"> </w:t>
      </w:r>
      <w:r w:rsidR="00976E79">
        <w:t>per cent</w:t>
      </w:r>
      <w:r w:rsidRPr="00BC2066">
        <w:t xml:space="preserve"> of the population</w:t>
      </w:r>
      <w:r w:rsidR="004A3034" w:rsidRPr="00BC2066">
        <w:t>, people aged 60 years</w:t>
      </w:r>
      <w:r w:rsidR="007916CD">
        <w:t xml:space="preserve"> and over</w:t>
      </w:r>
      <w:r w:rsidR="004A3034" w:rsidRPr="00BC2066">
        <w:t xml:space="preserve"> 23</w:t>
      </w:r>
      <w:r w:rsidR="00CB30E2">
        <w:t xml:space="preserve"> </w:t>
      </w:r>
      <w:r w:rsidR="00976E79">
        <w:t>per cent</w:t>
      </w:r>
      <w:r w:rsidR="004A3034" w:rsidRPr="00BC2066">
        <w:t xml:space="preserve"> of the population</w:t>
      </w:r>
      <w:r w:rsidRPr="00BC2066">
        <w:t xml:space="preserve"> and p</w:t>
      </w:r>
      <w:r w:rsidR="00D83866" w:rsidRPr="00BC2066">
        <w:t>eople aged 65 years</w:t>
      </w:r>
      <w:r w:rsidR="007916CD">
        <w:t xml:space="preserve"> and over</w:t>
      </w:r>
      <w:r w:rsidR="00D83866" w:rsidRPr="00BC2066">
        <w:t xml:space="preserve"> 17</w:t>
      </w:r>
      <w:r w:rsidR="00CB30E2">
        <w:t xml:space="preserve"> </w:t>
      </w:r>
      <w:r w:rsidR="00976E79">
        <w:t>per cent</w:t>
      </w:r>
      <w:r w:rsidR="00D83866" w:rsidRPr="00BC2066">
        <w:t xml:space="preserve"> of the population</w:t>
      </w:r>
      <w:r w:rsidR="0011253F" w:rsidRPr="00BC2066">
        <w:t xml:space="preserve">. </w:t>
      </w:r>
      <w:r w:rsidR="004A3034" w:rsidRPr="00BC2066">
        <w:t xml:space="preserve"> </w:t>
      </w:r>
      <w:r w:rsidR="00BC2066" w:rsidRPr="00BC2066">
        <w:t xml:space="preserve">This compares with </w:t>
      </w:r>
      <w:smartTag w:uri="urn:schemas-microsoft-com:office:smarttags" w:element="place">
        <w:smartTag w:uri="urn:schemas-microsoft-com:office:smarttags" w:element="country-region">
          <w:r w:rsidR="00BC2066">
            <w:t>Wales</w:t>
          </w:r>
        </w:smartTag>
      </w:smartTag>
      <w:r w:rsidR="00BC2066">
        <w:t xml:space="preserve"> figures of 24</w:t>
      </w:r>
      <w:r w:rsidR="00CB30E2">
        <w:t xml:space="preserve"> </w:t>
      </w:r>
      <w:r w:rsidR="00976E79">
        <w:t>per cent</w:t>
      </w:r>
      <w:r w:rsidR="00BC2066">
        <w:t>, 58</w:t>
      </w:r>
      <w:r w:rsidR="00CB30E2">
        <w:t xml:space="preserve"> </w:t>
      </w:r>
      <w:r w:rsidR="00976E79">
        <w:t>per cent</w:t>
      </w:r>
      <w:r w:rsidR="00BC2066">
        <w:t xml:space="preserve">, </w:t>
      </w:r>
      <w:r w:rsidR="00987B38">
        <w:t>25</w:t>
      </w:r>
      <w:r w:rsidR="00CB30E2">
        <w:t xml:space="preserve"> </w:t>
      </w:r>
      <w:r w:rsidR="00976E79">
        <w:t>per cent</w:t>
      </w:r>
      <w:r w:rsidR="00987B38">
        <w:t xml:space="preserve"> and 18</w:t>
      </w:r>
      <w:r w:rsidR="00CB30E2">
        <w:t xml:space="preserve"> </w:t>
      </w:r>
      <w:r w:rsidR="00976E79">
        <w:t>per cent</w:t>
      </w:r>
      <w:r w:rsidR="00987B38">
        <w:t xml:space="preserve"> respectively</w:t>
      </w:r>
      <w:r w:rsidR="00BC2066" w:rsidRPr="00BC2066">
        <w:t>.</w:t>
      </w:r>
    </w:p>
    <w:p w:rsidR="0055792B" w:rsidRDefault="0055792B" w:rsidP="0055792B">
      <w:pPr>
        <w:ind w:left="450"/>
      </w:pPr>
    </w:p>
    <w:p w:rsidR="0055792B" w:rsidRDefault="0027398F" w:rsidP="0027398F">
      <w:pPr>
        <w:pStyle w:val="Caption"/>
        <w:jc w:val="left"/>
        <w:rPr>
          <w:sz w:val="20"/>
        </w:rPr>
      </w:pPr>
      <w:bookmarkStart w:id="69" w:name="_Ref291584077"/>
      <w:bookmarkStart w:id="70" w:name="_Toc291585909"/>
      <w:bookmarkStart w:id="71" w:name="_Toc292463286"/>
      <w:bookmarkStart w:id="72" w:name="_Toc302232613"/>
      <w:r w:rsidRPr="0027398F">
        <w:rPr>
          <w:sz w:val="20"/>
        </w:rPr>
        <w:t xml:space="preserve">Figure </w:t>
      </w:r>
      <w:r w:rsidR="001060C2" w:rsidRPr="0027398F">
        <w:rPr>
          <w:sz w:val="20"/>
        </w:rPr>
        <w:fldChar w:fldCharType="begin"/>
      </w:r>
      <w:r w:rsidRPr="0027398F">
        <w:rPr>
          <w:sz w:val="20"/>
        </w:rPr>
        <w:instrText xml:space="preserve"> SEQ Figure \* ARABIC </w:instrText>
      </w:r>
      <w:r w:rsidR="001060C2" w:rsidRPr="0027398F">
        <w:rPr>
          <w:sz w:val="20"/>
        </w:rPr>
        <w:fldChar w:fldCharType="separate"/>
      </w:r>
      <w:r w:rsidR="00F96900">
        <w:rPr>
          <w:noProof/>
          <w:sz w:val="20"/>
        </w:rPr>
        <w:t>2</w:t>
      </w:r>
      <w:r w:rsidR="001060C2" w:rsidRPr="0027398F">
        <w:rPr>
          <w:sz w:val="20"/>
        </w:rPr>
        <w:fldChar w:fldCharType="end"/>
      </w:r>
      <w:bookmarkEnd w:id="69"/>
      <w:r w:rsidR="007916CD">
        <w:rPr>
          <w:sz w:val="20"/>
        </w:rPr>
        <w:t xml:space="preserve">. </w:t>
      </w:r>
      <w:r w:rsidR="0055792B" w:rsidRPr="0027398F">
        <w:rPr>
          <w:sz w:val="20"/>
        </w:rPr>
        <w:t>Population</w:t>
      </w:r>
      <w:r w:rsidR="0055792B" w:rsidRPr="0055792B">
        <w:rPr>
          <w:sz w:val="20"/>
        </w:rPr>
        <w:t xml:space="preserve"> pyramid by age and sex (</w:t>
      </w:r>
      <w:r w:rsidR="00976E79">
        <w:rPr>
          <w:sz w:val="20"/>
        </w:rPr>
        <w:t>per cent</w:t>
      </w:r>
      <w:r w:rsidR="0055792B" w:rsidRPr="0055792B">
        <w:rPr>
          <w:sz w:val="20"/>
        </w:rPr>
        <w:t>), Cwm Taf, 2009</w:t>
      </w:r>
      <w:bookmarkEnd w:id="70"/>
      <w:bookmarkEnd w:id="71"/>
      <w:bookmarkEnd w:id="72"/>
    </w:p>
    <w:p w:rsidR="001F3DF4" w:rsidRPr="001F3DF4" w:rsidRDefault="001F3DF4" w:rsidP="001F3DF4">
      <w:r>
        <w:rPr>
          <w:noProof/>
          <w:lang w:eastAsia="en-GB"/>
        </w:rPr>
        <w:drawing>
          <wp:inline distT="0" distB="0" distL="0" distR="0">
            <wp:extent cx="5768975" cy="4554041"/>
            <wp:effectExtent l="19050" t="0" r="317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4" cstate="print"/>
                    <a:srcRect/>
                    <a:stretch>
                      <a:fillRect/>
                    </a:stretch>
                  </pic:blipFill>
                  <pic:spPr bwMode="auto">
                    <a:xfrm>
                      <a:off x="0" y="0"/>
                      <a:ext cx="5768975" cy="4554041"/>
                    </a:xfrm>
                    <a:prstGeom prst="rect">
                      <a:avLst/>
                    </a:prstGeom>
                    <a:noFill/>
                    <a:ln w="9525">
                      <a:noFill/>
                      <a:miter lim="800000"/>
                      <a:headEnd/>
                      <a:tailEnd/>
                    </a:ln>
                  </pic:spPr>
                </pic:pic>
              </a:graphicData>
            </a:graphic>
          </wp:inline>
        </w:drawing>
      </w:r>
    </w:p>
    <w:p w:rsidR="00FD31AD" w:rsidRPr="00942E6F" w:rsidRDefault="009D650E" w:rsidP="00FD31AD">
      <w:pPr>
        <w:tabs>
          <w:tab w:val="left" w:pos="930"/>
        </w:tabs>
        <w:rPr>
          <w:szCs w:val="24"/>
        </w:rPr>
      </w:pPr>
      <w:r>
        <w:rPr>
          <w:szCs w:val="24"/>
        </w:rPr>
        <w:t xml:space="preserve">Table 1 </w:t>
      </w:r>
      <w:r w:rsidR="00FD31AD" w:rsidRPr="00942E6F">
        <w:rPr>
          <w:szCs w:val="24"/>
        </w:rPr>
        <w:t xml:space="preserve">shows </w:t>
      </w:r>
      <w:r w:rsidR="00942E6F">
        <w:rPr>
          <w:szCs w:val="24"/>
        </w:rPr>
        <w:t xml:space="preserve">the </w:t>
      </w:r>
      <w:r w:rsidR="00976E79">
        <w:rPr>
          <w:szCs w:val="24"/>
        </w:rPr>
        <w:t>per cent</w:t>
      </w:r>
      <w:r w:rsidR="00942E6F">
        <w:rPr>
          <w:szCs w:val="24"/>
        </w:rPr>
        <w:t xml:space="preserve"> of the populatio</w:t>
      </w:r>
      <w:r w:rsidR="007916CD">
        <w:rPr>
          <w:szCs w:val="24"/>
        </w:rPr>
        <w:t>n aged 60 years and over.  It shows that the</w:t>
      </w:r>
      <w:r w:rsidR="00CB30E2">
        <w:rPr>
          <w:szCs w:val="24"/>
        </w:rPr>
        <w:t xml:space="preserve"> </w:t>
      </w:r>
      <w:r w:rsidR="00976E79">
        <w:rPr>
          <w:szCs w:val="24"/>
        </w:rPr>
        <w:t>per cent</w:t>
      </w:r>
      <w:r w:rsidR="007916CD">
        <w:rPr>
          <w:szCs w:val="24"/>
        </w:rPr>
        <w:t xml:space="preserve"> of people aged </w:t>
      </w:r>
      <w:r w:rsidR="00942E6F">
        <w:rPr>
          <w:szCs w:val="24"/>
        </w:rPr>
        <w:t>60 years</w:t>
      </w:r>
      <w:r w:rsidR="007916CD">
        <w:rPr>
          <w:szCs w:val="24"/>
        </w:rPr>
        <w:t xml:space="preserve"> and over</w:t>
      </w:r>
      <w:r w:rsidR="00942E6F">
        <w:rPr>
          <w:szCs w:val="24"/>
        </w:rPr>
        <w:t xml:space="preserve"> is lower in Cwm Taf compared with Wales (23.3</w:t>
      </w:r>
      <w:r w:rsidR="00CB30E2">
        <w:rPr>
          <w:szCs w:val="24"/>
        </w:rPr>
        <w:t xml:space="preserve"> </w:t>
      </w:r>
      <w:r w:rsidR="00976E79">
        <w:rPr>
          <w:szCs w:val="24"/>
        </w:rPr>
        <w:t>per cent</w:t>
      </w:r>
      <w:r w:rsidR="00942E6F">
        <w:rPr>
          <w:szCs w:val="24"/>
        </w:rPr>
        <w:t xml:space="preserve"> compared to 25.0</w:t>
      </w:r>
      <w:r w:rsidR="00CB30E2">
        <w:rPr>
          <w:szCs w:val="24"/>
        </w:rPr>
        <w:t xml:space="preserve"> </w:t>
      </w:r>
      <w:r w:rsidR="00976E79">
        <w:rPr>
          <w:szCs w:val="24"/>
        </w:rPr>
        <w:t>per cent</w:t>
      </w:r>
      <w:r w:rsidR="00942E6F">
        <w:rPr>
          <w:szCs w:val="24"/>
        </w:rPr>
        <w:t xml:space="preserve">).  In Cwm Taf, USOA RCT04 had the highest </w:t>
      </w:r>
      <w:r w:rsidR="00976E79">
        <w:rPr>
          <w:szCs w:val="24"/>
        </w:rPr>
        <w:t>per cent</w:t>
      </w:r>
      <w:r w:rsidR="00942E6F">
        <w:rPr>
          <w:szCs w:val="24"/>
        </w:rPr>
        <w:t xml:space="preserve"> of people </w:t>
      </w:r>
      <w:r w:rsidR="0015111E">
        <w:rPr>
          <w:szCs w:val="24"/>
        </w:rPr>
        <w:t xml:space="preserve">aged </w:t>
      </w:r>
      <w:r w:rsidR="00942E6F">
        <w:rPr>
          <w:szCs w:val="24"/>
        </w:rPr>
        <w:t>60</w:t>
      </w:r>
      <w:r w:rsidR="00942E6F" w:rsidRPr="00942E6F">
        <w:rPr>
          <w:szCs w:val="24"/>
        </w:rPr>
        <w:t xml:space="preserve"> years</w:t>
      </w:r>
      <w:r w:rsidR="007916CD">
        <w:rPr>
          <w:szCs w:val="24"/>
        </w:rPr>
        <w:t xml:space="preserve"> </w:t>
      </w:r>
      <w:r w:rsidR="007916CD">
        <w:rPr>
          <w:szCs w:val="24"/>
        </w:rPr>
        <w:lastRenderedPageBreak/>
        <w:t>and over</w:t>
      </w:r>
      <w:r w:rsidR="00942E6F" w:rsidRPr="00942E6F">
        <w:rPr>
          <w:szCs w:val="24"/>
        </w:rPr>
        <w:t xml:space="preserve"> </w:t>
      </w:r>
      <w:r w:rsidR="00942E6F">
        <w:rPr>
          <w:szCs w:val="24"/>
        </w:rPr>
        <w:t>with 25.6</w:t>
      </w:r>
      <w:r w:rsidR="00CB30E2">
        <w:rPr>
          <w:szCs w:val="24"/>
        </w:rPr>
        <w:t xml:space="preserve"> </w:t>
      </w:r>
      <w:r w:rsidR="00976E79">
        <w:rPr>
          <w:szCs w:val="24"/>
        </w:rPr>
        <w:t>per cent</w:t>
      </w:r>
      <w:r w:rsidR="007916CD">
        <w:rPr>
          <w:szCs w:val="24"/>
        </w:rPr>
        <w:t xml:space="preserve"> of people aged </w:t>
      </w:r>
      <w:r w:rsidR="00942E6F">
        <w:rPr>
          <w:szCs w:val="24"/>
        </w:rPr>
        <w:t>60 years</w:t>
      </w:r>
      <w:r w:rsidR="007916CD">
        <w:rPr>
          <w:szCs w:val="24"/>
        </w:rPr>
        <w:t xml:space="preserve"> and over</w:t>
      </w:r>
      <w:r w:rsidR="00942E6F">
        <w:rPr>
          <w:szCs w:val="24"/>
        </w:rPr>
        <w:t>.  USOA RCT02 also had a high</w:t>
      </w:r>
      <w:r w:rsidR="00CB30E2">
        <w:rPr>
          <w:szCs w:val="24"/>
        </w:rPr>
        <w:t xml:space="preserve"> </w:t>
      </w:r>
      <w:r w:rsidR="00976E79">
        <w:rPr>
          <w:szCs w:val="24"/>
        </w:rPr>
        <w:t>per cent</w:t>
      </w:r>
      <w:r w:rsidR="007916CD">
        <w:rPr>
          <w:szCs w:val="24"/>
        </w:rPr>
        <w:t xml:space="preserve"> of people aged </w:t>
      </w:r>
      <w:r w:rsidR="00942E6F">
        <w:rPr>
          <w:szCs w:val="24"/>
        </w:rPr>
        <w:t>60 years</w:t>
      </w:r>
      <w:r w:rsidR="007916CD">
        <w:rPr>
          <w:szCs w:val="24"/>
        </w:rPr>
        <w:t xml:space="preserve"> and over</w:t>
      </w:r>
      <w:r w:rsidR="00942E6F">
        <w:rPr>
          <w:szCs w:val="24"/>
        </w:rPr>
        <w:t xml:space="preserve"> for Cwm Taf (25.0</w:t>
      </w:r>
      <w:r w:rsidR="00CB30E2">
        <w:rPr>
          <w:szCs w:val="24"/>
        </w:rPr>
        <w:t xml:space="preserve"> </w:t>
      </w:r>
      <w:r w:rsidR="00976E79">
        <w:rPr>
          <w:szCs w:val="24"/>
        </w:rPr>
        <w:t>per cent</w:t>
      </w:r>
      <w:r w:rsidR="00942E6F">
        <w:rPr>
          <w:szCs w:val="24"/>
        </w:rPr>
        <w:t>), although this was the same as the Wales figure.</w:t>
      </w:r>
    </w:p>
    <w:p w:rsidR="00170838" w:rsidRPr="00170838" w:rsidRDefault="00170838" w:rsidP="00170838">
      <w:pPr>
        <w:rPr>
          <w:sz w:val="32"/>
        </w:rPr>
      </w:pPr>
    </w:p>
    <w:p w:rsidR="00170838" w:rsidRPr="0055792B" w:rsidRDefault="0027398F" w:rsidP="0027398F">
      <w:pPr>
        <w:pStyle w:val="Caption"/>
        <w:jc w:val="left"/>
        <w:rPr>
          <w:sz w:val="20"/>
        </w:rPr>
      </w:pPr>
      <w:bookmarkStart w:id="73" w:name="_Ref293677873"/>
      <w:bookmarkStart w:id="74" w:name="_Toc302293543"/>
      <w:r w:rsidRPr="00417947">
        <w:rPr>
          <w:sz w:val="20"/>
        </w:rPr>
        <w:t xml:space="preserve">Table </w:t>
      </w:r>
      <w:r w:rsidR="001060C2" w:rsidRPr="00417947">
        <w:rPr>
          <w:sz w:val="20"/>
        </w:rPr>
        <w:fldChar w:fldCharType="begin"/>
      </w:r>
      <w:r w:rsidRPr="00417947">
        <w:rPr>
          <w:sz w:val="20"/>
        </w:rPr>
        <w:instrText xml:space="preserve"> SEQ Table \* ARABIC </w:instrText>
      </w:r>
      <w:r w:rsidR="001060C2" w:rsidRPr="00417947">
        <w:rPr>
          <w:sz w:val="20"/>
        </w:rPr>
        <w:fldChar w:fldCharType="separate"/>
      </w:r>
      <w:r w:rsidR="00F96900">
        <w:rPr>
          <w:noProof/>
          <w:sz w:val="20"/>
        </w:rPr>
        <w:t>1</w:t>
      </w:r>
      <w:r w:rsidR="001060C2" w:rsidRPr="00417947">
        <w:rPr>
          <w:sz w:val="20"/>
        </w:rPr>
        <w:fldChar w:fldCharType="end"/>
      </w:r>
      <w:bookmarkEnd w:id="73"/>
      <w:r w:rsidR="007916CD" w:rsidRPr="00417947">
        <w:rPr>
          <w:sz w:val="20"/>
        </w:rPr>
        <w:t>.</w:t>
      </w:r>
      <w:r w:rsidR="0055792B" w:rsidRPr="00417947">
        <w:rPr>
          <w:sz w:val="20"/>
        </w:rPr>
        <w:t xml:space="preserve"> Population</w:t>
      </w:r>
      <w:r w:rsidR="0090129D" w:rsidRPr="00417947">
        <w:rPr>
          <w:sz w:val="20"/>
        </w:rPr>
        <w:t xml:space="preserve"> aged</w:t>
      </w:r>
      <w:r w:rsidR="0055792B" w:rsidRPr="00417947">
        <w:rPr>
          <w:sz w:val="20"/>
        </w:rPr>
        <w:t xml:space="preserve"> 60 years</w:t>
      </w:r>
      <w:r w:rsidR="0090129D" w:rsidRPr="00417947">
        <w:rPr>
          <w:sz w:val="20"/>
        </w:rPr>
        <w:t xml:space="preserve"> and over</w:t>
      </w:r>
      <w:r w:rsidR="0055792B" w:rsidRPr="00417947">
        <w:rPr>
          <w:sz w:val="20"/>
        </w:rPr>
        <w:t xml:space="preserve">, </w:t>
      </w:r>
      <w:r w:rsidR="00EF5A3C">
        <w:rPr>
          <w:sz w:val="20"/>
        </w:rPr>
        <w:t xml:space="preserve">Cwm Taf </w:t>
      </w:r>
      <w:r w:rsidR="0055792B" w:rsidRPr="00417947">
        <w:rPr>
          <w:sz w:val="20"/>
        </w:rPr>
        <w:t>USOAs, Merthyr Tydfil, Rhondda Cynon Taf, Cwm Taf and Wales, 2009</w:t>
      </w:r>
      <w:bookmarkEnd w:id="74"/>
      <w:r w:rsidR="00170838" w:rsidRPr="0055792B">
        <w:rPr>
          <w:sz w:val="20"/>
        </w:rPr>
        <w:tab/>
      </w:r>
    </w:p>
    <w:p w:rsidR="005C0725" w:rsidRPr="00172DAF" w:rsidRDefault="00843072" w:rsidP="00170838">
      <w:pPr>
        <w:tabs>
          <w:tab w:val="left" w:pos="930"/>
        </w:tabs>
        <w:rPr>
          <w:szCs w:val="24"/>
        </w:rPr>
      </w:pPr>
      <w:r>
        <w:rPr>
          <w:noProof/>
          <w:szCs w:val="24"/>
          <w:lang w:eastAsia="en-GB"/>
        </w:rPr>
        <w:drawing>
          <wp:inline distT="0" distB="0" distL="0" distR="0">
            <wp:extent cx="3384550" cy="3313430"/>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3384550" cy="3313430"/>
                    </a:xfrm>
                    <a:prstGeom prst="rect">
                      <a:avLst/>
                    </a:prstGeom>
                    <a:noFill/>
                    <a:ln w="9525">
                      <a:noFill/>
                      <a:miter lim="800000"/>
                      <a:headEnd/>
                      <a:tailEnd/>
                    </a:ln>
                  </pic:spPr>
                </pic:pic>
              </a:graphicData>
            </a:graphic>
          </wp:inline>
        </w:drawing>
      </w:r>
    </w:p>
    <w:p w:rsidR="00942E6F" w:rsidRDefault="00942E6F" w:rsidP="0055792B">
      <w:pPr>
        <w:pStyle w:val="Caption"/>
        <w:jc w:val="left"/>
        <w:rPr>
          <w:sz w:val="20"/>
        </w:rPr>
      </w:pPr>
    </w:p>
    <w:p w:rsidR="00942E6F" w:rsidRPr="00942E6F" w:rsidRDefault="009D650E" w:rsidP="00942E6F">
      <w:pPr>
        <w:rPr>
          <w:szCs w:val="24"/>
        </w:rPr>
      </w:pPr>
      <w:r>
        <w:rPr>
          <w:szCs w:val="24"/>
        </w:rPr>
        <w:t xml:space="preserve">Table 2 </w:t>
      </w:r>
      <w:r w:rsidR="00942E6F" w:rsidRPr="00942E6F">
        <w:rPr>
          <w:szCs w:val="24"/>
        </w:rPr>
        <w:t xml:space="preserve">shows the </w:t>
      </w:r>
      <w:r w:rsidR="00976E79">
        <w:rPr>
          <w:szCs w:val="24"/>
        </w:rPr>
        <w:t>per cent</w:t>
      </w:r>
      <w:r w:rsidR="00942E6F" w:rsidRPr="00942E6F">
        <w:rPr>
          <w:szCs w:val="24"/>
        </w:rPr>
        <w:t xml:space="preserve"> of the population </w:t>
      </w:r>
      <w:r w:rsidR="007916CD">
        <w:rPr>
          <w:szCs w:val="24"/>
        </w:rPr>
        <w:t xml:space="preserve">aged </w:t>
      </w:r>
      <w:r w:rsidR="00942E6F">
        <w:rPr>
          <w:szCs w:val="24"/>
        </w:rPr>
        <w:t>65</w:t>
      </w:r>
      <w:r w:rsidR="00942E6F" w:rsidRPr="00942E6F">
        <w:rPr>
          <w:szCs w:val="24"/>
        </w:rPr>
        <w:t xml:space="preserve"> years</w:t>
      </w:r>
      <w:r w:rsidR="007916CD">
        <w:rPr>
          <w:szCs w:val="24"/>
        </w:rPr>
        <w:t xml:space="preserve"> and over</w:t>
      </w:r>
      <w:r w:rsidR="00942E6F" w:rsidRPr="00942E6F">
        <w:rPr>
          <w:szCs w:val="24"/>
        </w:rPr>
        <w:t>. It shows that the</w:t>
      </w:r>
      <w:r w:rsidR="00CB30E2">
        <w:rPr>
          <w:szCs w:val="24"/>
        </w:rPr>
        <w:t xml:space="preserve"> </w:t>
      </w:r>
      <w:r w:rsidR="00976E79">
        <w:rPr>
          <w:szCs w:val="24"/>
        </w:rPr>
        <w:t>per cent</w:t>
      </w:r>
      <w:r w:rsidR="00942E6F" w:rsidRPr="00942E6F">
        <w:rPr>
          <w:szCs w:val="24"/>
        </w:rPr>
        <w:t xml:space="preserve"> of people </w:t>
      </w:r>
      <w:r w:rsidR="007916CD">
        <w:rPr>
          <w:szCs w:val="24"/>
        </w:rPr>
        <w:t xml:space="preserve">aged </w:t>
      </w:r>
      <w:r w:rsidR="00942E6F">
        <w:rPr>
          <w:szCs w:val="24"/>
        </w:rPr>
        <w:t>65</w:t>
      </w:r>
      <w:r w:rsidR="00942E6F" w:rsidRPr="00942E6F">
        <w:rPr>
          <w:szCs w:val="24"/>
        </w:rPr>
        <w:t xml:space="preserve"> years </w:t>
      </w:r>
      <w:r w:rsidR="007916CD">
        <w:rPr>
          <w:szCs w:val="24"/>
        </w:rPr>
        <w:t xml:space="preserve">and over </w:t>
      </w:r>
      <w:r w:rsidR="00942E6F" w:rsidRPr="00942E6F">
        <w:rPr>
          <w:szCs w:val="24"/>
        </w:rPr>
        <w:t>is lower in Cwm Taf compared with Wales (</w:t>
      </w:r>
      <w:r w:rsidR="00942E6F">
        <w:rPr>
          <w:szCs w:val="24"/>
        </w:rPr>
        <w:t>16.9</w:t>
      </w:r>
      <w:r w:rsidR="00CB30E2">
        <w:rPr>
          <w:szCs w:val="24"/>
        </w:rPr>
        <w:t xml:space="preserve"> </w:t>
      </w:r>
      <w:r w:rsidR="00976E79">
        <w:rPr>
          <w:szCs w:val="24"/>
        </w:rPr>
        <w:t>per cent</w:t>
      </w:r>
      <w:r w:rsidR="00942E6F" w:rsidRPr="00942E6F">
        <w:rPr>
          <w:szCs w:val="24"/>
        </w:rPr>
        <w:t xml:space="preserve"> compared to </w:t>
      </w:r>
      <w:r w:rsidR="00942E6F">
        <w:rPr>
          <w:szCs w:val="24"/>
        </w:rPr>
        <w:t>18.3</w:t>
      </w:r>
      <w:r w:rsidR="00CB30E2">
        <w:rPr>
          <w:szCs w:val="24"/>
        </w:rPr>
        <w:t xml:space="preserve"> </w:t>
      </w:r>
      <w:r w:rsidR="00976E79">
        <w:rPr>
          <w:szCs w:val="24"/>
        </w:rPr>
        <w:t>per cent</w:t>
      </w:r>
      <w:r w:rsidR="00942E6F" w:rsidRPr="00942E6F">
        <w:rPr>
          <w:szCs w:val="24"/>
        </w:rPr>
        <w:t xml:space="preserve">).  In Cwm Taf, USOA RCT04 had the highest </w:t>
      </w:r>
      <w:r w:rsidR="00976E79">
        <w:rPr>
          <w:szCs w:val="24"/>
        </w:rPr>
        <w:t>per cent</w:t>
      </w:r>
      <w:r w:rsidR="00942E6F" w:rsidRPr="00942E6F">
        <w:rPr>
          <w:szCs w:val="24"/>
        </w:rPr>
        <w:t xml:space="preserve"> </w:t>
      </w:r>
      <w:r w:rsidR="00942E6F">
        <w:rPr>
          <w:szCs w:val="24"/>
        </w:rPr>
        <w:t xml:space="preserve">of people </w:t>
      </w:r>
      <w:r w:rsidR="007916CD">
        <w:rPr>
          <w:szCs w:val="24"/>
        </w:rPr>
        <w:t xml:space="preserve">aged </w:t>
      </w:r>
      <w:r w:rsidR="00942E6F">
        <w:rPr>
          <w:szCs w:val="24"/>
        </w:rPr>
        <w:t>65</w:t>
      </w:r>
      <w:r w:rsidR="00942E6F" w:rsidRPr="00942E6F">
        <w:rPr>
          <w:szCs w:val="24"/>
        </w:rPr>
        <w:t xml:space="preserve"> years</w:t>
      </w:r>
      <w:r w:rsidR="007916CD">
        <w:rPr>
          <w:szCs w:val="24"/>
        </w:rPr>
        <w:t xml:space="preserve"> and over</w:t>
      </w:r>
      <w:r w:rsidR="00942E6F" w:rsidRPr="00942E6F">
        <w:rPr>
          <w:szCs w:val="24"/>
        </w:rPr>
        <w:t xml:space="preserve"> with </w:t>
      </w:r>
      <w:r w:rsidR="00942E6F">
        <w:rPr>
          <w:szCs w:val="24"/>
        </w:rPr>
        <w:t>19.0</w:t>
      </w:r>
      <w:r w:rsidR="00CB30E2">
        <w:rPr>
          <w:szCs w:val="24"/>
        </w:rPr>
        <w:t xml:space="preserve"> </w:t>
      </w:r>
      <w:r w:rsidR="00976E79">
        <w:rPr>
          <w:szCs w:val="24"/>
        </w:rPr>
        <w:t>per cent</w:t>
      </w:r>
      <w:r w:rsidR="00942E6F" w:rsidRPr="00942E6F">
        <w:rPr>
          <w:szCs w:val="24"/>
        </w:rPr>
        <w:t xml:space="preserve"> of people </w:t>
      </w:r>
      <w:r w:rsidR="007916CD">
        <w:rPr>
          <w:szCs w:val="24"/>
        </w:rPr>
        <w:t>aged 6</w:t>
      </w:r>
      <w:r w:rsidR="00942E6F">
        <w:rPr>
          <w:szCs w:val="24"/>
        </w:rPr>
        <w:t>5</w:t>
      </w:r>
      <w:r w:rsidR="00942E6F" w:rsidRPr="00942E6F">
        <w:rPr>
          <w:szCs w:val="24"/>
        </w:rPr>
        <w:t xml:space="preserve"> years</w:t>
      </w:r>
      <w:r w:rsidR="007916CD">
        <w:rPr>
          <w:szCs w:val="24"/>
        </w:rPr>
        <w:t xml:space="preserve"> and over</w:t>
      </w:r>
      <w:r w:rsidR="00942E6F" w:rsidRPr="00942E6F">
        <w:rPr>
          <w:szCs w:val="24"/>
        </w:rPr>
        <w:t xml:space="preserve">.  </w:t>
      </w:r>
    </w:p>
    <w:p w:rsidR="00942E6F" w:rsidRDefault="00942E6F" w:rsidP="0055792B">
      <w:pPr>
        <w:pStyle w:val="Caption"/>
        <w:jc w:val="left"/>
        <w:rPr>
          <w:sz w:val="20"/>
        </w:rPr>
      </w:pPr>
    </w:p>
    <w:p w:rsidR="0055792B" w:rsidRPr="00417947" w:rsidRDefault="0055792B" w:rsidP="0055792B">
      <w:pPr>
        <w:pStyle w:val="Caption"/>
        <w:jc w:val="left"/>
        <w:rPr>
          <w:sz w:val="20"/>
        </w:rPr>
      </w:pPr>
      <w:bookmarkStart w:id="75" w:name="_Ref283368847"/>
      <w:bookmarkStart w:id="76" w:name="_Toc302293544"/>
      <w:r w:rsidRPr="00417947">
        <w:rPr>
          <w:sz w:val="20"/>
        </w:rPr>
        <w:t xml:space="preserve">Table </w:t>
      </w:r>
      <w:r w:rsidR="001060C2" w:rsidRPr="00417947">
        <w:rPr>
          <w:sz w:val="20"/>
        </w:rPr>
        <w:fldChar w:fldCharType="begin"/>
      </w:r>
      <w:r w:rsidRPr="00417947">
        <w:rPr>
          <w:sz w:val="20"/>
        </w:rPr>
        <w:instrText xml:space="preserve"> SEQ Table \* ARABIC </w:instrText>
      </w:r>
      <w:r w:rsidR="001060C2" w:rsidRPr="00417947">
        <w:rPr>
          <w:sz w:val="20"/>
        </w:rPr>
        <w:fldChar w:fldCharType="separate"/>
      </w:r>
      <w:r w:rsidR="00F96900">
        <w:rPr>
          <w:noProof/>
          <w:sz w:val="20"/>
        </w:rPr>
        <w:t>2</w:t>
      </w:r>
      <w:r w:rsidR="001060C2" w:rsidRPr="00417947">
        <w:rPr>
          <w:sz w:val="20"/>
        </w:rPr>
        <w:fldChar w:fldCharType="end"/>
      </w:r>
      <w:bookmarkEnd w:id="75"/>
      <w:r w:rsidR="009B3F71" w:rsidRPr="00417947">
        <w:rPr>
          <w:sz w:val="20"/>
        </w:rPr>
        <w:t xml:space="preserve">. </w:t>
      </w:r>
      <w:r w:rsidRPr="00417947">
        <w:rPr>
          <w:sz w:val="20"/>
        </w:rPr>
        <w:t xml:space="preserve">Population </w:t>
      </w:r>
      <w:r w:rsidR="0090129D" w:rsidRPr="00417947">
        <w:rPr>
          <w:sz w:val="20"/>
        </w:rPr>
        <w:t xml:space="preserve">aged </w:t>
      </w:r>
      <w:r w:rsidRPr="00417947">
        <w:rPr>
          <w:sz w:val="20"/>
        </w:rPr>
        <w:t>65 years</w:t>
      </w:r>
      <w:r w:rsidR="0090129D" w:rsidRPr="00417947">
        <w:rPr>
          <w:sz w:val="20"/>
        </w:rPr>
        <w:t xml:space="preserve"> and over</w:t>
      </w:r>
      <w:r w:rsidRPr="00417947">
        <w:rPr>
          <w:sz w:val="20"/>
        </w:rPr>
        <w:t>,</w:t>
      </w:r>
      <w:r w:rsidR="00EF5A3C">
        <w:rPr>
          <w:sz w:val="20"/>
        </w:rPr>
        <w:t xml:space="preserve"> Cwm Taf</w:t>
      </w:r>
      <w:r w:rsidRPr="00417947">
        <w:rPr>
          <w:sz w:val="20"/>
        </w:rPr>
        <w:t xml:space="preserve"> USOAs, Merthyr Tydfil, Rhondda Cynon Taf, Cwm Taf and Wales, 2009</w:t>
      </w:r>
      <w:bookmarkEnd w:id="76"/>
    </w:p>
    <w:p w:rsidR="00C35846" w:rsidRPr="00172DAF" w:rsidRDefault="00843072" w:rsidP="00170838">
      <w:pPr>
        <w:tabs>
          <w:tab w:val="left" w:pos="930"/>
        </w:tabs>
        <w:rPr>
          <w:szCs w:val="24"/>
        </w:rPr>
      </w:pPr>
      <w:r>
        <w:rPr>
          <w:noProof/>
          <w:szCs w:val="24"/>
          <w:lang w:eastAsia="en-GB"/>
        </w:rPr>
        <w:drawing>
          <wp:inline distT="0" distB="0" distL="0" distR="0">
            <wp:extent cx="3408045" cy="3313430"/>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408045" cy="3313430"/>
                    </a:xfrm>
                    <a:prstGeom prst="rect">
                      <a:avLst/>
                    </a:prstGeom>
                    <a:noFill/>
                    <a:ln w="9525">
                      <a:noFill/>
                      <a:miter lim="800000"/>
                      <a:headEnd/>
                      <a:tailEnd/>
                    </a:ln>
                  </pic:spPr>
                </pic:pic>
              </a:graphicData>
            </a:graphic>
          </wp:inline>
        </w:drawing>
      </w:r>
    </w:p>
    <w:p w:rsidR="004A3034" w:rsidRDefault="004A3034" w:rsidP="00170838">
      <w:pPr>
        <w:tabs>
          <w:tab w:val="left" w:pos="930"/>
        </w:tabs>
        <w:rPr>
          <w:b/>
          <w:sz w:val="20"/>
        </w:rPr>
      </w:pPr>
    </w:p>
    <w:p w:rsidR="00942E6F" w:rsidRDefault="009D650E" w:rsidP="00942E6F">
      <w:r>
        <w:t xml:space="preserve">Figure 3 </w:t>
      </w:r>
      <w:r w:rsidR="00942E6F">
        <w:t xml:space="preserve">shows how the </w:t>
      </w:r>
      <w:r w:rsidR="00976E79">
        <w:t>per cent</w:t>
      </w:r>
      <w:r w:rsidR="00942E6F">
        <w:t xml:space="preserve"> of different age groups is expected to change </w:t>
      </w:r>
      <w:r w:rsidR="00F40A14">
        <w:t xml:space="preserve">in Cwm Taf </w:t>
      </w:r>
      <w:r w:rsidR="00A77063">
        <w:t>between 2008 and 2033</w:t>
      </w:r>
      <w:r w:rsidR="00942E6F">
        <w:t xml:space="preserve">. </w:t>
      </w:r>
      <w:r w:rsidR="00386689">
        <w:t xml:space="preserve">The number of people in the </w:t>
      </w:r>
      <w:r w:rsidR="00A77063">
        <w:t>6</w:t>
      </w:r>
      <w:r w:rsidR="00942E6F">
        <w:t>5 years</w:t>
      </w:r>
      <w:r w:rsidR="009B3F71">
        <w:t xml:space="preserve"> and over</w:t>
      </w:r>
      <w:r w:rsidR="00547C34">
        <w:t xml:space="preserve"> age group</w:t>
      </w:r>
      <w:r w:rsidR="00A6102F">
        <w:t xml:space="preserve"> is e</w:t>
      </w:r>
      <w:r w:rsidR="00A77063">
        <w:t>xpected to increase by 50</w:t>
      </w:r>
      <w:r w:rsidR="00CB30E2">
        <w:t xml:space="preserve"> </w:t>
      </w:r>
      <w:r w:rsidR="00976E79">
        <w:t>per cent</w:t>
      </w:r>
      <w:r w:rsidR="00A6102F">
        <w:t xml:space="preserve"> from</w:t>
      </w:r>
      <w:r w:rsidR="00942E6F">
        <w:t xml:space="preserve"> </w:t>
      </w:r>
      <w:r w:rsidR="00A77063">
        <w:t xml:space="preserve">2008 to 2033.  </w:t>
      </w:r>
    </w:p>
    <w:p w:rsidR="004A3034" w:rsidRDefault="004A3034" w:rsidP="00170838">
      <w:pPr>
        <w:tabs>
          <w:tab w:val="left" w:pos="930"/>
        </w:tabs>
        <w:rPr>
          <w:b/>
          <w:sz w:val="20"/>
        </w:rPr>
      </w:pPr>
    </w:p>
    <w:p w:rsidR="004A3034" w:rsidRDefault="004A3034" w:rsidP="00170838">
      <w:pPr>
        <w:tabs>
          <w:tab w:val="left" w:pos="930"/>
        </w:tabs>
        <w:rPr>
          <w:b/>
          <w:sz w:val="20"/>
        </w:rPr>
      </w:pPr>
    </w:p>
    <w:p w:rsidR="004A3034" w:rsidRDefault="004A3034" w:rsidP="00170838">
      <w:pPr>
        <w:tabs>
          <w:tab w:val="left" w:pos="930"/>
        </w:tabs>
        <w:rPr>
          <w:b/>
          <w:sz w:val="20"/>
        </w:rPr>
      </w:pPr>
    </w:p>
    <w:p w:rsidR="004A3034" w:rsidRDefault="004A3034" w:rsidP="00170838">
      <w:pPr>
        <w:tabs>
          <w:tab w:val="left" w:pos="930"/>
        </w:tabs>
        <w:rPr>
          <w:b/>
          <w:sz w:val="20"/>
        </w:rPr>
      </w:pPr>
    </w:p>
    <w:p w:rsidR="004A3034" w:rsidRDefault="004A3034" w:rsidP="00170838">
      <w:pPr>
        <w:tabs>
          <w:tab w:val="left" w:pos="930"/>
        </w:tabs>
        <w:rPr>
          <w:b/>
          <w:sz w:val="20"/>
        </w:rPr>
      </w:pPr>
    </w:p>
    <w:p w:rsidR="004A3034" w:rsidRDefault="004A3034" w:rsidP="00170838">
      <w:pPr>
        <w:tabs>
          <w:tab w:val="left" w:pos="930"/>
        </w:tabs>
        <w:rPr>
          <w:b/>
          <w:sz w:val="20"/>
        </w:rPr>
      </w:pPr>
    </w:p>
    <w:p w:rsidR="004A3034" w:rsidRDefault="004A3034" w:rsidP="00170838">
      <w:pPr>
        <w:tabs>
          <w:tab w:val="left" w:pos="930"/>
        </w:tabs>
        <w:rPr>
          <w:b/>
          <w:sz w:val="20"/>
        </w:rPr>
      </w:pPr>
    </w:p>
    <w:p w:rsidR="00191AF6" w:rsidRPr="00D57C3B" w:rsidRDefault="00D57C3B" w:rsidP="00D57C3B">
      <w:pPr>
        <w:pStyle w:val="Caption"/>
        <w:jc w:val="left"/>
        <w:rPr>
          <w:sz w:val="20"/>
        </w:rPr>
      </w:pPr>
      <w:bookmarkStart w:id="77" w:name="_Ref283369042"/>
      <w:bookmarkStart w:id="78" w:name="_Toc291585910"/>
      <w:bookmarkStart w:id="79" w:name="_Toc292463287"/>
      <w:bookmarkStart w:id="80" w:name="_Toc302232614"/>
      <w:r w:rsidRPr="00843072">
        <w:rPr>
          <w:sz w:val="20"/>
        </w:rPr>
        <w:lastRenderedPageBreak/>
        <w:t xml:space="preserve">Figure </w:t>
      </w:r>
      <w:r w:rsidR="001060C2" w:rsidRPr="00843072">
        <w:rPr>
          <w:sz w:val="20"/>
        </w:rPr>
        <w:fldChar w:fldCharType="begin"/>
      </w:r>
      <w:r w:rsidRPr="00843072">
        <w:rPr>
          <w:sz w:val="20"/>
        </w:rPr>
        <w:instrText xml:space="preserve"> SEQ Figure \* ARABIC </w:instrText>
      </w:r>
      <w:r w:rsidR="001060C2" w:rsidRPr="00843072">
        <w:rPr>
          <w:sz w:val="20"/>
        </w:rPr>
        <w:fldChar w:fldCharType="separate"/>
      </w:r>
      <w:r w:rsidR="00F96900">
        <w:rPr>
          <w:noProof/>
          <w:sz w:val="20"/>
        </w:rPr>
        <w:t>3</w:t>
      </w:r>
      <w:r w:rsidR="001060C2" w:rsidRPr="00843072">
        <w:rPr>
          <w:sz w:val="20"/>
        </w:rPr>
        <w:fldChar w:fldCharType="end"/>
      </w:r>
      <w:bookmarkEnd w:id="77"/>
      <w:r w:rsidR="009B3F71" w:rsidRPr="00843072">
        <w:rPr>
          <w:sz w:val="20"/>
        </w:rPr>
        <w:t xml:space="preserve">. </w:t>
      </w:r>
      <w:r w:rsidR="00976E79" w:rsidRPr="00843072">
        <w:rPr>
          <w:sz w:val="20"/>
        </w:rPr>
        <w:t>Per cent</w:t>
      </w:r>
      <w:r w:rsidR="00172DAF" w:rsidRPr="00843072">
        <w:rPr>
          <w:sz w:val="20"/>
        </w:rPr>
        <w:t xml:space="preserve"> change in p</w:t>
      </w:r>
      <w:r w:rsidR="00170838" w:rsidRPr="00843072">
        <w:rPr>
          <w:sz w:val="20"/>
        </w:rPr>
        <w:t xml:space="preserve">opulation </w:t>
      </w:r>
      <w:r w:rsidR="00172DAF" w:rsidRPr="00843072">
        <w:rPr>
          <w:sz w:val="20"/>
        </w:rPr>
        <w:t>by age group</w:t>
      </w:r>
      <w:r w:rsidR="00170838" w:rsidRPr="00843072">
        <w:rPr>
          <w:sz w:val="20"/>
        </w:rPr>
        <w:t>, Cwm Taf</w:t>
      </w:r>
      <w:r w:rsidR="00172DAF" w:rsidRPr="00843072">
        <w:rPr>
          <w:sz w:val="20"/>
        </w:rPr>
        <w:t>, 200</w:t>
      </w:r>
      <w:r w:rsidR="00A77063" w:rsidRPr="00843072">
        <w:rPr>
          <w:sz w:val="20"/>
        </w:rPr>
        <w:t>8</w:t>
      </w:r>
      <w:r w:rsidR="00172DAF" w:rsidRPr="00843072">
        <w:rPr>
          <w:sz w:val="20"/>
        </w:rPr>
        <w:t>-203</w:t>
      </w:r>
      <w:r w:rsidR="00A77063" w:rsidRPr="00843072">
        <w:rPr>
          <w:sz w:val="20"/>
        </w:rPr>
        <w:t>3</w:t>
      </w:r>
      <w:bookmarkEnd w:id="78"/>
      <w:bookmarkEnd w:id="79"/>
      <w:bookmarkEnd w:id="80"/>
    </w:p>
    <w:p w:rsidR="00663D48" w:rsidRDefault="00A77063" w:rsidP="00D17349">
      <w:r w:rsidRPr="00A77063">
        <w:rPr>
          <w:noProof/>
          <w:lang w:eastAsia="en-GB"/>
        </w:rPr>
        <w:drawing>
          <wp:inline distT="0" distB="0" distL="0" distR="0">
            <wp:extent cx="5768975" cy="4145871"/>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768975" cy="4145871"/>
                    </a:xfrm>
                    <a:prstGeom prst="rect">
                      <a:avLst/>
                    </a:prstGeom>
                    <a:noFill/>
                    <a:ln w="9525">
                      <a:noFill/>
                      <a:miter lim="800000"/>
                      <a:headEnd/>
                      <a:tailEnd/>
                    </a:ln>
                  </pic:spPr>
                </pic:pic>
              </a:graphicData>
            </a:graphic>
          </wp:inline>
        </w:drawing>
      </w:r>
    </w:p>
    <w:p w:rsidR="00653DBC" w:rsidRDefault="00653DBC" w:rsidP="006106E2">
      <w:pPr>
        <w:rPr>
          <w:b/>
          <w:sz w:val="20"/>
        </w:rPr>
      </w:pPr>
    </w:p>
    <w:p w:rsidR="00653DBC" w:rsidRDefault="00653DBC" w:rsidP="006106E2">
      <w:pPr>
        <w:rPr>
          <w:b/>
          <w:sz w:val="20"/>
        </w:rPr>
      </w:pPr>
    </w:p>
    <w:p w:rsidR="00653DBC" w:rsidRDefault="00653DBC" w:rsidP="006106E2">
      <w:pPr>
        <w:rPr>
          <w:b/>
          <w:sz w:val="20"/>
        </w:rPr>
      </w:pPr>
    </w:p>
    <w:p w:rsidR="001C22F7" w:rsidRDefault="001C22F7" w:rsidP="0094371E">
      <w:pPr>
        <w:rPr>
          <w:sz w:val="16"/>
          <w:szCs w:val="16"/>
        </w:rPr>
      </w:pPr>
    </w:p>
    <w:p w:rsidR="00AB7EF1" w:rsidRDefault="00AB7EF1">
      <w:pPr>
        <w:spacing w:before="0"/>
        <w:jc w:val="left"/>
        <w:rPr>
          <w:b/>
        </w:rPr>
      </w:pPr>
      <w:r>
        <w:br w:type="page"/>
      </w:r>
    </w:p>
    <w:p w:rsidR="00321B07" w:rsidRDefault="00321B07" w:rsidP="00711E2A">
      <w:pPr>
        <w:pStyle w:val="Heading3"/>
      </w:pPr>
      <w:bookmarkStart w:id="81" w:name="_Toc291585855"/>
      <w:bookmarkStart w:id="82" w:name="_Toc302293441"/>
      <w:r>
        <w:lastRenderedPageBreak/>
        <w:t>Ethnicity</w:t>
      </w:r>
      <w:bookmarkEnd w:id="81"/>
      <w:bookmarkEnd w:id="82"/>
    </w:p>
    <w:p w:rsidR="00711E2A" w:rsidRDefault="00711E2A" w:rsidP="00711E2A">
      <w:r>
        <w:t xml:space="preserve">The </w:t>
      </w:r>
      <w:r w:rsidR="003052AC">
        <w:t>b</w:t>
      </w:r>
      <w:r>
        <w:t xml:space="preserve">lack and </w:t>
      </w:r>
      <w:r w:rsidR="003052AC">
        <w:t>minority e</w:t>
      </w:r>
      <w:r>
        <w:t>th</w:t>
      </w:r>
      <w:r w:rsidR="000C2A66">
        <w:t>nic population in Cwm Taf is 1.8</w:t>
      </w:r>
      <w:r w:rsidR="00CB30E2">
        <w:t xml:space="preserve"> </w:t>
      </w:r>
      <w:r w:rsidR="00976E79">
        <w:t>per cent</w:t>
      </w:r>
      <w:r w:rsidR="000C2A66">
        <w:t>, compared with 2.9</w:t>
      </w:r>
      <w:r w:rsidR="00CB30E2">
        <w:t xml:space="preserve"> </w:t>
      </w:r>
      <w:r w:rsidR="00976E79">
        <w:t>per cent</w:t>
      </w:r>
      <w:r>
        <w:t xml:space="preserve"> in </w:t>
      </w:r>
      <w:smartTag w:uri="urn:schemas-microsoft-com:office:smarttags" w:element="place">
        <w:smartTag w:uri="urn:schemas-microsoft-com:office:smarttags" w:element="country-region">
          <w:r>
            <w:t>Wales</w:t>
          </w:r>
        </w:smartTag>
      </w:smartTag>
      <w:r>
        <w:t xml:space="preserve">. </w:t>
      </w:r>
      <w:r w:rsidR="001F4857">
        <w:t xml:space="preserve"> </w:t>
      </w:r>
      <w:r w:rsidR="00967A89">
        <w:t xml:space="preserve">Figure 4 </w:t>
      </w:r>
      <w:r w:rsidR="001F4857" w:rsidRPr="001F4857">
        <w:rPr>
          <w:szCs w:val="24"/>
        </w:rPr>
        <w:t>demonstrates this</w:t>
      </w:r>
      <w:r w:rsidR="001F4857">
        <w:t>.</w:t>
      </w:r>
    </w:p>
    <w:p w:rsidR="0093089A" w:rsidRDefault="0093089A" w:rsidP="00711E2A"/>
    <w:p w:rsidR="0093089A" w:rsidRPr="00AF4EA2" w:rsidRDefault="0093089A" w:rsidP="0093089A">
      <w:pPr>
        <w:pStyle w:val="Caption"/>
        <w:jc w:val="both"/>
        <w:rPr>
          <w:sz w:val="20"/>
        </w:rPr>
      </w:pPr>
      <w:bookmarkStart w:id="83" w:name="_Ref285887356"/>
      <w:bookmarkStart w:id="84" w:name="_Toc302232615"/>
      <w:bookmarkStart w:id="85" w:name="_Toc291585911"/>
      <w:bookmarkStart w:id="86" w:name="_Toc292463288"/>
      <w:r w:rsidRPr="00417947">
        <w:rPr>
          <w:sz w:val="20"/>
        </w:rPr>
        <w:t xml:space="preserve">Figure </w:t>
      </w:r>
      <w:r w:rsidR="001060C2" w:rsidRPr="00417947">
        <w:rPr>
          <w:sz w:val="20"/>
        </w:rPr>
        <w:fldChar w:fldCharType="begin"/>
      </w:r>
      <w:r w:rsidRPr="00417947">
        <w:rPr>
          <w:sz w:val="20"/>
        </w:rPr>
        <w:instrText xml:space="preserve"> SEQ Figure \* ARABIC </w:instrText>
      </w:r>
      <w:r w:rsidR="001060C2" w:rsidRPr="00417947">
        <w:rPr>
          <w:sz w:val="20"/>
        </w:rPr>
        <w:fldChar w:fldCharType="separate"/>
      </w:r>
      <w:r w:rsidR="00F96900">
        <w:rPr>
          <w:noProof/>
          <w:sz w:val="20"/>
        </w:rPr>
        <w:t>4</w:t>
      </w:r>
      <w:r w:rsidR="001060C2" w:rsidRPr="00417947">
        <w:rPr>
          <w:sz w:val="20"/>
        </w:rPr>
        <w:fldChar w:fldCharType="end"/>
      </w:r>
      <w:bookmarkEnd w:id="83"/>
      <w:r w:rsidR="00B92FE3" w:rsidRPr="00417947">
        <w:rPr>
          <w:sz w:val="20"/>
        </w:rPr>
        <w:t xml:space="preserve">. </w:t>
      </w:r>
      <w:r w:rsidRPr="00417947">
        <w:rPr>
          <w:sz w:val="20"/>
        </w:rPr>
        <w:t xml:space="preserve">Ethnic groups, </w:t>
      </w:r>
      <w:r w:rsidR="00417947" w:rsidRPr="00417947">
        <w:rPr>
          <w:sz w:val="20"/>
        </w:rPr>
        <w:t>Wales, Cwm Taf, Rhondda Cynon Taf and Merthyr Tyd</w:t>
      </w:r>
      <w:r w:rsidR="00417947">
        <w:rPr>
          <w:sz w:val="20"/>
        </w:rPr>
        <w:t>f</w:t>
      </w:r>
      <w:r w:rsidR="00417947" w:rsidRPr="00417947">
        <w:rPr>
          <w:sz w:val="20"/>
        </w:rPr>
        <w:t xml:space="preserve">il, </w:t>
      </w:r>
      <w:r w:rsidRPr="00417947">
        <w:rPr>
          <w:sz w:val="20"/>
        </w:rPr>
        <w:t>2007</w:t>
      </w:r>
      <w:bookmarkEnd w:id="84"/>
      <w:r w:rsidRPr="00417947">
        <w:rPr>
          <w:sz w:val="20"/>
        </w:rPr>
        <w:t xml:space="preserve"> </w:t>
      </w:r>
      <w:bookmarkEnd w:id="85"/>
      <w:bookmarkEnd w:id="86"/>
    </w:p>
    <w:p w:rsidR="00CE2954" w:rsidRPr="001C7CED" w:rsidRDefault="00843072" w:rsidP="00711E2A">
      <w:r>
        <w:rPr>
          <w:noProof/>
          <w:lang w:eastAsia="en-GB"/>
        </w:rPr>
        <w:drawing>
          <wp:inline distT="0" distB="0" distL="0" distR="0">
            <wp:extent cx="4916170" cy="3966210"/>
            <wp:effectExtent l="1905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4916170" cy="3966210"/>
                    </a:xfrm>
                    <a:prstGeom prst="rect">
                      <a:avLst/>
                    </a:prstGeom>
                    <a:noFill/>
                    <a:ln w="9525">
                      <a:noFill/>
                      <a:miter lim="800000"/>
                      <a:headEnd/>
                      <a:tailEnd/>
                    </a:ln>
                  </pic:spPr>
                </pic:pic>
              </a:graphicData>
            </a:graphic>
          </wp:inline>
        </w:drawing>
      </w:r>
    </w:p>
    <w:p w:rsidR="00854486" w:rsidRDefault="00294761" w:rsidP="00FE509C">
      <w:pPr>
        <w:pStyle w:val="Heading1"/>
      </w:pPr>
      <w:bookmarkStart w:id="87" w:name="_Toc291585856"/>
      <w:bookmarkStart w:id="88" w:name="_Toc302293442"/>
      <w:r>
        <w:t>E</w:t>
      </w:r>
      <w:r w:rsidR="00FE509C">
        <w:t>pidemiology</w:t>
      </w:r>
      <w:r>
        <w:t xml:space="preserve"> of </w:t>
      </w:r>
      <w:r w:rsidR="00D8724C">
        <w:t>eye</w:t>
      </w:r>
      <w:r>
        <w:t xml:space="preserve"> conditions</w:t>
      </w:r>
      <w:bookmarkEnd w:id="87"/>
      <w:bookmarkEnd w:id="88"/>
    </w:p>
    <w:p w:rsidR="00FE509C" w:rsidRDefault="00307340" w:rsidP="00307340">
      <w:pPr>
        <w:pStyle w:val="Heading2"/>
      </w:pPr>
      <w:bookmarkStart w:id="89" w:name="_Toc291585857"/>
      <w:bookmarkStart w:id="90" w:name="_Toc302293443"/>
      <w:r>
        <w:t>Data source</w:t>
      </w:r>
      <w:r w:rsidR="006F4C70">
        <w:t>s</w:t>
      </w:r>
      <w:bookmarkEnd w:id="89"/>
      <w:bookmarkEnd w:id="90"/>
    </w:p>
    <w:p w:rsidR="002C58B5" w:rsidRPr="00D62088" w:rsidRDefault="00F36BF6" w:rsidP="00EC7018">
      <w:pPr>
        <w:pStyle w:val="Heading3"/>
      </w:pPr>
      <w:bookmarkStart w:id="91" w:name="_Toc291585858"/>
      <w:bookmarkStart w:id="92" w:name="_Toc302293444"/>
      <w:r w:rsidRPr="00D62088">
        <w:t xml:space="preserve">National </w:t>
      </w:r>
      <w:r w:rsidR="00D8724C">
        <w:t>Eye</w:t>
      </w:r>
      <w:r w:rsidR="00081F7D" w:rsidRPr="00D62088">
        <w:t xml:space="preserve"> Health Epidemiological Model</w:t>
      </w:r>
      <w:bookmarkEnd w:id="91"/>
      <w:bookmarkEnd w:id="92"/>
    </w:p>
    <w:p w:rsidR="00081F7D" w:rsidRPr="002C58B5" w:rsidRDefault="00081F7D" w:rsidP="00E17CDB">
      <w:pPr>
        <w:pStyle w:val="ListBullet"/>
      </w:pPr>
    </w:p>
    <w:p w:rsidR="00081F7D" w:rsidRDefault="00D54B6B" w:rsidP="00D62088">
      <w:pPr>
        <w:autoSpaceDE w:val="0"/>
        <w:autoSpaceDN w:val="0"/>
        <w:adjustRightInd w:val="0"/>
        <w:spacing w:before="0"/>
      </w:pPr>
      <w:r>
        <w:t xml:space="preserve">The </w:t>
      </w:r>
      <w:r w:rsidR="00FC2BC6">
        <w:t xml:space="preserve">web based </w:t>
      </w:r>
      <w:r w:rsidR="009B3F71">
        <w:t>NEHEM (</w:t>
      </w:r>
      <w:r w:rsidRPr="00D54B6B">
        <w:t xml:space="preserve">National </w:t>
      </w:r>
      <w:r w:rsidR="00D8724C">
        <w:t>Eye</w:t>
      </w:r>
      <w:r w:rsidRPr="00D54B6B">
        <w:t xml:space="preserve"> Health Epidemiological Model</w:t>
      </w:r>
      <w:r w:rsidR="009B3F71">
        <w:t>,</w:t>
      </w:r>
      <w:r w:rsidRPr="00D54B6B">
        <w:t xml:space="preserve"> </w:t>
      </w:r>
      <w:r w:rsidR="00FC2BC6">
        <w:t>2010</w:t>
      </w:r>
      <w:r w:rsidRPr="00D54B6B">
        <w:t>)</w:t>
      </w:r>
      <w:r w:rsidR="00F36BF6">
        <w:t xml:space="preserve"> was used to estimate the prevalence of </w:t>
      </w:r>
      <w:r w:rsidR="00630553">
        <w:t>vision impairment</w:t>
      </w:r>
      <w:r w:rsidR="00EC7018">
        <w:t xml:space="preserve">, </w:t>
      </w:r>
      <w:r w:rsidR="00E71911">
        <w:t>glaucoma</w:t>
      </w:r>
      <w:r w:rsidR="00EC7018">
        <w:t xml:space="preserve">, </w:t>
      </w:r>
      <w:r w:rsidR="00BE6038">
        <w:t>cataracts</w:t>
      </w:r>
      <w:r w:rsidR="00EC7018">
        <w:t xml:space="preserve"> and </w:t>
      </w:r>
      <w:r w:rsidR="009B3F71">
        <w:t xml:space="preserve">ARMD </w:t>
      </w:r>
      <w:r w:rsidR="00F36BF6">
        <w:t>in Cwm Taf</w:t>
      </w:r>
      <w:r w:rsidR="00804333">
        <w:t xml:space="preserve">.  There is no model for diabetic retinopathy. </w:t>
      </w:r>
      <w:r w:rsidR="009726D9">
        <w:t>Local</w:t>
      </w:r>
      <w:r w:rsidR="00F435D0">
        <w:t xml:space="preserve"> </w:t>
      </w:r>
      <w:r w:rsidR="007B32C7">
        <w:t>authority</w:t>
      </w:r>
      <w:r w:rsidR="00804333">
        <w:t xml:space="preserve"> and </w:t>
      </w:r>
      <w:r w:rsidR="00EC7018">
        <w:t>Wales</w:t>
      </w:r>
      <w:r w:rsidR="00804333">
        <w:t xml:space="preserve"> prevalences were</w:t>
      </w:r>
      <w:r w:rsidR="00EC7018">
        <w:t xml:space="preserve"> estimated so that comparison</w:t>
      </w:r>
      <w:r w:rsidR="00F24C48">
        <w:t>s</w:t>
      </w:r>
      <w:r w:rsidR="00EC7018">
        <w:t xml:space="preserve"> could be made. </w:t>
      </w:r>
    </w:p>
    <w:p w:rsidR="00FC2BC6" w:rsidRDefault="00FC2BC6" w:rsidP="00D62088">
      <w:pPr>
        <w:autoSpaceDE w:val="0"/>
        <w:autoSpaceDN w:val="0"/>
        <w:adjustRightInd w:val="0"/>
        <w:spacing w:before="0"/>
      </w:pPr>
    </w:p>
    <w:p w:rsidR="00FC2BC6" w:rsidRDefault="00FC2BC6" w:rsidP="00D62088">
      <w:pPr>
        <w:autoSpaceDE w:val="0"/>
        <w:autoSpaceDN w:val="0"/>
        <w:adjustRightInd w:val="0"/>
        <w:spacing w:before="0"/>
      </w:pPr>
      <w:r w:rsidRPr="00D54B6B">
        <w:t xml:space="preserve">The </w:t>
      </w:r>
      <w:r w:rsidR="003B7897">
        <w:t xml:space="preserve">estimates produced by </w:t>
      </w:r>
      <w:r>
        <w:t xml:space="preserve">the model </w:t>
      </w:r>
      <w:r w:rsidRPr="00D54B6B">
        <w:t xml:space="preserve">are based on </w:t>
      </w:r>
      <w:r w:rsidR="003B7897">
        <w:t xml:space="preserve">prevalence </w:t>
      </w:r>
      <w:r w:rsidRPr="00D54B6B">
        <w:t>estimates</w:t>
      </w:r>
      <w:r w:rsidR="003B7897">
        <w:t xml:space="preserve"> obtained f</w:t>
      </w:r>
      <w:r w:rsidRPr="00D54B6B">
        <w:t xml:space="preserve">rom </w:t>
      </w:r>
      <w:r>
        <w:t xml:space="preserve">population based </w:t>
      </w:r>
      <w:r w:rsidRPr="00D54B6B">
        <w:t>research studies</w:t>
      </w:r>
      <w:r w:rsidR="003B7897">
        <w:t xml:space="preserve">. </w:t>
      </w:r>
      <w:r w:rsidR="00D8724C">
        <w:t>Eye</w:t>
      </w:r>
      <w:r w:rsidRPr="00D54B6B">
        <w:t xml:space="preserve"> epidemiology experts </w:t>
      </w:r>
      <w:r w:rsidR="003B7897">
        <w:t xml:space="preserve">reviewed </w:t>
      </w:r>
      <w:r w:rsidRPr="00D54B6B">
        <w:t>all known relevant studies and critically examine</w:t>
      </w:r>
      <w:r>
        <w:t>d</w:t>
      </w:r>
      <w:r w:rsidRPr="00D54B6B">
        <w:t xml:space="preserve"> </w:t>
      </w:r>
      <w:r>
        <w:t xml:space="preserve">them </w:t>
      </w:r>
      <w:r>
        <w:lastRenderedPageBreak/>
        <w:t>for quality and relevance</w:t>
      </w:r>
      <w:r w:rsidR="003B7897">
        <w:t>.</w:t>
      </w:r>
      <w:r>
        <w:t xml:space="preserve"> </w:t>
      </w:r>
      <w:r w:rsidR="003B7897">
        <w:t xml:space="preserve">In the model, the prevalence estimates are applied to the age, sex </w:t>
      </w:r>
      <w:r w:rsidR="00F40A14">
        <w:t>and</w:t>
      </w:r>
      <w:r w:rsidR="003B7897">
        <w:t xml:space="preserve"> ethnic group population estimates in </w:t>
      </w:r>
      <w:r w:rsidR="009726D9">
        <w:t>local</w:t>
      </w:r>
      <w:r w:rsidR="00F435D0">
        <w:t xml:space="preserve"> </w:t>
      </w:r>
      <w:r w:rsidR="003B7897">
        <w:t xml:space="preserve">areas. The </w:t>
      </w:r>
      <w:r w:rsidR="009726D9">
        <w:t>local</w:t>
      </w:r>
      <w:r w:rsidR="00F435D0">
        <w:t xml:space="preserve"> </w:t>
      </w:r>
      <w:r w:rsidR="003B7897">
        <w:t>area population estimates were obtained from 2001 census data, as these provide the most consistent estimates across the UK (</w:t>
      </w:r>
      <w:r w:rsidR="009B3F71" w:rsidRPr="00D54B6B">
        <w:t xml:space="preserve">National </w:t>
      </w:r>
      <w:r w:rsidR="009B3F71">
        <w:t>Eye</w:t>
      </w:r>
      <w:r w:rsidR="009B3F71" w:rsidRPr="00D54B6B">
        <w:t xml:space="preserve"> Health Epidemiological Model</w:t>
      </w:r>
      <w:r w:rsidR="009B3F71">
        <w:t xml:space="preserve">, </w:t>
      </w:r>
      <w:r w:rsidR="003B7897">
        <w:t xml:space="preserve">2010).  </w:t>
      </w:r>
      <w:r w:rsidR="005C71D4">
        <w:t xml:space="preserve">The model provides estimates at the </w:t>
      </w:r>
      <w:r w:rsidR="009726D9">
        <w:t>local</w:t>
      </w:r>
      <w:r w:rsidR="00F435D0">
        <w:t xml:space="preserve"> </w:t>
      </w:r>
      <w:r w:rsidR="007B32C7">
        <w:t>authority</w:t>
      </w:r>
      <w:r w:rsidR="005C71D4">
        <w:t>, region and country level but i</w:t>
      </w:r>
      <w:r w:rsidR="003B7897">
        <w:t xml:space="preserve">t is also possible to input population data into the model to obtain </w:t>
      </w:r>
      <w:r w:rsidR="005C71D4">
        <w:t xml:space="preserve">estimates at a smaller level or </w:t>
      </w:r>
      <w:r w:rsidR="003B7897">
        <w:t xml:space="preserve">more up to date estimates </w:t>
      </w:r>
      <w:r w:rsidR="005C71D4">
        <w:t xml:space="preserve">using more recent population data. </w:t>
      </w:r>
    </w:p>
    <w:p w:rsidR="00A95795" w:rsidRPr="00A95795" w:rsidRDefault="00A95795" w:rsidP="00AB7EF1">
      <w:r w:rsidRPr="00A95795">
        <w:t xml:space="preserve">For </w:t>
      </w:r>
      <w:r w:rsidR="00630553">
        <w:t>vision</w:t>
      </w:r>
      <w:r w:rsidR="00D86E8C">
        <w:t xml:space="preserve"> impairment</w:t>
      </w:r>
      <w:r w:rsidRPr="00A95795">
        <w:t xml:space="preserve">, </w:t>
      </w:r>
      <w:r w:rsidR="00F84A92">
        <w:t xml:space="preserve">the </w:t>
      </w:r>
      <w:r w:rsidRPr="00A95795">
        <w:t xml:space="preserve">model </w:t>
      </w:r>
      <w:r w:rsidR="00FF61E2">
        <w:t>produced estimates for a</w:t>
      </w:r>
      <w:r w:rsidRPr="00A95795">
        <w:t>ll vis</w:t>
      </w:r>
      <w:r w:rsidR="00630553">
        <w:t>ion</w:t>
      </w:r>
      <w:r w:rsidRPr="00A95795">
        <w:t xml:space="preserve"> impairment, low vision and severe sight impairment. </w:t>
      </w:r>
      <w:r w:rsidR="00E46DBD">
        <w:t xml:space="preserve"> The definitions were not explicitly stated but the prevalence estimates are based on a study by Evans et al </w:t>
      </w:r>
      <w:r w:rsidR="009B3F71">
        <w:t>(</w:t>
      </w:r>
      <w:r w:rsidR="00E46DBD">
        <w:t>2002</w:t>
      </w:r>
      <w:r w:rsidR="00724D8A">
        <w:t xml:space="preserve">) </w:t>
      </w:r>
      <w:r w:rsidR="00E46DBD">
        <w:t>in which the de</w:t>
      </w:r>
      <w:r w:rsidRPr="00A95795">
        <w:t xml:space="preserve">finition used </w:t>
      </w:r>
      <w:r>
        <w:t xml:space="preserve">for low vision </w:t>
      </w:r>
      <w:r w:rsidRPr="00A95795">
        <w:t>was best corrected binocular visual acuity of</w:t>
      </w:r>
      <w:r>
        <w:t xml:space="preserve"> 3/60</w:t>
      </w:r>
      <w:r w:rsidR="0090129D">
        <w:t xml:space="preserve"> to less than </w:t>
      </w:r>
      <w:r w:rsidR="00FC4191">
        <w:t>6/18</w:t>
      </w:r>
      <w:r w:rsidRPr="00A95795">
        <w:t xml:space="preserve">. </w:t>
      </w:r>
      <w:r>
        <w:t xml:space="preserve"> The definition for severe sight impairment </w:t>
      </w:r>
      <w:r w:rsidR="00940A1C">
        <w:t xml:space="preserve">was </w:t>
      </w:r>
      <w:r w:rsidR="00940A1C" w:rsidRPr="00A95795">
        <w:t xml:space="preserve">best corrected </w:t>
      </w:r>
      <w:r w:rsidR="00940A1C">
        <w:t>binocular v</w:t>
      </w:r>
      <w:r w:rsidR="0090129D">
        <w:t xml:space="preserve">isual acuity of less than </w:t>
      </w:r>
      <w:r w:rsidR="00940A1C">
        <w:t>3/60</w:t>
      </w:r>
      <w:r w:rsidRPr="00A95795">
        <w:t xml:space="preserve">. </w:t>
      </w:r>
      <w:r w:rsidR="00940A1C">
        <w:t>All vis</w:t>
      </w:r>
      <w:r w:rsidR="00630553">
        <w:t>ion</w:t>
      </w:r>
      <w:r w:rsidR="00940A1C">
        <w:t xml:space="preserve"> impairment was </w:t>
      </w:r>
      <w:r w:rsidR="00D86E8C">
        <w:t>the</w:t>
      </w:r>
      <w:r w:rsidR="00940A1C">
        <w:t xml:space="preserve"> combination of low vision and severe sight impairment.</w:t>
      </w:r>
      <w:r w:rsidR="00A221A7">
        <w:t xml:space="preserve">  </w:t>
      </w:r>
      <w:r w:rsidR="00E46DBD">
        <w:t xml:space="preserve">In this study, </w:t>
      </w:r>
      <w:r w:rsidR="00A221A7">
        <w:t xml:space="preserve">visual acuity was measured in people aged 75 </w:t>
      </w:r>
      <w:r w:rsidR="00435794">
        <w:t xml:space="preserve">years </w:t>
      </w:r>
      <w:r w:rsidR="00A221A7">
        <w:t xml:space="preserve">and over from 53 ophthalmic practices in the </w:t>
      </w:r>
      <w:smartTag w:uri="urn:schemas-microsoft-com:office:smarttags" w:element="place">
        <w:smartTag w:uri="urn:schemas-microsoft-com:office:smarttags" w:element="country-region">
          <w:r w:rsidR="00A221A7">
            <w:t>UK</w:t>
          </w:r>
        </w:smartTag>
      </w:smartTag>
      <w:r w:rsidR="00A221A7">
        <w:t>.</w:t>
      </w:r>
      <w:r w:rsidR="00940A1C">
        <w:t xml:space="preserve"> </w:t>
      </w:r>
      <w:r w:rsidR="00A221A7">
        <w:t xml:space="preserve"> </w:t>
      </w:r>
      <w:r w:rsidR="00435794">
        <w:t xml:space="preserve">Although the study looked at people </w:t>
      </w:r>
      <w:r w:rsidR="0015111E">
        <w:t xml:space="preserve">aged </w:t>
      </w:r>
      <w:r w:rsidR="00435794">
        <w:t>75 years and over, t</w:t>
      </w:r>
      <w:r w:rsidR="00A221A7">
        <w:t xml:space="preserve">he model provided estimates of low vision and severe sight impairment in the population </w:t>
      </w:r>
      <w:r w:rsidR="0015111E">
        <w:t xml:space="preserve">aged </w:t>
      </w:r>
      <w:r w:rsidR="00A221A7">
        <w:t>50 years</w:t>
      </w:r>
      <w:r w:rsidR="0015111E">
        <w:t xml:space="preserve"> and over</w:t>
      </w:r>
      <w:r w:rsidR="00A221A7">
        <w:t xml:space="preserve">.  An exponential trend was fitted to the data </w:t>
      </w:r>
      <w:r w:rsidR="00435794">
        <w:t xml:space="preserve">to obtain </w:t>
      </w:r>
      <w:r w:rsidR="00A221A7">
        <w:t xml:space="preserve">estimated prevalences </w:t>
      </w:r>
      <w:r w:rsidR="00F84A92">
        <w:t xml:space="preserve">in 5 year age bands </w:t>
      </w:r>
      <w:r w:rsidR="00A221A7">
        <w:t xml:space="preserve">for </w:t>
      </w:r>
      <w:r w:rsidR="00435794">
        <w:t>the 50-74 years age group</w:t>
      </w:r>
      <w:r w:rsidR="0036331B">
        <w:t xml:space="preserve"> (</w:t>
      </w:r>
      <w:r w:rsidR="009B3F71" w:rsidRPr="00D54B6B">
        <w:t xml:space="preserve">National </w:t>
      </w:r>
      <w:r w:rsidR="009B3F71">
        <w:t>Eye</w:t>
      </w:r>
      <w:r w:rsidR="009B3F71" w:rsidRPr="00D54B6B">
        <w:t xml:space="preserve"> Health Epidemiological Model</w:t>
      </w:r>
      <w:r w:rsidR="009B3F71">
        <w:t xml:space="preserve">, </w:t>
      </w:r>
      <w:r w:rsidR="0036331B">
        <w:t>2010)</w:t>
      </w:r>
      <w:r w:rsidR="00A221A7">
        <w:t xml:space="preserve">. </w:t>
      </w:r>
    </w:p>
    <w:p w:rsidR="00F84A92" w:rsidRPr="00F84A92" w:rsidRDefault="00F84A92" w:rsidP="00F84A92">
      <w:r>
        <w:t xml:space="preserve">For </w:t>
      </w:r>
      <w:r w:rsidR="00E71911">
        <w:t>glaucoma</w:t>
      </w:r>
      <w:r>
        <w:t xml:space="preserve">, </w:t>
      </w:r>
      <w:r w:rsidR="00883384">
        <w:t xml:space="preserve">the </w:t>
      </w:r>
      <w:r w:rsidR="00883384" w:rsidRPr="00A95795">
        <w:t xml:space="preserve">model </w:t>
      </w:r>
      <w:r w:rsidR="00883384">
        <w:t xml:space="preserve">produced estimates for </w:t>
      </w:r>
      <w:r w:rsidR="00E71911">
        <w:t>glaucoma</w:t>
      </w:r>
      <w:r w:rsidRPr="00F84A92">
        <w:t xml:space="preserve">, </w:t>
      </w:r>
      <w:r w:rsidR="00E71911">
        <w:t>glaucoma</w:t>
      </w:r>
      <w:r w:rsidR="00AB7EF1">
        <w:t xml:space="preserve"> </w:t>
      </w:r>
      <w:r w:rsidRPr="00F84A92">
        <w:t xml:space="preserve">suspects and ocular hypertension for </w:t>
      </w:r>
      <w:r w:rsidR="00883384">
        <w:t xml:space="preserve">people </w:t>
      </w:r>
      <w:r w:rsidRPr="00F84A92">
        <w:t xml:space="preserve">aged 30 and over. </w:t>
      </w:r>
      <w:r w:rsidR="00883384">
        <w:t xml:space="preserve">The studies that were considered </w:t>
      </w:r>
      <w:r w:rsidRPr="00F84A92">
        <w:t xml:space="preserve">assessed the prevalence of primary open angle </w:t>
      </w:r>
      <w:r w:rsidR="00E71911">
        <w:t>glaucoma</w:t>
      </w:r>
      <w:r w:rsidR="009B3F71">
        <w:t xml:space="preserve">.  </w:t>
      </w:r>
      <w:r w:rsidRPr="00F84A92">
        <w:t xml:space="preserve">Chronic narrow angle </w:t>
      </w:r>
      <w:r w:rsidR="00E71911">
        <w:t>glaucoma</w:t>
      </w:r>
      <w:r w:rsidRPr="00F84A92">
        <w:t xml:space="preserve"> was not included as the prevalence is very low in Europe and most studies did not have any standardised criteria for angle closure definition. Similarly, secondary </w:t>
      </w:r>
      <w:r w:rsidR="00E71911">
        <w:t>glaucoma</w:t>
      </w:r>
      <w:r w:rsidRPr="00F84A92">
        <w:t xml:space="preserve"> was excluded, as it is uncommon.</w:t>
      </w:r>
      <w:r w:rsidR="00E71911">
        <w:t xml:space="preserve">  The definition of glaucoma was that the person had an absolute field defect and either a cup:disc ratio of 0.7 or larger or a difference in cup:disc ratio of 0.3 or larger between the two </w:t>
      </w:r>
      <w:r w:rsidR="00D8724C">
        <w:t>eye</w:t>
      </w:r>
      <w:r w:rsidR="009B3F71">
        <w:t xml:space="preserve">s.  </w:t>
      </w:r>
      <w:r w:rsidR="00D86E8C">
        <w:t xml:space="preserve">Four studies were considered for inclusion in the model but there were several limitations such as case definition problems, only being based on the white population or estimates being mainly based on extrapolation.  One study which was a systematic review </w:t>
      </w:r>
      <w:r w:rsidR="00BF5AFF">
        <w:t xml:space="preserve">and meta analysis </w:t>
      </w:r>
      <w:r w:rsidR="00D86E8C">
        <w:t xml:space="preserve">based on 46 observational studies by Rudnicka et al </w:t>
      </w:r>
      <w:r w:rsidR="009B3F71">
        <w:t>(</w:t>
      </w:r>
      <w:r w:rsidR="00D86E8C">
        <w:t>2006</w:t>
      </w:r>
      <w:r w:rsidR="009B3F71">
        <w:t xml:space="preserve">) </w:t>
      </w:r>
      <w:r w:rsidR="00D86E8C">
        <w:t>was used for prevalence estimates</w:t>
      </w:r>
      <w:r w:rsidR="00B97AD4">
        <w:t>.  In total the estimates were base</w:t>
      </w:r>
      <w:r w:rsidR="009B3F71">
        <w:t xml:space="preserve">d </w:t>
      </w:r>
      <w:r w:rsidR="00B97AD4">
        <w:t>on 103,567 subjects with 2</w:t>
      </w:r>
      <w:r w:rsidR="0015111E">
        <w:t>,</w:t>
      </w:r>
      <w:r w:rsidR="00B97AD4">
        <w:t>509 cases of open angle glaucoma.  Fiv</w:t>
      </w:r>
      <w:r w:rsidR="0015111E">
        <w:t>e year age groups from age 30-</w:t>
      </w:r>
      <w:r w:rsidR="00B97AD4">
        <w:t xml:space="preserve">90 years and white, black and Asian ethnic groups </w:t>
      </w:r>
      <w:r w:rsidR="00807BC4">
        <w:t xml:space="preserve">were considered.  The </w:t>
      </w:r>
      <w:r w:rsidR="00B97AD4">
        <w:t xml:space="preserve">model authors added estimates </w:t>
      </w:r>
      <w:r w:rsidR="00807BC4">
        <w:t xml:space="preserve">for mixed and other races based on population weighted averages of white, black and Asian prevalences.  The model also looked at glaucoma suspects and ocular hypertension but these groups were not considered in this profile. </w:t>
      </w:r>
      <w:r w:rsidR="00BF5AFF">
        <w:t>The quality of the studies used in the meta</w:t>
      </w:r>
      <w:r w:rsidR="009B3F71">
        <w:t>-</w:t>
      </w:r>
      <w:r w:rsidR="00BF5AFF">
        <w:t>analysis is no</w:t>
      </w:r>
      <w:r w:rsidR="00F40A14">
        <w:t>t</w:t>
      </w:r>
      <w:r w:rsidR="00BF5AFF">
        <w:t xml:space="preserve"> known but there </w:t>
      </w:r>
      <w:r w:rsidR="00BF5AFF">
        <w:lastRenderedPageBreak/>
        <w:t xml:space="preserve">were a large number of subjects and extrapolation to estimate prevalence in other age groups was not needed for the glaucoma model. </w:t>
      </w:r>
    </w:p>
    <w:p w:rsidR="00AC53E4" w:rsidRDefault="00100C11" w:rsidP="00100C11">
      <w:r>
        <w:t xml:space="preserve">For </w:t>
      </w:r>
      <w:r w:rsidR="00BE6038">
        <w:t>cataracts</w:t>
      </w:r>
      <w:r>
        <w:t>,</w:t>
      </w:r>
      <w:r w:rsidR="00B308CA">
        <w:t xml:space="preserve"> the model was designed to estimate </w:t>
      </w:r>
      <w:r w:rsidR="006D0F86">
        <w:t xml:space="preserve">the prevalence of </w:t>
      </w:r>
      <w:r w:rsidR="00BE6038">
        <w:t>cataracts</w:t>
      </w:r>
      <w:r w:rsidR="006D0F86">
        <w:t xml:space="preserve"> which were affecting a person’s vision enough to benefit from surgery</w:t>
      </w:r>
      <w:r w:rsidR="00E71749">
        <w:t xml:space="preserve">.  The model made use of two epidemiological studies which differed considerably in their prevalence estimates.  The first study by McCarty et al </w:t>
      </w:r>
      <w:r w:rsidR="009B3F71">
        <w:t>(</w:t>
      </w:r>
      <w:r w:rsidR="00E71749">
        <w:t>1999</w:t>
      </w:r>
      <w:r w:rsidR="009B3F71">
        <w:t xml:space="preserve">) </w:t>
      </w:r>
      <w:r w:rsidR="00E71749">
        <w:t>was based on 3</w:t>
      </w:r>
      <w:r w:rsidR="009B3F71">
        <w:t>,</w:t>
      </w:r>
      <w:r w:rsidR="00E71749">
        <w:t>271 people</w:t>
      </w:r>
      <w:r w:rsidR="009C4A24">
        <w:t xml:space="preserve"> aged</w:t>
      </w:r>
      <w:r w:rsidR="00E71749">
        <w:t xml:space="preserve"> </w:t>
      </w:r>
      <w:r w:rsidR="00882063">
        <w:t xml:space="preserve">40 years and over </w:t>
      </w:r>
      <w:r w:rsidR="00E71749">
        <w:t xml:space="preserve">in Melbourne, Australia.  It defined prevalence of </w:t>
      </w:r>
      <w:r w:rsidR="00BE6038">
        <w:t>cataracts</w:t>
      </w:r>
      <w:r w:rsidR="009C4A24">
        <w:t xml:space="preserve"> by self defined </w:t>
      </w:r>
      <w:r w:rsidR="00E71749">
        <w:t xml:space="preserve">presence of </w:t>
      </w:r>
      <w:r w:rsidR="00BE6038">
        <w:t>cataracts</w:t>
      </w:r>
      <w:r w:rsidR="00E71749">
        <w:t xml:space="preserve"> in one or both </w:t>
      </w:r>
      <w:r w:rsidR="00D8724C">
        <w:t>eye</w:t>
      </w:r>
      <w:r w:rsidR="009C4A24">
        <w:t xml:space="preserve">s and </w:t>
      </w:r>
      <w:r w:rsidR="00E71749">
        <w:t xml:space="preserve">dissatisfaction with vision </w:t>
      </w:r>
      <w:r w:rsidR="007604C6">
        <w:t>(</w:t>
      </w:r>
      <w:r w:rsidR="009C4A24" w:rsidRPr="00D54B6B">
        <w:t xml:space="preserve">National </w:t>
      </w:r>
      <w:r w:rsidR="009C4A24">
        <w:t>Eye</w:t>
      </w:r>
      <w:r w:rsidR="009C4A24" w:rsidRPr="00D54B6B">
        <w:t xml:space="preserve"> Health Epidemiological Model</w:t>
      </w:r>
      <w:r w:rsidR="009C4A24">
        <w:t xml:space="preserve">, </w:t>
      </w:r>
      <w:r w:rsidR="007604C6">
        <w:t xml:space="preserve">2010).  </w:t>
      </w:r>
      <w:r w:rsidR="00E71749">
        <w:t xml:space="preserve">Although they excluded people who had previously had </w:t>
      </w:r>
      <w:r w:rsidR="00BE6038">
        <w:t>cataract</w:t>
      </w:r>
      <w:r w:rsidR="00E71749">
        <w:t xml:space="preserve"> surgery in both </w:t>
      </w:r>
      <w:r w:rsidR="00D8724C">
        <w:t>eye</w:t>
      </w:r>
      <w:r w:rsidR="00E71749">
        <w:t xml:space="preserve">s, </w:t>
      </w:r>
      <w:r w:rsidR="000662D9">
        <w:t xml:space="preserve">the definitions of </w:t>
      </w:r>
      <w:r w:rsidR="00BE6038">
        <w:t>cataracts</w:t>
      </w:r>
      <w:r w:rsidR="000662D9">
        <w:t xml:space="preserve"> and dissatisfaction with vision were self defined and therefore may not have been clinically diagnosed </w:t>
      </w:r>
      <w:r w:rsidR="00BE6038">
        <w:t>cataracts</w:t>
      </w:r>
      <w:r w:rsidR="000662D9">
        <w:t xml:space="preserve"> </w:t>
      </w:r>
      <w:r w:rsidR="007604C6">
        <w:t xml:space="preserve">and there may have been other reasons for dissatisfaction with vision such as refractive errors. The high estimates of </w:t>
      </w:r>
      <w:r w:rsidR="00BE6038">
        <w:t>cataracts</w:t>
      </w:r>
      <w:r w:rsidR="007604C6">
        <w:t xml:space="preserve"> may also have been due to the population studied.  The Australian population would be exposed to more sunlight than the UK population which may account for the high prevalence of </w:t>
      </w:r>
      <w:r w:rsidR="00BE6038">
        <w:t>cataracts</w:t>
      </w:r>
      <w:r w:rsidR="007604C6">
        <w:t xml:space="preserve"> compared to the UK study by Frost et al </w:t>
      </w:r>
      <w:r w:rsidR="009C4A24">
        <w:t>(</w:t>
      </w:r>
      <w:r w:rsidR="007604C6">
        <w:t>2001</w:t>
      </w:r>
      <w:r w:rsidR="009C4A24">
        <w:t xml:space="preserve">) </w:t>
      </w:r>
      <w:r w:rsidR="007604C6">
        <w:t xml:space="preserve">which was the second study used in this model.  </w:t>
      </w:r>
      <w:r w:rsidR="001B4FDF">
        <w:t>This study was based on 2</w:t>
      </w:r>
      <w:r w:rsidR="009C4A24">
        <w:t>,</w:t>
      </w:r>
      <w:r w:rsidR="001B4FDF">
        <w:t xml:space="preserve">783 people </w:t>
      </w:r>
      <w:r w:rsidR="00882063">
        <w:t xml:space="preserve">over the age of 55 years </w:t>
      </w:r>
      <w:r w:rsidR="001B4FDF">
        <w:t xml:space="preserve">in Somerset and Avon and the definition of prevalence of </w:t>
      </w:r>
      <w:r w:rsidR="00BE6038">
        <w:t>cataracts</w:t>
      </w:r>
      <w:r w:rsidR="001B4FDF">
        <w:t xml:space="preserve"> used in </w:t>
      </w:r>
      <w:r w:rsidR="00AC53E4">
        <w:t xml:space="preserve">model was self reported poor vision in the affected </w:t>
      </w:r>
      <w:r w:rsidR="00D8724C">
        <w:t>eye</w:t>
      </w:r>
      <w:r w:rsidR="00AC53E4">
        <w:t>, visual acuity 6/6 or worse, vision related quality of life score (VCM&gt;1.0) and posterior sub</w:t>
      </w:r>
      <w:r w:rsidR="00882063">
        <w:t xml:space="preserve">-capsular </w:t>
      </w:r>
      <w:r w:rsidR="00BE6038">
        <w:t>cataract</w:t>
      </w:r>
      <w:r w:rsidR="00882063">
        <w:t xml:space="preserve">, anterior sub-capsular </w:t>
      </w:r>
      <w:r w:rsidR="00BE6038">
        <w:t>cataract</w:t>
      </w:r>
      <w:r w:rsidR="00882063">
        <w:t xml:space="preserve"> or cortical </w:t>
      </w:r>
      <w:r w:rsidR="00BE6038">
        <w:t>cataracts</w:t>
      </w:r>
      <w:r w:rsidR="00882063">
        <w:t xml:space="preserve"> affecting greater than a third of the central lens or nuclear colour greater than 2 or nuc</w:t>
      </w:r>
      <w:r w:rsidR="009C4A24">
        <w:t>lear opalescence greater than 3</w:t>
      </w:r>
      <w:r w:rsidR="00882063">
        <w:t xml:space="preserve">.  Prevalences for the 40-55 year age group were obtained by extrapolation to this age group. The Frost et al prevalences were used in </w:t>
      </w:r>
      <w:r w:rsidR="00343BB3">
        <w:t xml:space="preserve">the model for the lower estimate of </w:t>
      </w:r>
      <w:r w:rsidR="00BE6038">
        <w:t>cataracts</w:t>
      </w:r>
      <w:r w:rsidR="00343BB3">
        <w:t xml:space="preserve"> and the McCarty study pre</w:t>
      </w:r>
      <w:r w:rsidR="00CE2A61">
        <w:t xml:space="preserve">valences for the high estimate.  </w:t>
      </w:r>
    </w:p>
    <w:p w:rsidR="00916D89" w:rsidRDefault="003C2B28" w:rsidP="00991A60">
      <w:r>
        <w:t xml:space="preserve">For </w:t>
      </w:r>
      <w:r w:rsidR="00F40A14">
        <w:t>ARMD</w:t>
      </w:r>
      <w:r w:rsidR="00D62E78">
        <w:t xml:space="preserve">, the </w:t>
      </w:r>
      <w:r w:rsidR="00916D89" w:rsidRPr="003C2B28">
        <w:t xml:space="preserve">aim was to develop a model which provided estimates of the prevalence of dry (geographic) </w:t>
      </w:r>
      <w:r w:rsidR="00F40A14">
        <w:t xml:space="preserve">ARMD, </w:t>
      </w:r>
      <w:r w:rsidR="00CB1261">
        <w:t xml:space="preserve">wet (neovascular) </w:t>
      </w:r>
      <w:r w:rsidR="00F40A14">
        <w:t>ARMD</w:t>
      </w:r>
      <w:r w:rsidR="00916D89" w:rsidRPr="003C2B28">
        <w:t xml:space="preserve"> and drusen in England, Scotland and Wales at a country, district, primary care trust and strategic health authority level in women and men aged 50 and over</w:t>
      </w:r>
      <w:r w:rsidR="00991A60">
        <w:t xml:space="preserve">.  The </w:t>
      </w:r>
      <w:r w:rsidR="009C4A24">
        <w:t>i</w:t>
      </w:r>
      <w:r w:rsidR="00991A60">
        <w:t xml:space="preserve">nternational </w:t>
      </w:r>
      <w:r w:rsidR="006E0BC7">
        <w:t xml:space="preserve">ARMD </w:t>
      </w:r>
      <w:r w:rsidR="00991A60">
        <w:t>epidemiological study definitions were used.  These were:</w:t>
      </w:r>
    </w:p>
    <w:p w:rsidR="00991A60" w:rsidRPr="001138EB" w:rsidRDefault="00991A60" w:rsidP="00F40A14">
      <w:pPr>
        <w:pStyle w:val="ListParagraph"/>
        <w:numPr>
          <w:ilvl w:val="0"/>
          <w:numId w:val="30"/>
        </w:numPr>
        <w:shd w:val="clear" w:color="auto" w:fill="FFFFFF"/>
        <w:spacing w:before="100" w:beforeAutospacing="1" w:after="100" w:afterAutospacing="1"/>
        <w:rPr>
          <w:rFonts w:cs="Arial"/>
          <w:szCs w:val="24"/>
        </w:rPr>
      </w:pPr>
      <w:r w:rsidRPr="001138EB">
        <w:rPr>
          <w:szCs w:val="24"/>
        </w:rPr>
        <w:t>Wet ARMD</w:t>
      </w:r>
      <w:r w:rsidR="009C4A24">
        <w:rPr>
          <w:szCs w:val="24"/>
        </w:rPr>
        <w:t>: r</w:t>
      </w:r>
      <w:r w:rsidR="00F40A14">
        <w:rPr>
          <w:szCs w:val="24"/>
        </w:rPr>
        <w:t xml:space="preserve">etinal pigment epithelium (RPE) </w:t>
      </w:r>
      <w:r w:rsidR="009C4A24">
        <w:rPr>
          <w:rFonts w:cs="Arial"/>
          <w:szCs w:val="24"/>
        </w:rPr>
        <w:t>detachments, sub retinal or s</w:t>
      </w:r>
      <w:r w:rsidRPr="001138EB">
        <w:rPr>
          <w:rFonts w:cs="Arial"/>
          <w:szCs w:val="24"/>
        </w:rPr>
        <w:t xml:space="preserve">ub RPE neovascular membranes, epiretinal, intraretinal, sub retinal, or sub pigment epithelial scar/glial tissue or fibrin-like deposits, sub retinal haemorrhages that may be nearly black, bright red, or whitish-yellow and that are not related to other retinal vascular disease, hard exudates (lipids) within the macular area related to any of the above, and not related to any </w:t>
      </w:r>
      <w:r w:rsidR="00F40A14">
        <w:rPr>
          <w:rFonts w:cs="Arial"/>
          <w:szCs w:val="24"/>
        </w:rPr>
        <w:t>other retinal vascular disease</w:t>
      </w:r>
    </w:p>
    <w:p w:rsidR="00991A60" w:rsidRPr="001138EB" w:rsidRDefault="00991A60" w:rsidP="00F40A14">
      <w:pPr>
        <w:pStyle w:val="ListParagraph"/>
        <w:numPr>
          <w:ilvl w:val="0"/>
          <w:numId w:val="30"/>
        </w:numPr>
        <w:shd w:val="clear" w:color="auto" w:fill="FFFFFF"/>
        <w:spacing w:before="100" w:beforeAutospacing="1" w:after="100" w:afterAutospacing="1"/>
        <w:rPr>
          <w:szCs w:val="24"/>
        </w:rPr>
      </w:pPr>
      <w:r w:rsidRPr="001138EB">
        <w:rPr>
          <w:szCs w:val="24"/>
        </w:rPr>
        <w:t>Dry A</w:t>
      </w:r>
      <w:r w:rsidR="00F40A14">
        <w:rPr>
          <w:szCs w:val="24"/>
        </w:rPr>
        <w:t>R</w:t>
      </w:r>
      <w:r w:rsidRPr="001138EB">
        <w:rPr>
          <w:szCs w:val="24"/>
        </w:rPr>
        <w:t>MD</w:t>
      </w:r>
      <w:r w:rsidR="009C4A24">
        <w:rPr>
          <w:szCs w:val="24"/>
        </w:rPr>
        <w:t>: a</w:t>
      </w:r>
      <w:r w:rsidRPr="001138EB">
        <w:rPr>
          <w:szCs w:val="24"/>
        </w:rPr>
        <w:t xml:space="preserve">ny sharply delineated roughly round or oval area of hyperpigmentation or depigmentation or apparent absence of the </w:t>
      </w:r>
      <w:r w:rsidRPr="001138EB">
        <w:rPr>
          <w:szCs w:val="24"/>
        </w:rPr>
        <w:lastRenderedPageBreak/>
        <w:t xml:space="preserve">RPE in which choroidal vessels are more visible than in surrounding areas that must </w:t>
      </w:r>
      <w:r w:rsidR="00F40A14">
        <w:rPr>
          <w:szCs w:val="24"/>
        </w:rPr>
        <w:t>be at least 175 mm in diameter</w:t>
      </w:r>
    </w:p>
    <w:p w:rsidR="00991A60" w:rsidRPr="00991A60" w:rsidRDefault="00991A60" w:rsidP="00F40A14">
      <w:pPr>
        <w:pStyle w:val="ListParagraph"/>
        <w:numPr>
          <w:ilvl w:val="0"/>
          <w:numId w:val="30"/>
        </w:numPr>
      </w:pPr>
      <w:r w:rsidRPr="0010511D">
        <w:t>Drusen</w:t>
      </w:r>
      <w:r w:rsidR="009C4A24">
        <w:t>: d</w:t>
      </w:r>
      <w:r w:rsidRPr="00991A60">
        <w:t xml:space="preserve">iscrete whitish yellowish spots external to the neuroretina or </w:t>
      </w:r>
      <w:r w:rsidR="00F40A14">
        <w:t xml:space="preserve">the </w:t>
      </w:r>
      <w:r w:rsidRPr="00991A60">
        <w:t>RPE. They may be soft and confluent, with indistinct borders. Soft distinct drusen have uniform density with sharp edges, soft indistinct drusen have decreasing density from centre outwards with fuzzy edges. Isolated hard drusen in the absence of any other features outlined above do not characterize ARM</w:t>
      </w:r>
      <w:r w:rsidR="00F40A14">
        <w:t>D</w:t>
      </w:r>
      <w:r w:rsidRPr="00991A60">
        <w:t>.</w:t>
      </w:r>
    </w:p>
    <w:p w:rsidR="00991A60" w:rsidRDefault="00991A60" w:rsidP="0010511D">
      <w:r>
        <w:t xml:space="preserve">The model used data from </w:t>
      </w:r>
      <w:r w:rsidR="0010511D">
        <w:t>the E</w:t>
      </w:r>
      <w:r w:rsidR="00DF18E2">
        <w:t xml:space="preserve">UREYE </w:t>
      </w:r>
      <w:r w:rsidR="0010511D">
        <w:t xml:space="preserve">study </w:t>
      </w:r>
      <w:r w:rsidR="00DF18E2">
        <w:t xml:space="preserve">by Augood </w:t>
      </w:r>
      <w:r w:rsidR="007419BF">
        <w:t xml:space="preserve">et al </w:t>
      </w:r>
      <w:r w:rsidR="00DF18E2">
        <w:t>(</w:t>
      </w:r>
      <w:r w:rsidR="0010511D">
        <w:t>2006</w:t>
      </w:r>
      <w:r w:rsidR="00DF18E2">
        <w:t>)</w:t>
      </w:r>
      <w:r w:rsidR="0010511D">
        <w:t>, a multicentre cross sectional study of over 5</w:t>
      </w:r>
      <w:r w:rsidR="0015111E">
        <w:t>,</w:t>
      </w:r>
      <w:r w:rsidR="0010511D">
        <w:t xml:space="preserve">000 people aged 65 years and over.  The UK was one of the centres included in the study. The </w:t>
      </w:r>
      <w:r w:rsidR="009C4A24">
        <w:t>age specific prevalence of wet ARMD</w:t>
      </w:r>
      <w:r w:rsidR="0010511D">
        <w:t xml:space="preserve">, dry </w:t>
      </w:r>
      <w:r w:rsidR="009C4A24">
        <w:t xml:space="preserve">ARMD </w:t>
      </w:r>
      <w:r w:rsidR="0010511D">
        <w:t xml:space="preserve">and drusen obtained in the study were used in the model. Exponential trends were fitted to the data to obtain prevalence estimates for the 50-65 years age group.  As well as wet and dry </w:t>
      </w:r>
      <w:r w:rsidR="009C4A24">
        <w:t xml:space="preserve">ARMD </w:t>
      </w:r>
      <w:r w:rsidR="0010511D">
        <w:t xml:space="preserve">and drusen, the model also produced the count and </w:t>
      </w:r>
      <w:r w:rsidR="00976E79">
        <w:t>per cent</w:t>
      </w:r>
      <w:r w:rsidR="0010511D">
        <w:t xml:space="preserve"> of </w:t>
      </w:r>
      <w:r w:rsidR="009C4A24">
        <w:t>ARMD</w:t>
      </w:r>
      <w:r w:rsidR="000913F8">
        <w:t xml:space="preserve">, although it is not clear whether this is a combination of wet and dry </w:t>
      </w:r>
      <w:r w:rsidR="009C4A24">
        <w:t xml:space="preserve">ARMD </w:t>
      </w:r>
      <w:r w:rsidR="000913F8">
        <w:t xml:space="preserve">or using estimated prevalence from another study in the model. </w:t>
      </w:r>
    </w:p>
    <w:p w:rsidR="004B7EDA" w:rsidRPr="00991A60" w:rsidRDefault="004B7EDA" w:rsidP="0010511D">
      <w:r>
        <w:t xml:space="preserve">Overall the </w:t>
      </w:r>
      <w:r w:rsidR="009C4A24">
        <w:t xml:space="preserve">NEHEM </w:t>
      </w:r>
      <w:r>
        <w:t>had several limitations</w:t>
      </w:r>
      <w:r w:rsidR="001C3C10">
        <w:t xml:space="preserve"> </w:t>
      </w:r>
      <w:r w:rsidR="002F0E22">
        <w:t>such as modelling for certain age groups (for example the 50-74 year old age group for vision impairment)</w:t>
      </w:r>
      <w:r w:rsidR="001C3C10">
        <w:t xml:space="preserve">, </w:t>
      </w:r>
      <w:r w:rsidR="002F0E22">
        <w:t xml:space="preserve">some unclear definitions </w:t>
      </w:r>
      <w:r w:rsidR="009C4A24">
        <w:t xml:space="preserve">of the conditions (for example </w:t>
      </w:r>
      <w:r w:rsidR="002F0E22">
        <w:t xml:space="preserve">dissatisfaction with vision for cataracts) </w:t>
      </w:r>
      <w:r w:rsidR="006F4E3A">
        <w:t xml:space="preserve">and </w:t>
      </w:r>
      <w:r w:rsidR="002F0E22">
        <w:t xml:space="preserve">not </w:t>
      </w:r>
      <w:r w:rsidR="001C3C10">
        <w:t>including deprivation and other factors such as smoking in any of the models.  However it</w:t>
      </w:r>
      <w:r>
        <w:t xml:space="preserve"> is currently the only way of estimating prevalence of </w:t>
      </w:r>
      <w:r w:rsidR="009C4A24">
        <w:t xml:space="preserve">ARMD </w:t>
      </w:r>
      <w:r>
        <w:t>and vision impairment</w:t>
      </w:r>
      <w:r w:rsidR="009726D9">
        <w:t xml:space="preserve"> in Cwm Taf</w:t>
      </w:r>
      <w:r>
        <w:t xml:space="preserve">.  The prevalence of cataracts and glaucoma can also be estimated using the GP </w:t>
      </w:r>
      <w:r w:rsidR="009C4A24">
        <w:t>a</w:t>
      </w:r>
      <w:r w:rsidR="00CB30E2">
        <w:t>nnual prevalence survey</w:t>
      </w:r>
      <w:r>
        <w:t xml:space="preserve"> data</w:t>
      </w:r>
      <w:r w:rsidR="009C4A24">
        <w:t>.</w:t>
      </w:r>
      <w:r>
        <w:t xml:space="preserve"> </w:t>
      </w:r>
    </w:p>
    <w:p w:rsidR="00FC2BC6" w:rsidRDefault="00FC2BC6" w:rsidP="00D62088">
      <w:pPr>
        <w:autoSpaceDE w:val="0"/>
        <w:autoSpaceDN w:val="0"/>
        <w:adjustRightInd w:val="0"/>
        <w:spacing w:before="0"/>
        <w:rPr>
          <w:rFonts w:ascii="Arial" w:hAnsi="Arial" w:cs="Arial"/>
          <w:sz w:val="21"/>
          <w:szCs w:val="21"/>
          <w:lang w:eastAsia="en-GB"/>
        </w:rPr>
      </w:pPr>
      <w:r>
        <w:t xml:space="preserve"> </w:t>
      </w:r>
    </w:p>
    <w:p w:rsidR="005A34C0" w:rsidRDefault="009D4331" w:rsidP="00C365A1">
      <w:pPr>
        <w:pStyle w:val="Heading3"/>
      </w:pPr>
      <w:bookmarkStart w:id="93" w:name="_Toc291585859"/>
      <w:bookmarkStart w:id="94" w:name="_Toc302293445"/>
      <w:r>
        <w:t xml:space="preserve">GP </w:t>
      </w:r>
      <w:r w:rsidR="00B23218">
        <w:t>a</w:t>
      </w:r>
      <w:r w:rsidR="00CB30E2">
        <w:t>nnual prevalence survey</w:t>
      </w:r>
      <w:bookmarkEnd w:id="93"/>
      <w:bookmarkEnd w:id="94"/>
    </w:p>
    <w:p w:rsidR="00804333" w:rsidRDefault="00804333" w:rsidP="00E17CDB">
      <w:pPr>
        <w:pStyle w:val="ListBullet"/>
      </w:pPr>
    </w:p>
    <w:p w:rsidR="008704DF" w:rsidRDefault="00C66C8B" w:rsidP="00E17CDB">
      <w:pPr>
        <w:pStyle w:val="ListBullet"/>
      </w:pPr>
      <w:r w:rsidRPr="00953579">
        <w:t>The</w:t>
      </w:r>
      <w:r w:rsidR="00E27397" w:rsidRPr="00953579">
        <w:t xml:space="preserve"> GP </w:t>
      </w:r>
      <w:r w:rsidR="009C4A24">
        <w:t>a</w:t>
      </w:r>
      <w:r w:rsidR="00CB30E2">
        <w:t>nnual prevalence survey</w:t>
      </w:r>
      <w:r w:rsidR="00630553">
        <w:t xml:space="preserve"> summarised</w:t>
      </w:r>
      <w:r w:rsidR="00AF4EA2" w:rsidRPr="00953579">
        <w:t xml:space="preserve"> data reported by </w:t>
      </w:r>
      <w:r w:rsidR="00693922">
        <w:t xml:space="preserve">64 </w:t>
      </w:r>
      <w:r w:rsidR="00AF4EA2" w:rsidRPr="00953579">
        <w:t xml:space="preserve">practices </w:t>
      </w:r>
      <w:r w:rsidR="00630553">
        <w:t xml:space="preserve">that </w:t>
      </w:r>
      <w:r w:rsidR="00AF4EA2" w:rsidRPr="00953579">
        <w:t>contribut</w:t>
      </w:r>
      <w:r w:rsidR="00630553">
        <w:t>ed</w:t>
      </w:r>
      <w:r w:rsidR="00AF4EA2" w:rsidRPr="00953579">
        <w:t xml:space="preserve"> to the Weekly Returns Service of the Royal College of General Practitioners. </w:t>
      </w:r>
      <w:r w:rsidR="009C4A24">
        <w:t>Doctors and Practice N</w:t>
      </w:r>
      <w:r w:rsidR="00710E92" w:rsidRPr="00953579">
        <w:t xml:space="preserve">urses in the selected practices </w:t>
      </w:r>
      <w:r w:rsidR="00630553">
        <w:t>we</w:t>
      </w:r>
      <w:r w:rsidR="00710E92" w:rsidRPr="00953579">
        <w:t>re required to enter the morbidity they encounter</w:t>
      </w:r>
      <w:r w:rsidR="00630553">
        <w:t>ed</w:t>
      </w:r>
      <w:r w:rsidR="00710E92" w:rsidRPr="00953579">
        <w:t xml:space="preserve"> at every consultati</w:t>
      </w:r>
      <w:r w:rsidR="00630553">
        <w:t>on. The annual prevalence wa</w:t>
      </w:r>
      <w:r w:rsidR="00710E92" w:rsidRPr="00953579">
        <w:t xml:space="preserve">s </w:t>
      </w:r>
      <w:r w:rsidR="003B12F5">
        <w:t xml:space="preserve">calculated by dividing the number of </w:t>
      </w:r>
      <w:r w:rsidR="00710E92" w:rsidRPr="00953579">
        <w:t>persons registered within the practice</w:t>
      </w:r>
      <w:r w:rsidR="003B12F5">
        <w:t>s</w:t>
      </w:r>
      <w:r w:rsidR="00710E92" w:rsidRPr="00953579">
        <w:t xml:space="preserve"> at the end of the recording year who have been reported with </w:t>
      </w:r>
      <w:r w:rsidR="00356B21" w:rsidRPr="00953579">
        <w:t>the disease in question in the previous twelve months</w:t>
      </w:r>
      <w:r w:rsidR="003B12F5">
        <w:t xml:space="preserve"> by the practi</w:t>
      </w:r>
      <w:r w:rsidR="009C4A24">
        <w:t>ce population either at the mid</w:t>
      </w:r>
      <w:r w:rsidR="003B12F5">
        <w:t>poi</w:t>
      </w:r>
      <w:r w:rsidR="00B15CA1">
        <w:t xml:space="preserve">nt or </w:t>
      </w:r>
      <w:r w:rsidR="009C4A24">
        <w:t>end of the recording year.  Age-</w:t>
      </w:r>
      <w:r w:rsidR="00B15CA1">
        <w:t xml:space="preserve">specific prevalences for </w:t>
      </w:r>
      <w:r w:rsidR="00E71911">
        <w:t>glaucoma</w:t>
      </w:r>
      <w:r w:rsidR="00B15CA1">
        <w:t xml:space="preserve"> and </w:t>
      </w:r>
      <w:r w:rsidR="00BE6038">
        <w:t>cataracts</w:t>
      </w:r>
      <w:r w:rsidR="00B15CA1">
        <w:t xml:space="preserve"> were obtained (</w:t>
      </w:r>
      <w:r w:rsidR="003B12F5" w:rsidRPr="00953579">
        <w:t>Birmingham Research Unit</w:t>
      </w:r>
      <w:r w:rsidR="009C4A24">
        <w:t xml:space="preserve">, </w:t>
      </w:r>
      <w:r w:rsidR="003B12F5" w:rsidRPr="00953579">
        <w:t>2007)</w:t>
      </w:r>
      <w:r w:rsidR="008704DF" w:rsidRPr="00953579">
        <w:t xml:space="preserve">. </w:t>
      </w:r>
      <w:r w:rsidR="00B15CA1">
        <w:t xml:space="preserve"> The prevalence data from the GP </w:t>
      </w:r>
      <w:r w:rsidR="009C4A24">
        <w:t>a</w:t>
      </w:r>
      <w:r w:rsidR="00CB30E2">
        <w:t>nnual prevalence survey</w:t>
      </w:r>
      <w:r w:rsidR="00B15CA1">
        <w:t xml:space="preserve"> only takes into account diagnosed cases of </w:t>
      </w:r>
      <w:r w:rsidR="00E71911">
        <w:t>glaucoma</w:t>
      </w:r>
      <w:r w:rsidR="00B15CA1">
        <w:t xml:space="preserve"> and </w:t>
      </w:r>
      <w:r w:rsidR="00BE6038">
        <w:t>cataracts</w:t>
      </w:r>
      <w:r w:rsidR="00B15CA1">
        <w:t xml:space="preserve"> and also depends on the people diagnosed with these conditions having visited their GP in the previous 12 months.  </w:t>
      </w:r>
    </w:p>
    <w:p w:rsidR="00953579" w:rsidRDefault="00953579" w:rsidP="00C365A1">
      <w:pPr>
        <w:pStyle w:val="Heading3"/>
      </w:pPr>
      <w:bookmarkStart w:id="95" w:name="_Ref283375007"/>
      <w:bookmarkStart w:id="96" w:name="_Toc291585860"/>
      <w:bookmarkStart w:id="97" w:name="_Toc302293446"/>
      <w:r>
        <w:lastRenderedPageBreak/>
        <w:t>Q</w:t>
      </w:r>
      <w:r w:rsidR="009C4A24">
        <w:t xml:space="preserve">uality </w:t>
      </w:r>
      <w:bookmarkEnd w:id="95"/>
      <w:bookmarkEnd w:id="96"/>
      <w:r w:rsidR="00F068AF">
        <w:t>and Outcomes F</w:t>
      </w:r>
      <w:r w:rsidR="009C4A24">
        <w:t>ramework data</w:t>
      </w:r>
      <w:bookmarkEnd w:id="97"/>
    </w:p>
    <w:p w:rsidR="00F80D75" w:rsidRDefault="00F80D75" w:rsidP="00E17CDB">
      <w:pPr>
        <w:pStyle w:val="ListBullet"/>
      </w:pPr>
      <w:r>
        <w:t xml:space="preserve">The </w:t>
      </w:r>
      <w:r w:rsidR="00F068AF">
        <w:t>Quality and Outcomes Framework (</w:t>
      </w:r>
      <w:r w:rsidR="008D2F43">
        <w:t>QOF</w:t>
      </w:r>
      <w:r w:rsidR="00F068AF">
        <w:t>)</w:t>
      </w:r>
      <w:r w:rsidR="008D2F43">
        <w:t xml:space="preserve"> provides financial incentives for good practices related to the GP contract.  These include management of chronic conditions such as diabetes and </w:t>
      </w:r>
      <w:r w:rsidR="00693922">
        <w:t xml:space="preserve">chronic </w:t>
      </w:r>
      <w:r w:rsidR="008D2F43">
        <w:t>heart disease and there are certain indicators that should be met in order to score points.  GP surgeries are paid according to how many points they have scored</w:t>
      </w:r>
      <w:r w:rsidR="00693922">
        <w:t>.  Data is collected using Audit+ software</w:t>
      </w:r>
      <w:r w:rsidR="008D2F43">
        <w:t xml:space="preserve"> (NHS Wales</w:t>
      </w:r>
      <w:r w:rsidR="009C4A24">
        <w:t>,</w:t>
      </w:r>
      <w:r w:rsidR="008D2F43">
        <w:t xml:space="preserve"> 2010).  </w:t>
      </w:r>
    </w:p>
    <w:p w:rsidR="00F40A14" w:rsidRDefault="00F40A14" w:rsidP="00F40A14">
      <w:pPr>
        <w:pStyle w:val="Heading3"/>
      </w:pPr>
      <w:bookmarkStart w:id="98" w:name="_Toc291585861"/>
      <w:bookmarkStart w:id="99" w:name="_Toc302293447"/>
      <w:r>
        <w:t>A</w:t>
      </w:r>
      <w:r w:rsidR="009C4A24">
        <w:t xml:space="preserve">ssociation of </w:t>
      </w:r>
      <w:r>
        <w:t>P</w:t>
      </w:r>
      <w:r w:rsidR="009C4A24">
        <w:t xml:space="preserve">ublic </w:t>
      </w:r>
      <w:r>
        <w:t>H</w:t>
      </w:r>
      <w:r w:rsidR="009C4A24">
        <w:t xml:space="preserve">ealth </w:t>
      </w:r>
      <w:r>
        <w:t>O</w:t>
      </w:r>
      <w:r w:rsidR="009C4A24">
        <w:t>bservatories</w:t>
      </w:r>
      <w:r>
        <w:t xml:space="preserve"> and W</w:t>
      </w:r>
      <w:r w:rsidR="009C4A24">
        <w:t xml:space="preserve">elsh </w:t>
      </w:r>
      <w:r>
        <w:t>H</w:t>
      </w:r>
      <w:r w:rsidR="009C4A24">
        <w:t xml:space="preserve">ealth </w:t>
      </w:r>
      <w:r>
        <w:t>S</w:t>
      </w:r>
      <w:r w:rsidR="009C4A24">
        <w:t>urvey</w:t>
      </w:r>
      <w:r>
        <w:t xml:space="preserve"> data</w:t>
      </w:r>
      <w:bookmarkEnd w:id="98"/>
      <w:bookmarkEnd w:id="99"/>
    </w:p>
    <w:p w:rsidR="00F40A14" w:rsidRPr="00F40A14" w:rsidRDefault="00F40A14" w:rsidP="00F40A14">
      <w:r w:rsidRPr="00F44C24">
        <w:t xml:space="preserve">The Association of Public Health </w:t>
      </w:r>
      <w:r w:rsidR="00D06DF2" w:rsidRPr="00F44C24">
        <w:t>Observatories (APHO) produced a model for the</w:t>
      </w:r>
      <w:r w:rsidRPr="00F44C24">
        <w:t xml:space="preserve"> </w:t>
      </w:r>
      <w:r w:rsidR="00F44C24">
        <w:t xml:space="preserve">2009 </w:t>
      </w:r>
      <w:r w:rsidRPr="00F44C24">
        <w:t>estimate of the prevalence of diagnosed and undiagnosed diabetes</w:t>
      </w:r>
      <w:r w:rsidR="00D06DF2" w:rsidRPr="00F44C24">
        <w:t xml:space="preserve"> in Wales</w:t>
      </w:r>
      <w:r w:rsidRPr="00F44C24">
        <w:t>.</w:t>
      </w:r>
      <w:r w:rsidR="00F44C24">
        <w:t xml:space="preserve"> </w:t>
      </w:r>
      <w:r w:rsidR="00D06DF2" w:rsidRPr="00F44C24">
        <w:t xml:space="preserve"> </w:t>
      </w:r>
      <w:r w:rsidRPr="00F44C24">
        <w:t xml:space="preserve">The Welsh Health Survey </w:t>
      </w:r>
      <w:r w:rsidR="009C4A24" w:rsidRPr="00F44C24">
        <w:t>(WHS)</w:t>
      </w:r>
      <w:r w:rsidR="00F44C24">
        <w:t xml:space="preserve"> 2007-2008</w:t>
      </w:r>
      <w:r w:rsidR="009C4A24" w:rsidRPr="00F44C24">
        <w:t xml:space="preserve"> </w:t>
      </w:r>
      <w:r w:rsidRPr="00F44C24">
        <w:t>was another source of data on the prevalence of diabetes</w:t>
      </w:r>
      <w:r w:rsidR="00EB4947" w:rsidRPr="00F44C24">
        <w:t xml:space="preserve">. </w:t>
      </w:r>
      <w:r w:rsidR="00D06DF2" w:rsidRPr="00F44C24">
        <w:t xml:space="preserve"> The W</w:t>
      </w:r>
      <w:r w:rsidR="009C4A24" w:rsidRPr="00F44C24">
        <w:t xml:space="preserve">HS </w:t>
      </w:r>
      <w:r w:rsidR="00D06DF2" w:rsidRPr="00F44C24">
        <w:t>is a national survey and collects information on self reported lifestyle factors and conditions.</w:t>
      </w:r>
      <w:r w:rsidR="00F44C24">
        <w:t xml:space="preserve">  </w:t>
      </w:r>
      <w:r w:rsidR="00D00902" w:rsidRPr="00F44C24">
        <w:t>These estimates were obtained from the Public Health Wales Observatory Analytical Team.</w:t>
      </w:r>
      <w:r w:rsidR="00D00902">
        <w:t xml:space="preserve"> </w:t>
      </w:r>
      <w:r>
        <w:t xml:space="preserve"> </w:t>
      </w:r>
    </w:p>
    <w:p w:rsidR="00FE509C" w:rsidRDefault="00FE509C" w:rsidP="00307340">
      <w:pPr>
        <w:pStyle w:val="Heading2"/>
      </w:pPr>
      <w:bookmarkStart w:id="100" w:name="_Toc291585862"/>
      <w:bookmarkStart w:id="101" w:name="_Toc302293448"/>
      <w:r>
        <w:t>Data analysis</w:t>
      </w:r>
      <w:bookmarkEnd w:id="100"/>
      <w:bookmarkEnd w:id="101"/>
    </w:p>
    <w:p w:rsidR="00F36BF6" w:rsidRDefault="00F36BF6" w:rsidP="00693922">
      <w:pPr>
        <w:pStyle w:val="Heading3"/>
      </w:pPr>
      <w:bookmarkStart w:id="102" w:name="_Toc291585863"/>
      <w:bookmarkStart w:id="103" w:name="_Toc302293449"/>
      <w:r w:rsidRPr="00693922">
        <w:t xml:space="preserve">National </w:t>
      </w:r>
      <w:r w:rsidR="00D8724C">
        <w:t>Eye</w:t>
      </w:r>
      <w:r w:rsidRPr="00693922">
        <w:t xml:space="preserve"> Health Epidemiological Model</w:t>
      </w:r>
      <w:bookmarkEnd w:id="102"/>
      <w:bookmarkEnd w:id="103"/>
    </w:p>
    <w:p w:rsidR="00B23218" w:rsidRDefault="000C0255" w:rsidP="00916D89">
      <w:r>
        <w:t xml:space="preserve">Using the NEHEM, counts and </w:t>
      </w:r>
      <w:r w:rsidR="00724D8A">
        <w:t>the prevalence</w:t>
      </w:r>
      <w:r>
        <w:t xml:space="preserve"> of </w:t>
      </w:r>
      <w:r w:rsidR="00D00902">
        <w:t xml:space="preserve">vision impairment, </w:t>
      </w:r>
      <w:r w:rsidR="00E71911">
        <w:t>glaucoma</w:t>
      </w:r>
      <w:r>
        <w:t xml:space="preserve">, </w:t>
      </w:r>
      <w:r w:rsidR="00BE6038">
        <w:t>cataracts</w:t>
      </w:r>
      <w:r w:rsidR="00D00902">
        <w:t xml:space="preserve"> and</w:t>
      </w:r>
      <w:r>
        <w:t xml:space="preserve"> ARMD</w:t>
      </w:r>
      <w:r w:rsidR="00D00902">
        <w:t xml:space="preserve"> </w:t>
      </w:r>
      <w:r>
        <w:t>were obtained.</w:t>
      </w:r>
      <w:r w:rsidR="00E27397">
        <w:t xml:space="preserve">  </w:t>
      </w:r>
      <w:r w:rsidR="00916D89" w:rsidRPr="00D54B6B">
        <w:t>The m</w:t>
      </w:r>
      <w:r w:rsidR="00630553">
        <w:t>odels applied</w:t>
      </w:r>
      <w:r w:rsidR="00916D89" w:rsidRPr="00D54B6B">
        <w:t xml:space="preserve"> age</w:t>
      </w:r>
      <w:r w:rsidR="00D00902">
        <w:t xml:space="preserve">, </w:t>
      </w:r>
      <w:r w:rsidR="00916D89" w:rsidRPr="00D54B6B">
        <w:t>sex</w:t>
      </w:r>
      <w:r w:rsidR="00D00902">
        <w:t xml:space="preserve"> and </w:t>
      </w:r>
      <w:r w:rsidR="00DC6A68">
        <w:t xml:space="preserve">ethnic group </w:t>
      </w:r>
      <w:r w:rsidR="00916D89" w:rsidRPr="00D54B6B">
        <w:t>specific prevalence rate estimates</w:t>
      </w:r>
      <w:r w:rsidR="00D00902">
        <w:t xml:space="preserve"> </w:t>
      </w:r>
      <w:r w:rsidR="00916D89" w:rsidRPr="00D54B6B">
        <w:t xml:space="preserve">to 2001 Census resident populations. </w:t>
      </w:r>
      <w:r w:rsidR="00B23218">
        <w:t xml:space="preserve"> </w:t>
      </w:r>
    </w:p>
    <w:p w:rsidR="00916D89" w:rsidRDefault="00B23218" w:rsidP="00916D89">
      <w:r>
        <w:t>The NEHEM calculated</w:t>
      </w:r>
      <w:r w:rsidR="00724D8A">
        <w:t xml:space="preserve"> the prevalence </w:t>
      </w:r>
      <w:r>
        <w:t>of these conditions for the population aged 30 and over for glaucoma, the population aged 40 and over for cataracts and the population aged 50 years and over for vis</w:t>
      </w:r>
      <w:r w:rsidR="008F47C3">
        <w:t>ion</w:t>
      </w:r>
      <w:r>
        <w:t xml:space="preserve"> impairment and ARMD.</w:t>
      </w:r>
    </w:p>
    <w:p w:rsidR="003B7897" w:rsidRDefault="003B7897" w:rsidP="003B7897">
      <w:pPr>
        <w:autoSpaceDE w:val="0"/>
        <w:autoSpaceDN w:val="0"/>
        <w:adjustRightInd w:val="0"/>
        <w:spacing w:before="0"/>
      </w:pPr>
    </w:p>
    <w:p w:rsidR="003B7897" w:rsidRDefault="00724D8A" w:rsidP="003B7897">
      <w:pPr>
        <w:autoSpaceDE w:val="0"/>
        <w:autoSpaceDN w:val="0"/>
        <w:adjustRightInd w:val="0"/>
        <w:spacing w:before="0"/>
      </w:pPr>
      <w:r>
        <w:t>I</w:t>
      </w:r>
      <w:r w:rsidR="00630553">
        <w:t>t was</w:t>
      </w:r>
      <w:r w:rsidR="003B7897">
        <w:t xml:space="preserve"> also possible to input population data into the model to obtain more </w:t>
      </w:r>
      <w:r w:rsidR="00D00902">
        <w:t xml:space="preserve">recent </w:t>
      </w:r>
      <w:r w:rsidR="003B7897">
        <w:t xml:space="preserve">estimates of prevalence of the main </w:t>
      </w:r>
      <w:r w:rsidR="00D8724C">
        <w:t>eye</w:t>
      </w:r>
      <w:r w:rsidR="003B7897">
        <w:t xml:space="preserve"> conditions, </w:t>
      </w:r>
      <w:r>
        <w:t xml:space="preserve">so </w:t>
      </w:r>
      <w:r w:rsidR="003B7897">
        <w:t xml:space="preserve">2009 population data </w:t>
      </w:r>
      <w:r>
        <w:t xml:space="preserve">was </w:t>
      </w:r>
      <w:r w:rsidR="003B7897">
        <w:t xml:space="preserve">used.  However although the </w:t>
      </w:r>
      <w:r w:rsidR="00E16BA3">
        <w:t>mid-year</w:t>
      </w:r>
      <w:r w:rsidR="003B7897">
        <w:t xml:space="preserve"> population estimates </w:t>
      </w:r>
      <w:r w:rsidR="00D00902">
        <w:t xml:space="preserve">were </w:t>
      </w:r>
      <w:r w:rsidR="003B7897">
        <w:t xml:space="preserve">available by age and sex break down, the proportion in the different ethnic groups </w:t>
      </w:r>
      <w:r w:rsidR="00D00902">
        <w:t xml:space="preserve">was </w:t>
      </w:r>
      <w:r w:rsidR="003B7897">
        <w:t>not available</w:t>
      </w:r>
      <w:r w:rsidR="00DF18E2">
        <w:t xml:space="preserve"> (Welsh Assembly Government, 2010a).</w:t>
      </w:r>
    </w:p>
    <w:p w:rsidR="000C0255" w:rsidRDefault="00E816E7" w:rsidP="000C0255">
      <w:r>
        <w:t>Using 2009</w:t>
      </w:r>
      <w:r w:rsidR="00916D89">
        <w:t xml:space="preserve"> </w:t>
      </w:r>
      <w:r>
        <w:t xml:space="preserve">data, count and </w:t>
      </w:r>
      <w:r w:rsidR="00724D8A">
        <w:t xml:space="preserve">prevalence </w:t>
      </w:r>
      <w:r>
        <w:t xml:space="preserve">estimates </w:t>
      </w:r>
      <w:r w:rsidR="00916D89">
        <w:t>for</w:t>
      </w:r>
      <w:r>
        <w:t xml:space="preserve"> </w:t>
      </w:r>
      <w:r w:rsidR="00DF18E2">
        <w:t xml:space="preserve">vision impairment, glaucoma, cataracts and ARMD </w:t>
      </w:r>
      <w:r>
        <w:t>were obtained for</w:t>
      </w:r>
      <w:r w:rsidR="00916D89">
        <w:t xml:space="preserve"> Wales, Cwm Taf, Rhondda Cynon Taf, Merthyr Tydfil and the nine Cwm Taf USOAs</w:t>
      </w:r>
      <w:r>
        <w:t xml:space="preserve">.  As </w:t>
      </w:r>
      <w:r w:rsidR="00E27397">
        <w:t xml:space="preserve">the 2009 </w:t>
      </w:r>
      <w:r w:rsidR="00E16BA3">
        <w:t>mid-year</w:t>
      </w:r>
      <w:r w:rsidR="00E27397">
        <w:t xml:space="preserve"> population estimates were not available by ethnic group</w:t>
      </w:r>
      <w:r>
        <w:t xml:space="preserve">, </w:t>
      </w:r>
      <w:r w:rsidR="00E27397">
        <w:t xml:space="preserve">all the population data was entered </w:t>
      </w:r>
      <w:r w:rsidR="00F44C24">
        <w:t xml:space="preserve">as ethnic group </w:t>
      </w:r>
      <w:r w:rsidR="008704DF">
        <w:t>white</w:t>
      </w:r>
      <w:r w:rsidR="00916D89">
        <w:t>.  Since</w:t>
      </w:r>
      <w:r w:rsidR="008704DF">
        <w:t xml:space="preserve"> 98.2</w:t>
      </w:r>
      <w:r w:rsidR="00CB30E2">
        <w:t xml:space="preserve"> </w:t>
      </w:r>
      <w:r w:rsidR="00976E79">
        <w:t>per cent</w:t>
      </w:r>
      <w:r w:rsidR="00E27397">
        <w:t xml:space="preserve"> of the p</w:t>
      </w:r>
      <w:r w:rsidR="00916D89">
        <w:t>opulation in Cwm Taf is white,</w:t>
      </w:r>
      <w:r w:rsidR="00E27397">
        <w:t xml:space="preserve"> it is not anticipated that this would make a </w:t>
      </w:r>
      <w:r w:rsidR="00916D89">
        <w:t>great</w:t>
      </w:r>
      <w:r w:rsidR="00E27397">
        <w:t xml:space="preserve"> difference to the prevalence</w:t>
      </w:r>
      <w:r w:rsidR="00D00902">
        <w:t xml:space="preserve">s obtained </w:t>
      </w:r>
      <w:r w:rsidR="00E27397">
        <w:t xml:space="preserve">although they </w:t>
      </w:r>
      <w:r w:rsidR="00E27397">
        <w:lastRenderedPageBreak/>
        <w:t xml:space="preserve">may be an underestimate as some conditions are more prevalent in </w:t>
      </w:r>
      <w:r w:rsidR="00630553">
        <w:t xml:space="preserve">black and minority </w:t>
      </w:r>
      <w:r w:rsidR="00E27397">
        <w:t xml:space="preserve">ethnic groups. </w:t>
      </w:r>
    </w:p>
    <w:p w:rsidR="00BE6038" w:rsidRDefault="00BE6038" w:rsidP="00BE6038">
      <w:pPr>
        <w:autoSpaceDE w:val="0"/>
        <w:autoSpaceDN w:val="0"/>
        <w:adjustRightInd w:val="0"/>
        <w:spacing w:before="0"/>
      </w:pPr>
    </w:p>
    <w:p w:rsidR="00BE6038" w:rsidRDefault="00BE6038" w:rsidP="00BE6038">
      <w:pPr>
        <w:autoSpaceDE w:val="0"/>
        <w:autoSpaceDN w:val="0"/>
        <w:adjustRightInd w:val="0"/>
        <w:spacing w:before="0"/>
      </w:pPr>
      <w:r>
        <w:t xml:space="preserve">To compare Merthyr Tydfil and Rhondda Cynon Taf with other </w:t>
      </w:r>
      <w:r w:rsidR="00630553">
        <w:t>l</w:t>
      </w:r>
      <w:r w:rsidR="009726D9">
        <w:t>ocal</w:t>
      </w:r>
      <w:r w:rsidR="00F435D0">
        <w:t xml:space="preserve"> </w:t>
      </w:r>
      <w:r w:rsidR="007B32C7">
        <w:t>authorities</w:t>
      </w:r>
      <w:r>
        <w:t xml:space="preserve"> in Wales, 2001 population data was more appropriate to use as there is a higher proportion of people in black and ethnic minority groups in some </w:t>
      </w:r>
      <w:r w:rsidR="00630553">
        <w:t>l</w:t>
      </w:r>
      <w:r w:rsidR="009726D9">
        <w:t>ocal</w:t>
      </w:r>
      <w:r w:rsidR="00F435D0">
        <w:t xml:space="preserve"> </w:t>
      </w:r>
      <w:r w:rsidR="007B32C7">
        <w:t>authorities</w:t>
      </w:r>
      <w:r>
        <w:t xml:space="preserve">, for example in Cardiff where the </w:t>
      </w:r>
      <w:r w:rsidR="00C17C0B">
        <w:t xml:space="preserve">estimated </w:t>
      </w:r>
      <w:r>
        <w:t xml:space="preserve">proportion </w:t>
      </w:r>
      <w:r w:rsidR="00C17C0B">
        <w:t>in 2007 wa</w:t>
      </w:r>
      <w:r>
        <w:t xml:space="preserve">s </w:t>
      </w:r>
      <w:r w:rsidR="00C17C0B">
        <w:t>10</w:t>
      </w:r>
      <w:r w:rsidR="00CB30E2">
        <w:t xml:space="preserve"> </w:t>
      </w:r>
      <w:r w:rsidR="00976E79">
        <w:t>per cent</w:t>
      </w:r>
      <w:r>
        <w:t xml:space="preserve"> </w:t>
      </w:r>
      <w:r w:rsidR="00C17C0B">
        <w:t>(</w:t>
      </w:r>
      <w:r w:rsidR="00013464">
        <w:t>W</w:t>
      </w:r>
      <w:r w:rsidR="00F44C24">
        <w:t xml:space="preserve">elsh </w:t>
      </w:r>
      <w:r w:rsidR="00013464">
        <w:t>A</w:t>
      </w:r>
      <w:r w:rsidR="00F44C24">
        <w:t xml:space="preserve">ssembly </w:t>
      </w:r>
      <w:r w:rsidR="00013464">
        <w:t>G</w:t>
      </w:r>
      <w:r w:rsidR="00F44C24">
        <w:t>overnment,</w:t>
      </w:r>
      <w:r w:rsidR="00C17C0B">
        <w:t xml:space="preserve"> 2010a). </w:t>
      </w:r>
    </w:p>
    <w:p w:rsidR="000C0255" w:rsidRPr="00953579" w:rsidRDefault="000C0255" w:rsidP="00693922">
      <w:pPr>
        <w:pStyle w:val="Heading3"/>
      </w:pPr>
      <w:bookmarkStart w:id="104" w:name="_Toc291585864"/>
      <w:bookmarkStart w:id="105" w:name="_Toc302293450"/>
      <w:r w:rsidRPr="00953579">
        <w:t xml:space="preserve">GP </w:t>
      </w:r>
      <w:r w:rsidR="00F44C24">
        <w:t>a</w:t>
      </w:r>
      <w:r w:rsidR="00CB30E2">
        <w:t>nnual prevalence survey</w:t>
      </w:r>
      <w:bookmarkEnd w:id="104"/>
      <w:bookmarkEnd w:id="105"/>
      <w:r w:rsidR="00AE4A4E" w:rsidRPr="00953579">
        <w:t xml:space="preserve"> </w:t>
      </w:r>
    </w:p>
    <w:p w:rsidR="00AE4A4E" w:rsidRPr="00953579" w:rsidRDefault="00F44C24" w:rsidP="00E17CDB">
      <w:pPr>
        <w:pStyle w:val="ListBullet"/>
      </w:pPr>
      <w:r>
        <w:t>Age-</w:t>
      </w:r>
      <w:r w:rsidR="00AE4A4E" w:rsidRPr="00953579">
        <w:t xml:space="preserve">specific prevalence rates </w:t>
      </w:r>
      <w:r w:rsidR="00693922">
        <w:t xml:space="preserve">obtained from the GP </w:t>
      </w:r>
      <w:r>
        <w:t>a</w:t>
      </w:r>
      <w:r w:rsidR="00CB30E2">
        <w:t>nnual prevalence survey</w:t>
      </w:r>
      <w:r w:rsidR="00E27397" w:rsidRPr="00953579">
        <w:t xml:space="preserve"> were applied to the 2009 population of </w:t>
      </w:r>
      <w:r w:rsidR="0029423C" w:rsidRPr="00953579">
        <w:t>Merthyr Tydfil, Rhon</w:t>
      </w:r>
      <w:r w:rsidR="00332D89" w:rsidRPr="00953579">
        <w:t>dda Cynon Taf, Cwm Taf and Wales.</w:t>
      </w:r>
      <w:r w:rsidR="00CD6A09">
        <w:t xml:space="preserve">  Estimated numbers were obtained and divided by the total population</w:t>
      </w:r>
      <w:r w:rsidR="00724D8A">
        <w:t xml:space="preserve"> to obtain a prevalence of these conditions in Cwm Taf.  The estimated number of cases</w:t>
      </w:r>
      <w:r w:rsidR="00CD6A09">
        <w:t xml:space="preserve"> </w:t>
      </w:r>
      <w:r w:rsidR="00724D8A">
        <w:t xml:space="preserve">of glaucoma in people aged 30 years and over was </w:t>
      </w:r>
      <w:r w:rsidR="00CD6A09">
        <w:t xml:space="preserve">divided by the population </w:t>
      </w:r>
      <w:r w:rsidR="0015111E">
        <w:t xml:space="preserve">aged </w:t>
      </w:r>
      <w:r w:rsidR="00CD6A09">
        <w:t>30 years</w:t>
      </w:r>
      <w:r w:rsidR="0015111E">
        <w:t xml:space="preserve"> and over</w:t>
      </w:r>
      <w:r w:rsidR="00CD6A09">
        <w:t xml:space="preserve"> and </w:t>
      </w:r>
      <w:r w:rsidR="00724D8A">
        <w:t xml:space="preserve">the number of cases of cataracts in people aged 40 years and over was divided by the </w:t>
      </w:r>
      <w:r w:rsidR="00CD6A09">
        <w:t xml:space="preserve">population </w:t>
      </w:r>
      <w:r w:rsidR="0015111E">
        <w:t xml:space="preserve">aged </w:t>
      </w:r>
      <w:r w:rsidR="00CD6A09">
        <w:t>40 years</w:t>
      </w:r>
      <w:r w:rsidR="0015111E">
        <w:t xml:space="preserve"> and over</w:t>
      </w:r>
      <w:r w:rsidR="00CD6A09">
        <w:t xml:space="preserve"> </w:t>
      </w:r>
      <w:r w:rsidR="00724D8A">
        <w:t>in order to compare these estimates with NEHEM prevalences</w:t>
      </w:r>
      <w:r w:rsidR="009726D9">
        <w:t>.</w:t>
      </w:r>
    </w:p>
    <w:p w:rsidR="00AC1C56" w:rsidRDefault="00DE1062" w:rsidP="00693922">
      <w:pPr>
        <w:pStyle w:val="Heading3"/>
      </w:pPr>
      <w:bookmarkStart w:id="106" w:name="_Toc291585865"/>
      <w:bookmarkStart w:id="107" w:name="_Toc302293451"/>
      <w:r w:rsidRPr="00953579">
        <w:t>Q</w:t>
      </w:r>
      <w:r w:rsidR="00F44C24">
        <w:t xml:space="preserve">uality and </w:t>
      </w:r>
      <w:r w:rsidRPr="00953579">
        <w:t>O</w:t>
      </w:r>
      <w:r w:rsidR="00F44C24">
        <w:t xml:space="preserve">utcomes </w:t>
      </w:r>
      <w:r w:rsidRPr="00953579">
        <w:t>F</w:t>
      </w:r>
      <w:r w:rsidR="00F44C24">
        <w:t>ramework</w:t>
      </w:r>
      <w:r w:rsidRPr="00953579">
        <w:t xml:space="preserve"> data</w:t>
      </w:r>
      <w:bookmarkEnd w:id="106"/>
      <w:bookmarkEnd w:id="107"/>
    </w:p>
    <w:p w:rsidR="00D00902" w:rsidRDefault="00D00902" w:rsidP="00D00902">
      <w:pPr>
        <w:spacing w:before="0"/>
        <w:rPr>
          <w:lang w:eastAsia="en-GB"/>
        </w:rPr>
      </w:pPr>
    </w:p>
    <w:p w:rsidR="00D00902" w:rsidRDefault="00D00902" w:rsidP="00D00902">
      <w:pPr>
        <w:spacing w:before="0"/>
        <w:rPr>
          <w:lang w:eastAsia="en-GB"/>
        </w:rPr>
      </w:pPr>
      <w:r>
        <w:rPr>
          <w:lang w:eastAsia="en-GB"/>
        </w:rPr>
        <w:t>There is no model that estimates the prevalence of diabetic retinopathy</w:t>
      </w:r>
      <w:r w:rsidR="00C56101">
        <w:rPr>
          <w:lang w:eastAsia="en-GB"/>
        </w:rPr>
        <w:t xml:space="preserve">.  </w:t>
      </w:r>
      <w:r w:rsidR="00C56101">
        <w:t>The Royal College of Ophthalmologists stated that of people known to have diabetes, around 10-13</w:t>
      </w:r>
      <w:r w:rsidR="00CB30E2">
        <w:t xml:space="preserve"> </w:t>
      </w:r>
      <w:r w:rsidR="00976E79">
        <w:t>per cent</w:t>
      </w:r>
      <w:r w:rsidR="00C56101">
        <w:t xml:space="preserve"> have sight threatening diabetic retinopathy (Royal College of Ophthalmologists</w:t>
      </w:r>
      <w:r w:rsidR="00F44C24">
        <w:t>,</w:t>
      </w:r>
      <w:r w:rsidR="00C56101">
        <w:t xml:space="preserve"> </w:t>
      </w:r>
      <w:r w:rsidR="00137D69">
        <w:t>2005</w:t>
      </w:r>
      <w:r w:rsidR="00C56101">
        <w:t xml:space="preserve">). </w:t>
      </w:r>
      <w:r w:rsidR="006D2374">
        <w:t xml:space="preserve"> </w:t>
      </w:r>
      <w:r w:rsidR="00C56101">
        <w:rPr>
          <w:lang w:eastAsia="en-GB"/>
        </w:rPr>
        <w:t>T</w:t>
      </w:r>
      <w:r>
        <w:rPr>
          <w:lang w:eastAsia="en-GB"/>
        </w:rPr>
        <w:t>he prevalence of diabetes can give an indication of which areas are likely to have a higher prevalence of diabetic retinopathy.</w:t>
      </w:r>
    </w:p>
    <w:p w:rsidR="002E1FB8" w:rsidRDefault="00B15CA1" w:rsidP="00693922">
      <w:r>
        <w:t>Data from 2009</w:t>
      </w:r>
      <w:r w:rsidR="00D00902">
        <w:t xml:space="preserve"> to </w:t>
      </w:r>
      <w:r>
        <w:t xml:space="preserve">2010 from indicators related to diabetes in the </w:t>
      </w:r>
      <w:r w:rsidR="00693922">
        <w:t xml:space="preserve">QOF </w:t>
      </w:r>
      <w:r>
        <w:t xml:space="preserve">were analysed. </w:t>
      </w:r>
    </w:p>
    <w:p w:rsidR="00F44C24" w:rsidRDefault="008421CF" w:rsidP="00693922">
      <w:r>
        <w:t>The p</w:t>
      </w:r>
      <w:r w:rsidR="00B15CA1">
        <w:t>revalence</w:t>
      </w:r>
      <w:r>
        <w:t xml:space="preserve"> of diabetes was estimated using </w:t>
      </w:r>
      <w:r w:rsidR="00F44C24">
        <w:t>indicator:</w:t>
      </w:r>
    </w:p>
    <w:p w:rsidR="00693922" w:rsidRDefault="00693922" w:rsidP="00F44C24">
      <w:pPr>
        <w:pStyle w:val="ListParagraph"/>
        <w:numPr>
          <w:ilvl w:val="0"/>
          <w:numId w:val="42"/>
        </w:numPr>
      </w:pPr>
      <w:r>
        <w:t>DM 19</w:t>
      </w:r>
      <w:r w:rsidR="00F44C24">
        <w:t>: t</w:t>
      </w:r>
      <w:r w:rsidRPr="00693922">
        <w:t>he practice can produce a register of all patients aged 17 years and over with diabetes mellitus, which specifies whether the patien</w:t>
      </w:r>
      <w:r w:rsidR="00F44C24">
        <w:t>t has Type 1 or Type 2 diabetes.</w:t>
      </w:r>
    </w:p>
    <w:p w:rsidR="00B64617" w:rsidRDefault="00D00902" w:rsidP="00B64617">
      <w:r>
        <w:t>The proportion of people on the diabetes register with adequate management of diabetes may also give an indication of where there may be a higher prevalence of diabetic retinopathy.  QOF d</w:t>
      </w:r>
      <w:r w:rsidR="002E1FB8">
        <w:t xml:space="preserve">iabetes indicators which demonstrate the </w:t>
      </w:r>
      <w:r w:rsidR="00B64617">
        <w:t>management of diabetes include:</w:t>
      </w:r>
    </w:p>
    <w:p w:rsidR="00B64617" w:rsidRDefault="00B64617" w:rsidP="00F44C24">
      <w:pPr>
        <w:pStyle w:val="ListParagraph"/>
        <w:numPr>
          <w:ilvl w:val="0"/>
          <w:numId w:val="42"/>
        </w:numPr>
      </w:pPr>
      <w:r w:rsidRPr="00B64617">
        <w:t>DM 12</w:t>
      </w:r>
      <w:r>
        <w:t xml:space="preserve">: </w:t>
      </w:r>
      <w:r w:rsidR="00F44C24">
        <w:t>t</w:t>
      </w:r>
      <w:r w:rsidRPr="00B64617">
        <w:t xml:space="preserve">he </w:t>
      </w:r>
      <w:r w:rsidR="00976E79">
        <w:t>per cent</w:t>
      </w:r>
      <w:r w:rsidRPr="00B64617">
        <w:t xml:space="preserve"> of patients with diabetes in whom the last b</w:t>
      </w:r>
      <w:r w:rsidR="00F44C24">
        <w:t>lood pressure is 145/85 or less</w:t>
      </w:r>
    </w:p>
    <w:p w:rsidR="00F44C24" w:rsidRPr="00B64617" w:rsidRDefault="00F44C24" w:rsidP="00F44C24">
      <w:pPr>
        <w:pStyle w:val="ListParagraph"/>
      </w:pPr>
    </w:p>
    <w:p w:rsidR="002E1FB8" w:rsidRDefault="002E1FB8" w:rsidP="00F44C24">
      <w:pPr>
        <w:pStyle w:val="ListParagraph"/>
        <w:numPr>
          <w:ilvl w:val="0"/>
          <w:numId w:val="42"/>
        </w:numPr>
      </w:pPr>
      <w:r w:rsidRPr="00B64617">
        <w:lastRenderedPageBreak/>
        <w:t>DM 23</w:t>
      </w:r>
      <w:r w:rsidR="00B64617">
        <w:t xml:space="preserve">: </w:t>
      </w:r>
      <w:r w:rsidR="00F44C24">
        <w:t>t</w:t>
      </w:r>
      <w:r w:rsidRPr="00B64617">
        <w:t>he</w:t>
      </w:r>
      <w:r w:rsidR="00CB30E2">
        <w:t xml:space="preserve"> </w:t>
      </w:r>
      <w:r w:rsidR="00976E79">
        <w:t>per cent</w:t>
      </w:r>
      <w:r w:rsidRPr="00B64617">
        <w:t xml:space="preserve"> of patients with diabetes in whom the last HbA1c is 7 or less</w:t>
      </w:r>
      <w:r w:rsidR="00F44C24">
        <w:t xml:space="preserve"> in the previous 15 months</w:t>
      </w:r>
    </w:p>
    <w:p w:rsidR="00F44C24" w:rsidRDefault="00F44C24" w:rsidP="00F44C24">
      <w:pPr>
        <w:pStyle w:val="ListParagraph"/>
      </w:pPr>
    </w:p>
    <w:p w:rsidR="002E1FB8" w:rsidRPr="00B64617" w:rsidRDefault="002E1FB8" w:rsidP="00F44C24">
      <w:pPr>
        <w:pStyle w:val="ListParagraph"/>
        <w:numPr>
          <w:ilvl w:val="0"/>
          <w:numId w:val="42"/>
        </w:numPr>
      </w:pPr>
      <w:r w:rsidRPr="00B64617">
        <w:t>DM 25</w:t>
      </w:r>
      <w:r w:rsidR="00F44C24">
        <w:t>: t</w:t>
      </w:r>
      <w:r w:rsidRPr="00B64617">
        <w:t>he</w:t>
      </w:r>
      <w:r w:rsidR="00CB30E2">
        <w:t xml:space="preserve"> </w:t>
      </w:r>
      <w:r w:rsidR="00976E79">
        <w:t>per cent</w:t>
      </w:r>
      <w:r w:rsidRPr="00B64617">
        <w:t xml:space="preserve"> of patients with diabetes in whom the last HbA1c is 9 or less in the previous 15</w:t>
      </w:r>
      <w:r w:rsidR="00B64617" w:rsidRPr="00B64617">
        <w:t xml:space="preserve"> months</w:t>
      </w:r>
    </w:p>
    <w:p w:rsidR="004D2EB1" w:rsidRDefault="004D2EB1" w:rsidP="004D2EB1">
      <w:r>
        <w:t xml:space="preserve">Counts and </w:t>
      </w:r>
      <w:r w:rsidR="00CB30E2">
        <w:t xml:space="preserve"> </w:t>
      </w:r>
      <w:r w:rsidR="00976E79">
        <w:t>per cent</w:t>
      </w:r>
      <w:r>
        <w:t xml:space="preserve">s of people on the diabetes register from </w:t>
      </w:r>
      <w:r w:rsidR="00B64617">
        <w:t>indicator DM 19</w:t>
      </w:r>
      <w:r w:rsidRPr="004D2EB1">
        <w:t xml:space="preserve"> were presented in graphs and on funnel plots to identify areas with unusually high or low levels </w:t>
      </w:r>
      <w:r>
        <w:t>prevalence of diabetes</w:t>
      </w:r>
      <w:r w:rsidRPr="004D2EB1">
        <w:t>.</w:t>
      </w:r>
      <w:r w:rsidR="00B64617">
        <w:t xml:space="preserve">  Funnel plots were used to </w:t>
      </w:r>
      <w:r w:rsidR="002E1FB8">
        <w:t xml:space="preserve">identify areas with unusually high or low levels </w:t>
      </w:r>
      <w:r w:rsidR="00B64617">
        <w:t xml:space="preserve">of DM 12, 23 and 25. </w:t>
      </w:r>
      <w:r w:rsidR="00CD5488">
        <w:t xml:space="preserve"> </w:t>
      </w:r>
    </w:p>
    <w:p w:rsidR="000E5331" w:rsidRPr="00CD5488" w:rsidRDefault="00CE6B54" w:rsidP="004D2EB1">
      <w:r>
        <w:t>Funnel plots</w:t>
      </w:r>
      <w:r w:rsidR="000E5331" w:rsidRPr="00CD5488">
        <w:t xml:space="preserve"> allow many points to be plotted simultaneously, and </w:t>
      </w:r>
      <w:r w:rsidR="00701C7E" w:rsidRPr="00CD5488">
        <w:t xml:space="preserve">they </w:t>
      </w:r>
      <w:r w:rsidR="006E7C84">
        <w:t xml:space="preserve">distinguish </w:t>
      </w:r>
      <w:r w:rsidR="000E5331" w:rsidRPr="00CD5488">
        <w:t>common cause variability</w:t>
      </w:r>
      <w:r w:rsidR="006E7C84">
        <w:t xml:space="preserve"> from </w:t>
      </w:r>
      <w:r w:rsidR="000E5331" w:rsidRPr="00CD5488">
        <w:t xml:space="preserve">special cause variability. </w:t>
      </w:r>
      <w:r w:rsidR="00701C7E" w:rsidRPr="00CD5488">
        <w:t xml:space="preserve"> T</w:t>
      </w:r>
      <w:r w:rsidR="000E5331" w:rsidRPr="00CD5488">
        <w:t xml:space="preserve">he average </w:t>
      </w:r>
      <w:r w:rsidR="00976E79">
        <w:t>per cent</w:t>
      </w:r>
      <w:r w:rsidR="00701C7E" w:rsidRPr="00CD5488">
        <w:t xml:space="preserve"> or rate was calculated </w:t>
      </w:r>
      <w:r w:rsidR="00CD5488" w:rsidRPr="00CD5488">
        <w:t xml:space="preserve">and </w:t>
      </w:r>
      <w:r w:rsidR="000E5331" w:rsidRPr="00CD5488">
        <w:t xml:space="preserve">levels at two and three standard deviations of the mean </w:t>
      </w:r>
      <w:r w:rsidR="00CD5488" w:rsidRPr="00CD5488">
        <w:t xml:space="preserve">were also </w:t>
      </w:r>
      <w:r w:rsidR="000E5331" w:rsidRPr="00CD5488">
        <w:t xml:space="preserve">calculated. The three standard deviation line is commonly used to distinguish between common cause and special cause variation. </w:t>
      </w:r>
      <w:r w:rsidR="00CD5488" w:rsidRPr="00CD5488">
        <w:t xml:space="preserve">Values for each practice were plotted.  </w:t>
      </w:r>
      <w:r w:rsidR="000E5331" w:rsidRPr="00CD5488">
        <w:t>If data were randomly distributed it would be expected that 99.8</w:t>
      </w:r>
      <w:r w:rsidR="006E7C84">
        <w:t xml:space="preserve"> </w:t>
      </w:r>
      <w:r w:rsidR="00976E79">
        <w:t>per cent</w:t>
      </w:r>
      <w:r w:rsidR="000E5331" w:rsidRPr="00CD5488">
        <w:t xml:space="preserve"> of observations would lie within the 3 standard deviation lines</w:t>
      </w:r>
      <w:r w:rsidR="00CD5488">
        <w:t xml:space="preserve"> </w:t>
      </w:r>
      <w:r w:rsidR="000E5331">
        <w:t>(Public Health Wales</w:t>
      </w:r>
      <w:r w:rsidR="006E7C84">
        <w:t>,</w:t>
      </w:r>
      <w:r w:rsidR="000E5331">
        <w:t xml:space="preserve"> 2011).</w:t>
      </w:r>
    </w:p>
    <w:p w:rsidR="006E7C84" w:rsidRDefault="006E7C84" w:rsidP="006E7C84">
      <w:pPr>
        <w:pStyle w:val="Heading3"/>
      </w:pPr>
      <w:bookmarkStart w:id="108" w:name="_Toc302293452"/>
      <w:r>
        <w:t>Association of Public Health Observatories and Welsh Health Survey data</w:t>
      </w:r>
      <w:bookmarkEnd w:id="108"/>
    </w:p>
    <w:p w:rsidR="00D00902" w:rsidRPr="00D00902" w:rsidRDefault="00D00902" w:rsidP="00D00902">
      <w:r>
        <w:t>Prevalence estimates of diabetes from the APHO model and the WHS were presented.</w:t>
      </w:r>
    </w:p>
    <w:p w:rsidR="00617233" w:rsidRPr="00617233" w:rsidRDefault="00FE509C" w:rsidP="00617233">
      <w:pPr>
        <w:pStyle w:val="Heading2"/>
      </w:pPr>
      <w:bookmarkStart w:id="109" w:name="_Toc291585867"/>
      <w:bookmarkStart w:id="110" w:name="_Toc302293453"/>
      <w:r>
        <w:t>Results</w:t>
      </w:r>
      <w:bookmarkEnd w:id="109"/>
      <w:bookmarkEnd w:id="110"/>
    </w:p>
    <w:p w:rsidR="00AC1C56" w:rsidRDefault="00D86E8C" w:rsidP="00307340">
      <w:pPr>
        <w:pStyle w:val="Heading3"/>
      </w:pPr>
      <w:bookmarkStart w:id="111" w:name="_Toc291585868"/>
      <w:bookmarkStart w:id="112" w:name="_Toc302293454"/>
      <w:r>
        <w:t>Vision impairment</w:t>
      </w:r>
      <w:bookmarkEnd w:id="111"/>
      <w:bookmarkEnd w:id="112"/>
    </w:p>
    <w:p w:rsidR="00B67A48" w:rsidRDefault="0056216B" w:rsidP="00110EF5">
      <w:pPr>
        <w:rPr>
          <w:sz w:val="20"/>
        </w:rPr>
      </w:pPr>
      <w:r w:rsidRPr="00630D8B">
        <w:rPr>
          <w:szCs w:val="24"/>
        </w:rPr>
        <w:t>The NEHEM estimates using 2001 census population data are shown in</w:t>
      </w:r>
      <w:r w:rsidR="009D650E">
        <w:rPr>
          <w:szCs w:val="24"/>
        </w:rPr>
        <w:t xml:space="preserve"> Table 3.  </w:t>
      </w:r>
      <w:r w:rsidR="00110EF5">
        <w:rPr>
          <w:szCs w:val="24"/>
        </w:rPr>
        <w:t>This</w:t>
      </w:r>
      <w:r w:rsidRPr="00630D8B">
        <w:rPr>
          <w:szCs w:val="24"/>
        </w:rPr>
        <w:t xml:space="preserve"> shows that the estimate</w:t>
      </w:r>
      <w:r w:rsidR="00630D8B">
        <w:rPr>
          <w:szCs w:val="24"/>
        </w:rPr>
        <w:t xml:space="preserve">d prevalence of </w:t>
      </w:r>
      <w:r w:rsidR="00D86E8C" w:rsidRPr="00630D8B">
        <w:rPr>
          <w:szCs w:val="24"/>
        </w:rPr>
        <w:t xml:space="preserve">all </w:t>
      </w:r>
      <w:r w:rsidRPr="00630D8B">
        <w:rPr>
          <w:szCs w:val="24"/>
        </w:rPr>
        <w:t>vision impairment, low vision and severe sight impairment</w:t>
      </w:r>
      <w:r w:rsidR="00F778EA">
        <w:rPr>
          <w:szCs w:val="24"/>
        </w:rPr>
        <w:t xml:space="preserve"> </w:t>
      </w:r>
      <w:r w:rsidR="00F778EA">
        <w:t xml:space="preserve">in the population </w:t>
      </w:r>
      <w:r w:rsidR="0085672E">
        <w:t xml:space="preserve">aged </w:t>
      </w:r>
      <w:r w:rsidR="00F778EA">
        <w:t>50 years and over</w:t>
      </w:r>
      <w:r w:rsidRPr="00630D8B">
        <w:rPr>
          <w:szCs w:val="24"/>
        </w:rPr>
        <w:t xml:space="preserve"> </w:t>
      </w:r>
      <w:r w:rsidR="00630D8B">
        <w:rPr>
          <w:szCs w:val="24"/>
        </w:rPr>
        <w:t>was</w:t>
      </w:r>
      <w:r w:rsidRPr="00630D8B">
        <w:rPr>
          <w:szCs w:val="24"/>
        </w:rPr>
        <w:t xml:space="preserve"> slightly</w:t>
      </w:r>
      <w:r w:rsidR="0013792D">
        <w:rPr>
          <w:szCs w:val="24"/>
        </w:rPr>
        <w:t xml:space="preserve"> lower</w:t>
      </w:r>
      <w:r w:rsidR="00976E79">
        <w:rPr>
          <w:szCs w:val="24"/>
        </w:rPr>
        <w:t xml:space="preserve"> in Cwm Taf than the</w:t>
      </w:r>
      <w:r w:rsidR="009726D9" w:rsidRPr="00630D8B">
        <w:rPr>
          <w:szCs w:val="24"/>
        </w:rPr>
        <w:t xml:space="preserve"> Wales estimates</w:t>
      </w:r>
      <w:r w:rsidR="0013792D">
        <w:rPr>
          <w:szCs w:val="24"/>
        </w:rPr>
        <w:t xml:space="preserve">. </w:t>
      </w:r>
      <w:bookmarkStart w:id="113" w:name="_Ref283374364"/>
    </w:p>
    <w:p w:rsidR="00B67A48" w:rsidRDefault="00B67A48" w:rsidP="008704DF">
      <w:pPr>
        <w:pStyle w:val="Caption"/>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A91AC4" w:rsidRDefault="00A91AC4" w:rsidP="002C33EF">
      <w:pPr>
        <w:spacing w:before="0"/>
        <w:jc w:val="left"/>
        <w:rPr>
          <w:sz w:val="20"/>
        </w:rPr>
      </w:pPr>
    </w:p>
    <w:p w:rsidR="008704DF" w:rsidRPr="009E7124" w:rsidRDefault="008704DF" w:rsidP="002C33EF">
      <w:pPr>
        <w:spacing w:before="0"/>
        <w:jc w:val="left"/>
        <w:rPr>
          <w:b/>
          <w:sz w:val="20"/>
        </w:rPr>
      </w:pPr>
      <w:bookmarkStart w:id="114" w:name="_Ref301770721"/>
      <w:bookmarkStart w:id="115" w:name="_Toc302293545"/>
      <w:r w:rsidRPr="009E7124">
        <w:rPr>
          <w:b/>
          <w:sz w:val="20"/>
        </w:rPr>
        <w:t xml:space="preserve">Table </w:t>
      </w:r>
      <w:r w:rsidR="001060C2" w:rsidRPr="009E7124">
        <w:rPr>
          <w:b/>
          <w:sz w:val="20"/>
        </w:rPr>
        <w:fldChar w:fldCharType="begin"/>
      </w:r>
      <w:r w:rsidRPr="009E7124">
        <w:rPr>
          <w:b/>
          <w:sz w:val="20"/>
        </w:rPr>
        <w:instrText xml:space="preserve"> SEQ Table \* ARABIC </w:instrText>
      </w:r>
      <w:r w:rsidR="001060C2" w:rsidRPr="009E7124">
        <w:rPr>
          <w:b/>
          <w:sz w:val="20"/>
        </w:rPr>
        <w:fldChar w:fldCharType="separate"/>
      </w:r>
      <w:r w:rsidR="00F96900">
        <w:rPr>
          <w:b/>
          <w:noProof/>
          <w:sz w:val="20"/>
        </w:rPr>
        <w:t>3</w:t>
      </w:r>
      <w:r w:rsidR="001060C2" w:rsidRPr="009E7124">
        <w:rPr>
          <w:b/>
          <w:sz w:val="20"/>
        </w:rPr>
        <w:fldChar w:fldCharType="end"/>
      </w:r>
      <w:bookmarkEnd w:id="113"/>
      <w:bookmarkEnd w:id="114"/>
      <w:r w:rsidR="00110EF5" w:rsidRPr="009E7124">
        <w:rPr>
          <w:b/>
          <w:sz w:val="20"/>
        </w:rPr>
        <w:t>. P</w:t>
      </w:r>
      <w:r w:rsidRPr="009E7124">
        <w:rPr>
          <w:b/>
          <w:sz w:val="20"/>
        </w:rPr>
        <w:t xml:space="preserve">revalence of vision impairment, </w:t>
      </w:r>
      <w:r w:rsidR="00843072" w:rsidRPr="009E7124">
        <w:rPr>
          <w:b/>
          <w:sz w:val="20"/>
        </w:rPr>
        <w:t>2</w:t>
      </w:r>
      <w:r w:rsidRPr="009E7124">
        <w:rPr>
          <w:b/>
          <w:sz w:val="20"/>
        </w:rPr>
        <w:t>001</w:t>
      </w:r>
      <w:bookmarkEnd w:id="115"/>
      <w:r w:rsidRPr="009E7124">
        <w:rPr>
          <w:b/>
          <w:sz w:val="20"/>
        </w:rPr>
        <w:t xml:space="preserve"> </w:t>
      </w:r>
    </w:p>
    <w:p w:rsidR="008704DF" w:rsidRDefault="008704DF" w:rsidP="00E17CDB">
      <w:pPr>
        <w:pStyle w:val="ListBullet"/>
      </w:pPr>
    </w:p>
    <w:p w:rsidR="008704DF" w:rsidRDefault="0013792D" w:rsidP="00E17CDB">
      <w:pPr>
        <w:pStyle w:val="ListBullet"/>
      </w:pPr>
      <w:r>
        <w:rPr>
          <w:noProof/>
          <w:lang w:eastAsia="en-GB"/>
        </w:rPr>
        <w:drawing>
          <wp:inline distT="0" distB="0" distL="0" distR="0">
            <wp:extent cx="5768975" cy="4839257"/>
            <wp:effectExtent l="1905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768975" cy="4839257"/>
                    </a:xfrm>
                    <a:prstGeom prst="rect">
                      <a:avLst/>
                    </a:prstGeom>
                    <a:noFill/>
                    <a:ln w="9525">
                      <a:noFill/>
                      <a:miter lim="800000"/>
                      <a:headEnd/>
                      <a:tailEnd/>
                    </a:ln>
                  </pic:spPr>
                </pic:pic>
              </a:graphicData>
            </a:graphic>
          </wp:inline>
        </w:drawing>
      </w:r>
    </w:p>
    <w:p w:rsidR="000338BD" w:rsidRPr="0041231E" w:rsidRDefault="000338BD" w:rsidP="000338BD">
      <w:r>
        <w:t>Note: Per cents shows are per cents in the population ≥50 years</w:t>
      </w:r>
    </w:p>
    <w:p w:rsidR="008704DF" w:rsidRPr="00110EF5" w:rsidRDefault="009D650E" w:rsidP="008704DF">
      <w:pPr>
        <w:rPr>
          <w:szCs w:val="24"/>
        </w:rPr>
      </w:pPr>
      <w:r>
        <w:t xml:space="preserve">Table 4 </w:t>
      </w:r>
      <w:r w:rsidR="0056216B">
        <w:t xml:space="preserve">shows the </w:t>
      </w:r>
      <w:r w:rsidR="00F778EA">
        <w:t xml:space="preserve">estimated prevalence in the population </w:t>
      </w:r>
      <w:r w:rsidR="0085672E">
        <w:t xml:space="preserve">aged </w:t>
      </w:r>
      <w:r w:rsidR="00F778EA">
        <w:t xml:space="preserve">50 years and over </w:t>
      </w:r>
      <w:r w:rsidR="009726D9">
        <w:t xml:space="preserve">for USOAs in Cwm Taf compared with Wales </w:t>
      </w:r>
      <w:r w:rsidR="0056216B">
        <w:t xml:space="preserve">when 2009 population data </w:t>
      </w:r>
      <w:r w:rsidR="00AB5BA9">
        <w:t xml:space="preserve">were </w:t>
      </w:r>
      <w:r w:rsidR="00D00902">
        <w:t xml:space="preserve">inputted into the </w:t>
      </w:r>
      <w:r w:rsidR="00110EF5">
        <w:t>NEHEM</w:t>
      </w:r>
      <w:r w:rsidR="00AB5BA9">
        <w:t xml:space="preserve">.  </w:t>
      </w:r>
      <w:r w:rsidR="00110EF5">
        <w:t>T</w:t>
      </w:r>
      <w:r w:rsidR="00AB5BA9">
        <w:t>he highest prevalence of all impaired vision and low vision is in USOA RCT04 which is expected due to the higher older population in this area.  The estimated prevalence of severe sight impairment is similar across USOAs in Cwm Taf and in Cwm Taf compared with Wales.  The NEHEM does not take into account deprivation, so the actual prevalence of vision impairment may be higher in some USOAs.</w:t>
      </w:r>
    </w:p>
    <w:p w:rsidR="00123FE0" w:rsidRDefault="008704DF" w:rsidP="008704DF">
      <w:pPr>
        <w:pStyle w:val="Caption"/>
        <w:jc w:val="left"/>
        <w:rPr>
          <w:sz w:val="20"/>
        </w:rPr>
      </w:pPr>
      <w:bookmarkStart w:id="116" w:name="_Ref283374499"/>
      <w:bookmarkStart w:id="117" w:name="_Ref301771825"/>
      <w:bookmarkStart w:id="118" w:name="_Toc302293546"/>
      <w:r w:rsidRPr="00417947">
        <w:rPr>
          <w:sz w:val="20"/>
        </w:rPr>
        <w:lastRenderedPageBreak/>
        <w:t xml:space="preserve">Table </w:t>
      </w:r>
      <w:r w:rsidR="001060C2" w:rsidRPr="00417947">
        <w:rPr>
          <w:sz w:val="20"/>
        </w:rPr>
        <w:fldChar w:fldCharType="begin"/>
      </w:r>
      <w:r w:rsidRPr="00417947">
        <w:rPr>
          <w:sz w:val="20"/>
        </w:rPr>
        <w:instrText xml:space="preserve"> SEQ Table \* ARABIC </w:instrText>
      </w:r>
      <w:r w:rsidR="001060C2" w:rsidRPr="00417947">
        <w:rPr>
          <w:sz w:val="20"/>
        </w:rPr>
        <w:fldChar w:fldCharType="separate"/>
      </w:r>
      <w:r w:rsidR="00F96900">
        <w:rPr>
          <w:noProof/>
          <w:sz w:val="20"/>
        </w:rPr>
        <w:t>4</w:t>
      </w:r>
      <w:r w:rsidR="001060C2" w:rsidRPr="00417947">
        <w:rPr>
          <w:sz w:val="20"/>
        </w:rPr>
        <w:fldChar w:fldCharType="end"/>
      </w:r>
      <w:bookmarkEnd w:id="116"/>
      <w:bookmarkEnd w:id="117"/>
      <w:r w:rsidR="00110EF5" w:rsidRPr="00417947">
        <w:rPr>
          <w:sz w:val="20"/>
        </w:rPr>
        <w:t>. P</w:t>
      </w:r>
      <w:r w:rsidRPr="00417947">
        <w:rPr>
          <w:sz w:val="20"/>
        </w:rPr>
        <w:t>revalence of vision impairment, 2009</w:t>
      </w:r>
      <w:bookmarkEnd w:id="118"/>
    </w:p>
    <w:p w:rsidR="00326113" w:rsidRDefault="00843072" w:rsidP="00326113">
      <w:r>
        <w:rPr>
          <w:noProof/>
          <w:lang w:eastAsia="en-GB"/>
        </w:rPr>
        <w:drawing>
          <wp:inline distT="0" distB="0" distL="0" distR="0">
            <wp:extent cx="5557520" cy="3788410"/>
            <wp:effectExtent l="19050" t="0" r="5080"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5557520" cy="3788410"/>
                    </a:xfrm>
                    <a:prstGeom prst="rect">
                      <a:avLst/>
                    </a:prstGeom>
                    <a:noFill/>
                    <a:ln w="9525">
                      <a:noFill/>
                      <a:miter lim="800000"/>
                      <a:headEnd/>
                      <a:tailEnd/>
                    </a:ln>
                  </pic:spPr>
                </pic:pic>
              </a:graphicData>
            </a:graphic>
          </wp:inline>
        </w:drawing>
      </w:r>
      <w:bookmarkStart w:id="119" w:name="_Toc291585869"/>
      <w:r w:rsidR="000338BD">
        <w:t>Note: Per cents shows are per cents in the population ≥50 years</w:t>
      </w:r>
      <w:bookmarkStart w:id="120" w:name="_Ref284501597"/>
      <w:bookmarkStart w:id="121" w:name="_Toc291585912"/>
      <w:bookmarkStart w:id="122" w:name="_Toc292463289"/>
      <w:bookmarkStart w:id="123" w:name="_Toc302232616"/>
      <w:bookmarkEnd w:id="119"/>
    </w:p>
    <w:p w:rsidR="00326113" w:rsidRDefault="00326113">
      <w:pPr>
        <w:spacing w:before="0"/>
        <w:jc w:val="left"/>
      </w:pPr>
    </w:p>
    <w:p w:rsidR="00326113" w:rsidRDefault="00326113" w:rsidP="00326113">
      <w:pPr>
        <w:pStyle w:val="Heading3"/>
      </w:pPr>
      <w:bookmarkStart w:id="124" w:name="_Toc302293455"/>
      <w:r>
        <w:t>Diabetic retinopathy</w:t>
      </w:r>
      <w:bookmarkEnd w:id="124"/>
    </w:p>
    <w:p w:rsidR="00326113" w:rsidRDefault="00326113" w:rsidP="00326113">
      <w:r>
        <w:t>Figure 5 shows that the European age-standardised rate (EASR) of diabetes in Cwm Taf (39 per 1,000 population) is slightly higher than the all Wales average (37 per 1,000).</w:t>
      </w:r>
    </w:p>
    <w:p w:rsidR="00326113" w:rsidRPr="00326113" w:rsidRDefault="00326113" w:rsidP="00326113">
      <w:r>
        <w:t>Figure 6 shows that the EASR of diabetes in Rhondda Cynon Taf (40 per 1,000 population) is slightly higher than the EASR in Merthyr Tydfil (38 per 1,000).</w:t>
      </w:r>
    </w:p>
    <w:p w:rsidR="00326113" w:rsidRDefault="00326113" w:rsidP="00326113">
      <w:pPr>
        <w:rPr>
          <w:b/>
          <w:sz w:val="20"/>
        </w:rPr>
      </w:pPr>
    </w:p>
    <w:p w:rsidR="00326113" w:rsidRDefault="00326113" w:rsidP="00326113">
      <w:pPr>
        <w:rPr>
          <w:b/>
          <w:sz w:val="20"/>
        </w:rPr>
      </w:pPr>
    </w:p>
    <w:p w:rsidR="00326113" w:rsidRDefault="00326113" w:rsidP="00326113">
      <w:pPr>
        <w:rPr>
          <w:b/>
          <w:sz w:val="20"/>
        </w:rPr>
      </w:pPr>
    </w:p>
    <w:p w:rsidR="00326113" w:rsidRDefault="00326113" w:rsidP="00326113">
      <w:pPr>
        <w:rPr>
          <w:b/>
          <w:sz w:val="20"/>
        </w:rPr>
      </w:pPr>
    </w:p>
    <w:p w:rsidR="00326113" w:rsidRDefault="00326113" w:rsidP="00326113">
      <w:pPr>
        <w:rPr>
          <w:b/>
          <w:sz w:val="20"/>
        </w:rPr>
      </w:pPr>
    </w:p>
    <w:p w:rsidR="009E77E7" w:rsidRDefault="009E77E7" w:rsidP="00326113">
      <w:pPr>
        <w:rPr>
          <w:b/>
          <w:sz w:val="20"/>
        </w:rPr>
      </w:pPr>
    </w:p>
    <w:p w:rsidR="009E77E7" w:rsidRDefault="009E77E7" w:rsidP="00326113">
      <w:pPr>
        <w:rPr>
          <w:b/>
          <w:sz w:val="20"/>
        </w:rPr>
      </w:pPr>
    </w:p>
    <w:p w:rsidR="00C738A8" w:rsidRPr="00326113" w:rsidRDefault="008704DF" w:rsidP="00326113">
      <w:pPr>
        <w:rPr>
          <w:b/>
        </w:rPr>
      </w:pPr>
      <w:r w:rsidRPr="00326113">
        <w:rPr>
          <w:b/>
          <w:sz w:val="20"/>
        </w:rPr>
        <w:lastRenderedPageBreak/>
        <w:t xml:space="preserve">Figure </w:t>
      </w:r>
      <w:r w:rsidR="001060C2" w:rsidRPr="00326113">
        <w:rPr>
          <w:b/>
          <w:sz w:val="20"/>
        </w:rPr>
        <w:fldChar w:fldCharType="begin"/>
      </w:r>
      <w:r w:rsidRPr="00326113">
        <w:rPr>
          <w:b/>
          <w:sz w:val="20"/>
        </w:rPr>
        <w:instrText xml:space="preserve"> SEQ Figure \* ARABIC </w:instrText>
      </w:r>
      <w:r w:rsidR="001060C2" w:rsidRPr="00326113">
        <w:rPr>
          <w:b/>
          <w:sz w:val="20"/>
        </w:rPr>
        <w:fldChar w:fldCharType="separate"/>
      </w:r>
      <w:r w:rsidR="00F96900">
        <w:rPr>
          <w:b/>
          <w:noProof/>
          <w:sz w:val="20"/>
        </w:rPr>
        <w:t>5</w:t>
      </w:r>
      <w:r w:rsidR="001060C2" w:rsidRPr="00326113">
        <w:rPr>
          <w:b/>
          <w:sz w:val="20"/>
        </w:rPr>
        <w:fldChar w:fldCharType="end"/>
      </w:r>
      <w:bookmarkEnd w:id="120"/>
      <w:r w:rsidR="00B92FE3" w:rsidRPr="00326113">
        <w:rPr>
          <w:b/>
          <w:sz w:val="20"/>
        </w:rPr>
        <w:t xml:space="preserve">. </w:t>
      </w:r>
      <w:r w:rsidRPr="00326113">
        <w:rPr>
          <w:b/>
          <w:sz w:val="20"/>
        </w:rPr>
        <w:t>Prevalence of diabetes mellitus</w:t>
      </w:r>
      <w:r w:rsidR="0042386B" w:rsidRPr="00326113">
        <w:rPr>
          <w:b/>
          <w:sz w:val="20"/>
        </w:rPr>
        <w:t>,</w:t>
      </w:r>
      <w:r w:rsidR="00122C44" w:rsidRPr="00326113">
        <w:rPr>
          <w:b/>
          <w:sz w:val="20"/>
        </w:rPr>
        <w:t xml:space="preserve"> EASR and crude rate,</w:t>
      </w:r>
      <w:r w:rsidR="0042386B" w:rsidRPr="00326113">
        <w:rPr>
          <w:b/>
          <w:sz w:val="20"/>
        </w:rPr>
        <w:t xml:space="preserve"> </w:t>
      </w:r>
      <w:r w:rsidR="00307828" w:rsidRPr="00326113">
        <w:rPr>
          <w:b/>
          <w:sz w:val="20"/>
        </w:rPr>
        <w:t>health board level</w:t>
      </w:r>
      <w:bookmarkEnd w:id="121"/>
      <w:bookmarkEnd w:id="122"/>
      <w:r w:rsidR="00331AFA" w:rsidRPr="00326113">
        <w:rPr>
          <w:b/>
          <w:sz w:val="20"/>
        </w:rPr>
        <w:t>, 2009-2010</w:t>
      </w:r>
      <w:bookmarkEnd w:id="123"/>
      <w:r w:rsidRPr="00326113">
        <w:rPr>
          <w:b/>
          <w:sz w:val="20"/>
        </w:rPr>
        <w:t xml:space="preserve"> </w:t>
      </w:r>
    </w:p>
    <w:p w:rsidR="00F778EA" w:rsidRDefault="007906AE" w:rsidP="00F778EA">
      <w:pPr>
        <w:rPr>
          <w:b/>
          <w:sz w:val="20"/>
        </w:rPr>
      </w:pPr>
      <w:r>
        <w:rPr>
          <w:noProof/>
          <w:lang w:eastAsia="en-GB"/>
        </w:rPr>
        <w:drawing>
          <wp:inline distT="0" distB="0" distL="0" distR="0">
            <wp:extent cx="4524375" cy="29813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cstate="print"/>
                    <a:srcRect/>
                    <a:stretch>
                      <a:fillRect/>
                    </a:stretch>
                  </pic:blipFill>
                  <pic:spPr bwMode="auto">
                    <a:xfrm>
                      <a:off x="0" y="0"/>
                      <a:ext cx="4524375" cy="2981325"/>
                    </a:xfrm>
                    <a:prstGeom prst="rect">
                      <a:avLst/>
                    </a:prstGeom>
                    <a:noFill/>
                    <a:ln w="9525">
                      <a:noFill/>
                      <a:miter lim="800000"/>
                      <a:headEnd/>
                      <a:tailEnd/>
                    </a:ln>
                  </pic:spPr>
                </pic:pic>
              </a:graphicData>
            </a:graphic>
          </wp:inline>
        </w:drawing>
      </w:r>
      <w:bookmarkStart w:id="125" w:name="_Ref284501859"/>
      <w:bookmarkStart w:id="126" w:name="_Toc291585913"/>
      <w:bookmarkStart w:id="127" w:name="_Toc292463290"/>
    </w:p>
    <w:p w:rsidR="00417947" w:rsidRPr="00F778EA" w:rsidRDefault="00417947" w:rsidP="00F778EA">
      <w:r w:rsidRPr="00F778EA">
        <w:rPr>
          <w:sz w:val="20"/>
        </w:rPr>
        <w:t>Produced by Public Health Wales Observatory. Source: QOF 2009/10</w:t>
      </w:r>
    </w:p>
    <w:p w:rsidR="00417947" w:rsidRPr="00417947" w:rsidRDefault="00417947" w:rsidP="00417947"/>
    <w:p w:rsidR="00DA2150" w:rsidRPr="006A7628" w:rsidRDefault="006A7628" w:rsidP="006A7628">
      <w:pPr>
        <w:pStyle w:val="Caption"/>
        <w:jc w:val="left"/>
        <w:rPr>
          <w:sz w:val="20"/>
        </w:rPr>
      </w:pPr>
      <w:bookmarkStart w:id="128" w:name="_Toc302232617"/>
      <w:r w:rsidRPr="006A7628">
        <w:rPr>
          <w:sz w:val="20"/>
        </w:rPr>
        <w:t xml:space="preserve">Figure </w:t>
      </w:r>
      <w:r w:rsidR="001060C2" w:rsidRPr="006A7628">
        <w:rPr>
          <w:sz w:val="20"/>
        </w:rPr>
        <w:fldChar w:fldCharType="begin"/>
      </w:r>
      <w:r w:rsidRPr="006A7628">
        <w:rPr>
          <w:sz w:val="20"/>
        </w:rPr>
        <w:instrText xml:space="preserve"> SEQ Figure \* ARABIC </w:instrText>
      </w:r>
      <w:r w:rsidR="001060C2" w:rsidRPr="006A7628">
        <w:rPr>
          <w:sz w:val="20"/>
        </w:rPr>
        <w:fldChar w:fldCharType="separate"/>
      </w:r>
      <w:r w:rsidR="00F96900">
        <w:rPr>
          <w:noProof/>
          <w:sz w:val="20"/>
        </w:rPr>
        <w:t>6</w:t>
      </w:r>
      <w:r w:rsidR="001060C2" w:rsidRPr="006A7628">
        <w:rPr>
          <w:sz w:val="20"/>
        </w:rPr>
        <w:fldChar w:fldCharType="end"/>
      </w:r>
      <w:bookmarkEnd w:id="125"/>
      <w:r w:rsidR="00B92FE3">
        <w:rPr>
          <w:sz w:val="20"/>
        </w:rPr>
        <w:t xml:space="preserve">. </w:t>
      </w:r>
      <w:r w:rsidRPr="006A7628">
        <w:rPr>
          <w:sz w:val="20"/>
        </w:rPr>
        <w:t>Prevalence of diabetes mellitus, EASR and crude rate,</w:t>
      </w:r>
      <w:r w:rsidR="00371C47">
        <w:rPr>
          <w:sz w:val="20"/>
        </w:rPr>
        <w:t xml:space="preserve"> </w:t>
      </w:r>
      <w:r w:rsidR="00194386">
        <w:rPr>
          <w:sz w:val="20"/>
        </w:rPr>
        <w:t>l</w:t>
      </w:r>
      <w:r w:rsidR="009726D9">
        <w:rPr>
          <w:sz w:val="20"/>
        </w:rPr>
        <w:t>ocal</w:t>
      </w:r>
      <w:r w:rsidR="00F435D0">
        <w:rPr>
          <w:sz w:val="20"/>
        </w:rPr>
        <w:t xml:space="preserve"> </w:t>
      </w:r>
      <w:r w:rsidR="007B32C7">
        <w:rPr>
          <w:sz w:val="20"/>
        </w:rPr>
        <w:t>authority</w:t>
      </w:r>
      <w:r w:rsidR="00307828">
        <w:rPr>
          <w:sz w:val="20"/>
        </w:rPr>
        <w:t xml:space="preserve"> level</w:t>
      </w:r>
      <w:bookmarkEnd w:id="126"/>
      <w:bookmarkEnd w:id="127"/>
      <w:r w:rsidR="00331AFA">
        <w:rPr>
          <w:sz w:val="20"/>
        </w:rPr>
        <w:t>, 2009-2010</w:t>
      </w:r>
      <w:bookmarkEnd w:id="128"/>
    </w:p>
    <w:p w:rsidR="0042386B" w:rsidRDefault="007906AE" w:rsidP="00EA1BE6">
      <w:r>
        <w:rPr>
          <w:noProof/>
          <w:lang w:eastAsia="en-GB"/>
        </w:rPr>
        <w:drawing>
          <wp:inline distT="0" distB="0" distL="0" distR="0">
            <wp:extent cx="5762625" cy="24955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srcRect/>
                    <a:stretch>
                      <a:fillRect/>
                    </a:stretch>
                  </pic:blipFill>
                  <pic:spPr bwMode="auto">
                    <a:xfrm>
                      <a:off x="0" y="0"/>
                      <a:ext cx="5762625" cy="2495550"/>
                    </a:xfrm>
                    <a:prstGeom prst="rect">
                      <a:avLst/>
                    </a:prstGeom>
                    <a:noFill/>
                    <a:ln w="9525">
                      <a:noFill/>
                      <a:miter lim="800000"/>
                      <a:headEnd/>
                      <a:tailEnd/>
                    </a:ln>
                  </pic:spPr>
                </pic:pic>
              </a:graphicData>
            </a:graphic>
          </wp:inline>
        </w:drawing>
      </w:r>
    </w:p>
    <w:p w:rsidR="00417947" w:rsidRPr="00417947" w:rsidRDefault="00417947" w:rsidP="00417947">
      <w:pPr>
        <w:pStyle w:val="Caption"/>
        <w:jc w:val="left"/>
        <w:rPr>
          <w:b w:val="0"/>
          <w:sz w:val="20"/>
        </w:rPr>
      </w:pPr>
      <w:r w:rsidRPr="00417947">
        <w:rPr>
          <w:b w:val="0"/>
          <w:sz w:val="20"/>
        </w:rPr>
        <w:t>Produced by Public Health Wales Observatory. Source: QOF 2009/10</w:t>
      </w:r>
    </w:p>
    <w:p w:rsidR="00A402C4" w:rsidRPr="00653DBC" w:rsidRDefault="00A402C4" w:rsidP="00A402C4">
      <w:pPr>
        <w:rPr>
          <w:b/>
        </w:rPr>
      </w:pPr>
      <w:r>
        <w:t xml:space="preserve">The control chart in </w:t>
      </w:r>
      <w:r w:rsidR="009D650E">
        <w:t xml:space="preserve">Figure 7 </w:t>
      </w:r>
      <w:r>
        <w:t>shows the</w:t>
      </w:r>
      <w:r w:rsidR="00D00902">
        <w:t xml:space="preserve"> EASR</w:t>
      </w:r>
      <w:r>
        <w:t xml:space="preserve"> of diabetes in GP practices in Wales.  </w:t>
      </w:r>
      <w:r w:rsidR="0042386B">
        <w:t xml:space="preserve">The </w:t>
      </w:r>
      <w:r w:rsidR="00B92FE3">
        <w:t xml:space="preserve">solid </w:t>
      </w:r>
      <w:r w:rsidR="0042386B">
        <w:t xml:space="preserve">dots are the practices </w:t>
      </w:r>
      <w:r>
        <w:t>in</w:t>
      </w:r>
      <w:r w:rsidR="0042386B">
        <w:t xml:space="preserve"> Cwm Taf. </w:t>
      </w:r>
      <w:r>
        <w:t xml:space="preserve"> The dots outside the </w:t>
      </w:r>
      <w:r w:rsidR="00B92FE3">
        <w:t>outer</w:t>
      </w:r>
      <w:r>
        <w:t xml:space="preserve"> lines are those practices with unusually high or low </w:t>
      </w:r>
      <w:r w:rsidR="00D00902">
        <w:t xml:space="preserve">EASRs </w:t>
      </w:r>
      <w:r>
        <w:t>compared with the Wales average.  G</w:t>
      </w:r>
      <w:r w:rsidR="0042386B">
        <w:t xml:space="preserve">enerally the </w:t>
      </w:r>
      <w:r w:rsidR="00D00902">
        <w:t xml:space="preserve">EASRs </w:t>
      </w:r>
      <w:r>
        <w:t xml:space="preserve">of diabetes recorded by most </w:t>
      </w:r>
      <w:r w:rsidR="0042386B">
        <w:t>practices are in line with those seen a</w:t>
      </w:r>
      <w:r>
        <w:t>cross Wales, however there are five</w:t>
      </w:r>
      <w:r w:rsidR="0042386B">
        <w:t xml:space="preserve"> practices </w:t>
      </w:r>
      <w:r w:rsidR="00D00902">
        <w:t>i</w:t>
      </w:r>
      <w:r>
        <w:t xml:space="preserve">n Cwm Taf </w:t>
      </w:r>
      <w:r w:rsidR="0042386B">
        <w:t xml:space="preserve">whose </w:t>
      </w:r>
      <w:r w:rsidR="00D00902">
        <w:t xml:space="preserve">EASRs </w:t>
      </w:r>
      <w:r w:rsidR="0042386B">
        <w:t>could be considered unusual</w:t>
      </w:r>
      <w:r>
        <w:t xml:space="preserve">ly high.  One practice in Rhondda Cynon Taf had an unusually low </w:t>
      </w:r>
      <w:r w:rsidR="007C40E7">
        <w:t>EASR</w:t>
      </w:r>
      <w:r>
        <w:t xml:space="preserve">. The </w:t>
      </w:r>
      <w:r>
        <w:lastRenderedPageBreak/>
        <w:t xml:space="preserve">USOAs in which these GP practices are based are </w:t>
      </w:r>
      <w:r w:rsidR="007C40E7">
        <w:t>shown in</w:t>
      </w:r>
      <w:r w:rsidR="009D650E">
        <w:t xml:space="preserve"> Table 5</w:t>
      </w:r>
      <w:r w:rsidR="0042386B">
        <w:t xml:space="preserve">. </w:t>
      </w:r>
      <w:r>
        <w:t>Th</w:t>
      </w:r>
      <w:r w:rsidR="00F63F36">
        <w:t>re</w:t>
      </w:r>
      <w:r>
        <w:t xml:space="preserve">e </w:t>
      </w:r>
      <w:r w:rsidR="00F63F36">
        <w:t xml:space="preserve">of the </w:t>
      </w:r>
      <w:r>
        <w:t xml:space="preserve">five practices with unusually high EASRs of diabetes in the practice population are within the most deprived </w:t>
      </w:r>
      <w:r w:rsidR="00F63F36">
        <w:t xml:space="preserve">USOAs in Cwm Taf.  </w:t>
      </w:r>
      <w:r>
        <w:t xml:space="preserve">The practice with an unusually low </w:t>
      </w:r>
      <w:r w:rsidR="007C40E7">
        <w:t>EASR</w:t>
      </w:r>
      <w:r>
        <w:t xml:space="preserve"> is in the least deprived</w:t>
      </w:r>
      <w:r w:rsidR="00945FA7">
        <w:t xml:space="preserve"> USOA in Cwm Taf</w:t>
      </w:r>
      <w:r>
        <w:t xml:space="preserve">. </w:t>
      </w:r>
    </w:p>
    <w:p w:rsidR="00DA2150" w:rsidRPr="0042386B" w:rsidRDefault="00DA2150" w:rsidP="00A402C4"/>
    <w:p w:rsidR="00DA2150" w:rsidRPr="00491D95" w:rsidRDefault="00491D95" w:rsidP="00491D95">
      <w:pPr>
        <w:pStyle w:val="Caption"/>
        <w:jc w:val="left"/>
        <w:rPr>
          <w:sz w:val="20"/>
        </w:rPr>
      </w:pPr>
      <w:bookmarkStart w:id="129" w:name="_Ref284502034"/>
      <w:bookmarkStart w:id="130" w:name="_Toc291585914"/>
      <w:bookmarkStart w:id="131" w:name="_Toc292463291"/>
      <w:bookmarkStart w:id="132" w:name="_Toc302232618"/>
      <w:r w:rsidRPr="00467286">
        <w:rPr>
          <w:sz w:val="20"/>
        </w:rPr>
        <w:t xml:space="preserve">Figure </w:t>
      </w:r>
      <w:r w:rsidR="001060C2" w:rsidRPr="00467286">
        <w:rPr>
          <w:sz w:val="20"/>
        </w:rPr>
        <w:fldChar w:fldCharType="begin"/>
      </w:r>
      <w:r w:rsidRPr="00467286">
        <w:rPr>
          <w:sz w:val="20"/>
        </w:rPr>
        <w:instrText xml:space="preserve"> SEQ Figure \* ARABIC </w:instrText>
      </w:r>
      <w:r w:rsidR="001060C2" w:rsidRPr="00467286">
        <w:rPr>
          <w:sz w:val="20"/>
        </w:rPr>
        <w:fldChar w:fldCharType="separate"/>
      </w:r>
      <w:r w:rsidR="00F96900">
        <w:rPr>
          <w:noProof/>
          <w:sz w:val="20"/>
        </w:rPr>
        <w:t>7</w:t>
      </w:r>
      <w:r w:rsidR="001060C2" w:rsidRPr="00467286">
        <w:rPr>
          <w:sz w:val="20"/>
        </w:rPr>
        <w:fldChar w:fldCharType="end"/>
      </w:r>
      <w:bookmarkEnd w:id="129"/>
      <w:r w:rsidR="00B92FE3" w:rsidRPr="00467286">
        <w:rPr>
          <w:sz w:val="20"/>
        </w:rPr>
        <w:t xml:space="preserve">. </w:t>
      </w:r>
      <w:r w:rsidRPr="00467286">
        <w:rPr>
          <w:sz w:val="20"/>
        </w:rPr>
        <w:t xml:space="preserve"> </w:t>
      </w:r>
      <w:r w:rsidR="00122C44">
        <w:rPr>
          <w:sz w:val="20"/>
        </w:rPr>
        <w:t>P</w:t>
      </w:r>
      <w:r w:rsidRPr="00467286">
        <w:rPr>
          <w:sz w:val="20"/>
        </w:rPr>
        <w:t>revalence of diabetes mellitus in GP practices, Wales</w:t>
      </w:r>
      <w:bookmarkEnd w:id="130"/>
      <w:bookmarkEnd w:id="131"/>
      <w:bookmarkEnd w:id="132"/>
      <w:r w:rsidRPr="00491D95">
        <w:rPr>
          <w:sz w:val="20"/>
        </w:rPr>
        <w:t xml:space="preserve"> </w:t>
      </w:r>
    </w:p>
    <w:p w:rsidR="004433A6" w:rsidRDefault="00331AFA" w:rsidP="00EA1BE6">
      <w:r w:rsidRPr="00331AFA">
        <w:rPr>
          <w:noProof/>
          <w:lang w:eastAsia="en-GB"/>
        </w:rPr>
        <w:drawing>
          <wp:inline distT="0" distB="0" distL="0" distR="0">
            <wp:extent cx="5438899" cy="3610099"/>
            <wp:effectExtent l="0" t="0" r="0" b="0"/>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b="10324"/>
                    <a:stretch>
                      <a:fillRect/>
                    </a:stretch>
                  </pic:blipFill>
                  <pic:spPr bwMode="auto">
                    <a:xfrm>
                      <a:off x="0" y="0"/>
                      <a:ext cx="5438899" cy="3610099"/>
                    </a:xfrm>
                    <a:prstGeom prst="rect">
                      <a:avLst/>
                    </a:prstGeom>
                    <a:noFill/>
                    <a:ln w="9525">
                      <a:noFill/>
                      <a:miter lim="800000"/>
                      <a:headEnd/>
                      <a:tailEnd/>
                    </a:ln>
                  </pic:spPr>
                </pic:pic>
              </a:graphicData>
            </a:graphic>
          </wp:inline>
        </w:drawing>
      </w:r>
    </w:p>
    <w:p w:rsidR="00331AFA" w:rsidRPr="00331AFA" w:rsidRDefault="00331AFA" w:rsidP="00331AFA">
      <w:pPr>
        <w:pStyle w:val="Caption"/>
        <w:jc w:val="left"/>
        <w:rPr>
          <w:b w:val="0"/>
          <w:sz w:val="20"/>
        </w:rPr>
      </w:pPr>
      <w:r w:rsidRPr="00417947">
        <w:rPr>
          <w:b w:val="0"/>
          <w:sz w:val="20"/>
        </w:rPr>
        <w:t xml:space="preserve">Produced by Public Health Wales Observatory. Source: </w:t>
      </w:r>
      <w:r w:rsidR="00843072">
        <w:rPr>
          <w:b w:val="0"/>
          <w:sz w:val="20"/>
        </w:rPr>
        <w:t>Audit+ 31 March 2010</w:t>
      </w:r>
      <w:r>
        <w:rPr>
          <w:b w:val="0"/>
          <w:sz w:val="20"/>
        </w:rPr>
        <w:t xml:space="preserve">    </w:t>
      </w:r>
      <w:r w:rsidR="0061059D">
        <w:rPr>
          <w:b w:val="0"/>
          <w:sz w:val="20"/>
        </w:rPr>
        <w:t xml:space="preserve">              </w:t>
      </w:r>
      <w:r w:rsidR="00E17CDB">
        <w:rPr>
          <w:b w:val="0"/>
          <w:sz w:val="20"/>
        </w:rPr>
        <w:t xml:space="preserve">        Note: P</w:t>
      </w:r>
      <w:r>
        <w:rPr>
          <w:b w:val="0"/>
          <w:sz w:val="20"/>
        </w:rPr>
        <w:t>opulation is adjusted due to standardisation calculations.</w:t>
      </w:r>
    </w:p>
    <w:p w:rsidR="00331AFA" w:rsidRDefault="00331AFA" w:rsidP="00EA1BE6"/>
    <w:p w:rsidR="00653DBC" w:rsidRDefault="00D17C26" w:rsidP="00D17C26">
      <w:pPr>
        <w:pStyle w:val="Caption"/>
        <w:jc w:val="left"/>
        <w:rPr>
          <w:sz w:val="20"/>
        </w:rPr>
      </w:pPr>
      <w:bookmarkStart w:id="133" w:name="_Ref282077732"/>
      <w:bookmarkStart w:id="134" w:name="_Ref284502289"/>
      <w:bookmarkStart w:id="135" w:name="_Toc302293547"/>
      <w:r w:rsidRPr="00D17C26">
        <w:rPr>
          <w:sz w:val="20"/>
        </w:rPr>
        <w:t xml:space="preserve">Table </w:t>
      </w:r>
      <w:r w:rsidR="001060C2" w:rsidRPr="00D17C26">
        <w:rPr>
          <w:sz w:val="20"/>
        </w:rPr>
        <w:fldChar w:fldCharType="begin"/>
      </w:r>
      <w:r w:rsidRPr="00D17C26">
        <w:rPr>
          <w:sz w:val="20"/>
        </w:rPr>
        <w:instrText xml:space="preserve"> SEQ Table \* ARABIC </w:instrText>
      </w:r>
      <w:r w:rsidR="001060C2" w:rsidRPr="00D17C26">
        <w:rPr>
          <w:sz w:val="20"/>
        </w:rPr>
        <w:fldChar w:fldCharType="separate"/>
      </w:r>
      <w:r w:rsidR="00F96900">
        <w:rPr>
          <w:noProof/>
          <w:sz w:val="20"/>
        </w:rPr>
        <w:t>5</w:t>
      </w:r>
      <w:r w:rsidR="001060C2" w:rsidRPr="00D17C26">
        <w:rPr>
          <w:sz w:val="20"/>
        </w:rPr>
        <w:fldChar w:fldCharType="end"/>
      </w:r>
      <w:bookmarkEnd w:id="133"/>
      <w:r w:rsidR="00B92FE3">
        <w:rPr>
          <w:sz w:val="20"/>
        </w:rPr>
        <w:t xml:space="preserve">. </w:t>
      </w:r>
      <w:r w:rsidRPr="00D17C26">
        <w:rPr>
          <w:sz w:val="20"/>
        </w:rPr>
        <w:t xml:space="preserve">GP practices in Cwm Taf </w:t>
      </w:r>
      <w:r w:rsidR="00BB5324">
        <w:rPr>
          <w:sz w:val="20"/>
        </w:rPr>
        <w:t xml:space="preserve">USOAs </w:t>
      </w:r>
      <w:r w:rsidRPr="00D17C26">
        <w:rPr>
          <w:sz w:val="20"/>
        </w:rPr>
        <w:t>with significantly high or low EASR</w:t>
      </w:r>
      <w:r>
        <w:rPr>
          <w:sz w:val="20"/>
        </w:rPr>
        <w:t>s</w:t>
      </w:r>
      <w:r w:rsidRPr="00D17C26">
        <w:rPr>
          <w:sz w:val="20"/>
        </w:rPr>
        <w:t xml:space="preserve"> of diabetes mellitus</w:t>
      </w:r>
      <w:bookmarkEnd w:id="134"/>
      <w:bookmarkEnd w:id="135"/>
    </w:p>
    <w:p w:rsidR="009D5EA5" w:rsidRPr="009D5EA5" w:rsidRDefault="009D5EA5" w:rsidP="009D5EA5"/>
    <w:tbl>
      <w:tblPr>
        <w:tblW w:w="9087" w:type="dxa"/>
        <w:tblInd w:w="93" w:type="dxa"/>
        <w:tblLayout w:type="fixed"/>
        <w:tblLook w:val="0000"/>
      </w:tblPr>
      <w:tblGrid>
        <w:gridCol w:w="2271"/>
        <w:gridCol w:w="2272"/>
        <w:gridCol w:w="2272"/>
        <w:gridCol w:w="2272"/>
      </w:tblGrid>
      <w:tr w:rsidR="00BB5324" w:rsidRPr="00412083">
        <w:trPr>
          <w:trHeight w:val="255"/>
        </w:trPr>
        <w:tc>
          <w:tcPr>
            <w:tcW w:w="2271" w:type="dxa"/>
            <w:tcBorders>
              <w:top w:val="single" w:sz="4" w:space="0" w:color="auto"/>
              <w:left w:val="single" w:sz="4" w:space="0" w:color="auto"/>
              <w:bottom w:val="single" w:sz="4" w:space="0" w:color="auto"/>
              <w:right w:val="single" w:sz="4" w:space="0" w:color="auto"/>
            </w:tcBorders>
            <w:shd w:val="clear" w:color="auto" w:fill="F3F3F3"/>
          </w:tcPr>
          <w:p w:rsidR="00BB5324" w:rsidRDefault="00BB5324" w:rsidP="00CF1AF5">
            <w:pPr>
              <w:spacing w:before="0"/>
              <w:jc w:val="left"/>
              <w:rPr>
                <w:rFonts w:cs="Arial"/>
                <w:b/>
                <w:sz w:val="20"/>
                <w:lang w:eastAsia="en-GB"/>
              </w:rPr>
            </w:pPr>
            <w:r>
              <w:rPr>
                <w:rFonts w:cs="Arial"/>
                <w:b/>
                <w:sz w:val="20"/>
                <w:lang w:eastAsia="en-GB"/>
              </w:rPr>
              <w:t>USOA in which practice based</w:t>
            </w:r>
          </w:p>
        </w:tc>
        <w:tc>
          <w:tcPr>
            <w:tcW w:w="2272" w:type="dxa"/>
            <w:tcBorders>
              <w:top w:val="single" w:sz="4" w:space="0" w:color="auto"/>
              <w:left w:val="nil"/>
              <w:bottom w:val="single" w:sz="4" w:space="0" w:color="auto"/>
              <w:right w:val="single" w:sz="4" w:space="0" w:color="auto"/>
            </w:tcBorders>
            <w:shd w:val="clear" w:color="auto" w:fill="F3F3F3"/>
            <w:noWrap/>
          </w:tcPr>
          <w:p w:rsidR="00BB5324" w:rsidRPr="004F52D7" w:rsidRDefault="00BB5324" w:rsidP="00CF1AF5">
            <w:pPr>
              <w:spacing w:before="0"/>
              <w:jc w:val="left"/>
              <w:rPr>
                <w:rFonts w:cs="Arial"/>
                <w:b/>
                <w:sz w:val="20"/>
                <w:lang w:eastAsia="en-GB"/>
              </w:rPr>
            </w:pPr>
            <w:r w:rsidRPr="004F52D7">
              <w:rPr>
                <w:rFonts w:cs="Arial"/>
                <w:b/>
                <w:sz w:val="20"/>
                <w:lang w:eastAsia="en-GB"/>
              </w:rPr>
              <w:t>Number</w:t>
            </w:r>
          </w:p>
        </w:tc>
        <w:tc>
          <w:tcPr>
            <w:tcW w:w="2272" w:type="dxa"/>
            <w:tcBorders>
              <w:top w:val="single" w:sz="4" w:space="0" w:color="auto"/>
              <w:left w:val="nil"/>
              <w:bottom w:val="single" w:sz="4" w:space="0" w:color="auto"/>
              <w:right w:val="single" w:sz="4" w:space="0" w:color="auto"/>
            </w:tcBorders>
            <w:shd w:val="clear" w:color="auto" w:fill="F3F3F3"/>
            <w:noWrap/>
          </w:tcPr>
          <w:p w:rsidR="00BB5324" w:rsidRPr="004F52D7" w:rsidRDefault="00BB5324" w:rsidP="00CF1AF5">
            <w:pPr>
              <w:spacing w:before="0"/>
              <w:jc w:val="left"/>
              <w:rPr>
                <w:rFonts w:cs="Arial"/>
                <w:b/>
                <w:sz w:val="20"/>
                <w:lang w:eastAsia="en-GB"/>
              </w:rPr>
            </w:pPr>
            <w:r w:rsidRPr="004F52D7">
              <w:rPr>
                <w:rFonts w:cs="Arial"/>
                <w:b/>
                <w:sz w:val="20"/>
                <w:lang w:eastAsia="en-GB"/>
              </w:rPr>
              <w:t>EASR/</w:t>
            </w:r>
            <w:r w:rsidR="009836A6">
              <w:rPr>
                <w:rFonts w:cs="Arial"/>
                <w:b/>
                <w:sz w:val="20"/>
                <w:lang w:eastAsia="en-GB"/>
              </w:rPr>
              <w:t>1,000</w:t>
            </w:r>
          </w:p>
        </w:tc>
        <w:tc>
          <w:tcPr>
            <w:tcW w:w="2272" w:type="dxa"/>
            <w:tcBorders>
              <w:top w:val="single" w:sz="4" w:space="0" w:color="auto"/>
              <w:left w:val="nil"/>
              <w:bottom w:val="single" w:sz="4" w:space="0" w:color="auto"/>
              <w:right w:val="single" w:sz="4" w:space="0" w:color="auto"/>
            </w:tcBorders>
            <w:shd w:val="clear" w:color="auto" w:fill="F3F3F3"/>
            <w:noWrap/>
          </w:tcPr>
          <w:p w:rsidR="00BB5324" w:rsidRPr="004F52D7" w:rsidRDefault="00BB5324" w:rsidP="00CF1AF5">
            <w:pPr>
              <w:spacing w:before="0"/>
              <w:jc w:val="left"/>
              <w:rPr>
                <w:rFonts w:cs="Arial"/>
                <w:b/>
                <w:sz w:val="20"/>
                <w:lang w:eastAsia="en-GB"/>
              </w:rPr>
            </w:pPr>
            <w:r w:rsidRPr="004F52D7">
              <w:rPr>
                <w:rFonts w:cs="Arial"/>
                <w:b/>
                <w:sz w:val="20"/>
                <w:lang w:eastAsia="en-GB"/>
              </w:rPr>
              <w:t>Significance</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RCT02</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210</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50.63941</w:t>
            </w:r>
          </w:p>
        </w:tc>
        <w:tc>
          <w:tcPr>
            <w:tcW w:w="2272" w:type="dxa"/>
            <w:tcBorders>
              <w:top w:val="nil"/>
              <w:left w:val="nil"/>
              <w:bottom w:val="single" w:sz="4" w:space="0" w:color="auto"/>
              <w:right w:val="single" w:sz="4" w:space="0" w:color="auto"/>
            </w:tcBorders>
            <w:shd w:val="clear" w:color="auto" w:fill="auto"/>
            <w:noWrap/>
            <w:vAlign w:val="bottom"/>
          </w:tcPr>
          <w:p w:rsidR="00BB5324" w:rsidRPr="00406B2A" w:rsidRDefault="00BB5324" w:rsidP="00214D5D">
            <w:pPr>
              <w:spacing w:before="0"/>
              <w:jc w:val="left"/>
              <w:rPr>
                <w:rFonts w:cs="Arial"/>
                <w:b/>
                <w:sz w:val="20"/>
                <w:lang w:eastAsia="en-GB"/>
              </w:rPr>
            </w:pPr>
            <w:r w:rsidRPr="00406B2A">
              <w:rPr>
                <w:rFonts w:cs="Arial"/>
                <w:b/>
                <w:sz w:val="20"/>
                <w:lang w:eastAsia="en-GB"/>
              </w:rPr>
              <w:t>High (0.001)</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RCT06</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749</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43.14085</w:t>
            </w:r>
          </w:p>
        </w:tc>
        <w:tc>
          <w:tcPr>
            <w:tcW w:w="2272" w:type="dxa"/>
            <w:tcBorders>
              <w:top w:val="nil"/>
              <w:left w:val="nil"/>
              <w:bottom w:val="single" w:sz="4" w:space="0" w:color="auto"/>
              <w:right w:val="single" w:sz="4" w:space="0" w:color="auto"/>
            </w:tcBorders>
            <w:shd w:val="clear" w:color="auto" w:fill="auto"/>
            <w:noWrap/>
            <w:vAlign w:val="bottom"/>
          </w:tcPr>
          <w:p w:rsidR="00BB5324" w:rsidRPr="00406B2A" w:rsidRDefault="00BB5324" w:rsidP="00214D5D">
            <w:pPr>
              <w:spacing w:before="0"/>
              <w:jc w:val="left"/>
              <w:rPr>
                <w:rFonts w:cs="Arial"/>
                <w:b/>
                <w:sz w:val="20"/>
                <w:lang w:eastAsia="en-GB"/>
              </w:rPr>
            </w:pPr>
            <w:r w:rsidRPr="00406B2A">
              <w:rPr>
                <w:rFonts w:cs="Arial"/>
                <w:b/>
                <w:sz w:val="20"/>
                <w:lang w:eastAsia="en-GB"/>
              </w:rPr>
              <w:t>High (0.001)</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RCT01</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213</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49.78035</w:t>
            </w:r>
          </w:p>
        </w:tc>
        <w:tc>
          <w:tcPr>
            <w:tcW w:w="2272" w:type="dxa"/>
            <w:tcBorders>
              <w:top w:val="nil"/>
              <w:left w:val="nil"/>
              <w:bottom w:val="single" w:sz="4" w:space="0" w:color="auto"/>
              <w:right w:val="single" w:sz="4" w:space="0" w:color="auto"/>
            </w:tcBorders>
            <w:shd w:val="clear" w:color="auto" w:fill="auto"/>
            <w:noWrap/>
            <w:vAlign w:val="bottom"/>
          </w:tcPr>
          <w:p w:rsidR="00BB5324" w:rsidRPr="00406B2A" w:rsidRDefault="00BB5324" w:rsidP="00214D5D">
            <w:pPr>
              <w:spacing w:before="0"/>
              <w:jc w:val="left"/>
              <w:rPr>
                <w:rFonts w:cs="Arial"/>
                <w:b/>
                <w:sz w:val="20"/>
                <w:lang w:eastAsia="en-GB"/>
              </w:rPr>
            </w:pPr>
            <w:r w:rsidRPr="00406B2A">
              <w:rPr>
                <w:rFonts w:cs="Arial"/>
                <w:b/>
                <w:sz w:val="20"/>
                <w:lang w:eastAsia="en-GB"/>
              </w:rPr>
              <w:t>High (0.001)</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RCT01</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248</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53.79783</w:t>
            </w:r>
          </w:p>
        </w:tc>
        <w:tc>
          <w:tcPr>
            <w:tcW w:w="2272" w:type="dxa"/>
            <w:tcBorders>
              <w:top w:val="nil"/>
              <w:left w:val="nil"/>
              <w:bottom w:val="single" w:sz="4" w:space="0" w:color="auto"/>
              <w:right w:val="single" w:sz="4" w:space="0" w:color="auto"/>
            </w:tcBorders>
            <w:shd w:val="clear" w:color="auto" w:fill="auto"/>
            <w:noWrap/>
            <w:vAlign w:val="bottom"/>
          </w:tcPr>
          <w:p w:rsidR="00BB5324" w:rsidRPr="00406B2A" w:rsidRDefault="00BB5324" w:rsidP="00214D5D">
            <w:pPr>
              <w:spacing w:before="0"/>
              <w:jc w:val="left"/>
              <w:rPr>
                <w:rFonts w:cs="Arial"/>
                <w:b/>
                <w:sz w:val="20"/>
                <w:lang w:eastAsia="en-GB"/>
              </w:rPr>
            </w:pPr>
            <w:r w:rsidRPr="00406B2A">
              <w:rPr>
                <w:rFonts w:cs="Arial"/>
                <w:b/>
                <w:sz w:val="20"/>
                <w:lang w:eastAsia="en-GB"/>
              </w:rPr>
              <w:t>High (0.001)</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RCT04</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233</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48.70525</w:t>
            </w:r>
          </w:p>
        </w:tc>
        <w:tc>
          <w:tcPr>
            <w:tcW w:w="2272" w:type="dxa"/>
            <w:tcBorders>
              <w:top w:val="nil"/>
              <w:left w:val="nil"/>
              <w:bottom w:val="single" w:sz="4" w:space="0" w:color="auto"/>
              <w:right w:val="single" w:sz="4" w:space="0" w:color="auto"/>
            </w:tcBorders>
            <w:shd w:val="clear" w:color="auto" w:fill="auto"/>
            <w:noWrap/>
            <w:vAlign w:val="bottom"/>
          </w:tcPr>
          <w:p w:rsidR="00BB5324" w:rsidRPr="00406B2A" w:rsidRDefault="00BB5324" w:rsidP="00214D5D">
            <w:pPr>
              <w:spacing w:before="0"/>
              <w:jc w:val="left"/>
              <w:rPr>
                <w:rFonts w:cs="Arial"/>
                <w:b/>
                <w:sz w:val="20"/>
                <w:lang w:eastAsia="en-GB"/>
              </w:rPr>
            </w:pPr>
            <w:r w:rsidRPr="00406B2A">
              <w:rPr>
                <w:rFonts w:cs="Arial"/>
                <w:b/>
                <w:sz w:val="20"/>
                <w:lang w:eastAsia="en-GB"/>
              </w:rPr>
              <w:t>High (0.001)</w:t>
            </w:r>
          </w:p>
        </w:tc>
      </w:tr>
      <w:tr w:rsidR="00BB5324" w:rsidRPr="00412083">
        <w:trPr>
          <w:trHeight w:val="255"/>
        </w:trPr>
        <w:tc>
          <w:tcPr>
            <w:tcW w:w="2271" w:type="dxa"/>
            <w:tcBorders>
              <w:top w:val="nil"/>
              <w:left w:val="single" w:sz="4" w:space="0" w:color="auto"/>
              <w:bottom w:val="single" w:sz="4" w:space="0" w:color="auto"/>
              <w:right w:val="single" w:sz="4" w:space="0" w:color="auto"/>
            </w:tcBorders>
          </w:tcPr>
          <w:p w:rsidR="00BB5324" w:rsidRDefault="00BB5324" w:rsidP="00214D5D">
            <w:pPr>
              <w:spacing w:before="0"/>
              <w:jc w:val="left"/>
              <w:rPr>
                <w:rFonts w:cs="Arial"/>
                <w:sz w:val="20"/>
                <w:lang w:eastAsia="en-GB"/>
              </w:rPr>
            </w:pPr>
            <w:r>
              <w:rPr>
                <w:rFonts w:cs="Arial"/>
                <w:sz w:val="20"/>
                <w:lang w:eastAsia="en-GB"/>
              </w:rPr>
              <w:t>RCT07</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631</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806303">
            <w:pPr>
              <w:spacing w:before="0"/>
              <w:jc w:val="left"/>
              <w:rPr>
                <w:rFonts w:cs="Arial"/>
                <w:sz w:val="20"/>
                <w:lang w:eastAsia="en-GB"/>
              </w:rPr>
            </w:pPr>
            <w:r w:rsidRPr="004F52D7">
              <w:rPr>
                <w:rFonts w:cs="Arial"/>
                <w:sz w:val="20"/>
                <w:lang w:eastAsia="en-GB"/>
              </w:rPr>
              <w:t>30.91211</w:t>
            </w:r>
          </w:p>
        </w:tc>
        <w:tc>
          <w:tcPr>
            <w:tcW w:w="2272" w:type="dxa"/>
            <w:tcBorders>
              <w:top w:val="nil"/>
              <w:left w:val="nil"/>
              <w:bottom w:val="single" w:sz="4" w:space="0" w:color="auto"/>
              <w:right w:val="single" w:sz="4" w:space="0" w:color="auto"/>
            </w:tcBorders>
            <w:shd w:val="clear" w:color="auto" w:fill="auto"/>
            <w:noWrap/>
            <w:vAlign w:val="bottom"/>
          </w:tcPr>
          <w:p w:rsidR="00BB5324" w:rsidRPr="004F52D7" w:rsidRDefault="00BB5324" w:rsidP="00214D5D">
            <w:pPr>
              <w:spacing w:before="0"/>
              <w:jc w:val="left"/>
              <w:rPr>
                <w:rFonts w:cs="Arial"/>
                <w:sz w:val="20"/>
                <w:lang w:eastAsia="en-GB"/>
              </w:rPr>
            </w:pPr>
            <w:r w:rsidRPr="004F52D7">
              <w:rPr>
                <w:rFonts w:cs="Arial"/>
                <w:sz w:val="20"/>
                <w:lang w:eastAsia="en-GB"/>
              </w:rPr>
              <w:t>Low (0.001)</w:t>
            </w:r>
          </w:p>
        </w:tc>
      </w:tr>
    </w:tbl>
    <w:p w:rsidR="008A50FC" w:rsidRDefault="008A50FC" w:rsidP="00EA1BE6">
      <w:r>
        <w:t>Other sources of estimates of diabetes prevalence are shown</w:t>
      </w:r>
      <w:r w:rsidR="00A402C4">
        <w:t xml:space="preserve"> </w:t>
      </w:r>
      <w:r w:rsidR="00A402C4" w:rsidRPr="00A402C4">
        <w:rPr>
          <w:szCs w:val="24"/>
        </w:rPr>
        <w:t>in</w:t>
      </w:r>
      <w:r w:rsidR="009D650E">
        <w:rPr>
          <w:szCs w:val="24"/>
        </w:rPr>
        <w:t xml:space="preserve"> Table 6</w:t>
      </w:r>
      <w:r>
        <w:t xml:space="preserve">. </w:t>
      </w:r>
      <w:r w:rsidR="000652C7">
        <w:t xml:space="preserve">The QOF estimate is lower than the APHO model estimate so the </w:t>
      </w:r>
      <w:r w:rsidR="00A402C4">
        <w:t xml:space="preserve">true </w:t>
      </w:r>
      <w:r w:rsidR="000652C7">
        <w:t xml:space="preserve">prevalence of diabetes may </w:t>
      </w:r>
      <w:r w:rsidR="000652C7" w:rsidRPr="00B92FE3">
        <w:rPr>
          <w:szCs w:val="24"/>
        </w:rPr>
        <w:t xml:space="preserve">actually </w:t>
      </w:r>
      <w:r w:rsidR="00A402C4" w:rsidRPr="00B92FE3">
        <w:rPr>
          <w:szCs w:val="24"/>
        </w:rPr>
        <w:t xml:space="preserve">be higher than is shown by </w:t>
      </w:r>
      <w:r w:rsidR="009D650E">
        <w:rPr>
          <w:szCs w:val="24"/>
        </w:rPr>
        <w:t xml:space="preserve">Figures 5 to 7 and Table 5.  </w:t>
      </w:r>
      <w:r w:rsidR="00A402C4">
        <w:t xml:space="preserve">The APHO estimate includes estimates of undiagnosed </w:t>
      </w:r>
      <w:r w:rsidR="00A402C4">
        <w:lastRenderedPageBreak/>
        <w:t>as well as diagnosed diabetes. The estimated prevalence of diagnosed and undiagnosed diabetes is 10</w:t>
      </w:r>
      <w:r w:rsidR="00CB30E2">
        <w:t xml:space="preserve"> </w:t>
      </w:r>
      <w:r w:rsidR="00976E79">
        <w:t>per cent</w:t>
      </w:r>
      <w:r w:rsidR="00A402C4">
        <w:t xml:space="preserve"> in Merthyr Tydfil.</w:t>
      </w:r>
    </w:p>
    <w:p w:rsidR="00D17C26" w:rsidRDefault="00D17C26" w:rsidP="00F36D22">
      <w:pPr>
        <w:pStyle w:val="Caption"/>
        <w:jc w:val="left"/>
        <w:rPr>
          <w:sz w:val="20"/>
        </w:rPr>
      </w:pPr>
    </w:p>
    <w:p w:rsidR="00F36D22" w:rsidRPr="00F36D22" w:rsidRDefault="00F36D22" w:rsidP="00F36D22">
      <w:pPr>
        <w:pStyle w:val="Caption"/>
        <w:jc w:val="left"/>
        <w:rPr>
          <w:sz w:val="20"/>
        </w:rPr>
      </w:pPr>
      <w:bookmarkStart w:id="136" w:name="_Ref284502371"/>
      <w:bookmarkStart w:id="137" w:name="_Toc302293548"/>
      <w:r w:rsidRPr="00F36D22">
        <w:rPr>
          <w:sz w:val="20"/>
        </w:rPr>
        <w:t xml:space="preserve">Table </w:t>
      </w:r>
      <w:r w:rsidR="001060C2" w:rsidRPr="00F36D22">
        <w:rPr>
          <w:sz w:val="20"/>
        </w:rPr>
        <w:fldChar w:fldCharType="begin"/>
      </w:r>
      <w:r w:rsidRPr="00F36D22">
        <w:rPr>
          <w:sz w:val="20"/>
        </w:rPr>
        <w:instrText xml:space="preserve"> SEQ Table \* ARABIC </w:instrText>
      </w:r>
      <w:r w:rsidR="001060C2" w:rsidRPr="00F36D22">
        <w:rPr>
          <w:sz w:val="20"/>
        </w:rPr>
        <w:fldChar w:fldCharType="separate"/>
      </w:r>
      <w:r w:rsidR="00F96900">
        <w:rPr>
          <w:noProof/>
          <w:sz w:val="20"/>
        </w:rPr>
        <w:t>6</w:t>
      </w:r>
      <w:r w:rsidR="001060C2" w:rsidRPr="00F36D22">
        <w:rPr>
          <w:sz w:val="20"/>
        </w:rPr>
        <w:fldChar w:fldCharType="end"/>
      </w:r>
      <w:bookmarkEnd w:id="136"/>
      <w:r w:rsidR="00296215">
        <w:rPr>
          <w:sz w:val="20"/>
        </w:rPr>
        <w:t xml:space="preserve">. </w:t>
      </w:r>
      <w:r w:rsidRPr="00F36D22">
        <w:rPr>
          <w:sz w:val="20"/>
        </w:rPr>
        <w:t>Estimates of prevalence of diabetes mellitus</w:t>
      </w:r>
      <w:r w:rsidR="00467286">
        <w:rPr>
          <w:sz w:val="20"/>
        </w:rPr>
        <w:t>, Wales, Rhondda Cynon Taf and Merthyr Tydfil, 2009</w:t>
      </w:r>
      <w:bookmarkEnd w:id="137"/>
    </w:p>
    <w:p w:rsidR="00F778EA" w:rsidRDefault="00467286" w:rsidP="009F0980">
      <w:r>
        <w:rPr>
          <w:noProof/>
          <w:lang w:eastAsia="en-GB"/>
        </w:rPr>
        <w:drawing>
          <wp:inline distT="0" distB="0" distL="0" distR="0">
            <wp:extent cx="5768975" cy="637399"/>
            <wp:effectExtent l="19050" t="0" r="3175" b="0"/>
            <wp:docPr id="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5768975" cy="637399"/>
                    </a:xfrm>
                    <a:prstGeom prst="rect">
                      <a:avLst/>
                    </a:prstGeom>
                    <a:noFill/>
                    <a:ln w="9525">
                      <a:noFill/>
                      <a:miter lim="800000"/>
                      <a:headEnd/>
                      <a:tailEnd/>
                    </a:ln>
                  </pic:spPr>
                </pic:pic>
              </a:graphicData>
            </a:graphic>
          </wp:inline>
        </w:drawing>
      </w:r>
    </w:p>
    <w:p w:rsidR="00F778EA" w:rsidRDefault="009D650E" w:rsidP="00F63F36">
      <w:pPr>
        <w:rPr>
          <w:szCs w:val="24"/>
        </w:rPr>
      </w:pPr>
      <w:r>
        <w:rPr>
          <w:szCs w:val="24"/>
        </w:rPr>
        <w:t xml:space="preserve">Figure 8 </w:t>
      </w:r>
      <w:r w:rsidR="00F63F36">
        <w:rPr>
          <w:szCs w:val="24"/>
        </w:rPr>
        <w:t>shows those practices that had unusually high or unusually low levels of patients on the diabetes register who had a blood pressure measurement of less than 145/85.</w:t>
      </w:r>
      <w:r w:rsidR="00F778EA">
        <w:rPr>
          <w:szCs w:val="24"/>
        </w:rPr>
        <w:t xml:space="preserve"> </w:t>
      </w:r>
    </w:p>
    <w:p w:rsidR="00F63F36" w:rsidRDefault="009D650E" w:rsidP="00F63F36">
      <w:pPr>
        <w:rPr>
          <w:szCs w:val="24"/>
        </w:rPr>
      </w:pPr>
      <w:r>
        <w:rPr>
          <w:szCs w:val="24"/>
        </w:rPr>
        <w:t xml:space="preserve">Table 7 </w:t>
      </w:r>
      <w:r w:rsidR="00F63F36" w:rsidRPr="00C24478">
        <w:rPr>
          <w:szCs w:val="24"/>
        </w:rPr>
        <w:t>shows</w:t>
      </w:r>
      <w:r w:rsidR="00F63F36">
        <w:rPr>
          <w:szCs w:val="24"/>
        </w:rPr>
        <w:t xml:space="preserve"> the USOAs in which these practices are based.  There was no particular pattern, but in RCT01, two practices had a high proportion of patients on the diabetes register with a blood pressure measurement of less than 145/85, and no practices in RCT01 had a low proportion of diabetes patients with this measurement.</w:t>
      </w:r>
    </w:p>
    <w:p w:rsidR="00E23C55" w:rsidRDefault="00E23C55" w:rsidP="00F63F36">
      <w:pPr>
        <w:rPr>
          <w:szCs w:val="24"/>
        </w:rPr>
      </w:pPr>
    </w:p>
    <w:p w:rsidR="00371C47" w:rsidRDefault="004537B9" w:rsidP="004537B9">
      <w:pPr>
        <w:pStyle w:val="Caption"/>
        <w:jc w:val="left"/>
        <w:rPr>
          <w:sz w:val="20"/>
        </w:rPr>
      </w:pPr>
      <w:bookmarkStart w:id="138" w:name="_Ref287544003"/>
      <w:bookmarkStart w:id="139" w:name="_Toc291585915"/>
      <w:bookmarkStart w:id="140" w:name="_Toc292463292"/>
      <w:bookmarkStart w:id="141" w:name="_Toc302232619"/>
      <w:r w:rsidRPr="00B236BE">
        <w:rPr>
          <w:sz w:val="20"/>
        </w:rPr>
        <w:t xml:space="preserve">Figure </w:t>
      </w:r>
      <w:r w:rsidR="001060C2" w:rsidRPr="00B236BE">
        <w:rPr>
          <w:sz w:val="20"/>
        </w:rPr>
        <w:fldChar w:fldCharType="begin"/>
      </w:r>
      <w:r w:rsidRPr="00B236BE">
        <w:rPr>
          <w:sz w:val="20"/>
        </w:rPr>
        <w:instrText xml:space="preserve"> SEQ Figure \* ARABIC </w:instrText>
      </w:r>
      <w:r w:rsidR="001060C2" w:rsidRPr="00B236BE">
        <w:rPr>
          <w:sz w:val="20"/>
        </w:rPr>
        <w:fldChar w:fldCharType="separate"/>
      </w:r>
      <w:r w:rsidR="00F96900">
        <w:rPr>
          <w:noProof/>
          <w:sz w:val="20"/>
        </w:rPr>
        <w:t>8</w:t>
      </w:r>
      <w:r w:rsidR="001060C2" w:rsidRPr="00B236BE">
        <w:rPr>
          <w:sz w:val="20"/>
        </w:rPr>
        <w:fldChar w:fldCharType="end"/>
      </w:r>
      <w:bookmarkEnd w:id="138"/>
      <w:r w:rsidR="00296215" w:rsidRPr="00B236BE">
        <w:rPr>
          <w:sz w:val="20"/>
        </w:rPr>
        <w:t xml:space="preserve">. </w:t>
      </w:r>
      <w:r w:rsidR="00371C47" w:rsidRPr="00B236BE">
        <w:rPr>
          <w:sz w:val="20"/>
        </w:rPr>
        <w:t>Management of diabetes</w:t>
      </w:r>
      <w:r w:rsidRPr="00B236BE">
        <w:rPr>
          <w:sz w:val="20"/>
        </w:rPr>
        <w:t>: blood pressure &lt;145/85</w:t>
      </w:r>
      <w:bookmarkEnd w:id="139"/>
      <w:bookmarkEnd w:id="140"/>
      <w:r w:rsidR="00D90D15">
        <w:rPr>
          <w:sz w:val="20"/>
        </w:rPr>
        <w:t>, GP practices, 2009-2010</w:t>
      </w:r>
      <w:bookmarkEnd w:id="141"/>
    </w:p>
    <w:p w:rsidR="00B236BE" w:rsidRDefault="00B236BE" w:rsidP="004537B9">
      <w:r w:rsidRPr="00B236BE">
        <w:rPr>
          <w:noProof/>
          <w:lang w:eastAsia="en-GB"/>
        </w:rPr>
        <w:drawing>
          <wp:inline distT="0" distB="0" distL="0" distR="0">
            <wp:extent cx="5735782" cy="3764478"/>
            <wp:effectExtent l="0" t="0" r="0" b="0"/>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t="5085" b="5367"/>
                    <a:stretch>
                      <a:fillRect/>
                    </a:stretch>
                  </pic:blipFill>
                  <pic:spPr bwMode="auto">
                    <a:xfrm>
                      <a:off x="0" y="0"/>
                      <a:ext cx="5735782" cy="3764478"/>
                    </a:xfrm>
                    <a:prstGeom prst="rect">
                      <a:avLst/>
                    </a:prstGeom>
                    <a:noFill/>
                    <a:ln w="9525">
                      <a:noFill/>
                      <a:miter lim="800000"/>
                      <a:headEnd/>
                      <a:tailEnd/>
                    </a:ln>
                  </pic:spPr>
                </pic:pic>
              </a:graphicData>
            </a:graphic>
          </wp:inline>
        </w:drawing>
      </w:r>
      <w:r w:rsidRPr="00B236BE">
        <w:rPr>
          <w:sz w:val="20"/>
        </w:rPr>
        <w:t>Produced by Public Health Wales Observatory. Source: QOF 2009/10</w:t>
      </w:r>
      <w:r>
        <w:rPr>
          <w:b/>
          <w:sz w:val="20"/>
        </w:rPr>
        <w:t xml:space="preserve">                          </w:t>
      </w:r>
    </w:p>
    <w:p w:rsidR="00015486" w:rsidRDefault="00015486" w:rsidP="00F63F36">
      <w:pPr>
        <w:pStyle w:val="Caption"/>
        <w:jc w:val="left"/>
        <w:rPr>
          <w:sz w:val="20"/>
        </w:rPr>
      </w:pPr>
      <w:bookmarkStart w:id="142" w:name="_Ref287544221"/>
    </w:p>
    <w:p w:rsidR="004537B9" w:rsidRPr="00F0374D" w:rsidRDefault="00F778EA" w:rsidP="00F0374D">
      <w:pPr>
        <w:spacing w:before="0"/>
        <w:jc w:val="left"/>
        <w:rPr>
          <w:b/>
          <w:sz w:val="20"/>
        </w:rPr>
      </w:pPr>
      <w:r>
        <w:rPr>
          <w:sz w:val="20"/>
        </w:rPr>
        <w:br w:type="page"/>
      </w:r>
      <w:bookmarkStart w:id="143" w:name="_Toc302293549"/>
      <w:r w:rsidR="00F63F36" w:rsidRPr="00F0374D">
        <w:rPr>
          <w:b/>
          <w:sz w:val="20"/>
        </w:rPr>
        <w:lastRenderedPageBreak/>
        <w:t xml:space="preserve">Table </w:t>
      </w:r>
      <w:r w:rsidR="001060C2" w:rsidRPr="00F0374D">
        <w:rPr>
          <w:b/>
          <w:sz w:val="20"/>
        </w:rPr>
        <w:fldChar w:fldCharType="begin"/>
      </w:r>
      <w:r w:rsidR="00F63F36" w:rsidRPr="00F0374D">
        <w:rPr>
          <w:b/>
          <w:sz w:val="20"/>
        </w:rPr>
        <w:instrText xml:space="preserve"> SEQ Table \* ARABIC </w:instrText>
      </w:r>
      <w:r w:rsidR="001060C2" w:rsidRPr="00F0374D">
        <w:rPr>
          <w:b/>
          <w:sz w:val="20"/>
        </w:rPr>
        <w:fldChar w:fldCharType="separate"/>
      </w:r>
      <w:r w:rsidR="00F96900">
        <w:rPr>
          <w:b/>
          <w:noProof/>
          <w:sz w:val="20"/>
        </w:rPr>
        <w:t>7</w:t>
      </w:r>
      <w:r w:rsidR="001060C2" w:rsidRPr="00F0374D">
        <w:rPr>
          <w:b/>
          <w:sz w:val="20"/>
        </w:rPr>
        <w:fldChar w:fldCharType="end"/>
      </w:r>
      <w:bookmarkEnd w:id="142"/>
      <w:r w:rsidR="00296215" w:rsidRPr="00F0374D">
        <w:rPr>
          <w:b/>
          <w:sz w:val="20"/>
        </w:rPr>
        <w:t xml:space="preserve">. </w:t>
      </w:r>
      <w:r w:rsidR="004537B9" w:rsidRPr="00F0374D">
        <w:rPr>
          <w:b/>
          <w:sz w:val="20"/>
        </w:rPr>
        <w:t>GP practices in Cwm Taf USOAs with significantly high or low</w:t>
      </w:r>
      <w:r w:rsidR="00CB30E2" w:rsidRPr="00F0374D">
        <w:rPr>
          <w:b/>
          <w:sz w:val="20"/>
        </w:rPr>
        <w:t xml:space="preserve"> </w:t>
      </w:r>
      <w:r w:rsidR="00976E79" w:rsidRPr="00F0374D">
        <w:rPr>
          <w:b/>
          <w:sz w:val="20"/>
        </w:rPr>
        <w:t>per cent</w:t>
      </w:r>
      <w:r w:rsidR="004537B9" w:rsidRPr="00F0374D">
        <w:rPr>
          <w:b/>
          <w:sz w:val="20"/>
        </w:rPr>
        <w:t xml:space="preserve"> of diabetic patients with BP&lt;145/85</w:t>
      </w:r>
      <w:bookmarkEnd w:id="143"/>
    </w:p>
    <w:p w:rsidR="008A3E9C" w:rsidRPr="008A3E9C" w:rsidRDefault="008A3E9C" w:rsidP="008A3E9C"/>
    <w:tbl>
      <w:tblPr>
        <w:tblW w:w="8808" w:type="dxa"/>
        <w:tblInd w:w="89" w:type="dxa"/>
        <w:tblLayout w:type="fixed"/>
        <w:tblLook w:val="0000"/>
      </w:tblPr>
      <w:tblGrid>
        <w:gridCol w:w="2567"/>
        <w:gridCol w:w="3544"/>
        <w:gridCol w:w="2697"/>
      </w:tblGrid>
      <w:tr w:rsidR="005317B0" w:rsidRPr="00412083" w:rsidTr="003B7725">
        <w:trPr>
          <w:trHeight w:val="255"/>
        </w:trPr>
        <w:tc>
          <w:tcPr>
            <w:tcW w:w="2567" w:type="dxa"/>
            <w:tcBorders>
              <w:top w:val="single" w:sz="4" w:space="0" w:color="auto"/>
              <w:left w:val="single" w:sz="4" w:space="0" w:color="auto"/>
              <w:bottom w:val="single" w:sz="4" w:space="0" w:color="auto"/>
              <w:right w:val="single" w:sz="4" w:space="0" w:color="auto"/>
            </w:tcBorders>
            <w:shd w:val="clear" w:color="auto" w:fill="F3F3F3"/>
          </w:tcPr>
          <w:p w:rsidR="005317B0" w:rsidRDefault="005317B0" w:rsidP="004537B9">
            <w:pPr>
              <w:spacing w:before="0"/>
              <w:jc w:val="left"/>
              <w:rPr>
                <w:rFonts w:cs="Arial"/>
                <w:b/>
                <w:sz w:val="20"/>
                <w:lang w:eastAsia="en-GB"/>
              </w:rPr>
            </w:pPr>
            <w:r>
              <w:rPr>
                <w:rFonts w:cs="Arial"/>
                <w:b/>
                <w:sz w:val="20"/>
                <w:lang w:eastAsia="en-GB"/>
              </w:rPr>
              <w:t>USOA in which practice based</w:t>
            </w:r>
          </w:p>
        </w:tc>
        <w:tc>
          <w:tcPr>
            <w:tcW w:w="3544" w:type="dxa"/>
            <w:tcBorders>
              <w:top w:val="single" w:sz="4" w:space="0" w:color="auto"/>
              <w:left w:val="nil"/>
              <w:bottom w:val="single" w:sz="4" w:space="0" w:color="auto"/>
              <w:right w:val="single" w:sz="4" w:space="0" w:color="auto"/>
            </w:tcBorders>
            <w:shd w:val="clear" w:color="auto" w:fill="F3F3F3"/>
            <w:noWrap/>
          </w:tcPr>
          <w:p w:rsidR="005317B0" w:rsidRPr="004F52D7" w:rsidRDefault="005A2851" w:rsidP="004537B9">
            <w:pPr>
              <w:spacing w:before="0"/>
              <w:jc w:val="left"/>
              <w:rPr>
                <w:rFonts w:cs="Arial"/>
                <w:b/>
                <w:sz w:val="20"/>
                <w:lang w:eastAsia="en-GB"/>
              </w:rPr>
            </w:pPr>
            <w:r>
              <w:rPr>
                <w:rFonts w:cs="Arial"/>
                <w:b/>
                <w:sz w:val="20"/>
                <w:lang w:eastAsia="en-GB"/>
              </w:rPr>
              <w:t>P</w:t>
            </w:r>
            <w:r w:rsidR="00976E79">
              <w:rPr>
                <w:rFonts w:cs="Arial"/>
                <w:b/>
                <w:sz w:val="20"/>
                <w:lang w:eastAsia="en-GB"/>
              </w:rPr>
              <w:t>er cent</w:t>
            </w:r>
            <w:r w:rsidR="005317B0">
              <w:rPr>
                <w:rFonts w:cs="Arial"/>
                <w:b/>
                <w:sz w:val="20"/>
                <w:lang w:eastAsia="en-GB"/>
              </w:rPr>
              <w:t xml:space="preserve"> of patients reaching target (</w:t>
            </w:r>
            <w:r w:rsidR="00CB30E2">
              <w:rPr>
                <w:rFonts w:cs="Arial"/>
                <w:b/>
                <w:sz w:val="20"/>
                <w:lang w:eastAsia="en-GB"/>
              </w:rPr>
              <w:t xml:space="preserve"> </w:t>
            </w:r>
            <w:r w:rsidR="00976E79">
              <w:rPr>
                <w:rFonts w:cs="Arial"/>
                <w:b/>
                <w:sz w:val="20"/>
                <w:lang w:eastAsia="en-GB"/>
              </w:rPr>
              <w:t>per cent</w:t>
            </w:r>
            <w:r w:rsidR="005317B0">
              <w:rPr>
                <w:rFonts w:cs="Arial"/>
                <w:b/>
                <w:sz w:val="20"/>
                <w:lang w:eastAsia="en-GB"/>
              </w:rPr>
              <w:t>)</w:t>
            </w:r>
          </w:p>
        </w:tc>
        <w:tc>
          <w:tcPr>
            <w:tcW w:w="2697" w:type="dxa"/>
            <w:tcBorders>
              <w:top w:val="single" w:sz="4" w:space="0" w:color="auto"/>
              <w:left w:val="nil"/>
              <w:bottom w:val="single" w:sz="4" w:space="0" w:color="auto"/>
              <w:right w:val="single" w:sz="4" w:space="0" w:color="auto"/>
            </w:tcBorders>
            <w:shd w:val="clear" w:color="auto" w:fill="F3F3F3"/>
            <w:noWrap/>
          </w:tcPr>
          <w:p w:rsidR="005317B0" w:rsidRPr="004F52D7" w:rsidRDefault="005317B0" w:rsidP="004537B9">
            <w:pPr>
              <w:spacing w:before="0"/>
              <w:jc w:val="left"/>
              <w:rPr>
                <w:rFonts w:cs="Arial"/>
                <w:b/>
                <w:sz w:val="20"/>
                <w:lang w:eastAsia="en-GB"/>
              </w:rPr>
            </w:pPr>
            <w:r w:rsidRPr="004F52D7">
              <w:rPr>
                <w:rFonts w:cs="Arial"/>
                <w:b/>
                <w:sz w:val="20"/>
                <w:lang w:eastAsia="en-GB"/>
              </w:rPr>
              <w:t>Significance</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62.5</w:t>
            </w:r>
          </w:p>
        </w:tc>
        <w:tc>
          <w:tcPr>
            <w:tcW w:w="2697" w:type="dxa"/>
            <w:tcBorders>
              <w:top w:val="nil"/>
              <w:left w:val="nil"/>
              <w:bottom w:val="single" w:sz="4" w:space="0" w:color="auto"/>
              <w:right w:val="single" w:sz="4" w:space="0" w:color="auto"/>
            </w:tcBorders>
            <w:shd w:val="clear" w:color="auto" w:fill="auto"/>
            <w:noWrap/>
            <w:vAlign w:val="bottom"/>
          </w:tcPr>
          <w:p w:rsidR="005317B0" w:rsidRPr="00406B2A" w:rsidRDefault="005317B0" w:rsidP="004537B9">
            <w:pPr>
              <w:spacing w:before="0"/>
              <w:jc w:val="left"/>
              <w:rPr>
                <w:rFonts w:cs="Arial"/>
                <w:b/>
                <w:sz w:val="20"/>
                <w:lang w:eastAsia="en-GB"/>
              </w:rPr>
            </w:pPr>
            <w:r w:rsidRPr="004537B9">
              <w:rPr>
                <w:rFonts w:cs="Arial"/>
                <w:b/>
                <w:sz w:val="20"/>
                <w:lang w:eastAsia="en-GB"/>
              </w:rPr>
              <w:t>Low (0.001)</w:t>
            </w:r>
          </w:p>
        </w:tc>
      </w:tr>
      <w:tr w:rsidR="003B7725" w:rsidRPr="00412083" w:rsidTr="003B7725">
        <w:trPr>
          <w:trHeight w:val="255"/>
        </w:trPr>
        <w:tc>
          <w:tcPr>
            <w:tcW w:w="2567" w:type="dxa"/>
            <w:tcBorders>
              <w:top w:val="nil"/>
              <w:left w:val="single" w:sz="4" w:space="0" w:color="auto"/>
              <w:bottom w:val="single" w:sz="4" w:space="0" w:color="auto"/>
              <w:right w:val="single" w:sz="4" w:space="0" w:color="auto"/>
            </w:tcBorders>
          </w:tcPr>
          <w:p w:rsidR="003B7725" w:rsidRDefault="003B7725" w:rsidP="004537B9">
            <w:pPr>
              <w:spacing w:before="0"/>
              <w:jc w:val="left"/>
              <w:rPr>
                <w:rFonts w:cs="Arial"/>
                <w:sz w:val="20"/>
                <w:lang w:eastAsia="en-GB"/>
              </w:rPr>
            </w:pPr>
            <w:r>
              <w:rPr>
                <w:rFonts w:cs="Arial"/>
                <w:sz w:val="20"/>
                <w:lang w:eastAsia="en-GB"/>
              </w:rPr>
              <w:t>Merthyr01</w:t>
            </w:r>
          </w:p>
        </w:tc>
        <w:tc>
          <w:tcPr>
            <w:tcW w:w="3544" w:type="dxa"/>
            <w:tcBorders>
              <w:top w:val="nil"/>
              <w:left w:val="nil"/>
              <w:bottom w:val="single" w:sz="4" w:space="0" w:color="auto"/>
              <w:right w:val="single" w:sz="4" w:space="0" w:color="auto"/>
            </w:tcBorders>
            <w:shd w:val="clear" w:color="auto" w:fill="auto"/>
            <w:noWrap/>
            <w:vAlign w:val="bottom"/>
          </w:tcPr>
          <w:p w:rsidR="003B7725" w:rsidRPr="004F52D7" w:rsidRDefault="003B7725" w:rsidP="004537B9">
            <w:pPr>
              <w:spacing w:before="0"/>
              <w:jc w:val="left"/>
              <w:rPr>
                <w:rFonts w:cs="Arial"/>
                <w:sz w:val="20"/>
                <w:lang w:eastAsia="en-GB"/>
              </w:rPr>
            </w:pPr>
            <w:r>
              <w:rPr>
                <w:rFonts w:cs="Arial"/>
                <w:sz w:val="20"/>
                <w:lang w:eastAsia="en-GB"/>
              </w:rPr>
              <w:t>54.5</w:t>
            </w:r>
          </w:p>
        </w:tc>
        <w:tc>
          <w:tcPr>
            <w:tcW w:w="2697" w:type="dxa"/>
            <w:tcBorders>
              <w:top w:val="nil"/>
              <w:left w:val="nil"/>
              <w:bottom w:val="single" w:sz="4" w:space="0" w:color="auto"/>
              <w:right w:val="single" w:sz="4" w:space="0" w:color="auto"/>
            </w:tcBorders>
            <w:shd w:val="clear" w:color="auto" w:fill="auto"/>
            <w:noWrap/>
            <w:vAlign w:val="bottom"/>
          </w:tcPr>
          <w:p w:rsidR="003B7725" w:rsidRPr="004537B9" w:rsidRDefault="003B7725"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RCT07</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67.1</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63.4</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53.3</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RCT03</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64.7</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65.6</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63.5</w:t>
            </w:r>
          </w:p>
        </w:tc>
        <w:tc>
          <w:tcPr>
            <w:tcW w:w="2697" w:type="dxa"/>
            <w:tcBorders>
              <w:top w:val="nil"/>
              <w:left w:val="nil"/>
              <w:bottom w:val="single" w:sz="4" w:space="0" w:color="auto"/>
              <w:right w:val="single" w:sz="4" w:space="0" w:color="auto"/>
            </w:tcBorders>
            <w:shd w:val="clear" w:color="auto" w:fill="auto"/>
            <w:noWrap/>
            <w:vAlign w:val="bottom"/>
          </w:tcPr>
          <w:p w:rsidR="005317B0" w:rsidRPr="00406B2A"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62.4</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58.7</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b/>
                <w:sz w:val="20"/>
                <w:lang w:eastAsia="en-GB"/>
              </w:rPr>
            </w:pPr>
            <w:r w:rsidRPr="004537B9">
              <w:rPr>
                <w:rFonts w:cs="Arial"/>
                <w:b/>
                <w:sz w:val="20"/>
                <w:lang w:eastAsia="en-GB"/>
              </w:rPr>
              <w:t>Low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Merthyr01</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87.1</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83.2</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84.4</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80.9</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RCT01</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88.3</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83.9</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89.1</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83.3</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80.7</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91.1</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r w:rsidR="005317B0" w:rsidRPr="00412083" w:rsidTr="003B7725">
        <w:trPr>
          <w:trHeight w:val="255"/>
        </w:trPr>
        <w:tc>
          <w:tcPr>
            <w:tcW w:w="2567" w:type="dxa"/>
            <w:tcBorders>
              <w:top w:val="nil"/>
              <w:left w:val="single" w:sz="4" w:space="0" w:color="auto"/>
              <w:bottom w:val="single" w:sz="4" w:space="0" w:color="auto"/>
              <w:right w:val="single" w:sz="4" w:space="0" w:color="auto"/>
            </w:tcBorders>
          </w:tcPr>
          <w:p w:rsidR="005317B0" w:rsidRDefault="003B7725" w:rsidP="004537B9">
            <w:pPr>
              <w:spacing w:before="0"/>
              <w:jc w:val="left"/>
              <w:rPr>
                <w:rFonts w:cs="Arial"/>
                <w:sz w:val="20"/>
                <w:lang w:eastAsia="en-GB"/>
              </w:rPr>
            </w:pPr>
            <w:r>
              <w:rPr>
                <w:rFonts w:cs="Arial"/>
                <w:sz w:val="20"/>
                <w:lang w:eastAsia="en-GB"/>
              </w:rPr>
              <w:t>RCT01</w:t>
            </w:r>
          </w:p>
        </w:tc>
        <w:tc>
          <w:tcPr>
            <w:tcW w:w="3544" w:type="dxa"/>
            <w:tcBorders>
              <w:top w:val="nil"/>
              <w:left w:val="nil"/>
              <w:bottom w:val="single" w:sz="4" w:space="0" w:color="auto"/>
              <w:right w:val="single" w:sz="4" w:space="0" w:color="auto"/>
            </w:tcBorders>
            <w:shd w:val="clear" w:color="auto" w:fill="auto"/>
            <w:noWrap/>
            <w:vAlign w:val="bottom"/>
          </w:tcPr>
          <w:p w:rsidR="005317B0" w:rsidRPr="004F52D7" w:rsidRDefault="003B7725" w:rsidP="004537B9">
            <w:pPr>
              <w:spacing w:before="0"/>
              <w:jc w:val="left"/>
              <w:rPr>
                <w:rFonts w:cs="Arial"/>
                <w:sz w:val="20"/>
                <w:lang w:eastAsia="en-GB"/>
              </w:rPr>
            </w:pPr>
            <w:r>
              <w:rPr>
                <w:rFonts w:cs="Arial"/>
                <w:sz w:val="20"/>
                <w:lang w:eastAsia="en-GB"/>
              </w:rPr>
              <w:t>88.5</w:t>
            </w:r>
          </w:p>
        </w:tc>
        <w:tc>
          <w:tcPr>
            <w:tcW w:w="2697" w:type="dxa"/>
            <w:tcBorders>
              <w:top w:val="nil"/>
              <w:left w:val="nil"/>
              <w:bottom w:val="single" w:sz="4" w:space="0" w:color="auto"/>
              <w:right w:val="single" w:sz="4" w:space="0" w:color="auto"/>
            </w:tcBorders>
            <w:shd w:val="clear" w:color="auto" w:fill="auto"/>
            <w:noWrap/>
            <w:vAlign w:val="bottom"/>
          </w:tcPr>
          <w:p w:rsidR="005317B0" w:rsidRPr="004537B9" w:rsidRDefault="005317B0" w:rsidP="004537B9">
            <w:pPr>
              <w:spacing w:before="0"/>
              <w:jc w:val="left"/>
              <w:rPr>
                <w:rFonts w:cs="Arial"/>
                <w:sz w:val="20"/>
                <w:lang w:eastAsia="en-GB"/>
              </w:rPr>
            </w:pPr>
            <w:r w:rsidRPr="004537B9">
              <w:rPr>
                <w:rFonts w:cs="Arial"/>
                <w:sz w:val="20"/>
                <w:lang w:eastAsia="en-GB"/>
              </w:rPr>
              <w:t>High (0.001)</w:t>
            </w:r>
          </w:p>
        </w:tc>
      </w:tr>
    </w:tbl>
    <w:p w:rsidR="00875EDD" w:rsidRDefault="00875EDD" w:rsidP="008A3E9C">
      <w:pPr>
        <w:pStyle w:val="Caption"/>
        <w:jc w:val="left"/>
        <w:rPr>
          <w:b w:val="0"/>
          <w:szCs w:val="24"/>
        </w:rPr>
      </w:pPr>
    </w:p>
    <w:p w:rsidR="00875EDD" w:rsidRDefault="009D650E" w:rsidP="00B6102A">
      <w:pPr>
        <w:rPr>
          <w:szCs w:val="24"/>
        </w:rPr>
      </w:pPr>
      <w:r>
        <w:rPr>
          <w:szCs w:val="24"/>
        </w:rPr>
        <w:t xml:space="preserve">Figure 9 </w:t>
      </w:r>
      <w:r w:rsidR="00875EDD" w:rsidRPr="00217DCD">
        <w:rPr>
          <w:szCs w:val="24"/>
        </w:rPr>
        <w:t xml:space="preserve">shows those practices that </w:t>
      </w:r>
      <w:r w:rsidR="00875EDD">
        <w:rPr>
          <w:szCs w:val="24"/>
        </w:rPr>
        <w:t xml:space="preserve">that had unusually high or unusually low levels of patients on the diabetes register who had a </w:t>
      </w:r>
      <w:r w:rsidR="00217DCD">
        <w:rPr>
          <w:szCs w:val="24"/>
        </w:rPr>
        <w:t>HbA1c level of less than 7</w:t>
      </w:r>
      <w:r w:rsidR="00CB30E2">
        <w:rPr>
          <w:szCs w:val="24"/>
        </w:rPr>
        <w:t xml:space="preserve"> </w:t>
      </w:r>
      <w:r w:rsidR="00976E79">
        <w:rPr>
          <w:szCs w:val="24"/>
        </w:rPr>
        <w:t>per cent</w:t>
      </w:r>
      <w:r w:rsidR="00217DCD" w:rsidRPr="00217DCD">
        <w:rPr>
          <w:szCs w:val="24"/>
        </w:rPr>
        <w:t xml:space="preserve">.  </w:t>
      </w:r>
    </w:p>
    <w:p w:rsidR="00B6102A" w:rsidRDefault="00B6102A" w:rsidP="00B6102A">
      <w:pPr>
        <w:rPr>
          <w:b/>
          <w:szCs w:val="24"/>
        </w:rPr>
      </w:pPr>
      <w:r>
        <w:rPr>
          <w:szCs w:val="24"/>
        </w:rPr>
        <w:t xml:space="preserve">Table 8 shows the USOAs in which these practices are based.  Four practices in RCT04 had unusually low levels of patients on the diabetes register with a HbA1c of less than 7 per cent.  This is one of the most deprived USOAs in Cwm Taf. </w:t>
      </w:r>
    </w:p>
    <w:p w:rsidR="00875EDD" w:rsidRPr="00875EDD" w:rsidRDefault="00875EDD" w:rsidP="00875EDD"/>
    <w:p w:rsidR="003B7725" w:rsidRDefault="008A3E9C" w:rsidP="008A3E9C">
      <w:pPr>
        <w:pStyle w:val="Caption"/>
        <w:jc w:val="left"/>
        <w:rPr>
          <w:sz w:val="20"/>
        </w:rPr>
      </w:pPr>
      <w:bookmarkStart w:id="144" w:name="_Ref287544444"/>
      <w:bookmarkStart w:id="145" w:name="_Toc291585916"/>
      <w:bookmarkStart w:id="146" w:name="_Toc292463293"/>
      <w:bookmarkStart w:id="147" w:name="_Toc302232620"/>
      <w:r w:rsidRPr="008A3E9C">
        <w:rPr>
          <w:sz w:val="20"/>
        </w:rPr>
        <w:lastRenderedPageBreak/>
        <w:t xml:space="preserve">Figure </w:t>
      </w:r>
      <w:r w:rsidR="001060C2" w:rsidRPr="008A3E9C">
        <w:rPr>
          <w:sz w:val="20"/>
        </w:rPr>
        <w:fldChar w:fldCharType="begin"/>
      </w:r>
      <w:r w:rsidRPr="008A3E9C">
        <w:rPr>
          <w:sz w:val="20"/>
        </w:rPr>
        <w:instrText xml:space="preserve"> SEQ Figure \* ARABIC </w:instrText>
      </w:r>
      <w:r w:rsidR="001060C2" w:rsidRPr="008A3E9C">
        <w:rPr>
          <w:sz w:val="20"/>
        </w:rPr>
        <w:fldChar w:fldCharType="separate"/>
      </w:r>
      <w:r w:rsidR="00F96900">
        <w:rPr>
          <w:noProof/>
          <w:sz w:val="20"/>
        </w:rPr>
        <w:t>9</w:t>
      </w:r>
      <w:r w:rsidR="001060C2" w:rsidRPr="008A3E9C">
        <w:rPr>
          <w:sz w:val="20"/>
        </w:rPr>
        <w:fldChar w:fldCharType="end"/>
      </w:r>
      <w:bookmarkEnd w:id="144"/>
      <w:r w:rsidR="00296215">
        <w:rPr>
          <w:sz w:val="20"/>
        </w:rPr>
        <w:t xml:space="preserve">. </w:t>
      </w:r>
      <w:r w:rsidRPr="008A3E9C">
        <w:rPr>
          <w:sz w:val="20"/>
        </w:rPr>
        <w:t>Management of diabetes: HbA1c &lt;7</w:t>
      </w:r>
      <w:r w:rsidR="00CB30E2">
        <w:rPr>
          <w:sz w:val="20"/>
        </w:rPr>
        <w:t xml:space="preserve"> </w:t>
      </w:r>
      <w:r w:rsidR="00976E79">
        <w:rPr>
          <w:sz w:val="20"/>
        </w:rPr>
        <w:t>per cent</w:t>
      </w:r>
      <w:bookmarkEnd w:id="145"/>
      <w:bookmarkEnd w:id="146"/>
      <w:r w:rsidR="00D90D15">
        <w:rPr>
          <w:sz w:val="20"/>
        </w:rPr>
        <w:t>, GP practices, 2009-2010</w:t>
      </w:r>
      <w:bookmarkEnd w:id="147"/>
    </w:p>
    <w:p w:rsidR="008A3E9C" w:rsidRDefault="00B236BE" w:rsidP="008A3E9C">
      <w:r w:rsidRPr="00B236BE">
        <w:rPr>
          <w:noProof/>
          <w:lang w:eastAsia="en-GB"/>
        </w:rPr>
        <w:drawing>
          <wp:inline distT="0" distB="0" distL="0" distR="0">
            <wp:extent cx="5664530" cy="3705101"/>
            <wp:effectExtent l="0" t="0" r="0" b="0"/>
            <wp:docPr id="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t="5414" b="5690"/>
                    <a:stretch>
                      <a:fillRect/>
                    </a:stretch>
                  </pic:blipFill>
                  <pic:spPr bwMode="auto">
                    <a:xfrm>
                      <a:off x="0" y="0"/>
                      <a:ext cx="5664530" cy="3705101"/>
                    </a:xfrm>
                    <a:prstGeom prst="rect">
                      <a:avLst/>
                    </a:prstGeom>
                    <a:noFill/>
                    <a:ln w="9525">
                      <a:noFill/>
                      <a:miter lim="800000"/>
                      <a:headEnd/>
                      <a:tailEnd/>
                    </a:ln>
                  </pic:spPr>
                </pic:pic>
              </a:graphicData>
            </a:graphic>
          </wp:inline>
        </w:drawing>
      </w:r>
    </w:p>
    <w:p w:rsidR="00B236BE" w:rsidRDefault="00B236BE" w:rsidP="00B236BE">
      <w:r w:rsidRPr="00B236BE">
        <w:rPr>
          <w:sz w:val="20"/>
        </w:rPr>
        <w:t>Produced by Public Health Wales Observatory. Source: QOF 2009/10</w:t>
      </w:r>
      <w:r>
        <w:rPr>
          <w:b/>
          <w:sz w:val="20"/>
        </w:rPr>
        <w:t xml:space="preserve">                          </w:t>
      </w:r>
    </w:p>
    <w:p w:rsidR="00B236BE" w:rsidRDefault="00B236BE" w:rsidP="008A3E9C">
      <w:pPr>
        <w:pStyle w:val="Caption"/>
        <w:jc w:val="left"/>
        <w:rPr>
          <w:sz w:val="20"/>
        </w:rPr>
      </w:pPr>
      <w:bookmarkStart w:id="148" w:name="_Ref287544586"/>
    </w:p>
    <w:p w:rsidR="008A3E9C" w:rsidRPr="008A3E9C" w:rsidRDefault="008A3E9C" w:rsidP="008A3E9C">
      <w:pPr>
        <w:pStyle w:val="Caption"/>
        <w:jc w:val="left"/>
        <w:rPr>
          <w:sz w:val="20"/>
        </w:rPr>
      </w:pPr>
      <w:bookmarkStart w:id="149" w:name="_Toc302293550"/>
      <w:r w:rsidRPr="008A3E9C">
        <w:rPr>
          <w:sz w:val="20"/>
        </w:rPr>
        <w:t xml:space="preserve">Table </w:t>
      </w:r>
      <w:r w:rsidR="001060C2" w:rsidRPr="008A3E9C">
        <w:rPr>
          <w:sz w:val="20"/>
        </w:rPr>
        <w:fldChar w:fldCharType="begin"/>
      </w:r>
      <w:r w:rsidRPr="008A3E9C">
        <w:rPr>
          <w:sz w:val="20"/>
        </w:rPr>
        <w:instrText xml:space="preserve"> SEQ Table \* ARABIC </w:instrText>
      </w:r>
      <w:r w:rsidR="001060C2" w:rsidRPr="008A3E9C">
        <w:rPr>
          <w:sz w:val="20"/>
        </w:rPr>
        <w:fldChar w:fldCharType="separate"/>
      </w:r>
      <w:r w:rsidR="00F96900">
        <w:rPr>
          <w:noProof/>
          <w:sz w:val="20"/>
        </w:rPr>
        <w:t>8</w:t>
      </w:r>
      <w:r w:rsidR="001060C2" w:rsidRPr="008A3E9C">
        <w:rPr>
          <w:sz w:val="20"/>
        </w:rPr>
        <w:fldChar w:fldCharType="end"/>
      </w:r>
      <w:bookmarkEnd w:id="148"/>
      <w:r w:rsidR="00296215">
        <w:rPr>
          <w:sz w:val="20"/>
        </w:rPr>
        <w:t xml:space="preserve">. </w:t>
      </w:r>
      <w:r w:rsidRPr="008A3E9C">
        <w:rPr>
          <w:sz w:val="20"/>
        </w:rPr>
        <w:t xml:space="preserve">GP practices in Cwm Taf USOAs with significantly high or low </w:t>
      </w:r>
      <w:r w:rsidR="00976E79">
        <w:rPr>
          <w:sz w:val="20"/>
        </w:rPr>
        <w:t>per cent</w:t>
      </w:r>
      <w:r w:rsidRPr="008A3E9C">
        <w:rPr>
          <w:sz w:val="20"/>
        </w:rPr>
        <w:t xml:space="preserve"> of diabetic patients with HbA1c &lt;7</w:t>
      </w:r>
      <w:r w:rsidR="00CB30E2">
        <w:rPr>
          <w:sz w:val="20"/>
        </w:rPr>
        <w:t xml:space="preserve"> </w:t>
      </w:r>
      <w:r w:rsidR="00976E79">
        <w:rPr>
          <w:sz w:val="20"/>
        </w:rPr>
        <w:t>per cent</w:t>
      </w:r>
      <w:bookmarkEnd w:id="149"/>
    </w:p>
    <w:p w:rsidR="008A3E9C" w:rsidRPr="008A3E9C" w:rsidRDefault="008A3E9C" w:rsidP="008A3E9C"/>
    <w:tbl>
      <w:tblPr>
        <w:tblW w:w="8808" w:type="dxa"/>
        <w:tblInd w:w="89" w:type="dxa"/>
        <w:tblLayout w:type="fixed"/>
        <w:tblLook w:val="0000"/>
      </w:tblPr>
      <w:tblGrid>
        <w:gridCol w:w="2567"/>
        <w:gridCol w:w="3544"/>
        <w:gridCol w:w="2697"/>
      </w:tblGrid>
      <w:tr w:rsidR="008A3E9C" w:rsidRPr="004F52D7" w:rsidTr="00CB19CE">
        <w:trPr>
          <w:trHeight w:val="255"/>
        </w:trPr>
        <w:tc>
          <w:tcPr>
            <w:tcW w:w="2567" w:type="dxa"/>
            <w:tcBorders>
              <w:top w:val="single" w:sz="4" w:space="0" w:color="auto"/>
              <w:left w:val="single" w:sz="4" w:space="0" w:color="auto"/>
              <w:bottom w:val="single" w:sz="4" w:space="0" w:color="auto"/>
              <w:right w:val="single" w:sz="4" w:space="0" w:color="auto"/>
            </w:tcBorders>
            <w:shd w:val="clear" w:color="auto" w:fill="F3F3F3"/>
          </w:tcPr>
          <w:p w:rsidR="008A3E9C" w:rsidRDefault="008A3E9C" w:rsidP="008A3E9C">
            <w:pPr>
              <w:spacing w:before="0"/>
              <w:jc w:val="left"/>
              <w:rPr>
                <w:rFonts w:cs="Arial"/>
                <w:b/>
                <w:sz w:val="20"/>
                <w:lang w:eastAsia="en-GB"/>
              </w:rPr>
            </w:pPr>
            <w:r>
              <w:rPr>
                <w:rFonts w:cs="Arial"/>
                <w:b/>
                <w:sz w:val="20"/>
                <w:lang w:eastAsia="en-GB"/>
              </w:rPr>
              <w:t>USOA in which practice based</w:t>
            </w:r>
          </w:p>
        </w:tc>
        <w:tc>
          <w:tcPr>
            <w:tcW w:w="3544" w:type="dxa"/>
            <w:tcBorders>
              <w:top w:val="single" w:sz="4" w:space="0" w:color="auto"/>
              <w:left w:val="nil"/>
              <w:bottom w:val="single" w:sz="4" w:space="0" w:color="auto"/>
              <w:right w:val="single" w:sz="4" w:space="0" w:color="auto"/>
            </w:tcBorders>
            <w:shd w:val="clear" w:color="auto" w:fill="F3F3F3"/>
            <w:noWrap/>
          </w:tcPr>
          <w:p w:rsidR="008A3E9C" w:rsidRPr="004F52D7" w:rsidRDefault="00CB3278" w:rsidP="008A3E9C">
            <w:pPr>
              <w:spacing w:before="0"/>
              <w:jc w:val="left"/>
              <w:rPr>
                <w:rFonts w:cs="Arial"/>
                <w:b/>
                <w:sz w:val="20"/>
                <w:lang w:eastAsia="en-GB"/>
              </w:rPr>
            </w:pPr>
            <w:r>
              <w:rPr>
                <w:rFonts w:cs="Arial"/>
                <w:b/>
                <w:sz w:val="20"/>
                <w:lang w:eastAsia="en-GB"/>
              </w:rPr>
              <w:t>P</w:t>
            </w:r>
            <w:r w:rsidR="00976E79">
              <w:rPr>
                <w:rFonts w:cs="Arial"/>
                <w:b/>
                <w:sz w:val="20"/>
                <w:lang w:eastAsia="en-GB"/>
              </w:rPr>
              <w:t>er cent</w:t>
            </w:r>
            <w:r w:rsidR="008A3E9C">
              <w:rPr>
                <w:rFonts w:cs="Arial"/>
                <w:b/>
                <w:sz w:val="20"/>
                <w:lang w:eastAsia="en-GB"/>
              </w:rPr>
              <w:t xml:space="preserve"> of patients reaching target (</w:t>
            </w:r>
            <w:r w:rsidR="00976E79">
              <w:rPr>
                <w:rFonts w:cs="Arial"/>
                <w:b/>
                <w:sz w:val="20"/>
                <w:lang w:eastAsia="en-GB"/>
              </w:rPr>
              <w:t>per cent</w:t>
            </w:r>
            <w:r w:rsidR="008A3E9C">
              <w:rPr>
                <w:rFonts w:cs="Arial"/>
                <w:b/>
                <w:sz w:val="20"/>
                <w:lang w:eastAsia="en-GB"/>
              </w:rPr>
              <w:t>)</w:t>
            </w:r>
          </w:p>
        </w:tc>
        <w:tc>
          <w:tcPr>
            <w:tcW w:w="2697" w:type="dxa"/>
            <w:tcBorders>
              <w:top w:val="single" w:sz="4" w:space="0" w:color="auto"/>
              <w:left w:val="nil"/>
              <w:bottom w:val="single" w:sz="4" w:space="0" w:color="auto"/>
              <w:right w:val="single" w:sz="4" w:space="0" w:color="auto"/>
            </w:tcBorders>
            <w:shd w:val="clear" w:color="auto" w:fill="F3F3F3"/>
            <w:noWrap/>
          </w:tcPr>
          <w:p w:rsidR="008A3E9C" w:rsidRPr="004F52D7" w:rsidRDefault="008A3E9C" w:rsidP="008A3E9C">
            <w:pPr>
              <w:spacing w:before="0"/>
              <w:jc w:val="left"/>
              <w:rPr>
                <w:rFonts w:cs="Arial"/>
                <w:b/>
                <w:sz w:val="20"/>
                <w:lang w:eastAsia="en-GB"/>
              </w:rPr>
            </w:pPr>
            <w:r w:rsidRPr="004F52D7">
              <w:rPr>
                <w:rFonts w:cs="Arial"/>
                <w:b/>
                <w:sz w:val="20"/>
                <w:lang w:eastAsia="en-GB"/>
              </w:rPr>
              <w:t>Significance</w:t>
            </w:r>
          </w:p>
        </w:tc>
      </w:tr>
      <w:tr w:rsidR="008A3E9C" w:rsidRPr="00406B2A" w:rsidTr="00CB19CE">
        <w:trPr>
          <w:trHeight w:val="255"/>
        </w:trPr>
        <w:tc>
          <w:tcPr>
            <w:tcW w:w="2567" w:type="dxa"/>
            <w:tcBorders>
              <w:top w:val="nil"/>
              <w:left w:val="single" w:sz="4" w:space="0" w:color="auto"/>
              <w:bottom w:val="single" w:sz="4" w:space="0" w:color="auto"/>
              <w:right w:val="single" w:sz="4" w:space="0" w:color="auto"/>
            </w:tcBorders>
          </w:tcPr>
          <w:p w:rsidR="008A3E9C" w:rsidRDefault="00CB19CE" w:rsidP="008A3E9C">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8A3E9C" w:rsidRPr="004F52D7" w:rsidRDefault="00CB19CE" w:rsidP="008A3E9C">
            <w:pPr>
              <w:spacing w:before="0"/>
              <w:jc w:val="left"/>
              <w:rPr>
                <w:rFonts w:cs="Arial"/>
                <w:sz w:val="20"/>
                <w:lang w:eastAsia="en-GB"/>
              </w:rPr>
            </w:pPr>
            <w:r>
              <w:rPr>
                <w:rFonts w:cs="Arial"/>
                <w:sz w:val="20"/>
                <w:lang w:eastAsia="en-GB"/>
              </w:rPr>
              <w:t>35.5</w:t>
            </w:r>
          </w:p>
        </w:tc>
        <w:tc>
          <w:tcPr>
            <w:tcW w:w="2697" w:type="dxa"/>
            <w:tcBorders>
              <w:top w:val="nil"/>
              <w:left w:val="nil"/>
              <w:bottom w:val="single" w:sz="4" w:space="0" w:color="auto"/>
              <w:right w:val="single" w:sz="4" w:space="0" w:color="auto"/>
            </w:tcBorders>
            <w:shd w:val="clear" w:color="auto" w:fill="auto"/>
            <w:noWrap/>
            <w:vAlign w:val="bottom"/>
          </w:tcPr>
          <w:p w:rsidR="008A3E9C" w:rsidRPr="00406B2A" w:rsidRDefault="008A3E9C" w:rsidP="008A3E9C">
            <w:pPr>
              <w:spacing w:before="0"/>
              <w:jc w:val="left"/>
              <w:rPr>
                <w:rFonts w:cs="Arial"/>
                <w:b/>
                <w:sz w:val="20"/>
                <w:lang w:eastAsia="en-GB"/>
              </w:rPr>
            </w:pPr>
            <w:r w:rsidRPr="004537B9">
              <w:rPr>
                <w:rFonts w:cs="Arial"/>
                <w:b/>
                <w:sz w:val="20"/>
                <w:lang w:eastAsia="en-GB"/>
              </w:rPr>
              <w:t>Low (0.001)</w:t>
            </w:r>
          </w:p>
        </w:tc>
      </w:tr>
      <w:tr w:rsidR="00CB19CE" w:rsidRPr="00406B2A"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Merthyr01</w:t>
            </w:r>
          </w:p>
        </w:tc>
        <w:tc>
          <w:tcPr>
            <w:tcW w:w="3544" w:type="dxa"/>
            <w:tcBorders>
              <w:top w:val="nil"/>
              <w:left w:val="nil"/>
              <w:bottom w:val="single" w:sz="4" w:space="0" w:color="auto"/>
              <w:right w:val="single" w:sz="4" w:space="0" w:color="auto"/>
            </w:tcBorders>
            <w:shd w:val="clear" w:color="auto" w:fill="auto"/>
            <w:noWrap/>
            <w:vAlign w:val="bottom"/>
          </w:tcPr>
          <w:p w:rsidR="00CB19CE" w:rsidRDefault="00CB19CE" w:rsidP="008A3E9C">
            <w:pPr>
              <w:spacing w:before="0"/>
              <w:jc w:val="left"/>
              <w:rPr>
                <w:rFonts w:cs="Arial"/>
                <w:sz w:val="20"/>
                <w:lang w:eastAsia="en-GB"/>
              </w:rPr>
            </w:pPr>
            <w:r>
              <w:rPr>
                <w:rFonts w:cs="Arial"/>
                <w:sz w:val="20"/>
                <w:lang w:eastAsia="en-GB"/>
              </w:rPr>
              <w:t>38.1</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8A3E9C" w:rsidRPr="004537B9" w:rsidTr="00CB19CE">
        <w:trPr>
          <w:trHeight w:val="255"/>
        </w:trPr>
        <w:tc>
          <w:tcPr>
            <w:tcW w:w="2567" w:type="dxa"/>
            <w:tcBorders>
              <w:top w:val="nil"/>
              <w:left w:val="single" w:sz="4" w:space="0" w:color="auto"/>
              <w:bottom w:val="single" w:sz="4" w:space="0" w:color="auto"/>
              <w:right w:val="single" w:sz="4" w:space="0" w:color="auto"/>
            </w:tcBorders>
          </w:tcPr>
          <w:p w:rsidR="008A3E9C" w:rsidRDefault="00CB19CE" w:rsidP="008A3E9C">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8A3E9C" w:rsidRPr="004F52D7" w:rsidRDefault="00CB19CE" w:rsidP="008A3E9C">
            <w:pPr>
              <w:spacing w:before="0"/>
              <w:jc w:val="left"/>
              <w:rPr>
                <w:rFonts w:cs="Arial"/>
                <w:sz w:val="20"/>
                <w:lang w:eastAsia="en-GB"/>
              </w:rPr>
            </w:pPr>
            <w:r>
              <w:rPr>
                <w:rFonts w:cs="Arial"/>
                <w:sz w:val="20"/>
                <w:lang w:eastAsia="en-GB"/>
              </w:rPr>
              <w:t>35.7</w:t>
            </w:r>
          </w:p>
        </w:tc>
        <w:tc>
          <w:tcPr>
            <w:tcW w:w="2697" w:type="dxa"/>
            <w:tcBorders>
              <w:top w:val="nil"/>
              <w:left w:val="nil"/>
              <w:bottom w:val="single" w:sz="4" w:space="0" w:color="auto"/>
              <w:right w:val="single" w:sz="4" w:space="0" w:color="auto"/>
            </w:tcBorders>
            <w:shd w:val="clear" w:color="auto" w:fill="auto"/>
            <w:noWrap/>
            <w:vAlign w:val="bottom"/>
          </w:tcPr>
          <w:p w:rsidR="008A3E9C" w:rsidRPr="004537B9" w:rsidRDefault="008A3E9C" w:rsidP="008A3E9C">
            <w:pPr>
              <w:spacing w:before="0"/>
              <w:jc w:val="left"/>
              <w:rPr>
                <w:rFonts w:cs="Arial"/>
                <w:b/>
                <w:sz w:val="20"/>
                <w:lang w:eastAsia="en-GB"/>
              </w:rPr>
            </w:pPr>
            <w:r w:rsidRPr="004537B9">
              <w:rPr>
                <w:rFonts w:cs="Arial"/>
                <w:b/>
                <w:sz w:val="20"/>
                <w:lang w:eastAsia="en-GB"/>
              </w:rPr>
              <w:t>Low (0.001)</w:t>
            </w:r>
          </w:p>
        </w:tc>
      </w:tr>
      <w:tr w:rsidR="008A3E9C" w:rsidRPr="004537B9" w:rsidTr="00CB19CE">
        <w:trPr>
          <w:trHeight w:val="255"/>
        </w:trPr>
        <w:tc>
          <w:tcPr>
            <w:tcW w:w="2567" w:type="dxa"/>
            <w:tcBorders>
              <w:top w:val="nil"/>
              <w:left w:val="single" w:sz="4" w:space="0" w:color="auto"/>
              <w:bottom w:val="single" w:sz="4" w:space="0" w:color="auto"/>
              <w:right w:val="single" w:sz="4" w:space="0" w:color="auto"/>
            </w:tcBorders>
          </w:tcPr>
          <w:p w:rsidR="008A3E9C" w:rsidRDefault="00CB19CE" w:rsidP="008A3E9C">
            <w:pPr>
              <w:spacing w:before="0"/>
              <w:jc w:val="left"/>
              <w:rPr>
                <w:rFonts w:cs="Arial"/>
                <w:sz w:val="20"/>
                <w:lang w:eastAsia="en-GB"/>
              </w:rPr>
            </w:pPr>
            <w:r>
              <w:rPr>
                <w:rFonts w:cs="Arial"/>
                <w:sz w:val="20"/>
                <w:lang w:eastAsia="en-GB"/>
              </w:rPr>
              <w:t>RCT07</w:t>
            </w:r>
          </w:p>
        </w:tc>
        <w:tc>
          <w:tcPr>
            <w:tcW w:w="3544" w:type="dxa"/>
            <w:tcBorders>
              <w:top w:val="nil"/>
              <w:left w:val="nil"/>
              <w:bottom w:val="single" w:sz="4" w:space="0" w:color="auto"/>
              <w:right w:val="single" w:sz="4" w:space="0" w:color="auto"/>
            </w:tcBorders>
            <w:shd w:val="clear" w:color="auto" w:fill="auto"/>
            <w:noWrap/>
            <w:vAlign w:val="bottom"/>
          </w:tcPr>
          <w:p w:rsidR="008A3E9C" w:rsidRPr="004F52D7" w:rsidRDefault="00CB19CE" w:rsidP="008A3E9C">
            <w:pPr>
              <w:spacing w:before="0"/>
              <w:jc w:val="left"/>
              <w:rPr>
                <w:rFonts w:cs="Arial"/>
                <w:sz w:val="20"/>
                <w:lang w:eastAsia="en-GB"/>
              </w:rPr>
            </w:pPr>
            <w:r>
              <w:rPr>
                <w:rFonts w:cs="Arial"/>
                <w:sz w:val="20"/>
                <w:lang w:eastAsia="en-GB"/>
              </w:rPr>
              <w:t>34.0</w:t>
            </w:r>
          </w:p>
        </w:tc>
        <w:tc>
          <w:tcPr>
            <w:tcW w:w="2697" w:type="dxa"/>
            <w:tcBorders>
              <w:top w:val="nil"/>
              <w:left w:val="nil"/>
              <w:bottom w:val="single" w:sz="4" w:space="0" w:color="auto"/>
              <w:right w:val="single" w:sz="4" w:space="0" w:color="auto"/>
            </w:tcBorders>
            <w:shd w:val="clear" w:color="auto" w:fill="auto"/>
            <w:noWrap/>
            <w:vAlign w:val="bottom"/>
          </w:tcPr>
          <w:p w:rsidR="008A3E9C" w:rsidRPr="004537B9" w:rsidRDefault="008A3E9C"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39.8</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37.1</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32.4</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36.7</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34.0</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34.2</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RCT04</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38.8</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37.5</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32.2</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CB19CE" w:rsidRPr="004537B9" w:rsidTr="00CB19CE">
        <w:trPr>
          <w:trHeight w:val="255"/>
        </w:trPr>
        <w:tc>
          <w:tcPr>
            <w:tcW w:w="2567" w:type="dxa"/>
            <w:tcBorders>
              <w:top w:val="nil"/>
              <w:left w:val="single" w:sz="4" w:space="0" w:color="auto"/>
              <w:bottom w:val="single" w:sz="4" w:space="0" w:color="auto"/>
              <w:right w:val="single" w:sz="4" w:space="0" w:color="auto"/>
            </w:tcBorders>
          </w:tcPr>
          <w:p w:rsidR="00CB19CE" w:rsidRDefault="00CB19CE" w:rsidP="008A3E9C">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CB19CE" w:rsidRPr="004F52D7" w:rsidRDefault="00CB19CE" w:rsidP="008A3E9C">
            <w:pPr>
              <w:spacing w:before="0"/>
              <w:jc w:val="left"/>
              <w:rPr>
                <w:rFonts w:cs="Arial"/>
                <w:sz w:val="20"/>
                <w:lang w:eastAsia="en-GB"/>
              </w:rPr>
            </w:pPr>
            <w:r>
              <w:rPr>
                <w:rFonts w:cs="Arial"/>
                <w:sz w:val="20"/>
                <w:lang w:eastAsia="en-GB"/>
              </w:rPr>
              <w:t>36.6</w:t>
            </w:r>
          </w:p>
        </w:tc>
        <w:tc>
          <w:tcPr>
            <w:tcW w:w="2697" w:type="dxa"/>
            <w:tcBorders>
              <w:top w:val="nil"/>
              <w:left w:val="nil"/>
              <w:bottom w:val="single" w:sz="4" w:space="0" w:color="auto"/>
              <w:right w:val="single" w:sz="4" w:space="0" w:color="auto"/>
            </w:tcBorders>
            <w:shd w:val="clear" w:color="auto" w:fill="auto"/>
            <w:noWrap/>
            <w:vAlign w:val="bottom"/>
          </w:tcPr>
          <w:p w:rsidR="00CB19CE" w:rsidRPr="004537B9" w:rsidRDefault="00CB19CE" w:rsidP="008A3E9C">
            <w:pPr>
              <w:spacing w:before="0"/>
              <w:jc w:val="left"/>
              <w:rPr>
                <w:rFonts w:cs="Arial"/>
                <w:b/>
                <w:sz w:val="20"/>
                <w:lang w:eastAsia="en-GB"/>
              </w:rPr>
            </w:pPr>
            <w:r w:rsidRPr="004537B9">
              <w:rPr>
                <w:rFonts w:cs="Arial"/>
                <w:b/>
                <w:sz w:val="20"/>
                <w:lang w:eastAsia="en-GB"/>
              </w:rPr>
              <w:t>Low (0.001)</w:t>
            </w:r>
          </w:p>
        </w:tc>
      </w:tr>
      <w:tr w:rsidR="008A3E9C" w:rsidRPr="004537B9" w:rsidTr="00CB19CE">
        <w:trPr>
          <w:trHeight w:val="255"/>
        </w:trPr>
        <w:tc>
          <w:tcPr>
            <w:tcW w:w="2567" w:type="dxa"/>
            <w:tcBorders>
              <w:top w:val="nil"/>
              <w:left w:val="single" w:sz="4" w:space="0" w:color="auto"/>
              <w:bottom w:val="single" w:sz="4" w:space="0" w:color="auto"/>
              <w:right w:val="single" w:sz="4" w:space="0" w:color="auto"/>
            </w:tcBorders>
          </w:tcPr>
          <w:p w:rsidR="008A3E9C" w:rsidRDefault="00CB19CE" w:rsidP="007D3F5D">
            <w:pPr>
              <w:spacing w:before="0"/>
              <w:jc w:val="left"/>
              <w:rPr>
                <w:rFonts w:cs="Arial"/>
                <w:sz w:val="20"/>
                <w:lang w:eastAsia="en-GB"/>
              </w:rPr>
            </w:pPr>
            <w:r>
              <w:rPr>
                <w:rFonts w:cs="Arial"/>
                <w:sz w:val="20"/>
                <w:lang w:eastAsia="en-GB"/>
              </w:rPr>
              <w:t>RCT01</w:t>
            </w:r>
          </w:p>
        </w:tc>
        <w:tc>
          <w:tcPr>
            <w:tcW w:w="3544" w:type="dxa"/>
            <w:tcBorders>
              <w:top w:val="nil"/>
              <w:left w:val="nil"/>
              <w:bottom w:val="single" w:sz="4" w:space="0" w:color="auto"/>
              <w:right w:val="single" w:sz="4" w:space="0" w:color="auto"/>
            </w:tcBorders>
            <w:shd w:val="clear" w:color="auto" w:fill="auto"/>
            <w:noWrap/>
            <w:vAlign w:val="bottom"/>
          </w:tcPr>
          <w:p w:rsidR="008A3E9C" w:rsidRPr="004F52D7" w:rsidRDefault="00CB19CE" w:rsidP="007D3F5D">
            <w:pPr>
              <w:spacing w:before="0"/>
              <w:jc w:val="left"/>
              <w:rPr>
                <w:rFonts w:cs="Arial"/>
                <w:sz w:val="20"/>
                <w:lang w:eastAsia="en-GB"/>
              </w:rPr>
            </w:pPr>
            <w:r>
              <w:rPr>
                <w:rFonts w:cs="Arial"/>
                <w:sz w:val="20"/>
                <w:lang w:eastAsia="en-GB"/>
              </w:rPr>
              <w:t>57.7</w:t>
            </w:r>
          </w:p>
        </w:tc>
        <w:tc>
          <w:tcPr>
            <w:tcW w:w="2697" w:type="dxa"/>
            <w:tcBorders>
              <w:top w:val="nil"/>
              <w:left w:val="nil"/>
              <w:bottom w:val="single" w:sz="4" w:space="0" w:color="auto"/>
              <w:right w:val="single" w:sz="4" w:space="0" w:color="auto"/>
            </w:tcBorders>
            <w:shd w:val="clear" w:color="auto" w:fill="auto"/>
            <w:noWrap/>
            <w:vAlign w:val="bottom"/>
          </w:tcPr>
          <w:p w:rsidR="008A3E9C" w:rsidRPr="00CB19CE" w:rsidRDefault="00CB19CE" w:rsidP="007D3F5D">
            <w:pPr>
              <w:spacing w:before="0"/>
              <w:jc w:val="left"/>
              <w:rPr>
                <w:rFonts w:cs="Arial"/>
                <w:sz w:val="20"/>
                <w:lang w:eastAsia="en-GB"/>
              </w:rPr>
            </w:pPr>
            <w:r w:rsidRPr="00CB19CE">
              <w:rPr>
                <w:rFonts w:cs="Arial"/>
                <w:sz w:val="20"/>
                <w:lang w:eastAsia="en-GB"/>
              </w:rPr>
              <w:t>High (0.001)</w:t>
            </w:r>
          </w:p>
        </w:tc>
      </w:tr>
    </w:tbl>
    <w:p w:rsidR="00217DCD" w:rsidRDefault="009D650E" w:rsidP="000B7331">
      <w:pPr>
        <w:rPr>
          <w:szCs w:val="24"/>
        </w:rPr>
      </w:pPr>
      <w:r>
        <w:rPr>
          <w:szCs w:val="24"/>
        </w:rPr>
        <w:t xml:space="preserve">Figure 10 </w:t>
      </w:r>
      <w:r w:rsidR="00217DCD" w:rsidRPr="00217DCD">
        <w:rPr>
          <w:szCs w:val="24"/>
        </w:rPr>
        <w:t xml:space="preserve">shows those practices that </w:t>
      </w:r>
      <w:r w:rsidR="00217DCD">
        <w:rPr>
          <w:szCs w:val="24"/>
        </w:rPr>
        <w:t>that had unusually high or unusually low levels of patients on the diabetes register who had a HbA1c level of less than 9</w:t>
      </w:r>
      <w:r w:rsidR="00CB30E2">
        <w:rPr>
          <w:szCs w:val="24"/>
        </w:rPr>
        <w:t xml:space="preserve"> </w:t>
      </w:r>
      <w:r w:rsidR="00976E79">
        <w:rPr>
          <w:szCs w:val="24"/>
        </w:rPr>
        <w:t>per cent</w:t>
      </w:r>
      <w:r w:rsidR="00217DCD" w:rsidRPr="00217DCD">
        <w:rPr>
          <w:szCs w:val="24"/>
        </w:rPr>
        <w:t xml:space="preserve">. </w:t>
      </w:r>
      <w:r w:rsidR="000B7331">
        <w:rPr>
          <w:szCs w:val="24"/>
        </w:rPr>
        <w:t xml:space="preserve"> </w:t>
      </w:r>
    </w:p>
    <w:p w:rsidR="000B7331" w:rsidRDefault="000B7331" w:rsidP="000B7331">
      <w:pPr>
        <w:rPr>
          <w:szCs w:val="24"/>
        </w:rPr>
      </w:pPr>
      <w:r>
        <w:rPr>
          <w:szCs w:val="24"/>
        </w:rPr>
        <w:lastRenderedPageBreak/>
        <w:t>Table 9 shows the USOAs in which these practices are based.  Three practices in Merthyr02 had unusually low levels of patients on the diabetes register with a HbA1c of less than 9 per cent.  This is one of the most deprived USOAs in Cwm Taf.</w:t>
      </w:r>
    </w:p>
    <w:p w:rsidR="000B7331" w:rsidRPr="00F63F36" w:rsidRDefault="000B7331" w:rsidP="000B7331">
      <w:pPr>
        <w:rPr>
          <w:szCs w:val="24"/>
        </w:rPr>
      </w:pPr>
    </w:p>
    <w:p w:rsidR="007D3F5D" w:rsidRDefault="007D3F5D" w:rsidP="007D3F5D">
      <w:pPr>
        <w:pStyle w:val="Caption"/>
        <w:jc w:val="left"/>
        <w:rPr>
          <w:sz w:val="20"/>
        </w:rPr>
      </w:pPr>
      <w:bookmarkStart w:id="150" w:name="_Ref287544725"/>
      <w:bookmarkStart w:id="151" w:name="_Toc291585917"/>
      <w:bookmarkStart w:id="152" w:name="_Toc292463294"/>
      <w:bookmarkStart w:id="153" w:name="_Toc302232621"/>
      <w:r w:rsidRPr="007D3F5D">
        <w:rPr>
          <w:sz w:val="20"/>
        </w:rPr>
        <w:t xml:space="preserve">Figure </w:t>
      </w:r>
      <w:r w:rsidR="001060C2" w:rsidRPr="007D3F5D">
        <w:rPr>
          <w:sz w:val="20"/>
        </w:rPr>
        <w:fldChar w:fldCharType="begin"/>
      </w:r>
      <w:r w:rsidRPr="007D3F5D">
        <w:rPr>
          <w:sz w:val="20"/>
        </w:rPr>
        <w:instrText xml:space="preserve"> SEQ Figure \* ARABIC </w:instrText>
      </w:r>
      <w:r w:rsidR="001060C2" w:rsidRPr="007D3F5D">
        <w:rPr>
          <w:sz w:val="20"/>
        </w:rPr>
        <w:fldChar w:fldCharType="separate"/>
      </w:r>
      <w:r w:rsidR="00F96900">
        <w:rPr>
          <w:noProof/>
          <w:sz w:val="20"/>
        </w:rPr>
        <w:t>10</w:t>
      </w:r>
      <w:r w:rsidR="001060C2" w:rsidRPr="007D3F5D">
        <w:rPr>
          <w:sz w:val="20"/>
        </w:rPr>
        <w:fldChar w:fldCharType="end"/>
      </w:r>
      <w:bookmarkEnd w:id="150"/>
      <w:r w:rsidR="00296215">
        <w:rPr>
          <w:sz w:val="20"/>
        </w:rPr>
        <w:t xml:space="preserve">. </w:t>
      </w:r>
      <w:r w:rsidRPr="007D3F5D">
        <w:rPr>
          <w:sz w:val="20"/>
        </w:rPr>
        <w:t>Management of diabetes: HbA1c &lt;9</w:t>
      </w:r>
      <w:r w:rsidR="00CB30E2">
        <w:rPr>
          <w:sz w:val="20"/>
        </w:rPr>
        <w:t xml:space="preserve"> </w:t>
      </w:r>
      <w:r w:rsidR="00976E79">
        <w:rPr>
          <w:sz w:val="20"/>
        </w:rPr>
        <w:t>per cent</w:t>
      </w:r>
      <w:bookmarkEnd w:id="151"/>
      <w:bookmarkEnd w:id="152"/>
      <w:r w:rsidR="00D90D15">
        <w:rPr>
          <w:sz w:val="20"/>
        </w:rPr>
        <w:t>, GP practices, 2009-2010</w:t>
      </w:r>
      <w:bookmarkEnd w:id="153"/>
    </w:p>
    <w:p w:rsidR="007D3F5D" w:rsidRDefault="00B236BE" w:rsidP="00CF2B92">
      <w:r w:rsidRPr="00B236BE">
        <w:rPr>
          <w:noProof/>
          <w:lang w:eastAsia="en-GB"/>
        </w:rPr>
        <w:drawing>
          <wp:inline distT="0" distB="0" distL="0" distR="0">
            <wp:extent cx="5438899" cy="3538846"/>
            <wp:effectExtent l="0" t="0" r="0" b="0"/>
            <wp:docPr id="5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t="5060" b="6250"/>
                    <a:stretch>
                      <a:fillRect/>
                    </a:stretch>
                  </pic:blipFill>
                  <pic:spPr bwMode="auto">
                    <a:xfrm>
                      <a:off x="0" y="0"/>
                      <a:ext cx="5438899" cy="3538846"/>
                    </a:xfrm>
                    <a:prstGeom prst="rect">
                      <a:avLst/>
                    </a:prstGeom>
                    <a:noFill/>
                    <a:ln w="9525">
                      <a:noFill/>
                      <a:miter lim="800000"/>
                      <a:headEnd/>
                      <a:tailEnd/>
                    </a:ln>
                  </pic:spPr>
                </pic:pic>
              </a:graphicData>
            </a:graphic>
          </wp:inline>
        </w:drawing>
      </w:r>
    </w:p>
    <w:p w:rsidR="00B236BE" w:rsidRDefault="00B236BE" w:rsidP="00B236BE">
      <w:r w:rsidRPr="00B236BE">
        <w:rPr>
          <w:sz w:val="20"/>
        </w:rPr>
        <w:t>Produced by Public Health Wales Observatory. Source: QOF 2009/10</w:t>
      </w:r>
      <w:r>
        <w:rPr>
          <w:b/>
          <w:sz w:val="20"/>
        </w:rPr>
        <w:t xml:space="preserve">                          </w:t>
      </w:r>
    </w:p>
    <w:p w:rsidR="00B236BE" w:rsidRDefault="00B236BE" w:rsidP="007D3F5D">
      <w:pPr>
        <w:pStyle w:val="Caption"/>
        <w:jc w:val="left"/>
        <w:rPr>
          <w:sz w:val="20"/>
        </w:rPr>
      </w:pPr>
      <w:bookmarkStart w:id="154" w:name="_Ref287544791"/>
    </w:p>
    <w:p w:rsidR="007D3F5D" w:rsidRDefault="007D3F5D" w:rsidP="007D3F5D">
      <w:pPr>
        <w:pStyle w:val="Caption"/>
        <w:jc w:val="left"/>
        <w:rPr>
          <w:sz w:val="20"/>
        </w:rPr>
      </w:pPr>
      <w:bookmarkStart w:id="155" w:name="_Toc302293551"/>
      <w:r w:rsidRPr="007D3F5D">
        <w:rPr>
          <w:sz w:val="20"/>
        </w:rPr>
        <w:t xml:space="preserve">Table </w:t>
      </w:r>
      <w:r w:rsidR="001060C2" w:rsidRPr="007D3F5D">
        <w:rPr>
          <w:sz w:val="20"/>
        </w:rPr>
        <w:fldChar w:fldCharType="begin"/>
      </w:r>
      <w:r w:rsidRPr="007D3F5D">
        <w:rPr>
          <w:sz w:val="20"/>
        </w:rPr>
        <w:instrText xml:space="preserve"> SEQ Table \* ARABIC </w:instrText>
      </w:r>
      <w:r w:rsidR="001060C2" w:rsidRPr="007D3F5D">
        <w:rPr>
          <w:sz w:val="20"/>
        </w:rPr>
        <w:fldChar w:fldCharType="separate"/>
      </w:r>
      <w:r w:rsidR="00F96900">
        <w:rPr>
          <w:noProof/>
          <w:sz w:val="20"/>
        </w:rPr>
        <w:t>9</w:t>
      </w:r>
      <w:r w:rsidR="001060C2" w:rsidRPr="007D3F5D">
        <w:rPr>
          <w:sz w:val="20"/>
        </w:rPr>
        <w:fldChar w:fldCharType="end"/>
      </w:r>
      <w:bookmarkEnd w:id="154"/>
      <w:r w:rsidR="00296215">
        <w:rPr>
          <w:sz w:val="20"/>
        </w:rPr>
        <w:t xml:space="preserve">. </w:t>
      </w:r>
      <w:r w:rsidRPr="007D3F5D">
        <w:rPr>
          <w:sz w:val="20"/>
        </w:rPr>
        <w:t xml:space="preserve">GP practices in Cwm Taf USOAs with significantly high or low </w:t>
      </w:r>
      <w:r w:rsidR="00CB30E2">
        <w:rPr>
          <w:sz w:val="20"/>
        </w:rPr>
        <w:t xml:space="preserve"> </w:t>
      </w:r>
      <w:r w:rsidR="00976E79">
        <w:rPr>
          <w:sz w:val="20"/>
        </w:rPr>
        <w:t>per cent</w:t>
      </w:r>
      <w:r w:rsidRPr="007D3F5D">
        <w:rPr>
          <w:sz w:val="20"/>
        </w:rPr>
        <w:t xml:space="preserve"> of diabetic patients with HbA1c &lt;9</w:t>
      </w:r>
      <w:r w:rsidR="00CB30E2">
        <w:rPr>
          <w:sz w:val="20"/>
        </w:rPr>
        <w:t xml:space="preserve"> </w:t>
      </w:r>
      <w:r w:rsidR="00976E79">
        <w:rPr>
          <w:sz w:val="20"/>
        </w:rPr>
        <w:t>per cent</w:t>
      </w:r>
      <w:bookmarkEnd w:id="155"/>
    </w:p>
    <w:p w:rsidR="00FD4302" w:rsidRPr="00FD4302" w:rsidRDefault="00FD4302" w:rsidP="00FD4302"/>
    <w:tbl>
      <w:tblPr>
        <w:tblW w:w="8808" w:type="dxa"/>
        <w:tblInd w:w="89" w:type="dxa"/>
        <w:tblLayout w:type="fixed"/>
        <w:tblLook w:val="0000"/>
      </w:tblPr>
      <w:tblGrid>
        <w:gridCol w:w="2567"/>
        <w:gridCol w:w="3544"/>
        <w:gridCol w:w="2697"/>
      </w:tblGrid>
      <w:tr w:rsidR="00FD4302" w:rsidRPr="004F52D7" w:rsidTr="00FD4302">
        <w:trPr>
          <w:trHeight w:val="255"/>
        </w:trPr>
        <w:tc>
          <w:tcPr>
            <w:tcW w:w="2567" w:type="dxa"/>
            <w:tcBorders>
              <w:top w:val="single" w:sz="4" w:space="0" w:color="auto"/>
              <w:left w:val="single" w:sz="4" w:space="0" w:color="auto"/>
              <w:bottom w:val="single" w:sz="4" w:space="0" w:color="auto"/>
              <w:right w:val="single" w:sz="4" w:space="0" w:color="auto"/>
            </w:tcBorders>
            <w:shd w:val="clear" w:color="auto" w:fill="F3F3F3"/>
          </w:tcPr>
          <w:p w:rsidR="00FD4302" w:rsidRDefault="00FD4302" w:rsidP="00D751BC">
            <w:pPr>
              <w:spacing w:before="0"/>
              <w:jc w:val="left"/>
              <w:rPr>
                <w:rFonts w:cs="Arial"/>
                <w:b/>
                <w:sz w:val="20"/>
                <w:lang w:eastAsia="en-GB"/>
              </w:rPr>
            </w:pPr>
            <w:r>
              <w:rPr>
                <w:rFonts w:cs="Arial"/>
                <w:b/>
                <w:sz w:val="20"/>
                <w:lang w:eastAsia="en-GB"/>
              </w:rPr>
              <w:t>USOA in which practice based</w:t>
            </w:r>
          </w:p>
        </w:tc>
        <w:tc>
          <w:tcPr>
            <w:tcW w:w="3544" w:type="dxa"/>
            <w:tcBorders>
              <w:top w:val="single" w:sz="4" w:space="0" w:color="auto"/>
              <w:left w:val="nil"/>
              <w:bottom w:val="single" w:sz="4" w:space="0" w:color="auto"/>
              <w:right w:val="single" w:sz="4" w:space="0" w:color="auto"/>
            </w:tcBorders>
            <w:shd w:val="clear" w:color="auto" w:fill="F3F3F3"/>
            <w:noWrap/>
          </w:tcPr>
          <w:p w:rsidR="00FD4302" w:rsidRPr="004F52D7" w:rsidRDefault="00E60C41" w:rsidP="00D751BC">
            <w:pPr>
              <w:spacing w:before="0"/>
              <w:jc w:val="left"/>
              <w:rPr>
                <w:rFonts w:cs="Arial"/>
                <w:b/>
                <w:sz w:val="20"/>
                <w:lang w:eastAsia="en-GB"/>
              </w:rPr>
            </w:pPr>
            <w:r>
              <w:rPr>
                <w:rFonts w:cs="Arial"/>
                <w:b/>
                <w:sz w:val="20"/>
                <w:lang w:eastAsia="en-GB"/>
              </w:rPr>
              <w:t>P</w:t>
            </w:r>
            <w:r w:rsidR="00976E79">
              <w:rPr>
                <w:rFonts w:cs="Arial"/>
                <w:b/>
                <w:sz w:val="20"/>
                <w:lang w:eastAsia="en-GB"/>
              </w:rPr>
              <w:t>er cent</w:t>
            </w:r>
            <w:r w:rsidR="00FD4302">
              <w:rPr>
                <w:rFonts w:cs="Arial"/>
                <w:b/>
                <w:sz w:val="20"/>
                <w:lang w:eastAsia="en-GB"/>
              </w:rPr>
              <w:t xml:space="preserve"> of patients reaching target (</w:t>
            </w:r>
            <w:r w:rsidR="00976E79">
              <w:rPr>
                <w:rFonts w:cs="Arial"/>
                <w:b/>
                <w:sz w:val="20"/>
                <w:lang w:eastAsia="en-GB"/>
              </w:rPr>
              <w:t>per cent</w:t>
            </w:r>
            <w:r w:rsidR="00FD4302">
              <w:rPr>
                <w:rFonts w:cs="Arial"/>
                <w:b/>
                <w:sz w:val="20"/>
                <w:lang w:eastAsia="en-GB"/>
              </w:rPr>
              <w:t>)</w:t>
            </w:r>
          </w:p>
        </w:tc>
        <w:tc>
          <w:tcPr>
            <w:tcW w:w="2697" w:type="dxa"/>
            <w:tcBorders>
              <w:top w:val="single" w:sz="4" w:space="0" w:color="auto"/>
              <w:left w:val="nil"/>
              <w:bottom w:val="single" w:sz="4" w:space="0" w:color="auto"/>
              <w:right w:val="single" w:sz="4" w:space="0" w:color="auto"/>
            </w:tcBorders>
            <w:shd w:val="clear" w:color="auto" w:fill="F3F3F3"/>
            <w:noWrap/>
          </w:tcPr>
          <w:p w:rsidR="00FD4302" w:rsidRPr="004F52D7" w:rsidRDefault="00FD4302" w:rsidP="00D751BC">
            <w:pPr>
              <w:spacing w:before="0"/>
              <w:jc w:val="left"/>
              <w:rPr>
                <w:rFonts w:cs="Arial"/>
                <w:b/>
                <w:sz w:val="20"/>
                <w:lang w:eastAsia="en-GB"/>
              </w:rPr>
            </w:pPr>
            <w:r w:rsidRPr="004F52D7">
              <w:rPr>
                <w:rFonts w:cs="Arial"/>
                <w:b/>
                <w:sz w:val="20"/>
                <w:lang w:eastAsia="en-GB"/>
              </w:rPr>
              <w:t>Significance</w:t>
            </w:r>
          </w:p>
        </w:tc>
      </w:tr>
      <w:tr w:rsidR="00FD4302" w:rsidRPr="00406B2A"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FD4302" w:rsidRPr="004F52D7" w:rsidRDefault="00FD4302" w:rsidP="00D751BC">
            <w:pPr>
              <w:spacing w:before="0"/>
              <w:jc w:val="left"/>
              <w:rPr>
                <w:rFonts w:cs="Arial"/>
                <w:sz w:val="20"/>
                <w:lang w:eastAsia="en-GB"/>
              </w:rPr>
            </w:pPr>
            <w:r>
              <w:rPr>
                <w:rFonts w:cs="Arial"/>
                <w:sz w:val="20"/>
                <w:lang w:eastAsia="en-GB"/>
              </w:rPr>
              <w:t>66.8</w:t>
            </w:r>
          </w:p>
        </w:tc>
        <w:tc>
          <w:tcPr>
            <w:tcW w:w="2697" w:type="dxa"/>
            <w:tcBorders>
              <w:top w:val="nil"/>
              <w:left w:val="nil"/>
              <w:bottom w:val="single" w:sz="4" w:space="0" w:color="auto"/>
              <w:right w:val="single" w:sz="4" w:space="0" w:color="auto"/>
            </w:tcBorders>
            <w:shd w:val="clear" w:color="auto" w:fill="auto"/>
            <w:noWrap/>
            <w:vAlign w:val="bottom"/>
          </w:tcPr>
          <w:p w:rsidR="00FD4302" w:rsidRPr="00406B2A"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FD4302" w:rsidRDefault="00FD4302" w:rsidP="00D751BC">
            <w:pPr>
              <w:spacing w:before="0"/>
              <w:jc w:val="left"/>
              <w:rPr>
                <w:rFonts w:cs="Arial"/>
                <w:sz w:val="20"/>
                <w:lang w:eastAsia="en-GB"/>
              </w:rPr>
            </w:pPr>
            <w:r>
              <w:rPr>
                <w:rFonts w:cs="Arial"/>
                <w:sz w:val="20"/>
                <w:lang w:eastAsia="en-GB"/>
              </w:rPr>
              <w:t>72.6</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Merthyr02</w:t>
            </w:r>
          </w:p>
        </w:tc>
        <w:tc>
          <w:tcPr>
            <w:tcW w:w="3544" w:type="dxa"/>
            <w:tcBorders>
              <w:top w:val="nil"/>
              <w:left w:val="nil"/>
              <w:bottom w:val="single" w:sz="4" w:space="0" w:color="auto"/>
              <w:right w:val="single" w:sz="4" w:space="0" w:color="auto"/>
            </w:tcBorders>
            <w:shd w:val="clear" w:color="auto" w:fill="auto"/>
            <w:noWrap/>
            <w:vAlign w:val="bottom"/>
          </w:tcPr>
          <w:p w:rsidR="00FD4302" w:rsidRPr="004F52D7" w:rsidRDefault="00FD4302" w:rsidP="00D751BC">
            <w:pPr>
              <w:spacing w:before="0"/>
              <w:jc w:val="left"/>
              <w:rPr>
                <w:rFonts w:cs="Arial"/>
                <w:sz w:val="20"/>
                <w:lang w:eastAsia="en-GB"/>
              </w:rPr>
            </w:pPr>
            <w:r>
              <w:rPr>
                <w:rFonts w:cs="Arial"/>
                <w:sz w:val="20"/>
                <w:lang w:eastAsia="en-GB"/>
              </w:rPr>
              <w:t>72.4</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RCT07</w:t>
            </w:r>
          </w:p>
        </w:tc>
        <w:tc>
          <w:tcPr>
            <w:tcW w:w="3544" w:type="dxa"/>
            <w:tcBorders>
              <w:top w:val="nil"/>
              <w:left w:val="nil"/>
              <w:bottom w:val="single" w:sz="4" w:space="0" w:color="auto"/>
              <w:right w:val="single" w:sz="4" w:space="0" w:color="auto"/>
            </w:tcBorders>
            <w:shd w:val="clear" w:color="auto" w:fill="auto"/>
            <w:noWrap/>
            <w:vAlign w:val="bottom"/>
          </w:tcPr>
          <w:p w:rsidR="00FD4302" w:rsidRPr="004F52D7" w:rsidRDefault="00FD4302" w:rsidP="00D751BC">
            <w:pPr>
              <w:spacing w:before="0"/>
              <w:jc w:val="left"/>
              <w:rPr>
                <w:rFonts w:cs="Arial"/>
                <w:sz w:val="20"/>
                <w:lang w:eastAsia="en-GB"/>
              </w:rPr>
            </w:pPr>
            <w:r>
              <w:rPr>
                <w:rFonts w:cs="Arial"/>
                <w:sz w:val="20"/>
                <w:lang w:eastAsia="en-GB"/>
              </w:rPr>
              <w:t>70.5</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FD4302" w:rsidRPr="004F52D7" w:rsidRDefault="00FD4302" w:rsidP="00D751BC">
            <w:pPr>
              <w:spacing w:before="0"/>
              <w:jc w:val="left"/>
              <w:rPr>
                <w:rFonts w:cs="Arial"/>
                <w:sz w:val="20"/>
                <w:lang w:eastAsia="en-GB"/>
              </w:rPr>
            </w:pPr>
            <w:r>
              <w:rPr>
                <w:rFonts w:cs="Arial"/>
                <w:sz w:val="20"/>
                <w:lang w:eastAsia="en-GB"/>
              </w:rPr>
              <w:t>71.4</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FD4302" w:rsidRDefault="00FD4302" w:rsidP="00D751BC">
            <w:pPr>
              <w:spacing w:before="0"/>
              <w:jc w:val="left"/>
              <w:rPr>
                <w:rFonts w:cs="Arial"/>
                <w:sz w:val="20"/>
                <w:lang w:eastAsia="en-GB"/>
              </w:rPr>
            </w:pPr>
            <w:r>
              <w:rPr>
                <w:rFonts w:cs="Arial"/>
                <w:sz w:val="20"/>
                <w:lang w:eastAsia="en-GB"/>
              </w:rPr>
              <w:t>73.0</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RCT02</w:t>
            </w:r>
          </w:p>
        </w:tc>
        <w:tc>
          <w:tcPr>
            <w:tcW w:w="3544" w:type="dxa"/>
            <w:tcBorders>
              <w:top w:val="nil"/>
              <w:left w:val="nil"/>
              <w:bottom w:val="single" w:sz="4" w:space="0" w:color="auto"/>
              <w:right w:val="single" w:sz="4" w:space="0" w:color="auto"/>
            </w:tcBorders>
            <w:shd w:val="clear" w:color="auto" w:fill="auto"/>
            <w:noWrap/>
            <w:vAlign w:val="bottom"/>
          </w:tcPr>
          <w:p w:rsidR="00FD4302" w:rsidRDefault="00FD4302" w:rsidP="00D751BC">
            <w:pPr>
              <w:spacing w:before="0"/>
              <w:jc w:val="left"/>
              <w:rPr>
                <w:rFonts w:cs="Arial"/>
                <w:sz w:val="20"/>
                <w:lang w:eastAsia="en-GB"/>
              </w:rPr>
            </w:pPr>
            <w:r>
              <w:rPr>
                <w:rFonts w:cs="Arial"/>
                <w:sz w:val="20"/>
                <w:lang w:eastAsia="en-GB"/>
              </w:rPr>
              <w:t>63.0</w:t>
            </w:r>
          </w:p>
        </w:tc>
        <w:tc>
          <w:tcPr>
            <w:tcW w:w="2697" w:type="dxa"/>
            <w:tcBorders>
              <w:top w:val="nil"/>
              <w:left w:val="nil"/>
              <w:bottom w:val="single" w:sz="4" w:space="0" w:color="auto"/>
              <w:right w:val="single" w:sz="4" w:space="0" w:color="auto"/>
            </w:tcBorders>
            <w:shd w:val="clear" w:color="auto" w:fill="auto"/>
            <w:noWrap/>
            <w:vAlign w:val="bottom"/>
          </w:tcPr>
          <w:p w:rsidR="00FD4302" w:rsidRPr="004537B9" w:rsidRDefault="00FD4302" w:rsidP="00D751BC">
            <w:pPr>
              <w:spacing w:before="0"/>
              <w:jc w:val="left"/>
              <w:rPr>
                <w:rFonts w:cs="Arial"/>
                <w:b/>
                <w:sz w:val="20"/>
                <w:lang w:eastAsia="en-GB"/>
              </w:rPr>
            </w:pPr>
            <w:r w:rsidRPr="004537B9">
              <w:rPr>
                <w:rFonts w:cs="Arial"/>
                <w:b/>
                <w:sz w:val="20"/>
                <w:lang w:eastAsia="en-GB"/>
              </w:rPr>
              <w:t>Low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RCT06</w:t>
            </w:r>
          </w:p>
        </w:tc>
        <w:tc>
          <w:tcPr>
            <w:tcW w:w="3544" w:type="dxa"/>
            <w:tcBorders>
              <w:top w:val="nil"/>
              <w:left w:val="nil"/>
              <w:bottom w:val="single" w:sz="4" w:space="0" w:color="auto"/>
              <w:right w:val="single" w:sz="4" w:space="0" w:color="auto"/>
            </w:tcBorders>
            <w:shd w:val="clear" w:color="auto" w:fill="auto"/>
            <w:noWrap/>
            <w:vAlign w:val="bottom"/>
          </w:tcPr>
          <w:p w:rsidR="00FD4302" w:rsidRDefault="00FD4302" w:rsidP="00D751BC">
            <w:pPr>
              <w:spacing w:before="0"/>
              <w:jc w:val="left"/>
              <w:rPr>
                <w:rFonts w:cs="Arial"/>
                <w:sz w:val="20"/>
                <w:lang w:eastAsia="en-GB"/>
              </w:rPr>
            </w:pPr>
            <w:r>
              <w:rPr>
                <w:rFonts w:cs="Arial"/>
                <w:sz w:val="20"/>
                <w:lang w:eastAsia="en-GB"/>
              </w:rPr>
              <w:t>86.0</w:t>
            </w:r>
          </w:p>
        </w:tc>
        <w:tc>
          <w:tcPr>
            <w:tcW w:w="2697" w:type="dxa"/>
            <w:tcBorders>
              <w:top w:val="nil"/>
              <w:left w:val="nil"/>
              <w:bottom w:val="single" w:sz="4" w:space="0" w:color="auto"/>
              <w:right w:val="single" w:sz="4" w:space="0" w:color="auto"/>
            </w:tcBorders>
            <w:shd w:val="clear" w:color="auto" w:fill="auto"/>
            <w:noWrap/>
            <w:vAlign w:val="bottom"/>
          </w:tcPr>
          <w:p w:rsidR="00FD4302" w:rsidRPr="00FD4302" w:rsidRDefault="00FD4302" w:rsidP="00D751BC">
            <w:pPr>
              <w:spacing w:before="0"/>
              <w:jc w:val="left"/>
              <w:rPr>
                <w:rFonts w:cs="Arial"/>
                <w:sz w:val="20"/>
                <w:lang w:eastAsia="en-GB"/>
              </w:rPr>
            </w:pPr>
            <w:r w:rsidRPr="00FD4302">
              <w:rPr>
                <w:rFonts w:cs="Arial"/>
                <w:sz w:val="20"/>
                <w:lang w:eastAsia="en-GB"/>
              </w:rPr>
              <w:t>High (0.001)</w:t>
            </w:r>
          </w:p>
        </w:tc>
      </w:tr>
      <w:tr w:rsidR="00FD4302" w:rsidRPr="004537B9" w:rsidTr="00FD4302">
        <w:trPr>
          <w:trHeight w:val="255"/>
        </w:trPr>
        <w:tc>
          <w:tcPr>
            <w:tcW w:w="2567" w:type="dxa"/>
            <w:tcBorders>
              <w:top w:val="nil"/>
              <w:left w:val="single" w:sz="4" w:space="0" w:color="auto"/>
              <w:bottom w:val="single" w:sz="4" w:space="0" w:color="auto"/>
              <w:right w:val="single" w:sz="4" w:space="0" w:color="auto"/>
            </w:tcBorders>
          </w:tcPr>
          <w:p w:rsidR="00FD4302" w:rsidRDefault="00FD4302" w:rsidP="00D751BC">
            <w:pPr>
              <w:spacing w:before="0"/>
              <w:jc w:val="left"/>
              <w:rPr>
                <w:rFonts w:cs="Arial"/>
                <w:sz w:val="20"/>
                <w:lang w:eastAsia="en-GB"/>
              </w:rPr>
            </w:pPr>
            <w:r>
              <w:rPr>
                <w:rFonts w:cs="Arial"/>
                <w:sz w:val="20"/>
                <w:lang w:eastAsia="en-GB"/>
              </w:rPr>
              <w:t>RCT05</w:t>
            </w:r>
          </w:p>
        </w:tc>
        <w:tc>
          <w:tcPr>
            <w:tcW w:w="3544" w:type="dxa"/>
            <w:tcBorders>
              <w:top w:val="nil"/>
              <w:left w:val="nil"/>
              <w:bottom w:val="single" w:sz="4" w:space="0" w:color="auto"/>
              <w:right w:val="single" w:sz="4" w:space="0" w:color="auto"/>
            </w:tcBorders>
            <w:shd w:val="clear" w:color="auto" w:fill="auto"/>
            <w:noWrap/>
            <w:vAlign w:val="bottom"/>
          </w:tcPr>
          <w:p w:rsidR="00FD4302" w:rsidRDefault="00FD4302" w:rsidP="00D751BC">
            <w:pPr>
              <w:spacing w:before="0"/>
              <w:jc w:val="left"/>
              <w:rPr>
                <w:rFonts w:cs="Arial"/>
                <w:sz w:val="20"/>
                <w:lang w:eastAsia="en-GB"/>
              </w:rPr>
            </w:pPr>
            <w:r>
              <w:rPr>
                <w:rFonts w:cs="Arial"/>
                <w:sz w:val="20"/>
                <w:lang w:eastAsia="en-GB"/>
              </w:rPr>
              <w:t>86.7</w:t>
            </w:r>
          </w:p>
        </w:tc>
        <w:tc>
          <w:tcPr>
            <w:tcW w:w="2697" w:type="dxa"/>
            <w:tcBorders>
              <w:top w:val="nil"/>
              <w:left w:val="nil"/>
              <w:bottom w:val="single" w:sz="4" w:space="0" w:color="auto"/>
              <w:right w:val="single" w:sz="4" w:space="0" w:color="auto"/>
            </w:tcBorders>
            <w:shd w:val="clear" w:color="auto" w:fill="auto"/>
            <w:noWrap/>
            <w:vAlign w:val="bottom"/>
          </w:tcPr>
          <w:p w:rsidR="00FD4302" w:rsidRPr="00FD4302" w:rsidRDefault="00FD4302" w:rsidP="00D751BC">
            <w:pPr>
              <w:spacing w:before="0"/>
              <w:jc w:val="left"/>
              <w:rPr>
                <w:rFonts w:cs="Arial"/>
                <w:sz w:val="20"/>
                <w:lang w:eastAsia="en-GB"/>
              </w:rPr>
            </w:pPr>
            <w:r w:rsidRPr="00FD4302">
              <w:rPr>
                <w:rFonts w:cs="Arial"/>
                <w:sz w:val="20"/>
                <w:lang w:eastAsia="en-GB"/>
              </w:rPr>
              <w:t>High (0.001)</w:t>
            </w:r>
          </w:p>
        </w:tc>
      </w:tr>
    </w:tbl>
    <w:p w:rsidR="00307340" w:rsidRDefault="00E71911" w:rsidP="00307340">
      <w:pPr>
        <w:pStyle w:val="Heading3"/>
      </w:pPr>
      <w:bookmarkStart w:id="156" w:name="_Toc291585870"/>
      <w:bookmarkStart w:id="157" w:name="_Toc302293456"/>
      <w:r>
        <w:lastRenderedPageBreak/>
        <w:t>Glaucoma</w:t>
      </w:r>
      <w:bookmarkEnd w:id="156"/>
      <w:bookmarkEnd w:id="157"/>
    </w:p>
    <w:p w:rsidR="00991D13" w:rsidRDefault="00575AE5" w:rsidP="00307340">
      <w:r>
        <w:rPr>
          <w:szCs w:val="24"/>
        </w:rPr>
        <w:t xml:space="preserve">Table 10 </w:t>
      </w:r>
      <w:r w:rsidR="00A67D7C">
        <w:rPr>
          <w:szCs w:val="24"/>
        </w:rPr>
        <w:t xml:space="preserve">shows that the 2001 </w:t>
      </w:r>
      <w:r w:rsidR="00296215">
        <w:t xml:space="preserve">NEHEM </w:t>
      </w:r>
      <w:r w:rsidR="00EA1BE6">
        <w:t xml:space="preserve">estimated prevalence of </w:t>
      </w:r>
      <w:r w:rsidR="000E4289">
        <w:t>g</w:t>
      </w:r>
      <w:r w:rsidR="00E71911">
        <w:t>laucoma</w:t>
      </w:r>
      <w:r w:rsidR="00EA1BE6">
        <w:t xml:space="preserve"> </w:t>
      </w:r>
      <w:r w:rsidR="00F778EA">
        <w:t xml:space="preserve">in the population </w:t>
      </w:r>
      <w:r w:rsidR="00053308">
        <w:t xml:space="preserve">aged </w:t>
      </w:r>
      <w:r w:rsidR="00F778EA">
        <w:t xml:space="preserve">30 years and over </w:t>
      </w:r>
      <w:r w:rsidR="00EA1BE6">
        <w:t xml:space="preserve">in Merthyr Tydfil and Rhondda Cynon Taf </w:t>
      </w:r>
      <w:r w:rsidR="000C0255">
        <w:t xml:space="preserve">in 2001 was </w:t>
      </w:r>
      <w:r w:rsidR="00EA1BE6">
        <w:t>1.4</w:t>
      </w:r>
      <w:r w:rsidR="00CB30E2">
        <w:t xml:space="preserve"> </w:t>
      </w:r>
      <w:r w:rsidR="00976E79">
        <w:t>per cent</w:t>
      </w:r>
      <w:r w:rsidR="00EA1BE6">
        <w:t>, similar to the all Wales estimate of 1.5</w:t>
      </w:r>
      <w:r w:rsidR="00CB30E2">
        <w:t xml:space="preserve"> </w:t>
      </w:r>
      <w:r w:rsidR="00976E79">
        <w:t>per cent</w:t>
      </w:r>
      <w:r w:rsidR="00EA1BE6">
        <w:t>.</w:t>
      </w:r>
      <w:r w:rsidR="00307340">
        <w:t xml:space="preserve"> </w:t>
      </w:r>
    </w:p>
    <w:p w:rsidR="009D5EA5" w:rsidRDefault="009D5EA5" w:rsidP="00307340"/>
    <w:p w:rsidR="00991D13" w:rsidRPr="00991D13" w:rsidRDefault="00991D13" w:rsidP="00991D13">
      <w:pPr>
        <w:pStyle w:val="Caption"/>
        <w:jc w:val="left"/>
        <w:rPr>
          <w:sz w:val="20"/>
        </w:rPr>
      </w:pPr>
      <w:bookmarkStart w:id="158" w:name="_Ref284504633"/>
      <w:bookmarkStart w:id="159" w:name="_Toc302293552"/>
      <w:r w:rsidRPr="00991D13">
        <w:rPr>
          <w:sz w:val="20"/>
        </w:rPr>
        <w:t xml:space="preserve">Table </w:t>
      </w:r>
      <w:r w:rsidR="001060C2" w:rsidRPr="00991D13">
        <w:rPr>
          <w:sz w:val="20"/>
        </w:rPr>
        <w:fldChar w:fldCharType="begin"/>
      </w:r>
      <w:r w:rsidRPr="00991D13">
        <w:rPr>
          <w:sz w:val="20"/>
        </w:rPr>
        <w:instrText xml:space="preserve"> SEQ Table \* ARABIC </w:instrText>
      </w:r>
      <w:r w:rsidR="001060C2" w:rsidRPr="00991D13">
        <w:rPr>
          <w:sz w:val="20"/>
        </w:rPr>
        <w:fldChar w:fldCharType="separate"/>
      </w:r>
      <w:r w:rsidR="00F96900">
        <w:rPr>
          <w:noProof/>
          <w:sz w:val="20"/>
        </w:rPr>
        <w:t>10</w:t>
      </w:r>
      <w:r w:rsidR="001060C2" w:rsidRPr="00991D13">
        <w:rPr>
          <w:sz w:val="20"/>
        </w:rPr>
        <w:fldChar w:fldCharType="end"/>
      </w:r>
      <w:bookmarkEnd w:id="158"/>
      <w:r w:rsidR="00296215">
        <w:rPr>
          <w:sz w:val="20"/>
        </w:rPr>
        <w:t xml:space="preserve">. </w:t>
      </w:r>
      <w:r w:rsidRPr="00991D13">
        <w:rPr>
          <w:sz w:val="20"/>
        </w:rPr>
        <w:t xml:space="preserve">Prevalence of </w:t>
      </w:r>
      <w:r w:rsidR="00E71911">
        <w:rPr>
          <w:sz w:val="20"/>
        </w:rPr>
        <w:t>glaucoma</w:t>
      </w:r>
      <w:r w:rsidRPr="00991D13">
        <w:rPr>
          <w:sz w:val="20"/>
        </w:rPr>
        <w:t xml:space="preserve">, </w:t>
      </w:r>
      <w:r>
        <w:rPr>
          <w:sz w:val="20"/>
        </w:rPr>
        <w:t>2001</w:t>
      </w:r>
      <w:bookmarkEnd w:id="159"/>
      <w:r>
        <w:rPr>
          <w:sz w:val="20"/>
        </w:rPr>
        <w:t xml:space="preserve"> </w:t>
      </w:r>
    </w:p>
    <w:p w:rsidR="00AE6839" w:rsidRDefault="007906AE" w:rsidP="00307340">
      <w:r>
        <w:rPr>
          <w:noProof/>
          <w:lang w:eastAsia="en-GB"/>
        </w:rPr>
        <w:drawing>
          <wp:inline distT="0" distB="0" distL="0" distR="0">
            <wp:extent cx="4276725" cy="5210175"/>
            <wp:effectExtent l="1905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cstate="print"/>
                    <a:srcRect/>
                    <a:stretch>
                      <a:fillRect/>
                    </a:stretch>
                  </pic:blipFill>
                  <pic:spPr bwMode="auto">
                    <a:xfrm>
                      <a:off x="0" y="0"/>
                      <a:ext cx="4276725" cy="5210175"/>
                    </a:xfrm>
                    <a:prstGeom prst="rect">
                      <a:avLst/>
                    </a:prstGeom>
                    <a:noFill/>
                    <a:ln w="9525">
                      <a:noFill/>
                      <a:miter lim="800000"/>
                      <a:headEnd/>
                      <a:tailEnd/>
                    </a:ln>
                  </pic:spPr>
                </pic:pic>
              </a:graphicData>
            </a:graphic>
          </wp:inline>
        </w:drawing>
      </w:r>
    </w:p>
    <w:p w:rsidR="009D5EA5" w:rsidRPr="0041231E" w:rsidRDefault="000338BD" w:rsidP="00307340">
      <w:r>
        <w:t>Note: Per cents shows are per cents in the population ≥30 years</w:t>
      </w:r>
    </w:p>
    <w:p w:rsidR="009D5EA5" w:rsidRDefault="00575AE5" w:rsidP="009D5EA5">
      <w:r>
        <w:t xml:space="preserve">Table 11 </w:t>
      </w:r>
      <w:r w:rsidR="009D5EA5">
        <w:t xml:space="preserve">shows that the estimated prevalence of glaucoma </w:t>
      </w:r>
      <w:r w:rsidR="000338BD">
        <w:t xml:space="preserve">in the population </w:t>
      </w:r>
      <w:r w:rsidR="00053308">
        <w:t xml:space="preserve">aged </w:t>
      </w:r>
      <w:r w:rsidR="000338BD">
        <w:t xml:space="preserve">30 years and over </w:t>
      </w:r>
      <w:r w:rsidR="009D5EA5">
        <w:t>in 2009 was similar across USOAs in Cwm Taf and in Cwm Taf compared with Wales, but the highest estimates were in the USOAs with an older age profile such as RCT02, RCT03, RCT04 and RCT06.</w:t>
      </w:r>
    </w:p>
    <w:p w:rsidR="00307340" w:rsidRDefault="00307340" w:rsidP="00E17CDB">
      <w:pPr>
        <w:pStyle w:val="ListBullet"/>
      </w:pPr>
    </w:p>
    <w:p w:rsidR="000338BD" w:rsidRDefault="000338BD">
      <w:pPr>
        <w:spacing w:before="0"/>
        <w:jc w:val="left"/>
        <w:rPr>
          <w:b/>
          <w:sz w:val="20"/>
        </w:rPr>
      </w:pPr>
      <w:bookmarkStart w:id="160" w:name="_Ref284504692"/>
      <w:r>
        <w:rPr>
          <w:sz w:val="20"/>
        </w:rPr>
        <w:br w:type="page"/>
      </w:r>
    </w:p>
    <w:p w:rsidR="009D5EA5" w:rsidRDefault="00A7584D" w:rsidP="009D5EA5">
      <w:pPr>
        <w:pStyle w:val="Caption"/>
        <w:jc w:val="left"/>
        <w:rPr>
          <w:sz w:val="20"/>
        </w:rPr>
      </w:pPr>
      <w:bookmarkStart w:id="161" w:name="_Toc302293553"/>
      <w:r w:rsidRPr="00B236BE">
        <w:rPr>
          <w:sz w:val="20"/>
        </w:rPr>
        <w:lastRenderedPageBreak/>
        <w:t xml:space="preserve">Table </w:t>
      </w:r>
      <w:r w:rsidR="001060C2" w:rsidRPr="00B236BE">
        <w:rPr>
          <w:sz w:val="20"/>
        </w:rPr>
        <w:fldChar w:fldCharType="begin"/>
      </w:r>
      <w:r w:rsidRPr="00B236BE">
        <w:rPr>
          <w:sz w:val="20"/>
        </w:rPr>
        <w:instrText xml:space="preserve"> SEQ Table \* ARABIC </w:instrText>
      </w:r>
      <w:r w:rsidR="001060C2" w:rsidRPr="00B236BE">
        <w:rPr>
          <w:sz w:val="20"/>
        </w:rPr>
        <w:fldChar w:fldCharType="separate"/>
      </w:r>
      <w:r w:rsidR="00F96900">
        <w:rPr>
          <w:noProof/>
          <w:sz w:val="20"/>
        </w:rPr>
        <w:t>11</w:t>
      </w:r>
      <w:r w:rsidR="001060C2" w:rsidRPr="00B236BE">
        <w:rPr>
          <w:sz w:val="20"/>
        </w:rPr>
        <w:fldChar w:fldCharType="end"/>
      </w:r>
      <w:bookmarkEnd w:id="160"/>
      <w:r w:rsidR="00296215" w:rsidRPr="00B236BE">
        <w:rPr>
          <w:sz w:val="20"/>
        </w:rPr>
        <w:t xml:space="preserve">. </w:t>
      </w:r>
      <w:r w:rsidRPr="00B236BE">
        <w:rPr>
          <w:sz w:val="20"/>
        </w:rPr>
        <w:t xml:space="preserve">Prevalence of </w:t>
      </w:r>
      <w:r w:rsidR="00E71911" w:rsidRPr="00B236BE">
        <w:rPr>
          <w:sz w:val="20"/>
        </w:rPr>
        <w:t>glaucoma</w:t>
      </w:r>
      <w:r w:rsidRPr="00B236BE">
        <w:rPr>
          <w:sz w:val="20"/>
        </w:rPr>
        <w:t>, 2009</w:t>
      </w:r>
      <w:bookmarkEnd w:id="161"/>
    </w:p>
    <w:p w:rsidR="00CC2DF1" w:rsidRDefault="00CC2DF1" w:rsidP="00E17CDB">
      <w:pPr>
        <w:pStyle w:val="ListBullet"/>
      </w:pPr>
    </w:p>
    <w:p w:rsidR="00897F35" w:rsidRDefault="00E17CDB" w:rsidP="00E17CDB">
      <w:pPr>
        <w:pStyle w:val="ListBullet"/>
      </w:pPr>
      <w:r>
        <w:rPr>
          <w:noProof/>
          <w:lang w:eastAsia="en-GB"/>
        </w:rPr>
        <w:drawing>
          <wp:inline distT="0" distB="0" distL="0" distR="0">
            <wp:extent cx="4975860" cy="3467735"/>
            <wp:effectExtent l="19050" t="0" r="0"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4975860" cy="3467735"/>
                    </a:xfrm>
                    <a:prstGeom prst="rect">
                      <a:avLst/>
                    </a:prstGeom>
                    <a:noFill/>
                    <a:ln w="9525">
                      <a:noFill/>
                      <a:miter lim="800000"/>
                      <a:headEnd/>
                      <a:tailEnd/>
                    </a:ln>
                  </pic:spPr>
                </pic:pic>
              </a:graphicData>
            </a:graphic>
          </wp:inline>
        </w:drawing>
      </w:r>
    </w:p>
    <w:p w:rsidR="000338BD" w:rsidRPr="0041231E" w:rsidRDefault="000338BD" w:rsidP="000338BD">
      <w:r>
        <w:t>Note: Per cents shows are per cents in the population ≥30 years</w:t>
      </w:r>
    </w:p>
    <w:p w:rsidR="00B94F6A" w:rsidRDefault="00575AE5" w:rsidP="00B94F6A">
      <w:r>
        <w:t xml:space="preserve">Figure 11 </w:t>
      </w:r>
      <w:r w:rsidR="00B94F6A">
        <w:t xml:space="preserve">shows results from the 2007 GP </w:t>
      </w:r>
      <w:r w:rsidR="00296215">
        <w:t>a</w:t>
      </w:r>
      <w:r w:rsidR="00CB30E2">
        <w:t>nnual prevalence survey</w:t>
      </w:r>
      <w:r w:rsidR="00B94F6A">
        <w:t xml:space="preserve">.  It shows that the prevalence of glaucoma increases with increasing age.  </w:t>
      </w:r>
      <w:r>
        <w:t xml:space="preserve">Table 12 </w:t>
      </w:r>
      <w:r w:rsidR="00296215">
        <w:t xml:space="preserve">shows the estimated number of people with glaucoma in Cwm Taf and Wales and the </w:t>
      </w:r>
      <w:r w:rsidR="00976E79">
        <w:t>per cent</w:t>
      </w:r>
      <w:r w:rsidR="00296215">
        <w:t xml:space="preserve"> in the total population when the age-specific prevalences are applied to the 2009 mid-year population estimates</w:t>
      </w:r>
      <w:r w:rsidR="00B94F6A">
        <w:t>.</w:t>
      </w:r>
      <w:r w:rsidR="005B76EB">
        <w:t xml:space="preserve">  The </w:t>
      </w:r>
      <w:r w:rsidR="00783933">
        <w:t xml:space="preserve">number and </w:t>
      </w:r>
      <w:r w:rsidR="00976E79">
        <w:t>per cent</w:t>
      </w:r>
      <w:r w:rsidR="005B76EB">
        <w:t xml:space="preserve"> of cases in the population </w:t>
      </w:r>
      <w:r w:rsidR="00390207">
        <w:t xml:space="preserve">aged </w:t>
      </w:r>
      <w:r w:rsidR="005B76EB">
        <w:t>30 years</w:t>
      </w:r>
      <w:r w:rsidR="00390207">
        <w:t xml:space="preserve"> and over</w:t>
      </w:r>
      <w:r w:rsidR="005B76EB">
        <w:t xml:space="preserve"> from the GP </w:t>
      </w:r>
      <w:r w:rsidR="00296215">
        <w:t>a</w:t>
      </w:r>
      <w:r w:rsidR="00CB30E2">
        <w:t>nnual prevalence survey</w:t>
      </w:r>
      <w:r w:rsidR="005B76EB">
        <w:t xml:space="preserve"> estimate are also shown to compare with the NEHEM </w:t>
      </w:r>
      <w:r w:rsidR="00783933">
        <w:t xml:space="preserve">estimates </w:t>
      </w:r>
      <w:r w:rsidR="005B76EB">
        <w:t>as this was m</w:t>
      </w:r>
      <w:r w:rsidR="0015111E">
        <w:t xml:space="preserve">easured only in the population aged </w:t>
      </w:r>
      <w:r w:rsidR="005B76EB">
        <w:t>30 years</w:t>
      </w:r>
      <w:r w:rsidR="0015111E">
        <w:t xml:space="preserve"> and over</w:t>
      </w:r>
      <w:r w:rsidR="005B76EB">
        <w:t xml:space="preserve">.  The GP </w:t>
      </w:r>
      <w:r w:rsidR="00296215">
        <w:t>a</w:t>
      </w:r>
      <w:r w:rsidR="00CB30E2">
        <w:t>nnual prevalence survey</w:t>
      </w:r>
      <w:r w:rsidR="005B76EB">
        <w:t xml:space="preserve"> estimates are </w:t>
      </w:r>
      <w:r w:rsidR="0066183B">
        <w:t xml:space="preserve">lower than the NEHEM estimates. </w:t>
      </w:r>
      <w:r w:rsidR="00E62522">
        <w:t>This could be explained by the fact that the GP</w:t>
      </w:r>
      <w:r w:rsidR="0043301D">
        <w:t xml:space="preserve"> </w:t>
      </w:r>
      <w:r w:rsidR="00296215">
        <w:t>a</w:t>
      </w:r>
      <w:r w:rsidR="00CB30E2">
        <w:t>nnual prevalence survey</w:t>
      </w:r>
      <w:r w:rsidR="0043301D">
        <w:t xml:space="preserve"> data wa</w:t>
      </w:r>
      <w:r w:rsidR="00E62522">
        <w:t>s based on diagnosed cases of glaucoma a</w:t>
      </w:r>
      <w:r w:rsidR="0043301D">
        <w:t>nd cases we</w:t>
      </w:r>
      <w:r w:rsidR="00E62522">
        <w:t xml:space="preserve">re only counted if they visited their GP in the previous 12 months. </w:t>
      </w:r>
    </w:p>
    <w:p w:rsidR="00B94F6A" w:rsidRPr="00B94F6A" w:rsidRDefault="00B94F6A" w:rsidP="00B94F6A"/>
    <w:p w:rsidR="00D24E18" w:rsidRDefault="00897F35" w:rsidP="00897F35">
      <w:pPr>
        <w:pStyle w:val="Caption"/>
        <w:jc w:val="left"/>
        <w:rPr>
          <w:sz w:val="20"/>
        </w:rPr>
      </w:pPr>
      <w:bookmarkStart w:id="162" w:name="_Ref282009491"/>
      <w:bookmarkStart w:id="163" w:name="_Toc291585918"/>
      <w:bookmarkStart w:id="164" w:name="_Toc292463295"/>
      <w:bookmarkStart w:id="165" w:name="_Toc302232622"/>
      <w:r w:rsidRPr="00B236BE">
        <w:rPr>
          <w:sz w:val="20"/>
        </w:rPr>
        <w:lastRenderedPageBreak/>
        <w:t xml:space="preserve">Figure </w:t>
      </w:r>
      <w:r w:rsidR="001060C2" w:rsidRPr="00B236BE">
        <w:rPr>
          <w:sz w:val="20"/>
        </w:rPr>
        <w:fldChar w:fldCharType="begin"/>
      </w:r>
      <w:r w:rsidRPr="00B236BE">
        <w:rPr>
          <w:sz w:val="20"/>
        </w:rPr>
        <w:instrText xml:space="preserve"> SEQ Figure \* ARABIC </w:instrText>
      </w:r>
      <w:r w:rsidR="001060C2" w:rsidRPr="00B236BE">
        <w:rPr>
          <w:sz w:val="20"/>
        </w:rPr>
        <w:fldChar w:fldCharType="separate"/>
      </w:r>
      <w:r w:rsidR="00F96900">
        <w:rPr>
          <w:noProof/>
          <w:sz w:val="20"/>
        </w:rPr>
        <w:t>11</w:t>
      </w:r>
      <w:r w:rsidR="001060C2" w:rsidRPr="00B236BE">
        <w:rPr>
          <w:sz w:val="20"/>
        </w:rPr>
        <w:fldChar w:fldCharType="end"/>
      </w:r>
      <w:bookmarkEnd w:id="162"/>
      <w:r w:rsidR="004155C3" w:rsidRPr="00B236BE">
        <w:rPr>
          <w:sz w:val="20"/>
        </w:rPr>
        <w:t xml:space="preserve">. </w:t>
      </w:r>
      <w:r w:rsidRPr="00B236BE">
        <w:rPr>
          <w:sz w:val="20"/>
        </w:rPr>
        <w:t xml:space="preserve">Age specific prevalence of </w:t>
      </w:r>
      <w:r w:rsidR="00E71911" w:rsidRPr="00B236BE">
        <w:rPr>
          <w:sz w:val="20"/>
        </w:rPr>
        <w:t>glaucoma</w:t>
      </w:r>
      <w:r w:rsidR="00E17CDB">
        <w:rPr>
          <w:sz w:val="20"/>
        </w:rPr>
        <w:t xml:space="preserve">, </w:t>
      </w:r>
      <w:bookmarkEnd w:id="163"/>
      <w:bookmarkEnd w:id="164"/>
      <w:r w:rsidR="00B236BE" w:rsidRPr="00B236BE">
        <w:rPr>
          <w:sz w:val="20"/>
        </w:rPr>
        <w:t>2007</w:t>
      </w:r>
      <w:bookmarkEnd w:id="165"/>
    </w:p>
    <w:p w:rsidR="00B94F6A" w:rsidRDefault="00B236BE" w:rsidP="00406B2A">
      <w:pPr>
        <w:pStyle w:val="Caption"/>
        <w:jc w:val="left"/>
        <w:rPr>
          <w:sz w:val="20"/>
        </w:rPr>
      </w:pPr>
      <w:bookmarkStart w:id="166" w:name="_Ref282077991"/>
      <w:r w:rsidRPr="00B236BE">
        <w:rPr>
          <w:noProof/>
          <w:sz w:val="20"/>
          <w:lang w:eastAsia="en-GB"/>
        </w:rPr>
        <w:drawing>
          <wp:inline distT="0" distB="0" distL="0" distR="0">
            <wp:extent cx="4276725" cy="2962275"/>
            <wp:effectExtent l="0" t="0" r="0" b="0"/>
            <wp:docPr id="5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D0631C" w:rsidRPr="00D0631C" w:rsidRDefault="00D0631C" w:rsidP="00D0631C">
      <w:pPr>
        <w:rPr>
          <w:sz w:val="20"/>
        </w:rPr>
      </w:pPr>
      <w:r w:rsidRPr="00D0631C">
        <w:rPr>
          <w:sz w:val="20"/>
        </w:rPr>
        <w:t xml:space="preserve">Source: </w:t>
      </w:r>
      <w:r w:rsidR="00E17CDB">
        <w:rPr>
          <w:sz w:val="20"/>
        </w:rPr>
        <w:t>GP annual prevalence survey</w:t>
      </w:r>
    </w:p>
    <w:p w:rsidR="00630553" w:rsidRDefault="00630553" w:rsidP="00406B2A">
      <w:pPr>
        <w:pStyle w:val="Caption"/>
        <w:jc w:val="left"/>
        <w:rPr>
          <w:sz w:val="20"/>
        </w:rPr>
      </w:pPr>
    </w:p>
    <w:p w:rsidR="00406B2A" w:rsidRDefault="00406B2A" w:rsidP="00406B2A">
      <w:pPr>
        <w:pStyle w:val="Caption"/>
        <w:jc w:val="left"/>
        <w:rPr>
          <w:sz w:val="20"/>
        </w:rPr>
      </w:pPr>
      <w:bookmarkStart w:id="167" w:name="_Ref287545238"/>
      <w:bookmarkStart w:id="168" w:name="_Toc302293554"/>
      <w:r w:rsidRPr="00406B2A">
        <w:rPr>
          <w:sz w:val="20"/>
        </w:rPr>
        <w:t xml:space="preserve">Table </w:t>
      </w:r>
      <w:r w:rsidR="001060C2" w:rsidRPr="00406B2A">
        <w:rPr>
          <w:sz w:val="20"/>
        </w:rPr>
        <w:fldChar w:fldCharType="begin"/>
      </w:r>
      <w:r w:rsidRPr="00406B2A">
        <w:rPr>
          <w:sz w:val="20"/>
        </w:rPr>
        <w:instrText xml:space="preserve"> SEQ Table \* ARABIC </w:instrText>
      </w:r>
      <w:r w:rsidR="001060C2" w:rsidRPr="00406B2A">
        <w:rPr>
          <w:sz w:val="20"/>
        </w:rPr>
        <w:fldChar w:fldCharType="separate"/>
      </w:r>
      <w:r w:rsidR="00F96900">
        <w:rPr>
          <w:noProof/>
          <w:sz w:val="20"/>
        </w:rPr>
        <w:t>12</w:t>
      </w:r>
      <w:r w:rsidR="001060C2" w:rsidRPr="00406B2A">
        <w:rPr>
          <w:sz w:val="20"/>
        </w:rPr>
        <w:fldChar w:fldCharType="end"/>
      </w:r>
      <w:bookmarkEnd w:id="166"/>
      <w:bookmarkEnd w:id="167"/>
      <w:r w:rsidR="00390207">
        <w:rPr>
          <w:sz w:val="20"/>
        </w:rPr>
        <w:t xml:space="preserve">. </w:t>
      </w:r>
      <w:r w:rsidR="00694A96">
        <w:rPr>
          <w:sz w:val="20"/>
        </w:rPr>
        <w:t>Estimated g</w:t>
      </w:r>
      <w:r w:rsidR="00E71911">
        <w:rPr>
          <w:sz w:val="20"/>
        </w:rPr>
        <w:t>laucoma</w:t>
      </w:r>
      <w:r w:rsidRPr="00406B2A">
        <w:rPr>
          <w:sz w:val="20"/>
        </w:rPr>
        <w:t xml:space="preserve"> </w:t>
      </w:r>
      <w:r w:rsidR="00694A96">
        <w:rPr>
          <w:sz w:val="20"/>
        </w:rPr>
        <w:t xml:space="preserve">prevalence, </w:t>
      </w:r>
      <w:r w:rsidRPr="00406B2A">
        <w:rPr>
          <w:sz w:val="20"/>
        </w:rPr>
        <w:t>2009</w:t>
      </w:r>
      <w:bookmarkEnd w:id="168"/>
      <w:r w:rsidRPr="00406B2A">
        <w:rPr>
          <w:sz w:val="20"/>
        </w:rPr>
        <w:t xml:space="preserve"> </w:t>
      </w:r>
    </w:p>
    <w:p w:rsidR="00D917CF" w:rsidRPr="00D917CF" w:rsidRDefault="00783933" w:rsidP="00D917CF">
      <w:r>
        <w:rPr>
          <w:noProof/>
          <w:lang w:eastAsia="en-GB"/>
        </w:rPr>
        <w:drawing>
          <wp:inline distT="0" distB="0" distL="0" distR="0">
            <wp:extent cx="5768975" cy="2140043"/>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5768975" cy="2140043"/>
                    </a:xfrm>
                    <a:prstGeom prst="rect">
                      <a:avLst/>
                    </a:prstGeom>
                    <a:noFill/>
                    <a:ln w="9525">
                      <a:noFill/>
                      <a:miter lim="800000"/>
                      <a:headEnd/>
                      <a:tailEnd/>
                    </a:ln>
                  </pic:spPr>
                </pic:pic>
              </a:graphicData>
            </a:graphic>
          </wp:inline>
        </w:drawing>
      </w:r>
    </w:p>
    <w:p w:rsidR="00207A16" w:rsidRPr="00D26C6A" w:rsidRDefault="00D15C6A" w:rsidP="00207A16">
      <w:pPr>
        <w:rPr>
          <w:sz w:val="18"/>
          <w:szCs w:val="18"/>
        </w:rPr>
      </w:pPr>
      <w:r w:rsidRPr="00D26C6A">
        <w:rPr>
          <w:sz w:val="18"/>
          <w:szCs w:val="18"/>
        </w:rPr>
        <w:t>N</w:t>
      </w:r>
      <w:r w:rsidR="00E17CDB">
        <w:rPr>
          <w:sz w:val="18"/>
          <w:szCs w:val="18"/>
        </w:rPr>
        <w:t>ote</w:t>
      </w:r>
      <w:r w:rsidRPr="00D26C6A">
        <w:rPr>
          <w:sz w:val="18"/>
          <w:szCs w:val="18"/>
        </w:rPr>
        <w:t>:</w:t>
      </w:r>
      <w:r w:rsidR="00E17CDB">
        <w:rPr>
          <w:sz w:val="18"/>
          <w:szCs w:val="18"/>
        </w:rPr>
        <w:t xml:space="preserve"> N</w:t>
      </w:r>
      <w:r w:rsidR="00D917CF">
        <w:rPr>
          <w:sz w:val="18"/>
          <w:szCs w:val="18"/>
        </w:rPr>
        <w:t xml:space="preserve">umerator for </w:t>
      </w:r>
      <w:r w:rsidR="00783933">
        <w:rPr>
          <w:sz w:val="18"/>
          <w:szCs w:val="18"/>
        </w:rPr>
        <w:t xml:space="preserve">number and </w:t>
      </w:r>
      <w:r w:rsidR="00976E79">
        <w:rPr>
          <w:sz w:val="18"/>
          <w:szCs w:val="18"/>
        </w:rPr>
        <w:t>per cent</w:t>
      </w:r>
      <w:r w:rsidR="00D917CF">
        <w:rPr>
          <w:sz w:val="18"/>
          <w:szCs w:val="18"/>
        </w:rPr>
        <w:t xml:space="preserve"> in population ≥</w:t>
      </w:r>
      <w:r w:rsidRPr="00D26C6A">
        <w:rPr>
          <w:sz w:val="18"/>
          <w:szCs w:val="18"/>
        </w:rPr>
        <w:t xml:space="preserve">30 years </w:t>
      </w:r>
      <w:r w:rsidR="00E16BA3">
        <w:rPr>
          <w:sz w:val="18"/>
          <w:szCs w:val="18"/>
        </w:rPr>
        <w:t xml:space="preserve">for GP </w:t>
      </w:r>
      <w:r w:rsidR="00557E8D">
        <w:rPr>
          <w:sz w:val="18"/>
          <w:szCs w:val="18"/>
        </w:rPr>
        <w:t>a</w:t>
      </w:r>
      <w:r w:rsidR="00CB30E2">
        <w:rPr>
          <w:sz w:val="18"/>
          <w:szCs w:val="18"/>
        </w:rPr>
        <w:t>nnual prevalence survey</w:t>
      </w:r>
      <w:r w:rsidR="00E16BA3">
        <w:rPr>
          <w:sz w:val="18"/>
          <w:szCs w:val="18"/>
        </w:rPr>
        <w:t xml:space="preserve"> estimate </w:t>
      </w:r>
      <w:r w:rsidRPr="00D26C6A">
        <w:rPr>
          <w:sz w:val="18"/>
          <w:szCs w:val="18"/>
        </w:rPr>
        <w:t>excluded cases in 0-24 years age group</w:t>
      </w:r>
    </w:p>
    <w:p w:rsidR="00307340" w:rsidRDefault="00BE6038" w:rsidP="00307340">
      <w:pPr>
        <w:pStyle w:val="Heading3"/>
      </w:pPr>
      <w:bookmarkStart w:id="169" w:name="_Toc291585871"/>
      <w:bookmarkStart w:id="170" w:name="_Toc302293457"/>
      <w:r>
        <w:t>Cataracts</w:t>
      </w:r>
      <w:bookmarkEnd w:id="169"/>
      <w:bookmarkEnd w:id="170"/>
    </w:p>
    <w:p w:rsidR="009038D2" w:rsidRDefault="00575AE5" w:rsidP="000E4289">
      <w:pPr>
        <w:rPr>
          <w:szCs w:val="24"/>
        </w:rPr>
      </w:pPr>
      <w:r>
        <w:rPr>
          <w:szCs w:val="24"/>
        </w:rPr>
        <w:t xml:space="preserve">Table 13 </w:t>
      </w:r>
      <w:r w:rsidR="000E4289" w:rsidRPr="000E4289">
        <w:rPr>
          <w:szCs w:val="24"/>
        </w:rPr>
        <w:t>shows that the 2001 N</w:t>
      </w:r>
      <w:r w:rsidR="00390207">
        <w:rPr>
          <w:szCs w:val="24"/>
        </w:rPr>
        <w:t xml:space="preserve">EHEM </w:t>
      </w:r>
      <w:r w:rsidR="000E4289" w:rsidRPr="000E4289">
        <w:rPr>
          <w:szCs w:val="24"/>
        </w:rPr>
        <w:t xml:space="preserve">estimated prevalence of </w:t>
      </w:r>
      <w:r w:rsidR="000E4289">
        <w:rPr>
          <w:szCs w:val="24"/>
        </w:rPr>
        <w:t>cataracts</w:t>
      </w:r>
      <w:r w:rsidR="000338BD">
        <w:rPr>
          <w:szCs w:val="24"/>
        </w:rPr>
        <w:t xml:space="preserve"> in the population aged 40 years and over</w:t>
      </w:r>
      <w:r w:rsidR="000E4289">
        <w:rPr>
          <w:szCs w:val="24"/>
        </w:rPr>
        <w:t xml:space="preserve"> </w:t>
      </w:r>
      <w:r w:rsidR="000E4289" w:rsidRPr="000E4289">
        <w:rPr>
          <w:szCs w:val="24"/>
        </w:rPr>
        <w:t xml:space="preserve">was </w:t>
      </w:r>
      <w:r w:rsidR="000E4289">
        <w:rPr>
          <w:szCs w:val="24"/>
        </w:rPr>
        <w:t xml:space="preserve">lower in Rhondda Cynon Taf and </w:t>
      </w:r>
      <w:r w:rsidR="00976E79">
        <w:rPr>
          <w:szCs w:val="24"/>
        </w:rPr>
        <w:t>Merthyr Tydfil compared with</w:t>
      </w:r>
      <w:r w:rsidR="000E4289">
        <w:rPr>
          <w:szCs w:val="24"/>
        </w:rPr>
        <w:t xml:space="preserve"> Wales.  </w:t>
      </w:r>
    </w:p>
    <w:p w:rsidR="00041A9A" w:rsidRPr="00041A9A" w:rsidRDefault="00041A9A" w:rsidP="00041A9A">
      <w:pPr>
        <w:pStyle w:val="Caption"/>
        <w:jc w:val="left"/>
        <w:rPr>
          <w:sz w:val="20"/>
        </w:rPr>
      </w:pPr>
      <w:bookmarkStart w:id="171" w:name="_Ref284507284"/>
      <w:bookmarkStart w:id="172" w:name="_Toc302293555"/>
      <w:r w:rsidRPr="00041A9A">
        <w:rPr>
          <w:sz w:val="20"/>
        </w:rPr>
        <w:lastRenderedPageBreak/>
        <w:t xml:space="preserve">Table </w:t>
      </w:r>
      <w:r w:rsidR="001060C2" w:rsidRPr="00041A9A">
        <w:rPr>
          <w:sz w:val="20"/>
        </w:rPr>
        <w:fldChar w:fldCharType="begin"/>
      </w:r>
      <w:r w:rsidRPr="00041A9A">
        <w:rPr>
          <w:sz w:val="20"/>
        </w:rPr>
        <w:instrText xml:space="preserve"> SEQ Table \* ARABIC </w:instrText>
      </w:r>
      <w:r w:rsidR="001060C2" w:rsidRPr="00041A9A">
        <w:rPr>
          <w:sz w:val="20"/>
        </w:rPr>
        <w:fldChar w:fldCharType="separate"/>
      </w:r>
      <w:r w:rsidR="00F96900">
        <w:rPr>
          <w:noProof/>
          <w:sz w:val="20"/>
        </w:rPr>
        <w:t>13</w:t>
      </w:r>
      <w:r w:rsidR="001060C2" w:rsidRPr="00041A9A">
        <w:rPr>
          <w:sz w:val="20"/>
        </w:rPr>
        <w:fldChar w:fldCharType="end"/>
      </w:r>
      <w:bookmarkEnd w:id="171"/>
      <w:r w:rsidR="00390207">
        <w:rPr>
          <w:sz w:val="20"/>
        </w:rPr>
        <w:t xml:space="preserve">. </w:t>
      </w:r>
      <w:r w:rsidRPr="00041A9A">
        <w:rPr>
          <w:sz w:val="20"/>
        </w:rPr>
        <w:t xml:space="preserve">Prevalence of </w:t>
      </w:r>
      <w:r w:rsidR="00BE6038">
        <w:rPr>
          <w:sz w:val="20"/>
        </w:rPr>
        <w:t>cataracts</w:t>
      </w:r>
      <w:r w:rsidR="00D90D15">
        <w:rPr>
          <w:sz w:val="20"/>
        </w:rPr>
        <w:t>,</w:t>
      </w:r>
      <w:r w:rsidRPr="00041A9A">
        <w:rPr>
          <w:sz w:val="20"/>
        </w:rPr>
        <w:t xml:space="preserve"> 2001</w:t>
      </w:r>
      <w:bookmarkEnd w:id="172"/>
    </w:p>
    <w:p w:rsidR="008F5653" w:rsidRDefault="007906AE" w:rsidP="005852A3">
      <w:r>
        <w:rPr>
          <w:noProof/>
          <w:lang w:eastAsia="en-GB"/>
        </w:rPr>
        <w:drawing>
          <wp:inline distT="0" distB="0" distL="0" distR="0">
            <wp:extent cx="4457700" cy="52101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cstate="print"/>
                    <a:srcRect/>
                    <a:stretch>
                      <a:fillRect/>
                    </a:stretch>
                  </pic:blipFill>
                  <pic:spPr bwMode="auto">
                    <a:xfrm>
                      <a:off x="0" y="0"/>
                      <a:ext cx="4457700" cy="5210175"/>
                    </a:xfrm>
                    <a:prstGeom prst="rect">
                      <a:avLst/>
                    </a:prstGeom>
                    <a:noFill/>
                    <a:ln w="9525">
                      <a:noFill/>
                      <a:miter lim="800000"/>
                      <a:headEnd/>
                      <a:tailEnd/>
                    </a:ln>
                  </pic:spPr>
                </pic:pic>
              </a:graphicData>
            </a:graphic>
          </wp:inline>
        </w:drawing>
      </w:r>
    </w:p>
    <w:p w:rsidR="000338BD" w:rsidRPr="0041231E" w:rsidRDefault="000338BD" w:rsidP="000338BD">
      <w:bookmarkStart w:id="173" w:name="_Ref284507679"/>
      <w:r>
        <w:t>Note: Per cents shows are per cents in the population ≥40 years</w:t>
      </w:r>
    </w:p>
    <w:p w:rsidR="009D5EA5" w:rsidRPr="000E4289" w:rsidRDefault="00575AE5" w:rsidP="009D5EA5">
      <w:pPr>
        <w:rPr>
          <w:szCs w:val="24"/>
        </w:rPr>
      </w:pPr>
      <w:r>
        <w:rPr>
          <w:szCs w:val="24"/>
        </w:rPr>
        <w:t xml:space="preserve">Table 14 </w:t>
      </w:r>
      <w:r w:rsidR="009D5EA5" w:rsidRPr="000E4289">
        <w:rPr>
          <w:szCs w:val="24"/>
        </w:rPr>
        <w:t xml:space="preserve">shows that the estimated prevalence of cataracts </w:t>
      </w:r>
      <w:r w:rsidR="009D5EA5">
        <w:rPr>
          <w:szCs w:val="24"/>
        </w:rPr>
        <w:t xml:space="preserve">in 2009 </w:t>
      </w:r>
      <w:r w:rsidR="000338BD">
        <w:rPr>
          <w:szCs w:val="24"/>
        </w:rPr>
        <w:t xml:space="preserve">in the population aged 40 years and over </w:t>
      </w:r>
      <w:r w:rsidR="009D5EA5">
        <w:rPr>
          <w:szCs w:val="24"/>
        </w:rPr>
        <w:t xml:space="preserve">was </w:t>
      </w:r>
      <w:r w:rsidR="009D5EA5" w:rsidRPr="000E4289">
        <w:rPr>
          <w:szCs w:val="24"/>
        </w:rPr>
        <w:t xml:space="preserve">highest in USOA RCT04, which </w:t>
      </w:r>
      <w:r w:rsidR="009D5EA5">
        <w:rPr>
          <w:szCs w:val="24"/>
        </w:rPr>
        <w:t>wa</w:t>
      </w:r>
      <w:r w:rsidR="009D5EA5" w:rsidRPr="000E4289">
        <w:rPr>
          <w:szCs w:val="24"/>
        </w:rPr>
        <w:t xml:space="preserve">s the USOA with the highest proportion of people </w:t>
      </w:r>
      <w:r w:rsidR="00390207">
        <w:rPr>
          <w:szCs w:val="24"/>
        </w:rPr>
        <w:t xml:space="preserve">aged </w:t>
      </w:r>
      <w:r w:rsidR="009D5EA5">
        <w:rPr>
          <w:szCs w:val="24"/>
        </w:rPr>
        <w:t>65 years</w:t>
      </w:r>
      <w:r w:rsidR="00390207">
        <w:rPr>
          <w:szCs w:val="24"/>
        </w:rPr>
        <w:t xml:space="preserve"> and over</w:t>
      </w:r>
      <w:r w:rsidR="009D5EA5">
        <w:rPr>
          <w:szCs w:val="24"/>
        </w:rPr>
        <w:t>.</w:t>
      </w:r>
    </w:p>
    <w:p w:rsidR="009D5EA5" w:rsidRPr="000E4289" w:rsidRDefault="009D5EA5" w:rsidP="009D5EA5"/>
    <w:p w:rsidR="008C212C" w:rsidRDefault="008C212C">
      <w:pPr>
        <w:spacing w:before="0"/>
        <w:jc w:val="left"/>
        <w:rPr>
          <w:b/>
          <w:sz w:val="20"/>
        </w:rPr>
      </w:pPr>
      <w:r>
        <w:rPr>
          <w:sz w:val="20"/>
        </w:rPr>
        <w:br w:type="page"/>
      </w:r>
    </w:p>
    <w:p w:rsidR="005852A3" w:rsidRDefault="00041A9A" w:rsidP="008C212C">
      <w:pPr>
        <w:pStyle w:val="Caption"/>
        <w:jc w:val="left"/>
      </w:pPr>
      <w:bookmarkStart w:id="174" w:name="_Ref301772689"/>
      <w:bookmarkStart w:id="175" w:name="_Toc302293556"/>
      <w:r w:rsidRPr="00041A9A">
        <w:rPr>
          <w:sz w:val="20"/>
        </w:rPr>
        <w:lastRenderedPageBreak/>
        <w:t xml:space="preserve">Table </w:t>
      </w:r>
      <w:r w:rsidR="001060C2" w:rsidRPr="00041A9A">
        <w:rPr>
          <w:sz w:val="20"/>
        </w:rPr>
        <w:fldChar w:fldCharType="begin"/>
      </w:r>
      <w:r w:rsidRPr="00041A9A">
        <w:rPr>
          <w:sz w:val="20"/>
        </w:rPr>
        <w:instrText xml:space="preserve"> SEQ Table \* ARABIC </w:instrText>
      </w:r>
      <w:r w:rsidR="001060C2" w:rsidRPr="00041A9A">
        <w:rPr>
          <w:sz w:val="20"/>
        </w:rPr>
        <w:fldChar w:fldCharType="separate"/>
      </w:r>
      <w:r w:rsidR="00F96900">
        <w:rPr>
          <w:noProof/>
          <w:sz w:val="20"/>
        </w:rPr>
        <w:t>14</w:t>
      </w:r>
      <w:r w:rsidR="001060C2" w:rsidRPr="00041A9A">
        <w:rPr>
          <w:sz w:val="20"/>
        </w:rPr>
        <w:fldChar w:fldCharType="end"/>
      </w:r>
      <w:bookmarkEnd w:id="173"/>
      <w:bookmarkEnd w:id="174"/>
      <w:r w:rsidR="00390207">
        <w:rPr>
          <w:sz w:val="20"/>
        </w:rPr>
        <w:t xml:space="preserve">. </w:t>
      </w:r>
      <w:r w:rsidRPr="00041A9A">
        <w:rPr>
          <w:sz w:val="20"/>
        </w:rPr>
        <w:t xml:space="preserve">Prevalence </w:t>
      </w:r>
      <w:r>
        <w:rPr>
          <w:sz w:val="20"/>
        </w:rPr>
        <w:t xml:space="preserve">of </w:t>
      </w:r>
      <w:r w:rsidR="00BE6038">
        <w:rPr>
          <w:sz w:val="20"/>
        </w:rPr>
        <w:t>cataracts</w:t>
      </w:r>
      <w:r>
        <w:rPr>
          <w:sz w:val="20"/>
        </w:rPr>
        <w:t>, 2009</w:t>
      </w:r>
      <w:bookmarkEnd w:id="175"/>
      <w:r w:rsidRPr="00041A9A">
        <w:rPr>
          <w:sz w:val="20"/>
        </w:rPr>
        <w:t xml:space="preserve"> </w:t>
      </w:r>
    </w:p>
    <w:p w:rsidR="008F5653" w:rsidRPr="00410930" w:rsidRDefault="00E17CDB" w:rsidP="008F5653">
      <w:pPr>
        <w:tabs>
          <w:tab w:val="left" w:pos="1215"/>
        </w:tabs>
      </w:pPr>
      <w:r>
        <w:rPr>
          <w:noProof/>
          <w:lang w:eastAsia="en-GB"/>
        </w:rPr>
        <w:drawing>
          <wp:inline distT="0" distB="0" distL="0" distR="0">
            <wp:extent cx="5581650" cy="3467735"/>
            <wp:effectExtent l="19050" t="0" r="0" b="0"/>
            <wp:docPr id="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5581650" cy="3467735"/>
                    </a:xfrm>
                    <a:prstGeom prst="rect">
                      <a:avLst/>
                    </a:prstGeom>
                    <a:noFill/>
                    <a:ln w="9525">
                      <a:noFill/>
                      <a:miter lim="800000"/>
                      <a:headEnd/>
                      <a:tailEnd/>
                    </a:ln>
                  </pic:spPr>
                </pic:pic>
              </a:graphicData>
            </a:graphic>
          </wp:inline>
        </w:drawing>
      </w:r>
    </w:p>
    <w:p w:rsidR="000338BD" w:rsidRPr="0041231E" w:rsidRDefault="000338BD" w:rsidP="000338BD">
      <w:r>
        <w:t>Note: Per cents shows are per cents in the population ≥40 years</w:t>
      </w:r>
    </w:p>
    <w:p w:rsidR="00E62522" w:rsidRPr="00390207" w:rsidRDefault="00575AE5" w:rsidP="00E62522">
      <w:pPr>
        <w:rPr>
          <w:szCs w:val="24"/>
        </w:rPr>
      </w:pPr>
      <w:r>
        <w:t xml:space="preserve">Figure 12 </w:t>
      </w:r>
      <w:r w:rsidR="009038D2">
        <w:rPr>
          <w:szCs w:val="24"/>
        </w:rPr>
        <w:t xml:space="preserve">shows </w:t>
      </w:r>
      <w:r w:rsidR="00CB4E0E">
        <w:rPr>
          <w:szCs w:val="24"/>
        </w:rPr>
        <w:t>the r</w:t>
      </w:r>
      <w:r w:rsidR="0066183B">
        <w:t xml:space="preserve">esults from the GP </w:t>
      </w:r>
      <w:r w:rsidR="00390207">
        <w:t>a</w:t>
      </w:r>
      <w:r w:rsidR="00CB30E2">
        <w:t>nnual prevalence survey</w:t>
      </w:r>
      <w:r w:rsidR="00CB4E0E">
        <w:t>.  It</w:t>
      </w:r>
      <w:r w:rsidR="0066183B">
        <w:t xml:space="preserve"> show</w:t>
      </w:r>
      <w:r w:rsidR="00CB4E0E">
        <w:t>s</w:t>
      </w:r>
      <w:r w:rsidR="0066183B">
        <w:t xml:space="preserve"> that the prevalence of </w:t>
      </w:r>
      <w:r w:rsidR="00CB4E0E">
        <w:t>c</w:t>
      </w:r>
      <w:r w:rsidR="0066183B">
        <w:t xml:space="preserve">ataracts increases with increasing age.  </w:t>
      </w:r>
      <w:r>
        <w:t xml:space="preserve">Table 15 </w:t>
      </w:r>
      <w:r w:rsidR="00390207">
        <w:t xml:space="preserve">shows the estimated number of people with cataracts in Cwm Taf and Wales and the </w:t>
      </w:r>
      <w:r w:rsidR="00976E79">
        <w:t>per cent</w:t>
      </w:r>
      <w:r w:rsidR="00390207">
        <w:t xml:space="preserve"> in the total population when the age-specific prevalences are applied to the 2009 mid-year population estimates.</w:t>
      </w:r>
      <w:r w:rsidR="00390207">
        <w:rPr>
          <w:szCs w:val="24"/>
        </w:rPr>
        <w:t xml:space="preserve">  </w:t>
      </w:r>
      <w:r w:rsidR="00545155">
        <w:t>The</w:t>
      </w:r>
      <w:r w:rsidR="00783933">
        <w:t xml:space="preserve"> number and</w:t>
      </w:r>
      <w:r w:rsidR="00545155">
        <w:t xml:space="preserve"> </w:t>
      </w:r>
      <w:r w:rsidR="00976E79">
        <w:t>per cent</w:t>
      </w:r>
      <w:r w:rsidR="00545155">
        <w:t xml:space="preserve"> of cases in the population </w:t>
      </w:r>
      <w:r w:rsidR="00390207">
        <w:t xml:space="preserve">aged </w:t>
      </w:r>
      <w:r w:rsidR="00545155">
        <w:t>40 years</w:t>
      </w:r>
      <w:r w:rsidR="00390207">
        <w:t xml:space="preserve"> and over</w:t>
      </w:r>
      <w:r w:rsidR="00545155">
        <w:t xml:space="preserve"> from the GP </w:t>
      </w:r>
      <w:r w:rsidR="00390207">
        <w:t>a</w:t>
      </w:r>
      <w:r w:rsidR="00CB30E2">
        <w:t>nnual prevalence survey</w:t>
      </w:r>
      <w:r w:rsidR="00545155">
        <w:t xml:space="preserve"> estimate are also shown to compare with the NEHEM </w:t>
      </w:r>
      <w:r w:rsidR="00783933">
        <w:t xml:space="preserve">estimates </w:t>
      </w:r>
      <w:r w:rsidR="00545155">
        <w:t xml:space="preserve">as this was measured only in the population </w:t>
      </w:r>
      <w:r w:rsidR="00390207">
        <w:t xml:space="preserve">aged </w:t>
      </w:r>
      <w:r w:rsidR="00545155">
        <w:t>40 years</w:t>
      </w:r>
      <w:r w:rsidR="00390207">
        <w:t xml:space="preserve"> and over</w:t>
      </w:r>
      <w:r w:rsidR="00545155">
        <w:t xml:space="preserve">.  The GP </w:t>
      </w:r>
      <w:r w:rsidR="00390207">
        <w:t>a</w:t>
      </w:r>
      <w:r w:rsidR="00CB30E2">
        <w:t>nnual prevalence survey</w:t>
      </w:r>
      <w:r w:rsidR="00545155">
        <w:t xml:space="preserve"> estimates are slightly lower than the NEHEM lower estimates and would be about half the estimates of the NEHEM mid estimate.</w:t>
      </w:r>
      <w:r w:rsidR="002427E1">
        <w:t xml:space="preserve">  </w:t>
      </w:r>
      <w:r w:rsidR="00E62522">
        <w:t>This could be explained by the fact that the GP</w:t>
      </w:r>
      <w:r w:rsidR="0043301D">
        <w:t xml:space="preserve"> </w:t>
      </w:r>
      <w:r w:rsidR="00390207">
        <w:t>a</w:t>
      </w:r>
      <w:r w:rsidR="00CB30E2">
        <w:t>nnual prevalence survey</w:t>
      </w:r>
      <w:r w:rsidR="0043301D">
        <w:t xml:space="preserve"> data wa</w:t>
      </w:r>
      <w:r w:rsidR="00E62522">
        <w:t>s based on diagnosed cases of cataracts a</w:t>
      </w:r>
      <w:r w:rsidR="0043301D">
        <w:t>nd cases were only counted if they</w:t>
      </w:r>
      <w:r w:rsidR="00E62522">
        <w:t xml:space="preserve"> visited their GP in the previous 12 months. </w:t>
      </w:r>
    </w:p>
    <w:p w:rsidR="0066183B" w:rsidRDefault="0066183B" w:rsidP="00545155"/>
    <w:p w:rsidR="0066183B" w:rsidRPr="0066183B" w:rsidRDefault="0066183B" w:rsidP="0066183B"/>
    <w:p w:rsidR="00041A9A" w:rsidRPr="00041A9A" w:rsidRDefault="00041A9A" w:rsidP="00041A9A">
      <w:pPr>
        <w:pStyle w:val="Caption"/>
        <w:jc w:val="left"/>
        <w:rPr>
          <w:sz w:val="20"/>
        </w:rPr>
      </w:pPr>
      <w:bookmarkStart w:id="176" w:name="_Ref287545385"/>
      <w:bookmarkStart w:id="177" w:name="_Ref284508720"/>
      <w:bookmarkStart w:id="178" w:name="_Toc291585919"/>
      <w:bookmarkStart w:id="179" w:name="_Toc292463296"/>
      <w:bookmarkStart w:id="180" w:name="_Toc302232623"/>
      <w:r w:rsidRPr="00041A9A">
        <w:rPr>
          <w:sz w:val="20"/>
        </w:rPr>
        <w:lastRenderedPageBreak/>
        <w:t xml:space="preserve">Figure </w:t>
      </w:r>
      <w:r w:rsidR="001060C2" w:rsidRPr="00041A9A">
        <w:rPr>
          <w:sz w:val="20"/>
        </w:rPr>
        <w:fldChar w:fldCharType="begin"/>
      </w:r>
      <w:r w:rsidRPr="00041A9A">
        <w:rPr>
          <w:sz w:val="20"/>
        </w:rPr>
        <w:instrText xml:space="preserve"> SEQ Figure \* ARABIC </w:instrText>
      </w:r>
      <w:r w:rsidR="001060C2" w:rsidRPr="00041A9A">
        <w:rPr>
          <w:sz w:val="20"/>
        </w:rPr>
        <w:fldChar w:fldCharType="separate"/>
      </w:r>
      <w:r w:rsidR="00F96900">
        <w:rPr>
          <w:noProof/>
          <w:sz w:val="20"/>
        </w:rPr>
        <w:t>12</w:t>
      </w:r>
      <w:r w:rsidR="001060C2" w:rsidRPr="00041A9A">
        <w:rPr>
          <w:sz w:val="20"/>
        </w:rPr>
        <w:fldChar w:fldCharType="end"/>
      </w:r>
      <w:bookmarkEnd w:id="176"/>
      <w:r w:rsidR="00390207">
        <w:rPr>
          <w:sz w:val="20"/>
        </w:rPr>
        <w:t xml:space="preserve">. </w:t>
      </w:r>
      <w:r w:rsidR="0066183B">
        <w:rPr>
          <w:sz w:val="20"/>
        </w:rPr>
        <w:t>A</w:t>
      </w:r>
      <w:r w:rsidR="0066183B" w:rsidRPr="00041A9A">
        <w:rPr>
          <w:sz w:val="20"/>
        </w:rPr>
        <w:t xml:space="preserve">ge specific prevalence of </w:t>
      </w:r>
      <w:r w:rsidR="0066183B">
        <w:rPr>
          <w:sz w:val="20"/>
        </w:rPr>
        <w:t xml:space="preserve">cataracts, </w:t>
      </w:r>
      <w:bookmarkEnd w:id="177"/>
      <w:bookmarkEnd w:id="178"/>
      <w:bookmarkEnd w:id="179"/>
      <w:r w:rsidR="00E17CDB">
        <w:rPr>
          <w:sz w:val="20"/>
        </w:rPr>
        <w:t>2007</w:t>
      </w:r>
      <w:bookmarkEnd w:id="180"/>
    </w:p>
    <w:p w:rsidR="00D0631C" w:rsidRDefault="00D0631C" w:rsidP="005852A3">
      <w:r w:rsidRPr="00D0631C">
        <w:rPr>
          <w:noProof/>
          <w:lang w:eastAsia="en-GB"/>
        </w:rPr>
        <w:drawing>
          <wp:inline distT="0" distB="0" distL="0" distR="0">
            <wp:extent cx="4343400" cy="2952750"/>
            <wp:effectExtent l="0" t="0" r="0" b="0"/>
            <wp:docPr id="7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0631C" w:rsidRPr="00D0631C" w:rsidRDefault="00D0631C" w:rsidP="005852A3">
      <w:r w:rsidRPr="00D0631C">
        <w:rPr>
          <w:sz w:val="20"/>
        </w:rPr>
        <w:t xml:space="preserve">Source: </w:t>
      </w:r>
      <w:r w:rsidR="00E17CDB">
        <w:rPr>
          <w:sz w:val="20"/>
        </w:rPr>
        <w:t>GP annual prevalence survey</w:t>
      </w:r>
    </w:p>
    <w:p w:rsidR="00694A96" w:rsidRDefault="00694A96" w:rsidP="00041A9A">
      <w:pPr>
        <w:pStyle w:val="Caption"/>
        <w:jc w:val="left"/>
        <w:rPr>
          <w:sz w:val="20"/>
        </w:rPr>
      </w:pPr>
    </w:p>
    <w:p w:rsidR="00041A9A" w:rsidRPr="00041A9A" w:rsidRDefault="00041A9A" w:rsidP="00041A9A">
      <w:pPr>
        <w:pStyle w:val="Caption"/>
        <w:jc w:val="left"/>
        <w:rPr>
          <w:sz w:val="20"/>
        </w:rPr>
      </w:pPr>
      <w:bookmarkStart w:id="181" w:name="_Ref285992627"/>
      <w:bookmarkStart w:id="182" w:name="_Toc302293557"/>
      <w:r w:rsidRPr="00041A9A">
        <w:rPr>
          <w:sz w:val="20"/>
        </w:rPr>
        <w:t xml:space="preserve">Table </w:t>
      </w:r>
      <w:r w:rsidR="001060C2" w:rsidRPr="00041A9A">
        <w:rPr>
          <w:sz w:val="20"/>
        </w:rPr>
        <w:fldChar w:fldCharType="begin"/>
      </w:r>
      <w:r w:rsidRPr="00041A9A">
        <w:rPr>
          <w:sz w:val="20"/>
        </w:rPr>
        <w:instrText xml:space="preserve"> SEQ Table \* ARABIC </w:instrText>
      </w:r>
      <w:r w:rsidR="001060C2" w:rsidRPr="00041A9A">
        <w:rPr>
          <w:sz w:val="20"/>
        </w:rPr>
        <w:fldChar w:fldCharType="separate"/>
      </w:r>
      <w:r w:rsidR="00F96900">
        <w:rPr>
          <w:noProof/>
          <w:sz w:val="20"/>
        </w:rPr>
        <w:t>15</w:t>
      </w:r>
      <w:r w:rsidR="001060C2" w:rsidRPr="00041A9A">
        <w:rPr>
          <w:sz w:val="20"/>
        </w:rPr>
        <w:fldChar w:fldCharType="end"/>
      </w:r>
      <w:bookmarkEnd w:id="181"/>
      <w:r w:rsidR="00390207">
        <w:rPr>
          <w:sz w:val="20"/>
        </w:rPr>
        <w:t xml:space="preserve">. </w:t>
      </w:r>
      <w:r w:rsidR="00694A96">
        <w:rPr>
          <w:sz w:val="20"/>
        </w:rPr>
        <w:t>Estimated c</w:t>
      </w:r>
      <w:r w:rsidR="00BE6038">
        <w:rPr>
          <w:sz w:val="20"/>
        </w:rPr>
        <w:t>ataracts</w:t>
      </w:r>
      <w:r w:rsidRPr="00041A9A">
        <w:rPr>
          <w:sz w:val="20"/>
        </w:rPr>
        <w:t xml:space="preserve"> </w:t>
      </w:r>
      <w:r w:rsidR="00694A96">
        <w:rPr>
          <w:sz w:val="20"/>
        </w:rPr>
        <w:t>prevalence</w:t>
      </w:r>
      <w:r w:rsidRPr="00041A9A">
        <w:rPr>
          <w:sz w:val="20"/>
        </w:rPr>
        <w:t>, 2009</w:t>
      </w:r>
      <w:bookmarkEnd w:id="182"/>
      <w:r w:rsidRPr="00041A9A">
        <w:rPr>
          <w:sz w:val="20"/>
        </w:rPr>
        <w:t xml:space="preserve"> </w:t>
      </w:r>
    </w:p>
    <w:p w:rsidR="006E28E8" w:rsidRDefault="00783933" w:rsidP="006E28E8">
      <w:r>
        <w:rPr>
          <w:noProof/>
          <w:lang w:eastAsia="en-GB"/>
        </w:rPr>
        <w:drawing>
          <wp:inline distT="0" distB="0" distL="0" distR="0">
            <wp:extent cx="5768975" cy="1888956"/>
            <wp:effectExtent l="19050" t="0" r="0"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srcRect/>
                    <a:stretch>
                      <a:fillRect/>
                    </a:stretch>
                  </pic:blipFill>
                  <pic:spPr bwMode="auto">
                    <a:xfrm>
                      <a:off x="0" y="0"/>
                      <a:ext cx="5768975" cy="1888956"/>
                    </a:xfrm>
                    <a:prstGeom prst="rect">
                      <a:avLst/>
                    </a:prstGeom>
                    <a:noFill/>
                    <a:ln w="9525">
                      <a:noFill/>
                      <a:miter lim="800000"/>
                      <a:headEnd/>
                      <a:tailEnd/>
                    </a:ln>
                  </pic:spPr>
                </pic:pic>
              </a:graphicData>
            </a:graphic>
          </wp:inline>
        </w:drawing>
      </w:r>
    </w:p>
    <w:p w:rsidR="00D15C6A" w:rsidRPr="00D26C6A" w:rsidRDefault="00D15C6A" w:rsidP="00D15C6A">
      <w:pPr>
        <w:rPr>
          <w:sz w:val="18"/>
          <w:szCs w:val="18"/>
        </w:rPr>
      </w:pPr>
      <w:r w:rsidRPr="00D26C6A">
        <w:rPr>
          <w:sz w:val="18"/>
          <w:szCs w:val="18"/>
        </w:rPr>
        <w:t>N</w:t>
      </w:r>
      <w:r w:rsidR="00E17CDB">
        <w:rPr>
          <w:sz w:val="18"/>
          <w:szCs w:val="18"/>
        </w:rPr>
        <w:t>ote</w:t>
      </w:r>
      <w:r w:rsidRPr="00D26C6A">
        <w:rPr>
          <w:sz w:val="18"/>
          <w:szCs w:val="18"/>
        </w:rPr>
        <w:t xml:space="preserve">: </w:t>
      </w:r>
      <w:r w:rsidR="00E17CDB">
        <w:rPr>
          <w:sz w:val="18"/>
          <w:szCs w:val="18"/>
        </w:rPr>
        <w:t>N</w:t>
      </w:r>
      <w:r w:rsidR="00D26C6A">
        <w:rPr>
          <w:sz w:val="18"/>
          <w:szCs w:val="18"/>
        </w:rPr>
        <w:t xml:space="preserve">umerator for </w:t>
      </w:r>
      <w:r w:rsidR="00783933">
        <w:rPr>
          <w:sz w:val="18"/>
          <w:szCs w:val="18"/>
        </w:rPr>
        <w:t xml:space="preserve">number and </w:t>
      </w:r>
      <w:r w:rsidR="00976E79">
        <w:rPr>
          <w:sz w:val="18"/>
          <w:szCs w:val="18"/>
        </w:rPr>
        <w:t>per cent</w:t>
      </w:r>
      <w:r w:rsidR="00557E8D">
        <w:rPr>
          <w:sz w:val="18"/>
          <w:szCs w:val="18"/>
        </w:rPr>
        <w:t xml:space="preserve"> in population</w:t>
      </w:r>
      <w:r w:rsidR="00390207">
        <w:rPr>
          <w:sz w:val="18"/>
          <w:szCs w:val="18"/>
        </w:rPr>
        <w:t xml:space="preserve"> </w:t>
      </w:r>
      <w:r w:rsidR="00557E8D">
        <w:rPr>
          <w:sz w:val="18"/>
          <w:szCs w:val="18"/>
        </w:rPr>
        <w:t>≥</w:t>
      </w:r>
      <w:r w:rsidR="00D26C6A">
        <w:rPr>
          <w:sz w:val="18"/>
          <w:szCs w:val="18"/>
        </w:rPr>
        <w:t>4</w:t>
      </w:r>
      <w:r w:rsidRPr="00D26C6A">
        <w:rPr>
          <w:sz w:val="18"/>
          <w:szCs w:val="18"/>
        </w:rPr>
        <w:t>0 years</w:t>
      </w:r>
      <w:r w:rsidR="00390207">
        <w:rPr>
          <w:sz w:val="18"/>
          <w:szCs w:val="18"/>
        </w:rPr>
        <w:t xml:space="preserve"> </w:t>
      </w:r>
      <w:r w:rsidR="00E16BA3">
        <w:rPr>
          <w:sz w:val="18"/>
          <w:szCs w:val="18"/>
        </w:rPr>
        <w:t xml:space="preserve">for GP </w:t>
      </w:r>
      <w:r w:rsidR="00D0631C">
        <w:rPr>
          <w:sz w:val="18"/>
          <w:szCs w:val="18"/>
        </w:rPr>
        <w:t>a</w:t>
      </w:r>
      <w:r w:rsidR="00CB30E2">
        <w:rPr>
          <w:sz w:val="18"/>
          <w:szCs w:val="18"/>
        </w:rPr>
        <w:t>nnual prevalence survey</w:t>
      </w:r>
      <w:r w:rsidR="00E16BA3">
        <w:rPr>
          <w:sz w:val="18"/>
          <w:szCs w:val="18"/>
        </w:rPr>
        <w:t xml:space="preserve"> estimate </w:t>
      </w:r>
      <w:r w:rsidRPr="00D26C6A">
        <w:rPr>
          <w:sz w:val="18"/>
          <w:szCs w:val="18"/>
        </w:rPr>
        <w:t>excluded cases in 0-24 years age group</w:t>
      </w:r>
    </w:p>
    <w:p w:rsidR="00307340" w:rsidRDefault="00307340" w:rsidP="00307340">
      <w:pPr>
        <w:pStyle w:val="Heading3"/>
      </w:pPr>
      <w:bookmarkStart w:id="183" w:name="_Toc291585872"/>
      <w:bookmarkStart w:id="184" w:name="_Toc302293458"/>
      <w:r>
        <w:t>Age</w:t>
      </w:r>
      <w:r w:rsidR="009038D2">
        <w:t>-</w:t>
      </w:r>
      <w:r>
        <w:t>related macular degeneration</w:t>
      </w:r>
      <w:bookmarkEnd w:id="183"/>
      <w:bookmarkEnd w:id="184"/>
    </w:p>
    <w:p w:rsidR="00545155" w:rsidRPr="00545155" w:rsidRDefault="00575AE5" w:rsidP="00A73028">
      <w:r>
        <w:rPr>
          <w:szCs w:val="24"/>
        </w:rPr>
        <w:t xml:space="preserve">Table 16 </w:t>
      </w:r>
      <w:r w:rsidR="00545155" w:rsidRPr="00545155">
        <w:rPr>
          <w:szCs w:val="24"/>
        </w:rPr>
        <w:t>shows that the 2001 N</w:t>
      </w:r>
      <w:r w:rsidR="00390207">
        <w:rPr>
          <w:szCs w:val="24"/>
        </w:rPr>
        <w:t xml:space="preserve">EHEM </w:t>
      </w:r>
      <w:r w:rsidR="00545155" w:rsidRPr="00545155">
        <w:rPr>
          <w:szCs w:val="24"/>
        </w:rPr>
        <w:t xml:space="preserve">estimated prevalence of </w:t>
      </w:r>
      <w:r w:rsidR="009038D2">
        <w:rPr>
          <w:szCs w:val="24"/>
        </w:rPr>
        <w:t xml:space="preserve">ARMD </w:t>
      </w:r>
      <w:r w:rsidR="000338BD">
        <w:rPr>
          <w:szCs w:val="24"/>
        </w:rPr>
        <w:t xml:space="preserve">in the population aged 50 years and over </w:t>
      </w:r>
      <w:r w:rsidR="00545155" w:rsidRPr="00545155">
        <w:rPr>
          <w:szCs w:val="24"/>
        </w:rPr>
        <w:t xml:space="preserve">was lower in Rhondda Cynon Taf and Merthyr Tydfil compared with Wales.  </w:t>
      </w:r>
    </w:p>
    <w:p w:rsidR="00041A9A" w:rsidRPr="00041A9A" w:rsidRDefault="00041A9A" w:rsidP="00041A9A">
      <w:pPr>
        <w:pStyle w:val="Caption"/>
        <w:jc w:val="left"/>
        <w:rPr>
          <w:sz w:val="20"/>
        </w:rPr>
      </w:pPr>
      <w:bookmarkStart w:id="185" w:name="_Ref284509525"/>
      <w:bookmarkStart w:id="186" w:name="_Toc302293558"/>
      <w:r w:rsidRPr="00041A9A">
        <w:rPr>
          <w:sz w:val="20"/>
        </w:rPr>
        <w:lastRenderedPageBreak/>
        <w:t xml:space="preserve">Table </w:t>
      </w:r>
      <w:r w:rsidR="001060C2" w:rsidRPr="00041A9A">
        <w:rPr>
          <w:sz w:val="20"/>
        </w:rPr>
        <w:fldChar w:fldCharType="begin"/>
      </w:r>
      <w:r w:rsidRPr="00041A9A">
        <w:rPr>
          <w:sz w:val="20"/>
        </w:rPr>
        <w:instrText xml:space="preserve"> SEQ Table \* ARABIC </w:instrText>
      </w:r>
      <w:r w:rsidR="001060C2" w:rsidRPr="00041A9A">
        <w:rPr>
          <w:sz w:val="20"/>
        </w:rPr>
        <w:fldChar w:fldCharType="separate"/>
      </w:r>
      <w:r w:rsidR="00F96900">
        <w:rPr>
          <w:noProof/>
          <w:sz w:val="20"/>
        </w:rPr>
        <w:t>16</w:t>
      </w:r>
      <w:r w:rsidR="001060C2" w:rsidRPr="00041A9A">
        <w:rPr>
          <w:sz w:val="20"/>
        </w:rPr>
        <w:fldChar w:fldCharType="end"/>
      </w:r>
      <w:bookmarkEnd w:id="185"/>
      <w:r w:rsidR="00390207">
        <w:rPr>
          <w:sz w:val="20"/>
        </w:rPr>
        <w:t xml:space="preserve">. </w:t>
      </w:r>
      <w:r w:rsidRPr="00041A9A">
        <w:rPr>
          <w:sz w:val="20"/>
        </w:rPr>
        <w:t>Prevalence of age-related macular degeneration, 2001</w:t>
      </w:r>
      <w:bookmarkEnd w:id="186"/>
    </w:p>
    <w:p w:rsidR="00AE6839" w:rsidRPr="0063409A" w:rsidRDefault="007906AE" w:rsidP="00AE6839">
      <w:r>
        <w:rPr>
          <w:noProof/>
          <w:lang w:eastAsia="en-GB"/>
        </w:rPr>
        <w:drawing>
          <wp:inline distT="0" distB="0" distL="0" distR="0">
            <wp:extent cx="5762625" cy="4067175"/>
            <wp:effectExtent l="1905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cstate="print"/>
                    <a:srcRect/>
                    <a:stretch>
                      <a:fillRect/>
                    </a:stretch>
                  </pic:blipFill>
                  <pic:spPr bwMode="auto">
                    <a:xfrm>
                      <a:off x="0" y="0"/>
                      <a:ext cx="5762625" cy="4067175"/>
                    </a:xfrm>
                    <a:prstGeom prst="rect">
                      <a:avLst/>
                    </a:prstGeom>
                    <a:noFill/>
                    <a:ln w="9525">
                      <a:noFill/>
                      <a:miter lim="800000"/>
                      <a:headEnd/>
                      <a:tailEnd/>
                    </a:ln>
                  </pic:spPr>
                </pic:pic>
              </a:graphicData>
            </a:graphic>
          </wp:inline>
        </w:drawing>
      </w:r>
    </w:p>
    <w:p w:rsidR="003F4D32" w:rsidRDefault="00AE6839" w:rsidP="00EA1BE6">
      <w:pPr>
        <w:rPr>
          <w:sz w:val="20"/>
        </w:rPr>
      </w:pPr>
      <w:r>
        <w:rPr>
          <w:sz w:val="20"/>
        </w:rPr>
        <w:t xml:space="preserve">NB. </w:t>
      </w:r>
      <w:r w:rsidR="003F4D32" w:rsidRPr="003F4D32">
        <w:rPr>
          <w:sz w:val="20"/>
        </w:rPr>
        <w:t>NV-ARMD</w:t>
      </w:r>
      <w:r w:rsidR="003F4D32">
        <w:rPr>
          <w:sz w:val="20"/>
        </w:rPr>
        <w:t xml:space="preserve"> –</w:t>
      </w:r>
      <w:r w:rsidR="00F51638">
        <w:rPr>
          <w:sz w:val="20"/>
        </w:rPr>
        <w:t xml:space="preserve"> Neovascular age-</w:t>
      </w:r>
      <w:r w:rsidR="003F4D32">
        <w:rPr>
          <w:sz w:val="20"/>
        </w:rPr>
        <w:t>related macular degeneration (Wet)</w:t>
      </w:r>
      <w:r>
        <w:rPr>
          <w:sz w:val="20"/>
        </w:rPr>
        <w:t xml:space="preserve">, </w:t>
      </w:r>
      <w:r w:rsidR="003F4D32">
        <w:rPr>
          <w:sz w:val="20"/>
        </w:rPr>
        <w:t>Geographic</w:t>
      </w:r>
      <w:r w:rsidR="00F51638">
        <w:rPr>
          <w:sz w:val="20"/>
        </w:rPr>
        <w:t xml:space="preserve"> </w:t>
      </w:r>
      <w:r w:rsidR="006F4C70">
        <w:rPr>
          <w:sz w:val="20"/>
        </w:rPr>
        <w:t xml:space="preserve">atrophy </w:t>
      </w:r>
      <w:r w:rsidR="00F51638">
        <w:rPr>
          <w:sz w:val="20"/>
        </w:rPr>
        <w:t>age-related macular degeneration (Dry)</w:t>
      </w:r>
    </w:p>
    <w:p w:rsidR="000338BD" w:rsidRPr="0041231E" w:rsidRDefault="000338BD" w:rsidP="000338BD">
      <w:bookmarkStart w:id="187" w:name="_Ref284509604"/>
      <w:r>
        <w:t>Note: Per cents shows are per cents in the population ≥50 years</w:t>
      </w:r>
    </w:p>
    <w:p w:rsidR="00A73028" w:rsidRPr="000E4289" w:rsidRDefault="00575AE5" w:rsidP="00A73028">
      <w:pPr>
        <w:rPr>
          <w:szCs w:val="24"/>
        </w:rPr>
      </w:pPr>
      <w:r>
        <w:rPr>
          <w:szCs w:val="24"/>
        </w:rPr>
        <w:t xml:space="preserve">Table 17 </w:t>
      </w:r>
      <w:r w:rsidR="00A73028" w:rsidRPr="00545155">
        <w:rPr>
          <w:szCs w:val="24"/>
        </w:rPr>
        <w:t xml:space="preserve">shows that the estimated prevalence of </w:t>
      </w:r>
      <w:r w:rsidR="00A73028">
        <w:rPr>
          <w:szCs w:val="24"/>
        </w:rPr>
        <w:t xml:space="preserve">ARMD </w:t>
      </w:r>
      <w:r w:rsidR="000338BD">
        <w:rPr>
          <w:szCs w:val="24"/>
        </w:rPr>
        <w:t xml:space="preserve">in the population aged 50 years and over </w:t>
      </w:r>
      <w:r w:rsidR="00A73028">
        <w:rPr>
          <w:szCs w:val="24"/>
        </w:rPr>
        <w:t>wa</w:t>
      </w:r>
      <w:r w:rsidR="00A73028" w:rsidRPr="00545155">
        <w:rPr>
          <w:szCs w:val="24"/>
        </w:rPr>
        <w:t xml:space="preserve">s highest in USOAs RCT04 and RCT06, which </w:t>
      </w:r>
      <w:r w:rsidR="00A73028">
        <w:rPr>
          <w:szCs w:val="24"/>
        </w:rPr>
        <w:t>were</w:t>
      </w:r>
      <w:r w:rsidR="00A73028" w:rsidRPr="00545155">
        <w:rPr>
          <w:szCs w:val="24"/>
        </w:rPr>
        <w:t xml:space="preserve"> the USOAs with the highes</w:t>
      </w:r>
      <w:r w:rsidR="00A73028" w:rsidRPr="000E4289">
        <w:rPr>
          <w:szCs w:val="24"/>
        </w:rPr>
        <w:t xml:space="preserve">t proportion of people </w:t>
      </w:r>
      <w:r w:rsidR="00390207">
        <w:rPr>
          <w:szCs w:val="24"/>
        </w:rPr>
        <w:t xml:space="preserve">aged </w:t>
      </w:r>
      <w:r w:rsidR="00A73028">
        <w:rPr>
          <w:szCs w:val="24"/>
        </w:rPr>
        <w:t>65 years</w:t>
      </w:r>
      <w:r w:rsidR="00390207">
        <w:rPr>
          <w:szCs w:val="24"/>
        </w:rPr>
        <w:t xml:space="preserve"> and over</w:t>
      </w:r>
      <w:r w:rsidR="00A73028">
        <w:rPr>
          <w:szCs w:val="24"/>
        </w:rPr>
        <w:t>.</w:t>
      </w:r>
    </w:p>
    <w:p w:rsidR="00A73028" w:rsidRPr="00545155" w:rsidRDefault="00A73028" w:rsidP="00A73028"/>
    <w:p w:rsidR="00D9481A" w:rsidRDefault="00D9481A">
      <w:pPr>
        <w:spacing w:before="0"/>
        <w:jc w:val="left"/>
        <w:rPr>
          <w:b/>
          <w:sz w:val="20"/>
        </w:rPr>
      </w:pPr>
      <w:r>
        <w:rPr>
          <w:sz w:val="20"/>
        </w:rPr>
        <w:br w:type="page"/>
      </w:r>
    </w:p>
    <w:p w:rsidR="00041A9A" w:rsidRPr="00041A9A" w:rsidRDefault="00041A9A" w:rsidP="00D9481A">
      <w:pPr>
        <w:pStyle w:val="Caption"/>
        <w:jc w:val="left"/>
        <w:rPr>
          <w:sz w:val="20"/>
        </w:rPr>
      </w:pPr>
      <w:bookmarkStart w:id="188" w:name="_Ref301773014"/>
      <w:bookmarkStart w:id="189" w:name="_Toc302293559"/>
      <w:r w:rsidRPr="00D0631C">
        <w:rPr>
          <w:sz w:val="20"/>
        </w:rPr>
        <w:lastRenderedPageBreak/>
        <w:t xml:space="preserve">Table </w:t>
      </w:r>
      <w:r w:rsidR="001060C2" w:rsidRPr="00D0631C">
        <w:rPr>
          <w:sz w:val="20"/>
        </w:rPr>
        <w:fldChar w:fldCharType="begin"/>
      </w:r>
      <w:r w:rsidRPr="00D0631C">
        <w:rPr>
          <w:sz w:val="20"/>
        </w:rPr>
        <w:instrText xml:space="preserve"> SEQ Table \* ARABIC </w:instrText>
      </w:r>
      <w:r w:rsidR="001060C2" w:rsidRPr="00D0631C">
        <w:rPr>
          <w:sz w:val="20"/>
        </w:rPr>
        <w:fldChar w:fldCharType="separate"/>
      </w:r>
      <w:r w:rsidR="00F96900">
        <w:rPr>
          <w:noProof/>
          <w:sz w:val="20"/>
        </w:rPr>
        <w:t>17</w:t>
      </w:r>
      <w:r w:rsidR="001060C2" w:rsidRPr="00D0631C">
        <w:rPr>
          <w:sz w:val="20"/>
        </w:rPr>
        <w:fldChar w:fldCharType="end"/>
      </w:r>
      <w:bookmarkEnd w:id="187"/>
      <w:bookmarkEnd w:id="188"/>
      <w:r w:rsidR="00390207" w:rsidRPr="00D0631C">
        <w:rPr>
          <w:sz w:val="20"/>
        </w:rPr>
        <w:t xml:space="preserve">. </w:t>
      </w:r>
      <w:r w:rsidRPr="00D0631C">
        <w:rPr>
          <w:sz w:val="20"/>
        </w:rPr>
        <w:t xml:space="preserve"> Prevalence of age-related macular degeneration, 2009</w:t>
      </w:r>
      <w:bookmarkEnd w:id="189"/>
      <w:r w:rsidRPr="00D0631C">
        <w:rPr>
          <w:sz w:val="20"/>
        </w:rPr>
        <w:t xml:space="preserve"> </w:t>
      </w:r>
    </w:p>
    <w:p w:rsidR="006F4C70" w:rsidRDefault="006F4C70" w:rsidP="00E17CDB">
      <w:pPr>
        <w:pStyle w:val="ListBullet"/>
      </w:pPr>
    </w:p>
    <w:p w:rsidR="00FF5568" w:rsidRDefault="00E17CDB" w:rsidP="00E17CDB">
      <w:pPr>
        <w:pStyle w:val="ListBullet"/>
      </w:pPr>
      <w:r>
        <w:rPr>
          <w:noProof/>
          <w:lang w:eastAsia="en-GB"/>
        </w:rPr>
        <w:drawing>
          <wp:inline distT="0" distB="0" distL="0" distR="0">
            <wp:extent cx="5768975" cy="2870239"/>
            <wp:effectExtent l="19050" t="0" r="3175"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768975" cy="2870239"/>
                    </a:xfrm>
                    <a:prstGeom prst="rect">
                      <a:avLst/>
                    </a:prstGeom>
                    <a:noFill/>
                    <a:ln w="9525">
                      <a:noFill/>
                      <a:miter lim="800000"/>
                      <a:headEnd/>
                      <a:tailEnd/>
                    </a:ln>
                  </pic:spPr>
                </pic:pic>
              </a:graphicData>
            </a:graphic>
          </wp:inline>
        </w:drawing>
      </w:r>
    </w:p>
    <w:p w:rsidR="000338BD" w:rsidRPr="0041231E" w:rsidRDefault="000338BD" w:rsidP="000338BD">
      <w:r>
        <w:t>Note: Per cents shows are per cents in the population ≥50 years</w:t>
      </w:r>
    </w:p>
    <w:p w:rsidR="006E70C6" w:rsidRDefault="006E70C6" w:rsidP="00E17CDB">
      <w:pPr>
        <w:pStyle w:val="ListBullet"/>
      </w:pPr>
    </w:p>
    <w:p w:rsidR="006E70C6" w:rsidRPr="00E17CDB" w:rsidRDefault="006E70C6" w:rsidP="00E17CDB">
      <w:pPr>
        <w:pStyle w:val="ListBullet"/>
      </w:pPr>
      <w:r w:rsidRPr="00E17CDB">
        <w:t xml:space="preserve">The </w:t>
      </w:r>
      <w:r w:rsidR="007930CE" w:rsidRPr="00E17CDB">
        <w:t xml:space="preserve">NEHEM does not take into account deprivation.  Deprivation is linked to higher levels of smoking which is a risk factor for age-related macular degeneration, so the more deprived USOAs may actually have higher prevalences than shown here.  </w:t>
      </w:r>
    </w:p>
    <w:p w:rsidR="000602A1" w:rsidRDefault="00D8724C" w:rsidP="006E70C6">
      <w:pPr>
        <w:pStyle w:val="Heading1"/>
      </w:pPr>
      <w:bookmarkStart w:id="190" w:name="_Toc291585873"/>
      <w:bookmarkStart w:id="191" w:name="_Toc302293459"/>
      <w:r>
        <w:t>Eye</w:t>
      </w:r>
      <w:r w:rsidR="000602A1">
        <w:t xml:space="preserve"> health service provision</w:t>
      </w:r>
      <w:bookmarkEnd w:id="190"/>
      <w:bookmarkEnd w:id="191"/>
      <w:r w:rsidR="00D702F8">
        <w:t xml:space="preserve"> </w:t>
      </w:r>
    </w:p>
    <w:p w:rsidR="00617233" w:rsidRDefault="00D8724C" w:rsidP="000602A1">
      <w:pPr>
        <w:pStyle w:val="Heading2"/>
      </w:pPr>
      <w:bookmarkStart w:id="192" w:name="_Toc291585874"/>
      <w:bookmarkStart w:id="193" w:name="_Toc302293460"/>
      <w:r>
        <w:t>Eye</w:t>
      </w:r>
      <w:r w:rsidR="006E1EE2">
        <w:t xml:space="preserve"> </w:t>
      </w:r>
      <w:r w:rsidR="00617233">
        <w:t>care</w:t>
      </w:r>
      <w:r w:rsidR="006E1EE2">
        <w:t xml:space="preserve"> in the Community</w:t>
      </w:r>
      <w:bookmarkEnd w:id="192"/>
      <w:bookmarkEnd w:id="193"/>
    </w:p>
    <w:p w:rsidR="006106E2" w:rsidRPr="006106E2" w:rsidRDefault="006106E2" w:rsidP="006106E2">
      <w:pPr>
        <w:pStyle w:val="Heading3"/>
      </w:pPr>
      <w:bookmarkStart w:id="194" w:name="_Toc291585875"/>
      <w:bookmarkStart w:id="195" w:name="_Toc302293461"/>
      <w:r>
        <w:t>Optometry</w:t>
      </w:r>
      <w:bookmarkEnd w:id="194"/>
      <w:bookmarkEnd w:id="195"/>
    </w:p>
    <w:p w:rsidR="00813C65" w:rsidRDefault="00813C65" w:rsidP="00813C65">
      <w:r w:rsidRPr="00813C65">
        <w:t xml:space="preserve">The testing of sight and examination of </w:t>
      </w:r>
      <w:r w:rsidR="00D8724C">
        <w:t>eye</w:t>
      </w:r>
      <w:r w:rsidR="00390207">
        <w:t>s in Wales is done in the primary c</w:t>
      </w:r>
      <w:r w:rsidRPr="00813C65">
        <w:t>are sector by some 853 registered Optometrists and 21 Ophthalmic Medical Practitioners.</w:t>
      </w:r>
      <w:r>
        <w:t xml:space="preserve">  </w:t>
      </w:r>
      <w:r w:rsidRPr="00813C65">
        <w:t>These work</w:t>
      </w:r>
      <w:r>
        <w:t xml:space="preserve"> across </w:t>
      </w:r>
      <w:r w:rsidR="0058143C">
        <w:t xml:space="preserve">Wales </w:t>
      </w:r>
      <w:r>
        <w:t>in</w:t>
      </w:r>
      <w:r w:rsidRPr="00813C65">
        <w:t xml:space="preserve"> 522 practices. </w:t>
      </w:r>
      <w:r w:rsidR="0058143C">
        <w:t xml:space="preserve"> </w:t>
      </w:r>
      <w:r w:rsidRPr="00813C65">
        <w:t xml:space="preserve">Of these some 127 practices are carry out domiciliary visits to individuals residing in their own home and others residing in </w:t>
      </w:r>
      <w:r w:rsidR="00390207">
        <w:t>other residential settings</w:t>
      </w:r>
      <w:r w:rsidRPr="00813C65">
        <w:t>.</w:t>
      </w:r>
      <w:r>
        <w:t xml:space="preserve">  </w:t>
      </w:r>
      <w:r w:rsidR="00D26BDC">
        <w:t>Over 99</w:t>
      </w:r>
      <w:r w:rsidR="00CB30E2">
        <w:t xml:space="preserve"> </w:t>
      </w:r>
      <w:r w:rsidR="00976E79">
        <w:t>per cent</w:t>
      </w:r>
      <w:r w:rsidR="00D26BDC">
        <w:t xml:space="preserve"> of NHS funded sight tests are </w:t>
      </w:r>
      <w:r w:rsidR="0058143C">
        <w:t>carried out by O</w:t>
      </w:r>
      <w:r w:rsidRPr="00813C65">
        <w:t>ptometrists.</w:t>
      </w:r>
      <w:r w:rsidR="00D26BDC">
        <w:t xml:space="preserve"> </w:t>
      </w:r>
      <w:r w:rsidRPr="00D26BDC">
        <w:t xml:space="preserve">There are 395 static practices in Wales providing on site testing of sight and </w:t>
      </w:r>
      <w:r w:rsidR="00D8724C">
        <w:t>eye</w:t>
      </w:r>
      <w:r w:rsidRPr="00D26BDC">
        <w:t xml:space="preserve"> examinations under the General Ophthalmic Services</w:t>
      </w:r>
      <w:r w:rsidR="001C2D38">
        <w:t xml:space="preserve"> (p</w:t>
      </w:r>
      <w:r w:rsidR="005454CA">
        <w:t>ersonal communication, Peter Garwood)</w:t>
      </w:r>
      <w:r w:rsidRPr="00D26BDC">
        <w:t>.</w:t>
      </w:r>
      <w:r w:rsidR="005F60D9">
        <w:t xml:space="preserve"> </w:t>
      </w:r>
    </w:p>
    <w:p w:rsidR="00CD5350" w:rsidRDefault="00CD5350" w:rsidP="00813C65">
      <w:r>
        <w:t>T</w:t>
      </w:r>
      <w:r w:rsidR="00117904">
        <w:t>here are</w:t>
      </w:r>
      <w:r w:rsidR="0058143C">
        <w:t xml:space="preserve"> 29 o</w:t>
      </w:r>
      <w:r w:rsidR="00117904">
        <w:t>pt</w:t>
      </w:r>
      <w:r>
        <w:t>ometri</w:t>
      </w:r>
      <w:r w:rsidR="0058143C">
        <w:t xml:space="preserve">c </w:t>
      </w:r>
      <w:r>
        <w:t xml:space="preserve">practices in Cwm Taf. </w:t>
      </w:r>
    </w:p>
    <w:p w:rsidR="00A77B82" w:rsidRDefault="00A77B82" w:rsidP="00A77B82">
      <w:pPr>
        <w:pStyle w:val="NormalWeb"/>
        <w:shd w:val="clear" w:color="auto" w:fill="FFFFFF"/>
        <w:jc w:val="both"/>
        <w:rPr>
          <w:rFonts w:ascii="Verdana" w:hAnsi="Verdana"/>
        </w:rPr>
      </w:pPr>
      <w:r>
        <w:rPr>
          <w:rFonts w:ascii="Verdana" w:hAnsi="Verdana"/>
        </w:rPr>
        <w:t xml:space="preserve">There is also one Optometrist based at the Royal Glamorgan Hospital (personal communication, Selwyn Jones). </w:t>
      </w:r>
    </w:p>
    <w:p w:rsidR="00A77B82" w:rsidRDefault="00A77B82" w:rsidP="00A77B82">
      <w:r>
        <w:lastRenderedPageBreak/>
        <w:t xml:space="preserve">There are no </w:t>
      </w:r>
      <w:r w:rsidRPr="00813C65">
        <w:t>Ophthalmic Medical Practitioners</w:t>
      </w:r>
      <w:r>
        <w:t xml:space="preserve"> in Cwm Taf (personal communication, Peter Garwood). </w:t>
      </w:r>
    </w:p>
    <w:p w:rsidR="00BE52AC" w:rsidRDefault="00BE52AC" w:rsidP="00813C65">
      <w:r>
        <w:t xml:space="preserve">Of the 29 </w:t>
      </w:r>
      <w:r w:rsidR="0042473F">
        <w:t xml:space="preserve">optometric </w:t>
      </w:r>
      <w:r>
        <w:t>practices, it is unknown how many take part in the Glaucoma Management Scheme, but in the last 6 months, 21 practices have undertaken work relating to this (personal communication, Peter Garwood)</w:t>
      </w:r>
      <w:r w:rsidRPr="00D26BDC">
        <w:t>.</w:t>
      </w:r>
    </w:p>
    <w:p w:rsidR="00CD5350" w:rsidRDefault="00575AE5" w:rsidP="00CD5350">
      <w:pPr>
        <w:pStyle w:val="NormalWeb"/>
        <w:shd w:val="clear" w:color="auto" w:fill="FFFFFF"/>
        <w:jc w:val="both"/>
        <w:rPr>
          <w:rFonts w:ascii="Verdana" w:hAnsi="Verdana"/>
        </w:rPr>
      </w:pPr>
      <w:r w:rsidRPr="00575AE5">
        <w:rPr>
          <w:rFonts w:ascii="Verdana" w:hAnsi="Verdana"/>
        </w:rPr>
        <w:t>Figure 13</w:t>
      </w:r>
      <w:r>
        <w:t xml:space="preserve"> </w:t>
      </w:r>
      <w:r w:rsidR="00CD5350" w:rsidRPr="001712BB">
        <w:rPr>
          <w:rFonts w:ascii="Verdana" w:hAnsi="Verdana"/>
        </w:rPr>
        <w:t xml:space="preserve">shows the location of optometric practices in Cwm Taf.  </w:t>
      </w:r>
      <w:r w:rsidR="0058143C">
        <w:rPr>
          <w:rFonts w:ascii="Verdana" w:hAnsi="Verdana"/>
        </w:rPr>
        <w:t xml:space="preserve">It </w:t>
      </w:r>
      <w:r w:rsidR="00CD5350">
        <w:rPr>
          <w:rFonts w:ascii="Verdana" w:hAnsi="Verdana"/>
        </w:rPr>
        <w:t>show</w:t>
      </w:r>
      <w:r w:rsidR="0058143C">
        <w:rPr>
          <w:rFonts w:ascii="Verdana" w:hAnsi="Verdana"/>
        </w:rPr>
        <w:t>s</w:t>
      </w:r>
      <w:r w:rsidR="00CD5350">
        <w:rPr>
          <w:rFonts w:ascii="Verdana" w:hAnsi="Verdana"/>
        </w:rPr>
        <w:t xml:space="preserve"> the areas which are in the most deprived tenth in Wales.  It can be seen that the majority of optometric practices are not located in the most deprived areas, and there are very few practices near the most deprived parts of USOAs RCT01, RCT03 and RCT04.  </w:t>
      </w:r>
    </w:p>
    <w:p w:rsidR="00CD5350" w:rsidRPr="00A3545B" w:rsidRDefault="00CD5350" w:rsidP="00813C65">
      <w:pPr>
        <w:rPr>
          <w:b/>
        </w:rPr>
      </w:pPr>
    </w:p>
    <w:p w:rsidR="00507753" w:rsidRPr="001712BB" w:rsidRDefault="00507753" w:rsidP="00C848B4">
      <w:pPr>
        <w:pStyle w:val="NormalWeb"/>
        <w:shd w:val="clear" w:color="auto" w:fill="FFFFFF"/>
        <w:jc w:val="both"/>
        <w:rPr>
          <w:rFonts w:ascii="Verdana" w:hAnsi="Verdana"/>
        </w:rPr>
      </w:pPr>
    </w:p>
    <w:p w:rsidR="00BE7352" w:rsidRPr="00BE7352" w:rsidRDefault="00BE7352" w:rsidP="00BE7352">
      <w:pPr>
        <w:pStyle w:val="Caption"/>
        <w:jc w:val="both"/>
        <w:rPr>
          <w:sz w:val="20"/>
        </w:rPr>
      </w:pPr>
      <w:bookmarkStart w:id="196" w:name="_Ref284872708"/>
      <w:bookmarkStart w:id="197" w:name="_Toc291585920"/>
      <w:bookmarkStart w:id="198" w:name="_Toc292463297"/>
      <w:bookmarkStart w:id="199" w:name="_Toc302232624"/>
      <w:r w:rsidRPr="00BE7352">
        <w:rPr>
          <w:sz w:val="20"/>
        </w:rPr>
        <w:lastRenderedPageBreak/>
        <w:t xml:space="preserve">Figure </w:t>
      </w:r>
      <w:r w:rsidR="001060C2" w:rsidRPr="00BE7352">
        <w:rPr>
          <w:sz w:val="20"/>
        </w:rPr>
        <w:fldChar w:fldCharType="begin"/>
      </w:r>
      <w:r w:rsidRPr="00BE7352">
        <w:rPr>
          <w:sz w:val="20"/>
        </w:rPr>
        <w:instrText xml:space="preserve"> SEQ Figure \* ARABIC </w:instrText>
      </w:r>
      <w:r w:rsidR="001060C2" w:rsidRPr="00BE7352">
        <w:rPr>
          <w:sz w:val="20"/>
        </w:rPr>
        <w:fldChar w:fldCharType="separate"/>
      </w:r>
      <w:r w:rsidR="00F96900">
        <w:rPr>
          <w:noProof/>
          <w:sz w:val="20"/>
        </w:rPr>
        <w:t>13</w:t>
      </w:r>
      <w:r w:rsidR="001060C2" w:rsidRPr="00BE7352">
        <w:rPr>
          <w:sz w:val="20"/>
        </w:rPr>
        <w:fldChar w:fldCharType="end"/>
      </w:r>
      <w:bookmarkEnd w:id="196"/>
      <w:r w:rsidR="0058143C">
        <w:rPr>
          <w:sz w:val="20"/>
        </w:rPr>
        <w:t>. Location of o</w:t>
      </w:r>
      <w:r w:rsidRPr="00BE7352">
        <w:rPr>
          <w:sz w:val="20"/>
        </w:rPr>
        <w:t>ptometric practices, Cwm Taf</w:t>
      </w:r>
      <w:bookmarkEnd w:id="197"/>
      <w:bookmarkEnd w:id="198"/>
      <w:bookmarkEnd w:id="199"/>
    </w:p>
    <w:p w:rsidR="000A6593" w:rsidRDefault="00E3483F" w:rsidP="00DB462D">
      <w:r w:rsidRPr="00E3483F">
        <w:rPr>
          <w:noProof/>
          <w:lang w:eastAsia="en-GB"/>
        </w:rPr>
        <w:drawing>
          <wp:inline distT="0" distB="0" distL="0" distR="0">
            <wp:extent cx="5768975" cy="8152428"/>
            <wp:effectExtent l="19050" t="0" r="3175" b="0"/>
            <wp:docPr id="3" name="Picture 1" descr="20110516_WIMD_Optometrists_Map3.jpg"/>
            <wp:cNvGraphicFramePr/>
            <a:graphic xmlns:a="http://schemas.openxmlformats.org/drawingml/2006/main">
              <a:graphicData uri="http://schemas.openxmlformats.org/drawingml/2006/picture">
                <pic:pic xmlns:pic="http://schemas.openxmlformats.org/drawingml/2006/picture">
                  <pic:nvPicPr>
                    <pic:cNvPr id="3080" name="Picture 2" descr="20110516_WIMD_Optometrists_Map3.jpg"/>
                    <pic:cNvPicPr>
                      <a:picLocks noChangeAspect="1"/>
                    </pic:cNvPicPr>
                  </pic:nvPicPr>
                  <pic:blipFill>
                    <a:blip r:embed="rId38" cstate="print"/>
                    <a:srcRect/>
                    <a:stretch>
                      <a:fillRect/>
                    </a:stretch>
                  </pic:blipFill>
                  <pic:spPr bwMode="auto">
                    <a:xfrm>
                      <a:off x="0" y="0"/>
                      <a:ext cx="5768975" cy="8152428"/>
                    </a:xfrm>
                    <a:prstGeom prst="rect">
                      <a:avLst/>
                    </a:prstGeom>
                    <a:noFill/>
                    <a:ln w="9525">
                      <a:noFill/>
                      <a:miter lim="800000"/>
                      <a:headEnd/>
                      <a:tailEnd/>
                    </a:ln>
                  </pic:spPr>
                </pic:pic>
              </a:graphicData>
            </a:graphic>
          </wp:inline>
        </w:drawing>
      </w:r>
    </w:p>
    <w:p w:rsidR="00CD5350" w:rsidRPr="00E65E06" w:rsidRDefault="00575AE5" w:rsidP="00CD5350">
      <w:pPr>
        <w:pStyle w:val="Caption"/>
        <w:jc w:val="both"/>
        <w:rPr>
          <w:b w:val="0"/>
          <w:szCs w:val="24"/>
        </w:rPr>
      </w:pPr>
      <w:r>
        <w:rPr>
          <w:b w:val="0"/>
          <w:szCs w:val="24"/>
        </w:rPr>
        <w:lastRenderedPageBreak/>
        <w:t xml:space="preserve">Table 18 </w:t>
      </w:r>
      <w:r w:rsidR="00CD5350">
        <w:rPr>
          <w:b w:val="0"/>
          <w:szCs w:val="24"/>
        </w:rPr>
        <w:t>shows that the travel time to optometric practices for Cwm Taf residents is less than 15 minutes for all residents, and less than 10 minutes for 92.7</w:t>
      </w:r>
      <w:r w:rsidR="00CB30E2">
        <w:rPr>
          <w:b w:val="0"/>
          <w:szCs w:val="24"/>
        </w:rPr>
        <w:t xml:space="preserve"> </w:t>
      </w:r>
      <w:r w:rsidR="00976E79">
        <w:rPr>
          <w:b w:val="0"/>
          <w:szCs w:val="24"/>
        </w:rPr>
        <w:t>per cent</w:t>
      </w:r>
      <w:r w:rsidR="00CD5350">
        <w:rPr>
          <w:b w:val="0"/>
          <w:szCs w:val="24"/>
        </w:rPr>
        <w:t xml:space="preserve"> of residents.  However this is based on travel by car and does not consider travel by public transport.  Some residents, particularly </w:t>
      </w:r>
      <w:r w:rsidR="0058143C">
        <w:rPr>
          <w:b w:val="0"/>
          <w:szCs w:val="24"/>
        </w:rPr>
        <w:t xml:space="preserve">those </w:t>
      </w:r>
      <w:r w:rsidR="00CD5350">
        <w:rPr>
          <w:b w:val="0"/>
          <w:szCs w:val="24"/>
        </w:rPr>
        <w:t>living in deprived areas may not own a car</w:t>
      </w:r>
      <w:r w:rsidR="0058143C">
        <w:rPr>
          <w:b w:val="0"/>
          <w:szCs w:val="24"/>
        </w:rPr>
        <w:t xml:space="preserve"> and rely on public transport.  </w:t>
      </w:r>
      <w:r w:rsidR="00CD5350">
        <w:rPr>
          <w:b w:val="0"/>
          <w:szCs w:val="24"/>
        </w:rPr>
        <w:t>There may however be accessible practices in surrounding health board are</w:t>
      </w:r>
      <w:r w:rsidR="00C42EAE">
        <w:rPr>
          <w:b w:val="0"/>
          <w:szCs w:val="24"/>
        </w:rPr>
        <w:t>as for example, Powys Teaching Health B</w:t>
      </w:r>
      <w:r w:rsidR="00CD5350">
        <w:rPr>
          <w:b w:val="0"/>
          <w:szCs w:val="24"/>
        </w:rPr>
        <w:t xml:space="preserve">oard or Aneurin Bevan </w:t>
      </w:r>
      <w:r w:rsidR="00C42EAE">
        <w:rPr>
          <w:b w:val="0"/>
          <w:szCs w:val="24"/>
        </w:rPr>
        <w:t>H</w:t>
      </w:r>
      <w:r w:rsidR="00CD5350">
        <w:rPr>
          <w:b w:val="0"/>
          <w:szCs w:val="24"/>
        </w:rPr>
        <w:t xml:space="preserve">ealth </w:t>
      </w:r>
      <w:r w:rsidR="00C42EAE">
        <w:rPr>
          <w:b w:val="0"/>
          <w:szCs w:val="24"/>
        </w:rPr>
        <w:t>B</w:t>
      </w:r>
      <w:r w:rsidR="00CD5350">
        <w:rPr>
          <w:b w:val="0"/>
          <w:szCs w:val="24"/>
        </w:rPr>
        <w:t>oard.</w:t>
      </w:r>
    </w:p>
    <w:p w:rsidR="00CD5350" w:rsidRDefault="00CD5350" w:rsidP="00CD5350">
      <w:pPr>
        <w:pStyle w:val="Caption"/>
        <w:jc w:val="left"/>
        <w:rPr>
          <w:sz w:val="20"/>
        </w:rPr>
      </w:pPr>
    </w:p>
    <w:p w:rsidR="00CD5350" w:rsidRPr="00BE7352" w:rsidRDefault="00CD5350" w:rsidP="00CD5350">
      <w:pPr>
        <w:pStyle w:val="Caption"/>
        <w:jc w:val="left"/>
        <w:rPr>
          <w:sz w:val="20"/>
        </w:rPr>
      </w:pPr>
      <w:bookmarkStart w:id="200" w:name="_Ref284873552"/>
      <w:bookmarkStart w:id="201" w:name="_Ref284873527"/>
      <w:bookmarkStart w:id="202" w:name="_Toc302293560"/>
      <w:r w:rsidRPr="00E17CDB">
        <w:rPr>
          <w:sz w:val="20"/>
        </w:rPr>
        <w:t xml:space="preserve">Table </w:t>
      </w:r>
      <w:r w:rsidR="001060C2" w:rsidRPr="00E17CDB">
        <w:rPr>
          <w:sz w:val="20"/>
        </w:rPr>
        <w:fldChar w:fldCharType="begin"/>
      </w:r>
      <w:r w:rsidRPr="00E17CDB">
        <w:rPr>
          <w:sz w:val="20"/>
        </w:rPr>
        <w:instrText xml:space="preserve"> SEQ Table \* ARABIC </w:instrText>
      </w:r>
      <w:r w:rsidR="001060C2" w:rsidRPr="00E17CDB">
        <w:rPr>
          <w:sz w:val="20"/>
        </w:rPr>
        <w:fldChar w:fldCharType="separate"/>
      </w:r>
      <w:r w:rsidR="00F96900">
        <w:rPr>
          <w:noProof/>
          <w:sz w:val="20"/>
        </w:rPr>
        <w:t>18</w:t>
      </w:r>
      <w:r w:rsidR="001060C2" w:rsidRPr="00E17CDB">
        <w:rPr>
          <w:sz w:val="20"/>
        </w:rPr>
        <w:fldChar w:fldCharType="end"/>
      </w:r>
      <w:bookmarkEnd w:id="200"/>
      <w:r w:rsidR="0058143C" w:rsidRPr="00E17CDB">
        <w:rPr>
          <w:sz w:val="20"/>
        </w:rPr>
        <w:t xml:space="preserve">. </w:t>
      </w:r>
      <w:r w:rsidRPr="00E17CDB">
        <w:rPr>
          <w:sz w:val="20"/>
        </w:rPr>
        <w:t>Travel t</w:t>
      </w:r>
      <w:r w:rsidR="0058143C" w:rsidRPr="00E17CDB">
        <w:rPr>
          <w:sz w:val="20"/>
        </w:rPr>
        <w:t>ime to o</w:t>
      </w:r>
      <w:r w:rsidRPr="00E17CDB">
        <w:rPr>
          <w:sz w:val="20"/>
        </w:rPr>
        <w:t>ptometric practices, Cwm Taf</w:t>
      </w:r>
      <w:bookmarkEnd w:id="201"/>
      <w:r w:rsidR="00E21D55">
        <w:rPr>
          <w:sz w:val="20"/>
        </w:rPr>
        <w:t>, 2009</w:t>
      </w:r>
      <w:bookmarkEnd w:id="202"/>
    </w:p>
    <w:p w:rsidR="00CD5350" w:rsidRPr="000A6593" w:rsidRDefault="00CD5350" w:rsidP="00CD5350">
      <w:r>
        <w:rPr>
          <w:noProof/>
          <w:lang w:eastAsia="en-GB"/>
        </w:rPr>
        <w:drawing>
          <wp:inline distT="0" distB="0" distL="0" distR="0">
            <wp:extent cx="4486275" cy="1476375"/>
            <wp:effectExtent l="19050" t="0" r="9525" b="0"/>
            <wp:docPr id="2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cstate="print"/>
                    <a:srcRect/>
                    <a:stretch>
                      <a:fillRect/>
                    </a:stretch>
                  </pic:blipFill>
                  <pic:spPr bwMode="auto">
                    <a:xfrm>
                      <a:off x="0" y="0"/>
                      <a:ext cx="4486275" cy="1476375"/>
                    </a:xfrm>
                    <a:prstGeom prst="rect">
                      <a:avLst/>
                    </a:prstGeom>
                    <a:noFill/>
                  </pic:spPr>
                </pic:pic>
              </a:graphicData>
            </a:graphic>
          </wp:inline>
        </w:drawing>
      </w:r>
    </w:p>
    <w:p w:rsidR="00CD5350" w:rsidRDefault="00CD5350" w:rsidP="00DB462D"/>
    <w:p w:rsidR="00CD5350" w:rsidRDefault="00CD5350" w:rsidP="00CD5350">
      <w:pPr>
        <w:pStyle w:val="Heading3"/>
      </w:pPr>
      <w:bookmarkStart w:id="203" w:name="_Toc291585876"/>
      <w:bookmarkStart w:id="204" w:name="_Toc302293462"/>
      <w:r>
        <w:t xml:space="preserve">Enhanced community </w:t>
      </w:r>
      <w:r w:rsidR="00D8724C">
        <w:t>eye</w:t>
      </w:r>
      <w:r>
        <w:t xml:space="preserve"> care</w:t>
      </w:r>
      <w:bookmarkEnd w:id="203"/>
      <w:bookmarkEnd w:id="204"/>
    </w:p>
    <w:p w:rsidR="00CD5350" w:rsidRDefault="00575AE5" w:rsidP="00CD5350">
      <w:pPr>
        <w:pStyle w:val="NormalWeb"/>
        <w:shd w:val="clear" w:color="auto" w:fill="FFFFFF"/>
        <w:jc w:val="both"/>
        <w:rPr>
          <w:rFonts w:ascii="Verdana" w:hAnsi="Verdana"/>
        </w:rPr>
      </w:pPr>
      <w:r w:rsidRPr="00575AE5">
        <w:rPr>
          <w:rFonts w:ascii="Verdana" w:hAnsi="Verdana"/>
        </w:rPr>
        <w:t>Figure 14</w:t>
      </w:r>
      <w:r>
        <w:t xml:space="preserve"> </w:t>
      </w:r>
      <w:r w:rsidR="00CD5350" w:rsidRPr="001712BB">
        <w:rPr>
          <w:rFonts w:ascii="Verdana" w:hAnsi="Verdana"/>
        </w:rPr>
        <w:t>show</w:t>
      </w:r>
      <w:r w:rsidR="00CD5350">
        <w:rPr>
          <w:rFonts w:ascii="Verdana" w:hAnsi="Verdana"/>
        </w:rPr>
        <w:t>s the location of o</w:t>
      </w:r>
      <w:r w:rsidR="00CD5350" w:rsidRPr="001712BB">
        <w:rPr>
          <w:rFonts w:ascii="Verdana" w:hAnsi="Verdana"/>
        </w:rPr>
        <w:t>ptometri</w:t>
      </w:r>
      <w:r w:rsidR="00CD5350">
        <w:rPr>
          <w:rFonts w:ascii="Verdana" w:hAnsi="Verdana"/>
        </w:rPr>
        <w:t>c</w:t>
      </w:r>
      <w:r w:rsidR="00CD5350" w:rsidRPr="001712BB">
        <w:rPr>
          <w:rFonts w:ascii="Verdana" w:hAnsi="Verdana"/>
        </w:rPr>
        <w:t xml:space="preserve"> practices </w:t>
      </w:r>
      <w:r w:rsidR="00CD5350">
        <w:rPr>
          <w:rFonts w:ascii="Verdana" w:hAnsi="Verdana"/>
        </w:rPr>
        <w:t xml:space="preserve">which offer the WECHE and PEARS examinations </w:t>
      </w:r>
      <w:r w:rsidR="00CD5350" w:rsidRPr="001712BB">
        <w:rPr>
          <w:rFonts w:ascii="Verdana" w:hAnsi="Verdana"/>
        </w:rPr>
        <w:t>in Cwm Taf</w:t>
      </w:r>
      <w:r w:rsidR="00CD5350">
        <w:rPr>
          <w:rFonts w:ascii="Verdana" w:hAnsi="Verdana"/>
        </w:rPr>
        <w:t>.  There is a concentration of practices which offer the WECHE and PEARS examinations in the south of Cwm Taf which is the least deprived area.</w:t>
      </w:r>
    </w:p>
    <w:p w:rsidR="00CD5350" w:rsidRPr="00985941" w:rsidRDefault="00CD5350" w:rsidP="00CD5350">
      <w:pPr>
        <w:rPr>
          <w:rFonts w:cs="Arial"/>
        </w:rPr>
      </w:pPr>
      <w:r w:rsidRPr="00985941">
        <w:rPr>
          <w:rFonts w:cs="Arial"/>
        </w:rPr>
        <w:t>A small study of 289 people which looked at the travel arrangements of p</w:t>
      </w:r>
      <w:r w:rsidR="0090129D">
        <w:rPr>
          <w:rFonts w:cs="Arial"/>
        </w:rPr>
        <w:t>eople who attended for the WECHE or PEARS</w:t>
      </w:r>
      <w:r w:rsidRPr="00985941">
        <w:rPr>
          <w:rFonts w:cs="Arial"/>
        </w:rPr>
        <w:t xml:space="preserve"> examinations found that 190 (65.7</w:t>
      </w:r>
      <w:r w:rsidR="00CB30E2">
        <w:rPr>
          <w:rFonts w:cs="Arial"/>
        </w:rPr>
        <w:t xml:space="preserve"> </w:t>
      </w:r>
      <w:r w:rsidR="00976E79">
        <w:rPr>
          <w:rFonts w:cs="Arial"/>
        </w:rPr>
        <w:t>per cent</w:t>
      </w:r>
      <w:r w:rsidRPr="00985941">
        <w:rPr>
          <w:rFonts w:cs="Arial"/>
        </w:rPr>
        <w:t>) travelled to t</w:t>
      </w:r>
      <w:r w:rsidR="00D9481A">
        <w:rPr>
          <w:rFonts w:cs="Arial"/>
        </w:rPr>
        <w:t>heir appointment by private car</w:t>
      </w:r>
      <w:r w:rsidRPr="00985941">
        <w:rPr>
          <w:rFonts w:cs="Arial"/>
        </w:rPr>
        <w:t xml:space="preserve"> or taxi, 66 (22.9</w:t>
      </w:r>
      <w:r w:rsidR="00CB30E2">
        <w:rPr>
          <w:rFonts w:cs="Arial"/>
        </w:rPr>
        <w:t xml:space="preserve"> </w:t>
      </w:r>
      <w:r w:rsidR="00976E79">
        <w:rPr>
          <w:rFonts w:cs="Arial"/>
        </w:rPr>
        <w:t>per cent</w:t>
      </w:r>
      <w:r w:rsidRPr="00985941">
        <w:rPr>
          <w:rFonts w:cs="Arial"/>
        </w:rPr>
        <w:t>) walked, 31 (10.7</w:t>
      </w:r>
      <w:r w:rsidR="00CB30E2">
        <w:rPr>
          <w:rFonts w:cs="Arial"/>
        </w:rPr>
        <w:t xml:space="preserve"> </w:t>
      </w:r>
      <w:r w:rsidR="00976E79">
        <w:rPr>
          <w:rFonts w:cs="Arial"/>
        </w:rPr>
        <w:t>per cent</w:t>
      </w:r>
      <w:r w:rsidRPr="00985941">
        <w:rPr>
          <w:rFonts w:cs="Arial"/>
        </w:rPr>
        <w:t xml:space="preserve">) travelled by bus, and </w:t>
      </w:r>
      <w:r w:rsidRPr="00985941">
        <w:t>2 (0.7</w:t>
      </w:r>
      <w:r w:rsidR="00CB30E2">
        <w:t xml:space="preserve"> </w:t>
      </w:r>
      <w:r w:rsidR="00976E79">
        <w:t>per cent</w:t>
      </w:r>
      <w:r w:rsidRPr="00985941">
        <w:t>) used other motorised vehicles</w:t>
      </w:r>
      <w:r>
        <w:t xml:space="preserve">.  </w:t>
      </w:r>
      <w:r>
        <w:rPr>
          <w:rFonts w:cs="Arial"/>
        </w:rPr>
        <w:t xml:space="preserve">The time taken to reach the WECHE </w:t>
      </w:r>
      <w:r w:rsidR="0090129D">
        <w:rPr>
          <w:rFonts w:cs="Arial"/>
        </w:rPr>
        <w:t xml:space="preserve">and PEARS </w:t>
      </w:r>
      <w:r>
        <w:rPr>
          <w:rFonts w:cs="Arial"/>
        </w:rPr>
        <w:t xml:space="preserve">examinations ranged from 1 to 90 minutes with an average time of 12.5 minutes </w:t>
      </w:r>
      <w:r w:rsidRPr="00985941">
        <w:rPr>
          <w:rFonts w:cs="Arial"/>
        </w:rPr>
        <w:t>(personal communication</w:t>
      </w:r>
      <w:r>
        <w:rPr>
          <w:rFonts w:cs="Arial"/>
        </w:rPr>
        <w:t xml:space="preserve">, </w:t>
      </w:r>
      <w:r w:rsidRPr="00985941">
        <w:rPr>
          <w:rFonts w:cs="Arial"/>
        </w:rPr>
        <w:t>Peter Garwood).</w:t>
      </w:r>
      <w:r>
        <w:rPr>
          <w:rFonts w:cs="Arial"/>
        </w:rPr>
        <w:t xml:space="preserve">  </w:t>
      </w:r>
    </w:p>
    <w:p w:rsidR="00CD5350" w:rsidRPr="0047034C" w:rsidRDefault="00CD5350" w:rsidP="00DB462D"/>
    <w:p w:rsidR="00BE7352" w:rsidRPr="00BE7352" w:rsidRDefault="00BE7352" w:rsidP="00BE7352">
      <w:pPr>
        <w:pStyle w:val="Caption"/>
        <w:jc w:val="left"/>
        <w:rPr>
          <w:sz w:val="20"/>
        </w:rPr>
      </w:pPr>
      <w:bookmarkStart w:id="205" w:name="_Ref284872715"/>
      <w:bookmarkStart w:id="206" w:name="_Toc291585921"/>
      <w:bookmarkStart w:id="207" w:name="_Toc292463298"/>
      <w:bookmarkStart w:id="208" w:name="_Toc302232625"/>
      <w:r w:rsidRPr="00BE7352">
        <w:rPr>
          <w:sz w:val="20"/>
        </w:rPr>
        <w:lastRenderedPageBreak/>
        <w:t xml:space="preserve">Figure </w:t>
      </w:r>
      <w:r w:rsidR="001060C2" w:rsidRPr="00BE7352">
        <w:rPr>
          <w:sz w:val="20"/>
        </w:rPr>
        <w:fldChar w:fldCharType="begin"/>
      </w:r>
      <w:r w:rsidRPr="00BE7352">
        <w:rPr>
          <w:sz w:val="20"/>
        </w:rPr>
        <w:instrText xml:space="preserve"> SEQ Figure \* ARABIC </w:instrText>
      </w:r>
      <w:r w:rsidR="001060C2" w:rsidRPr="00BE7352">
        <w:rPr>
          <w:sz w:val="20"/>
        </w:rPr>
        <w:fldChar w:fldCharType="separate"/>
      </w:r>
      <w:r w:rsidR="00F96900">
        <w:rPr>
          <w:noProof/>
          <w:sz w:val="20"/>
        </w:rPr>
        <w:t>14</w:t>
      </w:r>
      <w:r w:rsidR="001060C2" w:rsidRPr="00BE7352">
        <w:rPr>
          <w:sz w:val="20"/>
        </w:rPr>
        <w:fldChar w:fldCharType="end"/>
      </w:r>
      <w:bookmarkEnd w:id="205"/>
      <w:r w:rsidR="0058143C">
        <w:rPr>
          <w:sz w:val="20"/>
        </w:rPr>
        <w:t>. Location of o</w:t>
      </w:r>
      <w:r w:rsidRPr="00BE7352">
        <w:rPr>
          <w:sz w:val="20"/>
        </w:rPr>
        <w:t>ptometric practices offering WECHE and PEARS examinations, Cwm Taf</w:t>
      </w:r>
      <w:bookmarkEnd w:id="206"/>
      <w:bookmarkEnd w:id="207"/>
      <w:bookmarkEnd w:id="208"/>
    </w:p>
    <w:p w:rsidR="00BE7352" w:rsidRDefault="007906AE" w:rsidP="00BE7352">
      <w:pPr>
        <w:keepNext/>
      </w:pPr>
      <w:r>
        <w:rPr>
          <w:noProof/>
          <w:lang w:eastAsia="en-GB"/>
        </w:rPr>
        <w:drawing>
          <wp:inline distT="0" distB="0" distL="0" distR="0">
            <wp:extent cx="5873750" cy="8301990"/>
            <wp:effectExtent l="19050" t="0" r="0" b="0"/>
            <wp:docPr id="10" name="Picture 33" descr="20101217_WIMD_WECHE_PEARS_optometrists_Ma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0101217_WIMD_WECHE_PEARS_optometrists_Map2"/>
                    <pic:cNvPicPr>
                      <a:picLocks noChangeAspect="1" noChangeArrowheads="1"/>
                    </pic:cNvPicPr>
                  </pic:nvPicPr>
                  <pic:blipFill>
                    <a:blip r:embed="rId40" cstate="print"/>
                    <a:srcRect/>
                    <a:stretch>
                      <a:fillRect/>
                    </a:stretch>
                  </pic:blipFill>
                  <pic:spPr bwMode="auto">
                    <a:xfrm>
                      <a:off x="0" y="0"/>
                      <a:ext cx="5873750" cy="8301990"/>
                    </a:xfrm>
                    <a:prstGeom prst="rect">
                      <a:avLst/>
                    </a:prstGeom>
                    <a:noFill/>
                  </pic:spPr>
                </pic:pic>
              </a:graphicData>
            </a:graphic>
          </wp:inline>
        </w:drawing>
      </w:r>
    </w:p>
    <w:p w:rsidR="00AC1C56" w:rsidRDefault="00041C77" w:rsidP="00AC1C56">
      <w:pPr>
        <w:pStyle w:val="Heading3"/>
      </w:pPr>
      <w:bookmarkStart w:id="209" w:name="_Toc291585877"/>
      <w:bookmarkStart w:id="210" w:name="_Toc302293463"/>
      <w:r>
        <w:lastRenderedPageBreak/>
        <w:t>Diabetic r</w:t>
      </w:r>
      <w:r w:rsidR="00AC1C56">
        <w:t>etinopathy screening</w:t>
      </w:r>
      <w:bookmarkEnd w:id="209"/>
      <w:bookmarkEnd w:id="210"/>
    </w:p>
    <w:p w:rsidR="001E1168" w:rsidRDefault="00041C77" w:rsidP="005A34C0">
      <w:pPr>
        <w:rPr>
          <w:color w:val="0000CC"/>
        </w:rPr>
      </w:pPr>
      <w:r>
        <w:t>DRSS</w:t>
      </w:r>
      <w:r w:rsidR="00380943">
        <w:t>W</w:t>
      </w:r>
      <w:r w:rsidR="0058143C">
        <w:t xml:space="preserve"> </w:t>
      </w:r>
      <w:r w:rsidR="00F532CE">
        <w:t xml:space="preserve">is hosted by Cardiff and Vale </w:t>
      </w:r>
      <w:r w:rsidR="00194386">
        <w:t xml:space="preserve">University </w:t>
      </w:r>
      <w:r w:rsidR="00C42EAE">
        <w:t>H</w:t>
      </w:r>
      <w:r w:rsidR="00F532CE">
        <w:t xml:space="preserve">ealth </w:t>
      </w:r>
      <w:r w:rsidR="00C42EAE">
        <w:t>B</w:t>
      </w:r>
      <w:r w:rsidR="00F532CE">
        <w:t>oard</w:t>
      </w:r>
      <w:r w:rsidR="00302A71">
        <w:t xml:space="preserve">. </w:t>
      </w:r>
      <w:r w:rsidR="00E14623">
        <w:t xml:space="preserve"> </w:t>
      </w:r>
      <w:r w:rsidR="00302A71">
        <w:t xml:space="preserve">It </w:t>
      </w:r>
      <w:r w:rsidR="001C0464">
        <w:t>offers s</w:t>
      </w:r>
      <w:r w:rsidR="001E1168">
        <w:t xml:space="preserve">creening for </w:t>
      </w:r>
      <w:r w:rsidR="001C0464">
        <w:t>d</w:t>
      </w:r>
      <w:r w:rsidR="001E1168">
        <w:t xml:space="preserve">iabetic </w:t>
      </w:r>
      <w:r w:rsidR="001C0464">
        <w:t>r</w:t>
      </w:r>
      <w:r w:rsidR="001E1168">
        <w:t>etinopathy</w:t>
      </w:r>
      <w:r w:rsidR="001C0464">
        <w:t xml:space="preserve"> to every person who has diabetes and is registered with a GP in Wales.  Screening is offered </w:t>
      </w:r>
      <w:r w:rsidR="00CA1AB1">
        <w:t xml:space="preserve">to eligible patients </w:t>
      </w:r>
      <w:r w:rsidR="001C0464">
        <w:t>annually</w:t>
      </w:r>
      <w:r w:rsidR="00CA1AB1">
        <w:t xml:space="preserve">; </w:t>
      </w:r>
      <w:r w:rsidR="001C0464">
        <w:t xml:space="preserve">some patients will not be </w:t>
      </w:r>
      <w:r w:rsidR="00CA1AB1">
        <w:t>eligible</w:t>
      </w:r>
      <w:r w:rsidR="001C0464">
        <w:t>,</w:t>
      </w:r>
      <w:r w:rsidR="00CA1AB1">
        <w:t xml:space="preserve"> </w:t>
      </w:r>
      <w:r w:rsidR="001C0464">
        <w:t xml:space="preserve">for example if they are already under the care of an </w:t>
      </w:r>
      <w:r w:rsidR="00CA1AB1">
        <w:t>O</w:t>
      </w:r>
      <w:r w:rsidR="001C0464">
        <w:t xml:space="preserve">phthalmologist, </w:t>
      </w:r>
      <w:r w:rsidR="00CA1AB1">
        <w:t xml:space="preserve">are </w:t>
      </w:r>
      <w:r w:rsidR="001C0464">
        <w:t xml:space="preserve">medically unfit or </w:t>
      </w:r>
      <w:r w:rsidR="00CA1AB1">
        <w:t xml:space="preserve">if they </w:t>
      </w:r>
      <w:r w:rsidR="001C0464">
        <w:t>have opted out (</w:t>
      </w:r>
      <w:r w:rsidR="00013464">
        <w:t>W</w:t>
      </w:r>
      <w:r w:rsidR="0058143C">
        <w:t xml:space="preserve">elsh </w:t>
      </w:r>
      <w:r w:rsidR="00013464">
        <w:t>A</w:t>
      </w:r>
      <w:r w:rsidR="0058143C">
        <w:t xml:space="preserve">ssembly </w:t>
      </w:r>
      <w:r w:rsidR="00013464">
        <w:t>G</w:t>
      </w:r>
      <w:r w:rsidR="0058143C">
        <w:t>overnment</w:t>
      </w:r>
      <w:r w:rsidR="006D6F15">
        <w:t>,</w:t>
      </w:r>
      <w:r w:rsidR="001C0464">
        <w:t xml:space="preserve"> 2009). </w:t>
      </w:r>
    </w:p>
    <w:p w:rsidR="006106E2" w:rsidRDefault="00484B67" w:rsidP="006106E2">
      <w:pPr>
        <w:pStyle w:val="Heading3"/>
      </w:pPr>
      <w:bookmarkStart w:id="211" w:name="_Toc291585878"/>
      <w:bookmarkStart w:id="212" w:name="_Toc302293464"/>
      <w:r>
        <w:t>Ophthalmic primary care</w:t>
      </w:r>
      <w:bookmarkEnd w:id="211"/>
      <w:bookmarkEnd w:id="212"/>
      <w:r>
        <w:t xml:space="preserve"> </w:t>
      </w:r>
    </w:p>
    <w:p w:rsidR="00EE2FC0" w:rsidRDefault="00117904" w:rsidP="006106E2">
      <w:r>
        <w:t>There are 51</w:t>
      </w:r>
      <w:r w:rsidR="006D6F15">
        <w:t xml:space="preserve"> General Practices in Cwm Taf although ther</w:t>
      </w:r>
      <w:r w:rsidR="00EE2FC0">
        <w:t xml:space="preserve">e is </w:t>
      </w:r>
      <w:r w:rsidR="006D6F15">
        <w:t xml:space="preserve">only </w:t>
      </w:r>
      <w:r w:rsidR="00EE2FC0">
        <w:t>one</w:t>
      </w:r>
      <w:r w:rsidR="00BF5AE7">
        <w:t xml:space="preserve"> G</w:t>
      </w:r>
      <w:r w:rsidR="006D6F15">
        <w:t xml:space="preserve">P </w:t>
      </w:r>
      <w:r w:rsidR="00FE33E9">
        <w:t xml:space="preserve">with a special interest </w:t>
      </w:r>
      <w:r w:rsidR="00484B67">
        <w:t xml:space="preserve">(GPwSI) </w:t>
      </w:r>
      <w:r w:rsidR="00FE33E9">
        <w:t>in Ophthalmology in Cwm Taf</w:t>
      </w:r>
      <w:r w:rsidR="00EE2FC0">
        <w:t>, who is based in Rhondda Cynon Taf</w:t>
      </w:r>
      <w:r w:rsidR="00B406E0">
        <w:t xml:space="preserve"> </w:t>
      </w:r>
      <w:r w:rsidR="00EE2FC0">
        <w:t>(</w:t>
      </w:r>
      <w:r w:rsidR="00B406E0">
        <w:t>p</w:t>
      </w:r>
      <w:r w:rsidR="00EE2FC0">
        <w:t>ersonal communication</w:t>
      </w:r>
      <w:r w:rsidR="00B36EFC">
        <w:t xml:space="preserve">, </w:t>
      </w:r>
      <w:r w:rsidR="00EE2FC0">
        <w:t>Peter Garwood).</w:t>
      </w:r>
    </w:p>
    <w:p w:rsidR="00C57E5B" w:rsidRDefault="00D623DB" w:rsidP="00C57E5B">
      <w:pPr>
        <w:pStyle w:val="Heading3"/>
      </w:pPr>
      <w:bookmarkStart w:id="213" w:name="_Toc291585879"/>
      <w:bookmarkStart w:id="214" w:name="_Toc302293465"/>
      <w:r>
        <w:t xml:space="preserve">Certificate of visual impairment and </w:t>
      </w:r>
      <w:r w:rsidR="009842A7">
        <w:t>l</w:t>
      </w:r>
      <w:r w:rsidR="009726D9">
        <w:t>ocal</w:t>
      </w:r>
      <w:r w:rsidR="00F435D0">
        <w:t xml:space="preserve"> </w:t>
      </w:r>
      <w:r w:rsidR="007B32C7">
        <w:t>authority</w:t>
      </w:r>
      <w:r>
        <w:t xml:space="preserve"> registration</w:t>
      </w:r>
      <w:bookmarkEnd w:id="213"/>
      <w:bookmarkEnd w:id="214"/>
    </w:p>
    <w:p w:rsidR="00836093" w:rsidRPr="00050042" w:rsidRDefault="00836093" w:rsidP="00836093">
      <w:r>
        <w:t xml:space="preserve">The system for registering as blind or partially sighted changed in April 2007 </w:t>
      </w:r>
      <w:r w:rsidR="00BA390B">
        <w:t xml:space="preserve">to </w:t>
      </w:r>
      <w:r>
        <w:t xml:space="preserve">include the </w:t>
      </w:r>
      <w:r w:rsidR="00CD0778">
        <w:t>CVI(W)</w:t>
      </w:r>
      <w:r w:rsidR="00F55C39">
        <w:t>.</w:t>
      </w:r>
      <w:r w:rsidR="006D6F15">
        <w:t xml:space="preserve">  </w:t>
      </w:r>
      <w:r w:rsidR="00F55C39">
        <w:t xml:space="preserve">The </w:t>
      </w:r>
      <w:r w:rsidR="00CD0778">
        <w:t>CVI(W)</w:t>
      </w:r>
      <w:r w:rsidR="00F55C39">
        <w:t xml:space="preserve"> is completed by Consultant O</w:t>
      </w:r>
      <w:r>
        <w:t>phthalmologists to certify that a patient is eligible to be registered as sight impaired or severely sight impair</w:t>
      </w:r>
      <w:r w:rsidR="00BF5AE7">
        <w:t>ed</w:t>
      </w:r>
      <w:r>
        <w:t xml:space="preserve">.  </w:t>
      </w:r>
      <w:r w:rsidR="00F55C39">
        <w:t xml:space="preserve">It is not compulsory for Consultant Ophthalmologists to complete these certificates but the Royal College of Ophthalmologists strongly recommend that it is offered to patients. </w:t>
      </w:r>
    </w:p>
    <w:p w:rsidR="00710718" w:rsidRDefault="003366A4" w:rsidP="00050042">
      <w:r>
        <w:t xml:space="preserve">Once a certificate is completed, a copy should be sent to the </w:t>
      </w:r>
      <w:r w:rsidR="009726D9">
        <w:t>local</w:t>
      </w:r>
      <w:r w:rsidR="00F435D0">
        <w:t xml:space="preserve"> </w:t>
      </w:r>
      <w:r w:rsidR="007B32C7">
        <w:t>authority</w:t>
      </w:r>
      <w:r>
        <w:t xml:space="preserve">, the patient, the patient’s GP and </w:t>
      </w:r>
      <w:smartTag w:uri="urn:schemas-microsoft-com:office:smarttags" w:element="PlaceName">
        <w:r>
          <w:t>Moorfields</w:t>
        </w:r>
      </w:smartTag>
      <w:r>
        <w:t xml:space="preserve"> </w:t>
      </w:r>
      <w:r w:rsidR="00D8724C">
        <w:t>Eye</w:t>
      </w:r>
      <w:r>
        <w:t xml:space="preserve"> </w:t>
      </w:r>
      <w:smartTag w:uri="urn:schemas-microsoft-com:office:smarttags" w:element="PlaceType">
        <w:r>
          <w:t>Hospital</w:t>
        </w:r>
      </w:smartTag>
      <w:r>
        <w:t xml:space="preserve"> for </w:t>
      </w:r>
      <w:r w:rsidR="00C714CA">
        <w:t>epidemiological analysis</w:t>
      </w:r>
      <w:r w:rsidR="00383279">
        <w:t xml:space="preserve">.  </w:t>
      </w:r>
      <w:r w:rsidR="009726D9">
        <w:t>Local</w:t>
      </w:r>
      <w:r w:rsidR="00F435D0">
        <w:t xml:space="preserve"> </w:t>
      </w:r>
      <w:r w:rsidR="007B32C7">
        <w:t>authorities</w:t>
      </w:r>
      <w:r w:rsidR="00050042">
        <w:t xml:space="preserve"> in Wales </w:t>
      </w:r>
      <w:r w:rsidR="00F55C39">
        <w:t xml:space="preserve">should receive </w:t>
      </w:r>
      <w:r w:rsidR="00CD0778">
        <w:t>CVI(W)</w:t>
      </w:r>
      <w:r w:rsidR="00050042">
        <w:t xml:space="preserve"> </w:t>
      </w:r>
      <w:r w:rsidR="00F55C39">
        <w:t xml:space="preserve">from the hospital within 5 days of completion.  </w:t>
      </w:r>
      <w:r>
        <w:t xml:space="preserve">The </w:t>
      </w:r>
      <w:r w:rsidR="009726D9">
        <w:t>local</w:t>
      </w:r>
      <w:r w:rsidR="00F435D0">
        <w:t xml:space="preserve"> </w:t>
      </w:r>
      <w:r w:rsidR="007B32C7">
        <w:t>authority</w:t>
      </w:r>
      <w:r>
        <w:t xml:space="preserve"> </w:t>
      </w:r>
      <w:r w:rsidR="00050042">
        <w:t>should then offer the patient an assessment of their needs within two weeks</w:t>
      </w:r>
      <w:r w:rsidR="00380943">
        <w:t xml:space="preserve"> (Jackson and Hughes</w:t>
      </w:r>
      <w:r w:rsidR="006D6F15">
        <w:t xml:space="preserve">, </w:t>
      </w:r>
      <w:r w:rsidR="00380943">
        <w:t>2008</w:t>
      </w:r>
      <w:r w:rsidR="00302A71">
        <w:t>).</w:t>
      </w:r>
    </w:p>
    <w:p w:rsidR="00BA390B" w:rsidRDefault="00BA390B" w:rsidP="00050042">
      <w:r>
        <w:t xml:space="preserve">The </w:t>
      </w:r>
      <w:r w:rsidR="009726D9">
        <w:t>local</w:t>
      </w:r>
      <w:r>
        <w:t xml:space="preserve"> authority should not automatically register people but should ask the person if they wish to be registered</w:t>
      </w:r>
      <w:r w:rsidR="00C406D8">
        <w:t xml:space="preserve">; </w:t>
      </w:r>
      <w:r w:rsidR="00F60228">
        <w:t xml:space="preserve">anecdotally, </w:t>
      </w:r>
      <w:r>
        <w:t xml:space="preserve">very few </w:t>
      </w:r>
      <w:r w:rsidR="00C406D8">
        <w:t xml:space="preserve">people </w:t>
      </w:r>
      <w:r>
        <w:t xml:space="preserve">refuse.  Certification is usually done once, unless the person’s clinical condition changes such that they would be in a different category (personal communication, Catey Bunce). </w:t>
      </w:r>
    </w:p>
    <w:p w:rsidR="00C714CA" w:rsidRDefault="00C714CA" w:rsidP="00C714CA">
      <w:pPr>
        <w:shd w:val="clear" w:color="auto" w:fill="FFFFFF"/>
        <w:spacing w:before="0"/>
        <w:jc w:val="left"/>
        <w:rPr>
          <w:rFonts w:ascii="Arial" w:hAnsi="Arial" w:cs="Arial"/>
          <w:color w:val="000000"/>
          <w:sz w:val="21"/>
          <w:szCs w:val="21"/>
          <w:lang w:eastAsia="en-GB"/>
        </w:rPr>
      </w:pPr>
    </w:p>
    <w:p w:rsidR="006D6F15" w:rsidRDefault="00C714CA" w:rsidP="00C714CA">
      <w:pPr>
        <w:shd w:val="clear" w:color="auto" w:fill="FFFFFF"/>
        <w:spacing w:before="0"/>
        <w:jc w:val="left"/>
        <w:rPr>
          <w:rFonts w:cs="Arial"/>
          <w:color w:val="000000"/>
          <w:szCs w:val="24"/>
          <w:lang w:eastAsia="en-GB"/>
        </w:rPr>
      </w:pPr>
      <w:r w:rsidRPr="00AC7038">
        <w:rPr>
          <w:rFonts w:cs="Arial"/>
          <w:color w:val="000000"/>
          <w:szCs w:val="24"/>
          <w:lang w:eastAsia="en-GB"/>
        </w:rPr>
        <w:t xml:space="preserve">To be registered as </w:t>
      </w:r>
      <w:r w:rsidRPr="00AC7038">
        <w:rPr>
          <w:rFonts w:cs="Arial"/>
          <w:bCs/>
          <w:color w:val="000000"/>
          <w:szCs w:val="24"/>
          <w:lang w:eastAsia="en-GB"/>
        </w:rPr>
        <w:t xml:space="preserve">sight impaired </w:t>
      </w:r>
      <w:r w:rsidRPr="00AC7038">
        <w:rPr>
          <w:rFonts w:cs="Arial"/>
          <w:color w:val="000000"/>
          <w:szCs w:val="24"/>
          <w:lang w:eastAsia="en-GB"/>
        </w:rPr>
        <w:t>one of the following categories</w:t>
      </w:r>
      <w:r w:rsidR="00AC7038" w:rsidRPr="00AC7038">
        <w:rPr>
          <w:rFonts w:cs="Arial"/>
          <w:color w:val="000000"/>
          <w:szCs w:val="24"/>
          <w:lang w:eastAsia="en-GB"/>
        </w:rPr>
        <w:t xml:space="preserve"> should be fulfilled (while wearing glasses or contact lenses):</w:t>
      </w:r>
    </w:p>
    <w:p w:rsidR="00AC7038" w:rsidRPr="00AC7038" w:rsidRDefault="00AC7038" w:rsidP="00C714CA">
      <w:pPr>
        <w:shd w:val="clear" w:color="auto" w:fill="FFFFFF"/>
        <w:spacing w:before="0"/>
        <w:jc w:val="left"/>
        <w:rPr>
          <w:rFonts w:cs="Arial"/>
          <w:color w:val="000000"/>
          <w:szCs w:val="24"/>
          <w:lang w:eastAsia="en-GB"/>
        </w:rPr>
      </w:pPr>
      <w:r w:rsidRPr="00AC7038">
        <w:rPr>
          <w:rFonts w:cs="Arial"/>
          <w:color w:val="000000"/>
          <w:szCs w:val="24"/>
          <w:lang w:eastAsia="en-GB"/>
        </w:rPr>
        <w:t xml:space="preserve"> </w:t>
      </w:r>
    </w:p>
    <w:p w:rsidR="00C714CA" w:rsidRDefault="006D6F15" w:rsidP="006F448A">
      <w:pPr>
        <w:numPr>
          <w:ilvl w:val="0"/>
          <w:numId w:val="18"/>
        </w:numPr>
        <w:shd w:val="clear" w:color="auto" w:fill="FFFFFF"/>
        <w:spacing w:before="0"/>
        <w:jc w:val="left"/>
        <w:rPr>
          <w:rFonts w:cs="Arial"/>
          <w:color w:val="000000"/>
          <w:szCs w:val="24"/>
          <w:lang w:eastAsia="en-GB"/>
        </w:rPr>
      </w:pPr>
      <w:r>
        <w:rPr>
          <w:rFonts w:cs="Arial"/>
          <w:color w:val="000000"/>
          <w:szCs w:val="24"/>
          <w:lang w:eastAsia="en-GB"/>
        </w:rPr>
        <w:t>V</w:t>
      </w:r>
      <w:r w:rsidR="00C714CA" w:rsidRPr="00AC7038">
        <w:rPr>
          <w:rFonts w:cs="Arial"/>
          <w:color w:val="000000"/>
          <w:szCs w:val="24"/>
          <w:lang w:eastAsia="en-GB"/>
        </w:rPr>
        <w:t xml:space="preserve">isual acuity of 3/60 to 6/60 with a full field of vision </w:t>
      </w:r>
    </w:p>
    <w:p w:rsidR="006D6F15" w:rsidRPr="00AC7038" w:rsidRDefault="006D6F15" w:rsidP="006D6F15">
      <w:pPr>
        <w:shd w:val="clear" w:color="auto" w:fill="FFFFFF"/>
        <w:spacing w:before="0"/>
        <w:ind w:left="720"/>
        <w:jc w:val="left"/>
        <w:rPr>
          <w:rFonts w:cs="Arial"/>
          <w:color w:val="000000"/>
          <w:szCs w:val="24"/>
          <w:lang w:eastAsia="en-GB"/>
        </w:rPr>
      </w:pPr>
    </w:p>
    <w:p w:rsidR="00C714CA" w:rsidRDefault="006D6F15" w:rsidP="006F448A">
      <w:pPr>
        <w:numPr>
          <w:ilvl w:val="0"/>
          <w:numId w:val="18"/>
        </w:numPr>
        <w:shd w:val="clear" w:color="auto" w:fill="FFFFFF"/>
        <w:spacing w:before="0"/>
        <w:jc w:val="left"/>
        <w:rPr>
          <w:rFonts w:cs="Arial"/>
          <w:color w:val="000000"/>
          <w:szCs w:val="24"/>
          <w:lang w:eastAsia="en-GB"/>
        </w:rPr>
      </w:pPr>
      <w:r>
        <w:rPr>
          <w:rFonts w:cs="Arial"/>
          <w:color w:val="000000"/>
          <w:szCs w:val="24"/>
          <w:lang w:eastAsia="en-GB"/>
        </w:rPr>
        <w:t>V</w:t>
      </w:r>
      <w:r w:rsidR="00C714CA" w:rsidRPr="00AC7038">
        <w:rPr>
          <w:rFonts w:cs="Arial"/>
          <w:color w:val="000000"/>
          <w:szCs w:val="24"/>
          <w:lang w:eastAsia="en-GB"/>
        </w:rPr>
        <w:t xml:space="preserve">isual acuity of up to 6/24 with a moderate reduction of field of vision or with a central part of vision that is cloudy or blurry </w:t>
      </w:r>
    </w:p>
    <w:p w:rsidR="006D6F15" w:rsidRDefault="006D6F15" w:rsidP="006D6F15">
      <w:pPr>
        <w:pStyle w:val="ListParagraph"/>
        <w:rPr>
          <w:rFonts w:cs="Arial"/>
          <w:color w:val="000000"/>
          <w:szCs w:val="24"/>
          <w:lang w:eastAsia="en-GB"/>
        </w:rPr>
      </w:pPr>
    </w:p>
    <w:p w:rsidR="006D6F15" w:rsidRPr="00AC7038" w:rsidRDefault="006D6F15" w:rsidP="006D6F15">
      <w:pPr>
        <w:shd w:val="clear" w:color="auto" w:fill="FFFFFF"/>
        <w:spacing w:before="0"/>
        <w:ind w:left="720"/>
        <w:jc w:val="left"/>
        <w:rPr>
          <w:rFonts w:cs="Arial"/>
          <w:color w:val="000000"/>
          <w:szCs w:val="24"/>
          <w:lang w:eastAsia="en-GB"/>
        </w:rPr>
      </w:pPr>
    </w:p>
    <w:p w:rsidR="00C714CA" w:rsidRDefault="006D6F15" w:rsidP="00D623DB">
      <w:pPr>
        <w:numPr>
          <w:ilvl w:val="0"/>
          <w:numId w:val="18"/>
        </w:numPr>
        <w:shd w:val="clear" w:color="auto" w:fill="FFFFFF"/>
        <w:spacing w:before="0"/>
        <w:jc w:val="left"/>
        <w:rPr>
          <w:rFonts w:cs="Arial"/>
          <w:color w:val="000000"/>
          <w:szCs w:val="24"/>
          <w:lang w:eastAsia="en-GB"/>
        </w:rPr>
      </w:pPr>
      <w:r>
        <w:rPr>
          <w:rFonts w:cs="Arial"/>
          <w:color w:val="000000"/>
          <w:szCs w:val="24"/>
          <w:lang w:eastAsia="en-GB"/>
        </w:rPr>
        <w:t>V</w:t>
      </w:r>
      <w:r w:rsidR="00C714CA" w:rsidRPr="00AC7038">
        <w:rPr>
          <w:rFonts w:cs="Arial"/>
          <w:color w:val="000000"/>
          <w:szCs w:val="24"/>
          <w:lang w:eastAsia="en-GB"/>
        </w:rPr>
        <w:t>isual acuity of up to 6/18 if a large part of your field of vision, for example a whole half of your vision, is missing or a lot of your peripheral vision is missing</w:t>
      </w:r>
      <w:r w:rsidR="00FE7A03">
        <w:rPr>
          <w:rFonts w:cs="Arial"/>
          <w:color w:val="000000"/>
          <w:szCs w:val="24"/>
          <w:lang w:eastAsia="en-GB"/>
        </w:rPr>
        <w:t xml:space="preserve"> </w:t>
      </w:r>
      <w:r w:rsidR="00C714CA" w:rsidRPr="00AC7038">
        <w:rPr>
          <w:rFonts w:cs="Arial"/>
          <w:color w:val="000000"/>
          <w:szCs w:val="24"/>
          <w:lang w:eastAsia="en-GB"/>
        </w:rPr>
        <w:t>(</w:t>
      </w:r>
      <w:r w:rsidR="00E761E7">
        <w:t>Royal National Institute of Blind People</w:t>
      </w:r>
      <w:r>
        <w:rPr>
          <w:rFonts w:cs="Arial"/>
          <w:color w:val="000000"/>
          <w:szCs w:val="24"/>
          <w:lang w:eastAsia="en-GB"/>
        </w:rPr>
        <w:t>,</w:t>
      </w:r>
      <w:r w:rsidR="00C714CA" w:rsidRPr="00AC7038">
        <w:rPr>
          <w:rFonts w:cs="Arial"/>
          <w:color w:val="000000"/>
          <w:szCs w:val="24"/>
          <w:lang w:eastAsia="en-GB"/>
        </w:rPr>
        <w:t xml:space="preserve"> 2010)</w:t>
      </w:r>
      <w:r w:rsidR="00FE7A03">
        <w:rPr>
          <w:rFonts w:cs="Arial"/>
          <w:color w:val="000000"/>
          <w:szCs w:val="24"/>
          <w:lang w:eastAsia="en-GB"/>
        </w:rPr>
        <w:t>.</w:t>
      </w:r>
    </w:p>
    <w:p w:rsidR="00C406D8" w:rsidRDefault="00C406D8" w:rsidP="00C406D8">
      <w:pPr>
        <w:shd w:val="clear" w:color="auto" w:fill="FFFFFF"/>
        <w:spacing w:before="0"/>
        <w:jc w:val="left"/>
        <w:rPr>
          <w:rFonts w:cs="Arial"/>
          <w:color w:val="000000"/>
          <w:szCs w:val="24"/>
          <w:lang w:eastAsia="en-GB"/>
        </w:rPr>
      </w:pPr>
    </w:p>
    <w:p w:rsidR="006D6F15" w:rsidRDefault="00C406D8" w:rsidP="006D6F15">
      <w:pPr>
        <w:shd w:val="clear" w:color="auto" w:fill="FFFFFF"/>
        <w:spacing w:before="0"/>
        <w:jc w:val="left"/>
        <w:rPr>
          <w:rFonts w:cs="Arial"/>
          <w:bCs/>
          <w:color w:val="000000"/>
          <w:szCs w:val="24"/>
          <w:lang w:eastAsia="en-GB"/>
        </w:rPr>
      </w:pPr>
      <w:r w:rsidRPr="00AC7038">
        <w:rPr>
          <w:rFonts w:cs="Arial"/>
          <w:color w:val="000000"/>
          <w:szCs w:val="24"/>
          <w:lang w:eastAsia="en-GB"/>
        </w:rPr>
        <w:t xml:space="preserve">To be registered as </w:t>
      </w:r>
      <w:r w:rsidRPr="00AC7038">
        <w:rPr>
          <w:rFonts w:cs="Arial"/>
          <w:bCs/>
          <w:color w:val="000000"/>
          <w:szCs w:val="24"/>
          <w:lang w:eastAsia="en-GB"/>
        </w:rPr>
        <w:t xml:space="preserve">severely sight impaired one of the following categories should be fulfilled (while wearing glasses or contact lenses): </w:t>
      </w:r>
    </w:p>
    <w:p w:rsidR="006D6F15" w:rsidRDefault="006D6F15" w:rsidP="006D6F15">
      <w:pPr>
        <w:shd w:val="clear" w:color="auto" w:fill="FFFFFF"/>
        <w:spacing w:before="0"/>
        <w:jc w:val="left"/>
        <w:rPr>
          <w:rFonts w:cs="Arial"/>
          <w:bCs/>
          <w:color w:val="000000"/>
          <w:szCs w:val="24"/>
          <w:lang w:eastAsia="en-GB"/>
        </w:rPr>
      </w:pPr>
    </w:p>
    <w:p w:rsidR="00C406D8" w:rsidRDefault="006D6F15" w:rsidP="006D6F15">
      <w:pPr>
        <w:pStyle w:val="ListParagraph"/>
        <w:numPr>
          <w:ilvl w:val="0"/>
          <w:numId w:val="43"/>
        </w:numPr>
        <w:shd w:val="clear" w:color="auto" w:fill="FFFFFF"/>
        <w:spacing w:before="0"/>
        <w:jc w:val="left"/>
        <w:rPr>
          <w:rFonts w:cs="Arial"/>
          <w:color w:val="000000"/>
          <w:szCs w:val="24"/>
          <w:lang w:eastAsia="en-GB"/>
        </w:rPr>
      </w:pPr>
      <w:r w:rsidRPr="006D6F15">
        <w:rPr>
          <w:rFonts w:cs="Arial"/>
          <w:color w:val="000000"/>
          <w:szCs w:val="24"/>
          <w:lang w:eastAsia="en-GB"/>
        </w:rPr>
        <w:t>V</w:t>
      </w:r>
      <w:r w:rsidR="00C406D8" w:rsidRPr="006D6F15">
        <w:rPr>
          <w:rFonts w:cs="Arial"/>
          <w:color w:val="000000"/>
          <w:szCs w:val="24"/>
          <w:lang w:eastAsia="en-GB"/>
        </w:rPr>
        <w:t xml:space="preserve">isual acuity of less than 3/60 with a full visual field </w:t>
      </w:r>
    </w:p>
    <w:p w:rsidR="006D6F15" w:rsidRPr="006D6F15" w:rsidRDefault="006D6F15" w:rsidP="006D6F15">
      <w:pPr>
        <w:pStyle w:val="ListParagraph"/>
        <w:shd w:val="clear" w:color="auto" w:fill="FFFFFF"/>
        <w:spacing w:before="0"/>
        <w:jc w:val="left"/>
        <w:rPr>
          <w:rFonts w:cs="Arial"/>
          <w:color w:val="000000"/>
          <w:szCs w:val="24"/>
          <w:lang w:eastAsia="en-GB"/>
        </w:rPr>
      </w:pPr>
    </w:p>
    <w:p w:rsidR="00C406D8" w:rsidRDefault="006D6F15" w:rsidP="006D6F15">
      <w:pPr>
        <w:pStyle w:val="ListParagraph"/>
        <w:numPr>
          <w:ilvl w:val="0"/>
          <w:numId w:val="43"/>
        </w:numPr>
        <w:shd w:val="clear" w:color="auto" w:fill="FFFFFF"/>
        <w:spacing w:before="0"/>
        <w:jc w:val="left"/>
        <w:rPr>
          <w:rFonts w:cs="Arial"/>
          <w:color w:val="000000"/>
          <w:szCs w:val="24"/>
          <w:lang w:eastAsia="en-GB"/>
        </w:rPr>
      </w:pPr>
      <w:r w:rsidRPr="006D6F15">
        <w:rPr>
          <w:rFonts w:cs="Arial"/>
          <w:color w:val="000000"/>
          <w:szCs w:val="24"/>
          <w:lang w:eastAsia="en-GB"/>
        </w:rPr>
        <w:t>V</w:t>
      </w:r>
      <w:r w:rsidR="00C406D8" w:rsidRPr="006D6F15">
        <w:rPr>
          <w:rFonts w:cs="Arial"/>
          <w:color w:val="000000"/>
          <w:szCs w:val="24"/>
          <w:lang w:eastAsia="en-GB"/>
        </w:rPr>
        <w:t xml:space="preserve">isual acuity between 3/60 and 6/60 with a severe reduction of field of vision, such as tunnel vision </w:t>
      </w:r>
    </w:p>
    <w:p w:rsidR="006D6F15" w:rsidRPr="006D6F15" w:rsidRDefault="006D6F15" w:rsidP="006D6F15">
      <w:pPr>
        <w:shd w:val="clear" w:color="auto" w:fill="FFFFFF"/>
        <w:spacing w:before="0"/>
        <w:jc w:val="left"/>
        <w:rPr>
          <w:rFonts w:cs="Arial"/>
          <w:color w:val="000000"/>
          <w:szCs w:val="24"/>
          <w:lang w:eastAsia="en-GB"/>
        </w:rPr>
      </w:pPr>
    </w:p>
    <w:p w:rsidR="00C406D8" w:rsidRPr="006D6F15" w:rsidRDefault="006D6F15" w:rsidP="006D6F15">
      <w:pPr>
        <w:pStyle w:val="ListParagraph"/>
        <w:numPr>
          <w:ilvl w:val="0"/>
          <w:numId w:val="43"/>
        </w:numPr>
        <w:shd w:val="clear" w:color="auto" w:fill="FFFFFF"/>
        <w:spacing w:before="0"/>
        <w:jc w:val="left"/>
        <w:rPr>
          <w:rFonts w:cs="Arial"/>
          <w:color w:val="000000"/>
          <w:szCs w:val="24"/>
          <w:lang w:eastAsia="en-GB"/>
        </w:rPr>
      </w:pPr>
      <w:r w:rsidRPr="006D6F15">
        <w:rPr>
          <w:rFonts w:cs="Arial"/>
          <w:color w:val="000000"/>
          <w:szCs w:val="24"/>
          <w:lang w:eastAsia="en-GB"/>
        </w:rPr>
        <w:t>V</w:t>
      </w:r>
      <w:r w:rsidR="00C406D8" w:rsidRPr="006D6F15">
        <w:rPr>
          <w:rFonts w:cs="Arial"/>
          <w:color w:val="000000"/>
          <w:szCs w:val="24"/>
          <w:lang w:eastAsia="en-GB"/>
        </w:rPr>
        <w:t>isual acuity of 6/60 or above but with a very reduced field of vision, especially if a lot of sight is missing in the lower part of the field (</w:t>
      </w:r>
      <w:r w:rsidR="00E761E7">
        <w:t>Royal National Institute of Blind People</w:t>
      </w:r>
      <w:r>
        <w:rPr>
          <w:rFonts w:cs="Arial"/>
          <w:color w:val="000000"/>
          <w:szCs w:val="24"/>
          <w:lang w:eastAsia="en-GB"/>
        </w:rPr>
        <w:t>,</w:t>
      </w:r>
      <w:r w:rsidR="00C406D8" w:rsidRPr="006D6F15">
        <w:rPr>
          <w:rFonts w:cs="Arial"/>
          <w:color w:val="000000"/>
          <w:szCs w:val="24"/>
          <w:lang w:eastAsia="en-GB"/>
        </w:rPr>
        <w:t xml:space="preserve"> 2010). </w:t>
      </w:r>
    </w:p>
    <w:p w:rsidR="00136550" w:rsidRDefault="00136550" w:rsidP="00136550">
      <w:pPr>
        <w:shd w:val="clear" w:color="auto" w:fill="FFFFFF"/>
        <w:spacing w:before="0"/>
        <w:jc w:val="left"/>
        <w:rPr>
          <w:rFonts w:cs="Arial"/>
          <w:color w:val="000000"/>
          <w:szCs w:val="24"/>
          <w:lang w:eastAsia="en-GB"/>
        </w:rPr>
      </w:pPr>
    </w:p>
    <w:p w:rsidR="00136550" w:rsidRPr="00AC7038" w:rsidRDefault="00136550" w:rsidP="00A32E47">
      <w:pPr>
        <w:shd w:val="clear" w:color="auto" w:fill="FFFFFF"/>
        <w:spacing w:before="0"/>
        <w:rPr>
          <w:rFonts w:cs="Arial"/>
          <w:color w:val="000000"/>
          <w:szCs w:val="24"/>
          <w:lang w:eastAsia="en-GB"/>
        </w:rPr>
      </w:pPr>
      <w:r>
        <w:rPr>
          <w:rFonts w:cs="Arial"/>
          <w:color w:val="000000"/>
          <w:szCs w:val="24"/>
          <w:lang w:eastAsia="en-GB"/>
        </w:rPr>
        <w:t xml:space="preserve">The benefits of registration with the local authority include </w:t>
      </w:r>
      <w:r w:rsidR="00A32E47">
        <w:rPr>
          <w:rFonts w:cs="Arial"/>
          <w:color w:val="000000"/>
          <w:szCs w:val="24"/>
          <w:lang w:eastAsia="en-GB"/>
        </w:rPr>
        <w:t>access to welfare benefits and concessions, and an assessment of needs by th</w:t>
      </w:r>
      <w:r w:rsidR="00E761E7">
        <w:rPr>
          <w:rFonts w:cs="Arial"/>
          <w:color w:val="000000"/>
          <w:szCs w:val="24"/>
          <w:lang w:eastAsia="en-GB"/>
        </w:rPr>
        <w:t>e social services department (</w:t>
      </w:r>
      <w:r w:rsidR="00E761E7">
        <w:t>Royal National Institute of Blind People</w:t>
      </w:r>
      <w:r w:rsidR="006D6F15">
        <w:rPr>
          <w:rFonts w:cs="Arial"/>
          <w:color w:val="000000"/>
          <w:szCs w:val="24"/>
          <w:lang w:eastAsia="en-GB"/>
        </w:rPr>
        <w:t>,</w:t>
      </w:r>
      <w:r w:rsidR="00A32E47">
        <w:rPr>
          <w:rFonts w:cs="Arial"/>
          <w:color w:val="000000"/>
          <w:szCs w:val="24"/>
          <w:lang w:eastAsia="en-GB"/>
        </w:rPr>
        <w:t xml:space="preserve"> 2010). </w:t>
      </w:r>
    </w:p>
    <w:p w:rsidR="009842A7" w:rsidRPr="009842A7" w:rsidRDefault="009842A7" w:rsidP="009842A7">
      <w:pPr>
        <w:pStyle w:val="Heading3"/>
        <w:rPr>
          <w:lang w:eastAsia="en-GB"/>
        </w:rPr>
      </w:pPr>
      <w:bookmarkStart w:id="215" w:name="_Toc291585880"/>
      <w:bookmarkStart w:id="216" w:name="_Toc302293466"/>
      <w:r>
        <w:rPr>
          <w:lang w:eastAsia="en-GB"/>
        </w:rPr>
        <w:t>Pharmacy</w:t>
      </w:r>
      <w:bookmarkEnd w:id="215"/>
      <w:bookmarkEnd w:id="216"/>
    </w:p>
    <w:p w:rsidR="009842A7" w:rsidRDefault="009842A7" w:rsidP="00C406D8">
      <w:pPr>
        <w:shd w:val="clear" w:color="auto" w:fill="FFFFFF"/>
        <w:spacing w:before="0"/>
        <w:jc w:val="left"/>
        <w:rPr>
          <w:rFonts w:cs="Arial"/>
          <w:color w:val="000000"/>
          <w:szCs w:val="24"/>
          <w:lang w:eastAsia="en-GB"/>
        </w:rPr>
      </w:pPr>
    </w:p>
    <w:p w:rsidR="009842A7" w:rsidRDefault="009842A7" w:rsidP="00C406D8">
      <w:pPr>
        <w:shd w:val="clear" w:color="auto" w:fill="FFFFFF"/>
        <w:spacing w:before="0"/>
        <w:jc w:val="left"/>
        <w:rPr>
          <w:rFonts w:cs="Arial"/>
          <w:color w:val="000000"/>
          <w:szCs w:val="24"/>
          <w:lang w:eastAsia="en-GB"/>
        </w:rPr>
      </w:pPr>
      <w:r>
        <w:rPr>
          <w:rFonts w:cs="Arial"/>
          <w:color w:val="000000"/>
          <w:szCs w:val="24"/>
          <w:lang w:eastAsia="en-GB"/>
        </w:rPr>
        <w:t xml:space="preserve">Community and hospital pharmacies in Cwm Taf dispense ophthalmic preparations. </w:t>
      </w:r>
    </w:p>
    <w:p w:rsidR="000602A1" w:rsidRDefault="006D6F15" w:rsidP="000602A1">
      <w:pPr>
        <w:pStyle w:val="Heading2"/>
      </w:pPr>
      <w:bookmarkStart w:id="217" w:name="_Toc291585881"/>
      <w:bookmarkStart w:id="218" w:name="_Toc302293467"/>
      <w:r>
        <w:t>Secondary c</w:t>
      </w:r>
      <w:r w:rsidR="00617233">
        <w:t>are</w:t>
      </w:r>
      <w:bookmarkEnd w:id="217"/>
      <w:bookmarkEnd w:id="218"/>
    </w:p>
    <w:p w:rsidR="006D6F15" w:rsidRPr="006D6F15" w:rsidRDefault="00CA1AB1" w:rsidP="006D6F15">
      <w:r>
        <w:t xml:space="preserve">Secondary care </w:t>
      </w:r>
      <w:r w:rsidR="00BF5AE7">
        <w:t>o</w:t>
      </w:r>
      <w:r w:rsidR="00345617">
        <w:t>phthalmology services in Cwm Taf</w:t>
      </w:r>
      <w:r w:rsidR="006E70C6">
        <w:t xml:space="preserve"> are </w:t>
      </w:r>
      <w:r>
        <w:t xml:space="preserve">mainly </w:t>
      </w:r>
      <w:r w:rsidR="006E70C6">
        <w:t>provided by two hospitals</w:t>
      </w:r>
      <w:r>
        <w:t>, the Royal Glamorgan Hospital and Prince Charles H</w:t>
      </w:r>
      <w:r w:rsidR="006E70C6">
        <w:t xml:space="preserve">ospital. </w:t>
      </w:r>
      <w:r>
        <w:t xml:space="preserve"> </w:t>
      </w:r>
      <w:r w:rsidR="006E70C6">
        <w:t>The</w:t>
      </w:r>
      <w:r w:rsidR="006D6F15">
        <w:t>re are six</w:t>
      </w:r>
      <w:r w:rsidR="006E70C6">
        <w:t xml:space="preserve"> Consultant</w:t>
      </w:r>
      <w:r w:rsidR="006D6F15">
        <w:t xml:space="preserve">s with the following </w:t>
      </w:r>
      <w:r w:rsidR="006E70C6">
        <w:t>area</w:t>
      </w:r>
      <w:r w:rsidR="006D6F15">
        <w:t>s</w:t>
      </w:r>
      <w:r w:rsidR="006E70C6">
        <w:t xml:space="preserve"> of special interest</w:t>
      </w:r>
      <w:r w:rsidR="006D6F15">
        <w:t xml:space="preserve">: </w:t>
      </w:r>
      <w:r w:rsidR="006D6F15" w:rsidRPr="006D6F15">
        <w:t>Cornea and external diseases</w:t>
      </w:r>
      <w:r w:rsidR="006D6F15">
        <w:t>; medical retina and uvea (two</w:t>
      </w:r>
      <w:r w:rsidR="000338BD">
        <w:t xml:space="preserve"> Consultants</w:t>
      </w:r>
      <w:r w:rsidR="006D6F15">
        <w:t>); glaucoma; oculoplastics and lachrymal; paediatric ophthalmology and squint.</w:t>
      </w:r>
    </w:p>
    <w:p w:rsidR="006D6F15" w:rsidRDefault="00E03B49" w:rsidP="006D6F15">
      <w:pPr>
        <w:spacing w:before="0"/>
        <w:rPr>
          <w:rFonts w:ascii="Tahoma" w:hAnsi="Tahoma" w:cs="Tahoma"/>
          <w:szCs w:val="24"/>
          <w:lang w:val="en-US" w:eastAsia="en-GB"/>
        </w:rPr>
      </w:pPr>
      <w:r w:rsidRPr="00E03B49">
        <w:rPr>
          <w:rFonts w:ascii="Tahoma" w:hAnsi="Tahoma" w:cs="Tahoma"/>
          <w:szCs w:val="24"/>
          <w:lang w:val="en-US" w:eastAsia="en-GB"/>
        </w:rPr>
        <w:t> </w:t>
      </w:r>
    </w:p>
    <w:p w:rsidR="00E03B49" w:rsidRPr="006D6F15" w:rsidRDefault="00152B3B" w:rsidP="006D6F15">
      <w:pPr>
        <w:spacing w:before="0"/>
        <w:rPr>
          <w:rFonts w:ascii="Tahoma" w:hAnsi="Tahoma" w:cs="Tahoma"/>
          <w:szCs w:val="24"/>
          <w:lang w:val="en-US" w:eastAsia="en-GB"/>
        </w:rPr>
      </w:pPr>
      <w:r>
        <w:rPr>
          <w:rFonts w:cs="Tahoma"/>
          <w:bCs/>
          <w:szCs w:val="24"/>
          <w:lang w:val="en-US" w:eastAsia="en-GB"/>
        </w:rPr>
        <w:t>The support staff consist</w:t>
      </w:r>
      <w:r w:rsidR="00BF5AE7">
        <w:rPr>
          <w:rFonts w:cs="Tahoma"/>
          <w:bCs/>
          <w:szCs w:val="24"/>
          <w:lang w:val="en-US" w:eastAsia="en-GB"/>
        </w:rPr>
        <w:t>s</w:t>
      </w:r>
      <w:r>
        <w:rPr>
          <w:rFonts w:cs="Tahoma"/>
          <w:bCs/>
          <w:szCs w:val="24"/>
          <w:lang w:val="en-US" w:eastAsia="en-GB"/>
        </w:rPr>
        <w:t xml:space="preserve"> of </w:t>
      </w:r>
      <w:r w:rsidR="00E03B49" w:rsidRPr="00CA1AB1">
        <w:rPr>
          <w:rFonts w:cs="Tahoma"/>
          <w:color w:val="000000"/>
          <w:szCs w:val="24"/>
          <w:lang w:val="en-US" w:eastAsia="en-GB"/>
        </w:rPr>
        <w:t>5.3 Associate S</w:t>
      </w:r>
      <w:r w:rsidR="006E70C6" w:rsidRPr="00CA1AB1">
        <w:rPr>
          <w:rFonts w:cs="Tahoma"/>
          <w:color w:val="000000"/>
          <w:szCs w:val="24"/>
          <w:lang w:val="en-US" w:eastAsia="en-GB"/>
        </w:rPr>
        <w:t>pecialists</w:t>
      </w:r>
      <w:r>
        <w:rPr>
          <w:rFonts w:cs="Tahoma"/>
          <w:color w:val="000000"/>
          <w:szCs w:val="24"/>
          <w:lang w:val="en-US" w:eastAsia="en-GB"/>
        </w:rPr>
        <w:t xml:space="preserve">, </w:t>
      </w:r>
      <w:r w:rsidR="00E03B49" w:rsidRPr="00CA1AB1">
        <w:rPr>
          <w:rFonts w:cs="Tahoma"/>
          <w:color w:val="000000"/>
          <w:szCs w:val="24"/>
          <w:lang w:val="en-US" w:eastAsia="en-GB"/>
        </w:rPr>
        <w:t xml:space="preserve">3 </w:t>
      </w:r>
      <w:r w:rsidR="006E70C6" w:rsidRPr="00CA1AB1">
        <w:rPr>
          <w:rFonts w:cs="Tahoma"/>
          <w:color w:val="000000"/>
          <w:szCs w:val="24"/>
          <w:lang w:val="en-US" w:eastAsia="en-GB"/>
        </w:rPr>
        <w:t>Specialty</w:t>
      </w:r>
      <w:r w:rsidR="00E03B49" w:rsidRPr="00CA1AB1">
        <w:rPr>
          <w:rFonts w:cs="Tahoma"/>
          <w:color w:val="000000"/>
          <w:szCs w:val="24"/>
          <w:lang w:val="en-US" w:eastAsia="en-GB"/>
        </w:rPr>
        <w:t xml:space="preserve"> Doctor posts (currently vacant)</w:t>
      </w:r>
      <w:r>
        <w:rPr>
          <w:rFonts w:cs="Tahoma"/>
          <w:color w:val="000000"/>
          <w:szCs w:val="24"/>
          <w:lang w:val="en-US" w:eastAsia="en-GB"/>
        </w:rPr>
        <w:t xml:space="preserve">, </w:t>
      </w:r>
      <w:r w:rsidR="00E03B49" w:rsidRPr="00CA1AB1">
        <w:rPr>
          <w:rFonts w:cs="Tahoma"/>
          <w:color w:val="000000"/>
          <w:szCs w:val="24"/>
          <w:lang w:val="en-US" w:eastAsia="en-GB"/>
        </w:rPr>
        <w:t>2 Senior Specialty Registrars</w:t>
      </w:r>
      <w:r>
        <w:rPr>
          <w:rFonts w:cs="Tahoma"/>
          <w:color w:val="000000"/>
          <w:szCs w:val="24"/>
          <w:lang w:val="en-US" w:eastAsia="en-GB"/>
        </w:rPr>
        <w:t xml:space="preserve">, </w:t>
      </w:r>
      <w:r w:rsidR="00E03B49" w:rsidRPr="00CA1AB1">
        <w:rPr>
          <w:rFonts w:cs="Tahoma"/>
          <w:color w:val="000000"/>
          <w:szCs w:val="24"/>
          <w:lang w:val="en-US" w:eastAsia="en-GB"/>
        </w:rPr>
        <w:t>2 Junior Specialty Registrars</w:t>
      </w:r>
      <w:r>
        <w:rPr>
          <w:rFonts w:cs="Tahoma"/>
          <w:color w:val="000000"/>
          <w:szCs w:val="24"/>
          <w:lang w:val="en-US" w:eastAsia="en-GB"/>
        </w:rPr>
        <w:t>, 2 Foundation Year 2</w:t>
      </w:r>
      <w:r w:rsidR="00E03B49" w:rsidRPr="00CA1AB1">
        <w:rPr>
          <w:rFonts w:cs="Tahoma"/>
          <w:color w:val="000000"/>
          <w:szCs w:val="24"/>
          <w:lang w:val="en-US" w:eastAsia="en-GB"/>
        </w:rPr>
        <w:t xml:space="preserve"> Trainees</w:t>
      </w:r>
      <w:r>
        <w:rPr>
          <w:rFonts w:cs="Tahoma"/>
          <w:color w:val="000000"/>
          <w:szCs w:val="24"/>
          <w:lang w:val="en-US" w:eastAsia="en-GB"/>
        </w:rPr>
        <w:t xml:space="preserve">, </w:t>
      </w:r>
      <w:r w:rsidR="00E03B49" w:rsidRPr="00CA1AB1">
        <w:rPr>
          <w:rFonts w:cs="Tahoma"/>
          <w:color w:val="000000"/>
          <w:szCs w:val="24"/>
          <w:lang w:val="en-US" w:eastAsia="en-GB"/>
        </w:rPr>
        <w:t>2 Nurse Practitioners</w:t>
      </w:r>
      <w:r>
        <w:rPr>
          <w:rFonts w:cs="Tahoma"/>
          <w:color w:val="000000"/>
          <w:szCs w:val="24"/>
          <w:lang w:val="en-US" w:eastAsia="en-GB"/>
        </w:rPr>
        <w:t xml:space="preserve">, 3 full time and 2 part time </w:t>
      </w:r>
      <w:r w:rsidR="00E03B49" w:rsidRPr="00CA1AB1">
        <w:rPr>
          <w:rFonts w:cs="Tahoma"/>
          <w:color w:val="000000"/>
          <w:szCs w:val="24"/>
          <w:lang w:val="en-US" w:eastAsia="en-GB"/>
        </w:rPr>
        <w:t xml:space="preserve">Orthoptists </w:t>
      </w:r>
      <w:r>
        <w:rPr>
          <w:rFonts w:cs="Tahoma"/>
          <w:color w:val="000000"/>
          <w:szCs w:val="24"/>
          <w:lang w:val="en-US" w:eastAsia="en-GB"/>
        </w:rPr>
        <w:t xml:space="preserve">and </w:t>
      </w:r>
      <w:r w:rsidR="00E03B49" w:rsidRPr="00CA1AB1">
        <w:rPr>
          <w:rFonts w:cs="Tahoma"/>
          <w:color w:val="000000"/>
          <w:szCs w:val="24"/>
          <w:lang w:val="en-US" w:eastAsia="en-GB"/>
        </w:rPr>
        <w:t>2 Medical Photographers</w:t>
      </w:r>
      <w:r>
        <w:rPr>
          <w:rFonts w:cs="Tahoma"/>
          <w:color w:val="000000"/>
          <w:szCs w:val="24"/>
          <w:lang w:val="en-US" w:eastAsia="en-GB"/>
        </w:rPr>
        <w:t>.</w:t>
      </w:r>
    </w:p>
    <w:p w:rsidR="00FE509C" w:rsidRDefault="00D8724C" w:rsidP="00B16F0A">
      <w:pPr>
        <w:pStyle w:val="Heading1"/>
      </w:pPr>
      <w:bookmarkStart w:id="219" w:name="_Toc291585882"/>
      <w:bookmarkStart w:id="220" w:name="_Toc302293468"/>
      <w:r>
        <w:lastRenderedPageBreak/>
        <w:t>Eye</w:t>
      </w:r>
      <w:r w:rsidR="00B16F0A">
        <w:t xml:space="preserve"> health service </w:t>
      </w:r>
      <w:r w:rsidR="000602A1">
        <w:t>uptake</w:t>
      </w:r>
      <w:bookmarkEnd w:id="219"/>
      <w:bookmarkEnd w:id="220"/>
    </w:p>
    <w:p w:rsidR="00E22A0E" w:rsidRDefault="00E22A0E" w:rsidP="00B16F0A">
      <w:pPr>
        <w:pStyle w:val="Heading2"/>
      </w:pPr>
      <w:bookmarkStart w:id="221" w:name="_Toc291585883"/>
      <w:bookmarkStart w:id="222" w:name="_Toc302293469"/>
      <w:r>
        <w:t xml:space="preserve">Primary </w:t>
      </w:r>
      <w:r w:rsidR="001E49CE">
        <w:t xml:space="preserve">and community </w:t>
      </w:r>
      <w:r>
        <w:t>care</w:t>
      </w:r>
      <w:bookmarkEnd w:id="221"/>
      <w:bookmarkEnd w:id="222"/>
    </w:p>
    <w:p w:rsidR="001337D8" w:rsidRDefault="001337D8" w:rsidP="00E22A0E">
      <w:pPr>
        <w:pStyle w:val="Heading3"/>
      </w:pPr>
      <w:bookmarkStart w:id="223" w:name="_Toc291585884"/>
      <w:bookmarkStart w:id="224" w:name="_Toc302293470"/>
      <w:r>
        <w:t>Optometry</w:t>
      </w:r>
      <w:r w:rsidR="00BF5AE7">
        <w:t xml:space="preserve"> and enhanced community </w:t>
      </w:r>
      <w:r w:rsidR="00D8724C">
        <w:t>eye</w:t>
      </w:r>
      <w:r w:rsidR="00BF5AE7">
        <w:t xml:space="preserve"> care</w:t>
      </w:r>
      <w:bookmarkEnd w:id="223"/>
      <w:bookmarkEnd w:id="224"/>
    </w:p>
    <w:p w:rsidR="001337D8" w:rsidRDefault="001337D8" w:rsidP="0056216B">
      <w:pPr>
        <w:pStyle w:val="heading4verdana"/>
      </w:pPr>
      <w:r w:rsidRPr="0056216B">
        <w:t>Data sources</w:t>
      </w:r>
    </w:p>
    <w:p w:rsidR="001337D8" w:rsidRDefault="000829C6" w:rsidP="001337D8">
      <w:r>
        <w:t xml:space="preserve">The count </w:t>
      </w:r>
      <w:r w:rsidR="00197647">
        <w:t xml:space="preserve">of people who had </w:t>
      </w:r>
      <w:r w:rsidR="00C42EAE">
        <w:t xml:space="preserve">the </w:t>
      </w:r>
      <w:r w:rsidR="001337D8" w:rsidRPr="00E72E1C">
        <w:t>WECHE</w:t>
      </w:r>
      <w:r w:rsidR="001337D8">
        <w:t>,</w:t>
      </w:r>
      <w:r w:rsidR="006D6F15" w:rsidRPr="00E72E1C">
        <w:t xml:space="preserve"> </w:t>
      </w:r>
      <w:r w:rsidR="001337D8" w:rsidRPr="00E72E1C">
        <w:t>PEARS</w:t>
      </w:r>
      <w:r w:rsidR="001337D8">
        <w:t xml:space="preserve"> </w:t>
      </w:r>
      <w:r w:rsidR="0090129D">
        <w:t>examinations</w:t>
      </w:r>
      <w:r>
        <w:t xml:space="preserve"> and </w:t>
      </w:r>
      <w:r w:rsidR="00017367">
        <w:t xml:space="preserve">NHS </w:t>
      </w:r>
      <w:r w:rsidR="006D6F15">
        <w:t xml:space="preserve">funded </w:t>
      </w:r>
      <w:r w:rsidR="001337D8">
        <w:t>sight tests</w:t>
      </w:r>
      <w:r>
        <w:t xml:space="preserve"> were obtained from </w:t>
      </w:r>
      <w:r w:rsidR="00F63BBA">
        <w:t xml:space="preserve">WAG </w:t>
      </w:r>
      <w:r>
        <w:t>(</w:t>
      </w:r>
      <w:r w:rsidR="00013464">
        <w:t>W</w:t>
      </w:r>
      <w:r w:rsidR="00F63BBA">
        <w:t xml:space="preserve">elsh </w:t>
      </w:r>
      <w:r w:rsidR="00013464">
        <w:t>A</w:t>
      </w:r>
      <w:r w:rsidR="00F63BBA">
        <w:t xml:space="preserve">ssembly </w:t>
      </w:r>
      <w:r w:rsidR="00013464">
        <w:t>G</w:t>
      </w:r>
      <w:r w:rsidR="00F63BBA">
        <w:t>overnment,</w:t>
      </w:r>
      <w:r w:rsidR="00870006">
        <w:t xml:space="preserve"> 2010a).  D</w:t>
      </w:r>
      <w:r>
        <w:t xml:space="preserve">ata </w:t>
      </w:r>
      <w:r w:rsidR="001337D8">
        <w:t xml:space="preserve">were obtained from </w:t>
      </w:r>
      <w:r w:rsidR="001337D8" w:rsidRPr="005658A6">
        <w:t>April 2009</w:t>
      </w:r>
      <w:r w:rsidR="001337D8">
        <w:t xml:space="preserve"> to</w:t>
      </w:r>
      <w:r w:rsidR="001337D8" w:rsidRPr="005658A6">
        <w:t xml:space="preserve"> March 2010</w:t>
      </w:r>
      <w:r w:rsidR="001337D8">
        <w:t>.</w:t>
      </w:r>
      <w:r w:rsidR="001337D8" w:rsidRPr="005658A6">
        <w:t xml:space="preserve"> </w:t>
      </w:r>
      <w:r w:rsidR="00197647">
        <w:t xml:space="preserve">Population data were also obtained from </w:t>
      </w:r>
      <w:r w:rsidR="006D6F15">
        <w:t xml:space="preserve">WAG </w:t>
      </w:r>
      <w:r w:rsidR="00197647">
        <w:t>(</w:t>
      </w:r>
      <w:r w:rsidR="00F63BBA">
        <w:t xml:space="preserve">Welsh Assembly Government, </w:t>
      </w:r>
      <w:r w:rsidR="00197647">
        <w:t>2010a).</w:t>
      </w:r>
      <w:r w:rsidR="004D18B2">
        <w:t xml:space="preserve">  </w:t>
      </w:r>
      <w:r w:rsidR="007269AD">
        <w:t>Data on private sight tests were not available.</w:t>
      </w:r>
    </w:p>
    <w:p w:rsidR="000829C6" w:rsidRDefault="000829C6" w:rsidP="002A1CE4">
      <w:r>
        <w:t xml:space="preserve">The reasons for NHS </w:t>
      </w:r>
      <w:r w:rsidR="006D6F15">
        <w:t xml:space="preserve">funded </w:t>
      </w:r>
      <w:r>
        <w:t xml:space="preserve">sight tests were available from </w:t>
      </w:r>
      <w:r w:rsidR="006D6F15">
        <w:t xml:space="preserve">WAG </w:t>
      </w:r>
      <w:r>
        <w:t>(</w:t>
      </w:r>
      <w:r w:rsidR="00F63BBA">
        <w:t xml:space="preserve">Welsh Assembly Government, </w:t>
      </w:r>
      <w:r>
        <w:t xml:space="preserve">2010a).  </w:t>
      </w:r>
      <w:r w:rsidR="00D754F9">
        <w:t>It showed t</w:t>
      </w:r>
      <w:r>
        <w:t xml:space="preserve">he number of people in each eligible group who received an NHS </w:t>
      </w:r>
      <w:r w:rsidR="006D6F15">
        <w:t xml:space="preserve">funded </w:t>
      </w:r>
      <w:r>
        <w:t xml:space="preserve">sight test in </w:t>
      </w:r>
      <w:r w:rsidR="00FA23E0">
        <w:t>April 2009 to March 2</w:t>
      </w:r>
      <w:r>
        <w:t>010</w:t>
      </w:r>
      <w:r w:rsidR="00D754F9">
        <w:t>.</w:t>
      </w:r>
      <w:r w:rsidR="001F5FDA">
        <w:t xml:space="preserve"> The data on eligibility for sight tests is obtained from a sample of 5</w:t>
      </w:r>
      <w:r w:rsidR="00CB30E2">
        <w:t xml:space="preserve"> </w:t>
      </w:r>
      <w:r w:rsidR="00976E79">
        <w:t>per cent</w:t>
      </w:r>
      <w:r w:rsidR="001F5FDA">
        <w:t xml:space="preserve"> of those who hav</w:t>
      </w:r>
      <w:r w:rsidR="006D6F15">
        <w:t xml:space="preserve">e an NHS </w:t>
      </w:r>
      <w:r w:rsidR="00C42EAE">
        <w:t xml:space="preserve">funded sight </w:t>
      </w:r>
      <w:r w:rsidR="006D6F15">
        <w:t xml:space="preserve">test every six months.  </w:t>
      </w:r>
      <w:r w:rsidR="001F5FDA">
        <w:t>It is not known how representative these sample</w:t>
      </w:r>
      <w:r w:rsidR="006D6F15">
        <w:t>s</w:t>
      </w:r>
      <w:r w:rsidR="001F5FDA">
        <w:t xml:space="preserve"> are.  The data may therefore be biased if a particular group is more likely to be selected to determine eligibility than others.</w:t>
      </w:r>
    </w:p>
    <w:p w:rsidR="002A1CE4" w:rsidRDefault="00D754F9" w:rsidP="002A1CE4">
      <w:r>
        <w:t xml:space="preserve">The numerator data for calculation of the </w:t>
      </w:r>
      <w:r w:rsidR="00B63122">
        <w:t>rate</w:t>
      </w:r>
      <w:r>
        <w:t xml:space="preserve"> </w:t>
      </w:r>
      <w:r w:rsidR="002A1CE4">
        <w:t>of NHS</w:t>
      </w:r>
      <w:r w:rsidR="004B6728">
        <w:t xml:space="preserve"> funded</w:t>
      </w:r>
      <w:r w:rsidR="002A1CE4">
        <w:t xml:space="preserve"> sight tests in eligible groups</w:t>
      </w:r>
      <w:r>
        <w:t xml:space="preserve"> (e.g. </w:t>
      </w:r>
      <w:r w:rsidR="004B6728">
        <w:t xml:space="preserve">aged </w:t>
      </w:r>
      <w:r>
        <w:t>60 years</w:t>
      </w:r>
      <w:r w:rsidR="004B6728">
        <w:t xml:space="preserve"> and over; aged 1</w:t>
      </w:r>
      <w:r>
        <w:t>5 years</w:t>
      </w:r>
      <w:r w:rsidR="004B6728">
        <w:t xml:space="preserve"> and under; </w:t>
      </w:r>
      <w:r>
        <w:t>students aged 16-18 years</w:t>
      </w:r>
      <w:r w:rsidR="004B6728">
        <w:t xml:space="preserve">; </w:t>
      </w:r>
      <w:r>
        <w:t xml:space="preserve">people registered as </w:t>
      </w:r>
      <w:r w:rsidR="002A1CE4">
        <w:t>blind/partially sighted</w:t>
      </w:r>
      <w:r w:rsidR="004B6728">
        <w:t xml:space="preserve">; </w:t>
      </w:r>
      <w:r>
        <w:t xml:space="preserve">people receiving </w:t>
      </w:r>
      <w:r w:rsidR="002A1CE4">
        <w:t>job seeker</w:t>
      </w:r>
      <w:r w:rsidR="004B6728">
        <w:t>’</w:t>
      </w:r>
      <w:r w:rsidR="002A1CE4">
        <w:t>s allowance</w:t>
      </w:r>
      <w:r w:rsidR="004B6728">
        <w:t xml:space="preserve">; </w:t>
      </w:r>
      <w:r>
        <w:t>people receiving income support</w:t>
      </w:r>
      <w:r w:rsidR="004B6728">
        <w:t xml:space="preserve">; </w:t>
      </w:r>
      <w:r>
        <w:t>people receiving tax credits</w:t>
      </w:r>
      <w:r w:rsidR="004B6728">
        <w:t xml:space="preserve">; </w:t>
      </w:r>
      <w:r>
        <w:t>people with low income certificates</w:t>
      </w:r>
      <w:r w:rsidR="004B6728">
        <w:t xml:space="preserve">; </w:t>
      </w:r>
      <w:r>
        <w:t>diabetics/glaucoma sufferers</w:t>
      </w:r>
      <w:r w:rsidR="004B6728">
        <w:t xml:space="preserve">; </w:t>
      </w:r>
      <w:r>
        <w:t>people with complex lenses</w:t>
      </w:r>
      <w:r w:rsidR="004B6728">
        <w:t xml:space="preserve">; </w:t>
      </w:r>
      <w:r>
        <w:t>relatives of glaucoma sufferers aged 40 years</w:t>
      </w:r>
      <w:r w:rsidR="004B6728">
        <w:t xml:space="preserve"> and over; </w:t>
      </w:r>
      <w:r>
        <w:t xml:space="preserve">prisoners on leave) </w:t>
      </w:r>
      <w:r w:rsidR="00B63122">
        <w:t>were</w:t>
      </w:r>
      <w:r>
        <w:t xml:space="preserve"> obtained from </w:t>
      </w:r>
      <w:r w:rsidR="004B6728">
        <w:t xml:space="preserve">WAG </w:t>
      </w:r>
      <w:r w:rsidR="00FA23E0">
        <w:t xml:space="preserve">and data from </w:t>
      </w:r>
      <w:r w:rsidR="00FA23E0" w:rsidRPr="005658A6">
        <w:t>April 2009</w:t>
      </w:r>
      <w:r w:rsidR="00FA23E0">
        <w:t xml:space="preserve"> to</w:t>
      </w:r>
      <w:r w:rsidR="00FA23E0" w:rsidRPr="005658A6">
        <w:t xml:space="preserve"> March 2010</w:t>
      </w:r>
      <w:r w:rsidR="00B63122">
        <w:t xml:space="preserve"> were</w:t>
      </w:r>
      <w:r w:rsidR="00FA23E0">
        <w:t xml:space="preserve"> used </w:t>
      </w:r>
      <w:r>
        <w:t>(</w:t>
      </w:r>
      <w:r w:rsidR="00F63BBA">
        <w:t xml:space="preserve">Welsh Assembly Government, </w:t>
      </w:r>
      <w:r>
        <w:t xml:space="preserve">2010a). </w:t>
      </w:r>
    </w:p>
    <w:p w:rsidR="002A1CE4" w:rsidRDefault="002A1CE4" w:rsidP="001337D8">
      <w:r>
        <w:t xml:space="preserve">Denominator data for groups eligible for an NHS </w:t>
      </w:r>
      <w:r w:rsidR="004B6728">
        <w:t xml:space="preserve">funded </w:t>
      </w:r>
      <w:r>
        <w:t xml:space="preserve">sight tests </w:t>
      </w:r>
      <w:r w:rsidR="00B63122">
        <w:t>were no</w:t>
      </w:r>
      <w:r>
        <w:t xml:space="preserve">t available for all </w:t>
      </w:r>
      <w:r w:rsidR="00FA23E0">
        <w:t xml:space="preserve">the </w:t>
      </w:r>
      <w:r>
        <w:t>groups</w:t>
      </w:r>
      <w:r w:rsidR="00FA23E0">
        <w:t xml:space="preserve"> listed above</w:t>
      </w:r>
      <w:r>
        <w:t xml:space="preserve">. Denominator data </w:t>
      </w:r>
      <w:r w:rsidR="00B63122">
        <w:t xml:space="preserve">were </w:t>
      </w:r>
      <w:r>
        <w:t xml:space="preserve">available from </w:t>
      </w:r>
      <w:r w:rsidR="004B6728">
        <w:t xml:space="preserve">WAG </w:t>
      </w:r>
      <w:r>
        <w:t xml:space="preserve">for people </w:t>
      </w:r>
      <w:r w:rsidR="004B6728">
        <w:t xml:space="preserve">aged </w:t>
      </w:r>
      <w:r>
        <w:t>60 years</w:t>
      </w:r>
      <w:r w:rsidR="004B6728">
        <w:t xml:space="preserve"> and over</w:t>
      </w:r>
      <w:r>
        <w:t xml:space="preserve">, </w:t>
      </w:r>
      <w:r w:rsidR="004B6728">
        <w:t xml:space="preserve">aged </w:t>
      </w:r>
      <w:r>
        <w:t>15 years</w:t>
      </w:r>
      <w:r w:rsidR="004B6728">
        <w:t xml:space="preserve"> and under</w:t>
      </w:r>
      <w:r>
        <w:t xml:space="preserve"> and people registered as sight impaired and severely sight impaired (equivalent to partially sighted/blind) (</w:t>
      </w:r>
      <w:r w:rsidR="00F63BBA">
        <w:t xml:space="preserve">Welsh Assembly Government, </w:t>
      </w:r>
      <w:r>
        <w:t xml:space="preserve">2010a). </w:t>
      </w:r>
      <w:r w:rsidR="00732307">
        <w:t xml:space="preserve">For the </w:t>
      </w:r>
      <w:r w:rsidR="004B6728">
        <w:t xml:space="preserve">aged </w:t>
      </w:r>
      <w:r w:rsidR="00732307">
        <w:t>60 years</w:t>
      </w:r>
      <w:r w:rsidR="004B6728">
        <w:t xml:space="preserve"> and over</w:t>
      </w:r>
      <w:r w:rsidR="00FA23E0">
        <w:t xml:space="preserve"> and</w:t>
      </w:r>
      <w:r w:rsidR="00732307">
        <w:t xml:space="preserve"> </w:t>
      </w:r>
      <w:r w:rsidR="004B6728">
        <w:t xml:space="preserve">aged </w:t>
      </w:r>
      <w:r w:rsidR="00732307">
        <w:t xml:space="preserve">15 years </w:t>
      </w:r>
      <w:r w:rsidR="004B6728">
        <w:t xml:space="preserve">and under </w:t>
      </w:r>
      <w:r w:rsidR="00732307">
        <w:t xml:space="preserve">groups, </w:t>
      </w:r>
      <w:r w:rsidR="00FA23E0">
        <w:t xml:space="preserve">2009 </w:t>
      </w:r>
      <w:r w:rsidR="00BF5AE7">
        <w:t>mid-</w:t>
      </w:r>
      <w:r w:rsidR="00732307">
        <w:t>year population estimates were used. For people registered as sight impaired and severely sight impaired, the number of people regis</w:t>
      </w:r>
      <w:r w:rsidR="00971653">
        <w:t>tered on 31 March 2009 was used</w:t>
      </w:r>
      <w:r w:rsidR="00732307">
        <w:t xml:space="preserve">.  </w:t>
      </w:r>
      <w:r>
        <w:t xml:space="preserve">Denominator data for people who received </w:t>
      </w:r>
      <w:r w:rsidR="00732307">
        <w:t xml:space="preserve">jobseeker’s allowance </w:t>
      </w:r>
      <w:r w:rsidR="00BA0910">
        <w:t xml:space="preserve">and income support </w:t>
      </w:r>
      <w:r w:rsidR="00B63122">
        <w:t>were</w:t>
      </w:r>
      <w:r w:rsidR="00732307">
        <w:t xml:space="preserve"> obtained from </w:t>
      </w:r>
      <w:r w:rsidR="00BA0910">
        <w:t>the O</w:t>
      </w:r>
      <w:r w:rsidR="004B6728">
        <w:t>NS</w:t>
      </w:r>
      <w:r w:rsidR="00BA0910">
        <w:t xml:space="preserve"> Statistics Neighbourhood Statistics site </w:t>
      </w:r>
      <w:r w:rsidR="00732307">
        <w:t>(O</w:t>
      </w:r>
      <w:r w:rsidR="003C62A4">
        <w:t>ffice for National Statistics</w:t>
      </w:r>
      <w:r w:rsidR="004B6728">
        <w:t>,</w:t>
      </w:r>
      <w:r w:rsidR="003C62A4">
        <w:t xml:space="preserve"> 2</w:t>
      </w:r>
      <w:r w:rsidR="00732307">
        <w:t xml:space="preserve">011).  The number of claimants in </w:t>
      </w:r>
      <w:r w:rsidR="00BA0910">
        <w:t>August</w:t>
      </w:r>
      <w:r w:rsidR="00732307">
        <w:t xml:space="preserve"> 2009 was </w:t>
      </w:r>
      <w:r w:rsidR="00BA0910">
        <w:t xml:space="preserve">available and used </w:t>
      </w:r>
      <w:r w:rsidR="00732307">
        <w:t>as a proxy for the n</w:t>
      </w:r>
      <w:r w:rsidR="00B14372">
        <w:t>umber of claimants in 2009-2010.</w:t>
      </w:r>
      <w:r w:rsidR="00971653">
        <w:t xml:space="preserve">  </w:t>
      </w:r>
      <w:r w:rsidR="004B6728">
        <w:t xml:space="preserve">Denominator data were not available for students aged 16-18 years, </w:t>
      </w:r>
      <w:r w:rsidR="004B6728">
        <w:lastRenderedPageBreak/>
        <w:t xml:space="preserve">people receiving tax </w:t>
      </w:r>
      <w:r w:rsidR="00971653">
        <w:t>credits, people with low income certificates, diabetics/glaucoma sufferers, people with complex lenses, relatives of glaucoma sufferers aged 40 years</w:t>
      </w:r>
      <w:r w:rsidR="004B6728">
        <w:t xml:space="preserve"> and over</w:t>
      </w:r>
      <w:r w:rsidR="00971653">
        <w:t xml:space="preserve"> and prisoners on leave</w:t>
      </w:r>
      <w:r w:rsidR="004B6728">
        <w:t>.</w:t>
      </w:r>
      <w:r w:rsidR="00971653">
        <w:t xml:space="preserve"> </w:t>
      </w:r>
    </w:p>
    <w:p w:rsidR="00BF5AE7" w:rsidRDefault="00B63122" w:rsidP="001337D8">
      <w:r>
        <w:t>There are therefore several caveats when using these data: t</w:t>
      </w:r>
      <w:r w:rsidR="00BF5AE7">
        <w:t xml:space="preserve">he </w:t>
      </w:r>
      <w:r>
        <w:t xml:space="preserve">number of tests is based on </w:t>
      </w:r>
      <w:r w:rsidR="00BF5AE7">
        <w:t>where the sight tests were received, not the area of residence of the person who had the test</w:t>
      </w:r>
      <w:r>
        <w:t>, but the eligible population is based on residence</w:t>
      </w:r>
      <w:r w:rsidR="00BF5AE7">
        <w:t xml:space="preserve">.  Also, the number of tests were counted, not the number of people who were tested. </w:t>
      </w:r>
      <w:r>
        <w:t xml:space="preserve"> Therefore one sight test is not the same as one individual.  </w:t>
      </w:r>
    </w:p>
    <w:p w:rsidR="001337D8" w:rsidRDefault="001337D8" w:rsidP="0056216B">
      <w:pPr>
        <w:pStyle w:val="heading4verdana"/>
      </w:pPr>
      <w:r>
        <w:t>Data analysis</w:t>
      </w:r>
    </w:p>
    <w:p w:rsidR="00197647" w:rsidRDefault="001337D8" w:rsidP="00197647">
      <w:r w:rsidRPr="005658A6">
        <w:t>Counts</w:t>
      </w:r>
      <w:r>
        <w:t xml:space="preserve"> and crude rates of </w:t>
      </w:r>
      <w:r w:rsidRPr="00E72E1C">
        <w:t>W</w:t>
      </w:r>
      <w:r w:rsidR="00870006">
        <w:t xml:space="preserve">ECHE, PEARS </w:t>
      </w:r>
      <w:r w:rsidR="0090129D">
        <w:t>examinations</w:t>
      </w:r>
      <w:r w:rsidR="00C42EAE">
        <w:t xml:space="preserve"> </w:t>
      </w:r>
      <w:r w:rsidR="00017367">
        <w:t xml:space="preserve">and </w:t>
      </w:r>
      <w:r>
        <w:t>NHS funde</w:t>
      </w:r>
      <w:r w:rsidR="00197647">
        <w:t>d sight tests were c</w:t>
      </w:r>
      <w:r>
        <w:t xml:space="preserve">alculated at </w:t>
      </w:r>
      <w:r w:rsidR="00870006">
        <w:t>l</w:t>
      </w:r>
      <w:r w:rsidR="009726D9">
        <w:t>ocal</w:t>
      </w:r>
      <w:r w:rsidR="00F435D0">
        <w:t xml:space="preserve"> </w:t>
      </w:r>
      <w:r w:rsidR="007B32C7">
        <w:t>authority</w:t>
      </w:r>
      <w:r>
        <w:t>, health board and Wales</w:t>
      </w:r>
      <w:r w:rsidR="00197647">
        <w:t xml:space="preserve"> level.  </w:t>
      </w:r>
      <w:r>
        <w:t xml:space="preserve">The </w:t>
      </w:r>
      <w:r w:rsidRPr="009E36C5">
        <w:t xml:space="preserve">WECHE rate </w:t>
      </w:r>
      <w:r>
        <w:t xml:space="preserve">was calculated </w:t>
      </w:r>
      <w:r w:rsidRPr="009E36C5">
        <w:t xml:space="preserve">per </w:t>
      </w:r>
      <w:r w:rsidR="009836A6">
        <w:t>1,000</w:t>
      </w:r>
      <w:r w:rsidRPr="009E36C5">
        <w:t xml:space="preserve"> adults aged 18 years</w:t>
      </w:r>
      <w:r w:rsidR="004B6728">
        <w:t xml:space="preserve"> and over</w:t>
      </w:r>
      <w:r>
        <w:t xml:space="preserve"> (as v</w:t>
      </w:r>
      <w:r w:rsidRPr="005658A6">
        <w:t>ery few chil</w:t>
      </w:r>
      <w:r>
        <w:t xml:space="preserve">dren are covered by this scheme), </w:t>
      </w:r>
      <w:r w:rsidR="00197647">
        <w:t xml:space="preserve">and </w:t>
      </w:r>
      <w:r>
        <w:t>the P</w:t>
      </w:r>
      <w:r w:rsidRPr="009E36C5">
        <w:t xml:space="preserve">EARS rate </w:t>
      </w:r>
      <w:r w:rsidR="00197647">
        <w:t xml:space="preserve">and </w:t>
      </w:r>
      <w:r w:rsidR="00C42EAE">
        <w:t>NHS funded sight test</w:t>
      </w:r>
      <w:r w:rsidR="00197647">
        <w:t xml:space="preserve"> rate </w:t>
      </w:r>
      <w:r w:rsidRPr="009E36C5">
        <w:t xml:space="preserve">per </w:t>
      </w:r>
      <w:r w:rsidR="009836A6">
        <w:t>1,000</w:t>
      </w:r>
      <w:r w:rsidRPr="009E36C5">
        <w:t xml:space="preserve"> total population</w:t>
      </w:r>
      <w:r w:rsidR="00197647">
        <w:t>.</w:t>
      </w:r>
    </w:p>
    <w:p w:rsidR="002A7F9F" w:rsidRDefault="000829C6" w:rsidP="001337D8">
      <w:r>
        <w:t>Counts of</w:t>
      </w:r>
      <w:r w:rsidR="002A7F9F">
        <w:t xml:space="preserve"> the reasons for sight tests were </w:t>
      </w:r>
      <w:r>
        <w:t>obtained and the proportion that each reason contributed to the total number of tests was calculated</w:t>
      </w:r>
      <w:r w:rsidR="002A7F9F">
        <w:t>.</w:t>
      </w:r>
    </w:p>
    <w:p w:rsidR="002A1CE4" w:rsidRDefault="002A1CE4" w:rsidP="001337D8">
      <w:r>
        <w:t xml:space="preserve">The count and the rate of </w:t>
      </w:r>
      <w:r w:rsidR="00C42EAE">
        <w:t xml:space="preserve">NHS funded </w:t>
      </w:r>
      <w:r>
        <w:t xml:space="preserve">sight tests per </w:t>
      </w:r>
      <w:r w:rsidR="009836A6">
        <w:t>1,000</w:t>
      </w:r>
      <w:r>
        <w:t xml:space="preserve"> eligible population (</w:t>
      </w:r>
      <w:r w:rsidR="004B6728">
        <w:t xml:space="preserve">aged </w:t>
      </w:r>
      <w:r>
        <w:t>60 years</w:t>
      </w:r>
      <w:r w:rsidR="004B6728">
        <w:t xml:space="preserve"> and over</w:t>
      </w:r>
      <w:r>
        <w:t xml:space="preserve">, </w:t>
      </w:r>
      <w:r w:rsidR="004B6728">
        <w:t xml:space="preserve">aged </w:t>
      </w:r>
      <w:r>
        <w:t>15 years</w:t>
      </w:r>
      <w:r w:rsidR="004B6728">
        <w:t xml:space="preserve"> and under</w:t>
      </w:r>
      <w:r>
        <w:t xml:space="preserve">, registered blind/partially sighted and people on jobseeker’s allowance) was calculated.  </w:t>
      </w:r>
    </w:p>
    <w:p w:rsidR="001337D8" w:rsidRDefault="001337D8" w:rsidP="0056216B">
      <w:pPr>
        <w:pStyle w:val="heading4verdana"/>
      </w:pPr>
      <w:r>
        <w:t>Results</w:t>
      </w:r>
    </w:p>
    <w:p w:rsidR="00197647" w:rsidRDefault="00575AE5" w:rsidP="00197647">
      <w:r>
        <w:t xml:space="preserve">Table 19 </w:t>
      </w:r>
      <w:r w:rsidR="00197647">
        <w:t>sh</w:t>
      </w:r>
      <w:r w:rsidR="0090129D">
        <w:t>ows that the rate of the WECHE</w:t>
      </w:r>
      <w:r w:rsidR="00197647">
        <w:t xml:space="preserve"> per </w:t>
      </w:r>
      <w:r w:rsidR="009836A6">
        <w:t>1,000</w:t>
      </w:r>
      <w:r w:rsidR="00197647">
        <w:t xml:space="preserve"> population aged 18 years</w:t>
      </w:r>
      <w:r w:rsidR="004B6728">
        <w:t xml:space="preserve"> and over</w:t>
      </w:r>
      <w:r w:rsidR="00197647">
        <w:t xml:space="preserve"> in Cwm Taf was 4.3 per </w:t>
      </w:r>
      <w:r w:rsidR="009836A6">
        <w:t>1,000</w:t>
      </w:r>
      <w:r w:rsidR="00197647">
        <w:t xml:space="preserve"> which was the lowest rate compared </w:t>
      </w:r>
      <w:r w:rsidR="00BF5AE7">
        <w:t xml:space="preserve">with </w:t>
      </w:r>
      <w:r w:rsidR="00197647">
        <w:t xml:space="preserve">the other South East Wales </w:t>
      </w:r>
      <w:r w:rsidR="00C42EAE">
        <w:t>h</w:t>
      </w:r>
      <w:r w:rsidR="00197647">
        <w:t xml:space="preserve">ealth </w:t>
      </w:r>
      <w:r w:rsidR="00C42EAE">
        <w:t>b</w:t>
      </w:r>
      <w:r w:rsidR="00197647">
        <w:t xml:space="preserve">oards (Aneurin Bevan </w:t>
      </w:r>
      <w:r w:rsidR="007E3F44">
        <w:t>Health B</w:t>
      </w:r>
      <w:r w:rsidR="001C61FD">
        <w:t xml:space="preserve">oard </w:t>
      </w:r>
      <w:r w:rsidR="00197647">
        <w:t>an</w:t>
      </w:r>
      <w:r w:rsidR="001C61FD">
        <w:t>d Cardiff and</w:t>
      </w:r>
      <w:r w:rsidR="00197647">
        <w:t xml:space="preserve"> Vale</w:t>
      </w:r>
      <w:r w:rsidR="007E3F44">
        <w:t xml:space="preserve"> University Health B</w:t>
      </w:r>
      <w:r w:rsidR="001C61FD">
        <w:t>oard</w:t>
      </w:r>
      <w:r w:rsidR="00197647">
        <w:t xml:space="preserve">).  The rate in Merthyr Tydfil was 10.3 per </w:t>
      </w:r>
      <w:r w:rsidR="009836A6">
        <w:t>1,000</w:t>
      </w:r>
      <w:r w:rsidR="00197647">
        <w:t xml:space="preserve"> population </w:t>
      </w:r>
      <w:r w:rsidR="004B6728">
        <w:t xml:space="preserve">aged 18 years and over </w:t>
      </w:r>
      <w:r w:rsidR="00197647">
        <w:t xml:space="preserve">and 2.9 per </w:t>
      </w:r>
      <w:r w:rsidR="009836A6">
        <w:t>1,000</w:t>
      </w:r>
      <w:r w:rsidR="00197647">
        <w:t xml:space="preserve"> population </w:t>
      </w:r>
      <w:r w:rsidR="004B6728">
        <w:t xml:space="preserve">aged 18 years and over </w:t>
      </w:r>
      <w:r w:rsidR="00197647">
        <w:t xml:space="preserve">in Rhondda Cynon Taf.  The different rates of </w:t>
      </w:r>
      <w:r w:rsidR="0090129D">
        <w:t xml:space="preserve">the </w:t>
      </w:r>
      <w:r w:rsidR="00197647">
        <w:t xml:space="preserve">WECHE could be due to differences in the population such as </w:t>
      </w:r>
      <w:r w:rsidR="004B6728">
        <w:t xml:space="preserve">the </w:t>
      </w:r>
      <w:r w:rsidR="00197647">
        <w:t xml:space="preserve">proportion of people in black or ethnic minority groups, </w:t>
      </w:r>
      <w:r w:rsidR="004B6728">
        <w:t xml:space="preserve">need in the population or </w:t>
      </w:r>
      <w:r w:rsidR="00197647">
        <w:t>access</w:t>
      </w:r>
      <w:r w:rsidR="004B6728">
        <w:t xml:space="preserve"> issues</w:t>
      </w:r>
      <w:r w:rsidR="00197647">
        <w:t xml:space="preserve">.  </w:t>
      </w:r>
      <w:r w:rsidR="007B32C7">
        <w:t>This may explain the differences at health board level, but i</w:t>
      </w:r>
      <w:r w:rsidR="00197647">
        <w:t xml:space="preserve">t is not likely that differences in the </w:t>
      </w:r>
      <w:r w:rsidR="007B32C7">
        <w:t xml:space="preserve">proportion of people in black and ethnic minority groups would lead to the differences seen at </w:t>
      </w:r>
      <w:r w:rsidR="009726D9">
        <w:t>local</w:t>
      </w:r>
      <w:r w:rsidR="00F435D0">
        <w:t xml:space="preserve"> </w:t>
      </w:r>
      <w:r w:rsidR="007E3F44">
        <w:t>authority level</w:t>
      </w:r>
      <w:r w:rsidR="000E0574">
        <w:t xml:space="preserve"> in Cwm Taf</w:t>
      </w:r>
      <w:r w:rsidR="007E3F44">
        <w:t xml:space="preserve">.  </w:t>
      </w:r>
      <w:r w:rsidR="007B32C7">
        <w:t xml:space="preserve">The proportion of people in black and ethnic minority groups in very low in Cwm Taf and within Cwm Taf the proportion in Merthyr Tydfil is lower than the proportion in Rhondda Cynon Taf, but the WECHE rate is higher in Merthyr Tydfil.  Similarly within Cardiff and Vale </w:t>
      </w:r>
      <w:r w:rsidR="001C61FD">
        <w:t xml:space="preserve">University </w:t>
      </w:r>
      <w:r w:rsidR="007E3F44">
        <w:t>H</w:t>
      </w:r>
      <w:r w:rsidR="001C61FD">
        <w:t xml:space="preserve">ealth </w:t>
      </w:r>
      <w:r w:rsidR="007E3F44">
        <w:t>B</w:t>
      </w:r>
      <w:r w:rsidR="007B32C7">
        <w:t>oard, it would be expected that the WECHE rate would be higher in Cardiff compared with the Vale of Glamorgan due to the higher proportion of people in black and ethnic minority groups, but this is not the case.</w:t>
      </w:r>
    </w:p>
    <w:p w:rsidR="00F843C5" w:rsidRDefault="00F843C5" w:rsidP="00197647">
      <w:r>
        <w:lastRenderedPageBreak/>
        <w:t xml:space="preserve">The PEARS rate in Cwm Taf is similar to the rates in Cardiff and Vale </w:t>
      </w:r>
      <w:r w:rsidR="007E3F44">
        <w:t>University H</w:t>
      </w:r>
      <w:r w:rsidR="001C61FD">
        <w:t xml:space="preserve">ealth </w:t>
      </w:r>
      <w:r w:rsidR="007E3F44">
        <w:t>B</w:t>
      </w:r>
      <w:r w:rsidR="001C61FD">
        <w:t xml:space="preserve">oard </w:t>
      </w:r>
      <w:r>
        <w:t>a</w:t>
      </w:r>
      <w:r w:rsidR="001C61FD">
        <w:t xml:space="preserve">nd Aneurin Bevan </w:t>
      </w:r>
      <w:r w:rsidR="007E3F44">
        <w:t>H</w:t>
      </w:r>
      <w:r w:rsidR="001C61FD">
        <w:t xml:space="preserve">ealth </w:t>
      </w:r>
      <w:r w:rsidR="007E3F44">
        <w:t>B</w:t>
      </w:r>
      <w:r w:rsidR="00B500C3">
        <w:t xml:space="preserve">oard.  Rates are similar in Merthyr Tydfil and Rhondda Cynon Taf, </w:t>
      </w:r>
      <w:r>
        <w:t xml:space="preserve">although PEARS rate at </w:t>
      </w:r>
      <w:r w:rsidR="009726D9">
        <w:t>local</w:t>
      </w:r>
      <w:r w:rsidR="00F435D0">
        <w:t xml:space="preserve"> </w:t>
      </w:r>
      <w:r>
        <w:t>authority level wit</w:t>
      </w:r>
      <w:r w:rsidR="001C61FD">
        <w:t xml:space="preserve">hin </w:t>
      </w:r>
      <w:r w:rsidR="00BF5AE7">
        <w:t>other health boards do vary</w:t>
      </w:r>
      <w:r>
        <w:t xml:space="preserve">.  </w:t>
      </w:r>
    </w:p>
    <w:p w:rsidR="000E0574" w:rsidRDefault="00197647" w:rsidP="000E0574">
      <w:r>
        <w:t xml:space="preserve">The number of </w:t>
      </w:r>
      <w:r w:rsidR="00C42EAE">
        <w:t>NHS funded sight test</w:t>
      </w:r>
      <w:r>
        <w:t>s across Wales was 734,818</w:t>
      </w:r>
      <w:r w:rsidR="00FD406C">
        <w:t xml:space="preserve"> in 2009 to 2010 </w:t>
      </w:r>
      <w:r>
        <w:t>(</w:t>
      </w:r>
      <w:r w:rsidR="00013464">
        <w:t>W</w:t>
      </w:r>
      <w:r w:rsidR="007E3F44">
        <w:t xml:space="preserve">elsh Assembly </w:t>
      </w:r>
      <w:r w:rsidR="00013464">
        <w:t>G</w:t>
      </w:r>
      <w:r w:rsidR="007E3F44">
        <w:t>overnment,</w:t>
      </w:r>
      <w:r w:rsidR="00FD406C">
        <w:t xml:space="preserve"> </w:t>
      </w:r>
      <w:r>
        <w:t>2010</w:t>
      </w:r>
      <w:r w:rsidR="00FD406C">
        <w:t>a</w:t>
      </w:r>
      <w:r>
        <w:t xml:space="preserve">) and the all Wales rate of NHS funded sight tests was 245.5 per </w:t>
      </w:r>
      <w:r w:rsidR="009836A6">
        <w:t>1,000</w:t>
      </w:r>
      <w:r>
        <w:t xml:space="preserve"> population.</w:t>
      </w:r>
      <w:r w:rsidR="00FD406C">
        <w:t xml:space="preserve">  </w:t>
      </w:r>
    </w:p>
    <w:p w:rsidR="00197647" w:rsidRDefault="000E0574" w:rsidP="00197647">
      <w:r>
        <w:t xml:space="preserve">Table 19 shows that the rate of NHS funded sight tests taken in Cwm Taf was slightly higher at 261.5 per 1,000.  </w:t>
      </w:r>
      <w:r w:rsidR="00FD406C">
        <w:t xml:space="preserve">This could be because of a greater proportion of people eligible for </w:t>
      </w:r>
      <w:r w:rsidR="00C42EAE">
        <w:t>NHS funded sight test</w:t>
      </w:r>
      <w:r w:rsidR="00FD406C">
        <w:t>s, for example for income related reason as Cwm Taf is an area of hi</w:t>
      </w:r>
      <w:r w:rsidR="00976E79">
        <w:t xml:space="preserve">gh deprivation compared with </w:t>
      </w:r>
      <w:r w:rsidR="00FD406C">
        <w:t>Wales.</w:t>
      </w:r>
      <w:r w:rsidR="0024292A">
        <w:t xml:space="preserve">  </w:t>
      </w:r>
      <w:r w:rsidR="00BF5AE7">
        <w:t>I</w:t>
      </w:r>
      <w:r w:rsidR="005A2524">
        <w:t xml:space="preserve">f </w:t>
      </w:r>
      <w:r w:rsidR="00BF5AE7">
        <w:t xml:space="preserve">some </w:t>
      </w:r>
      <w:r w:rsidR="005A2524">
        <w:t xml:space="preserve">people </w:t>
      </w:r>
      <w:r w:rsidR="00BF5AE7">
        <w:t xml:space="preserve">had </w:t>
      </w:r>
      <w:r w:rsidR="005A2524">
        <w:t xml:space="preserve">more than one sight test within the time period measured, this will lead to a higher rate than the actual rate of people who </w:t>
      </w:r>
      <w:r w:rsidR="00BF5AE7">
        <w:t xml:space="preserve">were tested.  </w:t>
      </w:r>
      <w:r w:rsidR="0024292A">
        <w:t xml:space="preserve">There is no information of private sight tests so a comparison between the rate of total sight tests </w:t>
      </w:r>
      <w:r w:rsidR="005A2524">
        <w:t xml:space="preserve">in Cwm Taf and Wales cannot be made.  </w:t>
      </w:r>
    </w:p>
    <w:p w:rsidR="00FD406C" w:rsidRDefault="00FD406C" w:rsidP="009F3B6C">
      <w:pPr>
        <w:pStyle w:val="Caption"/>
        <w:jc w:val="left"/>
        <w:rPr>
          <w:sz w:val="20"/>
        </w:rPr>
      </w:pPr>
      <w:bookmarkStart w:id="225" w:name="_Ref283885520"/>
    </w:p>
    <w:p w:rsidR="001337D8" w:rsidRPr="009F3B6C" w:rsidRDefault="009F3B6C" w:rsidP="009F3B6C">
      <w:pPr>
        <w:pStyle w:val="Caption"/>
        <w:jc w:val="left"/>
        <w:rPr>
          <w:sz w:val="20"/>
        </w:rPr>
      </w:pPr>
      <w:bookmarkStart w:id="226" w:name="_Ref287546563"/>
      <w:bookmarkStart w:id="227" w:name="_Toc302293561"/>
      <w:r w:rsidRPr="009F3B6C">
        <w:rPr>
          <w:sz w:val="20"/>
        </w:rPr>
        <w:t xml:space="preserve">Table </w:t>
      </w:r>
      <w:r w:rsidR="001060C2" w:rsidRPr="009F3B6C">
        <w:rPr>
          <w:sz w:val="20"/>
        </w:rPr>
        <w:fldChar w:fldCharType="begin"/>
      </w:r>
      <w:r w:rsidRPr="009F3B6C">
        <w:rPr>
          <w:sz w:val="20"/>
        </w:rPr>
        <w:instrText xml:space="preserve"> SEQ Table \* ARABIC </w:instrText>
      </w:r>
      <w:r w:rsidR="001060C2" w:rsidRPr="009F3B6C">
        <w:rPr>
          <w:sz w:val="20"/>
        </w:rPr>
        <w:fldChar w:fldCharType="separate"/>
      </w:r>
      <w:r w:rsidR="00F96900">
        <w:rPr>
          <w:noProof/>
          <w:sz w:val="20"/>
        </w:rPr>
        <w:t>19</w:t>
      </w:r>
      <w:r w:rsidR="001060C2" w:rsidRPr="009F3B6C">
        <w:rPr>
          <w:sz w:val="20"/>
        </w:rPr>
        <w:fldChar w:fldCharType="end"/>
      </w:r>
      <w:bookmarkEnd w:id="225"/>
      <w:bookmarkEnd w:id="226"/>
      <w:r w:rsidR="007E3F44">
        <w:rPr>
          <w:sz w:val="20"/>
        </w:rPr>
        <w:t xml:space="preserve">. </w:t>
      </w:r>
      <w:r w:rsidR="00D82BAC" w:rsidRPr="009F3B6C">
        <w:rPr>
          <w:sz w:val="20"/>
        </w:rPr>
        <w:t xml:space="preserve">WECHE, PEARS </w:t>
      </w:r>
      <w:r w:rsidR="0090129D">
        <w:rPr>
          <w:sz w:val="20"/>
        </w:rPr>
        <w:t xml:space="preserve">examinations </w:t>
      </w:r>
      <w:r w:rsidR="00D82BAC" w:rsidRPr="009F3B6C">
        <w:rPr>
          <w:sz w:val="20"/>
        </w:rPr>
        <w:t xml:space="preserve">and NHS </w:t>
      </w:r>
      <w:r w:rsidR="00EE4F9E">
        <w:rPr>
          <w:sz w:val="20"/>
        </w:rPr>
        <w:t xml:space="preserve">funded </w:t>
      </w:r>
      <w:r w:rsidR="00D82BAC" w:rsidRPr="009F3B6C">
        <w:rPr>
          <w:sz w:val="20"/>
        </w:rPr>
        <w:t xml:space="preserve">sights tests, </w:t>
      </w:r>
      <w:r w:rsidR="00D90D15">
        <w:rPr>
          <w:sz w:val="20"/>
        </w:rPr>
        <w:t xml:space="preserve">South East </w:t>
      </w:r>
      <w:r w:rsidR="00D82BAC" w:rsidRPr="009F3B6C">
        <w:rPr>
          <w:sz w:val="20"/>
        </w:rPr>
        <w:t>Wales</w:t>
      </w:r>
      <w:r w:rsidR="0090129D">
        <w:rPr>
          <w:sz w:val="20"/>
        </w:rPr>
        <w:t xml:space="preserve">, </w:t>
      </w:r>
      <w:r w:rsidR="00D82BAC" w:rsidRPr="009F3B6C">
        <w:rPr>
          <w:sz w:val="20"/>
        </w:rPr>
        <w:t>April 2009–March 2010</w:t>
      </w:r>
      <w:bookmarkEnd w:id="227"/>
      <w:r w:rsidR="007E043B" w:rsidRPr="009F3B6C">
        <w:rPr>
          <w:sz w:val="20"/>
        </w:rPr>
        <w:t xml:space="preserve"> </w:t>
      </w:r>
    </w:p>
    <w:p w:rsidR="00A83C38" w:rsidRDefault="00540F04" w:rsidP="001337D8">
      <w:pPr>
        <w:rPr>
          <w:szCs w:val="24"/>
        </w:rPr>
      </w:pPr>
      <w:r>
        <w:rPr>
          <w:noProof/>
          <w:szCs w:val="24"/>
          <w:lang w:eastAsia="en-GB"/>
        </w:rPr>
        <w:drawing>
          <wp:inline distT="0" distB="0" distL="0" distR="0">
            <wp:extent cx="6113400" cy="2671762"/>
            <wp:effectExtent l="19050" t="0" r="165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srcRect/>
                    <a:stretch>
                      <a:fillRect/>
                    </a:stretch>
                  </pic:blipFill>
                  <pic:spPr bwMode="auto">
                    <a:xfrm>
                      <a:off x="0" y="0"/>
                      <a:ext cx="6129536" cy="2678814"/>
                    </a:xfrm>
                    <a:prstGeom prst="rect">
                      <a:avLst/>
                    </a:prstGeom>
                    <a:noFill/>
                    <a:ln w="9525">
                      <a:noFill/>
                      <a:miter lim="800000"/>
                      <a:headEnd/>
                      <a:tailEnd/>
                    </a:ln>
                  </pic:spPr>
                </pic:pic>
              </a:graphicData>
            </a:graphic>
          </wp:inline>
        </w:drawing>
      </w:r>
    </w:p>
    <w:p w:rsidR="00A83C38" w:rsidRDefault="00575AE5" w:rsidP="001337D8">
      <w:pPr>
        <w:rPr>
          <w:szCs w:val="24"/>
        </w:rPr>
      </w:pPr>
      <w:r>
        <w:rPr>
          <w:szCs w:val="24"/>
        </w:rPr>
        <w:t xml:space="preserve">Table 20 </w:t>
      </w:r>
      <w:r w:rsidR="00A83C38">
        <w:rPr>
          <w:szCs w:val="24"/>
        </w:rPr>
        <w:t xml:space="preserve">shows the different reasons for </w:t>
      </w:r>
      <w:r w:rsidR="00C42EAE">
        <w:rPr>
          <w:szCs w:val="24"/>
        </w:rPr>
        <w:t xml:space="preserve">NHS funded </w:t>
      </w:r>
      <w:r w:rsidR="00A83C38">
        <w:rPr>
          <w:szCs w:val="24"/>
        </w:rPr>
        <w:t xml:space="preserve">sight tests in Cwm Taf and Wales from 2009 to 2010.  The pattern is similar in Cwm Taf and Wales but due to the higher level of deprivation and younger population in Cwm Taf, it would be expected that a much greater proportion of NHS </w:t>
      </w:r>
      <w:r w:rsidR="007E3F44">
        <w:rPr>
          <w:szCs w:val="24"/>
        </w:rPr>
        <w:t xml:space="preserve">funded </w:t>
      </w:r>
      <w:r w:rsidR="00A83C38">
        <w:rPr>
          <w:szCs w:val="24"/>
        </w:rPr>
        <w:t>sight tests would be driven by deprivation factors.</w:t>
      </w:r>
    </w:p>
    <w:p w:rsidR="00BE7352" w:rsidRDefault="00BE7352" w:rsidP="001337D8">
      <w:r>
        <w:tab/>
      </w:r>
    </w:p>
    <w:p w:rsidR="007A671B" w:rsidRDefault="007A671B" w:rsidP="007A671B">
      <w:pPr>
        <w:pStyle w:val="Caption"/>
        <w:jc w:val="left"/>
        <w:rPr>
          <w:sz w:val="20"/>
        </w:rPr>
      </w:pPr>
      <w:bookmarkStart w:id="228" w:name="_Ref283887057"/>
      <w:bookmarkStart w:id="229" w:name="_Toc302293562"/>
      <w:r w:rsidRPr="007A671B">
        <w:rPr>
          <w:sz w:val="20"/>
        </w:rPr>
        <w:lastRenderedPageBreak/>
        <w:t xml:space="preserve">Table </w:t>
      </w:r>
      <w:r w:rsidR="001060C2" w:rsidRPr="007A671B">
        <w:rPr>
          <w:sz w:val="20"/>
        </w:rPr>
        <w:fldChar w:fldCharType="begin"/>
      </w:r>
      <w:r w:rsidRPr="007A671B">
        <w:rPr>
          <w:sz w:val="20"/>
        </w:rPr>
        <w:instrText xml:space="preserve"> SEQ Table \* ARABIC </w:instrText>
      </w:r>
      <w:r w:rsidR="001060C2" w:rsidRPr="007A671B">
        <w:rPr>
          <w:sz w:val="20"/>
        </w:rPr>
        <w:fldChar w:fldCharType="separate"/>
      </w:r>
      <w:r w:rsidR="00F96900">
        <w:rPr>
          <w:noProof/>
          <w:sz w:val="20"/>
        </w:rPr>
        <w:t>20</w:t>
      </w:r>
      <w:r w:rsidR="001060C2" w:rsidRPr="007A671B">
        <w:rPr>
          <w:sz w:val="20"/>
        </w:rPr>
        <w:fldChar w:fldCharType="end"/>
      </w:r>
      <w:bookmarkEnd w:id="228"/>
      <w:r w:rsidR="007E3F44">
        <w:rPr>
          <w:sz w:val="20"/>
        </w:rPr>
        <w:t xml:space="preserve">. </w:t>
      </w:r>
      <w:r w:rsidRPr="007A671B">
        <w:rPr>
          <w:sz w:val="20"/>
        </w:rPr>
        <w:t xml:space="preserve">Reasons for </w:t>
      </w:r>
      <w:r w:rsidR="00C42EAE">
        <w:rPr>
          <w:sz w:val="20"/>
        </w:rPr>
        <w:t xml:space="preserve">NHS funded </w:t>
      </w:r>
      <w:r w:rsidRPr="007A671B">
        <w:rPr>
          <w:sz w:val="20"/>
        </w:rPr>
        <w:t>sight tests in Cwm Taf and Wales, 2009-2010</w:t>
      </w:r>
      <w:bookmarkEnd w:id="229"/>
    </w:p>
    <w:p w:rsidR="000E6117" w:rsidRPr="000E6117" w:rsidRDefault="000E6117" w:rsidP="000E6117">
      <w:r>
        <w:rPr>
          <w:noProof/>
          <w:lang w:eastAsia="en-GB"/>
        </w:rPr>
        <w:drawing>
          <wp:inline distT="0" distB="0" distL="0" distR="0">
            <wp:extent cx="6156285" cy="2286000"/>
            <wp:effectExtent l="1905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2" cstate="print"/>
                    <a:srcRect/>
                    <a:stretch>
                      <a:fillRect/>
                    </a:stretch>
                  </pic:blipFill>
                  <pic:spPr bwMode="auto">
                    <a:xfrm>
                      <a:off x="0" y="0"/>
                      <a:ext cx="6156285" cy="2286000"/>
                    </a:xfrm>
                    <a:prstGeom prst="rect">
                      <a:avLst/>
                    </a:prstGeom>
                    <a:noFill/>
                    <a:ln w="9525">
                      <a:noFill/>
                      <a:miter lim="800000"/>
                      <a:headEnd/>
                      <a:tailEnd/>
                    </a:ln>
                  </pic:spPr>
                </pic:pic>
              </a:graphicData>
            </a:graphic>
          </wp:inline>
        </w:drawing>
      </w:r>
    </w:p>
    <w:p w:rsidR="00FD070B" w:rsidRDefault="007E3F44" w:rsidP="000C3596">
      <w:pPr>
        <w:rPr>
          <w:szCs w:val="24"/>
        </w:rPr>
      </w:pPr>
      <w:r>
        <w:rPr>
          <w:szCs w:val="24"/>
        </w:rPr>
        <w:t>The number and rate of NHS funded sight tests in some of the eligible groups that are shown in</w:t>
      </w:r>
      <w:r w:rsidR="00575AE5">
        <w:rPr>
          <w:szCs w:val="24"/>
        </w:rPr>
        <w:t xml:space="preserve"> Tables 21 to 25</w:t>
      </w:r>
      <w:r>
        <w:rPr>
          <w:szCs w:val="24"/>
        </w:rPr>
        <w:t>.</w:t>
      </w:r>
    </w:p>
    <w:p w:rsidR="0084338E" w:rsidRDefault="00575AE5" w:rsidP="00FF06D9">
      <w:r>
        <w:rPr>
          <w:szCs w:val="24"/>
        </w:rPr>
        <w:t xml:space="preserve">Table 21 </w:t>
      </w:r>
      <w:r w:rsidR="006F5E20">
        <w:rPr>
          <w:szCs w:val="24"/>
        </w:rPr>
        <w:t xml:space="preserve">shows that </w:t>
      </w:r>
      <w:r w:rsidR="00FD070B">
        <w:rPr>
          <w:szCs w:val="24"/>
        </w:rPr>
        <w:t xml:space="preserve">the </w:t>
      </w:r>
      <w:r w:rsidR="00B63122">
        <w:rPr>
          <w:szCs w:val="24"/>
        </w:rPr>
        <w:t>rate</w:t>
      </w:r>
      <w:r w:rsidR="00FD070B">
        <w:rPr>
          <w:szCs w:val="24"/>
        </w:rPr>
        <w:t xml:space="preserve"> </w:t>
      </w:r>
      <w:r w:rsidR="003311D4">
        <w:rPr>
          <w:szCs w:val="24"/>
        </w:rPr>
        <w:t xml:space="preserve">of </w:t>
      </w:r>
      <w:r w:rsidR="00C42EAE">
        <w:rPr>
          <w:szCs w:val="24"/>
        </w:rPr>
        <w:t>NHS funded sight test</w:t>
      </w:r>
      <w:r w:rsidR="003311D4">
        <w:rPr>
          <w:szCs w:val="24"/>
        </w:rPr>
        <w:t xml:space="preserve">s </w:t>
      </w:r>
      <w:r w:rsidR="00FD070B">
        <w:rPr>
          <w:szCs w:val="24"/>
        </w:rPr>
        <w:t xml:space="preserve">in people </w:t>
      </w:r>
      <w:r w:rsidR="007E3F44">
        <w:rPr>
          <w:szCs w:val="24"/>
        </w:rPr>
        <w:t xml:space="preserve">aged </w:t>
      </w:r>
      <w:r w:rsidR="00FD070B">
        <w:t>60 years</w:t>
      </w:r>
      <w:r w:rsidR="007E3F44">
        <w:t xml:space="preserve"> and over</w:t>
      </w:r>
      <w:r w:rsidR="00FD070B">
        <w:t xml:space="preserve"> is higher in Cwm Taf compared with Wales (561.2 compared with 508.5 per </w:t>
      </w:r>
      <w:r w:rsidR="009836A6">
        <w:t>1,000</w:t>
      </w:r>
      <w:r w:rsidR="00FD070B">
        <w:t xml:space="preserve"> population </w:t>
      </w:r>
      <w:r w:rsidR="007E3F44">
        <w:rPr>
          <w:szCs w:val="24"/>
        </w:rPr>
        <w:t xml:space="preserve">aged </w:t>
      </w:r>
      <w:r w:rsidR="007E3F44">
        <w:t>60 years and over</w:t>
      </w:r>
      <w:r w:rsidR="00FD070B">
        <w:t xml:space="preserve">). </w:t>
      </w:r>
      <w:r w:rsidR="0084338E">
        <w:t xml:space="preserve"> </w:t>
      </w:r>
      <w:r>
        <w:t xml:space="preserve">Table 22 </w:t>
      </w:r>
      <w:r w:rsidR="00F16D69">
        <w:rPr>
          <w:szCs w:val="24"/>
        </w:rPr>
        <w:t xml:space="preserve">shows that the </w:t>
      </w:r>
      <w:r w:rsidR="00B63122">
        <w:rPr>
          <w:szCs w:val="24"/>
        </w:rPr>
        <w:t>rate</w:t>
      </w:r>
      <w:r w:rsidR="00F16D69">
        <w:rPr>
          <w:szCs w:val="24"/>
        </w:rPr>
        <w:t xml:space="preserve"> of </w:t>
      </w:r>
      <w:r w:rsidR="00C42EAE">
        <w:rPr>
          <w:szCs w:val="24"/>
        </w:rPr>
        <w:t>NHS funded sight test</w:t>
      </w:r>
      <w:r w:rsidR="00F16D69">
        <w:rPr>
          <w:szCs w:val="24"/>
        </w:rPr>
        <w:t xml:space="preserve">s in people </w:t>
      </w:r>
      <w:r w:rsidR="007E3F44">
        <w:rPr>
          <w:szCs w:val="24"/>
        </w:rPr>
        <w:t xml:space="preserve">aged </w:t>
      </w:r>
      <w:r w:rsidR="00F16D69">
        <w:t>15 years</w:t>
      </w:r>
      <w:r w:rsidR="007E3F44">
        <w:t xml:space="preserve"> and under</w:t>
      </w:r>
      <w:r w:rsidR="00F16D69">
        <w:t xml:space="preserve"> is higher in Cwm Taf compared with Wales (289.5 compared with 242.4 per </w:t>
      </w:r>
      <w:r w:rsidR="009836A6">
        <w:t>1,000</w:t>
      </w:r>
      <w:r w:rsidR="00F16D69">
        <w:t xml:space="preserve"> population </w:t>
      </w:r>
      <w:r w:rsidR="007E3F44">
        <w:rPr>
          <w:szCs w:val="24"/>
        </w:rPr>
        <w:t xml:space="preserve">aged </w:t>
      </w:r>
      <w:r w:rsidR="007E3F44">
        <w:t>15 years and under</w:t>
      </w:r>
      <w:r w:rsidR="00F16D69">
        <w:t xml:space="preserve">). </w:t>
      </w:r>
      <w:r w:rsidR="0084338E">
        <w:t>This may suggest good awareness</w:t>
      </w:r>
      <w:r w:rsidR="00F16D69">
        <w:t xml:space="preserve"> </w:t>
      </w:r>
      <w:r w:rsidR="0093483E">
        <w:t xml:space="preserve">of the availability of NHS </w:t>
      </w:r>
      <w:r w:rsidR="007E3F44">
        <w:t xml:space="preserve">funded </w:t>
      </w:r>
      <w:r w:rsidR="0093483E">
        <w:t xml:space="preserve">sight tests </w:t>
      </w:r>
      <w:r w:rsidR="00F16D69">
        <w:t>in these</w:t>
      </w:r>
      <w:r w:rsidR="0084338E">
        <w:t xml:space="preserve"> group</w:t>
      </w:r>
      <w:r w:rsidR="00F16D69">
        <w:t>s</w:t>
      </w:r>
      <w:r w:rsidR="0084338E">
        <w:t xml:space="preserve">, although there is still a high proportion of people </w:t>
      </w:r>
      <w:r w:rsidR="007E3F44">
        <w:rPr>
          <w:szCs w:val="24"/>
        </w:rPr>
        <w:t xml:space="preserve">aged </w:t>
      </w:r>
      <w:r w:rsidR="007E3F44">
        <w:t xml:space="preserve">60 years and over </w:t>
      </w:r>
      <w:r w:rsidR="00F16D69">
        <w:t xml:space="preserve">and people </w:t>
      </w:r>
      <w:r w:rsidR="007E3F44">
        <w:rPr>
          <w:szCs w:val="24"/>
        </w:rPr>
        <w:t xml:space="preserve">aged </w:t>
      </w:r>
      <w:r w:rsidR="007E3F44">
        <w:t xml:space="preserve">15 years and under </w:t>
      </w:r>
      <w:r w:rsidR="0084338E">
        <w:t>who are not accessing this service</w:t>
      </w:r>
      <w:r w:rsidR="00BF5AE7">
        <w:t>.  I</w:t>
      </w:r>
      <w:r w:rsidR="0084338E">
        <w:t xml:space="preserve">t is not known </w:t>
      </w:r>
      <w:r w:rsidR="007E3F44">
        <w:t xml:space="preserve">if </w:t>
      </w:r>
      <w:r w:rsidR="0084338E">
        <w:t>the same people receive NHS tests every year or whether different people receive tests in one year compared to another.  It is</w:t>
      </w:r>
      <w:r w:rsidR="00BF5AE7">
        <w:t xml:space="preserve"> not p</w:t>
      </w:r>
      <w:r w:rsidR="0084338E">
        <w:t xml:space="preserve">ossible to tell </w:t>
      </w:r>
      <w:r w:rsidR="007E3F44">
        <w:t xml:space="preserve">if </w:t>
      </w:r>
      <w:r w:rsidR="0084338E">
        <w:t xml:space="preserve">most of the people </w:t>
      </w:r>
      <w:r w:rsidR="007E3F44">
        <w:rPr>
          <w:szCs w:val="24"/>
        </w:rPr>
        <w:t xml:space="preserve">aged </w:t>
      </w:r>
      <w:r w:rsidR="007E3F44">
        <w:t xml:space="preserve">60 years and over </w:t>
      </w:r>
      <w:r w:rsidR="00F16D69">
        <w:t xml:space="preserve">and </w:t>
      </w:r>
      <w:r w:rsidR="007E3F44">
        <w:rPr>
          <w:szCs w:val="24"/>
        </w:rPr>
        <w:t xml:space="preserve">aged </w:t>
      </w:r>
      <w:r w:rsidR="007E3F44">
        <w:t xml:space="preserve">15 years and under </w:t>
      </w:r>
      <w:r w:rsidR="0084338E">
        <w:t xml:space="preserve">receive an </w:t>
      </w:r>
      <w:r w:rsidR="00C42EAE">
        <w:t>NHS funded sight test</w:t>
      </w:r>
      <w:r w:rsidR="0084338E">
        <w:t xml:space="preserve"> within the space of 2-3 years or whether the same people receive a test each year.  </w:t>
      </w:r>
    </w:p>
    <w:p w:rsidR="00A8454C" w:rsidRDefault="00575AE5" w:rsidP="00FF06D9">
      <w:r>
        <w:rPr>
          <w:szCs w:val="24"/>
        </w:rPr>
        <w:t xml:space="preserve">Table 23 </w:t>
      </w:r>
      <w:r w:rsidR="001E49CE">
        <w:rPr>
          <w:szCs w:val="24"/>
        </w:rPr>
        <w:t xml:space="preserve">shows that the </w:t>
      </w:r>
      <w:r w:rsidR="00B63122">
        <w:rPr>
          <w:szCs w:val="24"/>
        </w:rPr>
        <w:t>rate</w:t>
      </w:r>
      <w:r w:rsidR="001E49CE">
        <w:rPr>
          <w:szCs w:val="24"/>
        </w:rPr>
        <w:t xml:space="preserve"> </w:t>
      </w:r>
      <w:r w:rsidR="003311D4">
        <w:rPr>
          <w:szCs w:val="24"/>
        </w:rPr>
        <w:t xml:space="preserve">of NHS </w:t>
      </w:r>
      <w:r w:rsidR="007E3F44">
        <w:rPr>
          <w:szCs w:val="24"/>
        </w:rPr>
        <w:t xml:space="preserve">funded </w:t>
      </w:r>
      <w:r w:rsidR="003311D4">
        <w:rPr>
          <w:szCs w:val="24"/>
        </w:rPr>
        <w:t xml:space="preserve">sight tests </w:t>
      </w:r>
      <w:r w:rsidR="001E49CE">
        <w:rPr>
          <w:szCs w:val="24"/>
        </w:rPr>
        <w:t>in people registered as sight impaired or severely sight impaired is lower i</w:t>
      </w:r>
      <w:r w:rsidR="001E49CE">
        <w:t xml:space="preserve">n Cwm Taf compared with Wales (27.0 compared with 51.1 per </w:t>
      </w:r>
      <w:r w:rsidR="009836A6">
        <w:t>1,000</w:t>
      </w:r>
      <w:r w:rsidR="001E49CE">
        <w:t xml:space="preserve"> population on the register).  </w:t>
      </w:r>
      <w:r w:rsidR="009061B4">
        <w:t xml:space="preserve">The reasons for the differences in the </w:t>
      </w:r>
      <w:r w:rsidR="00B63122">
        <w:t xml:space="preserve">rate </w:t>
      </w:r>
      <w:r w:rsidR="009061B4">
        <w:t xml:space="preserve">of NHS </w:t>
      </w:r>
      <w:r w:rsidR="007E3F44">
        <w:t xml:space="preserve">funded </w:t>
      </w:r>
      <w:r w:rsidR="009061B4">
        <w:t xml:space="preserve">sight tests within the eligible population seen between Cwm Taf and Wales could be due to differences in awareness of NHS </w:t>
      </w:r>
      <w:r w:rsidR="007E3F44">
        <w:t xml:space="preserve">funded </w:t>
      </w:r>
      <w:r w:rsidR="009061B4">
        <w:t>sight tests in these group</w:t>
      </w:r>
      <w:r w:rsidR="00BF5AE7">
        <w:t>s, or differences in access to o</w:t>
      </w:r>
      <w:r w:rsidR="009061B4">
        <w:t>ptometr</w:t>
      </w:r>
      <w:r w:rsidR="00BF5AE7">
        <w:t>y services</w:t>
      </w:r>
      <w:r w:rsidR="009061B4">
        <w:t xml:space="preserve">.  Within the population, there could also be people who are eligible for a </w:t>
      </w:r>
      <w:r w:rsidR="00C42EAE">
        <w:t xml:space="preserve">NHS funded </w:t>
      </w:r>
      <w:r w:rsidR="009061B4">
        <w:t xml:space="preserve">sight test for more than one reason for example perhaps being </w:t>
      </w:r>
      <w:r w:rsidR="007E3F44">
        <w:rPr>
          <w:szCs w:val="24"/>
        </w:rPr>
        <w:t xml:space="preserve">aged </w:t>
      </w:r>
      <w:r w:rsidR="007E3F44">
        <w:t xml:space="preserve">60 years and over </w:t>
      </w:r>
      <w:r w:rsidR="009061B4">
        <w:t xml:space="preserve">and being on the register for sight impairment.  Practitioners in different areas may have different habits in recording which reason people are receiving an NHS </w:t>
      </w:r>
      <w:r w:rsidR="007E3F44">
        <w:t xml:space="preserve">funded sight </w:t>
      </w:r>
      <w:r w:rsidR="009061B4">
        <w:t xml:space="preserve">test.  </w:t>
      </w:r>
    </w:p>
    <w:p w:rsidR="006030D8" w:rsidRDefault="00575AE5" w:rsidP="000C3596">
      <w:r>
        <w:rPr>
          <w:szCs w:val="24"/>
        </w:rPr>
        <w:lastRenderedPageBreak/>
        <w:t xml:space="preserve">Table 24 </w:t>
      </w:r>
      <w:r w:rsidR="005B70F9">
        <w:rPr>
          <w:szCs w:val="24"/>
        </w:rPr>
        <w:t xml:space="preserve">shows </w:t>
      </w:r>
      <w:r w:rsidR="003311D4">
        <w:rPr>
          <w:szCs w:val="24"/>
        </w:rPr>
        <w:t xml:space="preserve">that the </w:t>
      </w:r>
      <w:r w:rsidR="00B63122">
        <w:rPr>
          <w:szCs w:val="24"/>
        </w:rPr>
        <w:t>rate</w:t>
      </w:r>
      <w:r w:rsidR="003311D4">
        <w:rPr>
          <w:szCs w:val="24"/>
        </w:rPr>
        <w:t xml:space="preserve"> </w:t>
      </w:r>
      <w:r w:rsidR="00FF06D9">
        <w:rPr>
          <w:szCs w:val="24"/>
        </w:rPr>
        <w:t xml:space="preserve">of NHS </w:t>
      </w:r>
      <w:r w:rsidR="007E3F44">
        <w:rPr>
          <w:szCs w:val="24"/>
        </w:rPr>
        <w:t xml:space="preserve">funded </w:t>
      </w:r>
      <w:r w:rsidR="00FF06D9">
        <w:rPr>
          <w:szCs w:val="24"/>
        </w:rPr>
        <w:t xml:space="preserve">sight tests </w:t>
      </w:r>
      <w:r w:rsidR="003311D4">
        <w:rPr>
          <w:szCs w:val="24"/>
        </w:rPr>
        <w:t xml:space="preserve">in people receiving </w:t>
      </w:r>
      <w:r w:rsidR="003311D4">
        <w:t>jobseeker’s allowance is lower in Cwm Taf compared with Wales (2</w:t>
      </w:r>
      <w:r w:rsidR="00FF06D9">
        <w:t>34.9</w:t>
      </w:r>
      <w:r w:rsidR="003311D4">
        <w:t xml:space="preserve"> compared with 25</w:t>
      </w:r>
      <w:r w:rsidR="00FF06D9">
        <w:t>5.2</w:t>
      </w:r>
      <w:r w:rsidR="003311D4">
        <w:t xml:space="preserve"> per </w:t>
      </w:r>
      <w:r w:rsidR="009836A6">
        <w:t>1,000</w:t>
      </w:r>
      <w:r w:rsidR="003311D4">
        <w:t xml:space="preserve"> population receiving jobseeker’s allowance). </w:t>
      </w:r>
      <w:r w:rsidR="00FF06D9">
        <w:t xml:space="preserve"> </w:t>
      </w:r>
      <w:r>
        <w:t xml:space="preserve">Table 25 </w:t>
      </w:r>
      <w:r w:rsidR="00FF06D9" w:rsidRPr="00FF06D9">
        <w:rPr>
          <w:szCs w:val="24"/>
        </w:rPr>
        <w:t>s</w:t>
      </w:r>
      <w:r w:rsidR="00FF06D9">
        <w:rPr>
          <w:szCs w:val="24"/>
        </w:rPr>
        <w:t xml:space="preserve">hows that the </w:t>
      </w:r>
      <w:r w:rsidR="00B63122">
        <w:rPr>
          <w:szCs w:val="24"/>
        </w:rPr>
        <w:t xml:space="preserve">rate </w:t>
      </w:r>
      <w:r w:rsidR="00FF06D9">
        <w:rPr>
          <w:szCs w:val="24"/>
        </w:rPr>
        <w:t xml:space="preserve">of NHS </w:t>
      </w:r>
      <w:r w:rsidR="007E3F44">
        <w:rPr>
          <w:szCs w:val="24"/>
        </w:rPr>
        <w:t xml:space="preserve">funded </w:t>
      </w:r>
      <w:r w:rsidR="00FF06D9">
        <w:rPr>
          <w:szCs w:val="24"/>
        </w:rPr>
        <w:t xml:space="preserve">sight tests in people receiving </w:t>
      </w:r>
      <w:r w:rsidR="00FF06D9">
        <w:t xml:space="preserve">income support is lower in Cwm Taf compared with </w:t>
      </w:r>
      <w:r w:rsidR="00202968">
        <w:t>Wales (410.8 compared with 518.4</w:t>
      </w:r>
      <w:r w:rsidR="00FF06D9">
        <w:t xml:space="preserve"> per </w:t>
      </w:r>
      <w:r w:rsidR="009836A6">
        <w:t>1,000</w:t>
      </w:r>
      <w:r w:rsidR="00FF06D9">
        <w:t xml:space="preserve"> population receiving </w:t>
      </w:r>
      <w:r w:rsidR="000338BD">
        <w:t>income support</w:t>
      </w:r>
      <w:r w:rsidR="00FF06D9">
        <w:t xml:space="preserve">). </w:t>
      </w:r>
      <w:r w:rsidR="0093483E">
        <w:t xml:space="preserve"> People eligible for receiving jobseeker’s allowance or income support </w:t>
      </w:r>
      <w:r w:rsidR="001E41F2">
        <w:t xml:space="preserve">may be eligible for </w:t>
      </w:r>
      <w:r w:rsidR="0093483E">
        <w:t xml:space="preserve">more than one reason and it depends which reason the practitioner records for eligibility.  </w:t>
      </w:r>
      <w:r w:rsidR="001E41F2">
        <w:t>Additionally, i</w:t>
      </w:r>
      <w:r w:rsidR="00B73CC6">
        <w:t xml:space="preserve">f </w:t>
      </w:r>
      <w:r w:rsidR="00BF5AE7">
        <w:t>people receive</w:t>
      </w:r>
      <w:r w:rsidR="001E41F2">
        <w:t xml:space="preserve"> jobseeker’s allowance </w:t>
      </w:r>
      <w:r w:rsidR="0093483E">
        <w:t>and/</w:t>
      </w:r>
      <w:r w:rsidR="001E41F2">
        <w:t xml:space="preserve">or income support, </w:t>
      </w:r>
      <w:r w:rsidR="00BF5AE7">
        <w:t>they may also receive</w:t>
      </w:r>
      <w:r w:rsidR="00E16518">
        <w:t xml:space="preserve"> tax credits or hold a low income certificate, and therefore be eligible for an NHS </w:t>
      </w:r>
      <w:r w:rsidR="007E3F44">
        <w:t xml:space="preserve">funded </w:t>
      </w:r>
      <w:r w:rsidR="00E16518">
        <w:t xml:space="preserve">sight test for these reasons, although it was not possible to identify the </w:t>
      </w:r>
      <w:r w:rsidR="00B63122">
        <w:t>rate</w:t>
      </w:r>
      <w:r w:rsidR="00E16518">
        <w:t xml:space="preserve"> of sight tests in these groups. </w:t>
      </w:r>
      <w:r w:rsidR="00FF06D9">
        <w:t xml:space="preserve"> </w:t>
      </w:r>
      <w:r w:rsidR="00B07A0E">
        <w:t>Both the</w:t>
      </w:r>
      <w:r w:rsidR="0084338E">
        <w:t xml:space="preserve"> rate of NHS </w:t>
      </w:r>
      <w:r w:rsidR="007E3F44">
        <w:t xml:space="preserve">funded </w:t>
      </w:r>
      <w:r w:rsidR="0084338E">
        <w:t xml:space="preserve">sight tests for </w:t>
      </w:r>
      <w:r w:rsidR="0093483E">
        <w:t xml:space="preserve">people receiving jobseeker’s allowance or </w:t>
      </w:r>
      <w:r w:rsidR="0084338E">
        <w:t>income</w:t>
      </w:r>
      <w:r w:rsidR="0093483E">
        <w:t xml:space="preserve"> support </w:t>
      </w:r>
      <w:r w:rsidR="00B07A0E">
        <w:t xml:space="preserve">is lower in Cwm Taf compared to Wales, and this may be due to access or awareness issues in these groups. </w:t>
      </w:r>
      <w:r w:rsidR="0084338E">
        <w:t xml:space="preserve"> </w:t>
      </w:r>
    </w:p>
    <w:p w:rsidR="00256D6D" w:rsidRDefault="00256D6D" w:rsidP="000C3596">
      <w:r>
        <w:rPr>
          <w:rFonts w:cs="Arial"/>
          <w:szCs w:val="28"/>
          <w:lang w:eastAsia="en-GB"/>
        </w:rPr>
        <w:t xml:space="preserve">The </w:t>
      </w:r>
      <w:r w:rsidR="006C4F35">
        <w:rPr>
          <w:rFonts w:cs="Arial"/>
          <w:szCs w:val="28"/>
          <w:lang w:eastAsia="en-GB"/>
        </w:rPr>
        <w:t xml:space="preserve">2009 </w:t>
      </w:r>
      <w:r>
        <w:rPr>
          <w:rFonts w:cs="Arial"/>
          <w:szCs w:val="28"/>
          <w:lang w:eastAsia="en-GB"/>
        </w:rPr>
        <w:t>W</w:t>
      </w:r>
      <w:r w:rsidR="006C4F35">
        <w:rPr>
          <w:rFonts w:cs="Arial"/>
          <w:szCs w:val="28"/>
          <w:lang w:eastAsia="en-GB"/>
        </w:rPr>
        <w:t xml:space="preserve">HS </w:t>
      </w:r>
      <w:r>
        <w:rPr>
          <w:rFonts w:cs="Arial"/>
          <w:szCs w:val="28"/>
          <w:lang w:eastAsia="en-GB"/>
        </w:rPr>
        <w:t>(</w:t>
      </w:r>
      <w:r w:rsidR="00013464">
        <w:rPr>
          <w:rFonts w:cs="Arial"/>
          <w:szCs w:val="28"/>
          <w:lang w:eastAsia="en-GB"/>
        </w:rPr>
        <w:t>W</w:t>
      </w:r>
      <w:r w:rsidR="006C4F35">
        <w:rPr>
          <w:rFonts w:cs="Arial"/>
          <w:szCs w:val="28"/>
          <w:lang w:eastAsia="en-GB"/>
        </w:rPr>
        <w:t xml:space="preserve">elsh </w:t>
      </w:r>
      <w:r w:rsidR="00013464">
        <w:rPr>
          <w:rFonts w:cs="Arial"/>
          <w:szCs w:val="28"/>
          <w:lang w:eastAsia="en-GB"/>
        </w:rPr>
        <w:t>A</w:t>
      </w:r>
      <w:r w:rsidR="006C4F35">
        <w:rPr>
          <w:rFonts w:cs="Arial"/>
          <w:szCs w:val="28"/>
          <w:lang w:eastAsia="en-GB"/>
        </w:rPr>
        <w:t xml:space="preserve">ssembly </w:t>
      </w:r>
      <w:r w:rsidR="00013464">
        <w:rPr>
          <w:rFonts w:cs="Arial"/>
          <w:szCs w:val="28"/>
          <w:lang w:eastAsia="en-GB"/>
        </w:rPr>
        <w:t>G</w:t>
      </w:r>
      <w:r w:rsidR="006C4F35">
        <w:rPr>
          <w:rFonts w:cs="Arial"/>
          <w:szCs w:val="28"/>
          <w:lang w:eastAsia="en-GB"/>
        </w:rPr>
        <w:t>overnment,</w:t>
      </w:r>
      <w:r>
        <w:rPr>
          <w:rFonts w:cs="Arial"/>
          <w:szCs w:val="28"/>
          <w:lang w:eastAsia="en-GB"/>
        </w:rPr>
        <w:t xml:space="preserve"> 2010</w:t>
      </w:r>
      <w:r w:rsidR="00B76F4D">
        <w:rPr>
          <w:rFonts w:cs="Arial"/>
          <w:szCs w:val="28"/>
          <w:lang w:eastAsia="en-GB"/>
        </w:rPr>
        <w:t>b</w:t>
      </w:r>
      <w:r>
        <w:rPr>
          <w:rFonts w:cs="Arial"/>
          <w:szCs w:val="28"/>
          <w:lang w:eastAsia="en-GB"/>
        </w:rPr>
        <w:t>) showed that adults in the most deprived deprivation quintile were less likely to have visited an optician in the previous twelve months compared with people in the least deprived quintile (46</w:t>
      </w:r>
      <w:r w:rsidR="00CB30E2">
        <w:rPr>
          <w:rFonts w:cs="Arial"/>
          <w:szCs w:val="28"/>
          <w:lang w:eastAsia="en-GB"/>
        </w:rPr>
        <w:t xml:space="preserve"> </w:t>
      </w:r>
      <w:r w:rsidR="00976E79">
        <w:rPr>
          <w:rFonts w:cs="Arial"/>
          <w:szCs w:val="28"/>
          <w:lang w:eastAsia="en-GB"/>
        </w:rPr>
        <w:t>per cent</w:t>
      </w:r>
      <w:r>
        <w:rPr>
          <w:rFonts w:cs="Arial"/>
          <w:szCs w:val="28"/>
          <w:lang w:eastAsia="en-GB"/>
        </w:rPr>
        <w:t xml:space="preserve"> compared with 54</w:t>
      </w:r>
      <w:r w:rsidR="00CB30E2">
        <w:rPr>
          <w:rFonts w:cs="Arial"/>
          <w:szCs w:val="28"/>
          <w:lang w:eastAsia="en-GB"/>
        </w:rPr>
        <w:t xml:space="preserve"> </w:t>
      </w:r>
      <w:r w:rsidR="00976E79">
        <w:rPr>
          <w:rFonts w:cs="Arial"/>
          <w:szCs w:val="28"/>
          <w:lang w:eastAsia="en-GB"/>
        </w:rPr>
        <w:t>per cent</w:t>
      </w:r>
      <w:r>
        <w:rPr>
          <w:rFonts w:cs="Arial"/>
          <w:szCs w:val="28"/>
          <w:lang w:eastAsia="en-GB"/>
        </w:rPr>
        <w:t>, adjusted for age).</w:t>
      </w:r>
      <w:r w:rsidR="00000D2E">
        <w:rPr>
          <w:rFonts w:cs="Arial"/>
          <w:szCs w:val="28"/>
          <w:lang w:eastAsia="en-GB"/>
        </w:rPr>
        <w:t xml:space="preserve">  Combined results from 2008 and 2009 showed that 50</w:t>
      </w:r>
      <w:r w:rsidR="00CB30E2">
        <w:rPr>
          <w:rFonts w:cs="Arial"/>
          <w:szCs w:val="28"/>
          <w:lang w:eastAsia="en-GB"/>
        </w:rPr>
        <w:t xml:space="preserve"> </w:t>
      </w:r>
      <w:r w:rsidR="00976E79">
        <w:rPr>
          <w:rFonts w:cs="Arial"/>
          <w:szCs w:val="28"/>
          <w:lang w:eastAsia="en-GB"/>
        </w:rPr>
        <w:t>per cent</w:t>
      </w:r>
      <w:r w:rsidR="00000D2E">
        <w:rPr>
          <w:rFonts w:cs="Arial"/>
          <w:szCs w:val="28"/>
          <w:lang w:eastAsia="en-GB"/>
        </w:rPr>
        <w:t xml:space="preserve"> of adults in Cwm Taf reported using an optician in the previous 12 months</w:t>
      </w:r>
      <w:r w:rsidR="006C4F35">
        <w:rPr>
          <w:rFonts w:cs="Arial"/>
          <w:szCs w:val="28"/>
          <w:lang w:eastAsia="en-GB"/>
        </w:rPr>
        <w:t xml:space="preserve">; </w:t>
      </w:r>
      <w:r w:rsidR="00000D2E">
        <w:rPr>
          <w:rFonts w:cs="Arial"/>
          <w:szCs w:val="28"/>
          <w:lang w:eastAsia="en-GB"/>
        </w:rPr>
        <w:t>this was similar to the overall Wales figure of 49</w:t>
      </w:r>
      <w:r w:rsidR="00CB30E2">
        <w:rPr>
          <w:rFonts w:cs="Arial"/>
          <w:szCs w:val="28"/>
          <w:lang w:eastAsia="en-GB"/>
        </w:rPr>
        <w:t xml:space="preserve"> </w:t>
      </w:r>
      <w:r w:rsidR="00976E79">
        <w:rPr>
          <w:rFonts w:cs="Arial"/>
          <w:szCs w:val="28"/>
          <w:lang w:eastAsia="en-GB"/>
        </w:rPr>
        <w:t>per cent</w:t>
      </w:r>
      <w:r w:rsidR="00000D2E">
        <w:rPr>
          <w:rFonts w:cs="Arial"/>
          <w:szCs w:val="28"/>
          <w:lang w:eastAsia="en-GB"/>
        </w:rPr>
        <w:t xml:space="preserve"> (</w:t>
      </w:r>
      <w:r w:rsidR="006C4F35">
        <w:rPr>
          <w:rFonts w:cs="Arial"/>
          <w:szCs w:val="28"/>
          <w:lang w:eastAsia="en-GB"/>
        </w:rPr>
        <w:t xml:space="preserve">Welsh Assembly Government, </w:t>
      </w:r>
      <w:r w:rsidR="00000D2E">
        <w:rPr>
          <w:rFonts w:cs="Arial"/>
          <w:szCs w:val="28"/>
          <w:lang w:eastAsia="en-GB"/>
        </w:rPr>
        <w:t xml:space="preserve">2010c). </w:t>
      </w:r>
    </w:p>
    <w:p w:rsidR="006F5E20" w:rsidRDefault="006F5E20" w:rsidP="000C3596">
      <w:pPr>
        <w:rPr>
          <w:szCs w:val="24"/>
        </w:rPr>
      </w:pPr>
    </w:p>
    <w:p w:rsidR="001938C0" w:rsidRDefault="00BE7352" w:rsidP="00BE7352">
      <w:pPr>
        <w:pStyle w:val="Caption"/>
        <w:jc w:val="left"/>
        <w:rPr>
          <w:sz w:val="20"/>
        </w:rPr>
      </w:pPr>
      <w:bookmarkStart w:id="230" w:name="_Ref283823974"/>
      <w:bookmarkStart w:id="231" w:name="_Toc302293563"/>
      <w:r w:rsidRPr="00541B4B">
        <w:rPr>
          <w:sz w:val="20"/>
        </w:rPr>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21</w:t>
      </w:r>
      <w:r w:rsidR="001060C2" w:rsidRPr="00541B4B">
        <w:rPr>
          <w:sz w:val="20"/>
        </w:rPr>
        <w:fldChar w:fldCharType="end"/>
      </w:r>
      <w:bookmarkEnd w:id="230"/>
      <w:r w:rsidR="006C4F35" w:rsidRPr="00541B4B">
        <w:rPr>
          <w:sz w:val="20"/>
        </w:rPr>
        <w:t xml:space="preserve">. </w:t>
      </w:r>
      <w:r w:rsidRPr="00541B4B">
        <w:rPr>
          <w:sz w:val="20"/>
        </w:rPr>
        <w:t xml:space="preserve">People </w:t>
      </w:r>
      <w:r w:rsidR="0015111E" w:rsidRPr="00541B4B">
        <w:rPr>
          <w:sz w:val="20"/>
        </w:rPr>
        <w:t xml:space="preserve">aged </w:t>
      </w:r>
      <w:r w:rsidRPr="00541B4B">
        <w:rPr>
          <w:sz w:val="20"/>
        </w:rPr>
        <w:t>60 years</w:t>
      </w:r>
      <w:r w:rsidR="0015111E" w:rsidRPr="00541B4B">
        <w:rPr>
          <w:sz w:val="20"/>
        </w:rPr>
        <w:t xml:space="preserve"> and over</w:t>
      </w:r>
      <w:r w:rsidRPr="00541B4B">
        <w:rPr>
          <w:sz w:val="20"/>
        </w:rPr>
        <w:t xml:space="preserve"> receiving NHS funded </w:t>
      </w:r>
      <w:r w:rsidR="00EE4F9E" w:rsidRPr="00541B4B">
        <w:rPr>
          <w:sz w:val="20"/>
        </w:rPr>
        <w:t xml:space="preserve">sight </w:t>
      </w:r>
      <w:r w:rsidRPr="00541B4B">
        <w:rPr>
          <w:sz w:val="20"/>
        </w:rPr>
        <w:t>tests</w:t>
      </w:r>
      <w:bookmarkEnd w:id="231"/>
    </w:p>
    <w:p w:rsidR="005C5909" w:rsidRPr="005C5909" w:rsidRDefault="00541B4B" w:rsidP="005C5909">
      <w:r>
        <w:rPr>
          <w:noProof/>
          <w:lang w:eastAsia="en-GB"/>
        </w:rPr>
        <w:drawing>
          <wp:inline distT="0" distB="0" distL="0" distR="0">
            <wp:extent cx="5768975" cy="1087470"/>
            <wp:effectExtent l="19050" t="0" r="3175" b="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srcRect/>
                    <a:stretch>
                      <a:fillRect/>
                    </a:stretch>
                  </pic:blipFill>
                  <pic:spPr bwMode="auto">
                    <a:xfrm>
                      <a:off x="0" y="0"/>
                      <a:ext cx="5768975" cy="1087470"/>
                    </a:xfrm>
                    <a:prstGeom prst="rect">
                      <a:avLst/>
                    </a:prstGeom>
                    <a:noFill/>
                    <a:ln w="9525">
                      <a:noFill/>
                      <a:miter lim="800000"/>
                      <a:headEnd/>
                      <a:tailEnd/>
                    </a:ln>
                  </pic:spPr>
                </pic:pic>
              </a:graphicData>
            </a:graphic>
          </wp:inline>
        </w:drawing>
      </w:r>
    </w:p>
    <w:p w:rsidR="00CA6930" w:rsidRPr="00435A0A" w:rsidRDefault="00CA6930" w:rsidP="00004D46">
      <w:pPr>
        <w:rPr>
          <w:b/>
          <w:color w:val="FF0000"/>
          <w:sz w:val="20"/>
        </w:rPr>
      </w:pPr>
    </w:p>
    <w:p w:rsidR="00CA6930" w:rsidRDefault="00CA6930" w:rsidP="00CA6930">
      <w:pPr>
        <w:pStyle w:val="Caption"/>
        <w:jc w:val="left"/>
        <w:rPr>
          <w:sz w:val="20"/>
        </w:rPr>
      </w:pPr>
      <w:bookmarkStart w:id="232" w:name="_Ref283823988"/>
      <w:bookmarkStart w:id="233" w:name="_Toc302293564"/>
      <w:r w:rsidRPr="00541B4B">
        <w:rPr>
          <w:sz w:val="20"/>
        </w:rPr>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22</w:t>
      </w:r>
      <w:r w:rsidR="001060C2" w:rsidRPr="00541B4B">
        <w:rPr>
          <w:sz w:val="20"/>
        </w:rPr>
        <w:fldChar w:fldCharType="end"/>
      </w:r>
      <w:bookmarkEnd w:id="232"/>
      <w:r w:rsidR="006C4F35" w:rsidRPr="00541B4B">
        <w:rPr>
          <w:sz w:val="20"/>
        </w:rPr>
        <w:t xml:space="preserve">. </w:t>
      </w:r>
      <w:r w:rsidR="00EF12AA" w:rsidRPr="00541B4B">
        <w:rPr>
          <w:sz w:val="20"/>
        </w:rPr>
        <w:t>P</w:t>
      </w:r>
      <w:r w:rsidRPr="00541B4B">
        <w:rPr>
          <w:sz w:val="20"/>
        </w:rPr>
        <w:t xml:space="preserve">eople </w:t>
      </w:r>
      <w:r w:rsidR="0015111E" w:rsidRPr="00541B4B">
        <w:rPr>
          <w:sz w:val="20"/>
        </w:rPr>
        <w:t xml:space="preserve">aged </w:t>
      </w:r>
      <w:r w:rsidRPr="00541B4B">
        <w:rPr>
          <w:sz w:val="20"/>
        </w:rPr>
        <w:t xml:space="preserve">15 years and under receiving NHS funded </w:t>
      </w:r>
      <w:r w:rsidR="00EE4F9E" w:rsidRPr="00541B4B">
        <w:rPr>
          <w:sz w:val="20"/>
        </w:rPr>
        <w:t>sight</w:t>
      </w:r>
      <w:r w:rsidRPr="00541B4B">
        <w:rPr>
          <w:sz w:val="20"/>
        </w:rPr>
        <w:t xml:space="preserve"> tests</w:t>
      </w:r>
      <w:bookmarkEnd w:id="233"/>
    </w:p>
    <w:p w:rsidR="004D3299" w:rsidRPr="004D3299" w:rsidRDefault="005C5909" w:rsidP="004D3299">
      <w:r>
        <w:rPr>
          <w:noProof/>
          <w:lang w:eastAsia="en-GB"/>
        </w:rPr>
        <w:drawing>
          <wp:inline distT="0" distB="0" distL="0" distR="0">
            <wp:extent cx="5768975" cy="1112219"/>
            <wp:effectExtent l="19050" t="0" r="3175" b="0"/>
            <wp:docPr id="6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5768975" cy="1112219"/>
                    </a:xfrm>
                    <a:prstGeom prst="rect">
                      <a:avLst/>
                    </a:prstGeom>
                    <a:noFill/>
                    <a:ln w="9525">
                      <a:noFill/>
                      <a:miter lim="800000"/>
                      <a:headEnd/>
                      <a:tailEnd/>
                    </a:ln>
                  </pic:spPr>
                </pic:pic>
              </a:graphicData>
            </a:graphic>
          </wp:inline>
        </w:drawing>
      </w:r>
    </w:p>
    <w:p w:rsidR="00CA6930" w:rsidRDefault="00CA6930" w:rsidP="00004D46">
      <w:pPr>
        <w:rPr>
          <w:b/>
          <w:color w:val="FF0000"/>
          <w:sz w:val="20"/>
        </w:rPr>
      </w:pPr>
    </w:p>
    <w:p w:rsidR="00CF1457" w:rsidRDefault="00CF1457" w:rsidP="00004D46">
      <w:pPr>
        <w:rPr>
          <w:b/>
          <w:color w:val="FF0000"/>
          <w:sz w:val="20"/>
        </w:rPr>
      </w:pPr>
    </w:p>
    <w:p w:rsidR="00CA6930" w:rsidRDefault="00CA6930" w:rsidP="00CA6930">
      <w:pPr>
        <w:pStyle w:val="Caption"/>
        <w:jc w:val="left"/>
        <w:rPr>
          <w:sz w:val="20"/>
        </w:rPr>
      </w:pPr>
      <w:bookmarkStart w:id="234" w:name="_Ref283823992"/>
      <w:bookmarkStart w:id="235" w:name="_Toc302293565"/>
      <w:r w:rsidRPr="00541B4B">
        <w:rPr>
          <w:sz w:val="20"/>
        </w:rPr>
        <w:lastRenderedPageBreak/>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23</w:t>
      </w:r>
      <w:r w:rsidR="001060C2" w:rsidRPr="00541B4B">
        <w:rPr>
          <w:sz w:val="20"/>
        </w:rPr>
        <w:fldChar w:fldCharType="end"/>
      </w:r>
      <w:bookmarkEnd w:id="234"/>
      <w:r w:rsidR="006C4F35" w:rsidRPr="00541B4B">
        <w:rPr>
          <w:sz w:val="20"/>
        </w:rPr>
        <w:t xml:space="preserve">. </w:t>
      </w:r>
      <w:r w:rsidR="00EF12AA" w:rsidRPr="00541B4B">
        <w:rPr>
          <w:sz w:val="20"/>
        </w:rPr>
        <w:t>P</w:t>
      </w:r>
      <w:r w:rsidRPr="00541B4B">
        <w:rPr>
          <w:sz w:val="20"/>
        </w:rPr>
        <w:t xml:space="preserve">eople on register for sight impairment and severe sight impairment receiving NHS funded </w:t>
      </w:r>
      <w:r w:rsidR="00EE4F9E" w:rsidRPr="00541B4B">
        <w:rPr>
          <w:sz w:val="20"/>
        </w:rPr>
        <w:t>sight</w:t>
      </w:r>
      <w:r w:rsidRPr="00541B4B">
        <w:rPr>
          <w:sz w:val="20"/>
        </w:rPr>
        <w:t xml:space="preserve"> tests</w:t>
      </w:r>
      <w:bookmarkEnd w:id="235"/>
    </w:p>
    <w:p w:rsidR="004D3299" w:rsidRPr="004D3299" w:rsidRDefault="005C5909" w:rsidP="004D3299">
      <w:r>
        <w:rPr>
          <w:noProof/>
          <w:lang w:eastAsia="en-GB"/>
        </w:rPr>
        <w:drawing>
          <wp:inline distT="0" distB="0" distL="0" distR="0">
            <wp:extent cx="5768975" cy="1112219"/>
            <wp:effectExtent l="19050" t="0" r="3175" b="0"/>
            <wp:docPr id="6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srcRect/>
                    <a:stretch>
                      <a:fillRect/>
                    </a:stretch>
                  </pic:blipFill>
                  <pic:spPr bwMode="auto">
                    <a:xfrm>
                      <a:off x="0" y="0"/>
                      <a:ext cx="5768975" cy="1112219"/>
                    </a:xfrm>
                    <a:prstGeom prst="rect">
                      <a:avLst/>
                    </a:prstGeom>
                    <a:noFill/>
                    <a:ln w="9525">
                      <a:noFill/>
                      <a:miter lim="800000"/>
                      <a:headEnd/>
                      <a:tailEnd/>
                    </a:ln>
                  </pic:spPr>
                </pic:pic>
              </a:graphicData>
            </a:graphic>
          </wp:inline>
        </w:drawing>
      </w:r>
    </w:p>
    <w:p w:rsidR="00CA6930" w:rsidRPr="00435A0A" w:rsidRDefault="00CA6930" w:rsidP="00CA6930"/>
    <w:p w:rsidR="00CA6930" w:rsidRDefault="00407AD0" w:rsidP="00407AD0">
      <w:pPr>
        <w:pStyle w:val="Caption"/>
        <w:jc w:val="left"/>
        <w:rPr>
          <w:sz w:val="20"/>
        </w:rPr>
      </w:pPr>
      <w:bookmarkStart w:id="236" w:name="_Ref283823995"/>
      <w:bookmarkStart w:id="237" w:name="_Toc302293566"/>
      <w:r w:rsidRPr="00541B4B">
        <w:rPr>
          <w:sz w:val="20"/>
        </w:rPr>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24</w:t>
      </w:r>
      <w:r w:rsidR="001060C2" w:rsidRPr="00541B4B">
        <w:rPr>
          <w:sz w:val="20"/>
        </w:rPr>
        <w:fldChar w:fldCharType="end"/>
      </w:r>
      <w:bookmarkEnd w:id="236"/>
      <w:r w:rsidR="006C4F35" w:rsidRPr="00541B4B">
        <w:rPr>
          <w:sz w:val="20"/>
        </w:rPr>
        <w:t xml:space="preserve">. </w:t>
      </w:r>
      <w:r w:rsidR="00EF12AA" w:rsidRPr="00541B4B">
        <w:rPr>
          <w:sz w:val="20"/>
        </w:rPr>
        <w:t>P</w:t>
      </w:r>
      <w:r w:rsidRPr="00541B4B">
        <w:rPr>
          <w:sz w:val="20"/>
        </w:rPr>
        <w:t xml:space="preserve">eople receiving jobseeker’s allowance and receiving NHS funded </w:t>
      </w:r>
      <w:r w:rsidR="00EE4F9E" w:rsidRPr="00541B4B">
        <w:rPr>
          <w:sz w:val="20"/>
        </w:rPr>
        <w:t>sight</w:t>
      </w:r>
      <w:r w:rsidRPr="00541B4B">
        <w:rPr>
          <w:sz w:val="20"/>
        </w:rPr>
        <w:t xml:space="preserve"> tests</w:t>
      </w:r>
      <w:bookmarkEnd w:id="237"/>
    </w:p>
    <w:p w:rsidR="004D3299" w:rsidRPr="004D3299" w:rsidRDefault="005C5909" w:rsidP="004D3299">
      <w:r>
        <w:rPr>
          <w:noProof/>
          <w:lang w:eastAsia="en-GB"/>
        </w:rPr>
        <w:drawing>
          <wp:inline distT="0" distB="0" distL="0" distR="0">
            <wp:extent cx="5768975" cy="1112219"/>
            <wp:effectExtent l="19050" t="0" r="3175" b="0"/>
            <wp:docPr id="6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srcRect/>
                    <a:stretch>
                      <a:fillRect/>
                    </a:stretch>
                  </pic:blipFill>
                  <pic:spPr bwMode="auto">
                    <a:xfrm>
                      <a:off x="0" y="0"/>
                      <a:ext cx="5768975" cy="1112219"/>
                    </a:xfrm>
                    <a:prstGeom prst="rect">
                      <a:avLst/>
                    </a:prstGeom>
                    <a:noFill/>
                    <a:ln w="9525">
                      <a:noFill/>
                      <a:miter lim="800000"/>
                      <a:headEnd/>
                      <a:tailEnd/>
                    </a:ln>
                  </pic:spPr>
                </pic:pic>
              </a:graphicData>
            </a:graphic>
          </wp:inline>
        </w:drawing>
      </w:r>
    </w:p>
    <w:p w:rsidR="004D3299" w:rsidRPr="004D3299" w:rsidRDefault="004D3299" w:rsidP="004D3299"/>
    <w:p w:rsidR="00A51672" w:rsidRDefault="00A51672" w:rsidP="00A51672">
      <w:pPr>
        <w:pStyle w:val="Caption"/>
        <w:jc w:val="both"/>
        <w:rPr>
          <w:sz w:val="20"/>
        </w:rPr>
      </w:pPr>
      <w:bookmarkStart w:id="238" w:name="_Ref283971663"/>
      <w:bookmarkStart w:id="239" w:name="_Toc302293567"/>
      <w:r w:rsidRPr="00541B4B">
        <w:rPr>
          <w:sz w:val="20"/>
        </w:rPr>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25</w:t>
      </w:r>
      <w:r w:rsidR="001060C2" w:rsidRPr="00541B4B">
        <w:rPr>
          <w:sz w:val="20"/>
        </w:rPr>
        <w:fldChar w:fldCharType="end"/>
      </w:r>
      <w:bookmarkEnd w:id="238"/>
      <w:r w:rsidR="006C4F35" w:rsidRPr="00541B4B">
        <w:rPr>
          <w:sz w:val="20"/>
        </w:rPr>
        <w:t xml:space="preserve">. </w:t>
      </w:r>
      <w:r w:rsidR="00EF12AA" w:rsidRPr="00541B4B">
        <w:rPr>
          <w:sz w:val="20"/>
        </w:rPr>
        <w:t>P</w:t>
      </w:r>
      <w:r w:rsidRPr="00541B4B">
        <w:rPr>
          <w:sz w:val="20"/>
        </w:rPr>
        <w:t xml:space="preserve">eople receiving income support and receiving NHS funded </w:t>
      </w:r>
      <w:r w:rsidR="00EE4F9E" w:rsidRPr="00541B4B">
        <w:rPr>
          <w:sz w:val="20"/>
        </w:rPr>
        <w:t>sight</w:t>
      </w:r>
      <w:r w:rsidRPr="00541B4B">
        <w:rPr>
          <w:sz w:val="20"/>
        </w:rPr>
        <w:t xml:space="preserve"> tests</w:t>
      </w:r>
      <w:bookmarkEnd w:id="239"/>
    </w:p>
    <w:p w:rsidR="004D3299" w:rsidRDefault="005C5909" w:rsidP="004D3299">
      <w:r>
        <w:rPr>
          <w:noProof/>
          <w:lang w:eastAsia="en-GB"/>
        </w:rPr>
        <w:drawing>
          <wp:inline distT="0" distB="0" distL="0" distR="0">
            <wp:extent cx="5768975" cy="1112219"/>
            <wp:effectExtent l="19050" t="0" r="3175" b="0"/>
            <wp:docPr id="6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print"/>
                    <a:srcRect/>
                    <a:stretch>
                      <a:fillRect/>
                    </a:stretch>
                  </pic:blipFill>
                  <pic:spPr bwMode="auto">
                    <a:xfrm>
                      <a:off x="0" y="0"/>
                      <a:ext cx="5768975" cy="1112219"/>
                    </a:xfrm>
                    <a:prstGeom prst="rect">
                      <a:avLst/>
                    </a:prstGeom>
                    <a:noFill/>
                    <a:ln w="9525">
                      <a:noFill/>
                      <a:miter lim="800000"/>
                      <a:headEnd/>
                      <a:tailEnd/>
                    </a:ln>
                  </pic:spPr>
                </pic:pic>
              </a:graphicData>
            </a:graphic>
          </wp:inline>
        </w:drawing>
      </w:r>
    </w:p>
    <w:p w:rsidR="00E22A0E" w:rsidRDefault="00E22A0E" w:rsidP="00E22A0E">
      <w:pPr>
        <w:pStyle w:val="Heading3"/>
      </w:pPr>
      <w:bookmarkStart w:id="240" w:name="_Ref287548548"/>
      <w:bookmarkStart w:id="241" w:name="_Toc291585885"/>
      <w:bookmarkStart w:id="242" w:name="_Toc302293471"/>
      <w:r>
        <w:t>Diabetic retinopathy screening</w:t>
      </w:r>
      <w:bookmarkEnd w:id="240"/>
      <w:bookmarkEnd w:id="241"/>
      <w:bookmarkEnd w:id="242"/>
    </w:p>
    <w:p w:rsidR="00E22A0E" w:rsidRDefault="00E22A0E" w:rsidP="0056216B">
      <w:pPr>
        <w:pStyle w:val="heading4verdana"/>
      </w:pPr>
      <w:r>
        <w:t>Data sources</w:t>
      </w:r>
    </w:p>
    <w:p w:rsidR="004D2EB1" w:rsidRDefault="001C7CED" w:rsidP="004D2EB1">
      <w:r>
        <w:t xml:space="preserve">QOF data </w:t>
      </w:r>
      <w:r w:rsidR="00575AE5">
        <w:t xml:space="preserve">(described </w:t>
      </w:r>
      <w:r w:rsidR="004D2EB1">
        <w:t>in</w:t>
      </w:r>
      <w:r w:rsidR="00575AE5">
        <w:t xml:space="preserve"> 5.1.3</w:t>
      </w:r>
      <w:r w:rsidR="004D2EB1">
        <w:t>) was used to estimate the uptake of diabetic retinop</w:t>
      </w:r>
      <w:r w:rsidR="006C4F35">
        <w:t xml:space="preserve">athy screening.  The indicator </w:t>
      </w:r>
      <w:r w:rsidR="004D2EB1">
        <w:t>DM 21</w:t>
      </w:r>
      <w:r w:rsidR="006C4F35">
        <w:t xml:space="preserve"> (t</w:t>
      </w:r>
      <w:r w:rsidR="004D2EB1" w:rsidRPr="00693922">
        <w:t xml:space="preserve">he </w:t>
      </w:r>
      <w:r w:rsidR="00976E79">
        <w:t>per cent</w:t>
      </w:r>
      <w:r w:rsidR="004D2EB1" w:rsidRPr="00693922">
        <w:t xml:space="preserve"> of patients with diabetes who have a record of retinal screening in the previous 15 months</w:t>
      </w:r>
      <w:r w:rsidR="006C4F35">
        <w:t xml:space="preserve">) was used. </w:t>
      </w:r>
    </w:p>
    <w:p w:rsidR="007E1583" w:rsidRDefault="007E1583" w:rsidP="0056216B">
      <w:r>
        <w:t xml:space="preserve">Data on uptake of diabetic retinopathy screening were </w:t>
      </w:r>
      <w:r w:rsidR="00CF1457">
        <w:t xml:space="preserve">also </w:t>
      </w:r>
      <w:r>
        <w:t xml:space="preserve">obtained from </w:t>
      </w:r>
      <w:r w:rsidR="006C4F35">
        <w:t>DRSSW</w:t>
      </w:r>
      <w:r w:rsidR="00CA19F4">
        <w:t xml:space="preserve"> </w:t>
      </w:r>
      <w:r>
        <w:t>for Cwm Taf</w:t>
      </w:r>
      <w:r w:rsidR="00031ACD">
        <w:t xml:space="preserve"> and Wales. </w:t>
      </w:r>
    </w:p>
    <w:p w:rsidR="007F5899" w:rsidRPr="00E959B2" w:rsidRDefault="00031ACD" w:rsidP="007F5899">
      <w:pPr>
        <w:rPr>
          <w:szCs w:val="24"/>
        </w:rPr>
      </w:pPr>
      <w:r>
        <w:t xml:space="preserve">Data on the number of outpatient appointments for people referred to secondary care following diabetic retinopathy screening were </w:t>
      </w:r>
      <w:r w:rsidR="007F5899" w:rsidRPr="00E959B2">
        <w:rPr>
          <w:color w:val="000000"/>
          <w:szCs w:val="24"/>
        </w:rPr>
        <w:t>available from the Myrddin information system via a Consultant Ophthalmologist in Cwm Taf.</w:t>
      </w:r>
    </w:p>
    <w:p w:rsidR="00E22A0E" w:rsidRDefault="00E22A0E" w:rsidP="0056216B">
      <w:pPr>
        <w:pStyle w:val="heading4verdana"/>
      </w:pPr>
      <w:r>
        <w:lastRenderedPageBreak/>
        <w:t>Data analysis</w:t>
      </w:r>
    </w:p>
    <w:p w:rsidR="007E1583" w:rsidRDefault="004D2EB1" w:rsidP="007E1583">
      <w:r>
        <w:t xml:space="preserve">Counts and </w:t>
      </w:r>
      <w:r w:rsidR="00976E79">
        <w:t>per cent</w:t>
      </w:r>
      <w:r>
        <w:t xml:space="preserve">s of screened, not screened, exceptions and exclusions from </w:t>
      </w:r>
      <w:r w:rsidRPr="004D2EB1">
        <w:t xml:space="preserve">QOF </w:t>
      </w:r>
      <w:r>
        <w:t xml:space="preserve">diabetic retinopathy </w:t>
      </w:r>
      <w:r w:rsidRPr="004D2EB1">
        <w:t>data were presented in graphs and on funnel plots to identify areas with unusually high or low levels of diabetic retinopathy screening.</w:t>
      </w:r>
      <w:r w:rsidR="00282D8C" w:rsidRPr="00282D8C">
        <w:t xml:space="preserve"> </w:t>
      </w:r>
      <w:r w:rsidR="00282D8C">
        <w:t>Exceptions are</w:t>
      </w:r>
      <w:r w:rsidR="001F6849">
        <w:t xml:space="preserve"> practice determined exclusions; there are a number of </w:t>
      </w:r>
      <w:r w:rsidR="000D4F91">
        <w:t>different</w:t>
      </w:r>
      <w:r w:rsidR="001F6849">
        <w:t xml:space="preserve"> reasons why a practice may except a patient such as </w:t>
      </w:r>
      <w:r w:rsidR="00282D8C">
        <w:t xml:space="preserve">the patient declined treatment or </w:t>
      </w:r>
      <w:r w:rsidR="0039079F">
        <w:t xml:space="preserve">the treatment or review is not </w:t>
      </w:r>
      <w:r w:rsidR="00282D8C">
        <w:t>clinically appropriate</w:t>
      </w:r>
      <w:r w:rsidR="0039079F">
        <w:t>.</w:t>
      </w:r>
      <w:r w:rsidR="000D4F91">
        <w:t xml:space="preserve"> The various reasons allowed for exception reporting are set out in the General Medical Services contract. </w:t>
      </w:r>
      <w:r w:rsidR="0039079F">
        <w:t xml:space="preserve"> </w:t>
      </w:r>
      <w:r w:rsidR="000D4F91">
        <w:t xml:space="preserve">Excluded patients </w:t>
      </w:r>
      <w:r w:rsidR="00362C0E" w:rsidRPr="00362C0E">
        <w:t xml:space="preserve">are </w:t>
      </w:r>
      <w:r w:rsidR="000D4F91">
        <w:t>definitional exclusions, for example if the QOF indicator was newly diagnosed angina, then perhaps 90</w:t>
      </w:r>
      <w:r w:rsidR="00CB30E2">
        <w:t xml:space="preserve"> </w:t>
      </w:r>
      <w:r w:rsidR="00976E79">
        <w:t>per cent</w:t>
      </w:r>
      <w:r w:rsidR="000D4F91">
        <w:t xml:space="preserve"> of those on the Coronary Heart Disease register would be excluded </w:t>
      </w:r>
      <w:r w:rsidR="00D85553">
        <w:t>for not meeting this definition (NHS Information Centre</w:t>
      </w:r>
      <w:r w:rsidR="006C4F35">
        <w:t>,</w:t>
      </w:r>
      <w:r w:rsidR="00D85553">
        <w:t xml:space="preserve"> 2011). </w:t>
      </w:r>
    </w:p>
    <w:p w:rsidR="00C07580" w:rsidRDefault="00E22A0E" w:rsidP="0056216B">
      <w:pPr>
        <w:pStyle w:val="heading4verdana"/>
      </w:pPr>
      <w:r w:rsidRPr="0056216B">
        <w:t>Results</w:t>
      </w:r>
      <w:r w:rsidR="00C07580">
        <w:t xml:space="preserve"> </w:t>
      </w:r>
    </w:p>
    <w:p w:rsidR="0065664B" w:rsidRDefault="00575AE5" w:rsidP="00D85669">
      <w:r>
        <w:t xml:space="preserve">Figure 15 </w:t>
      </w:r>
      <w:r w:rsidR="00D85669">
        <w:t>shows that in Cwm Taf, 86</w:t>
      </w:r>
      <w:r w:rsidR="00CB30E2">
        <w:t xml:space="preserve"> </w:t>
      </w:r>
      <w:r w:rsidR="00976E79">
        <w:t>per cent</w:t>
      </w:r>
      <w:r w:rsidR="00D85669">
        <w:t xml:space="preserve"> of people who </w:t>
      </w:r>
      <w:r w:rsidR="00CA19F4">
        <w:t xml:space="preserve">were </w:t>
      </w:r>
      <w:r w:rsidR="00D85669">
        <w:t xml:space="preserve">registered as having diabetes were screened in the previous 15 months. Of the people who </w:t>
      </w:r>
      <w:r w:rsidR="00CA19F4">
        <w:t>we</w:t>
      </w:r>
      <w:r w:rsidR="00D85669">
        <w:t xml:space="preserve">re registered as having diabetes and </w:t>
      </w:r>
      <w:r w:rsidR="00CA19F4">
        <w:t>were</w:t>
      </w:r>
      <w:r w:rsidR="00D85669">
        <w:t xml:space="preserve"> eligible for diabetic retinopathy screening (i.e. ignoring the </w:t>
      </w:r>
      <w:r w:rsidR="00282D8C">
        <w:t xml:space="preserve">exceptions) </w:t>
      </w:r>
      <w:r w:rsidR="00D85669">
        <w:t>93</w:t>
      </w:r>
      <w:r w:rsidR="00CB30E2">
        <w:t xml:space="preserve"> </w:t>
      </w:r>
      <w:r w:rsidR="00976E79">
        <w:t>per cent</w:t>
      </w:r>
      <w:r w:rsidR="00D85669">
        <w:t xml:space="preserve"> were screened in the previous 15 months. This is the same as the all </w:t>
      </w:r>
      <w:smartTag w:uri="urn:schemas-microsoft-com:office:smarttags" w:element="place">
        <w:smartTag w:uri="urn:schemas-microsoft-com:office:smarttags" w:element="country-region">
          <w:r w:rsidR="00D85669">
            <w:t>Wales</w:t>
          </w:r>
        </w:smartTag>
      </w:smartTag>
      <w:r w:rsidR="00D85669">
        <w:t xml:space="preserve"> figure.</w:t>
      </w:r>
    </w:p>
    <w:p w:rsidR="00C07580" w:rsidRDefault="00C07580" w:rsidP="00C07580">
      <w:pPr>
        <w:ind w:left="360"/>
      </w:pPr>
    </w:p>
    <w:p w:rsidR="00C07580" w:rsidRPr="00F36D22" w:rsidRDefault="00C07580" w:rsidP="00C07580">
      <w:pPr>
        <w:pStyle w:val="Caption"/>
        <w:jc w:val="left"/>
        <w:rPr>
          <w:sz w:val="20"/>
        </w:rPr>
      </w:pPr>
      <w:bookmarkStart w:id="243" w:name="_Ref282008008"/>
      <w:bookmarkStart w:id="244" w:name="_Toc291585922"/>
      <w:bookmarkStart w:id="245" w:name="_Toc292463299"/>
      <w:bookmarkStart w:id="246" w:name="_Toc302232626"/>
      <w:r w:rsidRPr="00541B4B">
        <w:rPr>
          <w:sz w:val="20"/>
        </w:rPr>
        <w:t xml:space="preserve">Figure </w:t>
      </w:r>
      <w:r w:rsidR="001060C2" w:rsidRPr="00541B4B">
        <w:rPr>
          <w:sz w:val="20"/>
        </w:rPr>
        <w:fldChar w:fldCharType="begin"/>
      </w:r>
      <w:r w:rsidRPr="00541B4B">
        <w:rPr>
          <w:sz w:val="20"/>
        </w:rPr>
        <w:instrText xml:space="preserve"> SEQ Figure \* ARABIC </w:instrText>
      </w:r>
      <w:r w:rsidR="001060C2" w:rsidRPr="00541B4B">
        <w:rPr>
          <w:sz w:val="20"/>
        </w:rPr>
        <w:fldChar w:fldCharType="separate"/>
      </w:r>
      <w:r w:rsidR="00F96900">
        <w:rPr>
          <w:noProof/>
          <w:sz w:val="20"/>
        </w:rPr>
        <w:t>15</w:t>
      </w:r>
      <w:r w:rsidR="001060C2" w:rsidRPr="00541B4B">
        <w:rPr>
          <w:sz w:val="20"/>
        </w:rPr>
        <w:fldChar w:fldCharType="end"/>
      </w:r>
      <w:bookmarkEnd w:id="243"/>
      <w:r w:rsidR="006C4F35" w:rsidRPr="00541B4B">
        <w:rPr>
          <w:sz w:val="20"/>
        </w:rPr>
        <w:t xml:space="preserve">. </w:t>
      </w:r>
      <w:r w:rsidRPr="00541B4B">
        <w:rPr>
          <w:sz w:val="20"/>
        </w:rPr>
        <w:t xml:space="preserve">Profile of diabetic retinopathy screening by </w:t>
      </w:r>
      <w:r w:rsidR="00194386" w:rsidRPr="00541B4B">
        <w:rPr>
          <w:sz w:val="20"/>
        </w:rPr>
        <w:t>h</w:t>
      </w:r>
      <w:r w:rsidRPr="00541B4B">
        <w:rPr>
          <w:sz w:val="20"/>
        </w:rPr>
        <w:t xml:space="preserve">ealth </w:t>
      </w:r>
      <w:r w:rsidR="00194386" w:rsidRPr="00541B4B">
        <w:rPr>
          <w:sz w:val="20"/>
        </w:rPr>
        <w:t>b</w:t>
      </w:r>
      <w:r w:rsidRPr="00541B4B">
        <w:rPr>
          <w:sz w:val="20"/>
        </w:rPr>
        <w:t xml:space="preserve">oard, </w:t>
      </w:r>
      <w:bookmarkEnd w:id="244"/>
      <w:bookmarkEnd w:id="245"/>
      <w:r w:rsidR="00541B4B" w:rsidRPr="00541B4B">
        <w:rPr>
          <w:sz w:val="20"/>
        </w:rPr>
        <w:t>2009</w:t>
      </w:r>
      <w:r w:rsidR="00541B4B">
        <w:rPr>
          <w:sz w:val="20"/>
        </w:rPr>
        <w:t>-2010</w:t>
      </w:r>
      <w:bookmarkEnd w:id="246"/>
    </w:p>
    <w:p w:rsidR="00C07580" w:rsidRDefault="007906AE" w:rsidP="00C07580">
      <w:r>
        <w:rPr>
          <w:noProof/>
          <w:lang w:eastAsia="en-GB"/>
        </w:rPr>
        <w:drawing>
          <wp:inline distT="0" distB="0" distL="0" distR="0">
            <wp:extent cx="5905500" cy="19812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 cstate="print"/>
                    <a:srcRect/>
                    <a:stretch>
                      <a:fillRect/>
                    </a:stretch>
                  </pic:blipFill>
                  <pic:spPr bwMode="auto">
                    <a:xfrm>
                      <a:off x="0" y="0"/>
                      <a:ext cx="5905500" cy="1981200"/>
                    </a:xfrm>
                    <a:prstGeom prst="rect">
                      <a:avLst/>
                    </a:prstGeom>
                    <a:noFill/>
                    <a:ln w="9525">
                      <a:noFill/>
                      <a:miter lim="800000"/>
                      <a:headEnd/>
                      <a:tailEnd/>
                    </a:ln>
                  </pic:spPr>
                </pic:pic>
              </a:graphicData>
            </a:graphic>
          </wp:inline>
        </w:drawing>
      </w:r>
    </w:p>
    <w:p w:rsidR="00541B4B" w:rsidRPr="00541B4B" w:rsidRDefault="00541B4B" w:rsidP="00D85669">
      <w:pPr>
        <w:rPr>
          <w:sz w:val="20"/>
        </w:rPr>
      </w:pPr>
      <w:bookmarkStart w:id="247" w:name="_Ref282079267"/>
      <w:bookmarkStart w:id="248" w:name="_Ref282005244"/>
      <w:r>
        <w:rPr>
          <w:sz w:val="20"/>
        </w:rPr>
        <w:t>Produced by Public Health Wales Observatory. Source: QOF 2009/10</w:t>
      </w:r>
    </w:p>
    <w:p w:rsidR="00D85669" w:rsidRPr="00317AA6" w:rsidRDefault="00575AE5" w:rsidP="00D85669">
      <w:pPr>
        <w:rPr>
          <w:i/>
        </w:rPr>
      </w:pPr>
      <w:r>
        <w:t xml:space="preserve">Figure 16 </w:t>
      </w:r>
      <w:r w:rsidR="00D85669">
        <w:t xml:space="preserve">shows that Merthyr Tydfil </w:t>
      </w:r>
      <w:r w:rsidR="00317AA6">
        <w:t xml:space="preserve">had </w:t>
      </w:r>
      <w:r w:rsidR="00D85669">
        <w:t xml:space="preserve">proportionately more exceptions than many of the other </w:t>
      </w:r>
      <w:r w:rsidR="00317AA6">
        <w:t>local authority</w:t>
      </w:r>
      <w:r w:rsidR="00D85669">
        <w:t xml:space="preserve"> areas. </w:t>
      </w:r>
      <w:r w:rsidR="000C38BB">
        <w:t xml:space="preserve">In </w:t>
      </w:r>
      <w:r w:rsidR="00A22A6F">
        <w:t xml:space="preserve">Merthyr Tydfil </w:t>
      </w:r>
      <w:r w:rsidR="000C38BB">
        <w:t xml:space="preserve">there are </w:t>
      </w:r>
      <w:r w:rsidR="00A22A6F">
        <w:t>11</w:t>
      </w:r>
      <w:r w:rsidR="00CB30E2">
        <w:t xml:space="preserve"> </w:t>
      </w:r>
      <w:r w:rsidR="00976E79">
        <w:t>per cent</w:t>
      </w:r>
      <w:r w:rsidR="00A22A6F">
        <w:t xml:space="preserve"> </w:t>
      </w:r>
      <w:r w:rsidR="000C38BB">
        <w:t>of exceptions and</w:t>
      </w:r>
      <w:r w:rsidR="00A22A6F">
        <w:t xml:space="preserve"> in Rhondda Cynon Taf the</w:t>
      </w:r>
      <w:r w:rsidR="000C38BB">
        <w:t xml:space="preserve">re are </w:t>
      </w:r>
      <w:r w:rsidR="00A22A6F">
        <w:t>6</w:t>
      </w:r>
      <w:r w:rsidR="00CB30E2">
        <w:t xml:space="preserve"> </w:t>
      </w:r>
      <w:r w:rsidR="00976E79">
        <w:t>per cent</w:t>
      </w:r>
      <w:r w:rsidR="000C38BB">
        <w:t xml:space="preserve"> of exceptions</w:t>
      </w:r>
      <w:r w:rsidR="00A22A6F">
        <w:t xml:space="preserve">. </w:t>
      </w:r>
      <w:r w:rsidR="003C227D">
        <w:t xml:space="preserve"> </w:t>
      </w:r>
      <w:r w:rsidR="004C08E7">
        <w:t xml:space="preserve">Anecdotally, </w:t>
      </w:r>
      <w:r w:rsidR="003C227D">
        <w:t xml:space="preserve">the difference between these two areas </w:t>
      </w:r>
      <w:r w:rsidR="004C08E7">
        <w:t xml:space="preserve">may be explained by </w:t>
      </w:r>
      <w:r w:rsidR="00317AA6">
        <w:t>practices in Merthyr Tydfil routinely except</w:t>
      </w:r>
      <w:r w:rsidR="004C08E7">
        <w:t>ing</w:t>
      </w:r>
      <w:r w:rsidR="00317AA6">
        <w:t xml:space="preserve"> patients when the</w:t>
      </w:r>
      <w:r w:rsidR="004C08E7">
        <w:t xml:space="preserve">ir screening status was unknown </w:t>
      </w:r>
      <w:r w:rsidR="00317AA6">
        <w:t>so that practices were not penalised for not meeting the QOF target</w:t>
      </w:r>
      <w:r w:rsidR="00D40F4C">
        <w:t>.</w:t>
      </w:r>
    </w:p>
    <w:p w:rsidR="00C07580" w:rsidRDefault="000E5702" w:rsidP="000E5702">
      <w:pPr>
        <w:pStyle w:val="Caption"/>
        <w:jc w:val="left"/>
        <w:rPr>
          <w:sz w:val="20"/>
        </w:rPr>
      </w:pPr>
      <w:bookmarkStart w:id="249" w:name="_Ref285892246"/>
      <w:bookmarkStart w:id="250" w:name="_Toc291585923"/>
      <w:bookmarkStart w:id="251" w:name="_Toc292463300"/>
      <w:bookmarkStart w:id="252" w:name="_Toc302232627"/>
      <w:r w:rsidRPr="00541B4B">
        <w:rPr>
          <w:sz w:val="20"/>
        </w:rPr>
        <w:lastRenderedPageBreak/>
        <w:t xml:space="preserve">Figure </w:t>
      </w:r>
      <w:r w:rsidR="001060C2" w:rsidRPr="00541B4B">
        <w:rPr>
          <w:sz w:val="20"/>
        </w:rPr>
        <w:fldChar w:fldCharType="begin"/>
      </w:r>
      <w:r w:rsidRPr="00541B4B">
        <w:rPr>
          <w:sz w:val="20"/>
        </w:rPr>
        <w:instrText xml:space="preserve"> SEQ Figure \* ARABIC </w:instrText>
      </w:r>
      <w:r w:rsidR="001060C2" w:rsidRPr="00541B4B">
        <w:rPr>
          <w:sz w:val="20"/>
        </w:rPr>
        <w:fldChar w:fldCharType="separate"/>
      </w:r>
      <w:r w:rsidR="00F96900">
        <w:rPr>
          <w:noProof/>
          <w:sz w:val="20"/>
        </w:rPr>
        <w:t>16</w:t>
      </w:r>
      <w:r w:rsidR="001060C2" w:rsidRPr="00541B4B">
        <w:rPr>
          <w:sz w:val="20"/>
        </w:rPr>
        <w:fldChar w:fldCharType="end"/>
      </w:r>
      <w:bookmarkEnd w:id="247"/>
      <w:bookmarkEnd w:id="249"/>
      <w:r w:rsidR="0090129D" w:rsidRPr="00541B4B">
        <w:rPr>
          <w:sz w:val="20"/>
        </w:rPr>
        <w:t xml:space="preserve">. </w:t>
      </w:r>
      <w:r w:rsidR="00C07580" w:rsidRPr="00541B4B">
        <w:rPr>
          <w:sz w:val="20"/>
        </w:rPr>
        <w:t xml:space="preserve">Profile of diabetic retinopathy screening by </w:t>
      </w:r>
      <w:r w:rsidR="008C6B6D" w:rsidRPr="00541B4B">
        <w:rPr>
          <w:sz w:val="20"/>
        </w:rPr>
        <w:t>l</w:t>
      </w:r>
      <w:r w:rsidR="009726D9" w:rsidRPr="00541B4B">
        <w:rPr>
          <w:sz w:val="20"/>
        </w:rPr>
        <w:t>ocal</w:t>
      </w:r>
      <w:r w:rsidR="00F435D0" w:rsidRPr="00541B4B">
        <w:rPr>
          <w:sz w:val="20"/>
        </w:rPr>
        <w:t xml:space="preserve"> </w:t>
      </w:r>
      <w:r w:rsidR="007B32C7" w:rsidRPr="00541B4B">
        <w:rPr>
          <w:sz w:val="20"/>
        </w:rPr>
        <w:t>authority</w:t>
      </w:r>
      <w:r w:rsidR="00C07580" w:rsidRPr="00541B4B">
        <w:rPr>
          <w:sz w:val="20"/>
        </w:rPr>
        <w:t xml:space="preserve">, </w:t>
      </w:r>
      <w:bookmarkEnd w:id="248"/>
      <w:bookmarkEnd w:id="250"/>
      <w:bookmarkEnd w:id="251"/>
      <w:r w:rsidR="00541B4B">
        <w:rPr>
          <w:sz w:val="20"/>
        </w:rPr>
        <w:t>2009-2010</w:t>
      </w:r>
      <w:bookmarkEnd w:id="252"/>
    </w:p>
    <w:p w:rsidR="00C07580" w:rsidRDefault="007906AE" w:rsidP="00C07580">
      <w:r>
        <w:rPr>
          <w:noProof/>
          <w:lang w:eastAsia="en-GB"/>
        </w:rPr>
        <w:drawing>
          <wp:inline distT="0" distB="0" distL="0" distR="0">
            <wp:extent cx="5762625" cy="20193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9" cstate="print"/>
                    <a:srcRect/>
                    <a:stretch>
                      <a:fillRect/>
                    </a:stretch>
                  </pic:blipFill>
                  <pic:spPr bwMode="auto">
                    <a:xfrm>
                      <a:off x="0" y="0"/>
                      <a:ext cx="5762625" cy="2019300"/>
                    </a:xfrm>
                    <a:prstGeom prst="rect">
                      <a:avLst/>
                    </a:prstGeom>
                    <a:noFill/>
                    <a:ln w="9525">
                      <a:noFill/>
                      <a:miter lim="800000"/>
                      <a:headEnd/>
                      <a:tailEnd/>
                    </a:ln>
                  </pic:spPr>
                </pic:pic>
              </a:graphicData>
            </a:graphic>
          </wp:inline>
        </w:drawing>
      </w:r>
    </w:p>
    <w:p w:rsidR="00541B4B" w:rsidRPr="00541B4B" w:rsidRDefault="00541B4B" w:rsidP="00541B4B">
      <w:pPr>
        <w:rPr>
          <w:sz w:val="20"/>
        </w:rPr>
      </w:pPr>
      <w:r>
        <w:rPr>
          <w:sz w:val="20"/>
        </w:rPr>
        <w:t>Produced by Public Health Wales Observatory. Source: QOF 2009/10</w:t>
      </w:r>
    </w:p>
    <w:p w:rsidR="00C07580" w:rsidRPr="005C7DEE" w:rsidRDefault="00C07580" w:rsidP="00C07580">
      <w:pPr>
        <w:rPr>
          <w:szCs w:val="24"/>
        </w:rPr>
      </w:pPr>
      <w:r w:rsidRPr="005C7DEE">
        <w:rPr>
          <w:szCs w:val="24"/>
        </w:rPr>
        <w:t xml:space="preserve">Even though the screening activity across Cwm Taf is generally high, there are a number of practices where screening activity is much lower than this. </w:t>
      </w:r>
    </w:p>
    <w:p w:rsidR="005C7DEE" w:rsidRPr="005C7DEE" w:rsidRDefault="00C07580" w:rsidP="005C7DEE">
      <w:pPr>
        <w:rPr>
          <w:szCs w:val="24"/>
        </w:rPr>
      </w:pPr>
      <w:r w:rsidRPr="005C7DEE">
        <w:rPr>
          <w:szCs w:val="24"/>
        </w:rPr>
        <w:t>The control chart</w:t>
      </w:r>
      <w:r w:rsidR="00DC6A68">
        <w:rPr>
          <w:szCs w:val="24"/>
        </w:rPr>
        <w:t>s</w:t>
      </w:r>
      <w:r w:rsidR="00FF1E39" w:rsidRPr="005C7DEE">
        <w:rPr>
          <w:szCs w:val="24"/>
        </w:rPr>
        <w:t xml:space="preserve"> </w:t>
      </w:r>
      <w:r w:rsidR="005C7DEE" w:rsidRPr="005C7DEE">
        <w:rPr>
          <w:szCs w:val="24"/>
        </w:rPr>
        <w:t>(</w:t>
      </w:r>
      <w:r w:rsidR="00575AE5">
        <w:rPr>
          <w:szCs w:val="24"/>
        </w:rPr>
        <w:t xml:space="preserve">Figures 17 and 18) </w:t>
      </w:r>
      <w:r w:rsidR="00FF1E39" w:rsidRPr="005C7DEE">
        <w:rPr>
          <w:szCs w:val="24"/>
        </w:rPr>
        <w:t>indicate</w:t>
      </w:r>
      <w:r w:rsidRPr="005C7DEE">
        <w:rPr>
          <w:szCs w:val="24"/>
        </w:rPr>
        <w:t xml:space="preserve"> practice activity against other practices in Wales for diabetic retinopathy screening ba</w:t>
      </w:r>
      <w:r w:rsidR="008C6B6D" w:rsidRPr="005C7DEE">
        <w:rPr>
          <w:szCs w:val="24"/>
        </w:rPr>
        <w:t>sed on the register as a whole and diabetic retinopathy screening based on diabetic patients on the register who were eligible for screening.</w:t>
      </w:r>
      <w:r w:rsidR="005C7DEE" w:rsidRPr="005C7DEE">
        <w:rPr>
          <w:szCs w:val="24"/>
        </w:rPr>
        <w:t xml:space="preserve"> </w:t>
      </w:r>
    </w:p>
    <w:p w:rsidR="008C6B6D" w:rsidRPr="005C7DEE" w:rsidRDefault="008C6B6D" w:rsidP="005C7DEE">
      <w:pPr>
        <w:rPr>
          <w:szCs w:val="24"/>
        </w:rPr>
      </w:pPr>
      <w:r w:rsidRPr="005C7DEE">
        <w:rPr>
          <w:szCs w:val="24"/>
        </w:rPr>
        <w:t xml:space="preserve">There were several GP practices with significantly high or low levels of diabetic retinopathy screening.  The USOAs in Cwm Taf in which these GP practices are situated are shown in </w:t>
      </w:r>
      <w:r w:rsidR="00575AE5">
        <w:rPr>
          <w:szCs w:val="24"/>
        </w:rPr>
        <w:t xml:space="preserve">Table 26 </w:t>
      </w:r>
      <w:r w:rsidR="00D85FC6" w:rsidRPr="005C7DEE">
        <w:rPr>
          <w:szCs w:val="24"/>
        </w:rPr>
        <w:t xml:space="preserve">when the whole register was considered and </w:t>
      </w:r>
      <w:r w:rsidR="00575AE5">
        <w:rPr>
          <w:szCs w:val="24"/>
        </w:rPr>
        <w:t xml:space="preserve">Table 27 </w:t>
      </w:r>
      <w:r w:rsidR="00D85FC6" w:rsidRPr="005C7DEE">
        <w:rPr>
          <w:szCs w:val="24"/>
        </w:rPr>
        <w:t>when only patient</w:t>
      </w:r>
      <w:r w:rsidR="008C212C" w:rsidRPr="005C7DEE">
        <w:rPr>
          <w:szCs w:val="24"/>
        </w:rPr>
        <w:t>s</w:t>
      </w:r>
      <w:r w:rsidR="00D85FC6" w:rsidRPr="005C7DEE">
        <w:rPr>
          <w:szCs w:val="24"/>
        </w:rPr>
        <w:t xml:space="preserve"> eligible for screening were considered.</w:t>
      </w:r>
      <w:r w:rsidRPr="005C7DEE">
        <w:rPr>
          <w:szCs w:val="24"/>
        </w:rPr>
        <w:t xml:space="preserve">  </w:t>
      </w:r>
    </w:p>
    <w:p w:rsidR="008C6B6D" w:rsidRPr="005C7DEE" w:rsidRDefault="00575AE5" w:rsidP="0065664B">
      <w:pPr>
        <w:rPr>
          <w:szCs w:val="24"/>
        </w:rPr>
      </w:pPr>
      <w:r>
        <w:rPr>
          <w:szCs w:val="24"/>
        </w:rPr>
        <w:t xml:space="preserve">Table 26 </w:t>
      </w:r>
      <w:r w:rsidR="0065664B" w:rsidRPr="005C7DEE">
        <w:rPr>
          <w:szCs w:val="24"/>
        </w:rPr>
        <w:t xml:space="preserve">and </w:t>
      </w:r>
      <w:r>
        <w:rPr>
          <w:szCs w:val="24"/>
        </w:rPr>
        <w:t xml:space="preserve">Table 27 </w:t>
      </w:r>
      <w:r w:rsidR="0065664B" w:rsidRPr="005C7DEE">
        <w:rPr>
          <w:szCs w:val="24"/>
        </w:rPr>
        <w:t xml:space="preserve">show that </w:t>
      </w:r>
      <w:r w:rsidR="007808FE" w:rsidRPr="005C7DEE">
        <w:rPr>
          <w:szCs w:val="24"/>
        </w:rPr>
        <w:t xml:space="preserve">several </w:t>
      </w:r>
      <w:r w:rsidR="00E761E7">
        <w:rPr>
          <w:szCs w:val="24"/>
        </w:rPr>
        <w:t>practices situated in RCT</w:t>
      </w:r>
      <w:r w:rsidR="0065664B" w:rsidRPr="005C7DEE">
        <w:rPr>
          <w:szCs w:val="24"/>
        </w:rPr>
        <w:t>02 have significantly low levels of diabetic retinopathy screening uptake when people on the diabetes register are considered and people on the diabetes register who qualify for screening are considered.  A high n</w:t>
      </w:r>
      <w:r w:rsidR="00E761E7">
        <w:rPr>
          <w:szCs w:val="24"/>
        </w:rPr>
        <w:t>umber of practices in USOAs RCT</w:t>
      </w:r>
      <w:r w:rsidR="0065664B" w:rsidRPr="005C7DEE">
        <w:rPr>
          <w:szCs w:val="24"/>
        </w:rPr>
        <w:t>03, 04 and 06 have significantly high levels of diabetic retinopathy screening uptake when people on the diabetes register are considered and people on the diabetes register who qualify for screening are considered.</w:t>
      </w:r>
    </w:p>
    <w:p w:rsidR="008C6B6D" w:rsidRPr="005C7DEE" w:rsidRDefault="008C6B6D" w:rsidP="008C6B6D">
      <w:pPr>
        <w:rPr>
          <w:szCs w:val="24"/>
        </w:rPr>
      </w:pPr>
      <w:r w:rsidRPr="005C7DEE">
        <w:rPr>
          <w:szCs w:val="24"/>
        </w:rPr>
        <w:t xml:space="preserve">One </w:t>
      </w:r>
      <w:r w:rsidRPr="006C4F35">
        <w:rPr>
          <w:szCs w:val="24"/>
        </w:rPr>
        <w:t xml:space="preserve">practice in USOA RCT01* </w:t>
      </w:r>
      <w:r w:rsidR="006C4F35" w:rsidRPr="006C4F35">
        <w:rPr>
          <w:szCs w:val="24"/>
        </w:rPr>
        <w:t>(</w:t>
      </w:r>
      <w:r w:rsidR="006C4F35">
        <w:rPr>
          <w:szCs w:val="24"/>
        </w:rPr>
        <w:t>see</w:t>
      </w:r>
      <w:r w:rsidR="00575AE5">
        <w:rPr>
          <w:szCs w:val="24"/>
        </w:rPr>
        <w:t xml:space="preserve"> Table 26</w:t>
      </w:r>
      <w:r w:rsidR="006C4F35" w:rsidRPr="006C4F35">
        <w:rPr>
          <w:szCs w:val="24"/>
        </w:rPr>
        <w:t>)</w:t>
      </w:r>
      <w:r w:rsidR="006C4F35">
        <w:rPr>
          <w:szCs w:val="24"/>
        </w:rPr>
        <w:t xml:space="preserve"> </w:t>
      </w:r>
      <w:r w:rsidRPr="005C7DEE">
        <w:rPr>
          <w:szCs w:val="24"/>
        </w:rPr>
        <w:t xml:space="preserve">had a significantly higher EASR of diabetes in its practice population and a significantly lower </w:t>
      </w:r>
      <w:r w:rsidR="00976E79">
        <w:rPr>
          <w:szCs w:val="24"/>
        </w:rPr>
        <w:t>per cent</w:t>
      </w:r>
      <w:r w:rsidRPr="005C7DEE">
        <w:rPr>
          <w:szCs w:val="24"/>
        </w:rPr>
        <w:t xml:space="preserve"> of diabetic patients received diabetic retinopathy screening. </w:t>
      </w:r>
    </w:p>
    <w:p w:rsidR="007808FE" w:rsidRDefault="007808FE" w:rsidP="007808FE">
      <w:r w:rsidRPr="005C7DEE">
        <w:rPr>
          <w:szCs w:val="24"/>
        </w:rPr>
        <w:t>There are several issues with using QOF data for diabetic retinopathy screening uptake.  In the</w:t>
      </w:r>
      <w:r w:rsidR="006C4F35">
        <w:rPr>
          <w:szCs w:val="24"/>
        </w:rPr>
        <w:t>ory, if a patient is marked as screened</w:t>
      </w:r>
      <w:r w:rsidRPr="005C7DEE">
        <w:rPr>
          <w:szCs w:val="24"/>
        </w:rPr>
        <w:t xml:space="preserve"> by the GP, this should mean that the patient actually received diabetic</w:t>
      </w:r>
      <w:r>
        <w:t xml:space="preserve"> retinopathy screening.  </w:t>
      </w:r>
      <w:r w:rsidR="005A02D4">
        <w:t xml:space="preserve">Anecdotally, </w:t>
      </w:r>
      <w:r>
        <w:t xml:space="preserve">in practice, GPs may not receive information from </w:t>
      </w:r>
      <w:r>
        <w:lastRenderedPageBreak/>
        <w:t xml:space="preserve">DRSSW to ascertain whether screening had been undertaken. Therefore, </w:t>
      </w:r>
      <w:r w:rsidR="006C4F35">
        <w:t xml:space="preserve">some patients may be marked as </w:t>
      </w:r>
      <w:r>
        <w:t>exceptions, as i</w:t>
      </w:r>
      <w:r w:rsidR="006C4F35">
        <w:t>n Merthyr Tydfil, or screened</w:t>
      </w:r>
      <w:r>
        <w:t xml:space="preserve">, which could lead to a falsely high uptake of screening if those patients had not actually received screening.  </w:t>
      </w:r>
    </w:p>
    <w:p w:rsidR="007808FE" w:rsidRDefault="007808FE" w:rsidP="00C07580">
      <w:pPr>
        <w:pStyle w:val="Caption"/>
        <w:jc w:val="left"/>
        <w:rPr>
          <w:sz w:val="20"/>
        </w:rPr>
      </w:pPr>
      <w:bookmarkStart w:id="253" w:name="_Ref283986374"/>
    </w:p>
    <w:p w:rsidR="00C07580" w:rsidRPr="0055328F" w:rsidRDefault="00C07580" w:rsidP="00C07580">
      <w:pPr>
        <w:pStyle w:val="Caption"/>
        <w:jc w:val="left"/>
        <w:rPr>
          <w:sz w:val="20"/>
        </w:rPr>
      </w:pPr>
      <w:bookmarkStart w:id="254" w:name="_Ref291577879"/>
      <w:bookmarkStart w:id="255" w:name="_Toc291585924"/>
      <w:bookmarkStart w:id="256" w:name="_Toc292463301"/>
      <w:bookmarkStart w:id="257" w:name="_Toc302232628"/>
      <w:r w:rsidRPr="0055328F">
        <w:rPr>
          <w:sz w:val="20"/>
        </w:rPr>
        <w:t xml:space="preserve">Figure </w:t>
      </w:r>
      <w:r w:rsidR="001060C2" w:rsidRPr="0055328F">
        <w:rPr>
          <w:sz w:val="20"/>
        </w:rPr>
        <w:fldChar w:fldCharType="begin"/>
      </w:r>
      <w:r w:rsidRPr="0055328F">
        <w:rPr>
          <w:sz w:val="20"/>
        </w:rPr>
        <w:instrText xml:space="preserve"> SEQ Figure \* ARABIC </w:instrText>
      </w:r>
      <w:r w:rsidR="001060C2" w:rsidRPr="0055328F">
        <w:rPr>
          <w:sz w:val="20"/>
        </w:rPr>
        <w:fldChar w:fldCharType="separate"/>
      </w:r>
      <w:r w:rsidR="00F96900">
        <w:rPr>
          <w:noProof/>
          <w:sz w:val="20"/>
        </w:rPr>
        <w:t>17</w:t>
      </w:r>
      <w:r w:rsidR="001060C2" w:rsidRPr="0055328F">
        <w:rPr>
          <w:sz w:val="20"/>
        </w:rPr>
        <w:fldChar w:fldCharType="end"/>
      </w:r>
      <w:bookmarkEnd w:id="253"/>
      <w:bookmarkEnd w:id="254"/>
      <w:r w:rsidR="006C4F35">
        <w:rPr>
          <w:sz w:val="20"/>
        </w:rPr>
        <w:t xml:space="preserve">. </w:t>
      </w:r>
      <w:r w:rsidRPr="0055328F">
        <w:rPr>
          <w:sz w:val="20"/>
        </w:rPr>
        <w:t xml:space="preserve">Control chart showing </w:t>
      </w:r>
      <w:r w:rsidR="00976E79">
        <w:rPr>
          <w:sz w:val="20"/>
        </w:rPr>
        <w:t>per cent</w:t>
      </w:r>
      <w:r w:rsidRPr="0055328F">
        <w:rPr>
          <w:sz w:val="20"/>
        </w:rPr>
        <w:t xml:space="preserve"> of </w:t>
      </w:r>
      <w:r w:rsidR="008C639D">
        <w:rPr>
          <w:sz w:val="20"/>
        </w:rPr>
        <w:t xml:space="preserve">diabetic </w:t>
      </w:r>
      <w:r w:rsidRPr="0055328F">
        <w:rPr>
          <w:sz w:val="20"/>
        </w:rPr>
        <w:t>patients screened for diabetic retinopathy</w:t>
      </w:r>
      <w:r w:rsidR="00D90D15">
        <w:rPr>
          <w:sz w:val="20"/>
        </w:rPr>
        <w:t xml:space="preserve">, </w:t>
      </w:r>
      <w:r>
        <w:rPr>
          <w:sz w:val="20"/>
        </w:rPr>
        <w:t xml:space="preserve">GP practices, </w:t>
      </w:r>
      <w:bookmarkEnd w:id="255"/>
      <w:bookmarkEnd w:id="256"/>
      <w:r w:rsidR="00D90D15">
        <w:rPr>
          <w:sz w:val="20"/>
        </w:rPr>
        <w:t>Wales, 2009-2010</w:t>
      </w:r>
      <w:bookmarkEnd w:id="257"/>
    </w:p>
    <w:p w:rsidR="00541B4B" w:rsidRDefault="00541B4B" w:rsidP="00C07580">
      <w:r w:rsidRPr="00541B4B">
        <w:rPr>
          <w:noProof/>
          <w:lang w:eastAsia="en-GB"/>
        </w:rPr>
        <w:drawing>
          <wp:inline distT="0" distB="0" distL="0" distR="0">
            <wp:extent cx="5734050" cy="3724275"/>
            <wp:effectExtent l="0" t="0" r="0" b="0"/>
            <wp:docPr id="33"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0" cstate="print"/>
                    <a:srcRect t="5430" b="6109"/>
                    <a:stretch>
                      <a:fillRect/>
                    </a:stretch>
                  </pic:blipFill>
                  <pic:spPr bwMode="auto">
                    <a:xfrm>
                      <a:off x="0" y="0"/>
                      <a:ext cx="5734050" cy="3724275"/>
                    </a:xfrm>
                    <a:prstGeom prst="rect">
                      <a:avLst/>
                    </a:prstGeom>
                    <a:noFill/>
                    <a:ln w="9525">
                      <a:noFill/>
                      <a:miter lim="800000"/>
                      <a:headEnd/>
                      <a:tailEnd/>
                    </a:ln>
                  </pic:spPr>
                </pic:pic>
              </a:graphicData>
            </a:graphic>
          </wp:inline>
        </w:drawing>
      </w:r>
    </w:p>
    <w:p w:rsidR="00541B4B" w:rsidRPr="00541B4B" w:rsidRDefault="00541B4B" w:rsidP="00541B4B">
      <w:pPr>
        <w:rPr>
          <w:sz w:val="20"/>
        </w:rPr>
      </w:pPr>
      <w:r>
        <w:rPr>
          <w:sz w:val="20"/>
        </w:rPr>
        <w:t>Produced by Public Health Wales Observatory. Source: QOF 2009/10</w:t>
      </w:r>
    </w:p>
    <w:p w:rsidR="00C07580" w:rsidRPr="00541B4B" w:rsidRDefault="00C07580" w:rsidP="00541B4B"/>
    <w:p w:rsidR="008C6B6D" w:rsidRPr="008C639D" w:rsidRDefault="008C6B6D" w:rsidP="008C6B6D">
      <w:pPr>
        <w:pStyle w:val="Caption"/>
        <w:jc w:val="left"/>
        <w:rPr>
          <w:sz w:val="20"/>
        </w:rPr>
      </w:pPr>
      <w:bookmarkStart w:id="258" w:name="_Ref287547359"/>
      <w:bookmarkStart w:id="259" w:name="_Toc291585925"/>
      <w:bookmarkStart w:id="260" w:name="_Toc292463302"/>
      <w:bookmarkStart w:id="261" w:name="_Toc302232629"/>
      <w:r w:rsidRPr="008C639D">
        <w:rPr>
          <w:sz w:val="20"/>
        </w:rPr>
        <w:lastRenderedPageBreak/>
        <w:t xml:space="preserve">Figure </w:t>
      </w:r>
      <w:r w:rsidR="001060C2" w:rsidRPr="008C639D">
        <w:rPr>
          <w:sz w:val="20"/>
        </w:rPr>
        <w:fldChar w:fldCharType="begin"/>
      </w:r>
      <w:r w:rsidRPr="008C639D">
        <w:rPr>
          <w:sz w:val="20"/>
        </w:rPr>
        <w:instrText xml:space="preserve"> SEQ Figure \* ARABIC </w:instrText>
      </w:r>
      <w:r w:rsidR="001060C2" w:rsidRPr="008C639D">
        <w:rPr>
          <w:sz w:val="20"/>
        </w:rPr>
        <w:fldChar w:fldCharType="separate"/>
      </w:r>
      <w:r w:rsidR="00F96900">
        <w:rPr>
          <w:noProof/>
          <w:sz w:val="20"/>
        </w:rPr>
        <w:t>18</w:t>
      </w:r>
      <w:r w:rsidR="001060C2" w:rsidRPr="008C639D">
        <w:rPr>
          <w:sz w:val="20"/>
        </w:rPr>
        <w:fldChar w:fldCharType="end"/>
      </w:r>
      <w:bookmarkEnd w:id="258"/>
      <w:r w:rsidR="006C4F35">
        <w:rPr>
          <w:sz w:val="20"/>
        </w:rPr>
        <w:t xml:space="preserve">. </w:t>
      </w:r>
      <w:r w:rsidRPr="008C639D">
        <w:rPr>
          <w:sz w:val="20"/>
        </w:rPr>
        <w:t>Control chart showing</w:t>
      </w:r>
      <w:r w:rsidR="00CB30E2">
        <w:rPr>
          <w:sz w:val="20"/>
        </w:rPr>
        <w:t xml:space="preserve"> </w:t>
      </w:r>
      <w:r w:rsidR="00976E79">
        <w:rPr>
          <w:sz w:val="20"/>
        </w:rPr>
        <w:t>per cent</w:t>
      </w:r>
      <w:r w:rsidRPr="008C639D">
        <w:rPr>
          <w:sz w:val="20"/>
        </w:rPr>
        <w:t xml:space="preserve"> of qualifying </w:t>
      </w:r>
      <w:r>
        <w:rPr>
          <w:sz w:val="20"/>
        </w:rPr>
        <w:t xml:space="preserve">diabetic </w:t>
      </w:r>
      <w:r w:rsidRPr="008C639D">
        <w:rPr>
          <w:sz w:val="20"/>
        </w:rPr>
        <w:t>patients screened for diabetic retinopathy in GP practices, Wales</w:t>
      </w:r>
      <w:bookmarkEnd w:id="259"/>
      <w:bookmarkEnd w:id="260"/>
      <w:r w:rsidR="00D90D15">
        <w:rPr>
          <w:sz w:val="20"/>
        </w:rPr>
        <w:t>, 2009-2010</w:t>
      </w:r>
      <w:bookmarkEnd w:id="261"/>
    </w:p>
    <w:p w:rsidR="008C6B6D" w:rsidRDefault="00541B4B" w:rsidP="008C6B6D">
      <w:r w:rsidRPr="00541B4B">
        <w:rPr>
          <w:noProof/>
          <w:lang w:eastAsia="en-GB"/>
        </w:rPr>
        <w:drawing>
          <wp:inline distT="0" distB="0" distL="0" distR="0">
            <wp:extent cx="5562600" cy="3562350"/>
            <wp:effectExtent l="0" t="0" r="0" b="0"/>
            <wp:docPr id="3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1" cstate="print"/>
                    <a:srcRect t="6323" b="6089"/>
                    <a:stretch>
                      <a:fillRect/>
                    </a:stretch>
                  </pic:blipFill>
                  <pic:spPr bwMode="auto">
                    <a:xfrm>
                      <a:off x="0" y="0"/>
                      <a:ext cx="5562600" cy="3562350"/>
                    </a:xfrm>
                    <a:prstGeom prst="rect">
                      <a:avLst/>
                    </a:prstGeom>
                    <a:noFill/>
                    <a:ln w="9525">
                      <a:noFill/>
                      <a:miter lim="800000"/>
                      <a:headEnd/>
                      <a:tailEnd/>
                    </a:ln>
                  </pic:spPr>
                </pic:pic>
              </a:graphicData>
            </a:graphic>
          </wp:inline>
        </w:drawing>
      </w:r>
    </w:p>
    <w:p w:rsidR="00541B4B" w:rsidRPr="00541B4B" w:rsidRDefault="00541B4B" w:rsidP="00541B4B">
      <w:pPr>
        <w:rPr>
          <w:sz w:val="20"/>
        </w:rPr>
      </w:pPr>
      <w:r>
        <w:rPr>
          <w:sz w:val="20"/>
        </w:rPr>
        <w:t>Produced by Public Health Wales Observatory. Source: QOF 2009/10</w:t>
      </w:r>
    </w:p>
    <w:p w:rsidR="00CC2DF1" w:rsidRDefault="00CC2DF1" w:rsidP="00C07580">
      <w:pPr>
        <w:pStyle w:val="Caption"/>
        <w:jc w:val="left"/>
        <w:rPr>
          <w:sz w:val="20"/>
        </w:rPr>
      </w:pPr>
      <w:bookmarkStart w:id="262" w:name="_Ref283986569"/>
    </w:p>
    <w:p w:rsidR="00CC2DF1" w:rsidRDefault="00CC2DF1">
      <w:pPr>
        <w:spacing w:before="0"/>
        <w:jc w:val="left"/>
        <w:rPr>
          <w:b/>
          <w:sz w:val="20"/>
        </w:rPr>
      </w:pPr>
      <w:r>
        <w:rPr>
          <w:sz w:val="20"/>
        </w:rPr>
        <w:br w:type="page"/>
      </w:r>
    </w:p>
    <w:p w:rsidR="00C07580" w:rsidRPr="00E60D9D" w:rsidRDefault="00C07580" w:rsidP="00C07580">
      <w:pPr>
        <w:pStyle w:val="Caption"/>
        <w:jc w:val="left"/>
        <w:rPr>
          <w:sz w:val="20"/>
        </w:rPr>
      </w:pPr>
      <w:bookmarkStart w:id="263" w:name="_Toc302293568"/>
      <w:r w:rsidRPr="00E60D9D">
        <w:rPr>
          <w:sz w:val="20"/>
        </w:rPr>
        <w:lastRenderedPageBreak/>
        <w:t xml:space="preserve">Table </w:t>
      </w:r>
      <w:r w:rsidR="001060C2" w:rsidRPr="00E60D9D">
        <w:rPr>
          <w:sz w:val="20"/>
        </w:rPr>
        <w:fldChar w:fldCharType="begin"/>
      </w:r>
      <w:r w:rsidRPr="00E60D9D">
        <w:rPr>
          <w:sz w:val="20"/>
        </w:rPr>
        <w:instrText xml:space="preserve"> SEQ Table \* ARABIC </w:instrText>
      </w:r>
      <w:r w:rsidR="001060C2" w:rsidRPr="00E60D9D">
        <w:rPr>
          <w:sz w:val="20"/>
        </w:rPr>
        <w:fldChar w:fldCharType="separate"/>
      </w:r>
      <w:r w:rsidR="00F96900">
        <w:rPr>
          <w:noProof/>
          <w:sz w:val="20"/>
        </w:rPr>
        <w:t>26</w:t>
      </w:r>
      <w:r w:rsidR="001060C2" w:rsidRPr="00E60D9D">
        <w:rPr>
          <w:sz w:val="20"/>
        </w:rPr>
        <w:fldChar w:fldCharType="end"/>
      </w:r>
      <w:bookmarkEnd w:id="262"/>
      <w:r w:rsidR="006C4F35">
        <w:rPr>
          <w:sz w:val="20"/>
        </w:rPr>
        <w:t xml:space="preserve">. </w:t>
      </w:r>
      <w:r w:rsidRPr="00E60D9D">
        <w:rPr>
          <w:sz w:val="20"/>
        </w:rPr>
        <w:t xml:space="preserve"> GP practices in Cwm Taf with significantly high</w:t>
      </w:r>
      <w:r w:rsidR="00703CEA">
        <w:rPr>
          <w:sz w:val="20"/>
        </w:rPr>
        <w:t xml:space="preserve"> or low </w:t>
      </w:r>
      <w:r w:rsidR="00976E79">
        <w:rPr>
          <w:sz w:val="20"/>
        </w:rPr>
        <w:t>per cent</w:t>
      </w:r>
      <w:r w:rsidR="00703CEA">
        <w:rPr>
          <w:sz w:val="20"/>
        </w:rPr>
        <w:t xml:space="preserve"> of diabetic</w:t>
      </w:r>
      <w:r w:rsidRPr="00E60D9D">
        <w:rPr>
          <w:sz w:val="20"/>
        </w:rPr>
        <w:t xml:space="preserve"> patients </w:t>
      </w:r>
      <w:r w:rsidR="00D751BC">
        <w:rPr>
          <w:sz w:val="20"/>
        </w:rPr>
        <w:t xml:space="preserve">who </w:t>
      </w:r>
      <w:r w:rsidRPr="00E60D9D">
        <w:rPr>
          <w:sz w:val="20"/>
        </w:rPr>
        <w:t>receiv</w:t>
      </w:r>
      <w:r w:rsidR="00D751BC">
        <w:rPr>
          <w:sz w:val="20"/>
        </w:rPr>
        <w:t>ed</w:t>
      </w:r>
      <w:r w:rsidRPr="00E60D9D">
        <w:rPr>
          <w:sz w:val="20"/>
        </w:rPr>
        <w:t xml:space="preserve"> diabetic retinopathy screening</w:t>
      </w:r>
      <w:bookmarkEnd w:id="263"/>
    </w:p>
    <w:p w:rsidR="00C07580" w:rsidRDefault="00C07580" w:rsidP="00C07580"/>
    <w:tbl>
      <w:tblPr>
        <w:tblW w:w="88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01"/>
        <w:gridCol w:w="2201"/>
        <w:gridCol w:w="2201"/>
        <w:gridCol w:w="2201"/>
      </w:tblGrid>
      <w:tr w:rsidR="00BB5324" w:rsidRPr="004F52D7" w:rsidTr="00666F95">
        <w:trPr>
          <w:trHeight w:val="255"/>
        </w:trPr>
        <w:tc>
          <w:tcPr>
            <w:tcW w:w="2201" w:type="dxa"/>
          </w:tcPr>
          <w:p w:rsidR="00BB5324" w:rsidRDefault="005C7DEE" w:rsidP="00BC5B40">
            <w:pPr>
              <w:spacing w:before="0"/>
              <w:jc w:val="left"/>
              <w:rPr>
                <w:rFonts w:cs="Arial"/>
                <w:b/>
                <w:sz w:val="20"/>
                <w:lang w:eastAsia="en-GB"/>
              </w:rPr>
            </w:pPr>
            <w:r>
              <w:rPr>
                <w:rFonts w:cs="Arial"/>
                <w:b/>
                <w:sz w:val="20"/>
                <w:lang w:eastAsia="en-GB"/>
              </w:rPr>
              <w:t>USOA in which practice based</w:t>
            </w:r>
          </w:p>
        </w:tc>
        <w:tc>
          <w:tcPr>
            <w:tcW w:w="2201" w:type="dxa"/>
            <w:shd w:val="clear" w:color="auto" w:fill="auto"/>
            <w:noWrap/>
          </w:tcPr>
          <w:p w:rsidR="00BB5324" w:rsidRPr="004F52D7" w:rsidRDefault="00BB5324" w:rsidP="00BC5B40">
            <w:pPr>
              <w:spacing w:before="0"/>
              <w:jc w:val="left"/>
              <w:rPr>
                <w:rFonts w:cs="Arial"/>
                <w:b/>
                <w:sz w:val="20"/>
                <w:lang w:eastAsia="en-GB"/>
              </w:rPr>
            </w:pPr>
            <w:r w:rsidRPr="004F52D7">
              <w:rPr>
                <w:rFonts w:cs="Arial"/>
                <w:b/>
                <w:sz w:val="20"/>
                <w:lang w:eastAsia="en-GB"/>
              </w:rPr>
              <w:t>Number</w:t>
            </w:r>
            <w:r>
              <w:rPr>
                <w:rFonts w:cs="Arial"/>
                <w:b/>
                <w:sz w:val="20"/>
                <w:lang w:eastAsia="en-GB"/>
              </w:rPr>
              <w:t xml:space="preserve"> screened</w:t>
            </w:r>
          </w:p>
        </w:tc>
        <w:tc>
          <w:tcPr>
            <w:tcW w:w="2201" w:type="dxa"/>
            <w:shd w:val="clear" w:color="auto" w:fill="auto"/>
            <w:noWrap/>
          </w:tcPr>
          <w:p w:rsidR="00BB5324" w:rsidRPr="004F52D7" w:rsidRDefault="008C639D" w:rsidP="008C639D">
            <w:pPr>
              <w:spacing w:before="0"/>
              <w:jc w:val="left"/>
              <w:rPr>
                <w:rFonts w:cs="Arial"/>
                <w:b/>
                <w:sz w:val="20"/>
                <w:lang w:eastAsia="en-GB"/>
              </w:rPr>
            </w:pPr>
            <w:r>
              <w:rPr>
                <w:rFonts w:cs="Arial"/>
                <w:b/>
                <w:sz w:val="20"/>
                <w:lang w:eastAsia="en-GB"/>
              </w:rPr>
              <w:t xml:space="preserve">Number on diabetes register </w:t>
            </w:r>
          </w:p>
        </w:tc>
        <w:tc>
          <w:tcPr>
            <w:tcW w:w="2201" w:type="dxa"/>
            <w:shd w:val="clear" w:color="auto" w:fill="auto"/>
            <w:noWrap/>
          </w:tcPr>
          <w:p w:rsidR="00BB5324" w:rsidRPr="004F52D7" w:rsidRDefault="005C7DEE" w:rsidP="00BC5B40">
            <w:pPr>
              <w:spacing w:before="0"/>
              <w:jc w:val="left"/>
              <w:rPr>
                <w:rFonts w:cs="Arial"/>
                <w:b/>
                <w:sz w:val="20"/>
                <w:lang w:eastAsia="en-GB"/>
              </w:rPr>
            </w:pPr>
            <w:r>
              <w:rPr>
                <w:rFonts w:cs="Arial"/>
                <w:b/>
                <w:sz w:val="20"/>
                <w:lang w:eastAsia="en-GB"/>
              </w:rPr>
              <w:t xml:space="preserve">Level of screening </w:t>
            </w:r>
            <w:r w:rsidR="00BB5324">
              <w:rPr>
                <w:rFonts w:cs="Arial"/>
                <w:b/>
                <w:sz w:val="20"/>
                <w:lang w:eastAsia="en-GB"/>
              </w:rPr>
              <w:t>s</w:t>
            </w:r>
            <w:r w:rsidR="00BB5324" w:rsidRPr="004F52D7">
              <w:rPr>
                <w:rFonts w:cs="Arial"/>
                <w:b/>
                <w:sz w:val="20"/>
                <w:lang w:eastAsia="en-GB"/>
              </w:rPr>
              <w:t>ignificance</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Merthyr02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335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437</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Merthyr02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214</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277</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Merthyr01</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395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549</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RCT07</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519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633</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RCT01*</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165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210</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217</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297</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144</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192</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168</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227</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67</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101</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139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193</w:t>
            </w:r>
          </w:p>
        </w:tc>
        <w:tc>
          <w:tcPr>
            <w:tcW w:w="2201" w:type="dxa"/>
            <w:shd w:val="clear" w:color="auto" w:fill="auto"/>
            <w:noWrap/>
            <w:vAlign w:val="bottom"/>
          </w:tcPr>
          <w:p w:rsidR="00BB5324" w:rsidRPr="00431A02" w:rsidRDefault="00BB5324" w:rsidP="00BC5B40">
            <w:pPr>
              <w:spacing w:before="0"/>
              <w:jc w:val="left"/>
              <w:rPr>
                <w:rFonts w:cs="Arial"/>
                <w:b/>
                <w:sz w:val="20"/>
                <w:lang w:eastAsia="en-GB"/>
              </w:rPr>
            </w:pPr>
            <w:r w:rsidRPr="00431A02">
              <w:rPr>
                <w:rFonts w:cs="Arial"/>
                <w:b/>
                <w:sz w:val="20"/>
                <w:lang w:eastAsia="en-GB"/>
              </w:rPr>
              <w:t>Low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RCT02</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329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357</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289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310</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233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250</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291</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309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401</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436</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RCT04</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321</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330</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RCT06</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558</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600</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193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205</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r w:rsidR="00BB5324" w:rsidRPr="004F52D7" w:rsidTr="00666F95">
        <w:trPr>
          <w:trHeight w:val="255"/>
        </w:trPr>
        <w:tc>
          <w:tcPr>
            <w:tcW w:w="2201" w:type="dxa"/>
          </w:tcPr>
          <w:p w:rsidR="00BB5324" w:rsidRPr="004F52D7" w:rsidRDefault="00BB5324" w:rsidP="00BC5B40">
            <w:pPr>
              <w:spacing w:before="0"/>
              <w:jc w:val="left"/>
              <w:rPr>
                <w:rFonts w:cs="Arial"/>
                <w:sz w:val="20"/>
                <w:lang w:eastAsia="en-GB"/>
              </w:rPr>
            </w:pPr>
            <w:r>
              <w:rPr>
                <w:rFonts w:cs="Arial"/>
                <w:sz w:val="20"/>
                <w:lang w:eastAsia="en-GB"/>
              </w:rPr>
              <w:t>RCT06</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173</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179</w:t>
            </w:r>
          </w:p>
        </w:tc>
        <w:tc>
          <w:tcPr>
            <w:tcW w:w="2201" w:type="dxa"/>
            <w:shd w:val="clear" w:color="auto" w:fill="auto"/>
            <w:noWrap/>
            <w:vAlign w:val="bottom"/>
          </w:tcPr>
          <w:p w:rsidR="00BB5324" w:rsidRPr="004F52D7" w:rsidRDefault="00BB5324" w:rsidP="00BC5B40">
            <w:pPr>
              <w:spacing w:before="0"/>
              <w:jc w:val="left"/>
              <w:rPr>
                <w:rFonts w:cs="Arial"/>
                <w:sz w:val="20"/>
                <w:lang w:eastAsia="en-GB"/>
              </w:rPr>
            </w:pPr>
            <w:r w:rsidRPr="004F52D7">
              <w:rPr>
                <w:rFonts w:cs="Arial"/>
                <w:sz w:val="20"/>
                <w:lang w:eastAsia="en-GB"/>
              </w:rPr>
              <w:t>High (0.001)</w:t>
            </w:r>
          </w:p>
        </w:tc>
      </w:tr>
    </w:tbl>
    <w:p w:rsidR="004B513D" w:rsidRDefault="004B513D" w:rsidP="004B513D">
      <w:pPr>
        <w:pStyle w:val="Caption"/>
        <w:jc w:val="left"/>
        <w:rPr>
          <w:sz w:val="20"/>
        </w:rPr>
      </w:pPr>
    </w:p>
    <w:p w:rsidR="00CC2DF1" w:rsidRDefault="00CC2DF1">
      <w:pPr>
        <w:spacing w:before="0"/>
        <w:jc w:val="left"/>
        <w:rPr>
          <w:b/>
          <w:sz w:val="20"/>
        </w:rPr>
      </w:pPr>
      <w:bookmarkStart w:id="264" w:name="_Ref283991277"/>
      <w:bookmarkStart w:id="265" w:name="_Ref285895337"/>
      <w:r>
        <w:rPr>
          <w:sz w:val="20"/>
        </w:rPr>
        <w:br w:type="page"/>
      </w:r>
    </w:p>
    <w:p w:rsidR="004B513D" w:rsidRDefault="004B513D" w:rsidP="004B513D">
      <w:pPr>
        <w:pStyle w:val="Caption"/>
        <w:jc w:val="left"/>
        <w:rPr>
          <w:sz w:val="20"/>
        </w:rPr>
      </w:pPr>
      <w:bookmarkStart w:id="266" w:name="_Toc302293569"/>
      <w:r w:rsidRPr="004B513D">
        <w:rPr>
          <w:sz w:val="20"/>
        </w:rPr>
        <w:lastRenderedPageBreak/>
        <w:t xml:space="preserve">Table </w:t>
      </w:r>
      <w:r w:rsidR="001060C2" w:rsidRPr="004B513D">
        <w:rPr>
          <w:sz w:val="20"/>
        </w:rPr>
        <w:fldChar w:fldCharType="begin"/>
      </w:r>
      <w:r w:rsidRPr="004B513D">
        <w:rPr>
          <w:sz w:val="20"/>
        </w:rPr>
        <w:instrText xml:space="preserve"> SEQ Table \* ARABIC </w:instrText>
      </w:r>
      <w:r w:rsidR="001060C2" w:rsidRPr="004B513D">
        <w:rPr>
          <w:sz w:val="20"/>
        </w:rPr>
        <w:fldChar w:fldCharType="separate"/>
      </w:r>
      <w:r w:rsidR="00F96900">
        <w:rPr>
          <w:noProof/>
          <w:sz w:val="20"/>
        </w:rPr>
        <w:t>27</w:t>
      </w:r>
      <w:r w:rsidR="001060C2" w:rsidRPr="004B513D">
        <w:rPr>
          <w:sz w:val="20"/>
        </w:rPr>
        <w:fldChar w:fldCharType="end"/>
      </w:r>
      <w:bookmarkEnd w:id="264"/>
      <w:r w:rsidR="006C4F35">
        <w:rPr>
          <w:sz w:val="20"/>
        </w:rPr>
        <w:t xml:space="preserve">. </w:t>
      </w:r>
      <w:r w:rsidRPr="004B513D">
        <w:rPr>
          <w:sz w:val="20"/>
        </w:rPr>
        <w:t>GP practices in Cwm Taf</w:t>
      </w:r>
      <w:r w:rsidR="006C4F35">
        <w:rPr>
          <w:sz w:val="20"/>
        </w:rPr>
        <w:t xml:space="preserve"> with significantly high or low</w:t>
      </w:r>
      <w:r w:rsidR="00CB30E2">
        <w:rPr>
          <w:sz w:val="20"/>
        </w:rPr>
        <w:t xml:space="preserve"> </w:t>
      </w:r>
      <w:r w:rsidR="00976E79">
        <w:rPr>
          <w:sz w:val="20"/>
        </w:rPr>
        <w:t>per cent</w:t>
      </w:r>
      <w:r w:rsidRPr="004B513D">
        <w:rPr>
          <w:sz w:val="20"/>
        </w:rPr>
        <w:t xml:space="preserve"> of diabetic patients receiving diabetic retinopathy screening</w:t>
      </w:r>
      <w:bookmarkEnd w:id="265"/>
      <w:bookmarkEnd w:id="266"/>
    </w:p>
    <w:p w:rsidR="004B513D" w:rsidRPr="004B513D" w:rsidRDefault="004B513D" w:rsidP="004B513D"/>
    <w:tbl>
      <w:tblPr>
        <w:tblW w:w="8804" w:type="dxa"/>
        <w:tblInd w:w="93" w:type="dxa"/>
        <w:tblLook w:val="0000"/>
      </w:tblPr>
      <w:tblGrid>
        <w:gridCol w:w="2142"/>
        <w:gridCol w:w="2285"/>
        <w:gridCol w:w="2109"/>
        <w:gridCol w:w="2268"/>
      </w:tblGrid>
      <w:tr w:rsidR="008C639D" w:rsidRPr="00BF005F" w:rsidTr="00553893">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tcPr>
          <w:p w:rsidR="008C639D" w:rsidRDefault="005C7DEE" w:rsidP="00553893">
            <w:pPr>
              <w:spacing w:before="0"/>
              <w:jc w:val="left"/>
              <w:rPr>
                <w:rFonts w:cs="Arial"/>
                <w:b/>
                <w:sz w:val="20"/>
                <w:lang w:eastAsia="en-GB"/>
              </w:rPr>
            </w:pPr>
            <w:r>
              <w:rPr>
                <w:rFonts w:cs="Arial"/>
                <w:b/>
                <w:sz w:val="20"/>
                <w:lang w:eastAsia="en-GB"/>
              </w:rPr>
              <w:t>USOA in which practice based</w:t>
            </w:r>
          </w:p>
        </w:tc>
        <w:tc>
          <w:tcPr>
            <w:tcW w:w="2285" w:type="dxa"/>
            <w:tcBorders>
              <w:top w:val="single" w:sz="4" w:space="0" w:color="auto"/>
              <w:left w:val="nil"/>
              <w:bottom w:val="single" w:sz="4" w:space="0" w:color="auto"/>
              <w:right w:val="single" w:sz="4" w:space="0" w:color="auto"/>
            </w:tcBorders>
            <w:shd w:val="clear" w:color="auto" w:fill="auto"/>
            <w:noWrap/>
          </w:tcPr>
          <w:p w:rsidR="008C639D" w:rsidRPr="004F52D7" w:rsidRDefault="008C639D" w:rsidP="00553893">
            <w:pPr>
              <w:spacing w:before="0"/>
              <w:jc w:val="left"/>
              <w:rPr>
                <w:rFonts w:cs="Arial"/>
                <w:b/>
                <w:sz w:val="20"/>
                <w:lang w:eastAsia="en-GB"/>
              </w:rPr>
            </w:pPr>
            <w:r w:rsidRPr="004F52D7">
              <w:rPr>
                <w:rFonts w:cs="Arial"/>
                <w:b/>
                <w:sz w:val="20"/>
                <w:lang w:eastAsia="en-GB"/>
              </w:rPr>
              <w:t>Number</w:t>
            </w:r>
            <w:r>
              <w:rPr>
                <w:rFonts w:cs="Arial"/>
                <w:b/>
                <w:sz w:val="20"/>
                <w:lang w:eastAsia="en-GB"/>
              </w:rPr>
              <w:t xml:space="preserve"> screened</w:t>
            </w:r>
          </w:p>
        </w:tc>
        <w:tc>
          <w:tcPr>
            <w:tcW w:w="2109" w:type="dxa"/>
            <w:tcBorders>
              <w:top w:val="single" w:sz="4" w:space="0" w:color="auto"/>
              <w:left w:val="nil"/>
              <w:bottom w:val="single" w:sz="4" w:space="0" w:color="auto"/>
              <w:right w:val="single" w:sz="4" w:space="0" w:color="auto"/>
            </w:tcBorders>
            <w:shd w:val="clear" w:color="auto" w:fill="auto"/>
            <w:noWrap/>
          </w:tcPr>
          <w:p w:rsidR="008C639D" w:rsidRPr="004F52D7" w:rsidRDefault="008C639D" w:rsidP="008C639D">
            <w:pPr>
              <w:spacing w:before="0"/>
              <w:jc w:val="left"/>
              <w:rPr>
                <w:rFonts w:cs="Arial"/>
                <w:b/>
                <w:sz w:val="20"/>
                <w:lang w:eastAsia="en-GB"/>
              </w:rPr>
            </w:pPr>
            <w:r>
              <w:rPr>
                <w:rFonts w:cs="Arial"/>
                <w:b/>
                <w:sz w:val="20"/>
                <w:lang w:eastAsia="en-GB"/>
              </w:rPr>
              <w:t>No. on register who qualify for screening</w:t>
            </w:r>
          </w:p>
        </w:tc>
        <w:tc>
          <w:tcPr>
            <w:tcW w:w="2268" w:type="dxa"/>
            <w:tcBorders>
              <w:top w:val="single" w:sz="4" w:space="0" w:color="auto"/>
              <w:left w:val="nil"/>
              <w:bottom w:val="single" w:sz="4" w:space="0" w:color="auto"/>
              <w:right w:val="single" w:sz="4" w:space="0" w:color="auto"/>
            </w:tcBorders>
            <w:shd w:val="clear" w:color="auto" w:fill="auto"/>
            <w:noWrap/>
          </w:tcPr>
          <w:p w:rsidR="008C639D" w:rsidRPr="004F52D7" w:rsidRDefault="008C639D" w:rsidP="00553893">
            <w:pPr>
              <w:spacing w:before="0"/>
              <w:jc w:val="left"/>
              <w:rPr>
                <w:rFonts w:cs="Arial"/>
                <w:b/>
                <w:sz w:val="20"/>
                <w:lang w:eastAsia="en-GB"/>
              </w:rPr>
            </w:pPr>
            <w:r>
              <w:rPr>
                <w:rFonts w:cs="Arial"/>
                <w:b/>
                <w:sz w:val="20"/>
                <w:lang w:eastAsia="en-GB"/>
              </w:rPr>
              <w:t>Level of screening (s</w:t>
            </w:r>
            <w:r w:rsidRPr="004F52D7">
              <w:rPr>
                <w:rFonts w:cs="Arial"/>
                <w:b/>
                <w:sz w:val="20"/>
                <w:lang w:eastAsia="en-GB"/>
              </w:rPr>
              <w:t>ignificance</w:t>
            </w:r>
            <w:r w:rsidR="005C7DEE">
              <w:rPr>
                <w:rFonts w:cs="Arial"/>
                <w:b/>
                <w:sz w:val="20"/>
                <w:lang w:eastAsia="en-GB"/>
              </w:rPr>
              <w:t>)</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Merthyr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214</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252</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Merthyr 01</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395</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484</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RCT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217</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282</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RCT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144</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180</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RCT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168</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209</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RCT 05</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67</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96</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9726D9">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Pr>
                <w:rFonts w:cs="Arial"/>
                <w:sz w:val="20"/>
                <w:lang w:eastAsia="en-GB"/>
              </w:rPr>
              <w:t>RCT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139</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9726D9">
            <w:pPr>
              <w:spacing w:before="0"/>
              <w:jc w:val="left"/>
              <w:rPr>
                <w:rFonts w:cs="Arial"/>
                <w:sz w:val="20"/>
                <w:lang w:eastAsia="en-GB"/>
              </w:rPr>
            </w:pPr>
            <w:r w:rsidRPr="008E2447">
              <w:rPr>
                <w:rFonts w:cs="Arial"/>
                <w:sz w:val="20"/>
                <w:lang w:eastAsia="en-GB"/>
              </w:rPr>
              <w:t>166</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9726D9">
            <w:pPr>
              <w:spacing w:before="0"/>
              <w:jc w:val="left"/>
              <w:rPr>
                <w:rFonts w:cs="Arial"/>
                <w:b/>
                <w:sz w:val="20"/>
                <w:lang w:eastAsia="en-GB"/>
              </w:rPr>
            </w:pPr>
            <w:r w:rsidRPr="00787C50">
              <w:rPr>
                <w:rFonts w:cs="Arial"/>
                <w:b/>
                <w:sz w:val="20"/>
                <w:lang w:eastAsia="en-GB"/>
              </w:rPr>
              <w:t>Low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02</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329</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331</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03</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289</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299</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04</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174</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175</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03</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291</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298</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01</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196</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197</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04</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197</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200</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01</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295</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300</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05</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401</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417</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01</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342</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353</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04</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214</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215</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04</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321</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321</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06</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558</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582</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04</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336</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345</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r w:rsidR="008647CF" w:rsidRPr="00BF005F" w:rsidTr="008C639D">
        <w:trPr>
          <w:trHeight w:val="255"/>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Pr>
                <w:rFonts w:cs="Arial"/>
                <w:sz w:val="20"/>
                <w:lang w:eastAsia="en-GB"/>
              </w:rPr>
              <w:t>RCT 06</w:t>
            </w:r>
          </w:p>
        </w:tc>
        <w:tc>
          <w:tcPr>
            <w:tcW w:w="2285"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173</w:t>
            </w:r>
          </w:p>
        </w:tc>
        <w:tc>
          <w:tcPr>
            <w:tcW w:w="2109" w:type="dxa"/>
            <w:tcBorders>
              <w:top w:val="single" w:sz="4" w:space="0" w:color="auto"/>
              <w:left w:val="nil"/>
              <w:bottom w:val="single" w:sz="4" w:space="0" w:color="auto"/>
              <w:right w:val="single" w:sz="4" w:space="0" w:color="auto"/>
            </w:tcBorders>
            <w:shd w:val="clear" w:color="auto" w:fill="auto"/>
            <w:noWrap/>
            <w:vAlign w:val="bottom"/>
          </w:tcPr>
          <w:p w:rsidR="008647CF" w:rsidRPr="008E2447" w:rsidRDefault="008647CF" w:rsidP="00553893">
            <w:pPr>
              <w:spacing w:before="0"/>
              <w:jc w:val="left"/>
              <w:rPr>
                <w:rFonts w:cs="Arial"/>
                <w:sz w:val="20"/>
                <w:lang w:eastAsia="en-GB"/>
              </w:rPr>
            </w:pPr>
            <w:r w:rsidRPr="008E2447">
              <w:rPr>
                <w:rFonts w:cs="Arial"/>
                <w:sz w:val="20"/>
                <w:lang w:eastAsia="en-GB"/>
              </w:rPr>
              <w:t>173</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8647CF" w:rsidRPr="00787C50" w:rsidRDefault="008647CF" w:rsidP="00553893">
            <w:pPr>
              <w:spacing w:before="0"/>
              <w:jc w:val="left"/>
              <w:rPr>
                <w:rFonts w:cs="Arial"/>
                <w:sz w:val="20"/>
                <w:lang w:eastAsia="en-GB"/>
              </w:rPr>
            </w:pPr>
            <w:r w:rsidRPr="00787C50">
              <w:rPr>
                <w:rFonts w:cs="Arial"/>
                <w:sz w:val="20"/>
                <w:lang w:eastAsia="en-GB"/>
              </w:rPr>
              <w:t>High (0.001)</w:t>
            </w:r>
          </w:p>
        </w:tc>
      </w:tr>
    </w:tbl>
    <w:p w:rsidR="009207C0" w:rsidRDefault="006F029D" w:rsidP="007808FE">
      <w:r>
        <w:t>Although GP QOF data suggests that uptake of diabetic retinopathy screening is high, d</w:t>
      </w:r>
      <w:r w:rsidR="007808FE">
        <w:t xml:space="preserve">ata from DRSSW </w:t>
      </w:r>
      <w:r>
        <w:t xml:space="preserve">suggests otherwise.  It </w:t>
      </w:r>
      <w:r w:rsidR="007808FE">
        <w:t>showed that 13,121 people were offered screening in Cwm Taf and 9</w:t>
      </w:r>
      <w:r w:rsidR="006C4F35">
        <w:t>,</w:t>
      </w:r>
      <w:r w:rsidR="007808FE">
        <w:t>590 attended for screening, 1</w:t>
      </w:r>
      <w:r w:rsidR="006C4F35">
        <w:t>,</w:t>
      </w:r>
      <w:r w:rsidR="007808FE">
        <w:t>775 were unable to attend and 1</w:t>
      </w:r>
      <w:r w:rsidR="006C4F35">
        <w:t>,</w:t>
      </w:r>
      <w:r w:rsidR="007808FE">
        <w:t>756 did not attend.  The uptake rate for people offered screening in Cwm Taf is therefore 73</w:t>
      </w:r>
      <w:r w:rsidR="00CB30E2">
        <w:t xml:space="preserve"> </w:t>
      </w:r>
      <w:r w:rsidR="00976E79">
        <w:t>per cent</w:t>
      </w:r>
      <w:r w:rsidR="007808FE">
        <w:t>.  This compares with an all Wales uptake rate of 71.6</w:t>
      </w:r>
      <w:r w:rsidR="00CB30E2">
        <w:t xml:space="preserve"> </w:t>
      </w:r>
      <w:r w:rsidR="00976E79">
        <w:t>per cent</w:t>
      </w:r>
      <w:r w:rsidR="007808FE">
        <w:t xml:space="preserve"> (personal communication, Rosemarie Keigwin-Harris). </w:t>
      </w:r>
    </w:p>
    <w:p w:rsidR="007808FE" w:rsidRDefault="009207C0" w:rsidP="007808FE">
      <w:r>
        <w:t>The uptake rate of 73</w:t>
      </w:r>
      <w:r w:rsidR="00CB30E2">
        <w:t xml:space="preserve"> </w:t>
      </w:r>
      <w:r w:rsidR="00976E79">
        <w:t>per cent</w:t>
      </w:r>
      <w:r>
        <w:t xml:space="preserve"> in Cwm Taf as measured by DRSSW differs from the rate measured using QOF data, which was 93</w:t>
      </w:r>
      <w:r w:rsidR="00CB30E2">
        <w:t xml:space="preserve"> </w:t>
      </w:r>
      <w:r w:rsidR="00976E79">
        <w:t>per cent</w:t>
      </w:r>
      <w:r>
        <w:t>.  Some of the difference may be because the QOF uptake was measured over 15 months and the DRSSW data was measured over 12 months.  Other reasons include th</w:t>
      </w:r>
      <w:r w:rsidR="00732D1C">
        <w:t xml:space="preserve">ose </w:t>
      </w:r>
      <w:r w:rsidR="00635B70">
        <w:t xml:space="preserve">already </w:t>
      </w:r>
      <w:r w:rsidR="00732D1C">
        <w:t xml:space="preserve">discussed, such as differences in </w:t>
      </w:r>
      <w:r>
        <w:t xml:space="preserve">recording of </w:t>
      </w:r>
      <w:r w:rsidR="00732D1C">
        <w:t xml:space="preserve">screening </w:t>
      </w:r>
      <w:r>
        <w:t xml:space="preserve">data in </w:t>
      </w:r>
      <w:r w:rsidR="00732D1C">
        <w:t xml:space="preserve">some </w:t>
      </w:r>
      <w:r>
        <w:t>general practice</w:t>
      </w:r>
      <w:r w:rsidR="00732D1C">
        <w:t xml:space="preserve">s. </w:t>
      </w:r>
      <w:r>
        <w:t xml:space="preserve"> </w:t>
      </w:r>
      <w:r w:rsidR="007808FE">
        <w:t xml:space="preserve"> </w:t>
      </w:r>
    </w:p>
    <w:p w:rsidR="00BA5255" w:rsidRDefault="00031ACD" w:rsidP="008B7216">
      <w:r>
        <w:t xml:space="preserve">Data from </w:t>
      </w:r>
      <w:r w:rsidR="006C4F35">
        <w:t xml:space="preserve">the </w:t>
      </w:r>
      <w:r w:rsidR="00BA5255">
        <w:t>Myrddin</w:t>
      </w:r>
      <w:r w:rsidR="006C4F35">
        <w:t xml:space="preserve"> information system</w:t>
      </w:r>
      <w:r w:rsidR="00BA5255">
        <w:t xml:space="preserve"> showed that t</w:t>
      </w:r>
      <w:r w:rsidR="009831D9">
        <w:t>here were 353 people referred for treatment in Cwm Taf</w:t>
      </w:r>
      <w:r w:rsidR="00D751BC">
        <w:t xml:space="preserve"> hospitals</w:t>
      </w:r>
      <w:r w:rsidR="00BA5255">
        <w:t xml:space="preserve">.  </w:t>
      </w:r>
      <w:r w:rsidR="009831D9">
        <w:t>Howev</w:t>
      </w:r>
      <w:r w:rsidR="0043200F">
        <w:t xml:space="preserve">er </w:t>
      </w:r>
      <w:r w:rsidR="009831D9">
        <w:t xml:space="preserve">some </w:t>
      </w:r>
      <w:r w:rsidR="00635B70">
        <w:t xml:space="preserve">of these </w:t>
      </w:r>
      <w:r w:rsidR="009831D9">
        <w:t>may have been screened elsewhere</w:t>
      </w:r>
      <w:r w:rsidR="00382532">
        <w:t>, and some of those screened in Cwm Taf may have been referred elsewhere</w:t>
      </w:r>
      <w:r w:rsidR="009831D9">
        <w:t xml:space="preserve">. </w:t>
      </w:r>
    </w:p>
    <w:p w:rsidR="008B7216" w:rsidRDefault="00382532" w:rsidP="008B7216">
      <w:r>
        <w:t>T</w:t>
      </w:r>
      <w:r w:rsidR="009831D9">
        <w:t>he all Wales rate of referrals following screening is around 3</w:t>
      </w:r>
      <w:r w:rsidR="00CB30E2">
        <w:t xml:space="preserve"> </w:t>
      </w:r>
      <w:r w:rsidR="00976E79">
        <w:t>per cent</w:t>
      </w:r>
      <w:r w:rsidR="009831D9">
        <w:t xml:space="preserve"> (personal communication</w:t>
      </w:r>
      <w:r w:rsidR="001C2D38">
        <w:t xml:space="preserve">, </w:t>
      </w:r>
      <w:r w:rsidR="009831D9">
        <w:t xml:space="preserve">Rosemarie Keigwin-Harris).  </w:t>
      </w:r>
    </w:p>
    <w:p w:rsidR="00C57E5B" w:rsidRDefault="00D623DB" w:rsidP="00D623DB">
      <w:pPr>
        <w:pStyle w:val="Heading3"/>
      </w:pPr>
      <w:bookmarkStart w:id="267" w:name="_Toc291585886"/>
      <w:bookmarkStart w:id="268" w:name="_Toc302293472"/>
      <w:r>
        <w:lastRenderedPageBreak/>
        <w:t xml:space="preserve">Certificate of visual impairment and </w:t>
      </w:r>
      <w:r w:rsidR="009842A7">
        <w:t>l</w:t>
      </w:r>
      <w:r w:rsidR="009726D9">
        <w:t>ocal</w:t>
      </w:r>
      <w:r w:rsidR="00F435D0">
        <w:t xml:space="preserve"> </w:t>
      </w:r>
      <w:r w:rsidR="007B32C7">
        <w:t>authority</w:t>
      </w:r>
      <w:r>
        <w:t xml:space="preserve"> registration</w:t>
      </w:r>
      <w:bookmarkEnd w:id="267"/>
      <w:bookmarkEnd w:id="268"/>
    </w:p>
    <w:p w:rsidR="009B0BA0" w:rsidRDefault="009B0BA0" w:rsidP="00F435D0">
      <w:pPr>
        <w:pStyle w:val="heading4verdana"/>
      </w:pPr>
      <w:r>
        <w:t>Data sources</w:t>
      </w:r>
    </w:p>
    <w:p w:rsidR="007808FE" w:rsidRDefault="0068460A" w:rsidP="008F28D4">
      <w:r>
        <w:t xml:space="preserve">Data on the number of </w:t>
      </w:r>
      <w:r w:rsidR="00CD0778">
        <w:t>CVI(W)</w:t>
      </w:r>
      <w:r w:rsidR="006E6EEE">
        <w:t xml:space="preserve"> </w:t>
      </w:r>
      <w:r w:rsidR="0020297E">
        <w:t xml:space="preserve">completed for </w:t>
      </w:r>
      <w:r>
        <w:t xml:space="preserve">Cwm Taf </w:t>
      </w:r>
      <w:r w:rsidR="0020297E">
        <w:t xml:space="preserve">residents </w:t>
      </w:r>
      <w:r>
        <w:t xml:space="preserve">were </w:t>
      </w:r>
      <w:r w:rsidR="00B534B0">
        <w:t xml:space="preserve">obtained from the DEVICe </w:t>
      </w:r>
      <w:r w:rsidR="009726D9">
        <w:t>local</w:t>
      </w:r>
      <w:r w:rsidR="00F435D0">
        <w:t xml:space="preserve"> </w:t>
      </w:r>
      <w:r w:rsidR="00B534B0">
        <w:t>report</w:t>
      </w:r>
      <w:r w:rsidR="007808FE">
        <w:t xml:space="preserve"> (Bunce et al</w:t>
      </w:r>
      <w:r w:rsidR="00635B70">
        <w:t>,</w:t>
      </w:r>
      <w:r w:rsidR="007808FE">
        <w:t xml:space="preserve"> 2010).  </w:t>
      </w:r>
      <w:r w:rsidR="0020297E">
        <w:t xml:space="preserve">Data were available for the number of certifications between April 2008 and March 2009, and characteristics of people receiving </w:t>
      </w:r>
      <w:r w:rsidR="00CD0778">
        <w:t>CVI(W)</w:t>
      </w:r>
      <w:r w:rsidR="0020297E">
        <w:t>s</w:t>
      </w:r>
      <w:r w:rsidR="007808FE">
        <w:t>.</w:t>
      </w:r>
      <w:r w:rsidR="00B534B0">
        <w:t xml:space="preserve"> </w:t>
      </w:r>
    </w:p>
    <w:p w:rsidR="008F28D4" w:rsidRDefault="008F28D4" w:rsidP="008F28D4">
      <w:r>
        <w:t>Data on the number of registrations of sight impaired and</w:t>
      </w:r>
      <w:r w:rsidR="00D95071">
        <w:t xml:space="preserve"> severely</w:t>
      </w:r>
      <w:r>
        <w:t xml:space="preserve"> sight impaired </w:t>
      </w:r>
      <w:r w:rsidR="00D95071">
        <w:t xml:space="preserve">people </w:t>
      </w:r>
      <w:r>
        <w:t xml:space="preserve">were obtained from the </w:t>
      </w:r>
      <w:r w:rsidR="009726D9">
        <w:t>Local</w:t>
      </w:r>
      <w:r w:rsidR="00F435D0">
        <w:t xml:space="preserve"> </w:t>
      </w:r>
      <w:r w:rsidR="00D95071">
        <w:t xml:space="preserve">Government Data Unit via the Public Health Wales Observatory Analytical Team. </w:t>
      </w:r>
    </w:p>
    <w:p w:rsidR="009B0BA0" w:rsidRDefault="009B0BA0" w:rsidP="00F435D0">
      <w:pPr>
        <w:pStyle w:val="heading4verdana"/>
      </w:pPr>
      <w:r>
        <w:t>Data analysis</w:t>
      </w:r>
    </w:p>
    <w:p w:rsidR="006E6EEE" w:rsidRDefault="006E6EEE" w:rsidP="008F28D4">
      <w:r>
        <w:t xml:space="preserve">Counts and </w:t>
      </w:r>
      <w:r w:rsidR="00976E79">
        <w:t>per cent</w:t>
      </w:r>
      <w:r>
        <w:t xml:space="preserve">s of characteristics of people with </w:t>
      </w:r>
      <w:r w:rsidR="00CD0778">
        <w:t>CVI(W)</w:t>
      </w:r>
      <w:r>
        <w:t xml:space="preserve"> were presented.</w:t>
      </w:r>
    </w:p>
    <w:p w:rsidR="008F28D4" w:rsidRDefault="008F28D4" w:rsidP="008F28D4">
      <w:r>
        <w:t xml:space="preserve">Counts and rates of severely sight impaired and sight impaired per </w:t>
      </w:r>
      <w:r w:rsidR="009836A6">
        <w:t>1,000</w:t>
      </w:r>
      <w:r>
        <w:t xml:space="preserve"> population were calculated at health board </w:t>
      </w:r>
      <w:r w:rsidR="00D223D0">
        <w:t xml:space="preserve">and </w:t>
      </w:r>
      <w:r w:rsidR="009726D9">
        <w:t>local</w:t>
      </w:r>
      <w:r w:rsidR="00F435D0">
        <w:t xml:space="preserve"> </w:t>
      </w:r>
      <w:r w:rsidR="007B32C7">
        <w:t>authority</w:t>
      </w:r>
      <w:r w:rsidR="00D223D0">
        <w:t xml:space="preserve"> </w:t>
      </w:r>
      <w:r>
        <w:t>level in Wales.</w:t>
      </w:r>
    </w:p>
    <w:p w:rsidR="009B0BA0" w:rsidRDefault="009B0BA0" w:rsidP="00F435D0">
      <w:pPr>
        <w:pStyle w:val="heading4verdana"/>
      </w:pPr>
      <w:r>
        <w:t>Results</w:t>
      </w:r>
    </w:p>
    <w:p w:rsidR="00A603B4" w:rsidRDefault="005D116F" w:rsidP="005D116F">
      <w:r>
        <w:t xml:space="preserve">127 new </w:t>
      </w:r>
      <w:r w:rsidR="00CD0778">
        <w:t>CVI(W)</w:t>
      </w:r>
      <w:r w:rsidR="00635B70">
        <w:t>s</w:t>
      </w:r>
      <w:r>
        <w:t xml:space="preserve"> </w:t>
      </w:r>
      <w:r w:rsidR="00667AB9">
        <w:t xml:space="preserve">which were </w:t>
      </w:r>
      <w:r>
        <w:t xml:space="preserve">completed for Cwm Taf residents from </w:t>
      </w:r>
      <w:r w:rsidR="00667AB9">
        <w:t xml:space="preserve">April 2008 to March 2009 were sent to the certifications office in Moorfields </w:t>
      </w:r>
      <w:r w:rsidR="00D8724C">
        <w:t>Eye</w:t>
      </w:r>
      <w:r w:rsidR="00667AB9">
        <w:t xml:space="preserve"> Hospital.  There is no mandate for hospital to send a copy to the office but in 2007 to 2008 it was found that over 90</w:t>
      </w:r>
      <w:r w:rsidR="00CB30E2">
        <w:t xml:space="preserve"> </w:t>
      </w:r>
      <w:r w:rsidR="00976E79">
        <w:t>per cent</w:t>
      </w:r>
      <w:r w:rsidR="00667AB9">
        <w:t xml:space="preserve"> of certificates were sent to the office when compa</w:t>
      </w:r>
      <w:r w:rsidR="00706CBB">
        <w:t>red with people on the register (Bunce et al</w:t>
      </w:r>
      <w:r w:rsidR="00635B70">
        <w:t>,</w:t>
      </w:r>
      <w:r w:rsidR="00706CBB">
        <w:t xml:space="preserve"> 2010).</w:t>
      </w:r>
    </w:p>
    <w:p w:rsidR="00706CBB" w:rsidRPr="00706CBB" w:rsidRDefault="000612BE" w:rsidP="005D116F">
      <w:pPr>
        <w:rPr>
          <w:szCs w:val="24"/>
        </w:rPr>
      </w:pPr>
      <w:r>
        <w:rPr>
          <w:szCs w:val="24"/>
        </w:rPr>
        <w:t xml:space="preserve">Table 28 </w:t>
      </w:r>
      <w:r w:rsidR="00706CBB">
        <w:rPr>
          <w:szCs w:val="24"/>
        </w:rPr>
        <w:t xml:space="preserve">shows the characteristics of the people with new </w:t>
      </w:r>
      <w:r w:rsidR="00CD0778">
        <w:rPr>
          <w:szCs w:val="24"/>
        </w:rPr>
        <w:t>CVI(W)</w:t>
      </w:r>
      <w:r w:rsidR="00706CBB">
        <w:rPr>
          <w:szCs w:val="24"/>
        </w:rPr>
        <w:t>s in 2008 to 2009.  80</w:t>
      </w:r>
      <w:r w:rsidR="00CB30E2">
        <w:rPr>
          <w:szCs w:val="24"/>
        </w:rPr>
        <w:t xml:space="preserve"> </w:t>
      </w:r>
      <w:r w:rsidR="00976E79">
        <w:rPr>
          <w:szCs w:val="24"/>
        </w:rPr>
        <w:t>per cent</w:t>
      </w:r>
      <w:r w:rsidR="00706CBB">
        <w:rPr>
          <w:szCs w:val="24"/>
        </w:rPr>
        <w:t xml:space="preserve"> of people were </w:t>
      </w:r>
      <w:r w:rsidR="00635B70">
        <w:rPr>
          <w:szCs w:val="24"/>
        </w:rPr>
        <w:t xml:space="preserve">aged </w:t>
      </w:r>
      <w:r w:rsidR="00706CBB">
        <w:rPr>
          <w:szCs w:val="24"/>
        </w:rPr>
        <w:t>65 years</w:t>
      </w:r>
      <w:r w:rsidR="00635B70">
        <w:rPr>
          <w:szCs w:val="24"/>
        </w:rPr>
        <w:t xml:space="preserve"> and over</w:t>
      </w:r>
      <w:r w:rsidR="00706CBB">
        <w:rPr>
          <w:szCs w:val="24"/>
        </w:rPr>
        <w:t xml:space="preserve"> and 64</w:t>
      </w:r>
      <w:r w:rsidR="00CB30E2">
        <w:rPr>
          <w:szCs w:val="24"/>
        </w:rPr>
        <w:t xml:space="preserve"> </w:t>
      </w:r>
      <w:r w:rsidR="00976E79">
        <w:rPr>
          <w:szCs w:val="24"/>
        </w:rPr>
        <w:t>per cent</w:t>
      </w:r>
      <w:r w:rsidR="00706CBB">
        <w:rPr>
          <w:szCs w:val="24"/>
        </w:rPr>
        <w:t xml:space="preserve"> were </w:t>
      </w:r>
      <w:r w:rsidR="00635B70">
        <w:rPr>
          <w:szCs w:val="24"/>
        </w:rPr>
        <w:t xml:space="preserve">aged </w:t>
      </w:r>
      <w:r w:rsidR="00706CBB">
        <w:rPr>
          <w:szCs w:val="24"/>
        </w:rPr>
        <w:t>75 years</w:t>
      </w:r>
      <w:r w:rsidR="00635B70">
        <w:rPr>
          <w:szCs w:val="24"/>
        </w:rPr>
        <w:t xml:space="preserve"> and over</w:t>
      </w:r>
      <w:r w:rsidR="00706CBB">
        <w:rPr>
          <w:szCs w:val="24"/>
        </w:rPr>
        <w:t xml:space="preserve">.  </w:t>
      </w:r>
      <w:r w:rsidR="00635B70">
        <w:rPr>
          <w:szCs w:val="24"/>
        </w:rPr>
        <w:t xml:space="preserve">Almost 90 </w:t>
      </w:r>
      <w:r w:rsidR="00976E79">
        <w:rPr>
          <w:szCs w:val="24"/>
        </w:rPr>
        <w:t>per cent</w:t>
      </w:r>
      <w:r w:rsidR="00635B70">
        <w:rPr>
          <w:szCs w:val="24"/>
        </w:rPr>
        <w:t xml:space="preserve"> of people were white although in 9 </w:t>
      </w:r>
      <w:r w:rsidR="00976E79">
        <w:rPr>
          <w:szCs w:val="24"/>
        </w:rPr>
        <w:t>per cent</w:t>
      </w:r>
      <w:r w:rsidR="00635B70">
        <w:rPr>
          <w:szCs w:val="24"/>
        </w:rPr>
        <w:t xml:space="preserve"> the ethnicity was not stated. </w:t>
      </w:r>
      <w:r w:rsidR="00706CBB">
        <w:rPr>
          <w:szCs w:val="24"/>
        </w:rPr>
        <w:t>A considerable proportion of people had other issues such as living alone, hearing</w:t>
      </w:r>
      <w:r w:rsidR="00635B70">
        <w:rPr>
          <w:szCs w:val="24"/>
        </w:rPr>
        <w:t xml:space="preserve"> problems or mobility problems.  Just over half of </w:t>
      </w:r>
      <w:r w:rsidR="00CD0778">
        <w:rPr>
          <w:szCs w:val="24"/>
        </w:rPr>
        <w:t>CVI(W)</w:t>
      </w:r>
      <w:r w:rsidR="00635B70">
        <w:rPr>
          <w:szCs w:val="24"/>
        </w:rPr>
        <w:t xml:space="preserve">s were for sight impairment.  </w:t>
      </w:r>
      <w:r w:rsidR="00706CBB">
        <w:rPr>
          <w:szCs w:val="24"/>
        </w:rPr>
        <w:t>Almost half (47</w:t>
      </w:r>
      <w:r w:rsidR="00CB30E2">
        <w:rPr>
          <w:szCs w:val="24"/>
        </w:rPr>
        <w:t xml:space="preserve"> </w:t>
      </w:r>
      <w:r w:rsidR="00976E79">
        <w:rPr>
          <w:szCs w:val="24"/>
        </w:rPr>
        <w:t>per cent</w:t>
      </w:r>
      <w:r w:rsidR="00706CBB">
        <w:rPr>
          <w:szCs w:val="24"/>
        </w:rPr>
        <w:t xml:space="preserve">) of the people had a main diagnosis of </w:t>
      </w:r>
      <w:r w:rsidR="007808FE">
        <w:rPr>
          <w:szCs w:val="24"/>
        </w:rPr>
        <w:t xml:space="preserve">ARMD </w:t>
      </w:r>
      <w:r w:rsidR="00706CBB">
        <w:rPr>
          <w:szCs w:val="24"/>
        </w:rPr>
        <w:t xml:space="preserve">(wet, dry, mixed or not otherwise specified). </w:t>
      </w:r>
    </w:p>
    <w:p w:rsidR="005D116F" w:rsidRDefault="00024193" w:rsidP="00A603B4">
      <w:pPr>
        <w:pStyle w:val="Caption"/>
        <w:jc w:val="left"/>
        <w:rPr>
          <w:sz w:val="20"/>
        </w:rPr>
      </w:pPr>
      <w:bookmarkStart w:id="269" w:name="_Ref283995073"/>
      <w:bookmarkStart w:id="270" w:name="_Toc302293570"/>
      <w:r w:rsidRPr="00541B4B">
        <w:rPr>
          <w:sz w:val="20"/>
        </w:rPr>
        <w:lastRenderedPageBreak/>
        <w:t xml:space="preserve">Table </w:t>
      </w:r>
      <w:r w:rsidR="001060C2" w:rsidRPr="00541B4B">
        <w:rPr>
          <w:sz w:val="20"/>
        </w:rPr>
        <w:fldChar w:fldCharType="begin"/>
      </w:r>
      <w:r w:rsidRPr="00541B4B">
        <w:rPr>
          <w:sz w:val="20"/>
        </w:rPr>
        <w:instrText xml:space="preserve"> SEQ Table \* ARABIC </w:instrText>
      </w:r>
      <w:r w:rsidR="001060C2" w:rsidRPr="00541B4B">
        <w:rPr>
          <w:sz w:val="20"/>
        </w:rPr>
        <w:fldChar w:fldCharType="separate"/>
      </w:r>
      <w:r w:rsidR="00F96900">
        <w:rPr>
          <w:noProof/>
          <w:sz w:val="20"/>
        </w:rPr>
        <w:t>28</w:t>
      </w:r>
      <w:r w:rsidR="001060C2" w:rsidRPr="00541B4B">
        <w:rPr>
          <w:sz w:val="20"/>
        </w:rPr>
        <w:fldChar w:fldCharType="end"/>
      </w:r>
      <w:bookmarkEnd w:id="269"/>
      <w:r w:rsidR="00724D8A">
        <w:rPr>
          <w:sz w:val="20"/>
        </w:rPr>
        <w:t xml:space="preserve">. </w:t>
      </w:r>
      <w:r w:rsidR="00194FB9" w:rsidRPr="00541B4B">
        <w:rPr>
          <w:sz w:val="20"/>
        </w:rPr>
        <w:t>C</w:t>
      </w:r>
      <w:r w:rsidRPr="00541B4B">
        <w:rPr>
          <w:sz w:val="20"/>
        </w:rPr>
        <w:t xml:space="preserve">ertificates of visual impairment sent to Moorfields </w:t>
      </w:r>
      <w:r w:rsidR="00D8724C" w:rsidRPr="00541B4B">
        <w:rPr>
          <w:sz w:val="20"/>
        </w:rPr>
        <w:t>Eye</w:t>
      </w:r>
      <w:r w:rsidRPr="00541B4B">
        <w:rPr>
          <w:sz w:val="20"/>
        </w:rPr>
        <w:t xml:space="preserve"> Hospital</w:t>
      </w:r>
      <w:bookmarkEnd w:id="270"/>
    </w:p>
    <w:p w:rsidR="005D116F" w:rsidRDefault="005D116F" w:rsidP="005D116F">
      <w:r>
        <w:rPr>
          <w:noProof/>
          <w:lang w:eastAsia="en-GB"/>
        </w:rPr>
        <w:drawing>
          <wp:inline distT="0" distB="0" distL="0" distR="0">
            <wp:extent cx="4591050" cy="8420100"/>
            <wp:effectExtent l="1905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2" cstate="print"/>
                    <a:srcRect/>
                    <a:stretch>
                      <a:fillRect/>
                    </a:stretch>
                  </pic:blipFill>
                  <pic:spPr bwMode="auto">
                    <a:xfrm>
                      <a:off x="0" y="0"/>
                      <a:ext cx="4591050" cy="8420100"/>
                    </a:xfrm>
                    <a:prstGeom prst="rect">
                      <a:avLst/>
                    </a:prstGeom>
                    <a:noFill/>
                    <a:ln w="9525">
                      <a:noFill/>
                      <a:miter lim="800000"/>
                      <a:headEnd/>
                      <a:tailEnd/>
                    </a:ln>
                  </pic:spPr>
                </pic:pic>
              </a:graphicData>
            </a:graphic>
          </wp:inline>
        </w:drawing>
      </w:r>
    </w:p>
    <w:p w:rsidR="005D116F" w:rsidRPr="00DC31A5" w:rsidRDefault="000612BE" w:rsidP="005D116F">
      <w:pPr>
        <w:rPr>
          <w:szCs w:val="24"/>
        </w:rPr>
      </w:pPr>
      <w:r>
        <w:rPr>
          <w:szCs w:val="24"/>
        </w:rPr>
        <w:lastRenderedPageBreak/>
        <w:t xml:space="preserve">Table 29 </w:t>
      </w:r>
      <w:r w:rsidR="00DC31A5">
        <w:rPr>
          <w:szCs w:val="24"/>
        </w:rPr>
        <w:t>show</w:t>
      </w:r>
      <w:r>
        <w:rPr>
          <w:szCs w:val="24"/>
        </w:rPr>
        <w:t>s</w:t>
      </w:r>
      <w:r w:rsidR="00DC31A5">
        <w:rPr>
          <w:szCs w:val="24"/>
        </w:rPr>
        <w:t xml:space="preserve"> the number and </w:t>
      </w:r>
      <w:r w:rsidR="00614F10">
        <w:rPr>
          <w:szCs w:val="24"/>
        </w:rPr>
        <w:t xml:space="preserve">crude </w:t>
      </w:r>
      <w:r w:rsidR="00DC31A5">
        <w:rPr>
          <w:szCs w:val="24"/>
        </w:rPr>
        <w:t xml:space="preserve">rate per </w:t>
      </w:r>
      <w:r w:rsidR="009836A6">
        <w:rPr>
          <w:szCs w:val="24"/>
        </w:rPr>
        <w:t>1,000</w:t>
      </w:r>
      <w:r w:rsidR="00DC31A5">
        <w:rPr>
          <w:szCs w:val="24"/>
        </w:rPr>
        <w:t xml:space="preserve"> of people registered with the </w:t>
      </w:r>
      <w:r w:rsidR="009726D9">
        <w:rPr>
          <w:szCs w:val="24"/>
        </w:rPr>
        <w:t>local</w:t>
      </w:r>
      <w:r w:rsidR="00DC31A5">
        <w:rPr>
          <w:szCs w:val="24"/>
        </w:rPr>
        <w:t xml:space="preserve"> authority as sight impaired or severely sight impaired.  The rate of severely sight impaired </w:t>
      </w:r>
      <w:r w:rsidR="007808FE">
        <w:rPr>
          <w:szCs w:val="24"/>
        </w:rPr>
        <w:t>wa</w:t>
      </w:r>
      <w:r w:rsidR="00DC31A5">
        <w:rPr>
          <w:szCs w:val="24"/>
        </w:rPr>
        <w:t xml:space="preserve">s higher in Merthyr Tydfil and Rhondda Cynon Taf compared to Wales (3.3 and 3.6 per </w:t>
      </w:r>
      <w:r w:rsidR="009836A6">
        <w:rPr>
          <w:szCs w:val="24"/>
        </w:rPr>
        <w:t>1,000</w:t>
      </w:r>
      <w:r w:rsidR="00DC31A5">
        <w:rPr>
          <w:szCs w:val="24"/>
        </w:rPr>
        <w:t xml:space="preserve"> </w:t>
      </w:r>
      <w:r w:rsidR="007808FE">
        <w:rPr>
          <w:szCs w:val="24"/>
        </w:rPr>
        <w:t xml:space="preserve">compared with </w:t>
      </w:r>
      <w:r w:rsidR="00DC31A5">
        <w:rPr>
          <w:szCs w:val="24"/>
        </w:rPr>
        <w:t xml:space="preserve">2.9 per </w:t>
      </w:r>
      <w:r w:rsidR="009836A6">
        <w:rPr>
          <w:szCs w:val="24"/>
        </w:rPr>
        <w:t>1,000</w:t>
      </w:r>
      <w:r w:rsidR="007808FE">
        <w:rPr>
          <w:szCs w:val="24"/>
        </w:rPr>
        <w:t xml:space="preserve"> in Wales).  The rate of sight impaired wa</w:t>
      </w:r>
      <w:r w:rsidR="00DC31A5">
        <w:rPr>
          <w:szCs w:val="24"/>
        </w:rPr>
        <w:t xml:space="preserve">s similar in Merthyr Tydfil and Rhondda Cynon Taf compared to Wales.  </w:t>
      </w:r>
      <w:r>
        <w:rPr>
          <w:szCs w:val="24"/>
        </w:rPr>
        <w:t xml:space="preserve">Table 30 </w:t>
      </w:r>
      <w:r w:rsidR="00DC31A5" w:rsidRPr="00DC31A5">
        <w:rPr>
          <w:szCs w:val="24"/>
        </w:rPr>
        <w:t xml:space="preserve">shows how the health boards in Wales compare with each other. </w:t>
      </w:r>
    </w:p>
    <w:p w:rsidR="005D116F" w:rsidRPr="005D116F" w:rsidRDefault="005D116F" w:rsidP="005D116F"/>
    <w:p w:rsidR="00A603B4" w:rsidRPr="00A603B4" w:rsidRDefault="00A603B4" w:rsidP="00A603B4">
      <w:pPr>
        <w:pStyle w:val="Caption"/>
        <w:jc w:val="left"/>
        <w:rPr>
          <w:sz w:val="20"/>
        </w:rPr>
      </w:pPr>
      <w:bookmarkStart w:id="271" w:name="_Ref283995554"/>
      <w:bookmarkStart w:id="272" w:name="_Toc302293571"/>
      <w:r w:rsidRPr="00A603B4">
        <w:rPr>
          <w:sz w:val="20"/>
        </w:rPr>
        <w:t xml:space="preserve">Table </w:t>
      </w:r>
      <w:r w:rsidR="001060C2" w:rsidRPr="00A603B4">
        <w:rPr>
          <w:sz w:val="20"/>
        </w:rPr>
        <w:fldChar w:fldCharType="begin"/>
      </w:r>
      <w:r w:rsidRPr="00A603B4">
        <w:rPr>
          <w:sz w:val="20"/>
        </w:rPr>
        <w:instrText xml:space="preserve"> SEQ Table \* ARABIC </w:instrText>
      </w:r>
      <w:r w:rsidR="001060C2" w:rsidRPr="00A603B4">
        <w:rPr>
          <w:sz w:val="20"/>
        </w:rPr>
        <w:fldChar w:fldCharType="separate"/>
      </w:r>
      <w:r w:rsidR="00F96900">
        <w:rPr>
          <w:noProof/>
          <w:sz w:val="20"/>
        </w:rPr>
        <w:t>29</w:t>
      </w:r>
      <w:r w:rsidR="001060C2" w:rsidRPr="00A603B4">
        <w:rPr>
          <w:sz w:val="20"/>
        </w:rPr>
        <w:fldChar w:fldCharType="end"/>
      </w:r>
      <w:bookmarkEnd w:id="271"/>
      <w:r w:rsidR="00635B70">
        <w:rPr>
          <w:sz w:val="20"/>
        </w:rPr>
        <w:t xml:space="preserve">. </w:t>
      </w:r>
      <w:r w:rsidR="009726D9">
        <w:rPr>
          <w:sz w:val="20"/>
        </w:rPr>
        <w:t>Local</w:t>
      </w:r>
      <w:r w:rsidR="00F435D0">
        <w:rPr>
          <w:sz w:val="20"/>
        </w:rPr>
        <w:t xml:space="preserve"> </w:t>
      </w:r>
      <w:r w:rsidR="007B32C7">
        <w:rPr>
          <w:sz w:val="20"/>
        </w:rPr>
        <w:t>authority</w:t>
      </w:r>
      <w:r w:rsidRPr="00A603B4">
        <w:rPr>
          <w:sz w:val="20"/>
        </w:rPr>
        <w:t xml:space="preserve"> register o</w:t>
      </w:r>
      <w:r>
        <w:rPr>
          <w:sz w:val="20"/>
        </w:rPr>
        <w:t xml:space="preserve">f people with sight impairment by </w:t>
      </w:r>
      <w:r w:rsidR="009726D9">
        <w:rPr>
          <w:sz w:val="20"/>
        </w:rPr>
        <w:t>local</w:t>
      </w:r>
      <w:r w:rsidR="00F435D0">
        <w:rPr>
          <w:sz w:val="20"/>
        </w:rPr>
        <w:t xml:space="preserve"> </w:t>
      </w:r>
      <w:r w:rsidR="007B32C7">
        <w:rPr>
          <w:sz w:val="20"/>
        </w:rPr>
        <w:t>authority</w:t>
      </w:r>
      <w:r>
        <w:rPr>
          <w:sz w:val="20"/>
        </w:rPr>
        <w:t xml:space="preserve">, </w:t>
      </w:r>
      <w:r w:rsidRPr="00A603B4">
        <w:rPr>
          <w:sz w:val="20"/>
        </w:rPr>
        <w:t>2009</w:t>
      </w:r>
      <w:bookmarkEnd w:id="272"/>
    </w:p>
    <w:p w:rsidR="00D223D0" w:rsidRPr="009B0BA0" w:rsidRDefault="007906AE" w:rsidP="00D223D0">
      <w:r>
        <w:rPr>
          <w:noProof/>
          <w:lang w:eastAsia="en-GB"/>
        </w:rPr>
        <w:drawing>
          <wp:inline distT="0" distB="0" distL="0" distR="0">
            <wp:extent cx="5895340" cy="3838575"/>
            <wp:effectExtent l="19050" t="0" r="0" b="0"/>
            <wp:docPr id="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3" cstate="print"/>
                    <a:srcRect/>
                    <a:stretch>
                      <a:fillRect/>
                    </a:stretch>
                  </pic:blipFill>
                  <pic:spPr bwMode="auto">
                    <a:xfrm>
                      <a:off x="0" y="0"/>
                      <a:ext cx="5895340" cy="3838575"/>
                    </a:xfrm>
                    <a:prstGeom prst="rect">
                      <a:avLst/>
                    </a:prstGeom>
                    <a:noFill/>
                  </pic:spPr>
                </pic:pic>
              </a:graphicData>
            </a:graphic>
          </wp:inline>
        </w:drawing>
      </w:r>
    </w:p>
    <w:p w:rsidR="00D95071" w:rsidRDefault="00D95071" w:rsidP="00A603B4">
      <w:pPr>
        <w:pStyle w:val="Caption"/>
        <w:jc w:val="left"/>
        <w:rPr>
          <w:sz w:val="20"/>
        </w:rPr>
      </w:pPr>
    </w:p>
    <w:p w:rsidR="00D223D0" w:rsidRPr="00A603B4" w:rsidRDefault="00A603B4" w:rsidP="00A603B4">
      <w:pPr>
        <w:pStyle w:val="Caption"/>
        <w:jc w:val="left"/>
        <w:rPr>
          <w:sz w:val="20"/>
        </w:rPr>
      </w:pPr>
      <w:bookmarkStart w:id="273" w:name="_Ref283995557"/>
      <w:bookmarkStart w:id="274" w:name="_Toc302293572"/>
      <w:r w:rsidRPr="00A603B4">
        <w:rPr>
          <w:sz w:val="20"/>
        </w:rPr>
        <w:t xml:space="preserve">Table </w:t>
      </w:r>
      <w:r w:rsidR="001060C2" w:rsidRPr="00A603B4">
        <w:rPr>
          <w:sz w:val="20"/>
        </w:rPr>
        <w:fldChar w:fldCharType="begin"/>
      </w:r>
      <w:r w:rsidRPr="00A603B4">
        <w:rPr>
          <w:sz w:val="20"/>
        </w:rPr>
        <w:instrText xml:space="preserve"> SEQ Table \* ARABIC </w:instrText>
      </w:r>
      <w:r w:rsidR="001060C2" w:rsidRPr="00A603B4">
        <w:rPr>
          <w:sz w:val="20"/>
        </w:rPr>
        <w:fldChar w:fldCharType="separate"/>
      </w:r>
      <w:r w:rsidR="00F96900">
        <w:rPr>
          <w:noProof/>
          <w:sz w:val="20"/>
        </w:rPr>
        <w:t>30</w:t>
      </w:r>
      <w:r w:rsidR="001060C2" w:rsidRPr="00A603B4">
        <w:rPr>
          <w:sz w:val="20"/>
        </w:rPr>
        <w:fldChar w:fldCharType="end"/>
      </w:r>
      <w:bookmarkEnd w:id="273"/>
      <w:r w:rsidR="00635B70">
        <w:rPr>
          <w:sz w:val="20"/>
        </w:rPr>
        <w:t>. L</w:t>
      </w:r>
      <w:r w:rsidR="009726D9">
        <w:rPr>
          <w:sz w:val="20"/>
        </w:rPr>
        <w:t>ocal</w:t>
      </w:r>
      <w:r w:rsidR="00F435D0">
        <w:rPr>
          <w:sz w:val="20"/>
        </w:rPr>
        <w:t xml:space="preserve"> </w:t>
      </w:r>
      <w:r w:rsidR="007B32C7">
        <w:rPr>
          <w:sz w:val="20"/>
        </w:rPr>
        <w:t>authority</w:t>
      </w:r>
      <w:r w:rsidRPr="00A603B4">
        <w:rPr>
          <w:sz w:val="20"/>
        </w:rPr>
        <w:t xml:space="preserve"> register of people with sight impairment by </w:t>
      </w:r>
      <w:r>
        <w:rPr>
          <w:sz w:val="20"/>
        </w:rPr>
        <w:t>health board</w:t>
      </w:r>
      <w:r w:rsidRPr="00A603B4">
        <w:rPr>
          <w:sz w:val="20"/>
        </w:rPr>
        <w:t>, 2009</w:t>
      </w:r>
      <w:bookmarkEnd w:id="274"/>
    </w:p>
    <w:p w:rsidR="00AF18E8" w:rsidRDefault="007906AE" w:rsidP="00C57E5B">
      <w:r>
        <w:rPr>
          <w:noProof/>
          <w:lang w:eastAsia="en-GB"/>
        </w:rPr>
        <w:drawing>
          <wp:inline distT="0" distB="0" distL="0" distR="0">
            <wp:extent cx="6127115" cy="1743075"/>
            <wp:effectExtent l="19050" t="0" r="0" b="0"/>
            <wp:docPr id="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cstate="print"/>
                    <a:srcRect/>
                    <a:stretch>
                      <a:fillRect/>
                    </a:stretch>
                  </pic:blipFill>
                  <pic:spPr bwMode="auto">
                    <a:xfrm>
                      <a:off x="0" y="0"/>
                      <a:ext cx="6127115" cy="1743075"/>
                    </a:xfrm>
                    <a:prstGeom prst="rect">
                      <a:avLst/>
                    </a:prstGeom>
                    <a:noFill/>
                  </pic:spPr>
                </pic:pic>
              </a:graphicData>
            </a:graphic>
          </wp:inline>
        </w:drawing>
      </w:r>
    </w:p>
    <w:p w:rsidR="00AF18E8" w:rsidRPr="00AF18E8" w:rsidRDefault="00AF18E8" w:rsidP="00AF18E8"/>
    <w:p w:rsidR="00425842" w:rsidRDefault="00425842" w:rsidP="00425842">
      <w:pPr>
        <w:pStyle w:val="Heading3"/>
      </w:pPr>
      <w:bookmarkStart w:id="275" w:name="_Toc291585887"/>
      <w:bookmarkStart w:id="276" w:name="_Toc302293473"/>
      <w:r>
        <w:lastRenderedPageBreak/>
        <w:t>Pharmacy data</w:t>
      </w:r>
      <w:bookmarkEnd w:id="275"/>
      <w:bookmarkEnd w:id="276"/>
    </w:p>
    <w:p w:rsidR="00511D7C" w:rsidRDefault="00511D7C" w:rsidP="00511D7C">
      <w:pPr>
        <w:pStyle w:val="heading4verdana"/>
      </w:pPr>
      <w:r>
        <w:t>Data sources</w:t>
      </w:r>
    </w:p>
    <w:p w:rsidR="00E959B2" w:rsidRDefault="00F435D0" w:rsidP="0080067B">
      <w:pPr>
        <w:rPr>
          <w:rFonts w:ascii="Times New Roman" w:hAnsi="Times New Roman"/>
          <w:szCs w:val="24"/>
          <w:lang w:eastAsia="en-GB"/>
        </w:rPr>
      </w:pPr>
      <w:r>
        <w:t xml:space="preserve">Prescribing data for glaucoma drugs was obtained from </w:t>
      </w:r>
      <w:r w:rsidR="00FE3B22">
        <w:t xml:space="preserve">Comparative Analysis System for Prescribing Audit, Prescribing Services Unit, NHS Wales Informatics Service via </w:t>
      </w:r>
      <w:r>
        <w:t>the Pharmaceutical Public Health Team</w:t>
      </w:r>
      <w:r w:rsidR="00FE3B22">
        <w:t xml:space="preserve">, Public Health Wales. </w:t>
      </w:r>
      <w:r w:rsidR="00511D7C" w:rsidRPr="00511D7C">
        <w:rPr>
          <w:rFonts w:ascii="Times New Roman" w:hAnsi="Times New Roman"/>
          <w:szCs w:val="24"/>
          <w:lang w:eastAsia="en-GB"/>
        </w:rPr>
        <w:t> </w:t>
      </w:r>
    </w:p>
    <w:p w:rsidR="00511D7C" w:rsidRDefault="00511D7C" w:rsidP="00511D7C">
      <w:pPr>
        <w:pStyle w:val="heading4verdana"/>
      </w:pPr>
      <w:r>
        <w:t>Data analysis</w:t>
      </w:r>
    </w:p>
    <w:p w:rsidR="0080067B" w:rsidRDefault="0080067B" w:rsidP="0080067B">
      <w:pPr>
        <w:spacing w:before="0"/>
      </w:pPr>
    </w:p>
    <w:p w:rsidR="0027602F" w:rsidRDefault="0080067B" w:rsidP="0027602F">
      <w:pPr>
        <w:spacing w:before="0"/>
      </w:pPr>
      <w:r>
        <w:t>The number of items for treatment of glaucoma (</w:t>
      </w:r>
      <w:r w:rsidR="007808FE">
        <w:t xml:space="preserve">from </w:t>
      </w:r>
      <w:r>
        <w:t>section 11.6 in British National Formulary) that were dispensed from GPs in Merthyr Tydf</w:t>
      </w:r>
      <w:r w:rsidR="00976E79">
        <w:t>il, Rhondda Cynon Taf and</w:t>
      </w:r>
      <w:r>
        <w:t xml:space="preserve"> Wales were obtained for the time period April 2009 to March 2010.  </w:t>
      </w:r>
      <w:r w:rsidR="0027602F">
        <w:t xml:space="preserve">An average monthly number of items was calculated by dividing the annual total by 12.  </w:t>
      </w:r>
    </w:p>
    <w:p w:rsidR="007808FE" w:rsidRDefault="007808FE" w:rsidP="0027602F">
      <w:pPr>
        <w:spacing w:before="0"/>
      </w:pPr>
    </w:p>
    <w:p w:rsidR="007808FE" w:rsidRDefault="0027602F" w:rsidP="007808FE">
      <w:pPr>
        <w:spacing w:before="0"/>
      </w:pPr>
      <w:r>
        <w:t>Of the total number of items for treatment of glaucoma, each patient may have received one, two or more items.</w:t>
      </w:r>
      <w:r w:rsidR="00DF2FB7">
        <w:t xml:space="preserve">  </w:t>
      </w:r>
      <w:r>
        <w:t xml:space="preserve">A minimum and maximum </w:t>
      </w:r>
      <w:r w:rsidR="002407BE">
        <w:t xml:space="preserve">estimate </w:t>
      </w:r>
      <w:r>
        <w:t>of avera</w:t>
      </w:r>
      <w:r w:rsidR="007808FE">
        <w:t>ge monthly items was calculated and it was assumed that the number of monthly items was equivalent to the number of patients treated.</w:t>
      </w:r>
    </w:p>
    <w:p w:rsidR="0027602F" w:rsidRDefault="0027602F" w:rsidP="0027602F">
      <w:pPr>
        <w:spacing w:before="0"/>
      </w:pPr>
    </w:p>
    <w:p w:rsidR="0027602F" w:rsidRDefault="0027602F" w:rsidP="0027602F">
      <w:pPr>
        <w:spacing w:before="0"/>
      </w:pPr>
      <w:r>
        <w:t xml:space="preserve">For the minimum </w:t>
      </w:r>
      <w:r w:rsidR="002407BE">
        <w:t>estimate</w:t>
      </w:r>
      <w:r>
        <w:t>, the number of items of prostaglandin analogues (alone) and prostaglandin with a beta-blocker were added, because it would be reasonable to assume that these would all be different patients.</w:t>
      </w:r>
    </w:p>
    <w:p w:rsidR="0027602F" w:rsidRDefault="0027602F" w:rsidP="0027602F">
      <w:pPr>
        <w:spacing w:before="0"/>
      </w:pPr>
    </w:p>
    <w:p w:rsidR="0027602F" w:rsidRPr="002407BE" w:rsidRDefault="0027602F" w:rsidP="0027602F">
      <w:pPr>
        <w:spacing w:before="0"/>
      </w:pPr>
      <w:r w:rsidRPr="002407BE">
        <w:t xml:space="preserve">For the maximum </w:t>
      </w:r>
      <w:r w:rsidR="002407BE">
        <w:t>estimate</w:t>
      </w:r>
      <w:r w:rsidRPr="002407BE">
        <w:t>, the number of items of prostaglandin analogues (alone) and prostaglandin with a beta-blocker were added, along with the number of items of beta-blockers</w:t>
      </w:r>
      <w:r w:rsidR="00DF2FB7" w:rsidRPr="002407BE">
        <w:t xml:space="preserve"> (alone), </w:t>
      </w:r>
      <w:r w:rsidR="00DF2FB7" w:rsidRPr="002407BE">
        <w:rPr>
          <w:rFonts w:cs="Arial"/>
          <w:color w:val="000000"/>
        </w:rPr>
        <w:t xml:space="preserve">carbonic anhydrase </w:t>
      </w:r>
      <w:r w:rsidR="00DF2FB7" w:rsidRPr="002407BE">
        <w:rPr>
          <w:rFonts w:cs="Arial"/>
          <w:bCs/>
          <w:color w:val="000000"/>
        </w:rPr>
        <w:t>inhibitor (alone or in combination with a beta-blocker).  It was not possible to establish whether beta-blockers or carbonic anhydrase inhibitors were for patients having the drug in addition to prostaglandins or instead of prostaglandins.</w:t>
      </w:r>
      <w:r w:rsidR="002407BE">
        <w:rPr>
          <w:rFonts w:cs="Arial"/>
          <w:bCs/>
          <w:color w:val="000000"/>
        </w:rPr>
        <w:t xml:space="preserve"> It is likely to be a mixture of both.  For the maximum estimate it is assumed that these items are instead of prostaglandins.  The true range for the average number of items for treatment of glaucoma is </w:t>
      </w:r>
      <w:r w:rsidR="003052AC">
        <w:rPr>
          <w:rFonts w:cs="Arial"/>
          <w:bCs/>
          <w:color w:val="000000"/>
        </w:rPr>
        <w:t xml:space="preserve">likely to be </w:t>
      </w:r>
      <w:r w:rsidR="002407BE">
        <w:rPr>
          <w:rFonts w:cs="Arial"/>
          <w:bCs/>
          <w:color w:val="000000"/>
        </w:rPr>
        <w:t>somewhere between the minimum and maximum estimate.</w:t>
      </w:r>
    </w:p>
    <w:p w:rsidR="00511D7C" w:rsidRDefault="00511D7C" w:rsidP="00511D7C">
      <w:pPr>
        <w:pStyle w:val="heading4verdana"/>
      </w:pPr>
      <w:r>
        <w:t>Results</w:t>
      </w:r>
    </w:p>
    <w:p w:rsidR="00121431" w:rsidRDefault="000612BE" w:rsidP="00121431">
      <w:r>
        <w:t xml:space="preserve">Table 31 </w:t>
      </w:r>
      <w:r w:rsidR="002A4355" w:rsidRPr="002A4355">
        <w:t>shows</w:t>
      </w:r>
      <w:r w:rsidR="002A4355">
        <w:t xml:space="preserve"> the estimated average number</w:t>
      </w:r>
      <w:r w:rsidR="00CB6479">
        <w:t xml:space="preserve"> and estimate per </w:t>
      </w:r>
      <w:r w:rsidR="009836A6">
        <w:t>1,000</w:t>
      </w:r>
      <w:r w:rsidR="00CB6479">
        <w:t xml:space="preserve"> population </w:t>
      </w:r>
      <w:r w:rsidR="00635B70">
        <w:t>aged over 15 y</w:t>
      </w:r>
      <w:r w:rsidR="00CB6479">
        <w:t>ears</w:t>
      </w:r>
      <w:r w:rsidR="00635B70">
        <w:t xml:space="preserve"> </w:t>
      </w:r>
      <w:r w:rsidR="002A4355">
        <w:t>of dispensed glaucoma preparations in Merthyr Tydfil, Rhondda Cynon Taf, Cwm Taf and Wales. The minimum estimate is likely to be an under estimate</w:t>
      </w:r>
      <w:r w:rsidR="00121431">
        <w:t xml:space="preserve"> of the number of patients receiving glaucoma preparations as not all patients would be prescribed </w:t>
      </w:r>
      <w:r w:rsidR="00121431">
        <w:lastRenderedPageBreak/>
        <w:t>first line medications but would be prescribed preparations other than prostaglandins or prostaglandins and beta-blockers.  T</w:t>
      </w:r>
      <w:r w:rsidR="002A4355">
        <w:t xml:space="preserve">he maximum </w:t>
      </w:r>
      <w:r w:rsidR="00121431">
        <w:t xml:space="preserve">estimate is likely to be </w:t>
      </w:r>
      <w:r w:rsidR="002A4355">
        <w:t>an over estimate</w:t>
      </w:r>
      <w:r w:rsidR="00121431">
        <w:t xml:space="preserve"> as some patients would receive more than one item.  As well as this, these preparations could be prescribed for indications other than glaucoma, such </w:t>
      </w:r>
      <w:r w:rsidR="002F3DB9">
        <w:t>as ocular hypertension, but it wa</w:t>
      </w:r>
      <w:r w:rsidR="00121431">
        <w:t xml:space="preserve">s not possible to distinguish the reason for the prescription. </w:t>
      </w:r>
    </w:p>
    <w:p w:rsidR="00635B70" w:rsidRDefault="00635B70" w:rsidP="00121431"/>
    <w:p w:rsidR="001B4488" w:rsidRDefault="00321E19" w:rsidP="00321E19">
      <w:pPr>
        <w:pStyle w:val="Caption"/>
        <w:jc w:val="left"/>
        <w:rPr>
          <w:sz w:val="20"/>
        </w:rPr>
      </w:pPr>
      <w:bookmarkStart w:id="277" w:name="_Ref285135828"/>
      <w:bookmarkStart w:id="278" w:name="_Toc302293573"/>
      <w:r w:rsidRPr="00321E19">
        <w:rPr>
          <w:sz w:val="20"/>
        </w:rPr>
        <w:t xml:space="preserve">Table </w:t>
      </w:r>
      <w:r w:rsidR="001060C2" w:rsidRPr="00321E19">
        <w:rPr>
          <w:sz w:val="20"/>
        </w:rPr>
        <w:fldChar w:fldCharType="begin"/>
      </w:r>
      <w:r w:rsidRPr="00321E19">
        <w:rPr>
          <w:sz w:val="20"/>
        </w:rPr>
        <w:instrText xml:space="preserve"> SEQ Table \* ARABIC </w:instrText>
      </w:r>
      <w:r w:rsidR="001060C2" w:rsidRPr="00321E19">
        <w:rPr>
          <w:sz w:val="20"/>
        </w:rPr>
        <w:fldChar w:fldCharType="separate"/>
      </w:r>
      <w:r w:rsidR="00F96900">
        <w:rPr>
          <w:noProof/>
          <w:sz w:val="20"/>
        </w:rPr>
        <w:t>31</w:t>
      </w:r>
      <w:r w:rsidR="001060C2" w:rsidRPr="00321E19">
        <w:rPr>
          <w:sz w:val="20"/>
        </w:rPr>
        <w:fldChar w:fldCharType="end"/>
      </w:r>
      <w:bookmarkEnd w:id="277"/>
      <w:r w:rsidR="00635B70">
        <w:rPr>
          <w:sz w:val="20"/>
        </w:rPr>
        <w:t xml:space="preserve">. </w:t>
      </w:r>
      <w:r w:rsidRPr="00321E19">
        <w:rPr>
          <w:sz w:val="20"/>
        </w:rPr>
        <w:t xml:space="preserve">Minimum and maximum estimates of monthly ophthalmic glaucoma preparations, </w:t>
      </w:r>
      <w:r w:rsidR="00D90D15">
        <w:rPr>
          <w:sz w:val="20"/>
        </w:rPr>
        <w:t xml:space="preserve">Merthyr Tydfil, Rhondda Cynon Taf, </w:t>
      </w:r>
      <w:r w:rsidRPr="00321E19">
        <w:rPr>
          <w:sz w:val="20"/>
        </w:rPr>
        <w:t>2009-2010 data</w:t>
      </w:r>
      <w:bookmarkEnd w:id="278"/>
    </w:p>
    <w:p w:rsidR="00B26593" w:rsidRPr="00B26593" w:rsidRDefault="00FE3F2D" w:rsidP="00B26593">
      <w:r>
        <w:rPr>
          <w:noProof/>
          <w:lang w:eastAsia="en-GB"/>
        </w:rPr>
        <w:drawing>
          <wp:inline distT="0" distB="0" distL="0" distR="0">
            <wp:extent cx="5450840" cy="1864360"/>
            <wp:effectExtent l="19050" t="0" r="0" b="0"/>
            <wp:docPr id="5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cstate="print"/>
                    <a:srcRect/>
                    <a:stretch>
                      <a:fillRect/>
                    </a:stretch>
                  </pic:blipFill>
                  <pic:spPr bwMode="auto">
                    <a:xfrm>
                      <a:off x="0" y="0"/>
                      <a:ext cx="5450840" cy="1864360"/>
                    </a:xfrm>
                    <a:prstGeom prst="rect">
                      <a:avLst/>
                    </a:prstGeom>
                    <a:noFill/>
                    <a:ln w="9525">
                      <a:noFill/>
                      <a:miter lim="800000"/>
                      <a:headEnd/>
                      <a:tailEnd/>
                    </a:ln>
                  </pic:spPr>
                </pic:pic>
              </a:graphicData>
            </a:graphic>
          </wp:inline>
        </w:drawing>
      </w:r>
    </w:p>
    <w:p w:rsidR="00B16F0A" w:rsidRDefault="005658A6" w:rsidP="00B16F0A">
      <w:pPr>
        <w:pStyle w:val="Heading2"/>
      </w:pPr>
      <w:bookmarkStart w:id="279" w:name="_Toc291585888"/>
      <w:bookmarkStart w:id="280" w:name="_Toc302293474"/>
      <w:r>
        <w:t>S</w:t>
      </w:r>
      <w:r w:rsidR="00E22A0E">
        <w:t>econdary care</w:t>
      </w:r>
      <w:bookmarkEnd w:id="279"/>
      <w:bookmarkEnd w:id="280"/>
    </w:p>
    <w:p w:rsidR="0074554C" w:rsidRDefault="0074554C" w:rsidP="0074554C">
      <w:pPr>
        <w:pStyle w:val="Heading3"/>
      </w:pPr>
      <w:bookmarkStart w:id="281" w:name="_Ref287288470"/>
      <w:bookmarkStart w:id="282" w:name="_Toc291585889"/>
      <w:bookmarkStart w:id="283" w:name="_Toc302293475"/>
      <w:r>
        <w:t>Outpatients</w:t>
      </w:r>
      <w:bookmarkEnd w:id="281"/>
      <w:bookmarkEnd w:id="282"/>
      <w:bookmarkEnd w:id="283"/>
    </w:p>
    <w:p w:rsidR="0074554C" w:rsidRDefault="0074554C" w:rsidP="0074554C">
      <w:pPr>
        <w:pStyle w:val="heading4verdana"/>
      </w:pPr>
      <w:r>
        <w:t>Data sources</w:t>
      </w:r>
    </w:p>
    <w:p w:rsidR="00A2254F" w:rsidRPr="00E959B2" w:rsidRDefault="00A2254F" w:rsidP="00E959B2">
      <w:pPr>
        <w:rPr>
          <w:szCs w:val="24"/>
        </w:rPr>
      </w:pPr>
      <w:r>
        <w:t>Data on new outpatient ophthalmology a</w:t>
      </w:r>
      <w:r w:rsidR="00D51443">
        <w:t xml:space="preserve">ppointments was available from </w:t>
      </w:r>
      <w:r w:rsidR="0035044B">
        <w:t>PEDW</w:t>
      </w:r>
      <w:r w:rsidR="00424B51">
        <w:t xml:space="preserve">. </w:t>
      </w:r>
      <w:r w:rsidR="002F3DB9">
        <w:t>D</w:t>
      </w:r>
      <w:r w:rsidR="005B1496">
        <w:t xml:space="preserve">ata </w:t>
      </w:r>
      <w:r w:rsidR="002F3DB9">
        <w:t xml:space="preserve">from 2009 were </w:t>
      </w:r>
      <w:r w:rsidR="005B1496">
        <w:t xml:space="preserve">available. </w:t>
      </w:r>
      <w:r w:rsidR="00D51443" w:rsidRPr="00E959B2">
        <w:rPr>
          <w:color w:val="000000"/>
          <w:szCs w:val="24"/>
        </w:rPr>
        <w:t>The PEDW database contains records of care received by all patients in NHS Wales hospitals and for some Welsh residents treated in the other home countries (NHS Wales</w:t>
      </w:r>
      <w:r w:rsidR="00424B51">
        <w:rPr>
          <w:color w:val="000000"/>
          <w:szCs w:val="24"/>
        </w:rPr>
        <w:t>,</w:t>
      </w:r>
      <w:r w:rsidR="00D51443" w:rsidRPr="00E959B2">
        <w:rPr>
          <w:color w:val="000000"/>
          <w:szCs w:val="24"/>
        </w:rPr>
        <w:t xml:space="preserve"> 2009).</w:t>
      </w:r>
      <w:r w:rsidR="001A6C08" w:rsidRPr="00E959B2">
        <w:rPr>
          <w:color w:val="000000"/>
          <w:szCs w:val="24"/>
        </w:rPr>
        <w:t xml:space="preserve">  These appointments were not condition specific. </w:t>
      </w:r>
    </w:p>
    <w:p w:rsidR="00F848F2" w:rsidRPr="00E959B2" w:rsidRDefault="00F848F2" w:rsidP="00E959B2">
      <w:pPr>
        <w:rPr>
          <w:szCs w:val="24"/>
        </w:rPr>
      </w:pPr>
      <w:r w:rsidRPr="00E959B2">
        <w:rPr>
          <w:color w:val="000000"/>
          <w:szCs w:val="24"/>
        </w:rPr>
        <w:t xml:space="preserve">Data on Lucentis injections </w:t>
      </w:r>
      <w:r w:rsidR="001A6C08" w:rsidRPr="00E959B2">
        <w:rPr>
          <w:color w:val="000000"/>
          <w:szCs w:val="24"/>
        </w:rPr>
        <w:t xml:space="preserve">for </w:t>
      </w:r>
      <w:r w:rsidR="002F3DB9">
        <w:t xml:space="preserve">ARMD </w:t>
      </w:r>
      <w:r w:rsidRPr="00E959B2">
        <w:rPr>
          <w:color w:val="000000"/>
          <w:szCs w:val="24"/>
        </w:rPr>
        <w:t>w</w:t>
      </w:r>
      <w:r w:rsidR="002F3DB9">
        <w:rPr>
          <w:color w:val="000000"/>
          <w:szCs w:val="24"/>
        </w:rPr>
        <w:t>ere</w:t>
      </w:r>
      <w:r w:rsidRPr="00E959B2">
        <w:rPr>
          <w:color w:val="000000"/>
          <w:szCs w:val="24"/>
        </w:rPr>
        <w:t xml:space="preserve"> available for Cwm Taf residents from a Consultant Ophthalmologist in Cwm Taf. </w:t>
      </w:r>
    </w:p>
    <w:p w:rsidR="00664F4B" w:rsidRPr="00E959B2" w:rsidRDefault="00424B51" w:rsidP="00E959B2">
      <w:pPr>
        <w:rPr>
          <w:szCs w:val="24"/>
        </w:rPr>
      </w:pPr>
      <w:r>
        <w:rPr>
          <w:color w:val="000000"/>
          <w:szCs w:val="24"/>
        </w:rPr>
        <w:t>Data on v</w:t>
      </w:r>
      <w:r w:rsidR="00664F4B" w:rsidRPr="00E959B2">
        <w:rPr>
          <w:color w:val="000000"/>
          <w:szCs w:val="24"/>
        </w:rPr>
        <w:t>i</w:t>
      </w:r>
      <w:r>
        <w:rPr>
          <w:color w:val="000000"/>
          <w:szCs w:val="24"/>
        </w:rPr>
        <w:t>sual f</w:t>
      </w:r>
      <w:r w:rsidR="00664F4B" w:rsidRPr="00E959B2">
        <w:rPr>
          <w:color w:val="000000"/>
          <w:szCs w:val="24"/>
        </w:rPr>
        <w:t xml:space="preserve">ield activity </w:t>
      </w:r>
      <w:r w:rsidR="001A6C08" w:rsidRPr="00E959B2">
        <w:rPr>
          <w:color w:val="000000"/>
          <w:szCs w:val="24"/>
        </w:rPr>
        <w:t>for patients</w:t>
      </w:r>
      <w:r w:rsidR="002F3DB9">
        <w:rPr>
          <w:color w:val="000000"/>
          <w:szCs w:val="24"/>
        </w:rPr>
        <w:t xml:space="preserve"> seen in Cwm Taf hospitals</w:t>
      </w:r>
      <w:r w:rsidR="001A6C08" w:rsidRPr="00E959B2">
        <w:rPr>
          <w:color w:val="000000"/>
          <w:szCs w:val="24"/>
        </w:rPr>
        <w:t xml:space="preserve"> </w:t>
      </w:r>
      <w:r w:rsidR="007F5899">
        <w:rPr>
          <w:color w:val="000000"/>
          <w:szCs w:val="24"/>
        </w:rPr>
        <w:t xml:space="preserve">were </w:t>
      </w:r>
      <w:r w:rsidR="00664F4B" w:rsidRPr="00E959B2">
        <w:rPr>
          <w:color w:val="000000"/>
          <w:szCs w:val="24"/>
        </w:rPr>
        <w:t>available from the Myrddin information system via a Consultant Ophthalmologist in Cwm Taf.</w:t>
      </w:r>
    </w:p>
    <w:p w:rsidR="0074554C" w:rsidRDefault="0074554C" w:rsidP="0074554C">
      <w:pPr>
        <w:pStyle w:val="heading4verdana"/>
      </w:pPr>
      <w:r>
        <w:t>Data analysis</w:t>
      </w:r>
    </w:p>
    <w:p w:rsidR="00626D0B" w:rsidRDefault="00626D0B" w:rsidP="00E959B2">
      <w:r>
        <w:t xml:space="preserve">The </w:t>
      </w:r>
      <w:r w:rsidR="00424B51">
        <w:t xml:space="preserve">crude and </w:t>
      </w:r>
      <w:r w:rsidR="007419BF">
        <w:t>EASR</w:t>
      </w:r>
      <w:r>
        <w:t xml:space="preserve"> of new outpatient ophthalmology appointments</w:t>
      </w:r>
      <w:r w:rsidR="00614F10">
        <w:t xml:space="preserve"> at</w:t>
      </w:r>
      <w:r w:rsidR="00E71F6A">
        <w:t xml:space="preserve"> health board level in Wales</w:t>
      </w:r>
      <w:r w:rsidR="00F848F2">
        <w:t xml:space="preserve"> and USOA level within Cwm Taf were calculated</w:t>
      </w:r>
      <w:r w:rsidR="00614F10">
        <w:t xml:space="preserve">.  The </w:t>
      </w:r>
      <w:r w:rsidR="00F848F2">
        <w:t>Public Health Wales O</w:t>
      </w:r>
      <w:r w:rsidR="00614F10">
        <w:t>bservatory Analytical Team used</w:t>
      </w:r>
      <w:r w:rsidR="00F848F2">
        <w:t xml:space="preserve"> </w:t>
      </w:r>
      <w:r w:rsidR="00F848F2">
        <w:lastRenderedPageBreak/>
        <w:t xml:space="preserve">PEDW data for the numerator and ONS data for mid-year population data for the denominator. </w:t>
      </w:r>
    </w:p>
    <w:p w:rsidR="00F848F2" w:rsidRDefault="00F848F2" w:rsidP="00E959B2">
      <w:r>
        <w:t xml:space="preserve">A count of the number of new patients who received Lucentis injections for </w:t>
      </w:r>
      <w:r w:rsidR="002F3DB9">
        <w:t xml:space="preserve">ARMD </w:t>
      </w:r>
      <w:r>
        <w:t xml:space="preserve">in 2009 to 2010 was obtained. </w:t>
      </w:r>
    </w:p>
    <w:p w:rsidR="002F3DB9" w:rsidRDefault="00664F4B" w:rsidP="002F3DB9">
      <w:r>
        <w:t>A count of the number of visual field tests offered and n</w:t>
      </w:r>
      <w:r w:rsidR="00880FCF">
        <w:t>umber of appointments attended in Cwm Taf in November 2009 to October 2010 was obtained.</w:t>
      </w:r>
      <w:r w:rsidR="002F3DB9">
        <w:t xml:space="preserve">  This number did not represent the number of patients, because although in theory glaucoma patients have their visual fields tested annually, in practice around 70-80</w:t>
      </w:r>
      <w:r w:rsidR="00CB30E2">
        <w:t xml:space="preserve"> </w:t>
      </w:r>
      <w:r w:rsidR="00976E79">
        <w:t>per cent</w:t>
      </w:r>
      <w:r w:rsidR="002F3DB9">
        <w:t xml:space="preserve"> are recalled at intervals of less than 12 months, and on average the follow up time for these more frequently tested patients is 6 months (personal communication, Linda Morris).  It was assumed that 75</w:t>
      </w:r>
      <w:r w:rsidR="00CB30E2">
        <w:t xml:space="preserve"> </w:t>
      </w:r>
      <w:r w:rsidR="00976E79">
        <w:t>per cent</w:t>
      </w:r>
      <w:r w:rsidR="002F3DB9">
        <w:t xml:space="preserve"> of the tests were for people tested every 6 months.  </w:t>
      </w:r>
    </w:p>
    <w:p w:rsidR="0074554C" w:rsidRDefault="0074554C" w:rsidP="0074554C">
      <w:pPr>
        <w:pStyle w:val="heading4verdana"/>
      </w:pPr>
      <w:r>
        <w:t>Results</w:t>
      </w:r>
    </w:p>
    <w:p w:rsidR="005E75E5" w:rsidRPr="005E75E5" w:rsidRDefault="005E75E5" w:rsidP="005E75E5">
      <w:pPr>
        <w:rPr>
          <w:b/>
        </w:rPr>
      </w:pPr>
      <w:r w:rsidRPr="005E75E5">
        <w:rPr>
          <w:b/>
        </w:rPr>
        <w:t xml:space="preserve">New outpatient ophthalmology appointments </w:t>
      </w:r>
    </w:p>
    <w:p w:rsidR="00580E37" w:rsidRDefault="000612BE" w:rsidP="00580E37">
      <w:r>
        <w:t xml:space="preserve">Figures 19 and 20 </w:t>
      </w:r>
      <w:r w:rsidR="00580E37">
        <w:t xml:space="preserve">show the </w:t>
      </w:r>
      <w:r w:rsidR="007419BF">
        <w:t xml:space="preserve">EASR and </w:t>
      </w:r>
      <w:r w:rsidR="006259D7">
        <w:t xml:space="preserve">crude </w:t>
      </w:r>
      <w:r w:rsidR="00580E37">
        <w:t>rate</w:t>
      </w:r>
      <w:r w:rsidR="006259D7">
        <w:t>s</w:t>
      </w:r>
      <w:r w:rsidR="00580E37">
        <w:t xml:space="preserve"> of new outpatient ophthalmology appo</w:t>
      </w:r>
      <w:r w:rsidR="007E2AE7">
        <w:t xml:space="preserve">intments at health board level in Wales and USOA level in Cwm Taf.  </w:t>
      </w:r>
      <w:r>
        <w:t xml:space="preserve">Figure 19 </w:t>
      </w:r>
      <w:r w:rsidR="007E2AE7">
        <w:rPr>
          <w:szCs w:val="24"/>
        </w:rPr>
        <w:t xml:space="preserve">shows that there </w:t>
      </w:r>
      <w:r w:rsidR="007E2AE7">
        <w:t xml:space="preserve">is variation in Wales </w:t>
      </w:r>
      <w:r w:rsidR="008E4685">
        <w:t>in</w:t>
      </w:r>
      <w:r w:rsidR="007E2AE7">
        <w:t xml:space="preserve"> the </w:t>
      </w:r>
      <w:r w:rsidR="007419BF">
        <w:t xml:space="preserve">EASRs </w:t>
      </w:r>
      <w:r w:rsidR="007E2AE7">
        <w:t xml:space="preserve">of new outpatient ophthalmology appointments.  The </w:t>
      </w:r>
      <w:r w:rsidR="007419BF">
        <w:t>EASR</w:t>
      </w:r>
      <w:r w:rsidR="007E2AE7">
        <w:t xml:space="preserve"> is higher in Cwm Taf compared with the Wales average.  There could be several reasons for this including a higher need for outpatient appointments in secondary care in Cwm Taf, better access to community services in other health board areas in Wales so secondary care is utilised </w:t>
      </w:r>
      <w:r w:rsidR="008E4685">
        <w:t>less</w:t>
      </w:r>
      <w:r w:rsidR="007E2AE7">
        <w:t>, or there could be differences in the way these appointments are coded in the different health boards</w:t>
      </w:r>
      <w:r w:rsidR="007E2AE7" w:rsidRPr="007E2AE7">
        <w:rPr>
          <w:szCs w:val="24"/>
        </w:rPr>
        <w:t xml:space="preserve">.  </w:t>
      </w:r>
      <w:r>
        <w:rPr>
          <w:szCs w:val="24"/>
        </w:rPr>
        <w:t xml:space="preserve">Figure 20 </w:t>
      </w:r>
      <w:r w:rsidR="007E2AE7">
        <w:t xml:space="preserve">shows that </w:t>
      </w:r>
      <w:r w:rsidR="00E761E7">
        <w:t>USOAs RCT</w:t>
      </w:r>
      <w:r w:rsidR="00175E53">
        <w:t xml:space="preserve">03, 04 and 05 have the highest </w:t>
      </w:r>
      <w:r w:rsidR="007419BF">
        <w:t xml:space="preserve">EASR </w:t>
      </w:r>
      <w:r w:rsidR="00C778DC">
        <w:t>of new outpatient ophthalmology appointments</w:t>
      </w:r>
      <w:r w:rsidR="008B215C">
        <w:t>.  These areas are closest to the Royal Glamorgan Hospital which could provide an expl</w:t>
      </w:r>
      <w:r w:rsidR="00E761E7">
        <w:t>anation, although USOAs Merthyr</w:t>
      </w:r>
      <w:r w:rsidR="008B215C">
        <w:t>01 and 02</w:t>
      </w:r>
      <w:r w:rsidR="000323E1">
        <w:t xml:space="preserve"> are near Pri</w:t>
      </w:r>
      <w:r w:rsidR="008E4685">
        <w:t>n</w:t>
      </w:r>
      <w:r w:rsidR="00424B51">
        <w:t xml:space="preserve">ce Charles Hospital and the </w:t>
      </w:r>
      <w:r w:rsidR="007419BF">
        <w:t xml:space="preserve">EASR </w:t>
      </w:r>
      <w:r w:rsidR="000323E1">
        <w:t>of new outpatient ophthalmology appointments are the among the lowest in Cwm Taf and are lower than the Wales average.  There is no particular pattern with deprivation; the most deprived USOAs in Cwm Taf are re</w:t>
      </w:r>
      <w:r w:rsidR="00E761E7">
        <w:t>lated to both rates higher (RCT03 and 04) and lower (Merthyr</w:t>
      </w:r>
      <w:r w:rsidR="000323E1">
        <w:t xml:space="preserve">01 and RCT01) than the Wales average. </w:t>
      </w:r>
    </w:p>
    <w:p w:rsidR="00580E37" w:rsidRPr="00F17B95" w:rsidRDefault="00580E37" w:rsidP="00580E37">
      <w:pPr>
        <w:pStyle w:val="Caption"/>
        <w:jc w:val="left"/>
        <w:rPr>
          <w:sz w:val="20"/>
        </w:rPr>
      </w:pPr>
      <w:bookmarkStart w:id="284" w:name="_Ref283976449"/>
      <w:bookmarkStart w:id="285" w:name="_Ref283976425"/>
      <w:bookmarkStart w:id="286" w:name="_Toc291585926"/>
      <w:bookmarkStart w:id="287" w:name="_Toc292463303"/>
      <w:bookmarkStart w:id="288" w:name="_Toc302232630"/>
      <w:r w:rsidRPr="00F17B95">
        <w:rPr>
          <w:sz w:val="20"/>
        </w:rPr>
        <w:lastRenderedPageBreak/>
        <w:t xml:space="preserve">Figure </w:t>
      </w:r>
      <w:r w:rsidR="001060C2" w:rsidRPr="00F17B95">
        <w:rPr>
          <w:sz w:val="20"/>
        </w:rPr>
        <w:fldChar w:fldCharType="begin"/>
      </w:r>
      <w:r w:rsidRPr="00F17B95">
        <w:rPr>
          <w:sz w:val="20"/>
        </w:rPr>
        <w:instrText xml:space="preserve"> SEQ Figure \* ARABIC </w:instrText>
      </w:r>
      <w:r w:rsidR="001060C2" w:rsidRPr="00F17B95">
        <w:rPr>
          <w:sz w:val="20"/>
        </w:rPr>
        <w:fldChar w:fldCharType="separate"/>
      </w:r>
      <w:r w:rsidR="00F96900">
        <w:rPr>
          <w:noProof/>
          <w:sz w:val="20"/>
        </w:rPr>
        <w:t>19</w:t>
      </w:r>
      <w:r w:rsidR="001060C2" w:rsidRPr="00F17B95">
        <w:rPr>
          <w:sz w:val="20"/>
        </w:rPr>
        <w:fldChar w:fldCharType="end"/>
      </w:r>
      <w:bookmarkEnd w:id="284"/>
      <w:r w:rsidR="00424B51">
        <w:rPr>
          <w:sz w:val="20"/>
        </w:rPr>
        <w:t xml:space="preserve">. </w:t>
      </w:r>
      <w:r w:rsidRPr="00F17B95">
        <w:rPr>
          <w:sz w:val="20"/>
        </w:rPr>
        <w:t xml:space="preserve">Attendance for </w:t>
      </w:r>
      <w:r>
        <w:rPr>
          <w:sz w:val="20"/>
        </w:rPr>
        <w:t xml:space="preserve">new </w:t>
      </w:r>
      <w:r w:rsidRPr="00F17B95">
        <w:rPr>
          <w:sz w:val="20"/>
        </w:rPr>
        <w:t xml:space="preserve">ophthalmology appointments, per </w:t>
      </w:r>
      <w:r w:rsidR="009836A6">
        <w:rPr>
          <w:sz w:val="20"/>
        </w:rPr>
        <w:t>1,000</w:t>
      </w:r>
      <w:r w:rsidR="00511B53">
        <w:rPr>
          <w:sz w:val="20"/>
        </w:rPr>
        <w:t xml:space="preserve"> population</w:t>
      </w:r>
      <w:r w:rsidRPr="00F17B95">
        <w:rPr>
          <w:sz w:val="20"/>
        </w:rPr>
        <w:t>, health board level, 2009</w:t>
      </w:r>
      <w:bookmarkEnd w:id="285"/>
      <w:bookmarkEnd w:id="286"/>
      <w:bookmarkEnd w:id="287"/>
      <w:bookmarkEnd w:id="288"/>
    </w:p>
    <w:p w:rsidR="00580E37" w:rsidRPr="001B5115" w:rsidRDefault="00580E37" w:rsidP="00580E37">
      <w:pPr>
        <w:pStyle w:val="Caption"/>
        <w:jc w:val="left"/>
        <w:rPr>
          <w:sz w:val="20"/>
        </w:rPr>
      </w:pPr>
      <w:r>
        <w:rPr>
          <w:noProof/>
          <w:sz w:val="20"/>
          <w:lang w:eastAsia="en-GB"/>
        </w:rPr>
        <w:drawing>
          <wp:inline distT="0" distB="0" distL="0" distR="0">
            <wp:extent cx="5238750" cy="4610100"/>
            <wp:effectExtent l="19050" t="0" r="0" b="0"/>
            <wp:docPr id="1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6" cstate="print"/>
                    <a:srcRect/>
                    <a:stretch>
                      <a:fillRect/>
                    </a:stretch>
                  </pic:blipFill>
                  <pic:spPr bwMode="auto">
                    <a:xfrm>
                      <a:off x="0" y="0"/>
                      <a:ext cx="5238750" cy="4610100"/>
                    </a:xfrm>
                    <a:prstGeom prst="rect">
                      <a:avLst/>
                    </a:prstGeom>
                    <a:noFill/>
                  </pic:spPr>
                </pic:pic>
              </a:graphicData>
            </a:graphic>
          </wp:inline>
        </w:drawing>
      </w: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7E2AE7" w:rsidRDefault="007E2AE7" w:rsidP="00511B53">
      <w:pPr>
        <w:pStyle w:val="Caption"/>
        <w:jc w:val="left"/>
        <w:rPr>
          <w:sz w:val="20"/>
        </w:rPr>
      </w:pPr>
    </w:p>
    <w:p w:rsidR="00511B53" w:rsidRPr="00511B53" w:rsidRDefault="00511B53" w:rsidP="00511B53">
      <w:pPr>
        <w:pStyle w:val="Caption"/>
        <w:jc w:val="left"/>
        <w:rPr>
          <w:sz w:val="20"/>
        </w:rPr>
      </w:pPr>
      <w:bookmarkStart w:id="289" w:name="_Ref283976459"/>
      <w:bookmarkStart w:id="290" w:name="_Toc291585927"/>
      <w:bookmarkStart w:id="291" w:name="_Toc292463304"/>
      <w:bookmarkStart w:id="292" w:name="_Toc302232631"/>
      <w:r w:rsidRPr="00511B53">
        <w:rPr>
          <w:sz w:val="20"/>
        </w:rPr>
        <w:lastRenderedPageBreak/>
        <w:t xml:space="preserve">Figure </w:t>
      </w:r>
      <w:r w:rsidR="001060C2" w:rsidRPr="00511B53">
        <w:rPr>
          <w:sz w:val="20"/>
        </w:rPr>
        <w:fldChar w:fldCharType="begin"/>
      </w:r>
      <w:r w:rsidRPr="00511B53">
        <w:rPr>
          <w:sz w:val="20"/>
        </w:rPr>
        <w:instrText xml:space="preserve"> SEQ Figure \* ARABIC </w:instrText>
      </w:r>
      <w:r w:rsidR="001060C2" w:rsidRPr="00511B53">
        <w:rPr>
          <w:sz w:val="20"/>
        </w:rPr>
        <w:fldChar w:fldCharType="separate"/>
      </w:r>
      <w:r w:rsidR="00F96900">
        <w:rPr>
          <w:noProof/>
          <w:sz w:val="20"/>
        </w:rPr>
        <w:t>20</w:t>
      </w:r>
      <w:r w:rsidR="001060C2" w:rsidRPr="00511B53">
        <w:rPr>
          <w:sz w:val="20"/>
        </w:rPr>
        <w:fldChar w:fldCharType="end"/>
      </w:r>
      <w:bookmarkEnd w:id="289"/>
      <w:r w:rsidR="00424B51">
        <w:rPr>
          <w:sz w:val="20"/>
        </w:rPr>
        <w:t xml:space="preserve">. </w:t>
      </w:r>
      <w:r w:rsidRPr="00511B53">
        <w:rPr>
          <w:sz w:val="20"/>
        </w:rPr>
        <w:t>Attendance for new o</w:t>
      </w:r>
      <w:r>
        <w:rPr>
          <w:sz w:val="20"/>
        </w:rPr>
        <w:t xml:space="preserve">phthalmology appointments, </w:t>
      </w:r>
      <w:r w:rsidRPr="00511B53">
        <w:rPr>
          <w:sz w:val="20"/>
        </w:rPr>
        <w:t xml:space="preserve">per </w:t>
      </w:r>
      <w:r w:rsidR="009836A6">
        <w:rPr>
          <w:sz w:val="20"/>
        </w:rPr>
        <w:t>1,000</w:t>
      </w:r>
      <w:r>
        <w:rPr>
          <w:sz w:val="20"/>
        </w:rPr>
        <w:t xml:space="preserve"> population</w:t>
      </w:r>
      <w:r w:rsidRPr="00511B53">
        <w:rPr>
          <w:sz w:val="20"/>
        </w:rPr>
        <w:t xml:space="preserve">, </w:t>
      </w:r>
      <w:r>
        <w:rPr>
          <w:sz w:val="20"/>
        </w:rPr>
        <w:t xml:space="preserve">Cwm Taf USOA </w:t>
      </w:r>
      <w:r w:rsidRPr="00511B53">
        <w:rPr>
          <w:sz w:val="20"/>
        </w:rPr>
        <w:t>level, 2009</w:t>
      </w:r>
      <w:bookmarkEnd w:id="290"/>
      <w:bookmarkEnd w:id="291"/>
      <w:bookmarkEnd w:id="292"/>
    </w:p>
    <w:p w:rsidR="00580E37" w:rsidRPr="008E4685" w:rsidRDefault="006768EB" w:rsidP="00580E37">
      <w:r w:rsidRPr="006768EB">
        <w:rPr>
          <w:noProof/>
          <w:lang w:eastAsia="en-GB"/>
        </w:rPr>
        <w:drawing>
          <wp:inline distT="0" distB="0" distL="0" distR="0">
            <wp:extent cx="5768975" cy="4759880"/>
            <wp:effectExtent l="0" t="0" r="0" b="0"/>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5E75E5" w:rsidRPr="005E75E5">
        <w:rPr>
          <w:b/>
        </w:rPr>
        <w:t>Lucentis</w:t>
      </w:r>
      <w:r w:rsidR="005E75E5">
        <w:rPr>
          <w:b/>
        </w:rPr>
        <w:t xml:space="preserve"> injections</w:t>
      </w:r>
    </w:p>
    <w:p w:rsidR="005E75E5" w:rsidRPr="005E75E5" w:rsidRDefault="005E75E5" w:rsidP="005E75E5">
      <w:r>
        <w:t xml:space="preserve">There were 123 </w:t>
      </w:r>
      <w:r w:rsidRPr="005E75E5">
        <w:t xml:space="preserve">new patients </w:t>
      </w:r>
      <w:r>
        <w:t xml:space="preserve">who were Cwm Taf residents </w:t>
      </w:r>
      <w:r w:rsidRPr="005E75E5">
        <w:t>treated with Lucentis in 2009</w:t>
      </w:r>
      <w:r>
        <w:t xml:space="preserve"> to 2010.  It is not known how this compares to other health boards in Wales. </w:t>
      </w:r>
    </w:p>
    <w:p w:rsidR="005E75E5" w:rsidRDefault="0074554C" w:rsidP="0074554C">
      <w:r w:rsidRPr="005E75E5">
        <w:rPr>
          <w:b/>
        </w:rPr>
        <w:t>Glaucoma visual field tests</w:t>
      </w:r>
      <w:r>
        <w:t xml:space="preserve"> </w:t>
      </w:r>
    </w:p>
    <w:p w:rsidR="00E224D7" w:rsidRDefault="005E75E5" w:rsidP="005E75E5">
      <w:r>
        <w:t>The n</w:t>
      </w:r>
      <w:r w:rsidRPr="005E75E5">
        <w:t xml:space="preserve">umber of visual fields tests </w:t>
      </w:r>
      <w:r>
        <w:t xml:space="preserve">offered </w:t>
      </w:r>
      <w:r w:rsidRPr="005E75E5">
        <w:t xml:space="preserve">in Cwm Taf </w:t>
      </w:r>
      <w:r>
        <w:t>in 2009 to 20</w:t>
      </w:r>
      <w:r w:rsidRPr="005E75E5">
        <w:t>10</w:t>
      </w:r>
      <w:r>
        <w:t xml:space="preserve"> was 3</w:t>
      </w:r>
      <w:r w:rsidR="00424B51">
        <w:t>,</w:t>
      </w:r>
      <w:r>
        <w:t>099.  The number of tests don</w:t>
      </w:r>
      <w:r w:rsidRPr="005E75E5">
        <w:t>e</w:t>
      </w:r>
      <w:r>
        <w:t xml:space="preserve"> was</w:t>
      </w:r>
      <w:r w:rsidRPr="005E75E5">
        <w:t xml:space="preserve"> 2</w:t>
      </w:r>
      <w:r w:rsidR="00424B51">
        <w:t>,</w:t>
      </w:r>
      <w:r w:rsidRPr="005E75E5">
        <w:t>850</w:t>
      </w:r>
      <w:r>
        <w:t xml:space="preserve">.  </w:t>
      </w:r>
      <w:r w:rsidR="00E224D7">
        <w:t>Assuming that 75</w:t>
      </w:r>
      <w:r w:rsidR="00CB30E2">
        <w:t xml:space="preserve"> </w:t>
      </w:r>
      <w:r w:rsidR="00976E79">
        <w:t>per cent</w:t>
      </w:r>
      <w:r w:rsidR="00E224D7">
        <w:t xml:space="preserve"> of the tests were for people tested every 6 months, the estimated number of people who had visual field tests during 2009 to 2010 was 1</w:t>
      </w:r>
      <w:r w:rsidR="00424B51">
        <w:t>,</w:t>
      </w:r>
      <w:r w:rsidR="00E224D7">
        <w:t xml:space="preserve">781. </w:t>
      </w:r>
    </w:p>
    <w:p w:rsidR="002F3DB9" w:rsidRDefault="00E224D7" w:rsidP="002F3DB9">
      <w:r>
        <w:t>It is not known how many patients had visual field tests for reasons other than glaucoma, for example TB patients, epilepsy patients on Vigabatrin treatment and other patients referred for neurological reasons (personal communication, Linda Morris). T</w:t>
      </w:r>
      <w:r w:rsidR="005E75E5">
        <w:t xml:space="preserve">here may be patients without a diagnosis of glaucoma having them when glaucoma may be suspected. </w:t>
      </w:r>
      <w:r w:rsidR="00AF1783">
        <w:t>Therefore this estimate of 1</w:t>
      </w:r>
      <w:r w:rsidR="00424B51">
        <w:t>,</w:t>
      </w:r>
      <w:r w:rsidR="00AF1783">
        <w:t>781 patients is likely to be an over estimate</w:t>
      </w:r>
      <w:r w:rsidR="002F3DB9">
        <w:t xml:space="preserve">. </w:t>
      </w:r>
    </w:p>
    <w:p w:rsidR="0074554C" w:rsidRDefault="0074554C" w:rsidP="002F3DB9">
      <w:pPr>
        <w:pStyle w:val="Heading3"/>
      </w:pPr>
      <w:bookmarkStart w:id="293" w:name="_Toc291585890"/>
      <w:bookmarkStart w:id="294" w:name="_Toc302293476"/>
      <w:r>
        <w:lastRenderedPageBreak/>
        <w:t>Inpatients</w:t>
      </w:r>
      <w:bookmarkEnd w:id="293"/>
      <w:bookmarkEnd w:id="294"/>
    </w:p>
    <w:p w:rsidR="0074554C" w:rsidRDefault="0074554C" w:rsidP="0074554C">
      <w:pPr>
        <w:pStyle w:val="heading4verdana"/>
      </w:pPr>
      <w:r>
        <w:t>Data sources</w:t>
      </w:r>
    </w:p>
    <w:p w:rsidR="000A385D" w:rsidRDefault="00424B51" w:rsidP="00CA2190">
      <w:r>
        <w:t>2008 d</w:t>
      </w:r>
      <w:r w:rsidR="000A385D">
        <w:t>ata on cataract procedures was available from PEDW.</w:t>
      </w:r>
      <w:r w:rsidR="005B1496">
        <w:t xml:space="preserve"> </w:t>
      </w:r>
      <w:r w:rsidR="002F3DB9">
        <w:t xml:space="preserve"> </w:t>
      </w:r>
    </w:p>
    <w:p w:rsidR="0074554C" w:rsidRDefault="0074554C" w:rsidP="0074554C">
      <w:pPr>
        <w:pStyle w:val="heading4verdana"/>
      </w:pPr>
      <w:r>
        <w:t>Data analysis</w:t>
      </w:r>
    </w:p>
    <w:p w:rsidR="00540339" w:rsidRDefault="00540339" w:rsidP="00CA2190">
      <w:r>
        <w:t xml:space="preserve">The </w:t>
      </w:r>
      <w:r w:rsidR="007419BF">
        <w:t xml:space="preserve">EASR and </w:t>
      </w:r>
      <w:r w:rsidR="00424B51">
        <w:t xml:space="preserve">crude </w:t>
      </w:r>
      <w:r>
        <w:t>rate</w:t>
      </w:r>
      <w:r w:rsidR="006259D7">
        <w:t>s</w:t>
      </w:r>
      <w:r>
        <w:t xml:space="preserve"> of cataract procedures </w:t>
      </w:r>
      <w:r w:rsidR="006259D7">
        <w:t xml:space="preserve">at </w:t>
      </w:r>
      <w:r>
        <w:t>health board level</w:t>
      </w:r>
      <w:r w:rsidR="00EC1EEF">
        <w:t xml:space="preserve"> and </w:t>
      </w:r>
      <w:r w:rsidR="009726D9">
        <w:t>local</w:t>
      </w:r>
      <w:r w:rsidR="00EC1EEF">
        <w:t xml:space="preserve"> authority level</w:t>
      </w:r>
      <w:r>
        <w:t xml:space="preserve"> in Wales and USOA level within Cwm Taf were calculated</w:t>
      </w:r>
      <w:r w:rsidR="006259D7">
        <w:t xml:space="preserve">.  The </w:t>
      </w:r>
      <w:r>
        <w:t>Public Health Wales O</w:t>
      </w:r>
      <w:r w:rsidR="006259D7">
        <w:t>bservatory Analytical Team used</w:t>
      </w:r>
      <w:r>
        <w:t xml:space="preserve"> PEDW data for the numerator and ONS data for mid-year population data for the denominator.</w:t>
      </w:r>
      <w:r w:rsidR="00EC1EEF">
        <w:t xml:space="preserve">  </w:t>
      </w:r>
    </w:p>
    <w:p w:rsidR="0074554C" w:rsidRPr="0074554C" w:rsidRDefault="0074554C" w:rsidP="0074554C">
      <w:pPr>
        <w:pStyle w:val="heading4verdana"/>
      </w:pPr>
      <w:r>
        <w:t>Results</w:t>
      </w:r>
    </w:p>
    <w:p w:rsidR="001E49CE" w:rsidRPr="00704894" w:rsidRDefault="000612BE" w:rsidP="0030608E">
      <w:r>
        <w:t xml:space="preserve">Figure 21 </w:t>
      </w:r>
      <w:r w:rsidR="00704894">
        <w:t xml:space="preserve">shows that the </w:t>
      </w:r>
      <w:r w:rsidR="007419BF">
        <w:t xml:space="preserve">EASR </w:t>
      </w:r>
      <w:r w:rsidR="00704894">
        <w:t xml:space="preserve">of cataract procedures per </w:t>
      </w:r>
      <w:r w:rsidR="009836A6">
        <w:t>1,000</w:t>
      </w:r>
      <w:r w:rsidR="00704894">
        <w:t xml:space="preserve"> population was higher in Cwm Taf compared with Wales</w:t>
      </w:r>
      <w:r w:rsidR="0030608E">
        <w:t xml:space="preserve"> in 2008</w:t>
      </w:r>
      <w:r w:rsidR="00704894">
        <w:t xml:space="preserve">. The rate was 4.3 per </w:t>
      </w:r>
      <w:r w:rsidR="009836A6">
        <w:t>1,000</w:t>
      </w:r>
      <w:r w:rsidR="00704894">
        <w:t xml:space="preserve"> in Cwm Taf and 4.0 in Wales and this difference was significant.  The rate in Cwm Taf was the second highest after Abe</w:t>
      </w:r>
      <w:r w:rsidR="00424B51">
        <w:t>rtawe Bro Morgannwg University Health H</w:t>
      </w:r>
      <w:r w:rsidR="00704894">
        <w:t>oard.  These rates are age</w:t>
      </w:r>
      <w:r w:rsidR="00424B51">
        <w:t>-</w:t>
      </w:r>
      <w:r w:rsidR="00704894">
        <w:t xml:space="preserve">standardised so </w:t>
      </w:r>
      <w:r w:rsidR="006259D7">
        <w:t xml:space="preserve">the differences </w:t>
      </w:r>
      <w:r w:rsidR="002F3DB9">
        <w:t xml:space="preserve">are not </w:t>
      </w:r>
      <w:r w:rsidR="00704894">
        <w:t xml:space="preserve">related to need due to age. </w:t>
      </w:r>
      <w:r w:rsidR="00993AA4">
        <w:t xml:space="preserve"> </w:t>
      </w:r>
      <w:r>
        <w:t xml:space="preserve">Figure 22 </w:t>
      </w:r>
      <w:r w:rsidR="00993AA4">
        <w:t xml:space="preserve">shows that the </w:t>
      </w:r>
      <w:r w:rsidR="007419BF">
        <w:t xml:space="preserve">EASR </w:t>
      </w:r>
      <w:r w:rsidR="00861A90">
        <w:t>of cataract</w:t>
      </w:r>
      <w:r w:rsidR="0030608E">
        <w:t xml:space="preserve"> procedures in Merthyr Tydfil wa</w:t>
      </w:r>
      <w:r w:rsidR="00861A90">
        <w:t xml:space="preserve">s similar to the rate in Rhondda Cynon Taf.  </w:t>
      </w:r>
      <w:r>
        <w:t xml:space="preserve">Figure 23 </w:t>
      </w:r>
      <w:r w:rsidR="0030608E">
        <w:t xml:space="preserve">shows that the </w:t>
      </w:r>
      <w:r w:rsidR="007419BF">
        <w:t xml:space="preserve">EASR </w:t>
      </w:r>
      <w:r w:rsidR="0030608E">
        <w:t xml:space="preserve">of cataract procedures in USOA RCT03 </w:t>
      </w:r>
      <w:r w:rsidR="007346A9">
        <w:t xml:space="preserve">(5.5 per </w:t>
      </w:r>
      <w:r w:rsidR="009836A6">
        <w:t>1,000</w:t>
      </w:r>
      <w:r w:rsidR="007346A9">
        <w:t xml:space="preserve">) </w:t>
      </w:r>
      <w:r w:rsidR="0030608E">
        <w:t>was significantl</w:t>
      </w:r>
      <w:r w:rsidR="00CE153C">
        <w:t xml:space="preserve">y higher than the rate in Wales.  RCT03 is one of the most deprived USOAs and is also one of the USOAs which is closest to the Royal Glamorgan Hospital.  Similarly, Merthyr02, the USOA with the next highest </w:t>
      </w:r>
      <w:r w:rsidR="007419BF">
        <w:t xml:space="preserve">EASR </w:t>
      </w:r>
      <w:r w:rsidR="00CE153C">
        <w:t xml:space="preserve">of cataract procedures (although not significantly higher than </w:t>
      </w:r>
      <w:r w:rsidR="00976E79">
        <w:t xml:space="preserve">the </w:t>
      </w:r>
      <w:r w:rsidR="00CE153C">
        <w:t>all Wales</w:t>
      </w:r>
      <w:r w:rsidR="00976E79">
        <w:t xml:space="preserve"> rate</w:t>
      </w:r>
      <w:r w:rsidR="00CE153C">
        <w:t>)</w:t>
      </w:r>
      <w:r w:rsidR="007346A9">
        <w:t xml:space="preserve"> is also one of the most deprived USOAs and is situated close to Prince Charles Hospital. </w:t>
      </w:r>
      <w:r w:rsidR="00000D2E">
        <w:t xml:space="preserve"> </w:t>
      </w:r>
    </w:p>
    <w:p w:rsidR="001B5115" w:rsidRDefault="001B5115" w:rsidP="001B5115"/>
    <w:p w:rsidR="001B5115" w:rsidRPr="001B5115" w:rsidRDefault="001B5115" w:rsidP="001B5115">
      <w:pPr>
        <w:pStyle w:val="Caption"/>
        <w:jc w:val="left"/>
        <w:rPr>
          <w:sz w:val="20"/>
        </w:rPr>
      </w:pPr>
      <w:bookmarkStart w:id="295" w:name="_Ref285107333"/>
      <w:bookmarkStart w:id="296" w:name="_Toc291585928"/>
      <w:bookmarkStart w:id="297" w:name="_Toc292463305"/>
      <w:bookmarkStart w:id="298" w:name="_Toc302232632"/>
      <w:r w:rsidRPr="001B5115">
        <w:rPr>
          <w:sz w:val="20"/>
        </w:rPr>
        <w:lastRenderedPageBreak/>
        <w:t xml:space="preserve">Figure </w:t>
      </w:r>
      <w:r w:rsidR="001060C2" w:rsidRPr="001B5115">
        <w:rPr>
          <w:sz w:val="20"/>
        </w:rPr>
        <w:fldChar w:fldCharType="begin"/>
      </w:r>
      <w:r w:rsidRPr="001B5115">
        <w:rPr>
          <w:sz w:val="20"/>
        </w:rPr>
        <w:instrText xml:space="preserve"> SEQ Figure \* ARABIC </w:instrText>
      </w:r>
      <w:r w:rsidR="001060C2" w:rsidRPr="001B5115">
        <w:rPr>
          <w:sz w:val="20"/>
        </w:rPr>
        <w:fldChar w:fldCharType="separate"/>
      </w:r>
      <w:r w:rsidR="00F96900">
        <w:rPr>
          <w:noProof/>
          <w:sz w:val="20"/>
        </w:rPr>
        <w:t>21</w:t>
      </w:r>
      <w:r w:rsidR="001060C2" w:rsidRPr="001B5115">
        <w:rPr>
          <w:sz w:val="20"/>
        </w:rPr>
        <w:fldChar w:fldCharType="end"/>
      </w:r>
      <w:bookmarkEnd w:id="295"/>
      <w:r w:rsidR="00424B51">
        <w:rPr>
          <w:sz w:val="20"/>
        </w:rPr>
        <w:t xml:space="preserve">. </w:t>
      </w:r>
      <w:r w:rsidR="00937C87">
        <w:rPr>
          <w:sz w:val="20"/>
        </w:rPr>
        <w:t>C</w:t>
      </w:r>
      <w:r w:rsidR="00BE6038">
        <w:rPr>
          <w:sz w:val="20"/>
        </w:rPr>
        <w:t>ataract</w:t>
      </w:r>
      <w:r w:rsidR="00937C87">
        <w:rPr>
          <w:sz w:val="20"/>
        </w:rPr>
        <w:t xml:space="preserve"> procedures</w:t>
      </w:r>
      <w:r w:rsidRPr="001B5115">
        <w:rPr>
          <w:sz w:val="20"/>
        </w:rPr>
        <w:t xml:space="preserve">, per </w:t>
      </w:r>
      <w:r w:rsidR="009836A6">
        <w:rPr>
          <w:sz w:val="20"/>
        </w:rPr>
        <w:t>1,000</w:t>
      </w:r>
      <w:r w:rsidR="00937C87">
        <w:rPr>
          <w:sz w:val="20"/>
        </w:rPr>
        <w:t xml:space="preserve"> population</w:t>
      </w:r>
      <w:r w:rsidRPr="001B5115">
        <w:rPr>
          <w:sz w:val="20"/>
        </w:rPr>
        <w:t>, health board level, 2008</w:t>
      </w:r>
      <w:bookmarkEnd w:id="296"/>
      <w:bookmarkEnd w:id="297"/>
      <w:bookmarkEnd w:id="298"/>
    </w:p>
    <w:p w:rsidR="00E06B92" w:rsidRDefault="00937C87" w:rsidP="001B5115">
      <w:pPr>
        <w:ind w:left="360"/>
      </w:pPr>
      <w:r>
        <w:rPr>
          <w:noProof/>
          <w:lang w:eastAsia="en-GB"/>
        </w:rPr>
        <w:drawing>
          <wp:inline distT="0" distB="0" distL="0" distR="0">
            <wp:extent cx="5257800" cy="4486275"/>
            <wp:effectExtent l="1905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8" cstate="print"/>
                    <a:srcRect/>
                    <a:stretch>
                      <a:fillRect/>
                    </a:stretch>
                  </pic:blipFill>
                  <pic:spPr bwMode="auto">
                    <a:xfrm>
                      <a:off x="0" y="0"/>
                      <a:ext cx="5257800" cy="4486275"/>
                    </a:xfrm>
                    <a:prstGeom prst="rect">
                      <a:avLst/>
                    </a:prstGeom>
                    <a:noFill/>
                    <a:ln w="9525">
                      <a:noFill/>
                      <a:miter lim="800000"/>
                      <a:headEnd/>
                      <a:tailEnd/>
                    </a:ln>
                  </pic:spPr>
                </pic:pic>
              </a:graphicData>
            </a:graphic>
          </wp:inline>
        </w:drawing>
      </w:r>
    </w:p>
    <w:p w:rsidR="00E06B92" w:rsidRPr="00E06B92" w:rsidRDefault="00E06B92" w:rsidP="00E06B92"/>
    <w:p w:rsidR="00E06B92" w:rsidRDefault="00E06B92" w:rsidP="00E06B92"/>
    <w:p w:rsidR="001B5115" w:rsidRDefault="00E06B92" w:rsidP="00E06B92">
      <w:pPr>
        <w:pStyle w:val="Caption"/>
        <w:jc w:val="left"/>
        <w:rPr>
          <w:sz w:val="20"/>
        </w:rPr>
      </w:pPr>
      <w:bookmarkStart w:id="299" w:name="_Ref285107814"/>
      <w:bookmarkStart w:id="300" w:name="_Toc291585929"/>
      <w:bookmarkStart w:id="301" w:name="_Toc292463306"/>
      <w:bookmarkStart w:id="302" w:name="_Toc302232633"/>
      <w:r w:rsidRPr="00E06B92">
        <w:rPr>
          <w:sz w:val="20"/>
        </w:rPr>
        <w:lastRenderedPageBreak/>
        <w:t xml:space="preserve">Figure </w:t>
      </w:r>
      <w:r w:rsidR="001060C2" w:rsidRPr="00E06B92">
        <w:rPr>
          <w:sz w:val="20"/>
        </w:rPr>
        <w:fldChar w:fldCharType="begin"/>
      </w:r>
      <w:r w:rsidRPr="00E06B92">
        <w:rPr>
          <w:sz w:val="20"/>
        </w:rPr>
        <w:instrText xml:space="preserve"> SEQ Figure \* ARABIC </w:instrText>
      </w:r>
      <w:r w:rsidR="001060C2" w:rsidRPr="00E06B92">
        <w:rPr>
          <w:sz w:val="20"/>
        </w:rPr>
        <w:fldChar w:fldCharType="separate"/>
      </w:r>
      <w:r w:rsidR="00F96900">
        <w:rPr>
          <w:noProof/>
          <w:sz w:val="20"/>
        </w:rPr>
        <w:t>22</w:t>
      </w:r>
      <w:r w:rsidR="001060C2" w:rsidRPr="00E06B92">
        <w:rPr>
          <w:sz w:val="20"/>
        </w:rPr>
        <w:fldChar w:fldCharType="end"/>
      </w:r>
      <w:bookmarkEnd w:id="299"/>
      <w:r w:rsidR="00424B51">
        <w:rPr>
          <w:sz w:val="20"/>
        </w:rPr>
        <w:t xml:space="preserve">. </w:t>
      </w:r>
      <w:r w:rsidRPr="00E06B92">
        <w:rPr>
          <w:sz w:val="20"/>
        </w:rPr>
        <w:t xml:space="preserve">Cataract procedures, per </w:t>
      </w:r>
      <w:r w:rsidR="009836A6">
        <w:rPr>
          <w:sz w:val="20"/>
        </w:rPr>
        <w:t>1,000</w:t>
      </w:r>
      <w:r w:rsidRPr="00E06B92">
        <w:rPr>
          <w:sz w:val="20"/>
        </w:rPr>
        <w:t xml:space="preserve">, </w:t>
      </w:r>
      <w:r w:rsidR="009726D9">
        <w:rPr>
          <w:sz w:val="20"/>
        </w:rPr>
        <w:t>local</w:t>
      </w:r>
      <w:r w:rsidRPr="00E06B92">
        <w:rPr>
          <w:sz w:val="20"/>
        </w:rPr>
        <w:t xml:space="preserve"> authority level, 2008</w:t>
      </w:r>
      <w:bookmarkEnd w:id="300"/>
      <w:bookmarkEnd w:id="301"/>
      <w:bookmarkEnd w:id="302"/>
    </w:p>
    <w:p w:rsidR="00E06B92" w:rsidRPr="00E06B92" w:rsidRDefault="00E06B92" w:rsidP="00E06B92">
      <w:r>
        <w:rPr>
          <w:noProof/>
          <w:lang w:eastAsia="en-GB"/>
        </w:rPr>
        <w:drawing>
          <wp:inline distT="0" distB="0" distL="0" distR="0">
            <wp:extent cx="5181600" cy="507682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9" cstate="print"/>
                    <a:srcRect/>
                    <a:stretch>
                      <a:fillRect/>
                    </a:stretch>
                  </pic:blipFill>
                  <pic:spPr bwMode="auto">
                    <a:xfrm>
                      <a:off x="0" y="0"/>
                      <a:ext cx="5181600" cy="5076825"/>
                    </a:xfrm>
                    <a:prstGeom prst="rect">
                      <a:avLst/>
                    </a:prstGeom>
                    <a:noFill/>
                    <a:ln w="9525">
                      <a:noFill/>
                      <a:miter lim="800000"/>
                      <a:headEnd/>
                      <a:tailEnd/>
                    </a:ln>
                  </pic:spPr>
                </pic:pic>
              </a:graphicData>
            </a:graphic>
          </wp:inline>
        </w:drawing>
      </w:r>
    </w:p>
    <w:p w:rsidR="001B5115" w:rsidRDefault="001B5115" w:rsidP="001B5115">
      <w:pPr>
        <w:pStyle w:val="Caption"/>
        <w:jc w:val="left"/>
        <w:rPr>
          <w:sz w:val="20"/>
        </w:rPr>
      </w:pPr>
      <w:bookmarkStart w:id="303" w:name="_Ref285107931"/>
      <w:bookmarkStart w:id="304" w:name="_Toc291585930"/>
      <w:bookmarkStart w:id="305" w:name="_Toc292463307"/>
      <w:bookmarkStart w:id="306" w:name="_Toc302232634"/>
      <w:r w:rsidRPr="001B5115">
        <w:rPr>
          <w:sz w:val="20"/>
        </w:rPr>
        <w:lastRenderedPageBreak/>
        <w:t xml:space="preserve">Figure </w:t>
      </w:r>
      <w:r w:rsidR="001060C2" w:rsidRPr="001B5115">
        <w:rPr>
          <w:sz w:val="20"/>
        </w:rPr>
        <w:fldChar w:fldCharType="begin"/>
      </w:r>
      <w:r w:rsidRPr="001B5115">
        <w:rPr>
          <w:sz w:val="20"/>
        </w:rPr>
        <w:instrText xml:space="preserve"> SEQ Figure \* ARABIC </w:instrText>
      </w:r>
      <w:r w:rsidR="001060C2" w:rsidRPr="001B5115">
        <w:rPr>
          <w:sz w:val="20"/>
        </w:rPr>
        <w:fldChar w:fldCharType="separate"/>
      </w:r>
      <w:r w:rsidR="00F96900">
        <w:rPr>
          <w:noProof/>
          <w:sz w:val="20"/>
        </w:rPr>
        <w:t>23</w:t>
      </w:r>
      <w:r w:rsidR="001060C2" w:rsidRPr="001B5115">
        <w:rPr>
          <w:sz w:val="20"/>
        </w:rPr>
        <w:fldChar w:fldCharType="end"/>
      </w:r>
      <w:bookmarkEnd w:id="303"/>
      <w:r w:rsidR="00424B51">
        <w:rPr>
          <w:sz w:val="20"/>
        </w:rPr>
        <w:t>. C</w:t>
      </w:r>
      <w:r w:rsidR="00BE6038">
        <w:rPr>
          <w:sz w:val="20"/>
        </w:rPr>
        <w:t>ataract</w:t>
      </w:r>
      <w:r w:rsidR="00937C87">
        <w:rPr>
          <w:sz w:val="20"/>
        </w:rPr>
        <w:t xml:space="preserve"> procedures</w:t>
      </w:r>
      <w:r w:rsidRPr="001B5115">
        <w:rPr>
          <w:sz w:val="20"/>
        </w:rPr>
        <w:t xml:space="preserve">, per </w:t>
      </w:r>
      <w:r w:rsidR="009836A6">
        <w:rPr>
          <w:sz w:val="20"/>
        </w:rPr>
        <w:t>1,000</w:t>
      </w:r>
      <w:r w:rsidRPr="001B5115">
        <w:rPr>
          <w:sz w:val="20"/>
        </w:rPr>
        <w:t xml:space="preserve">, </w:t>
      </w:r>
      <w:r w:rsidR="00937C87">
        <w:rPr>
          <w:sz w:val="20"/>
        </w:rPr>
        <w:t xml:space="preserve">Cwm Taf USOA </w:t>
      </w:r>
      <w:r w:rsidRPr="001B5115">
        <w:rPr>
          <w:sz w:val="20"/>
        </w:rPr>
        <w:t>level, 2008</w:t>
      </w:r>
      <w:bookmarkEnd w:id="304"/>
      <w:bookmarkEnd w:id="305"/>
      <w:bookmarkEnd w:id="306"/>
    </w:p>
    <w:p w:rsidR="00423368" w:rsidRPr="00423368" w:rsidRDefault="005B1496" w:rsidP="00423368">
      <w:r>
        <w:rPr>
          <w:noProof/>
          <w:lang w:eastAsia="en-GB"/>
        </w:rPr>
        <w:drawing>
          <wp:inline distT="0" distB="0" distL="0" distR="0">
            <wp:extent cx="5181600" cy="5438775"/>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0" cstate="print"/>
                    <a:srcRect/>
                    <a:stretch>
                      <a:fillRect/>
                    </a:stretch>
                  </pic:blipFill>
                  <pic:spPr bwMode="auto">
                    <a:xfrm>
                      <a:off x="0" y="0"/>
                      <a:ext cx="5181600" cy="5438775"/>
                    </a:xfrm>
                    <a:prstGeom prst="rect">
                      <a:avLst/>
                    </a:prstGeom>
                    <a:noFill/>
                    <a:ln w="9525">
                      <a:noFill/>
                      <a:miter lim="800000"/>
                      <a:headEnd/>
                      <a:tailEnd/>
                    </a:ln>
                  </pic:spPr>
                </pic:pic>
              </a:graphicData>
            </a:graphic>
          </wp:inline>
        </w:drawing>
      </w:r>
    </w:p>
    <w:p w:rsidR="001B5115" w:rsidRPr="001B5115" w:rsidRDefault="001B5115" w:rsidP="001B5115"/>
    <w:p w:rsidR="00AC3EF2" w:rsidRDefault="00AC3EF2" w:rsidP="00540339"/>
    <w:p w:rsidR="00AC3EF2" w:rsidRDefault="00AC3EF2" w:rsidP="00540339"/>
    <w:p w:rsidR="00AC3EF2" w:rsidRDefault="00AC3EF2" w:rsidP="00540339"/>
    <w:p w:rsidR="00AC3EF2" w:rsidRDefault="00AC3EF2" w:rsidP="00540339"/>
    <w:p w:rsidR="00AC3EF2" w:rsidRDefault="00AC3EF2" w:rsidP="00540339"/>
    <w:p w:rsidR="00AC3EF2" w:rsidRDefault="00AC3EF2" w:rsidP="00540339"/>
    <w:p w:rsidR="00AC3EF2" w:rsidRDefault="00AC3EF2" w:rsidP="00540339"/>
    <w:p w:rsidR="00AC3EF2" w:rsidRDefault="00AC3EF2" w:rsidP="00540339"/>
    <w:p w:rsidR="00247DC0" w:rsidRDefault="00DB462D" w:rsidP="00247DC0">
      <w:pPr>
        <w:pStyle w:val="Heading1"/>
      </w:pPr>
      <w:bookmarkStart w:id="307" w:name="_Toc291585891"/>
      <w:bookmarkStart w:id="308" w:name="_Toc302293477"/>
      <w:r>
        <w:lastRenderedPageBreak/>
        <w:t xml:space="preserve">Comparison of </w:t>
      </w:r>
      <w:r w:rsidR="00217653">
        <w:t xml:space="preserve">provision and </w:t>
      </w:r>
      <w:r>
        <w:t>n</w:t>
      </w:r>
      <w:r w:rsidR="00247DC0">
        <w:t>eed</w:t>
      </w:r>
      <w:bookmarkEnd w:id="307"/>
      <w:bookmarkEnd w:id="308"/>
      <w:r w:rsidR="00247DC0">
        <w:t xml:space="preserve"> </w:t>
      </w:r>
    </w:p>
    <w:p w:rsidR="00FF7640" w:rsidRPr="00FF7640" w:rsidRDefault="00FF7640" w:rsidP="00FF7640">
      <w:r>
        <w:t>There is some difficulty in combining data on provision and need due to the lack of robust data</w:t>
      </w:r>
      <w:r w:rsidR="00424B51">
        <w:t>.  H</w:t>
      </w:r>
      <w:r>
        <w:t xml:space="preserve">owever, the information that is available is drawn together </w:t>
      </w:r>
      <w:r w:rsidR="00424B51">
        <w:t>in this chapter</w:t>
      </w:r>
      <w:r>
        <w:t>.</w:t>
      </w:r>
    </w:p>
    <w:p w:rsidR="00C9242F" w:rsidRDefault="00FC4191" w:rsidP="00C9242F">
      <w:pPr>
        <w:pStyle w:val="Heading2"/>
      </w:pPr>
      <w:bookmarkStart w:id="309" w:name="_Toc291585892"/>
      <w:bookmarkStart w:id="310" w:name="_Toc302293478"/>
      <w:r>
        <w:t>Vision impairment</w:t>
      </w:r>
      <w:bookmarkEnd w:id="309"/>
      <w:bookmarkEnd w:id="310"/>
    </w:p>
    <w:p w:rsidR="00C55990" w:rsidRDefault="00244A54" w:rsidP="003A1533">
      <w:r>
        <w:t xml:space="preserve">The NEHEM estimates of </w:t>
      </w:r>
      <w:r w:rsidR="001942DF">
        <w:t xml:space="preserve">severe sight impairment </w:t>
      </w:r>
      <w:r>
        <w:t xml:space="preserve">are </w:t>
      </w:r>
      <w:r w:rsidR="001942DF">
        <w:t>lower</w:t>
      </w:r>
      <w:r>
        <w:t xml:space="preserve"> than the number of people who are registered as severely s</w:t>
      </w:r>
      <w:r w:rsidR="00813C2B">
        <w:t>ight impaired</w:t>
      </w:r>
      <w:r w:rsidR="0080673A">
        <w:t xml:space="preserve"> with the </w:t>
      </w:r>
      <w:r w:rsidR="00194386">
        <w:t>l</w:t>
      </w:r>
      <w:r w:rsidR="009726D9">
        <w:t>ocal</w:t>
      </w:r>
      <w:r w:rsidR="00F435D0">
        <w:t xml:space="preserve"> </w:t>
      </w:r>
      <w:r w:rsidR="007B32C7">
        <w:t>authority</w:t>
      </w:r>
      <w:r w:rsidR="0080673A">
        <w:t xml:space="preserve">. </w:t>
      </w:r>
    </w:p>
    <w:p w:rsidR="00147B92" w:rsidRDefault="000612BE" w:rsidP="003A1533">
      <w:r>
        <w:rPr>
          <w:szCs w:val="24"/>
        </w:rPr>
        <w:t xml:space="preserve">Table 32 </w:t>
      </w:r>
      <w:r w:rsidR="00FD0D8A" w:rsidRPr="00263A45">
        <w:rPr>
          <w:szCs w:val="24"/>
        </w:rPr>
        <w:t>shows</w:t>
      </w:r>
      <w:r w:rsidR="00FD0D8A">
        <w:t xml:space="preserve"> how these numbers compare.</w:t>
      </w:r>
    </w:p>
    <w:p w:rsidR="00097328" w:rsidRDefault="00097328" w:rsidP="003A1533"/>
    <w:p w:rsidR="0080673A" w:rsidRPr="0080673A" w:rsidRDefault="0080673A" w:rsidP="0080673A">
      <w:pPr>
        <w:pStyle w:val="Caption"/>
        <w:jc w:val="left"/>
        <w:rPr>
          <w:sz w:val="20"/>
        </w:rPr>
      </w:pPr>
      <w:bookmarkStart w:id="311" w:name="_Ref285116945"/>
      <w:bookmarkStart w:id="312" w:name="_Toc302293574"/>
      <w:r w:rsidRPr="0080673A">
        <w:rPr>
          <w:sz w:val="20"/>
        </w:rPr>
        <w:t xml:space="preserve">Table </w:t>
      </w:r>
      <w:r w:rsidR="001060C2" w:rsidRPr="0080673A">
        <w:rPr>
          <w:sz w:val="20"/>
        </w:rPr>
        <w:fldChar w:fldCharType="begin"/>
      </w:r>
      <w:r w:rsidRPr="0080673A">
        <w:rPr>
          <w:sz w:val="20"/>
        </w:rPr>
        <w:instrText xml:space="preserve"> SEQ Table \* ARABIC </w:instrText>
      </w:r>
      <w:r w:rsidR="001060C2" w:rsidRPr="0080673A">
        <w:rPr>
          <w:sz w:val="20"/>
        </w:rPr>
        <w:fldChar w:fldCharType="separate"/>
      </w:r>
      <w:r w:rsidR="00F96900">
        <w:rPr>
          <w:noProof/>
          <w:sz w:val="20"/>
        </w:rPr>
        <w:t>32</w:t>
      </w:r>
      <w:r w:rsidR="001060C2" w:rsidRPr="0080673A">
        <w:rPr>
          <w:sz w:val="20"/>
        </w:rPr>
        <w:fldChar w:fldCharType="end"/>
      </w:r>
      <w:bookmarkEnd w:id="311"/>
      <w:r w:rsidR="00424B51">
        <w:rPr>
          <w:sz w:val="20"/>
        </w:rPr>
        <w:t xml:space="preserve">. </w:t>
      </w:r>
      <w:r w:rsidR="009726D9">
        <w:rPr>
          <w:sz w:val="20"/>
        </w:rPr>
        <w:t>Local</w:t>
      </w:r>
      <w:r w:rsidR="00F435D0">
        <w:rPr>
          <w:sz w:val="20"/>
        </w:rPr>
        <w:t xml:space="preserve"> </w:t>
      </w:r>
      <w:r w:rsidR="007B32C7">
        <w:rPr>
          <w:sz w:val="20"/>
        </w:rPr>
        <w:t>authority</w:t>
      </w:r>
      <w:r w:rsidRPr="0080673A">
        <w:rPr>
          <w:sz w:val="20"/>
        </w:rPr>
        <w:t xml:space="preserve"> and NEHEM comparison of severe sight impairment</w:t>
      </w:r>
      <w:r w:rsidR="002F3DB9">
        <w:rPr>
          <w:sz w:val="20"/>
        </w:rPr>
        <w:t>, 2009</w:t>
      </w:r>
      <w:bookmarkEnd w:id="312"/>
      <w:r w:rsidR="002F3DB9">
        <w:rPr>
          <w:sz w:val="20"/>
        </w:rPr>
        <w:t xml:space="preserve"> </w:t>
      </w:r>
    </w:p>
    <w:p w:rsidR="002F3DB9" w:rsidRDefault="004531F9" w:rsidP="00FD0D8A">
      <w:r>
        <w:rPr>
          <w:noProof/>
          <w:lang w:eastAsia="en-GB"/>
        </w:rPr>
        <w:drawing>
          <wp:inline distT="0" distB="0" distL="0" distR="0">
            <wp:extent cx="5768975" cy="987684"/>
            <wp:effectExtent l="19050" t="0" r="0" b="0"/>
            <wp:docPr id="5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cstate="print"/>
                    <a:srcRect/>
                    <a:stretch>
                      <a:fillRect/>
                    </a:stretch>
                  </pic:blipFill>
                  <pic:spPr bwMode="auto">
                    <a:xfrm>
                      <a:off x="0" y="0"/>
                      <a:ext cx="5768975" cy="987684"/>
                    </a:xfrm>
                    <a:prstGeom prst="rect">
                      <a:avLst/>
                    </a:prstGeom>
                    <a:noFill/>
                    <a:ln w="9525">
                      <a:noFill/>
                      <a:miter lim="800000"/>
                      <a:headEnd/>
                      <a:tailEnd/>
                    </a:ln>
                  </pic:spPr>
                </pic:pic>
              </a:graphicData>
            </a:graphic>
          </wp:inline>
        </w:drawing>
      </w:r>
    </w:p>
    <w:p w:rsidR="00E7122B" w:rsidRDefault="00E7122B" w:rsidP="00E7122B">
      <w:r>
        <w:t xml:space="preserve">The NEHEM definition of severe sight </w:t>
      </w:r>
      <w:r w:rsidR="00424B51">
        <w:t xml:space="preserve">impairment is visual acuity of less than </w:t>
      </w:r>
      <w:r>
        <w:t>3/60 (N</w:t>
      </w:r>
      <w:r w:rsidR="00424B51">
        <w:t xml:space="preserve">ational Eye Health Epidemiological Model, </w:t>
      </w:r>
      <w:r>
        <w:t xml:space="preserve">2010) and to be registered as severely sight impaired with the local authority visual </w:t>
      </w:r>
      <w:r w:rsidR="00424B51">
        <w:t xml:space="preserve">acuity should be less than </w:t>
      </w:r>
      <w:r>
        <w:t>3/60 with full visual field, 3/60-6/60 with reduction in visual field and 6/60 or above with severe reduction in visual field (</w:t>
      </w:r>
      <w:r w:rsidR="00E761E7">
        <w:t>Royal National Institute of Blind People</w:t>
      </w:r>
      <w:r w:rsidR="00D90D15">
        <w:t>,</w:t>
      </w:r>
      <w:r>
        <w:t xml:space="preserve"> 2010).  Therefore there may be some people who are registered as severely sight impaired but do not meet the definition of severe sight impairment in the NEHEM</w:t>
      </w:r>
      <w:r w:rsidR="00424B51">
        <w:t xml:space="preserve">.  </w:t>
      </w:r>
      <w:r>
        <w:t xml:space="preserve">Another reason that the NEHEM estimate is lower is that the estimate is in the population </w:t>
      </w:r>
      <w:r w:rsidR="0015111E">
        <w:t xml:space="preserve">aged </w:t>
      </w:r>
      <w:r>
        <w:t>50 years</w:t>
      </w:r>
      <w:r w:rsidR="0015111E">
        <w:t xml:space="preserve"> and over</w:t>
      </w:r>
      <w:r>
        <w:t xml:space="preserve">, whereas the local authority register includes the whole population. </w:t>
      </w:r>
    </w:p>
    <w:p w:rsidR="00E7122B" w:rsidRDefault="0080673A" w:rsidP="00E7122B">
      <w:r>
        <w:t xml:space="preserve">The NEHEM estimates of low vision are considerably higher than the number of people who are registered as sight impaired with the </w:t>
      </w:r>
      <w:r w:rsidR="00194386">
        <w:t>l</w:t>
      </w:r>
      <w:r w:rsidR="009726D9">
        <w:t>ocal</w:t>
      </w:r>
      <w:r w:rsidR="00F435D0">
        <w:t xml:space="preserve"> </w:t>
      </w:r>
      <w:r w:rsidR="007B32C7">
        <w:t>authority</w:t>
      </w:r>
      <w:r>
        <w:t xml:space="preserve">. </w:t>
      </w:r>
      <w:r w:rsidR="00E7122B">
        <w:t xml:space="preserve"> </w:t>
      </w:r>
    </w:p>
    <w:p w:rsidR="00816A03" w:rsidRDefault="000612BE" w:rsidP="0080673A">
      <w:r>
        <w:t xml:space="preserve">Table 33 </w:t>
      </w:r>
      <w:r w:rsidR="0080673A">
        <w:t>shows how these numbers compare.</w:t>
      </w:r>
    </w:p>
    <w:p w:rsidR="00147B92" w:rsidRPr="00147B92" w:rsidRDefault="00816A03" w:rsidP="00147B92">
      <w:pPr>
        <w:pStyle w:val="Caption"/>
        <w:jc w:val="left"/>
        <w:rPr>
          <w:sz w:val="20"/>
        </w:rPr>
      </w:pPr>
      <w:bookmarkStart w:id="313" w:name="_Ref285117082"/>
      <w:bookmarkStart w:id="314" w:name="_Toc302293575"/>
      <w:r w:rsidRPr="00B51461">
        <w:rPr>
          <w:sz w:val="20"/>
        </w:rPr>
        <w:lastRenderedPageBreak/>
        <w:t xml:space="preserve">Table </w:t>
      </w:r>
      <w:r w:rsidR="001060C2" w:rsidRPr="00B51461">
        <w:rPr>
          <w:sz w:val="20"/>
        </w:rPr>
        <w:fldChar w:fldCharType="begin"/>
      </w:r>
      <w:r w:rsidRPr="00B51461">
        <w:rPr>
          <w:sz w:val="20"/>
        </w:rPr>
        <w:instrText xml:space="preserve"> SEQ Table \* ARABIC </w:instrText>
      </w:r>
      <w:r w:rsidR="001060C2" w:rsidRPr="00B51461">
        <w:rPr>
          <w:sz w:val="20"/>
        </w:rPr>
        <w:fldChar w:fldCharType="separate"/>
      </w:r>
      <w:r w:rsidR="00F96900">
        <w:rPr>
          <w:noProof/>
          <w:sz w:val="20"/>
        </w:rPr>
        <w:t>33</w:t>
      </w:r>
      <w:r w:rsidR="001060C2" w:rsidRPr="00B51461">
        <w:rPr>
          <w:sz w:val="20"/>
        </w:rPr>
        <w:fldChar w:fldCharType="end"/>
      </w:r>
      <w:bookmarkEnd w:id="313"/>
      <w:r w:rsidR="00424B51">
        <w:rPr>
          <w:sz w:val="20"/>
        </w:rPr>
        <w:t xml:space="preserve">. </w:t>
      </w:r>
      <w:r w:rsidR="009726D9">
        <w:rPr>
          <w:sz w:val="20"/>
        </w:rPr>
        <w:t>Local</w:t>
      </w:r>
      <w:r w:rsidR="00F435D0">
        <w:rPr>
          <w:sz w:val="20"/>
        </w:rPr>
        <w:t xml:space="preserve"> </w:t>
      </w:r>
      <w:r w:rsidR="007B32C7">
        <w:rPr>
          <w:sz w:val="20"/>
        </w:rPr>
        <w:t>authority</w:t>
      </w:r>
      <w:r w:rsidRPr="00B51461">
        <w:rPr>
          <w:sz w:val="20"/>
        </w:rPr>
        <w:t xml:space="preserve"> and NEHEM comparison of sight impairment / low vision</w:t>
      </w:r>
      <w:r w:rsidR="00424B51">
        <w:rPr>
          <w:sz w:val="20"/>
        </w:rPr>
        <w:t>, 2009</w:t>
      </w:r>
      <w:bookmarkEnd w:id="314"/>
    </w:p>
    <w:p w:rsidR="00147B92" w:rsidRPr="00147B92" w:rsidRDefault="004531F9" w:rsidP="00147B92">
      <w:r>
        <w:rPr>
          <w:noProof/>
          <w:lang w:eastAsia="en-GB"/>
        </w:rPr>
        <w:drawing>
          <wp:inline distT="0" distB="0" distL="0" distR="0">
            <wp:extent cx="5768975" cy="1220360"/>
            <wp:effectExtent l="19050" t="0" r="0" b="0"/>
            <wp:docPr id="5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cstate="print"/>
                    <a:srcRect/>
                    <a:stretch>
                      <a:fillRect/>
                    </a:stretch>
                  </pic:blipFill>
                  <pic:spPr bwMode="auto">
                    <a:xfrm>
                      <a:off x="0" y="0"/>
                      <a:ext cx="5768975" cy="1220360"/>
                    </a:xfrm>
                    <a:prstGeom prst="rect">
                      <a:avLst/>
                    </a:prstGeom>
                    <a:noFill/>
                    <a:ln w="9525">
                      <a:noFill/>
                      <a:miter lim="800000"/>
                      <a:headEnd/>
                      <a:tailEnd/>
                    </a:ln>
                  </pic:spPr>
                </pic:pic>
              </a:graphicData>
            </a:graphic>
          </wp:inline>
        </w:drawing>
      </w:r>
    </w:p>
    <w:p w:rsidR="00E7122B" w:rsidRDefault="00E7122B" w:rsidP="00E7122B">
      <w:r>
        <w:t>The NEHEM definition of low vision</w:t>
      </w:r>
      <w:r w:rsidR="00424B51">
        <w:t xml:space="preserve"> is visual acuity from 3/60 to less than </w:t>
      </w:r>
      <w:r>
        <w:t>6/18 (</w:t>
      </w:r>
      <w:r w:rsidR="00424B51">
        <w:t>National Eye Health Epidemiological Model, 2010</w:t>
      </w:r>
      <w:r>
        <w:t>).  This is broader than the local authority’s definition of sight impairment.  Here the definition of sight impairment is visual acuity of 3/60-6/60 with full visual field, visual acuity up to 6/24 with moderate reduction in the visual field and visual acuity up to 6/18 with large reduction in the visual field (</w:t>
      </w:r>
      <w:r w:rsidR="00E761E7">
        <w:t>Royal National Institute of Blind People</w:t>
      </w:r>
      <w:r w:rsidR="00424B51">
        <w:t xml:space="preserve">, </w:t>
      </w:r>
      <w:r>
        <w:t>2010).  Theref</w:t>
      </w:r>
      <w:r w:rsidR="00424B51">
        <w:t xml:space="preserve">ore, people with visual acuity greater than </w:t>
      </w:r>
      <w:r>
        <w:t xml:space="preserve">6/60 and </w:t>
      </w:r>
      <w:r w:rsidR="00424B51">
        <w:t xml:space="preserve">less than </w:t>
      </w:r>
      <w:r>
        <w:t>6/18 with full visual fields are included in the NEHEM estimate, but for the local authority regis</w:t>
      </w:r>
      <w:r w:rsidR="00424B51">
        <w:t xml:space="preserve">ter, people with visual acuity greater than </w:t>
      </w:r>
      <w:r>
        <w:t xml:space="preserve">6/60 and </w:t>
      </w:r>
      <w:r w:rsidR="00424B51">
        <w:t xml:space="preserve">less than </w:t>
      </w:r>
      <w:r>
        <w:t>6/18 would have moderate or large reductions in their visual fields.  As well, the NEHEM model estimate is based on extrapolated data for adults aged 50-74 years so results should be interpreted with caution.</w:t>
      </w:r>
    </w:p>
    <w:p w:rsidR="00E7122B" w:rsidRDefault="00E7122B" w:rsidP="00E7122B">
      <w:r>
        <w:t xml:space="preserve">There could be a real difference between the number of people who have low vision and the number registered with a local authority, which would mean that most people with sight impairment are not registered with a local authority and this could indicate that people are not getting the services for which they are eligible. </w:t>
      </w:r>
    </w:p>
    <w:p w:rsidR="00E7122B" w:rsidRDefault="00E7122B" w:rsidP="00E7122B">
      <w:pPr>
        <w:autoSpaceDE w:val="0"/>
        <w:autoSpaceDN w:val="0"/>
        <w:adjustRightInd w:val="0"/>
      </w:pPr>
      <w:r>
        <w:t>In a study of people with sight problems by the RNIB, 45</w:t>
      </w:r>
      <w:r w:rsidR="00CB30E2">
        <w:t xml:space="preserve"> </w:t>
      </w:r>
      <w:r w:rsidR="00976E79">
        <w:t>per cent</w:t>
      </w:r>
      <w:r>
        <w:t xml:space="preserve"> of people who were eligible for registration were not registered (Jackson and Hughes</w:t>
      </w:r>
      <w:r w:rsidR="0022335F">
        <w:t>,</w:t>
      </w:r>
      <w:r>
        <w:t xml:space="preserve"> 2008).  In Wales, the level of registration has been falling over a number of years. </w:t>
      </w:r>
      <w:r w:rsidR="00424B51">
        <w:t xml:space="preserve"> </w:t>
      </w:r>
      <w:r>
        <w:t>Jackson and Hughes (2008) offer some reasons why this may be the case including:</w:t>
      </w:r>
    </w:p>
    <w:p w:rsidR="00E7122B" w:rsidRDefault="00E7122B" w:rsidP="00E7122B">
      <w:pPr>
        <w:numPr>
          <w:ilvl w:val="0"/>
          <w:numId w:val="15"/>
        </w:numPr>
      </w:pPr>
      <w:r>
        <w:t xml:space="preserve">The process has become more complex since the introduction of the </w:t>
      </w:r>
      <w:r w:rsidR="00CD0778">
        <w:t>CVI(W)</w:t>
      </w:r>
      <w:r>
        <w:t xml:space="preserve"> in 2007</w:t>
      </w:r>
    </w:p>
    <w:p w:rsidR="00E7122B" w:rsidRDefault="00E7122B" w:rsidP="00E7122B">
      <w:pPr>
        <w:numPr>
          <w:ilvl w:val="0"/>
          <w:numId w:val="15"/>
        </w:numPr>
      </w:pPr>
      <w:r>
        <w:t xml:space="preserve">Lack of time in </w:t>
      </w:r>
      <w:r w:rsidR="00D8724C">
        <w:t>eye</w:t>
      </w:r>
      <w:r>
        <w:t xml:space="preserve"> clinics for Consultants to explain process of registration to patients</w:t>
      </w:r>
    </w:p>
    <w:p w:rsidR="00E7122B" w:rsidRDefault="00E7122B" w:rsidP="00E7122B">
      <w:pPr>
        <w:numPr>
          <w:ilvl w:val="0"/>
          <w:numId w:val="15"/>
        </w:numPr>
      </w:pPr>
      <w:r>
        <w:t>Patients reluctant to register soon after diagnosis and may not have access to certification to enable registration at a later stage.</w:t>
      </w:r>
    </w:p>
    <w:p w:rsidR="00E7122B" w:rsidRDefault="00E7122B" w:rsidP="00E7122B">
      <w:pPr>
        <w:autoSpaceDE w:val="0"/>
        <w:autoSpaceDN w:val="0"/>
        <w:adjustRightInd w:val="0"/>
      </w:pPr>
      <w:r>
        <w:t>However they also stated that some benefits and social services support are</w:t>
      </w:r>
      <w:r w:rsidR="0022335F">
        <w:t xml:space="preserve"> not dependant on registration for </w:t>
      </w:r>
      <w:r w:rsidR="00CD0778">
        <w:t>CVI(W)</w:t>
      </w:r>
      <w:r>
        <w:t xml:space="preserve">.  Therefore although people with sight impairment may still receive services although not registered, </w:t>
      </w:r>
      <w:r>
        <w:lastRenderedPageBreak/>
        <w:t>Jackson and Hughes state that anecdotal evidence suggests that these people wait longer to receive services.</w:t>
      </w:r>
    </w:p>
    <w:p w:rsidR="00E13799" w:rsidRDefault="0021754C" w:rsidP="003A1533">
      <w:r>
        <w:t xml:space="preserve">There were 127 new certifications for Cwm Taf recorded by Moorfields </w:t>
      </w:r>
      <w:r w:rsidR="00D8724C">
        <w:t>Eye</w:t>
      </w:r>
      <w:r>
        <w:t xml:space="preserve"> Hospital in 2008</w:t>
      </w:r>
      <w:r w:rsidR="002F3DB9">
        <w:t xml:space="preserve"> to </w:t>
      </w:r>
      <w:r>
        <w:t>2009.  It is not known how this rela</w:t>
      </w:r>
      <w:r w:rsidR="00A85DA3">
        <w:t xml:space="preserve">tes to the number of people who </w:t>
      </w:r>
      <w:r w:rsidR="008E4CB3">
        <w:t>would be eligible to be certified</w:t>
      </w:r>
      <w:r w:rsidR="00A85DA3">
        <w:t xml:space="preserve"> as sight impaired or severely sight impaired during the same period. </w:t>
      </w:r>
      <w:r w:rsidR="008E4CB3">
        <w:t xml:space="preserve">It is also not know how many of these 127 certifications were registered with the </w:t>
      </w:r>
      <w:r w:rsidR="00130B66">
        <w:t>l</w:t>
      </w:r>
      <w:r w:rsidR="009726D9">
        <w:t>ocal</w:t>
      </w:r>
      <w:r w:rsidR="00F435D0">
        <w:t xml:space="preserve"> </w:t>
      </w:r>
      <w:r w:rsidR="007B32C7">
        <w:t>authority</w:t>
      </w:r>
      <w:r w:rsidR="008E4CB3">
        <w:t xml:space="preserve"> during the same time period. </w:t>
      </w:r>
    </w:p>
    <w:p w:rsidR="00C9242F" w:rsidRDefault="00C9242F" w:rsidP="00C9242F">
      <w:pPr>
        <w:pStyle w:val="Heading2"/>
      </w:pPr>
      <w:bookmarkStart w:id="315" w:name="_Toc291585893"/>
      <w:bookmarkStart w:id="316" w:name="_Toc302293479"/>
      <w:r>
        <w:t>Diabetic retinopathy</w:t>
      </w:r>
      <w:bookmarkEnd w:id="315"/>
      <w:bookmarkEnd w:id="316"/>
    </w:p>
    <w:p w:rsidR="00E5289D" w:rsidRPr="00856E75" w:rsidRDefault="00E5289D" w:rsidP="0095358C">
      <w:pPr>
        <w:rPr>
          <w:szCs w:val="24"/>
        </w:rPr>
      </w:pPr>
      <w:r w:rsidRPr="00E5289D">
        <w:t>QOF</w:t>
      </w:r>
      <w:r>
        <w:t xml:space="preserve"> data (</w:t>
      </w:r>
      <w:r w:rsidR="00856E75">
        <w:t>section</w:t>
      </w:r>
      <w:r w:rsidR="000612BE">
        <w:t xml:space="preserve"> 7.1.2</w:t>
      </w:r>
      <w:r>
        <w:t>) showed that in Cwm Taf in 2009</w:t>
      </w:r>
      <w:r w:rsidR="00595434">
        <w:t xml:space="preserve"> to 2010</w:t>
      </w:r>
      <w:r>
        <w:t>, 93</w:t>
      </w:r>
      <w:r w:rsidR="00CB30E2">
        <w:t xml:space="preserve"> </w:t>
      </w:r>
      <w:r w:rsidR="00976E79">
        <w:t>per cent</w:t>
      </w:r>
      <w:r>
        <w:t xml:space="preserve"> of patients who were eligible for diabetic retinopathy screening were screened in the previous 15 months.  </w:t>
      </w:r>
      <w:r w:rsidR="0047251A">
        <w:t>It is not known whether all eligibl</w:t>
      </w:r>
      <w:r w:rsidR="00856E75">
        <w:t>e people were offered screening or whether all those marked as screened were actually screened</w:t>
      </w:r>
      <w:r w:rsidR="000612BE">
        <w:t>.</w:t>
      </w:r>
      <w:r w:rsidR="0047251A">
        <w:t xml:space="preserve"> </w:t>
      </w:r>
      <w:r w:rsidR="00D56DBC">
        <w:t xml:space="preserve"> </w:t>
      </w:r>
    </w:p>
    <w:p w:rsidR="003075FE" w:rsidRDefault="000612BE" w:rsidP="003075FE">
      <w:pPr>
        <w:rPr>
          <w:szCs w:val="24"/>
        </w:rPr>
      </w:pPr>
      <w:r>
        <w:rPr>
          <w:szCs w:val="24"/>
        </w:rPr>
        <w:t xml:space="preserve">Figure 24 </w:t>
      </w:r>
      <w:r w:rsidR="008C6B6D">
        <w:rPr>
          <w:szCs w:val="24"/>
        </w:rPr>
        <w:t xml:space="preserve">shows how many patients with diabetes were screened </w:t>
      </w:r>
      <w:r w:rsidR="008C6B6D">
        <w:t xml:space="preserve">between </w:t>
      </w:r>
      <w:r w:rsidR="008C6B6D" w:rsidRPr="0017047D">
        <w:t xml:space="preserve">April 2009 </w:t>
      </w:r>
      <w:r w:rsidR="008C6B6D">
        <w:t xml:space="preserve">and </w:t>
      </w:r>
      <w:r w:rsidR="008C6B6D" w:rsidRPr="0017047D">
        <w:t>March 2010</w:t>
      </w:r>
      <w:r w:rsidR="008C6B6D">
        <w:t xml:space="preserve">.  </w:t>
      </w:r>
      <w:r w:rsidR="008C6B6D">
        <w:rPr>
          <w:szCs w:val="24"/>
        </w:rPr>
        <w:t xml:space="preserve">Different sources of data were used but the time period for all three sources was the same.  The </w:t>
      </w:r>
      <w:r w:rsidR="003075FE">
        <w:rPr>
          <w:szCs w:val="24"/>
        </w:rPr>
        <w:t xml:space="preserve">different sources of data mean that the </w:t>
      </w:r>
      <w:r w:rsidR="008C6B6D">
        <w:rPr>
          <w:szCs w:val="24"/>
        </w:rPr>
        <w:t>base populations differ</w:t>
      </w:r>
      <w:r w:rsidR="003075FE">
        <w:rPr>
          <w:szCs w:val="24"/>
        </w:rPr>
        <w:t>.  QOF data, which relates to patients re</w:t>
      </w:r>
      <w:r w:rsidR="00CA5F99">
        <w:rPr>
          <w:szCs w:val="24"/>
        </w:rPr>
        <w:t>gistered with GP practices, DRSS</w:t>
      </w:r>
      <w:r w:rsidR="003075FE">
        <w:rPr>
          <w:szCs w:val="24"/>
        </w:rPr>
        <w:t>W data, which relates to patients who were screened in Cwm Taf (but</w:t>
      </w:r>
      <w:r w:rsidR="00DC6A68">
        <w:rPr>
          <w:szCs w:val="24"/>
        </w:rPr>
        <w:t xml:space="preserve"> could be residents of another health b</w:t>
      </w:r>
      <w:r w:rsidR="003075FE">
        <w:rPr>
          <w:szCs w:val="24"/>
        </w:rPr>
        <w:t>oard or be registered with GPs outside Cwm Taf) and Cwm Taf hospital clinic data, which relates to patients referred to Cwm Taf hospitals (but again</w:t>
      </w:r>
      <w:r w:rsidR="00DC6A68">
        <w:rPr>
          <w:szCs w:val="24"/>
        </w:rPr>
        <w:t xml:space="preserve"> could be residents of another health b</w:t>
      </w:r>
      <w:r w:rsidR="003075FE">
        <w:rPr>
          <w:szCs w:val="24"/>
        </w:rPr>
        <w:t xml:space="preserve">oard or be registered with GPs outside Cwm Taf) were used. </w:t>
      </w:r>
      <w:r w:rsidR="00CE6B54">
        <w:rPr>
          <w:szCs w:val="24"/>
        </w:rPr>
        <w:t xml:space="preserve"> These are all provider based data sources, and some of the people counted may not actually be residents of Cwm Taf.</w:t>
      </w:r>
    </w:p>
    <w:p w:rsidR="003075FE" w:rsidRDefault="003075FE" w:rsidP="003075FE">
      <w:r>
        <w:t xml:space="preserve">The flowchart shows how many people registered with Cwm Taf GPs had diabetes and those eligible for screening.  The number of people who were offered screening in Cwm Taf is lower than the number of people registered with Cwm Taf GPs who were eligible for screening, but these people may have been screened elsewhere.  Additionally, some people screened in Cwm Taf may not have been registered with Cwm Taf GPs.   </w:t>
      </w:r>
      <w:r>
        <w:rPr>
          <w:szCs w:val="24"/>
        </w:rPr>
        <w:t>T</w:t>
      </w:r>
      <w:r w:rsidR="008C6B6D">
        <w:rPr>
          <w:szCs w:val="24"/>
        </w:rPr>
        <w:t xml:space="preserve">he </w:t>
      </w:r>
      <w:r w:rsidR="008C6B6D">
        <w:t xml:space="preserve">13,121 people who were offered screening </w:t>
      </w:r>
      <w:r w:rsidR="004C32C0">
        <w:t xml:space="preserve">by DRSSW </w:t>
      </w:r>
      <w:r w:rsidR="008C6B6D">
        <w:t xml:space="preserve">were people actually </w:t>
      </w:r>
      <w:r w:rsidR="004C32C0">
        <w:t xml:space="preserve">offered </w:t>
      </w:r>
      <w:r w:rsidR="008C6B6D">
        <w:t>screen</w:t>
      </w:r>
      <w:r w:rsidR="004C32C0">
        <w:t xml:space="preserve">ing at a location in </w:t>
      </w:r>
      <w:r w:rsidR="008C6B6D">
        <w:t>Cwm Taf not people who were registered with Cwm Taf GP practices or residents of Cwm Taf.  Of th</w:t>
      </w:r>
      <w:r w:rsidR="00CD0778">
        <w:t xml:space="preserve">ose offered screening, </w:t>
      </w:r>
      <w:r w:rsidR="008C6B6D">
        <w:t>9</w:t>
      </w:r>
      <w:r w:rsidR="00CD0778">
        <w:t>,</w:t>
      </w:r>
      <w:r w:rsidR="008C6B6D">
        <w:t>590 attended for screening, 1</w:t>
      </w:r>
      <w:r w:rsidR="00CD0778">
        <w:t>,</w:t>
      </w:r>
      <w:r w:rsidR="008C6B6D">
        <w:t>775 were unable to attend and 1</w:t>
      </w:r>
      <w:r w:rsidR="00CD0778">
        <w:t>,</w:t>
      </w:r>
      <w:r w:rsidR="008C6B6D">
        <w:t>756 did</w:t>
      </w:r>
      <w:r w:rsidR="00856E75">
        <w:t xml:space="preserve"> not attend.  The uptake rate was</w:t>
      </w:r>
      <w:r w:rsidR="008C6B6D">
        <w:t xml:space="preserve"> therefore 73</w:t>
      </w:r>
      <w:r w:rsidR="00CB30E2">
        <w:t xml:space="preserve"> </w:t>
      </w:r>
      <w:r w:rsidR="00976E79">
        <w:t>per cent</w:t>
      </w:r>
      <w:r w:rsidR="008C6B6D">
        <w:t>.  This compares with an all Wales uptake rate of 71.6</w:t>
      </w:r>
      <w:r w:rsidR="00CB30E2">
        <w:t xml:space="preserve"> </w:t>
      </w:r>
      <w:r w:rsidR="00976E79">
        <w:t>per cent</w:t>
      </w:r>
      <w:r w:rsidR="008C6B6D">
        <w:t xml:space="preserve"> (personal communication</w:t>
      </w:r>
      <w:r w:rsidR="001C2D38">
        <w:t xml:space="preserve">, </w:t>
      </w:r>
      <w:r w:rsidR="008C6B6D">
        <w:t xml:space="preserve">Rosemarie Keigwin-Harris).  </w:t>
      </w:r>
      <w:r>
        <w:t>There were 353 people referred for treatment in Cwm Taf; this equates to a 3.6</w:t>
      </w:r>
      <w:r w:rsidR="00CB30E2">
        <w:t xml:space="preserve"> </w:t>
      </w:r>
      <w:r w:rsidR="00976E79">
        <w:t>per cent</w:t>
      </w:r>
      <w:r>
        <w:t xml:space="preserve"> referral rate for further investigation of treatment after screening.  However of the 353 people referred to Cwm Taf hospitals, some may have been screened elsewhere, and some of those screened in Cwm Taf may </w:t>
      </w:r>
      <w:r>
        <w:lastRenderedPageBreak/>
        <w:t>have been referred elsewhere. The all Wales rate of referrals following screening is around 3</w:t>
      </w:r>
      <w:r w:rsidR="00CB30E2">
        <w:t xml:space="preserve"> </w:t>
      </w:r>
      <w:r w:rsidR="00976E79">
        <w:t>per cent</w:t>
      </w:r>
      <w:r>
        <w:t xml:space="preserve"> (personal communication, Rosemarie Keigwin-Harris).  </w:t>
      </w:r>
    </w:p>
    <w:p w:rsidR="00856E75" w:rsidRDefault="00856E75" w:rsidP="008C6B6D"/>
    <w:p w:rsidR="008C6B6D" w:rsidRDefault="008C6B6D" w:rsidP="008C6B6D">
      <w:pPr>
        <w:pStyle w:val="Caption"/>
        <w:jc w:val="left"/>
        <w:rPr>
          <w:sz w:val="20"/>
        </w:rPr>
      </w:pPr>
      <w:bookmarkStart w:id="317" w:name="_Ref287548612"/>
      <w:bookmarkStart w:id="318" w:name="_Toc291585931"/>
      <w:bookmarkStart w:id="319" w:name="_Toc292463308"/>
      <w:bookmarkStart w:id="320" w:name="_Toc302232635"/>
      <w:r w:rsidRPr="006E1A68">
        <w:rPr>
          <w:sz w:val="20"/>
        </w:rPr>
        <w:t xml:space="preserve">Figure </w:t>
      </w:r>
      <w:r w:rsidR="001060C2" w:rsidRPr="006E1A68">
        <w:rPr>
          <w:sz w:val="20"/>
        </w:rPr>
        <w:fldChar w:fldCharType="begin"/>
      </w:r>
      <w:r w:rsidRPr="006E1A68">
        <w:rPr>
          <w:sz w:val="20"/>
        </w:rPr>
        <w:instrText xml:space="preserve"> SEQ Figure \* ARABIC </w:instrText>
      </w:r>
      <w:r w:rsidR="001060C2" w:rsidRPr="006E1A68">
        <w:rPr>
          <w:sz w:val="20"/>
        </w:rPr>
        <w:fldChar w:fldCharType="separate"/>
      </w:r>
      <w:r w:rsidR="00F96900">
        <w:rPr>
          <w:noProof/>
          <w:sz w:val="20"/>
        </w:rPr>
        <w:t>24</w:t>
      </w:r>
      <w:r w:rsidR="001060C2" w:rsidRPr="006E1A68">
        <w:rPr>
          <w:sz w:val="20"/>
        </w:rPr>
        <w:fldChar w:fldCharType="end"/>
      </w:r>
      <w:bookmarkEnd w:id="317"/>
      <w:r w:rsidR="002E6208">
        <w:rPr>
          <w:sz w:val="20"/>
        </w:rPr>
        <w:t>. D</w:t>
      </w:r>
      <w:r w:rsidRPr="006E1A68">
        <w:rPr>
          <w:sz w:val="20"/>
        </w:rPr>
        <w:t>iabetes and diabetic retinopathy screening</w:t>
      </w:r>
      <w:bookmarkEnd w:id="318"/>
      <w:bookmarkEnd w:id="319"/>
      <w:bookmarkEnd w:id="320"/>
    </w:p>
    <w:p w:rsidR="007B1761" w:rsidRPr="007B1761" w:rsidRDefault="002E6208" w:rsidP="007B1761">
      <w:r>
        <w:rPr>
          <w:noProof/>
          <w:lang w:eastAsia="en-GB"/>
        </w:rPr>
        <w:drawing>
          <wp:inline distT="0" distB="0" distL="0" distR="0">
            <wp:extent cx="3723894" cy="2703367"/>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srcRect/>
                    <a:stretch>
                      <a:fillRect/>
                    </a:stretch>
                  </pic:blipFill>
                  <pic:spPr bwMode="auto">
                    <a:xfrm>
                      <a:off x="0" y="0"/>
                      <a:ext cx="3724025" cy="2703462"/>
                    </a:xfrm>
                    <a:prstGeom prst="rect">
                      <a:avLst/>
                    </a:prstGeom>
                    <a:noFill/>
                    <a:ln w="9525">
                      <a:noFill/>
                      <a:miter lim="800000"/>
                      <a:headEnd/>
                      <a:tailEnd/>
                    </a:ln>
                  </pic:spPr>
                </pic:pic>
              </a:graphicData>
            </a:graphic>
          </wp:inline>
        </w:drawing>
      </w:r>
    </w:p>
    <w:p w:rsidR="00C9242F" w:rsidRPr="00C9242F" w:rsidRDefault="00E71911" w:rsidP="00C9242F">
      <w:pPr>
        <w:pStyle w:val="Heading2"/>
      </w:pPr>
      <w:bookmarkStart w:id="321" w:name="_Toc291585894"/>
      <w:bookmarkStart w:id="322" w:name="_Toc302293480"/>
      <w:r>
        <w:t>Glaucoma</w:t>
      </w:r>
      <w:bookmarkEnd w:id="321"/>
      <w:bookmarkEnd w:id="322"/>
    </w:p>
    <w:p w:rsidR="0047251A" w:rsidRDefault="000612BE" w:rsidP="00C9242F">
      <w:r>
        <w:rPr>
          <w:szCs w:val="24"/>
        </w:rPr>
        <w:t xml:space="preserve">Table 34 </w:t>
      </w:r>
      <w:r w:rsidR="00817F53" w:rsidRPr="001E4285">
        <w:rPr>
          <w:szCs w:val="24"/>
        </w:rPr>
        <w:t xml:space="preserve">and </w:t>
      </w:r>
      <w:r>
        <w:rPr>
          <w:szCs w:val="24"/>
        </w:rPr>
        <w:t xml:space="preserve">Figure 25 </w:t>
      </w:r>
      <w:r w:rsidR="00C9242F" w:rsidRPr="001E4285">
        <w:rPr>
          <w:szCs w:val="24"/>
        </w:rPr>
        <w:t>sho</w:t>
      </w:r>
      <w:r w:rsidR="00C9242F">
        <w:t xml:space="preserve">w how estimates of need for </w:t>
      </w:r>
      <w:r w:rsidR="00E71911">
        <w:t>glaucoma</w:t>
      </w:r>
      <w:r w:rsidR="002E6208">
        <w:t xml:space="preserve"> services</w:t>
      </w:r>
      <w:r w:rsidR="00C9242F">
        <w:t xml:space="preserve"> compare with a</w:t>
      </w:r>
      <w:r w:rsidR="002C37F8">
        <w:t>ctual provision of services</w:t>
      </w:r>
      <w:r w:rsidR="00817F53">
        <w:t xml:space="preserve">, measured by provision of ophthalmic </w:t>
      </w:r>
      <w:r w:rsidR="0047251A">
        <w:t>preparations for glaucoma</w:t>
      </w:r>
      <w:r w:rsidR="002C37F8">
        <w:t xml:space="preserve">. </w:t>
      </w:r>
      <w:r>
        <w:t xml:space="preserve">Table 34 </w:t>
      </w:r>
      <w:r w:rsidR="00C9242F" w:rsidRPr="00BD48A4">
        <w:rPr>
          <w:szCs w:val="24"/>
        </w:rPr>
        <w:t>shows</w:t>
      </w:r>
      <w:r w:rsidR="00C9242F">
        <w:t xml:space="preserve"> the average number of dispensed monthly ophthalmic </w:t>
      </w:r>
      <w:r w:rsidR="0047251A">
        <w:t>preparations for glaucoma</w:t>
      </w:r>
      <w:r w:rsidR="00C9242F">
        <w:t xml:space="preserve">.  </w:t>
      </w:r>
    </w:p>
    <w:p w:rsidR="004E075A" w:rsidRDefault="000612BE" w:rsidP="00C9242F">
      <w:r>
        <w:t>In Figure 25, t</w:t>
      </w:r>
      <w:r w:rsidR="004E075A" w:rsidRPr="004E075A">
        <w:t xml:space="preserve">he </w:t>
      </w:r>
      <w:r w:rsidR="002E6208">
        <w:t xml:space="preserve">top three (blue) </w:t>
      </w:r>
      <w:r w:rsidR="004E075A" w:rsidRPr="004E075A">
        <w:t xml:space="preserve">bars are a measure of need and </w:t>
      </w:r>
      <w:r w:rsidR="002E6208">
        <w:t>bottom two bars (</w:t>
      </w:r>
      <w:r w:rsidR="004E075A" w:rsidRPr="004E075A">
        <w:t>pink</w:t>
      </w:r>
      <w:r w:rsidR="004E075A">
        <w:t xml:space="preserve"> and </w:t>
      </w:r>
      <w:r w:rsidR="004E075A" w:rsidRPr="004E075A">
        <w:t>red</w:t>
      </w:r>
      <w:r w:rsidR="002E6208">
        <w:t xml:space="preserve">) </w:t>
      </w:r>
      <w:r w:rsidR="004E075A">
        <w:t xml:space="preserve">are </w:t>
      </w:r>
      <w:r w:rsidR="004E075A" w:rsidRPr="004E075A">
        <w:t xml:space="preserve">a measure of provision. The 2009 NEHEM prevalence estimate is denoted as 1 and the other estimates are shown as ratios compared with this estimate.  </w:t>
      </w:r>
    </w:p>
    <w:p w:rsidR="004E075A" w:rsidRDefault="004E075A" w:rsidP="00C9242F">
      <w:r w:rsidRPr="004E075A">
        <w:t>Compared with Wales, the relative estimate of provision to need is higher in Cwm Taf.  In Cwm Taf the relative provision is between 0.95 to 1.7 related to the 2009 NEHEM estimate of need; in Wales the relative provision is 0.84 to 1.3 in relation to need.  In these analyses, the need was based on t</w:t>
      </w:r>
      <w:r w:rsidR="002E6208">
        <w:t xml:space="preserve">he resident population and the </w:t>
      </w:r>
      <w:r w:rsidRPr="004E075A">
        <w:t>provision was based on provider data, so in Cwm Taf these populations may differ slightly.</w:t>
      </w:r>
    </w:p>
    <w:p w:rsidR="002E6208" w:rsidRDefault="002E6208" w:rsidP="00C9242F"/>
    <w:p w:rsidR="00346FC8" w:rsidRDefault="002C37F8" w:rsidP="002C37F8">
      <w:pPr>
        <w:pStyle w:val="Caption"/>
        <w:jc w:val="left"/>
        <w:rPr>
          <w:sz w:val="20"/>
        </w:rPr>
      </w:pPr>
      <w:bookmarkStart w:id="323" w:name="_Ref282001208"/>
      <w:bookmarkStart w:id="324" w:name="_Ref282075911"/>
      <w:bookmarkStart w:id="325" w:name="_Toc302293576"/>
      <w:r w:rsidRPr="00B60853">
        <w:rPr>
          <w:sz w:val="20"/>
        </w:rPr>
        <w:t xml:space="preserve">Table </w:t>
      </w:r>
      <w:r w:rsidR="001060C2" w:rsidRPr="00B60853">
        <w:rPr>
          <w:sz w:val="20"/>
        </w:rPr>
        <w:fldChar w:fldCharType="begin"/>
      </w:r>
      <w:r w:rsidRPr="00B60853">
        <w:rPr>
          <w:sz w:val="20"/>
        </w:rPr>
        <w:instrText xml:space="preserve"> SEQ Table \* ARABIC </w:instrText>
      </w:r>
      <w:r w:rsidR="001060C2" w:rsidRPr="00B60853">
        <w:rPr>
          <w:sz w:val="20"/>
        </w:rPr>
        <w:fldChar w:fldCharType="separate"/>
      </w:r>
      <w:r w:rsidR="00F96900">
        <w:rPr>
          <w:noProof/>
          <w:sz w:val="20"/>
        </w:rPr>
        <w:t>34</w:t>
      </w:r>
      <w:r w:rsidR="001060C2" w:rsidRPr="00B60853">
        <w:rPr>
          <w:sz w:val="20"/>
        </w:rPr>
        <w:fldChar w:fldCharType="end"/>
      </w:r>
      <w:bookmarkEnd w:id="323"/>
      <w:r w:rsidR="002E6208">
        <w:rPr>
          <w:sz w:val="20"/>
        </w:rPr>
        <w:t xml:space="preserve">. </w:t>
      </w:r>
      <w:r w:rsidR="00E71911">
        <w:rPr>
          <w:sz w:val="20"/>
        </w:rPr>
        <w:t>Glaucoma</w:t>
      </w:r>
      <w:r w:rsidR="001D57A4">
        <w:rPr>
          <w:sz w:val="20"/>
        </w:rPr>
        <w:t xml:space="preserve">: </w:t>
      </w:r>
      <w:r w:rsidRPr="00B60853">
        <w:rPr>
          <w:sz w:val="20"/>
        </w:rPr>
        <w:t>Estimates of need and provision</w:t>
      </w:r>
      <w:bookmarkEnd w:id="324"/>
      <w:bookmarkEnd w:id="325"/>
    </w:p>
    <w:p w:rsidR="00F4422D" w:rsidRPr="00F4422D" w:rsidRDefault="00F4422D" w:rsidP="00F4422D">
      <w:r>
        <w:rPr>
          <w:noProof/>
          <w:lang w:eastAsia="en-GB"/>
        </w:rPr>
        <w:drawing>
          <wp:inline distT="0" distB="0" distL="0" distR="0">
            <wp:extent cx="5768975" cy="1029434"/>
            <wp:effectExtent l="19050" t="0" r="3175" b="0"/>
            <wp:docPr id="5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cstate="print"/>
                    <a:srcRect/>
                    <a:stretch>
                      <a:fillRect/>
                    </a:stretch>
                  </pic:blipFill>
                  <pic:spPr bwMode="auto">
                    <a:xfrm>
                      <a:off x="0" y="0"/>
                      <a:ext cx="5768975" cy="1029434"/>
                    </a:xfrm>
                    <a:prstGeom prst="rect">
                      <a:avLst/>
                    </a:prstGeom>
                    <a:noFill/>
                    <a:ln w="9525">
                      <a:noFill/>
                      <a:miter lim="800000"/>
                      <a:headEnd/>
                      <a:tailEnd/>
                    </a:ln>
                  </pic:spPr>
                </pic:pic>
              </a:graphicData>
            </a:graphic>
          </wp:inline>
        </w:drawing>
      </w:r>
    </w:p>
    <w:p w:rsidR="00F4422D" w:rsidRPr="00F4422D" w:rsidRDefault="00F4422D" w:rsidP="00F4422D"/>
    <w:p w:rsidR="00247DC0" w:rsidRDefault="00B60853" w:rsidP="00B60853">
      <w:pPr>
        <w:pStyle w:val="Caption"/>
        <w:jc w:val="left"/>
        <w:rPr>
          <w:sz w:val="20"/>
        </w:rPr>
      </w:pPr>
      <w:bookmarkStart w:id="326" w:name="_Ref282075952"/>
      <w:bookmarkStart w:id="327" w:name="_Toc291585932"/>
      <w:bookmarkStart w:id="328" w:name="_Toc292463309"/>
      <w:bookmarkStart w:id="329" w:name="_Toc302232636"/>
      <w:r w:rsidRPr="00B60853">
        <w:rPr>
          <w:sz w:val="20"/>
        </w:rPr>
        <w:t xml:space="preserve">Figure </w:t>
      </w:r>
      <w:r w:rsidR="001060C2" w:rsidRPr="00B60853">
        <w:rPr>
          <w:sz w:val="20"/>
        </w:rPr>
        <w:fldChar w:fldCharType="begin"/>
      </w:r>
      <w:r w:rsidRPr="00B60853">
        <w:rPr>
          <w:sz w:val="20"/>
        </w:rPr>
        <w:instrText xml:space="preserve"> SEQ Figure \* ARABIC </w:instrText>
      </w:r>
      <w:r w:rsidR="001060C2" w:rsidRPr="00B60853">
        <w:rPr>
          <w:sz w:val="20"/>
        </w:rPr>
        <w:fldChar w:fldCharType="separate"/>
      </w:r>
      <w:r w:rsidR="00F96900">
        <w:rPr>
          <w:noProof/>
          <w:sz w:val="20"/>
        </w:rPr>
        <w:t>25</w:t>
      </w:r>
      <w:r w:rsidR="001060C2" w:rsidRPr="00B60853">
        <w:rPr>
          <w:sz w:val="20"/>
        </w:rPr>
        <w:fldChar w:fldCharType="end"/>
      </w:r>
      <w:bookmarkEnd w:id="326"/>
      <w:r w:rsidR="002E6208">
        <w:rPr>
          <w:sz w:val="20"/>
        </w:rPr>
        <w:t xml:space="preserve">. </w:t>
      </w:r>
      <w:r w:rsidR="00E71911">
        <w:rPr>
          <w:sz w:val="20"/>
        </w:rPr>
        <w:t>Glaucoma</w:t>
      </w:r>
      <w:r w:rsidR="001D57A4">
        <w:rPr>
          <w:sz w:val="20"/>
        </w:rPr>
        <w:t>:</w:t>
      </w:r>
      <w:r w:rsidRPr="00B60853">
        <w:rPr>
          <w:sz w:val="20"/>
        </w:rPr>
        <w:t xml:space="preserve"> Estimates of need and provision relative to NEHEM 2009 estimate of need</w:t>
      </w:r>
      <w:bookmarkEnd w:id="327"/>
      <w:bookmarkEnd w:id="328"/>
      <w:bookmarkEnd w:id="329"/>
    </w:p>
    <w:p w:rsidR="00CA2284" w:rsidRPr="00CA2284" w:rsidRDefault="00CF39E9" w:rsidP="00CA2284">
      <w:r>
        <w:rPr>
          <w:noProof/>
          <w:lang w:eastAsia="en-GB"/>
        </w:rPr>
        <w:drawing>
          <wp:inline distT="0" distB="0" distL="0" distR="0">
            <wp:extent cx="5768975" cy="3291691"/>
            <wp:effectExtent l="19050" t="0" r="3175" b="0"/>
            <wp:docPr id="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srcRect/>
                    <a:stretch>
                      <a:fillRect/>
                    </a:stretch>
                  </pic:blipFill>
                  <pic:spPr bwMode="auto">
                    <a:xfrm>
                      <a:off x="0" y="0"/>
                      <a:ext cx="5768975" cy="3291691"/>
                    </a:xfrm>
                    <a:prstGeom prst="rect">
                      <a:avLst/>
                    </a:prstGeom>
                    <a:noFill/>
                    <a:ln w="9525">
                      <a:noFill/>
                      <a:miter lim="800000"/>
                      <a:headEnd/>
                      <a:tailEnd/>
                    </a:ln>
                  </pic:spPr>
                </pic:pic>
              </a:graphicData>
            </a:graphic>
          </wp:inline>
        </w:drawing>
      </w:r>
    </w:p>
    <w:p w:rsidR="00856E75" w:rsidRDefault="00856E75" w:rsidP="00856E75">
      <w:r>
        <w:t>Data on visual field testing is available for Cwm Taf and shows that in 2009 to 2010 the number of visual field tests offered was 3</w:t>
      </w:r>
      <w:r w:rsidR="0015111E">
        <w:t>,</w:t>
      </w:r>
      <w:r>
        <w:t>099 and the number done was 2</w:t>
      </w:r>
      <w:r w:rsidR="0015111E">
        <w:t>,</w:t>
      </w:r>
      <w:r>
        <w:t>850.  The estimated number of patients who received visual field tests was 1</w:t>
      </w:r>
      <w:r w:rsidR="0015111E">
        <w:t>,</w:t>
      </w:r>
      <w:r>
        <w:t xml:space="preserve">781, due to double counting of some patients (see section </w:t>
      </w:r>
      <w:r w:rsidR="001060C2">
        <w:fldChar w:fldCharType="begin"/>
      </w:r>
      <w:r>
        <w:instrText xml:space="preserve"> REF _Ref287288470 \r \h </w:instrText>
      </w:r>
      <w:r w:rsidR="001060C2">
        <w:fldChar w:fldCharType="separate"/>
      </w:r>
      <w:r w:rsidR="00F96900">
        <w:t>7.2.1</w:t>
      </w:r>
      <w:r w:rsidR="001060C2">
        <w:fldChar w:fldCharType="end"/>
      </w:r>
      <w:r>
        <w:t xml:space="preserve">).  Compared with </w:t>
      </w:r>
      <w:r w:rsidR="006303EE">
        <w:t xml:space="preserve">the </w:t>
      </w:r>
      <w:r>
        <w:t xml:space="preserve">estimated number of </w:t>
      </w:r>
      <w:r w:rsidR="006303EE">
        <w:t xml:space="preserve">people with </w:t>
      </w:r>
      <w:r>
        <w:t>glaucoma in Cwm Taf (2</w:t>
      </w:r>
      <w:r w:rsidR="0015111E">
        <w:t>,</w:t>
      </w:r>
      <w:r w:rsidR="006303EE">
        <w:t>003</w:t>
      </w:r>
      <w:r>
        <w:t>-2</w:t>
      </w:r>
      <w:r w:rsidR="0015111E">
        <w:t>,</w:t>
      </w:r>
      <w:r>
        <w:t>713), this suggests that this service is not meeting the needs of patients with glaucoma</w:t>
      </w:r>
      <w:r w:rsidR="00306907">
        <w:t xml:space="preserve">, however it is not known how many </w:t>
      </w:r>
      <w:r w:rsidR="006303EE">
        <w:t xml:space="preserve">of these </w:t>
      </w:r>
      <w:r w:rsidR="00306907">
        <w:t>patients have visual field testing in the community</w:t>
      </w:r>
      <w:r>
        <w:t xml:space="preserve">.  </w:t>
      </w:r>
    </w:p>
    <w:p w:rsidR="000D5905" w:rsidRDefault="00BE6038" w:rsidP="00CA2917">
      <w:pPr>
        <w:pStyle w:val="Heading2"/>
      </w:pPr>
      <w:bookmarkStart w:id="330" w:name="_Toc291585895"/>
      <w:bookmarkStart w:id="331" w:name="_Toc302293481"/>
      <w:r>
        <w:t>Cataracts</w:t>
      </w:r>
      <w:bookmarkEnd w:id="330"/>
      <w:bookmarkEnd w:id="331"/>
    </w:p>
    <w:p w:rsidR="006144C1" w:rsidRDefault="00B449A2" w:rsidP="000A6B56">
      <w:pPr>
        <w:rPr>
          <w:szCs w:val="24"/>
        </w:rPr>
      </w:pPr>
      <w:r w:rsidRPr="00B449A2">
        <w:rPr>
          <w:szCs w:val="24"/>
        </w:rPr>
        <w:t>The provision of services for cataracts in comparison to need is shown by the graph in</w:t>
      </w:r>
      <w:r w:rsidR="000612BE">
        <w:rPr>
          <w:szCs w:val="24"/>
        </w:rPr>
        <w:t xml:space="preserve"> Figure 26</w:t>
      </w:r>
      <w:r w:rsidRPr="00B449A2">
        <w:rPr>
          <w:szCs w:val="24"/>
        </w:rPr>
        <w:t xml:space="preserve">.  It shows </w:t>
      </w:r>
      <w:r w:rsidR="006144C1">
        <w:rPr>
          <w:szCs w:val="24"/>
        </w:rPr>
        <w:t xml:space="preserve">the crude rate of cataract operations using </w:t>
      </w:r>
      <w:r w:rsidRPr="00B449A2">
        <w:rPr>
          <w:szCs w:val="24"/>
        </w:rPr>
        <w:t xml:space="preserve">2008 PEDW data in relation to </w:t>
      </w:r>
      <w:r w:rsidR="006144C1">
        <w:rPr>
          <w:szCs w:val="24"/>
        </w:rPr>
        <w:t>prevalence of cataracts using 2001 data in the</w:t>
      </w:r>
      <w:r w:rsidRPr="00B449A2">
        <w:rPr>
          <w:szCs w:val="24"/>
        </w:rPr>
        <w:t xml:space="preserve"> NEHEM</w:t>
      </w:r>
      <w:r w:rsidR="006144C1">
        <w:rPr>
          <w:szCs w:val="24"/>
        </w:rPr>
        <w:t xml:space="preserve">, </w:t>
      </w:r>
      <w:r w:rsidRPr="00B449A2">
        <w:rPr>
          <w:szCs w:val="24"/>
        </w:rPr>
        <w:t>as this was available at local author</w:t>
      </w:r>
      <w:r>
        <w:rPr>
          <w:szCs w:val="24"/>
        </w:rPr>
        <w:t xml:space="preserve">ity level.  </w:t>
      </w:r>
    </w:p>
    <w:p w:rsidR="000A6B56" w:rsidRPr="00B449A2" w:rsidRDefault="00287963" w:rsidP="000A6B56">
      <w:pPr>
        <w:rPr>
          <w:szCs w:val="24"/>
        </w:rPr>
      </w:pPr>
      <w:r>
        <w:rPr>
          <w:szCs w:val="24"/>
        </w:rPr>
        <w:t xml:space="preserve">The </w:t>
      </w:r>
      <w:r w:rsidR="006144C1">
        <w:rPr>
          <w:szCs w:val="24"/>
        </w:rPr>
        <w:t xml:space="preserve">scatter plot </w:t>
      </w:r>
      <w:r>
        <w:rPr>
          <w:szCs w:val="24"/>
        </w:rPr>
        <w:t>show</w:t>
      </w:r>
      <w:r w:rsidR="006144C1">
        <w:rPr>
          <w:szCs w:val="24"/>
        </w:rPr>
        <w:t>s</w:t>
      </w:r>
      <w:r>
        <w:rPr>
          <w:szCs w:val="24"/>
        </w:rPr>
        <w:t xml:space="preserve"> that </w:t>
      </w:r>
      <w:r w:rsidR="00B449A2">
        <w:rPr>
          <w:szCs w:val="24"/>
        </w:rPr>
        <w:t xml:space="preserve">local authorities with higher estimated prevalences have a higher </w:t>
      </w:r>
      <w:r w:rsidR="006144C1">
        <w:rPr>
          <w:szCs w:val="24"/>
        </w:rPr>
        <w:t xml:space="preserve">crude rate </w:t>
      </w:r>
      <w:r w:rsidR="00D43577">
        <w:rPr>
          <w:szCs w:val="24"/>
        </w:rPr>
        <w:t xml:space="preserve">of </w:t>
      </w:r>
      <w:r w:rsidR="00B449A2">
        <w:rPr>
          <w:szCs w:val="24"/>
        </w:rPr>
        <w:t>cataract operations</w:t>
      </w:r>
      <w:r w:rsidR="006E23F0">
        <w:rPr>
          <w:szCs w:val="24"/>
        </w:rPr>
        <w:t xml:space="preserve">.  </w:t>
      </w:r>
      <w:r w:rsidR="00A7266E">
        <w:rPr>
          <w:szCs w:val="24"/>
        </w:rPr>
        <w:t>T</w:t>
      </w:r>
      <w:r>
        <w:rPr>
          <w:szCs w:val="24"/>
        </w:rPr>
        <w:t>he Spearman’s rank correlation co-efficient</w:t>
      </w:r>
      <w:r w:rsidR="00A7266E">
        <w:rPr>
          <w:szCs w:val="24"/>
        </w:rPr>
        <w:t xml:space="preserve"> demonstrates the degree of correlation or association between two variables.  </w:t>
      </w:r>
      <w:r w:rsidR="00A7266E" w:rsidRPr="00A7266E">
        <w:t xml:space="preserve">A value of one or minus one indicates a definite positive or negative correlation or association respectively and zero indicates no correlation or association.  The </w:t>
      </w:r>
      <w:r w:rsidR="006E421C">
        <w:t xml:space="preserve">correlation </w:t>
      </w:r>
      <w:r w:rsidR="00A7266E">
        <w:t xml:space="preserve">co-efficient here </w:t>
      </w:r>
      <w:r w:rsidR="00DB5593">
        <w:t>is 0.</w:t>
      </w:r>
      <w:r w:rsidR="006144C1">
        <w:t>62</w:t>
      </w:r>
      <w:r w:rsidR="00DB5593">
        <w:t xml:space="preserve"> (p-value 0.</w:t>
      </w:r>
      <w:r w:rsidR="006144C1">
        <w:t>002)</w:t>
      </w:r>
      <w:r>
        <w:t xml:space="preserve">. </w:t>
      </w:r>
      <w:r w:rsidRPr="00A7266E">
        <w:t xml:space="preserve"> </w:t>
      </w:r>
      <w:r w:rsidR="006E421C" w:rsidRPr="00A7266E">
        <w:t xml:space="preserve">This shows that there is </w:t>
      </w:r>
      <w:r w:rsidR="00163375">
        <w:t>a weak positive association between provision and need</w:t>
      </w:r>
      <w:r w:rsidR="00BF52B2">
        <w:t xml:space="preserve">, and the association is </w:t>
      </w:r>
      <w:r w:rsidR="00163375">
        <w:t xml:space="preserve">statistically significant.  </w:t>
      </w:r>
      <w:r w:rsidR="000A6B56">
        <w:rPr>
          <w:szCs w:val="24"/>
        </w:rPr>
        <w:t xml:space="preserve">Note that the </w:t>
      </w:r>
      <w:r w:rsidR="006144C1">
        <w:rPr>
          <w:szCs w:val="24"/>
        </w:rPr>
        <w:t>x-</w:t>
      </w:r>
      <w:r w:rsidR="000A6B56">
        <w:rPr>
          <w:szCs w:val="24"/>
        </w:rPr>
        <w:t>ax</w:t>
      </w:r>
      <w:r w:rsidR="006144C1">
        <w:rPr>
          <w:szCs w:val="24"/>
        </w:rPr>
        <w:t>i</w:t>
      </w:r>
      <w:r w:rsidR="000A6B56">
        <w:rPr>
          <w:szCs w:val="24"/>
        </w:rPr>
        <w:t xml:space="preserve">s </w:t>
      </w:r>
      <w:r w:rsidR="006144C1">
        <w:rPr>
          <w:szCs w:val="24"/>
        </w:rPr>
        <w:t>is</w:t>
      </w:r>
      <w:r w:rsidR="000A6B56">
        <w:rPr>
          <w:szCs w:val="24"/>
        </w:rPr>
        <w:t xml:space="preserve"> truncated on this graph.</w:t>
      </w:r>
    </w:p>
    <w:p w:rsidR="00217653" w:rsidRPr="00217653" w:rsidRDefault="00217653" w:rsidP="00217653"/>
    <w:p w:rsidR="006464FF" w:rsidRDefault="00217653" w:rsidP="00217653">
      <w:pPr>
        <w:pStyle w:val="Caption"/>
        <w:jc w:val="left"/>
        <w:rPr>
          <w:sz w:val="20"/>
        </w:rPr>
      </w:pPr>
      <w:bookmarkStart w:id="332" w:name="_Ref285444826"/>
      <w:bookmarkStart w:id="333" w:name="_Toc291585933"/>
      <w:bookmarkStart w:id="334" w:name="_Toc292463310"/>
      <w:bookmarkStart w:id="335" w:name="_Toc302232637"/>
      <w:r w:rsidRPr="00217653">
        <w:rPr>
          <w:sz w:val="20"/>
        </w:rPr>
        <w:t xml:space="preserve">Figure </w:t>
      </w:r>
      <w:r w:rsidR="001060C2" w:rsidRPr="00217653">
        <w:rPr>
          <w:sz w:val="20"/>
        </w:rPr>
        <w:fldChar w:fldCharType="begin"/>
      </w:r>
      <w:r w:rsidRPr="00217653">
        <w:rPr>
          <w:sz w:val="20"/>
        </w:rPr>
        <w:instrText xml:space="preserve"> SEQ Figure \* ARABIC </w:instrText>
      </w:r>
      <w:r w:rsidR="001060C2" w:rsidRPr="00217653">
        <w:rPr>
          <w:sz w:val="20"/>
        </w:rPr>
        <w:fldChar w:fldCharType="separate"/>
      </w:r>
      <w:r w:rsidR="00F96900">
        <w:rPr>
          <w:noProof/>
          <w:sz w:val="20"/>
        </w:rPr>
        <w:t>26</w:t>
      </w:r>
      <w:r w:rsidR="001060C2" w:rsidRPr="00217653">
        <w:rPr>
          <w:sz w:val="20"/>
        </w:rPr>
        <w:fldChar w:fldCharType="end"/>
      </w:r>
      <w:bookmarkEnd w:id="332"/>
      <w:r w:rsidR="002E6208">
        <w:rPr>
          <w:sz w:val="20"/>
        </w:rPr>
        <w:t xml:space="preserve">. </w:t>
      </w:r>
      <w:r w:rsidRPr="00217653">
        <w:rPr>
          <w:sz w:val="20"/>
        </w:rPr>
        <w:t xml:space="preserve">Prevalence of cataract in comparison to </w:t>
      </w:r>
      <w:r w:rsidR="00906F59">
        <w:rPr>
          <w:sz w:val="20"/>
        </w:rPr>
        <w:t xml:space="preserve">crude rate of </w:t>
      </w:r>
      <w:r w:rsidRPr="00217653">
        <w:rPr>
          <w:sz w:val="20"/>
        </w:rPr>
        <w:t>cataract</w:t>
      </w:r>
      <w:r w:rsidR="0078399C">
        <w:rPr>
          <w:sz w:val="20"/>
        </w:rPr>
        <w:t xml:space="preserve"> operations, local authority level</w:t>
      </w:r>
      <w:bookmarkEnd w:id="333"/>
      <w:bookmarkEnd w:id="334"/>
      <w:r w:rsidR="009F1297">
        <w:rPr>
          <w:sz w:val="20"/>
        </w:rPr>
        <w:t>, 2008</w:t>
      </w:r>
      <w:bookmarkEnd w:id="335"/>
    </w:p>
    <w:p w:rsidR="00DE0984" w:rsidRDefault="00DE0984" w:rsidP="00DE0984">
      <w:r w:rsidRPr="00DE0984">
        <w:rPr>
          <w:noProof/>
          <w:lang w:eastAsia="en-GB"/>
        </w:rPr>
        <w:drawing>
          <wp:inline distT="0" distB="0" distL="0" distR="0">
            <wp:extent cx="5768975" cy="3898989"/>
            <wp:effectExtent l="0" t="0" r="0"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2E6208" w:rsidRPr="002E6208" w:rsidRDefault="002E6208" w:rsidP="000A6B56">
      <w:pPr>
        <w:rPr>
          <w:sz w:val="20"/>
        </w:rPr>
      </w:pPr>
      <w:r w:rsidRPr="002E6208">
        <w:rPr>
          <w:sz w:val="20"/>
        </w:rPr>
        <w:t>Source</w:t>
      </w:r>
      <w:r w:rsidR="00541B4B">
        <w:rPr>
          <w:sz w:val="20"/>
        </w:rPr>
        <w:t>s</w:t>
      </w:r>
      <w:r w:rsidRPr="002E6208">
        <w:rPr>
          <w:sz w:val="20"/>
        </w:rPr>
        <w:t>:</w:t>
      </w:r>
      <w:r>
        <w:rPr>
          <w:sz w:val="20"/>
        </w:rPr>
        <w:t xml:space="preserve"> PEDW</w:t>
      </w:r>
      <w:r w:rsidR="009F1297">
        <w:rPr>
          <w:sz w:val="20"/>
        </w:rPr>
        <w:t xml:space="preserve"> </w:t>
      </w:r>
      <w:r>
        <w:rPr>
          <w:sz w:val="20"/>
        </w:rPr>
        <w:t>and Welsh Assembly Government</w:t>
      </w:r>
    </w:p>
    <w:p w:rsidR="000A6B56" w:rsidRPr="002030A5" w:rsidRDefault="000A6B56" w:rsidP="000A6B56">
      <w:pPr>
        <w:rPr>
          <w:sz w:val="20"/>
        </w:rPr>
      </w:pPr>
      <w:r w:rsidRPr="002916C1">
        <w:rPr>
          <w:b/>
          <w:sz w:val="20"/>
        </w:rPr>
        <w:t xml:space="preserve">Key: </w:t>
      </w:r>
      <w:r w:rsidRPr="002030A5">
        <w:rPr>
          <w:sz w:val="20"/>
        </w:rPr>
        <w:t>BG-Blaenau Gwent, BR-Bridgend, CA-Cardiff, CE-Ceredigion, CM-Carmarthenshire, CO-Conwy, CY-Caerphilly, DE-Denbighshire, FL-Flintshire, GW-Gwynedd, IA-Isle of Anglesey, MT-Merthyr Tydfil, MO-Monmouthshire, NEW-Newport, NPT-Neath Port Talbot, PE-Pembrokeshire, PO-Powys, RCT-Rhondda Cynon Taf, SW-Swansea, TO-Torfaen,  VG-Vale of Glamorgan, WR-Wrexham.</w:t>
      </w:r>
    </w:p>
    <w:p w:rsidR="00856E75" w:rsidRPr="00B449A2" w:rsidRDefault="001618E3" w:rsidP="00856E75">
      <w:pPr>
        <w:rPr>
          <w:szCs w:val="24"/>
        </w:rPr>
      </w:pPr>
      <w:r>
        <w:rPr>
          <w:szCs w:val="24"/>
        </w:rPr>
        <w:t xml:space="preserve">Figure 27 </w:t>
      </w:r>
      <w:r w:rsidR="00856E75" w:rsidRPr="00F7533A">
        <w:rPr>
          <w:szCs w:val="24"/>
        </w:rPr>
        <w:t>shows</w:t>
      </w:r>
      <w:r w:rsidR="00856E75">
        <w:rPr>
          <w:szCs w:val="24"/>
        </w:rPr>
        <w:t xml:space="preserve"> the provision compared with need at</w:t>
      </w:r>
      <w:r w:rsidR="0035044B">
        <w:rPr>
          <w:szCs w:val="24"/>
        </w:rPr>
        <w:t xml:space="preserve"> Cwm Taf</w:t>
      </w:r>
      <w:r w:rsidR="00856E75">
        <w:rPr>
          <w:szCs w:val="24"/>
        </w:rPr>
        <w:t xml:space="preserve"> USOA level.  Here 2009 NEHEM estimated prevalences are used.  It shows that the higher the estimated prevalence the higher the </w:t>
      </w:r>
      <w:r w:rsidR="004C2741">
        <w:rPr>
          <w:szCs w:val="24"/>
        </w:rPr>
        <w:t xml:space="preserve">crude </w:t>
      </w:r>
      <w:r w:rsidR="00856E75">
        <w:rPr>
          <w:szCs w:val="24"/>
        </w:rPr>
        <w:t xml:space="preserve">rate of cataract operations, </w:t>
      </w:r>
      <w:r w:rsidR="004C2741">
        <w:rPr>
          <w:szCs w:val="24"/>
        </w:rPr>
        <w:t xml:space="preserve">as would be expected.  </w:t>
      </w:r>
      <w:r w:rsidR="00DB5593">
        <w:rPr>
          <w:szCs w:val="24"/>
        </w:rPr>
        <w:t>The Spearman’s rank correlation coefficient is 0.</w:t>
      </w:r>
      <w:r w:rsidR="004C2741">
        <w:rPr>
          <w:szCs w:val="24"/>
        </w:rPr>
        <w:t>70</w:t>
      </w:r>
      <w:r w:rsidR="00DB5593">
        <w:rPr>
          <w:szCs w:val="24"/>
        </w:rPr>
        <w:t xml:space="preserve"> with a p-value of 0.</w:t>
      </w:r>
      <w:r w:rsidR="004C2741">
        <w:rPr>
          <w:szCs w:val="24"/>
        </w:rPr>
        <w:t>03</w:t>
      </w:r>
      <w:r w:rsidR="00DB5593">
        <w:rPr>
          <w:szCs w:val="24"/>
        </w:rPr>
        <w:t>. This shows</w:t>
      </w:r>
      <w:r w:rsidR="00E61517">
        <w:rPr>
          <w:szCs w:val="24"/>
        </w:rPr>
        <w:t xml:space="preserve"> that there is</w:t>
      </w:r>
      <w:r w:rsidR="00E61770">
        <w:rPr>
          <w:szCs w:val="24"/>
        </w:rPr>
        <w:t xml:space="preserve"> </w:t>
      </w:r>
      <w:r w:rsidR="00BF52B2">
        <w:rPr>
          <w:szCs w:val="24"/>
        </w:rPr>
        <w:t>a strong positive association b</w:t>
      </w:r>
      <w:r w:rsidR="00E61770">
        <w:rPr>
          <w:szCs w:val="24"/>
        </w:rPr>
        <w:t xml:space="preserve">etween </w:t>
      </w:r>
      <w:r w:rsidR="00BF52B2">
        <w:rPr>
          <w:szCs w:val="24"/>
        </w:rPr>
        <w:t>provision and need</w:t>
      </w:r>
      <w:r w:rsidR="00E61770">
        <w:rPr>
          <w:szCs w:val="24"/>
        </w:rPr>
        <w:t xml:space="preserve">, </w:t>
      </w:r>
      <w:r w:rsidR="004C2741">
        <w:rPr>
          <w:szCs w:val="24"/>
        </w:rPr>
        <w:t>and</w:t>
      </w:r>
      <w:r w:rsidR="00E61770">
        <w:rPr>
          <w:szCs w:val="24"/>
        </w:rPr>
        <w:t xml:space="preserve"> the association is </w:t>
      </w:r>
      <w:r w:rsidR="00DB5593">
        <w:rPr>
          <w:szCs w:val="24"/>
        </w:rPr>
        <w:t>significant</w:t>
      </w:r>
      <w:r w:rsidR="00E61770">
        <w:rPr>
          <w:szCs w:val="24"/>
        </w:rPr>
        <w:t xml:space="preserve">.  </w:t>
      </w:r>
      <w:r w:rsidR="00EC2690">
        <w:rPr>
          <w:szCs w:val="24"/>
        </w:rPr>
        <w:t>Note that the axes are truncated on this graph.</w:t>
      </w:r>
    </w:p>
    <w:p w:rsidR="00856E75" w:rsidRPr="0078399C" w:rsidRDefault="00856E75" w:rsidP="0078399C"/>
    <w:p w:rsidR="00E902B7" w:rsidRDefault="0078399C" w:rsidP="0078399C">
      <w:pPr>
        <w:pStyle w:val="Caption"/>
        <w:jc w:val="left"/>
        <w:rPr>
          <w:sz w:val="20"/>
        </w:rPr>
      </w:pPr>
      <w:bookmarkStart w:id="336" w:name="_Ref285449190"/>
      <w:bookmarkStart w:id="337" w:name="_Toc291585934"/>
      <w:bookmarkStart w:id="338" w:name="_Toc292463311"/>
      <w:bookmarkStart w:id="339" w:name="_Toc302232638"/>
      <w:r w:rsidRPr="0078399C">
        <w:rPr>
          <w:sz w:val="20"/>
        </w:rPr>
        <w:t xml:space="preserve">Figure </w:t>
      </w:r>
      <w:r w:rsidR="001060C2" w:rsidRPr="0078399C">
        <w:rPr>
          <w:sz w:val="20"/>
        </w:rPr>
        <w:fldChar w:fldCharType="begin"/>
      </w:r>
      <w:r w:rsidRPr="0078399C">
        <w:rPr>
          <w:sz w:val="20"/>
        </w:rPr>
        <w:instrText xml:space="preserve"> SEQ Figure \* ARABIC </w:instrText>
      </w:r>
      <w:r w:rsidR="001060C2" w:rsidRPr="0078399C">
        <w:rPr>
          <w:sz w:val="20"/>
        </w:rPr>
        <w:fldChar w:fldCharType="separate"/>
      </w:r>
      <w:r w:rsidR="00F96900">
        <w:rPr>
          <w:noProof/>
          <w:sz w:val="20"/>
        </w:rPr>
        <w:t>27</w:t>
      </w:r>
      <w:r w:rsidR="001060C2" w:rsidRPr="0078399C">
        <w:rPr>
          <w:sz w:val="20"/>
        </w:rPr>
        <w:fldChar w:fldCharType="end"/>
      </w:r>
      <w:bookmarkEnd w:id="336"/>
      <w:r w:rsidR="00BF0C9A">
        <w:rPr>
          <w:sz w:val="20"/>
        </w:rPr>
        <w:t xml:space="preserve">. </w:t>
      </w:r>
      <w:r w:rsidRPr="0078399C">
        <w:rPr>
          <w:sz w:val="20"/>
        </w:rPr>
        <w:t xml:space="preserve"> Prevalence of cataract in comparison to cataract operations, </w:t>
      </w:r>
      <w:r w:rsidR="0035044B">
        <w:rPr>
          <w:sz w:val="20"/>
        </w:rPr>
        <w:t xml:space="preserve">Cwm Taf </w:t>
      </w:r>
      <w:r>
        <w:rPr>
          <w:sz w:val="20"/>
        </w:rPr>
        <w:t xml:space="preserve">USOA </w:t>
      </w:r>
      <w:r w:rsidRPr="0078399C">
        <w:rPr>
          <w:sz w:val="20"/>
        </w:rPr>
        <w:t>level</w:t>
      </w:r>
      <w:bookmarkEnd w:id="337"/>
      <w:bookmarkEnd w:id="338"/>
      <w:r w:rsidR="00BF0C9A">
        <w:rPr>
          <w:sz w:val="20"/>
        </w:rPr>
        <w:t>, 2008</w:t>
      </w:r>
      <w:bookmarkEnd w:id="339"/>
    </w:p>
    <w:p w:rsidR="00DE0984" w:rsidRDefault="00CF39E9" w:rsidP="00776828">
      <w:r w:rsidRPr="00CF39E9">
        <w:rPr>
          <w:noProof/>
          <w:lang w:eastAsia="en-GB"/>
        </w:rPr>
        <w:drawing>
          <wp:inline distT="0" distB="0" distL="0" distR="0">
            <wp:extent cx="5768975" cy="3898989"/>
            <wp:effectExtent l="0" t="0" r="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794ECC" w:rsidRPr="00BF0C9A" w:rsidRDefault="00BF0C9A" w:rsidP="00776828">
      <w:pPr>
        <w:rPr>
          <w:sz w:val="20"/>
        </w:rPr>
      </w:pPr>
      <w:r>
        <w:rPr>
          <w:sz w:val="20"/>
        </w:rPr>
        <w:t>Source</w:t>
      </w:r>
      <w:r w:rsidR="00541B4B">
        <w:rPr>
          <w:sz w:val="20"/>
        </w:rPr>
        <w:t>s</w:t>
      </w:r>
      <w:r>
        <w:rPr>
          <w:sz w:val="20"/>
        </w:rPr>
        <w:t>: PEDW</w:t>
      </w:r>
      <w:r w:rsidR="00541B4B">
        <w:rPr>
          <w:sz w:val="20"/>
        </w:rPr>
        <w:t>, NEHEM and Welsh Assembly Government</w:t>
      </w:r>
    </w:p>
    <w:p w:rsidR="0078399C" w:rsidRDefault="001618E3" w:rsidP="00E902B7">
      <w:pPr>
        <w:rPr>
          <w:color w:val="FF0000"/>
        </w:rPr>
      </w:pPr>
      <w:r>
        <w:rPr>
          <w:szCs w:val="24"/>
        </w:rPr>
        <w:t xml:space="preserve">Figure 28 </w:t>
      </w:r>
      <w:r w:rsidR="00856E75">
        <w:rPr>
          <w:szCs w:val="24"/>
        </w:rPr>
        <w:t xml:space="preserve">shows the </w:t>
      </w:r>
      <w:r w:rsidR="007419BF">
        <w:rPr>
          <w:szCs w:val="24"/>
        </w:rPr>
        <w:t>EASR</w:t>
      </w:r>
      <w:r w:rsidR="00856E75">
        <w:t xml:space="preserve"> of cataract procedures at local authority level plotted against the level of deprivation in each local authority.  Deprivation was measured by the </w:t>
      </w:r>
      <w:r w:rsidR="00976E79">
        <w:t>per cent</w:t>
      </w:r>
      <w:r w:rsidR="00856E75">
        <w:t xml:space="preserve"> of LSOAs in the most deprived quintile. It </w:t>
      </w:r>
      <w:r w:rsidR="00856E75" w:rsidRPr="006E23F0">
        <w:rPr>
          <w:szCs w:val="24"/>
        </w:rPr>
        <w:t xml:space="preserve">shows </w:t>
      </w:r>
      <w:r w:rsidR="00DB5593">
        <w:rPr>
          <w:szCs w:val="24"/>
        </w:rPr>
        <w:t xml:space="preserve">some association </w:t>
      </w:r>
      <w:r w:rsidR="00856E75" w:rsidRPr="006E23F0">
        <w:rPr>
          <w:szCs w:val="24"/>
        </w:rPr>
        <w:t>between the rate of cataract operations and the level of deprivation in the local authority.</w:t>
      </w:r>
      <w:r w:rsidR="00DB5593">
        <w:rPr>
          <w:szCs w:val="24"/>
        </w:rPr>
        <w:t xml:space="preserve"> The Spearman’s rank correlation coefficient is 0.5</w:t>
      </w:r>
      <w:r w:rsidR="004C2741">
        <w:rPr>
          <w:szCs w:val="24"/>
        </w:rPr>
        <w:t>1</w:t>
      </w:r>
      <w:r w:rsidR="00DB5593">
        <w:rPr>
          <w:szCs w:val="24"/>
        </w:rPr>
        <w:t xml:space="preserve"> with a p-value of 0.02, which means that there is a </w:t>
      </w:r>
      <w:r w:rsidR="00E61517">
        <w:rPr>
          <w:szCs w:val="24"/>
        </w:rPr>
        <w:t xml:space="preserve">weak </w:t>
      </w:r>
      <w:r w:rsidR="00DB5593">
        <w:rPr>
          <w:szCs w:val="24"/>
        </w:rPr>
        <w:t xml:space="preserve">positive association </w:t>
      </w:r>
      <w:r w:rsidR="00B96969">
        <w:rPr>
          <w:szCs w:val="24"/>
        </w:rPr>
        <w:t xml:space="preserve">which is statistically </w:t>
      </w:r>
      <w:r w:rsidR="00DB5593">
        <w:rPr>
          <w:szCs w:val="24"/>
        </w:rPr>
        <w:t>significan</w:t>
      </w:r>
      <w:r w:rsidR="00B96969">
        <w:rPr>
          <w:szCs w:val="24"/>
        </w:rPr>
        <w:t>t</w:t>
      </w:r>
      <w:r w:rsidR="00DB5593">
        <w:rPr>
          <w:szCs w:val="24"/>
        </w:rPr>
        <w:t>, that is, more deprived local authorities are associated with higher rates of cataract operations in their populations.</w:t>
      </w:r>
    </w:p>
    <w:p w:rsidR="00704894" w:rsidRPr="00217653" w:rsidRDefault="00217653" w:rsidP="00217653">
      <w:pPr>
        <w:pStyle w:val="Caption"/>
        <w:jc w:val="left"/>
        <w:rPr>
          <w:sz w:val="20"/>
        </w:rPr>
      </w:pPr>
      <w:bookmarkStart w:id="340" w:name="_Ref285447205"/>
      <w:bookmarkStart w:id="341" w:name="_Toc291585935"/>
      <w:bookmarkStart w:id="342" w:name="_Toc292463312"/>
      <w:bookmarkStart w:id="343" w:name="_Toc302232639"/>
      <w:r w:rsidRPr="00217653">
        <w:rPr>
          <w:sz w:val="20"/>
        </w:rPr>
        <w:t xml:space="preserve">Figure </w:t>
      </w:r>
      <w:r w:rsidR="001060C2" w:rsidRPr="00217653">
        <w:rPr>
          <w:sz w:val="20"/>
        </w:rPr>
        <w:fldChar w:fldCharType="begin"/>
      </w:r>
      <w:r w:rsidRPr="00217653">
        <w:rPr>
          <w:sz w:val="20"/>
        </w:rPr>
        <w:instrText xml:space="preserve"> SEQ Figure \* ARABIC </w:instrText>
      </w:r>
      <w:r w:rsidR="001060C2" w:rsidRPr="00217653">
        <w:rPr>
          <w:sz w:val="20"/>
        </w:rPr>
        <w:fldChar w:fldCharType="separate"/>
      </w:r>
      <w:r w:rsidR="00F96900">
        <w:rPr>
          <w:noProof/>
          <w:sz w:val="20"/>
        </w:rPr>
        <w:t>28</w:t>
      </w:r>
      <w:r w:rsidR="001060C2" w:rsidRPr="00217653">
        <w:rPr>
          <w:sz w:val="20"/>
        </w:rPr>
        <w:fldChar w:fldCharType="end"/>
      </w:r>
      <w:bookmarkEnd w:id="340"/>
      <w:r w:rsidR="00BF0C9A">
        <w:rPr>
          <w:sz w:val="20"/>
        </w:rPr>
        <w:t xml:space="preserve">. </w:t>
      </w:r>
      <w:r w:rsidR="00724D8A">
        <w:rPr>
          <w:sz w:val="20"/>
        </w:rPr>
        <w:t xml:space="preserve">EASR </w:t>
      </w:r>
      <w:r w:rsidRPr="00217653">
        <w:rPr>
          <w:sz w:val="20"/>
        </w:rPr>
        <w:t>of cataract operations and level of deprivation</w:t>
      </w:r>
      <w:r w:rsidR="00AD42B0">
        <w:rPr>
          <w:sz w:val="20"/>
        </w:rPr>
        <w:t xml:space="preserve">, </w:t>
      </w:r>
      <w:r w:rsidRPr="00217653">
        <w:rPr>
          <w:sz w:val="20"/>
        </w:rPr>
        <w:t>local authority level</w:t>
      </w:r>
      <w:bookmarkEnd w:id="341"/>
      <w:bookmarkEnd w:id="342"/>
      <w:r w:rsidR="00BF0C9A">
        <w:rPr>
          <w:sz w:val="20"/>
        </w:rPr>
        <w:t>, 20</w:t>
      </w:r>
      <w:r w:rsidR="00E761E7">
        <w:rPr>
          <w:sz w:val="20"/>
        </w:rPr>
        <w:t>08</w:t>
      </w:r>
      <w:bookmarkEnd w:id="343"/>
    </w:p>
    <w:p w:rsidR="00704894" w:rsidRPr="00AD42B0" w:rsidRDefault="00CF39E9" w:rsidP="00E902B7">
      <w:r w:rsidRPr="00CF39E9">
        <w:rPr>
          <w:noProof/>
          <w:lang w:eastAsia="en-GB"/>
        </w:rPr>
        <w:drawing>
          <wp:inline distT="0" distB="0" distL="0" distR="0">
            <wp:extent cx="5768975" cy="3898989"/>
            <wp:effectExtent l="0" t="0" r="0" b="0"/>
            <wp:docPr id="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BF0C9A" w:rsidRPr="002E6208" w:rsidRDefault="00BF0C9A" w:rsidP="00BF0C9A">
      <w:pPr>
        <w:rPr>
          <w:sz w:val="20"/>
        </w:rPr>
      </w:pPr>
      <w:r w:rsidRPr="002E6208">
        <w:rPr>
          <w:sz w:val="20"/>
        </w:rPr>
        <w:t>Source:</w:t>
      </w:r>
      <w:r>
        <w:rPr>
          <w:sz w:val="20"/>
        </w:rPr>
        <w:t xml:space="preserve"> PEDW and </w:t>
      </w:r>
      <w:r w:rsidR="00541B4B">
        <w:rPr>
          <w:sz w:val="20"/>
        </w:rPr>
        <w:t>Welsh Assembly Government</w:t>
      </w:r>
    </w:p>
    <w:p w:rsidR="0078399C" w:rsidRPr="00D67089" w:rsidRDefault="00A77063" w:rsidP="00E902B7">
      <w:pPr>
        <w:rPr>
          <w:sz w:val="20"/>
        </w:rPr>
      </w:pPr>
      <w:r w:rsidRPr="00D67089">
        <w:rPr>
          <w:sz w:val="20"/>
        </w:rPr>
        <w:t xml:space="preserve">Key: </w:t>
      </w:r>
      <w:r w:rsidR="00D67089" w:rsidRPr="00D67089">
        <w:rPr>
          <w:sz w:val="20"/>
        </w:rPr>
        <w:t>BG-Blaenau Gwent, BR-Bridgend, CA-Cardiff, CE-Ceredigion, CM-Carmarthenshire, CO-Conwy, CY-Caerphilly, DE-Denbighshire, FL-Flintshire, GW-Gwynedd, IA-Isle of Anglesey, MT-Merthyr Tydfil, MO-Monmouthshire, NEW-Newport, NPT-Neath Port Talbot, PE-Pembrokeshire, PO-Powys, RCT-Rhondda Cynon Taf, SW-Swansea, TO-Torfaen,  VG-Vale of Glamorgan, WR-Wrexham.</w:t>
      </w:r>
    </w:p>
    <w:p w:rsidR="00CA2917" w:rsidRDefault="00CA2917" w:rsidP="00CA2917">
      <w:pPr>
        <w:pStyle w:val="Heading2"/>
      </w:pPr>
      <w:bookmarkStart w:id="344" w:name="_Toc291585896"/>
      <w:bookmarkStart w:id="345" w:name="_Toc302293482"/>
      <w:r>
        <w:t>Age</w:t>
      </w:r>
      <w:r w:rsidR="00982C57">
        <w:t>-</w:t>
      </w:r>
      <w:r>
        <w:t>related macular degeneration</w:t>
      </w:r>
      <w:bookmarkEnd w:id="344"/>
      <w:bookmarkEnd w:id="345"/>
    </w:p>
    <w:p w:rsidR="00E54009" w:rsidRDefault="00D549A8" w:rsidP="00E54009">
      <w:r>
        <w:t xml:space="preserve">The incidence of wet </w:t>
      </w:r>
      <w:r w:rsidR="00856E75">
        <w:t xml:space="preserve">ARMD </w:t>
      </w:r>
      <w:r>
        <w:t xml:space="preserve">is </w:t>
      </w:r>
      <w:r w:rsidR="00331A0F">
        <w:t xml:space="preserve">around </w:t>
      </w:r>
      <w:r>
        <w:t>450 patients pe</w:t>
      </w:r>
      <w:r w:rsidR="001C2D38">
        <w:t>r million population per year (</w:t>
      </w:r>
      <w:r w:rsidR="00331A0F">
        <w:t xml:space="preserve">Royal College of Ophthalmologists, 2007).  </w:t>
      </w:r>
      <w:r>
        <w:t>From this figure around 130 new patients per year would be expected in Cwm Taf.  A total of 110 new Cwm Taf resident patients were treated with Lucentis in Cwm Taf in 2009</w:t>
      </w:r>
      <w:r w:rsidR="00856E75">
        <w:t xml:space="preserve"> to </w:t>
      </w:r>
      <w:r>
        <w:t>2010.  A further 13 people from areas outside Cw</w:t>
      </w:r>
      <w:r w:rsidR="001C2D38">
        <w:t>m Taf were treated in Cwm Taf (p</w:t>
      </w:r>
      <w:r>
        <w:t>ersonal communication</w:t>
      </w:r>
      <w:r w:rsidR="001C2D38">
        <w:t xml:space="preserve">, </w:t>
      </w:r>
      <w:r>
        <w:t>Raghu Ram).  It is possible that some Cwm Taf residents were also treated outside Cwm Taf.  The figure of 130 new patients is an estimate and not adjusted for age, so the actual number of new patients</w:t>
      </w:r>
      <w:r w:rsidR="00856E75">
        <w:t xml:space="preserve"> with ARMD</w:t>
      </w:r>
      <w:r>
        <w:t xml:space="preserve"> may be lower due to the younger population in Cwm Taf. </w:t>
      </w:r>
      <w:r w:rsidR="00B01A7B">
        <w:t xml:space="preserve"> </w:t>
      </w:r>
    </w:p>
    <w:p w:rsidR="00E54009" w:rsidRPr="00E54009" w:rsidRDefault="00E54009" w:rsidP="00E54009"/>
    <w:p w:rsidR="00BE50A7" w:rsidRDefault="00BE50A7" w:rsidP="0047034C">
      <w:pPr>
        <w:pStyle w:val="Heading1"/>
      </w:pPr>
      <w:bookmarkStart w:id="346" w:name="_Toc291585897"/>
      <w:bookmarkStart w:id="347" w:name="_Toc302293483"/>
      <w:r>
        <w:t>Research and audit</w:t>
      </w:r>
      <w:bookmarkEnd w:id="346"/>
      <w:bookmarkEnd w:id="347"/>
    </w:p>
    <w:p w:rsidR="00BE50A7" w:rsidRDefault="00144689" w:rsidP="00BE50A7">
      <w:r>
        <w:t xml:space="preserve">An audit of cataract day cases was undertaken in Cwm Taf </w:t>
      </w:r>
      <w:r w:rsidR="00C42EAE">
        <w:t>H</w:t>
      </w:r>
      <w:r>
        <w:t xml:space="preserve">ealth </w:t>
      </w:r>
      <w:r w:rsidR="00C42EAE">
        <w:t>B</w:t>
      </w:r>
      <w:r>
        <w:t>oard from January to July 2010</w:t>
      </w:r>
      <w:r w:rsidR="00CD67F0">
        <w:t xml:space="preserve"> (Protheroe, </w:t>
      </w:r>
      <w:r w:rsidR="006B63C5">
        <w:t>date</w:t>
      </w:r>
      <w:r w:rsidR="00856E75">
        <w:t xml:space="preserve"> unknown</w:t>
      </w:r>
      <w:r w:rsidR="006B63C5">
        <w:t>)</w:t>
      </w:r>
      <w:r>
        <w:t xml:space="preserve">. </w:t>
      </w:r>
      <w:r w:rsidR="00524A28">
        <w:t xml:space="preserve">The audit looked at surgical complications, visual outcome and variances from the cataract pathway. </w:t>
      </w:r>
      <w:r w:rsidR="005510AA">
        <w:t xml:space="preserve">The information was obtained from the hospital operation sheet and the variance form from the cataract pathway. </w:t>
      </w:r>
      <w:r w:rsidR="00524A28">
        <w:t xml:space="preserve"> It found that there were 527 patients booked for elective cataract surgery over the seven-month period.  Of these, 448 underwent surgery and 79 patients had their surgery cancelled prior to or on the day of surgery. </w:t>
      </w:r>
      <w:r w:rsidR="005510AA">
        <w:t xml:space="preserve"> The </w:t>
      </w:r>
      <w:r w:rsidR="00976E79">
        <w:t>per cent</w:t>
      </w:r>
      <w:r w:rsidR="005510AA">
        <w:t xml:space="preserve"> of patients who had one or more surgical complication was 2.7</w:t>
      </w:r>
      <w:r w:rsidR="00CB30E2">
        <w:t xml:space="preserve"> </w:t>
      </w:r>
      <w:r w:rsidR="00976E79">
        <w:t>per cent</w:t>
      </w:r>
      <w:r w:rsidR="005510AA">
        <w:t>, which was lower than national comparisons</w:t>
      </w:r>
      <w:r w:rsidR="00856E75">
        <w:t xml:space="preserve"> (range 4.4-7.5</w:t>
      </w:r>
      <w:r w:rsidR="00CB30E2">
        <w:t xml:space="preserve"> </w:t>
      </w:r>
      <w:r w:rsidR="00976E79">
        <w:t>per cent</w:t>
      </w:r>
      <w:r w:rsidR="00856E75">
        <w:t>)</w:t>
      </w:r>
      <w:r w:rsidR="005510AA">
        <w:t>. The best visual outcome</w:t>
      </w:r>
      <w:r>
        <w:t xml:space="preserve"> </w:t>
      </w:r>
      <w:r w:rsidR="000A1672">
        <w:t xml:space="preserve">was visual acuity of less than or equal to </w:t>
      </w:r>
      <w:r w:rsidR="005510AA">
        <w:t>6/12 for 94.6</w:t>
      </w:r>
      <w:r w:rsidR="00CB30E2">
        <w:t xml:space="preserve"> </w:t>
      </w:r>
      <w:r w:rsidR="00976E79">
        <w:t>per cent</w:t>
      </w:r>
      <w:r w:rsidR="005510AA">
        <w:t xml:space="preserve"> of patients two weeks after surgery, although this was only recorded for 335 patients. </w:t>
      </w:r>
      <w:r w:rsidR="006B63C5">
        <w:t>This was higher than national comparisons</w:t>
      </w:r>
      <w:r w:rsidR="00856E75">
        <w:t xml:space="preserve"> (range 84-92</w:t>
      </w:r>
      <w:r w:rsidR="00CB30E2">
        <w:t xml:space="preserve"> </w:t>
      </w:r>
      <w:r w:rsidR="00976E79">
        <w:t>per cent</w:t>
      </w:r>
      <w:r w:rsidR="00856E75">
        <w:t>)</w:t>
      </w:r>
      <w:r w:rsidR="006B63C5">
        <w:t xml:space="preserve">.  </w:t>
      </w:r>
      <w:r w:rsidR="005510AA">
        <w:t xml:space="preserve">The commonest reason for variances from the cataract pathway </w:t>
      </w:r>
      <w:r w:rsidR="006B63C5">
        <w:t>was that the patient did not attend the routine two week post-operative visit, with 13.5</w:t>
      </w:r>
      <w:r w:rsidR="00CB30E2">
        <w:t xml:space="preserve"> </w:t>
      </w:r>
      <w:r w:rsidR="00976E79">
        <w:t>per cent</w:t>
      </w:r>
      <w:r w:rsidR="006B63C5">
        <w:t xml:space="preserve"> not attending, although most did attend at a later date.  The main recommendation from the audit was to remind staff to complete variance forms from the cataract pathway, to ensure complete data collection.</w:t>
      </w:r>
    </w:p>
    <w:p w:rsidR="007962C0" w:rsidRDefault="007962C0" w:rsidP="00BE50A7">
      <w:r>
        <w:t xml:space="preserve">A study by Goyal et al (2004) looked at differences in cataract presentation between three </w:t>
      </w:r>
      <w:r w:rsidR="00D8724C">
        <w:t>eye</w:t>
      </w:r>
      <w:r>
        <w:t xml:space="preserve"> units</w:t>
      </w:r>
      <w:r w:rsidR="000A1672">
        <w:t>, two of which were in Cwm Taf Health B</w:t>
      </w:r>
      <w:r>
        <w:t>oard (Prince Charles Hospital and the Royal Glamorgan Hospital).  They collected data by questionnaire from 112 patients who were undergoing cataract surgery.  The authors found that patie</w:t>
      </w:r>
      <w:r w:rsidR="000A1672">
        <w:t>nts in P</w:t>
      </w:r>
      <w:r w:rsidR="0035044B">
        <w:t xml:space="preserve">rince Charles Hospital </w:t>
      </w:r>
      <w:r>
        <w:t xml:space="preserve">in Merthyr Tydfil had the lowest visual acuity in the listed and fellow </w:t>
      </w:r>
      <w:r w:rsidR="00D8724C">
        <w:t>eye</w:t>
      </w:r>
      <w:r>
        <w:t xml:space="preserve"> compared with patients in </w:t>
      </w:r>
      <w:r w:rsidR="0035044B">
        <w:t xml:space="preserve">the Royal Glamorgan Hospital </w:t>
      </w:r>
      <w:r>
        <w:t>and</w:t>
      </w:r>
      <w:r w:rsidR="0035044B" w:rsidRPr="0035044B">
        <w:t xml:space="preserve"> </w:t>
      </w:r>
      <w:r w:rsidR="0035044B">
        <w:t>the University Hospital of Wales</w:t>
      </w:r>
      <w:r w:rsidR="00EA367A">
        <w:t>, although the differences were not significant.</w:t>
      </w:r>
      <w:r>
        <w:t xml:space="preserve"> They also looked at waiting times for outpatient appointments and surgery and found that the longest waiting times were in </w:t>
      </w:r>
      <w:r w:rsidR="0035044B">
        <w:t>Prince Charles Hospital</w:t>
      </w:r>
      <w:r w:rsidR="00EA367A">
        <w:t xml:space="preserve">, with a significant difference in waiting times compared with </w:t>
      </w:r>
      <w:r w:rsidR="0035044B">
        <w:t xml:space="preserve">the Royal Glamorgan Hospital </w:t>
      </w:r>
      <w:r w:rsidR="00EA367A">
        <w:t xml:space="preserve">and </w:t>
      </w:r>
      <w:r w:rsidR="0035044B">
        <w:t>the University Hospital of Wales</w:t>
      </w:r>
      <w:r>
        <w:t>.</w:t>
      </w:r>
    </w:p>
    <w:p w:rsidR="00A701FA" w:rsidRDefault="00A701FA" w:rsidP="00A701FA">
      <w:pPr>
        <w:pStyle w:val="Heading1"/>
      </w:pPr>
      <w:bookmarkStart w:id="348" w:name="_Toc302293484"/>
      <w:r>
        <w:t>Recommendations</w:t>
      </w:r>
      <w:bookmarkEnd w:id="348"/>
    </w:p>
    <w:p w:rsidR="00A701FA" w:rsidRPr="00A701FA" w:rsidRDefault="00B116C4" w:rsidP="00B116C4">
      <w:pPr>
        <w:pStyle w:val="Heading2"/>
      </w:pPr>
      <w:bookmarkStart w:id="349" w:name="_Toc302293485"/>
      <w:r>
        <w:t>Recommendations for the Community Engagement Project</w:t>
      </w:r>
      <w:bookmarkEnd w:id="349"/>
    </w:p>
    <w:p w:rsidR="00A701FA" w:rsidRDefault="00B116C4" w:rsidP="00A701FA">
      <w:pPr>
        <w:pStyle w:val="ListParagraph"/>
        <w:numPr>
          <w:ilvl w:val="0"/>
          <w:numId w:val="33"/>
        </w:numPr>
      </w:pPr>
      <w:r>
        <w:t>T</w:t>
      </w:r>
      <w:r w:rsidR="00A701FA">
        <w:t xml:space="preserve">he location </w:t>
      </w:r>
      <w:r w:rsidR="0035044B">
        <w:t xml:space="preserve">for </w:t>
      </w:r>
      <w:r w:rsidR="00A701FA">
        <w:t>the</w:t>
      </w:r>
      <w:r w:rsidR="0035044B">
        <w:t xml:space="preserve"> CEP </w:t>
      </w:r>
      <w:r w:rsidR="00A701FA">
        <w:t>depend</w:t>
      </w:r>
      <w:r w:rsidR="0035044B">
        <w:t>s</w:t>
      </w:r>
      <w:r w:rsidR="00A701FA">
        <w:t xml:space="preserve"> on the size of the target population required for the intervention.  The population in RCT04 and RCT03 are among the most deprived in Cwm Taf and also have higher elderly populations</w:t>
      </w:r>
      <w:r w:rsidR="007B7D0A">
        <w:t>. These factors should be considered when defining the population for the project</w:t>
      </w:r>
    </w:p>
    <w:p w:rsidR="00A701FA" w:rsidRDefault="00A701FA" w:rsidP="00A701FA">
      <w:pPr>
        <w:pStyle w:val="ListParagraph"/>
      </w:pPr>
    </w:p>
    <w:p w:rsidR="00A701FA" w:rsidRDefault="00A701FA" w:rsidP="00A701FA">
      <w:pPr>
        <w:pStyle w:val="ListParagraph"/>
        <w:numPr>
          <w:ilvl w:val="0"/>
          <w:numId w:val="33"/>
        </w:numPr>
      </w:pPr>
      <w:r>
        <w:t xml:space="preserve">All of the </w:t>
      </w:r>
      <w:r w:rsidR="00D8724C">
        <w:t>eye</w:t>
      </w:r>
      <w:r>
        <w:t xml:space="preserve"> conditions could warrant intervention, </w:t>
      </w:r>
      <w:r w:rsidR="007B7D0A">
        <w:t xml:space="preserve">factors particularly notable in the data that should be considered by the group include </w:t>
      </w:r>
      <w:r>
        <w:t xml:space="preserve">the poor uptake of NHS </w:t>
      </w:r>
      <w:r w:rsidR="000A1672">
        <w:t xml:space="preserve">funded </w:t>
      </w:r>
      <w:r w:rsidR="00D8724C">
        <w:t>eye</w:t>
      </w:r>
      <w:r>
        <w:t xml:space="preserve"> tests in disadvantaged groups </w:t>
      </w:r>
      <w:r w:rsidR="007B7D0A">
        <w:t xml:space="preserve">and </w:t>
      </w:r>
      <w:r w:rsidR="000A1672">
        <w:t xml:space="preserve">the </w:t>
      </w:r>
      <w:r w:rsidR="007B7D0A">
        <w:t>uptake of diabetic retinopathy screening</w:t>
      </w:r>
    </w:p>
    <w:p w:rsidR="00A701FA" w:rsidRDefault="00A701FA" w:rsidP="00A701FA">
      <w:pPr>
        <w:pStyle w:val="ListParagraph"/>
      </w:pPr>
    </w:p>
    <w:p w:rsidR="00A701FA" w:rsidRDefault="00BC37F9" w:rsidP="00A701FA">
      <w:pPr>
        <w:pStyle w:val="ListParagraph"/>
        <w:numPr>
          <w:ilvl w:val="0"/>
          <w:numId w:val="33"/>
        </w:numPr>
      </w:pPr>
      <w:r>
        <w:t>The information in this report should be used to inform d</w:t>
      </w:r>
      <w:r w:rsidR="00A701FA">
        <w:t xml:space="preserve">iscussion between stakeholders to decide on the most appropriate </w:t>
      </w:r>
      <w:r w:rsidR="00B116C4">
        <w:t xml:space="preserve">target </w:t>
      </w:r>
      <w:r w:rsidR="00A701FA">
        <w:t xml:space="preserve">population and </w:t>
      </w:r>
      <w:r w:rsidR="00D8724C">
        <w:t>eye</w:t>
      </w:r>
      <w:r w:rsidR="00A701FA">
        <w:t xml:space="preserve"> condition </w:t>
      </w:r>
      <w:r>
        <w:t>on which to</w:t>
      </w:r>
      <w:r w:rsidR="00A701FA">
        <w:t xml:space="preserve"> focus</w:t>
      </w:r>
      <w:r w:rsidR="0035044B">
        <w:t>.</w:t>
      </w:r>
    </w:p>
    <w:p w:rsidR="00A701FA" w:rsidRDefault="00A701FA" w:rsidP="00A701FA">
      <w:pPr>
        <w:pStyle w:val="ListParagraph"/>
      </w:pPr>
    </w:p>
    <w:p w:rsidR="00A701FA" w:rsidRDefault="00B116C4" w:rsidP="00B116C4">
      <w:pPr>
        <w:pStyle w:val="Heading2"/>
      </w:pPr>
      <w:bookmarkStart w:id="350" w:name="_Toc302293486"/>
      <w:r>
        <w:t>Recommendations for local care pathways</w:t>
      </w:r>
      <w:bookmarkEnd w:id="350"/>
    </w:p>
    <w:p w:rsidR="00B116C4" w:rsidRDefault="00B116C4" w:rsidP="00B116C4">
      <w:pPr>
        <w:pStyle w:val="Heading3"/>
      </w:pPr>
      <w:bookmarkStart w:id="351" w:name="_Toc302293487"/>
      <w:r>
        <w:t>Vision impairment</w:t>
      </w:r>
      <w:bookmarkEnd w:id="351"/>
    </w:p>
    <w:p w:rsidR="00B116C4" w:rsidRDefault="00B116C4" w:rsidP="00B116C4">
      <w:pPr>
        <w:pStyle w:val="ListParagraph"/>
        <w:numPr>
          <w:ilvl w:val="0"/>
          <w:numId w:val="33"/>
        </w:numPr>
      </w:pPr>
      <w:r>
        <w:t xml:space="preserve">Consider </w:t>
      </w:r>
      <w:r w:rsidR="00BC37F9">
        <w:t xml:space="preserve">current </w:t>
      </w:r>
      <w:r>
        <w:t>location of provision of services in relation to deprivation</w:t>
      </w:r>
      <w:r w:rsidR="00BC37F9">
        <w:t xml:space="preserve"> and opportunities to improve  provision to most deprived communities</w:t>
      </w:r>
    </w:p>
    <w:p w:rsidR="00B116C4" w:rsidRDefault="00B116C4" w:rsidP="00B116C4">
      <w:pPr>
        <w:pStyle w:val="ListParagraph"/>
      </w:pPr>
    </w:p>
    <w:p w:rsidR="00B116C4" w:rsidRDefault="00B116C4" w:rsidP="00B116C4">
      <w:pPr>
        <w:pStyle w:val="ListParagraph"/>
        <w:numPr>
          <w:ilvl w:val="0"/>
          <w:numId w:val="33"/>
        </w:numPr>
      </w:pPr>
      <w:r>
        <w:t xml:space="preserve">Consider the variable uptake of the </w:t>
      </w:r>
      <w:r w:rsidR="000A1672">
        <w:t>WECHE</w:t>
      </w:r>
    </w:p>
    <w:p w:rsidR="00B116C4" w:rsidRDefault="00B116C4" w:rsidP="00B116C4">
      <w:pPr>
        <w:pStyle w:val="ListParagraph"/>
      </w:pPr>
    </w:p>
    <w:p w:rsidR="00B116C4" w:rsidRDefault="00B116C4" w:rsidP="00B116C4">
      <w:pPr>
        <w:pStyle w:val="ListParagraph"/>
        <w:numPr>
          <w:ilvl w:val="0"/>
          <w:numId w:val="33"/>
        </w:numPr>
      </w:pPr>
      <w:r>
        <w:t xml:space="preserve">Consider how the uptake of NHS funded </w:t>
      </w:r>
      <w:r w:rsidR="00D8724C">
        <w:t>eye</w:t>
      </w:r>
      <w:r>
        <w:t xml:space="preserve"> tests among low income groups could be increased</w:t>
      </w:r>
    </w:p>
    <w:p w:rsidR="00B116C4" w:rsidRDefault="00B116C4" w:rsidP="00B116C4">
      <w:pPr>
        <w:pStyle w:val="ListParagraph"/>
      </w:pPr>
    </w:p>
    <w:p w:rsidR="00B116C4" w:rsidRDefault="00B116C4" w:rsidP="00B116C4">
      <w:pPr>
        <w:pStyle w:val="ListParagraph"/>
        <w:numPr>
          <w:ilvl w:val="0"/>
          <w:numId w:val="33"/>
        </w:numPr>
      </w:pPr>
      <w:r>
        <w:t xml:space="preserve">Consider why registration for </w:t>
      </w:r>
      <w:r w:rsidR="003E1AE4">
        <w:t xml:space="preserve">sight impairment </w:t>
      </w:r>
      <w:r>
        <w:t>might be low and what action might be appropriate in response to this.</w:t>
      </w:r>
    </w:p>
    <w:p w:rsidR="00A701FA" w:rsidRDefault="000A1672" w:rsidP="00B116C4">
      <w:pPr>
        <w:pStyle w:val="Heading3"/>
      </w:pPr>
      <w:bookmarkStart w:id="352" w:name="_Toc302293488"/>
      <w:r>
        <w:t>Diabetic r</w:t>
      </w:r>
      <w:r w:rsidR="00B116C4">
        <w:t>etinopathy</w:t>
      </w:r>
      <w:bookmarkEnd w:id="352"/>
    </w:p>
    <w:p w:rsidR="00B116C4" w:rsidRDefault="00B116C4" w:rsidP="00B116C4">
      <w:pPr>
        <w:pStyle w:val="ListParagraph"/>
        <w:numPr>
          <w:ilvl w:val="0"/>
          <w:numId w:val="38"/>
        </w:numPr>
      </w:pPr>
      <w:r>
        <w:t xml:space="preserve">Explore differences in </w:t>
      </w:r>
      <w:r w:rsidR="00BC37F9">
        <w:t xml:space="preserve">reported </w:t>
      </w:r>
      <w:r>
        <w:t>uptake for diabetic retinopathy screening</w:t>
      </w:r>
      <w:r w:rsidR="00BC37F9">
        <w:t xml:space="preserve"> between general practice and screening services</w:t>
      </w:r>
    </w:p>
    <w:p w:rsidR="00B116C4" w:rsidRDefault="00B116C4" w:rsidP="00B116C4">
      <w:pPr>
        <w:pStyle w:val="ListParagraph"/>
      </w:pPr>
    </w:p>
    <w:p w:rsidR="00B116C4" w:rsidRDefault="00B116C4" w:rsidP="00B116C4">
      <w:pPr>
        <w:pStyle w:val="ListParagraph"/>
        <w:numPr>
          <w:ilvl w:val="0"/>
          <w:numId w:val="38"/>
        </w:numPr>
      </w:pPr>
      <w:r>
        <w:t>Consider approaches to improving detection and management of diabetes as part of chronic care pathways.</w:t>
      </w:r>
    </w:p>
    <w:p w:rsidR="00B116C4" w:rsidRDefault="00B116C4" w:rsidP="00B116C4">
      <w:pPr>
        <w:pStyle w:val="ListParagraph"/>
      </w:pPr>
    </w:p>
    <w:p w:rsidR="00B116C4" w:rsidRDefault="00B116C4" w:rsidP="00B116C4">
      <w:pPr>
        <w:pStyle w:val="Heading3"/>
      </w:pPr>
      <w:bookmarkStart w:id="353" w:name="_Toc302293489"/>
      <w:r>
        <w:t>Glaucoma</w:t>
      </w:r>
      <w:bookmarkEnd w:id="353"/>
    </w:p>
    <w:p w:rsidR="00B116C4" w:rsidRDefault="00BF4444" w:rsidP="00B116C4">
      <w:pPr>
        <w:pStyle w:val="ListParagraph"/>
        <w:numPr>
          <w:ilvl w:val="0"/>
          <w:numId w:val="40"/>
        </w:numPr>
      </w:pPr>
      <w:r>
        <w:t xml:space="preserve">Cwm Taf has </w:t>
      </w:r>
      <w:r w:rsidR="00BC37F9">
        <w:t xml:space="preserve">a </w:t>
      </w:r>
      <w:r>
        <w:t xml:space="preserve">relatively high provision of glaucoma/intraocular hypertension medication.  This is an area where preventive treatment can avoid deterioration and loss of sight.  </w:t>
      </w:r>
      <w:r w:rsidR="00CD5D47">
        <w:t xml:space="preserve">It is anticipated that national developments will make </w:t>
      </w:r>
      <w:r w:rsidR="000A1672">
        <w:t xml:space="preserve">available </w:t>
      </w:r>
      <w:r w:rsidR="00CD5D47">
        <w:t xml:space="preserve">more detailed </w:t>
      </w:r>
      <w:r w:rsidR="000A1672">
        <w:t xml:space="preserve">data on </w:t>
      </w:r>
      <w:r w:rsidR="00CD5D47">
        <w:t xml:space="preserve">dispensed medication </w:t>
      </w:r>
      <w:r w:rsidR="000A1672">
        <w:t>in the future</w:t>
      </w:r>
      <w:r w:rsidR="00CD5D47">
        <w:t xml:space="preserve">. </w:t>
      </w:r>
      <w:r>
        <w:t>When this is available this data could be re-examined to gain a greater insight into the type of individuals receiving treatment as well as local variation.</w:t>
      </w:r>
    </w:p>
    <w:p w:rsidR="00306907" w:rsidRDefault="00306907" w:rsidP="00306907">
      <w:pPr>
        <w:pStyle w:val="Heading3"/>
      </w:pPr>
      <w:bookmarkStart w:id="354" w:name="_Toc302293490"/>
      <w:r>
        <w:t>Cataracts</w:t>
      </w:r>
      <w:bookmarkEnd w:id="354"/>
    </w:p>
    <w:p w:rsidR="00306907" w:rsidRDefault="00306907" w:rsidP="00306907">
      <w:pPr>
        <w:pStyle w:val="ListParagraph"/>
        <w:numPr>
          <w:ilvl w:val="0"/>
          <w:numId w:val="41"/>
        </w:numPr>
      </w:pPr>
      <w:r>
        <w:t>The provision of cataracts appears broadly similar in relation to need as elsewhere in Wales, so there are no specific recommendations.</w:t>
      </w:r>
    </w:p>
    <w:p w:rsidR="00BF4444" w:rsidRDefault="00887909" w:rsidP="00BF4444">
      <w:pPr>
        <w:pStyle w:val="Heading3"/>
      </w:pPr>
      <w:bookmarkStart w:id="355" w:name="_Toc302293491"/>
      <w:r>
        <w:t>Age-related macular degeneration</w:t>
      </w:r>
      <w:bookmarkEnd w:id="355"/>
    </w:p>
    <w:p w:rsidR="00887909" w:rsidRDefault="00887909" w:rsidP="00887909">
      <w:pPr>
        <w:pStyle w:val="ListParagraph"/>
        <w:numPr>
          <w:ilvl w:val="0"/>
          <w:numId w:val="40"/>
        </w:numPr>
      </w:pPr>
      <w:r>
        <w:t xml:space="preserve">There is too little data available on </w:t>
      </w:r>
      <w:r w:rsidR="000A1672">
        <w:t xml:space="preserve">ARMD </w:t>
      </w:r>
      <w:r>
        <w:t>and its treatment to make specific recommendations.</w:t>
      </w:r>
    </w:p>
    <w:p w:rsidR="008B6784" w:rsidRDefault="008B6784" w:rsidP="008B6784">
      <w:pPr>
        <w:pStyle w:val="ListParagraph"/>
      </w:pPr>
    </w:p>
    <w:p w:rsidR="008B6784" w:rsidRDefault="008B6784" w:rsidP="008B6784">
      <w:pPr>
        <w:pStyle w:val="Heading2"/>
      </w:pPr>
      <w:bookmarkStart w:id="356" w:name="_Toc302293492"/>
      <w:r>
        <w:t xml:space="preserve">Recommendations for Wales </w:t>
      </w:r>
      <w:r w:rsidR="00D8724C">
        <w:t>Eye</w:t>
      </w:r>
      <w:r>
        <w:t xml:space="preserve"> Health Improvement Project Steering Group</w:t>
      </w:r>
      <w:bookmarkEnd w:id="356"/>
    </w:p>
    <w:p w:rsidR="008B6784" w:rsidRDefault="008B6784" w:rsidP="008B6784">
      <w:pPr>
        <w:pStyle w:val="ListParagraph"/>
        <w:numPr>
          <w:ilvl w:val="0"/>
          <w:numId w:val="40"/>
        </w:numPr>
      </w:pPr>
      <w:r>
        <w:t>Consider the data in used in th</w:t>
      </w:r>
      <w:r w:rsidR="000A1672">
        <w:t>is</w:t>
      </w:r>
      <w:r>
        <w:t xml:space="preserve"> report</w:t>
      </w:r>
      <w:r w:rsidR="00916A21">
        <w:t>, the implications for the project</w:t>
      </w:r>
      <w:r>
        <w:t xml:space="preserve"> and </w:t>
      </w:r>
      <w:r w:rsidR="00306907">
        <w:t xml:space="preserve">determine </w:t>
      </w:r>
      <w:r>
        <w:t>what is useful</w:t>
      </w:r>
      <w:r w:rsidR="00CD5D47">
        <w:t xml:space="preserve"> </w:t>
      </w:r>
      <w:r w:rsidR="00916A21">
        <w:t xml:space="preserve">for </w:t>
      </w:r>
      <w:r w:rsidR="00CD5D47">
        <w:t>replicat</w:t>
      </w:r>
      <w:r w:rsidR="00916A21">
        <w:t>ion</w:t>
      </w:r>
      <w:r w:rsidR="00CD5D47">
        <w:t xml:space="preserve"> for other parts of Wales</w:t>
      </w:r>
    </w:p>
    <w:p w:rsidR="00306907" w:rsidRDefault="00306907" w:rsidP="00306907">
      <w:pPr>
        <w:pStyle w:val="ListParagraph"/>
      </w:pPr>
    </w:p>
    <w:p w:rsidR="008B6784" w:rsidRPr="008B6784" w:rsidRDefault="00306907" w:rsidP="00306907">
      <w:pPr>
        <w:pStyle w:val="ListParagraph"/>
        <w:numPr>
          <w:ilvl w:val="0"/>
          <w:numId w:val="40"/>
        </w:numPr>
      </w:pPr>
      <w:r>
        <w:t>Consider the p</w:t>
      </w:r>
      <w:r w:rsidR="008B6784">
        <w:t>roblems with data quality that have been encountered and how this might be addressed for future data</w:t>
      </w:r>
      <w:r>
        <w:t xml:space="preserve"> collection.</w:t>
      </w:r>
    </w:p>
    <w:p w:rsidR="00682F0C" w:rsidRDefault="00682F0C" w:rsidP="00682F0C">
      <w:pPr>
        <w:pStyle w:val="Heading1"/>
      </w:pPr>
      <w:bookmarkStart w:id="357" w:name="_Toc302293493"/>
      <w:r>
        <w:t>Conclusion</w:t>
      </w:r>
      <w:bookmarkEnd w:id="357"/>
    </w:p>
    <w:p w:rsidR="007C1314" w:rsidRDefault="007C1314" w:rsidP="007C1314">
      <w:r>
        <w:t xml:space="preserve">This </w:t>
      </w:r>
      <w:r w:rsidR="000A1672">
        <w:t>e</w:t>
      </w:r>
      <w:r w:rsidR="00D8724C">
        <w:t>ye</w:t>
      </w:r>
      <w:r w:rsidR="00132586">
        <w:t xml:space="preserve"> health equity profile</w:t>
      </w:r>
      <w:r w:rsidR="006D2374">
        <w:t xml:space="preserve"> </w:t>
      </w:r>
      <w:r>
        <w:t xml:space="preserve">has considered the policy context of </w:t>
      </w:r>
      <w:r w:rsidR="00D8724C">
        <w:t>eye</w:t>
      </w:r>
      <w:r>
        <w:t xml:space="preserve"> health care services in Wales, looked at the prevalence of </w:t>
      </w:r>
      <w:r w:rsidR="00D8724C">
        <w:t>eye</w:t>
      </w:r>
      <w:r>
        <w:t xml:space="preserve"> conditions </w:t>
      </w:r>
      <w:r w:rsidR="000A1672">
        <w:t xml:space="preserve">and the provision of eye health care services </w:t>
      </w:r>
      <w:r>
        <w:t xml:space="preserve">using a variety of data sources. Where possible, provision relative to need has been considered. </w:t>
      </w:r>
    </w:p>
    <w:p w:rsidR="007C1314" w:rsidRDefault="004F1C0A" w:rsidP="007C1314">
      <w:r>
        <w:t>Th</w:t>
      </w:r>
      <w:r w:rsidR="007C1314">
        <w:t xml:space="preserve">e interim findings were </w:t>
      </w:r>
      <w:r>
        <w:t xml:space="preserve">used to inform the development of the RNIB’s </w:t>
      </w:r>
      <w:r w:rsidR="0035044B">
        <w:t>CEP</w:t>
      </w:r>
      <w:r w:rsidR="007C1314">
        <w:t xml:space="preserve">, and it is hoped that it can be used to inform the development of an </w:t>
      </w:r>
      <w:r w:rsidR="00D8724C">
        <w:t>eye</w:t>
      </w:r>
      <w:r w:rsidR="00C42EAE">
        <w:t xml:space="preserve"> health strategy for Cwm Taf H</w:t>
      </w:r>
      <w:r w:rsidR="007C1314">
        <w:t xml:space="preserve">ealth </w:t>
      </w:r>
      <w:r w:rsidR="00C42EAE">
        <w:t>B</w:t>
      </w:r>
      <w:r w:rsidR="007C1314">
        <w:t xml:space="preserve">oard.  This data can be made use of in other situations as much of the analyses are at an all Wales level. </w:t>
      </w:r>
    </w:p>
    <w:p w:rsidR="007B7D0A" w:rsidRDefault="007C1314" w:rsidP="007C1314">
      <w:r>
        <w:t xml:space="preserve">Although several analyses of data have been presented here, the </w:t>
      </w:r>
      <w:r w:rsidR="003D75CB">
        <w:t xml:space="preserve">quality of the </w:t>
      </w:r>
      <w:r>
        <w:t xml:space="preserve">available </w:t>
      </w:r>
      <w:r w:rsidR="003D75CB">
        <w:t xml:space="preserve">data </w:t>
      </w:r>
      <w:r>
        <w:t xml:space="preserve">on </w:t>
      </w:r>
      <w:r w:rsidR="00D8724C">
        <w:t>eye</w:t>
      </w:r>
      <w:r>
        <w:t xml:space="preserve"> health is </w:t>
      </w:r>
      <w:r w:rsidR="003D75CB">
        <w:t xml:space="preserve">quite poor.  There is a lack of high quality data on prevalence, and the models (such as the </w:t>
      </w:r>
      <w:r w:rsidR="000A1672">
        <w:t>NEHEM</w:t>
      </w:r>
      <w:r w:rsidR="003D75CB">
        <w:t xml:space="preserve">) do not take into account factors such as deprivation.  The models suggest that Cwm Taf has less need in terms of </w:t>
      </w:r>
      <w:r w:rsidR="00D8724C">
        <w:t>eye</w:t>
      </w:r>
      <w:r w:rsidR="003D75CB">
        <w:t xml:space="preserve"> health care compared with Wales, but certain more deprived areas are likely to have greater need. </w:t>
      </w:r>
      <w:r w:rsidR="00715104">
        <w:t xml:space="preserve"> </w:t>
      </w:r>
    </w:p>
    <w:p w:rsidR="00106F4E" w:rsidRDefault="007B7D0A" w:rsidP="007C1314">
      <w:r>
        <w:t>S</w:t>
      </w:r>
      <w:r w:rsidR="003D75CB">
        <w:t xml:space="preserve">ervice data </w:t>
      </w:r>
      <w:r w:rsidR="00920EA9">
        <w:t>are</w:t>
      </w:r>
      <w:r w:rsidR="00477E4F">
        <w:t xml:space="preserve"> </w:t>
      </w:r>
      <w:r w:rsidR="003D75CB">
        <w:t xml:space="preserve">also limited.  </w:t>
      </w:r>
      <w:r>
        <w:t xml:space="preserve">Most service data, such as optometry </w:t>
      </w:r>
      <w:r w:rsidR="003D75CB">
        <w:t>data</w:t>
      </w:r>
      <w:r>
        <w:t>,</w:t>
      </w:r>
      <w:r w:rsidR="003D75CB">
        <w:t xml:space="preserve"> tell us about items of service rather than providing information about patients </w:t>
      </w:r>
      <w:r w:rsidR="000A1672">
        <w:t xml:space="preserve">e.g. </w:t>
      </w:r>
      <w:r w:rsidR="003D75CB">
        <w:t>the</w:t>
      </w:r>
      <w:r>
        <w:t xml:space="preserve">ir age, gender or area of residence, underlying </w:t>
      </w:r>
      <w:r w:rsidR="00D8724C">
        <w:t>eye</w:t>
      </w:r>
      <w:r>
        <w:t xml:space="preserve"> conditions or repeat testing</w:t>
      </w:r>
      <w:r w:rsidR="003D75CB">
        <w:t xml:space="preserve">.  </w:t>
      </w:r>
      <w:r>
        <w:t xml:space="preserve">Although admitted patient care (PEDW) data provides more detail about the patient and the diagnosis, very little </w:t>
      </w:r>
      <w:r w:rsidR="00D8724C">
        <w:t>eye</w:t>
      </w:r>
      <w:r>
        <w:t xml:space="preserve"> health care takes place in an admitted care setting. </w:t>
      </w:r>
      <w:r w:rsidR="003D75CB">
        <w:t xml:space="preserve">For </w:t>
      </w:r>
      <w:r>
        <w:t xml:space="preserve">a number of </w:t>
      </w:r>
      <w:r w:rsidR="003D75CB">
        <w:t xml:space="preserve">aspects of </w:t>
      </w:r>
      <w:r w:rsidR="00D8724C">
        <w:t>eye</w:t>
      </w:r>
      <w:r w:rsidR="003D75CB">
        <w:t xml:space="preserve"> health care, there was very little or no information so it is not possible to comment on the services actually used. </w:t>
      </w:r>
    </w:p>
    <w:p w:rsidR="007B7D0A" w:rsidRDefault="00A701FA" w:rsidP="007B7D0A">
      <w:r>
        <w:t>Identifying unmet need and the d</w:t>
      </w:r>
      <w:r w:rsidR="00715104">
        <w:t>escription of equity of access to services was achieved to a limited extent</w:t>
      </w:r>
      <w:r w:rsidR="007B7D0A">
        <w:t xml:space="preserve">. Deprivation and age are important drivers of need for </w:t>
      </w:r>
      <w:r w:rsidR="00D8724C">
        <w:t>eye</w:t>
      </w:r>
      <w:r w:rsidR="007B7D0A">
        <w:t xml:space="preserve"> health care. There is evidence that those living in more deprived are</w:t>
      </w:r>
      <w:r w:rsidR="003E1AE4">
        <w:t>as are less likely to visit an O</w:t>
      </w:r>
      <w:r w:rsidR="007B7D0A">
        <w:t>ptom</w:t>
      </w:r>
      <w:r w:rsidR="003E1AE4">
        <w:t>etrist, and physical access to O</w:t>
      </w:r>
      <w:r w:rsidR="007B7D0A">
        <w:t xml:space="preserve">ptometrists may be more difficult in Cwm Taf. Areas within Cwm Taf have been identified with particularly high levels of deprivation and older populations. </w:t>
      </w:r>
    </w:p>
    <w:p w:rsidR="003D75CB" w:rsidRDefault="00715104" w:rsidP="007C1314">
      <w:r>
        <w:t>T</w:t>
      </w:r>
      <w:r w:rsidR="003D75CB">
        <w:t>he poor uptake of NHS</w:t>
      </w:r>
      <w:r w:rsidR="000A1672">
        <w:t xml:space="preserve"> funded</w:t>
      </w:r>
      <w:r w:rsidR="003D75CB">
        <w:t xml:space="preserve"> </w:t>
      </w:r>
      <w:r w:rsidR="00D8724C">
        <w:t>eye</w:t>
      </w:r>
      <w:r w:rsidR="003D75CB">
        <w:t xml:space="preserve"> tests in disadvantaged g</w:t>
      </w:r>
      <w:r w:rsidR="003E1AE4">
        <w:t xml:space="preserve">roups is a particular concern.  </w:t>
      </w:r>
      <w:r w:rsidR="003D75CB">
        <w:t>The</w:t>
      </w:r>
      <w:r w:rsidR="0037325E">
        <w:t xml:space="preserve">re is a substantial </w:t>
      </w:r>
      <w:r w:rsidR="003E1AE4">
        <w:t xml:space="preserve">mismatch between the estimated </w:t>
      </w:r>
      <w:r w:rsidR="003D75CB">
        <w:t xml:space="preserve">prevalence of </w:t>
      </w:r>
      <w:r w:rsidR="0037325E">
        <w:t xml:space="preserve">people with low vision and people with </w:t>
      </w:r>
      <w:r w:rsidR="006D2374">
        <w:t xml:space="preserve">registered with sight </w:t>
      </w:r>
      <w:r w:rsidR="0037325E">
        <w:t>impairment, although the definitions according to the NEHEM and the local authority are different.</w:t>
      </w:r>
      <w:r w:rsidR="00477142">
        <w:t xml:space="preserve">  </w:t>
      </w:r>
      <w:r>
        <w:t>The cataracts</w:t>
      </w:r>
      <w:r w:rsidR="00A701FA">
        <w:t xml:space="preserve"> </w:t>
      </w:r>
      <w:r>
        <w:t xml:space="preserve">data </w:t>
      </w:r>
      <w:r w:rsidR="00A701FA">
        <w:t xml:space="preserve">did not highlight any particular concerns.  </w:t>
      </w:r>
      <w:r w:rsidR="00477142">
        <w:t xml:space="preserve">It is difficult to </w:t>
      </w:r>
      <w:r w:rsidR="00D5426E">
        <w:t xml:space="preserve">clearly </w:t>
      </w:r>
      <w:r w:rsidR="00477142">
        <w:t xml:space="preserve">relate provision to need </w:t>
      </w:r>
      <w:r w:rsidR="00DC4467">
        <w:t xml:space="preserve">for glaucoma and </w:t>
      </w:r>
      <w:r w:rsidR="000A1672">
        <w:t>ARMD</w:t>
      </w:r>
      <w:r w:rsidR="00DC4467">
        <w:t>.</w:t>
      </w:r>
      <w:r w:rsidR="00A701FA">
        <w:t xml:space="preserve">  </w:t>
      </w:r>
      <w:r>
        <w:t xml:space="preserve">  </w:t>
      </w:r>
    </w:p>
    <w:p w:rsidR="00350FF8" w:rsidRDefault="00106F4E" w:rsidP="007C1314">
      <w:r>
        <w:t xml:space="preserve">The use of data in the evaluation of the </w:t>
      </w:r>
      <w:r w:rsidR="0035044B">
        <w:t xml:space="preserve">CEP </w:t>
      </w:r>
      <w:r>
        <w:t>should be discussed with considerati</w:t>
      </w:r>
      <w:r w:rsidR="00350FF8">
        <w:t>on</w:t>
      </w:r>
      <w:r w:rsidR="006A400F">
        <w:t xml:space="preserve"> of</w:t>
      </w:r>
      <w:r w:rsidR="00350FF8">
        <w:t xml:space="preserve"> </w:t>
      </w:r>
      <w:r w:rsidR="003D75CB">
        <w:t>its</w:t>
      </w:r>
      <w:r w:rsidR="00350FF8">
        <w:t xml:space="preserve"> limitations</w:t>
      </w:r>
      <w:r w:rsidR="007C1314">
        <w:t>.</w:t>
      </w:r>
    </w:p>
    <w:p w:rsidR="003D75CB" w:rsidRDefault="003D75CB">
      <w:pPr>
        <w:spacing w:before="0"/>
        <w:jc w:val="left"/>
        <w:rPr>
          <w:b/>
          <w:kern w:val="28"/>
          <w:sz w:val="32"/>
        </w:rPr>
      </w:pPr>
      <w:bookmarkStart w:id="358" w:name="_Toc291585907"/>
      <w:r>
        <w:br w:type="page"/>
      </w:r>
    </w:p>
    <w:p w:rsidR="0047034C" w:rsidRDefault="0047034C" w:rsidP="0047034C">
      <w:pPr>
        <w:pStyle w:val="Heading1"/>
      </w:pPr>
      <w:bookmarkStart w:id="359" w:name="_Toc302293494"/>
      <w:r>
        <w:t>References</w:t>
      </w:r>
      <w:bookmarkEnd w:id="358"/>
      <w:bookmarkEnd w:id="359"/>
    </w:p>
    <w:p w:rsidR="00DF18E2" w:rsidRPr="00DF18E2" w:rsidRDefault="00DF18E2" w:rsidP="00DF18E2">
      <w:pPr>
        <w:pStyle w:val="NormalWeb"/>
        <w:shd w:val="clear" w:color="auto" w:fill="FFFFFF"/>
        <w:rPr>
          <w:rFonts w:ascii="Verdana" w:hAnsi="Verdana"/>
          <w:szCs w:val="20"/>
          <w:lang w:eastAsia="en-US"/>
        </w:rPr>
      </w:pPr>
      <w:r w:rsidRPr="00DF18E2">
        <w:rPr>
          <w:rFonts w:ascii="Verdana" w:hAnsi="Verdana"/>
          <w:szCs w:val="20"/>
          <w:lang w:eastAsia="en-US"/>
        </w:rPr>
        <w:t>Augood CA</w:t>
      </w:r>
      <w:r>
        <w:rPr>
          <w:rFonts w:ascii="Verdana" w:hAnsi="Verdana"/>
          <w:szCs w:val="20"/>
          <w:lang w:eastAsia="en-US"/>
        </w:rPr>
        <w:t xml:space="preserve"> et al</w:t>
      </w:r>
      <w:r w:rsidRPr="00DF18E2">
        <w:rPr>
          <w:rFonts w:ascii="Verdana" w:hAnsi="Verdana"/>
          <w:szCs w:val="20"/>
          <w:lang w:eastAsia="en-US"/>
        </w:rPr>
        <w:t>.</w:t>
      </w:r>
      <w:r>
        <w:rPr>
          <w:rFonts w:ascii="Verdana" w:hAnsi="Verdana"/>
          <w:szCs w:val="20"/>
          <w:lang w:eastAsia="en-US"/>
        </w:rPr>
        <w:t xml:space="preserve"> (2006)</w:t>
      </w:r>
      <w:r w:rsidRPr="00DF18E2">
        <w:rPr>
          <w:rFonts w:ascii="Verdana" w:hAnsi="Verdana"/>
          <w:szCs w:val="20"/>
          <w:lang w:eastAsia="en-US"/>
        </w:rPr>
        <w:t xml:space="preserve">. Prevalence of age-related maculopathy in older Europeans: the European Eye Study (EUREYE). </w:t>
      </w:r>
      <w:r w:rsidRPr="00DF18E2">
        <w:rPr>
          <w:rFonts w:ascii="Verdana" w:hAnsi="Verdana"/>
          <w:i/>
          <w:szCs w:val="20"/>
          <w:lang w:eastAsia="en-US"/>
        </w:rPr>
        <w:t>Arch Ophthalmol</w:t>
      </w:r>
      <w:r>
        <w:rPr>
          <w:rFonts w:ascii="Verdana" w:hAnsi="Verdana"/>
          <w:szCs w:val="20"/>
          <w:lang w:eastAsia="en-US"/>
        </w:rPr>
        <w:t xml:space="preserve"> 1</w:t>
      </w:r>
      <w:r w:rsidRPr="00DF18E2">
        <w:rPr>
          <w:rFonts w:ascii="Verdana" w:hAnsi="Verdana"/>
          <w:szCs w:val="20"/>
          <w:lang w:eastAsia="en-US"/>
        </w:rPr>
        <w:t xml:space="preserve">24(4):529-35. </w:t>
      </w:r>
      <w:r w:rsidRPr="00DF18E2">
        <w:rPr>
          <w:rFonts w:ascii="Verdana" w:hAnsi="Verdana"/>
          <w:color w:val="000000" w:themeColor="text1"/>
        </w:rPr>
        <w:t>[Cited in NEHEM 2010]</w:t>
      </w:r>
    </w:p>
    <w:p w:rsidR="005904D8" w:rsidRDefault="005904D8" w:rsidP="005904D8">
      <w:pPr>
        <w:jc w:val="left"/>
      </w:pPr>
      <w:r>
        <w:t xml:space="preserve">Birmingham Research Unit.(2007). Weekly returns service annual prevalence report 2007.  Birmingham: RCGP. Available at: </w:t>
      </w:r>
      <w:hyperlink r:id="rId69" w:history="1">
        <w:r>
          <w:rPr>
            <w:rStyle w:val="Hyperlink"/>
          </w:rPr>
          <w:t>http://www.rcgp.org.uk/pdf/BRU%20Annual%20prevalence%20report%202007.pdf</w:t>
        </w:r>
      </w:hyperlink>
      <w:r>
        <w:t xml:space="preserve"> [Accessed 7</w:t>
      </w:r>
      <w:r>
        <w:rPr>
          <w:vertAlign w:val="superscript"/>
        </w:rPr>
        <w:t>th</w:t>
      </w:r>
      <w:r>
        <w:t xml:space="preserve"> Dec 2010]</w:t>
      </w:r>
    </w:p>
    <w:p w:rsidR="005904D8" w:rsidRDefault="005904D8" w:rsidP="005904D8">
      <w:r>
        <w:t xml:space="preserve">Bunce C et al. (2010). </w:t>
      </w:r>
      <w:r>
        <w:rPr>
          <w:i/>
        </w:rPr>
        <w:t>Local level report 1: DEVICe project</w:t>
      </w:r>
      <w:r>
        <w:t xml:space="preserve"> (Database for Epidemiological data collected from Visual Impairment Certificates). Moorfields Eye Hospital NHS Foundation Trust. </w:t>
      </w:r>
    </w:p>
    <w:p w:rsidR="00386689" w:rsidRDefault="00386689" w:rsidP="00386689">
      <w:pPr>
        <w:autoSpaceDE w:val="0"/>
        <w:autoSpaceDN w:val="0"/>
        <w:adjustRightInd w:val="0"/>
        <w:spacing w:before="0"/>
        <w:jc w:val="left"/>
      </w:pPr>
    </w:p>
    <w:p w:rsidR="00386689" w:rsidRDefault="00386689" w:rsidP="00386689">
      <w:pPr>
        <w:autoSpaceDE w:val="0"/>
        <w:autoSpaceDN w:val="0"/>
        <w:adjustRightInd w:val="0"/>
        <w:spacing w:before="0"/>
        <w:jc w:val="left"/>
      </w:pPr>
      <w:r>
        <w:t xml:space="preserve">Evans JR et al. (2002). </w:t>
      </w:r>
      <w:r w:rsidRPr="00386689">
        <w:t>Prevalence of visual impairment in people aged 75 years</w:t>
      </w:r>
      <w:r>
        <w:t xml:space="preserve"> </w:t>
      </w:r>
      <w:r w:rsidRPr="00386689">
        <w:t>and older in Britain: results from the MRC trial of</w:t>
      </w:r>
      <w:r>
        <w:t xml:space="preserve"> </w:t>
      </w:r>
      <w:r w:rsidRPr="00386689">
        <w:t>assessment and management of older people in the</w:t>
      </w:r>
      <w:r>
        <w:t xml:space="preserve"> </w:t>
      </w:r>
      <w:r w:rsidRPr="00386689">
        <w:t>community</w:t>
      </w:r>
      <w:r>
        <w:t xml:space="preserve">. </w:t>
      </w:r>
      <w:r w:rsidRPr="00386689">
        <w:rPr>
          <w:i/>
        </w:rPr>
        <w:t>Br J Ophthalmol</w:t>
      </w:r>
      <w:r>
        <w:t xml:space="preserve"> 86:795-800.</w:t>
      </w:r>
    </w:p>
    <w:p w:rsidR="005904D8" w:rsidRDefault="005904D8" w:rsidP="005904D8">
      <w:pPr>
        <w:jc w:val="left"/>
      </w:pPr>
      <w:r>
        <w:t xml:space="preserve">Eye Care Wales. (2006). </w:t>
      </w:r>
      <w:r>
        <w:rPr>
          <w:i/>
        </w:rPr>
        <w:t>The Eye Health Examination and Primary Eye Care Acute Referral Scheme (PEARS)</w:t>
      </w:r>
      <w:r>
        <w:t xml:space="preserve"> [Online]. </w:t>
      </w:r>
      <w:hyperlink r:id="rId70" w:history="1">
        <w:r>
          <w:rPr>
            <w:rStyle w:val="Hyperlink"/>
          </w:rPr>
          <w:t>http://www.wales.nhs.uk/sites3/page.cfm?orgid=562&amp;pid=55453</w:t>
        </w:r>
      </w:hyperlink>
      <w:r>
        <w:t xml:space="preserve">  [Accessed 22</w:t>
      </w:r>
      <w:r>
        <w:rPr>
          <w:vertAlign w:val="superscript"/>
        </w:rPr>
        <w:t>nd</w:t>
      </w:r>
      <w:r>
        <w:t xml:space="preserve"> Nov 2010]</w:t>
      </w:r>
    </w:p>
    <w:p w:rsidR="005904D8" w:rsidRDefault="005904D8" w:rsidP="005904D8">
      <w:pPr>
        <w:jc w:val="left"/>
      </w:pPr>
      <w:r>
        <w:t xml:space="preserve">Eye Care Wales. (2007). </w:t>
      </w:r>
      <w:r>
        <w:rPr>
          <w:i/>
        </w:rPr>
        <w:t>What is the Welsh eye care initiative</w:t>
      </w:r>
      <w:r>
        <w:t xml:space="preserve">? [Online]. Available at: </w:t>
      </w:r>
      <w:hyperlink r:id="rId71" w:history="1">
        <w:r>
          <w:rPr>
            <w:rStyle w:val="Hyperlink"/>
          </w:rPr>
          <w:t>http://www.wales.nhs.uk/sites3/page.cfm?pid=12019&amp;orgid=562</w:t>
        </w:r>
      </w:hyperlink>
      <w:r>
        <w:t xml:space="preserve">  [Accessed 7</w:t>
      </w:r>
      <w:r>
        <w:rPr>
          <w:vertAlign w:val="superscript"/>
        </w:rPr>
        <w:t xml:space="preserve">th </w:t>
      </w:r>
      <w:r>
        <w:t>Dec 2010]</w:t>
      </w:r>
    </w:p>
    <w:p w:rsidR="005904D8" w:rsidRPr="006E0BC7" w:rsidRDefault="005904D8" w:rsidP="005904D8">
      <w:pPr>
        <w:jc w:val="left"/>
        <w:rPr>
          <w:color w:val="000000" w:themeColor="text1"/>
        </w:rPr>
      </w:pPr>
      <w:r w:rsidRPr="006E0BC7">
        <w:rPr>
          <w:color w:val="000000" w:themeColor="text1"/>
        </w:rPr>
        <w:t xml:space="preserve">Frost A et al. (2001). The population requirement for cataract extraction: a cross sectional study. </w:t>
      </w:r>
      <w:r w:rsidRPr="006E0BC7">
        <w:rPr>
          <w:i/>
          <w:color w:val="000000" w:themeColor="text1"/>
        </w:rPr>
        <w:t>Eye</w:t>
      </w:r>
      <w:r w:rsidRPr="006E0BC7">
        <w:rPr>
          <w:color w:val="000000" w:themeColor="text1"/>
        </w:rPr>
        <w:t xml:space="preserve"> 15: 745-52. [Cited in NEHEM 2010]</w:t>
      </w:r>
    </w:p>
    <w:p w:rsidR="005904D8" w:rsidRDefault="005904D8" w:rsidP="005904D8">
      <w:pPr>
        <w:jc w:val="left"/>
      </w:pPr>
      <w:r w:rsidRPr="006E0BC7">
        <w:rPr>
          <w:color w:val="000000" w:themeColor="text1"/>
        </w:rPr>
        <w:t>Goyal R, Shankar J and Sullivan S. (2004). Referrals for cataract surgery</w:t>
      </w:r>
      <w:r>
        <w:t xml:space="preserve">: variations between different geographic areas within a Welsh Health Authority. </w:t>
      </w:r>
      <w:r>
        <w:rPr>
          <w:i/>
        </w:rPr>
        <w:t>Eye</w:t>
      </w:r>
      <w:r>
        <w:t xml:space="preserve"> 18 773-7. </w:t>
      </w:r>
    </w:p>
    <w:p w:rsidR="005904D8" w:rsidRDefault="005904D8" w:rsidP="005904D8">
      <w:pPr>
        <w:jc w:val="left"/>
      </w:pPr>
      <w:r>
        <w:t xml:space="preserve">Jackson C and Hughes K. 2008. RNIB Cymru briefing on registration in Wales. </w:t>
      </w:r>
      <w:smartTag w:uri="urn:schemas-microsoft-com:office:smarttags" w:element="place">
        <w:smartTag w:uri="urn:schemas-microsoft-com:office:smarttags" w:element="City">
          <w:r>
            <w:t>Cardiff</w:t>
          </w:r>
        </w:smartTag>
      </w:smartTag>
      <w:r>
        <w:t>: RNIB Cymru.</w:t>
      </w:r>
    </w:p>
    <w:p w:rsidR="005904D8" w:rsidRPr="006E0BC7" w:rsidRDefault="005904D8" w:rsidP="005904D8">
      <w:pPr>
        <w:jc w:val="left"/>
        <w:rPr>
          <w:color w:val="000000" w:themeColor="text1"/>
        </w:rPr>
      </w:pPr>
      <w:r w:rsidRPr="006E0BC7">
        <w:rPr>
          <w:color w:val="000000" w:themeColor="text1"/>
        </w:rPr>
        <w:t xml:space="preserve">McCarty CA et al. (1999). The epidemiology of cataract in Australia. </w:t>
      </w:r>
      <w:r w:rsidRPr="006E0BC7">
        <w:rPr>
          <w:i/>
          <w:color w:val="000000" w:themeColor="text1"/>
        </w:rPr>
        <w:t xml:space="preserve">Am J Ophthalmol </w:t>
      </w:r>
      <w:r w:rsidRPr="006E0BC7">
        <w:rPr>
          <w:color w:val="000000" w:themeColor="text1"/>
        </w:rPr>
        <w:t>128: 446-65. [Cited in NEHEM 2010]</w:t>
      </w:r>
    </w:p>
    <w:p w:rsidR="005904D8" w:rsidRDefault="005904D8" w:rsidP="005904D8">
      <w:pPr>
        <w:jc w:val="left"/>
      </w:pPr>
      <w:r w:rsidRPr="004A2CB4">
        <w:rPr>
          <w:i/>
        </w:rPr>
        <w:t>National Eye Health Epidemiological Model</w:t>
      </w:r>
      <w:r w:rsidRPr="004A2CB4">
        <w:t>.[NEHEM] [Online].</w:t>
      </w:r>
      <w:r>
        <w:t xml:space="preserve"> 2010</w:t>
      </w:r>
      <w:r w:rsidR="006E0BC7">
        <w:t xml:space="preserve"> </w:t>
      </w:r>
      <w:r>
        <w:t xml:space="preserve">Available at: </w:t>
      </w:r>
      <w:hyperlink r:id="rId72" w:history="1">
        <w:r>
          <w:rPr>
            <w:rStyle w:val="Hyperlink"/>
          </w:rPr>
          <w:t>http://www.eyehealthmodel.org.uk/MainApplication/Default.aspx#</w:t>
        </w:r>
      </w:hyperlink>
      <w:r>
        <w:t xml:space="preserve">  [Accessed 25</w:t>
      </w:r>
      <w:r>
        <w:rPr>
          <w:vertAlign w:val="superscript"/>
        </w:rPr>
        <w:t>th</w:t>
      </w:r>
      <w:r>
        <w:t xml:space="preserve"> Nov 2010]</w:t>
      </w:r>
    </w:p>
    <w:p w:rsidR="005904D8" w:rsidRDefault="005904D8" w:rsidP="005904D8">
      <w:pPr>
        <w:jc w:val="left"/>
      </w:pPr>
      <w:r>
        <w:t xml:space="preserve">NHS Direct Wales. (2010). </w:t>
      </w:r>
      <w:r>
        <w:rPr>
          <w:i/>
        </w:rPr>
        <w:t>Opticians.  Frequently asked questions.</w:t>
      </w:r>
      <w:r>
        <w:t xml:space="preserve"> [Online]. Available at: </w:t>
      </w:r>
      <w:hyperlink r:id="rId73" w:history="1">
        <w:r>
          <w:rPr>
            <w:rStyle w:val="Hyperlink"/>
          </w:rPr>
          <w:t>http://www.nhsdirect.wales.nhs.uk/localservices/opticianfaq/</w:t>
        </w:r>
      </w:hyperlink>
      <w:r>
        <w:t xml:space="preserve">  [Accessed 7</w:t>
      </w:r>
      <w:r>
        <w:rPr>
          <w:vertAlign w:val="superscript"/>
        </w:rPr>
        <w:t>th</w:t>
      </w:r>
      <w:r>
        <w:t xml:space="preserve"> Dec 2010]</w:t>
      </w:r>
    </w:p>
    <w:p w:rsidR="005904D8" w:rsidRDefault="005904D8" w:rsidP="005904D8">
      <w:pPr>
        <w:jc w:val="left"/>
      </w:pPr>
      <w:r>
        <w:t xml:space="preserve">NHS Information Centre. (2011). </w:t>
      </w:r>
      <w:r>
        <w:rPr>
          <w:i/>
        </w:rPr>
        <w:t xml:space="preserve">Quality and outcomes framework. </w:t>
      </w:r>
      <w:hyperlink r:id="rId74" w:history="1">
        <w:r>
          <w:rPr>
            <w:rStyle w:val="Hyperlink"/>
          </w:rPr>
          <w:t>http://www.qof.ic.nhs.uk/faqs/</w:t>
        </w:r>
      </w:hyperlink>
      <w:r>
        <w:t xml:space="preserve"> </w:t>
      </w:r>
      <w:r>
        <w:rPr>
          <w:i/>
        </w:rPr>
        <w:t xml:space="preserve"> </w:t>
      </w:r>
      <w:r>
        <w:t>[Accessed 16</w:t>
      </w:r>
      <w:r>
        <w:rPr>
          <w:vertAlign w:val="superscript"/>
        </w:rPr>
        <w:t>th</w:t>
      </w:r>
      <w:r>
        <w:t xml:space="preserve"> May 2011]  </w:t>
      </w:r>
    </w:p>
    <w:p w:rsidR="005904D8" w:rsidRDefault="005904D8" w:rsidP="005904D8">
      <w:pPr>
        <w:jc w:val="left"/>
      </w:pPr>
      <w:r>
        <w:t xml:space="preserve">NHS Wales.(2010). </w:t>
      </w:r>
      <w:r>
        <w:rPr>
          <w:i/>
        </w:rPr>
        <w:t>Quality and outcomes framework</w:t>
      </w:r>
      <w:r>
        <w:t xml:space="preserve">. [Online]. Available at: </w:t>
      </w:r>
      <w:hyperlink r:id="rId75" w:history="1">
        <w:r>
          <w:rPr>
            <w:rStyle w:val="Hyperlink"/>
          </w:rPr>
          <w:t>http://www.wales.nhs.uk/sites3/page.cfm?orgid=480&amp;pid=6063</w:t>
        </w:r>
      </w:hyperlink>
      <w:r>
        <w:t xml:space="preserve"> [Accessed 6</w:t>
      </w:r>
      <w:r>
        <w:rPr>
          <w:vertAlign w:val="superscript"/>
        </w:rPr>
        <w:t xml:space="preserve">th </w:t>
      </w:r>
      <w:r>
        <w:t xml:space="preserve">Jan 2011]. </w:t>
      </w:r>
    </w:p>
    <w:p w:rsidR="005904D8" w:rsidRDefault="005904D8" w:rsidP="005904D8">
      <w:pPr>
        <w:jc w:val="left"/>
      </w:pPr>
      <w:r>
        <w:t xml:space="preserve">NHS Wales. (2009). </w:t>
      </w:r>
      <w:r>
        <w:rPr>
          <w:i/>
        </w:rPr>
        <w:t>Patient Episode Database for Wales</w:t>
      </w:r>
      <w:r>
        <w:t xml:space="preserve">. [Online]. Available at: </w:t>
      </w:r>
      <w:hyperlink r:id="rId76" w:history="1">
        <w:r>
          <w:rPr>
            <w:rStyle w:val="Hyperlink"/>
          </w:rPr>
          <w:t>http://www.infoandstats.wales.nhs.uk/page.cfm?orgid=869&amp;pid=40977</w:t>
        </w:r>
      </w:hyperlink>
      <w:r>
        <w:t xml:space="preserve"> . [Accessed 17</w:t>
      </w:r>
      <w:r>
        <w:rPr>
          <w:vertAlign w:val="superscript"/>
        </w:rPr>
        <w:t xml:space="preserve">th </w:t>
      </w:r>
      <w:r>
        <w:t xml:space="preserve">Jan 2011]. </w:t>
      </w:r>
    </w:p>
    <w:p w:rsidR="005904D8" w:rsidRDefault="005904D8" w:rsidP="005904D8">
      <w:pPr>
        <w:jc w:val="left"/>
      </w:pPr>
      <w:r>
        <w:t xml:space="preserve">Office for National Statistics. (2011). </w:t>
      </w:r>
      <w:r>
        <w:rPr>
          <w:i/>
        </w:rPr>
        <w:t>Neighbourhood statistics</w:t>
      </w:r>
      <w:r>
        <w:t xml:space="preserve">. [Online]. Available at: </w:t>
      </w:r>
      <w:hyperlink r:id="rId77" w:history="1">
        <w:r>
          <w:rPr>
            <w:rStyle w:val="Hyperlink"/>
          </w:rPr>
          <w:t>http://www.neighbourhood.statistics.gov.uk/dissemination/</w:t>
        </w:r>
      </w:hyperlink>
      <w:r>
        <w:t xml:space="preserve">  [Accessed 26</w:t>
      </w:r>
      <w:r>
        <w:rPr>
          <w:vertAlign w:val="superscript"/>
        </w:rPr>
        <w:t>th</w:t>
      </w:r>
      <w:r>
        <w:t xml:space="preserve"> Jan 2011]. </w:t>
      </w:r>
    </w:p>
    <w:p w:rsidR="005904D8" w:rsidRDefault="005904D8" w:rsidP="005904D8">
      <w:pPr>
        <w:jc w:val="left"/>
      </w:pPr>
      <w:r>
        <w:t xml:space="preserve">Office for National Statistics. (2008). </w:t>
      </w:r>
      <w:r>
        <w:rPr>
          <w:i/>
        </w:rPr>
        <w:t>Super output areas. Frequently asked questions.</w:t>
      </w:r>
      <w:r>
        <w:t xml:space="preserve"> [Online]. Available at: </w:t>
      </w:r>
      <w:hyperlink r:id="rId78" w:history="1">
        <w:r>
          <w:rPr>
            <w:rStyle w:val="Hyperlink"/>
          </w:rPr>
          <w:t>http://www.neighbourhood.statistics.gov.uk/dissemination/Info.do?page=aboutneighbourhood/geography/superoutputareas/soafaq/soa-faq.htm</w:t>
        </w:r>
      </w:hyperlink>
      <w:r>
        <w:t xml:space="preserve">  [Accessed 5</w:t>
      </w:r>
      <w:r>
        <w:rPr>
          <w:vertAlign w:val="superscript"/>
        </w:rPr>
        <w:t>th</w:t>
      </w:r>
      <w:r>
        <w:t xml:space="preserve"> Dec 2010]</w:t>
      </w:r>
    </w:p>
    <w:p w:rsidR="005904D8" w:rsidRDefault="005904D8" w:rsidP="005904D8">
      <w:pPr>
        <w:jc w:val="left"/>
      </w:pPr>
      <w:r>
        <w:t>Protheroe A. (Date unknown). Audit of day case cataract surgery January to July 2010. Merthyr Tydfil: Cwm Taf Health Board.</w:t>
      </w:r>
    </w:p>
    <w:p w:rsidR="005904D8" w:rsidRDefault="005904D8" w:rsidP="005904D8">
      <w:pPr>
        <w:jc w:val="left"/>
      </w:pPr>
      <w:r>
        <w:t xml:space="preserve">Public Health Wales. (2011). </w:t>
      </w:r>
      <w:r>
        <w:rPr>
          <w:i/>
        </w:rPr>
        <w:t>Prevalence of chronic conditions in Wales from the Quality and outcomes framework</w:t>
      </w:r>
      <w:r>
        <w:t xml:space="preserve">. [Online]. Available at: </w:t>
      </w:r>
      <w:hyperlink r:id="rId79" w:history="1">
        <w:r>
          <w:rPr>
            <w:rStyle w:val="Hyperlink"/>
          </w:rPr>
          <w:t>http://www.publichealthwales.wales.nhs.uk</w:t>
        </w:r>
      </w:hyperlink>
      <w:r>
        <w:t>. [Accessed 25</w:t>
      </w:r>
      <w:r>
        <w:rPr>
          <w:vertAlign w:val="superscript"/>
        </w:rPr>
        <w:t>th</w:t>
      </w:r>
      <w:r>
        <w:t xml:space="preserve"> May 2011]</w:t>
      </w:r>
    </w:p>
    <w:p w:rsidR="00525017" w:rsidRDefault="00525017" w:rsidP="005904D8">
      <w:pPr>
        <w:jc w:val="left"/>
      </w:pPr>
      <w:r>
        <w:t xml:space="preserve">Public Health Wales Observatory. (2009). </w:t>
      </w:r>
      <w:r w:rsidRPr="00525017">
        <w:rPr>
          <w:i/>
        </w:rPr>
        <w:t>Cwm Taf Demography Profile</w:t>
      </w:r>
      <w:r>
        <w:t xml:space="preserve">. [Online]. Available at: </w:t>
      </w:r>
      <w:hyperlink r:id="rId80" w:history="1">
        <w:r w:rsidRPr="005C7CC0">
          <w:rPr>
            <w:rStyle w:val="Hyperlink"/>
          </w:rPr>
          <w:t>http://www.wales.nhs.uk/sitesplus/922/page/49937</w:t>
        </w:r>
      </w:hyperlink>
      <w:r>
        <w:t xml:space="preserve"> [Accessed 25</w:t>
      </w:r>
      <w:r>
        <w:rPr>
          <w:vertAlign w:val="superscript"/>
        </w:rPr>
        <w:t>th</w:t>
      </w:r>
      <w:r>
        <w:t xml:space="preserve"> Nov 2010].</w:t>
      </w:r>
    </w:p>
    <w:p w:rsidR="005904D8" w:rsidRDefault="005904D8" w:rsidP="005904D8">
      <w:pPr>
        <w:jc w:val="left"/>
      </w:pPr>
      <w:r>
        <w:t xml:space="preserve">RNIB Cymru. (2010). </w:t>
      </w:r>
      <w:r>
        <w:rPr>
          <w:i/>
        </w:rPr>
        <w:t>Eye Health Bulletin</w:t>
      </w:r>
      <w:r w:rsidR="00525017">
        <w:rPr>
          <w:i/>
        </w:rPr>
        <w:t>.</w:t>
      </w:r>
      <w:r>
        <w:t xml:space="preserve"> November 2010. </w:t>
      </w:r>
      <w:smartTag w:uri="urn:schemas-microsoft-com:office:smarttags" w:element="place">
        <w:smartTag w:uri="urn:schemas-microsoft-com:office:smarttags" w:element="City">
          <w:r>
            <w:t>Cardiff</w:t>
          </w:r>
        </w:smartTag>
      </w:smartTag>
      <w:r>
        <w:t xml:space="preserve">: RNIB Cymru. </w:t>
      </w:r>
    </w:p>
    <w:p w:rsidR="005904D8" w:rsidRDefault="005904D8" w:rsidP="005904D8">
      <w:pPr>
        <w:jc w:val="left"/>
      </w:pPr>
      <w:r>
        <w:t xml:space="preserve">Royal National Institute </w:t>
      </w:r>
      <w:r w:rsidR="00131394">
        <w:t xml:space="preserve">of </w:t>
      </w:r>
      <w:r>
        <w:t>Blind</w:t>
      </w:r>
      <w:r w:rsidR="00131394">
        <w:t xml:space="preserve"> People</w:t>
      </w:r>
      <w:r>
        <w:t>. (2010).</w:t>
      </w:r>
      <w:r>
        <w:rPr>
          <w:i/>
        </w:rPr>
        <w:t xml:space="preserve"> Vision criteria for registration.</w:t>
      </w:r>
      <w:r>
        <w:t xml:space="preserve"> [Online]. Available at: </w:t>
      </w:r>
      <w:hyperlink r:id="rId81" w:history="1">
        <w:r>
          <w:rPr>
            <w:rStyle w:val="Hyperlink"/>
          </w:rPr>
          <w:t>http://www.rnib.org.uk/livingwithsightloss/registeringsightloss/Pages/vision_criteria.aspx</w:t>
        </w:r>
      </w:hyperlink>
      <w:r>
        <w:t xml:space="preserve"> [Accessed 5</w:t>
      </w:r>
      <w:r>
        <w:rPr>
          <w:vertAlign w:val="superscript"/>
        </w:rPr>
        <w:t>th</w:t>
      </w:r>
      <w:r>
        <w:t xml:space="preserve"> January 2011].</w:t>
      </w:r>
    </w:p>
    <w:p w:rsidR="005904D8" w:rsidRDefault="005904D8" w:rsidP="005904D8">
      <w:pPr>
        <w:jc w:val="left"/>
      </w:pPr>
      <w:r>
        <w:t xml:space="preserve">Royal College of Ophthalmologists. (2007). </w:t>
      </w:r>
      <w:r>
        <w:rPr>
          <w:i/>
        </w:rPr>
        <w:t>Commissioning contemporary AMD services. A guide for commissioners and clinicians</w:t>
      </w:r>
      <w:r>
        <w:t xml:space="preserve">. London: RCO. Available at: </w:t>
      </w:r>
      <w:hyperlink r:id="rId82" w:history="1">
        <w:r>
          <w:rPr>
            <w:rStyle w:val="Hyperlink"/>
          </w:rPr>
          <w:t>www.rcophth.ac.uk/core/core_picker/download.asp?id=181</w:t>
        </w:r>
      </w:hyperlink>
      <w:r>
        <w:t xml:space="preserve">  [Accessed 16</w:t>
      </w:r>
      <w:r>
        <w:rPr>
          <w:vertAlign w:val="superscript"/>
        </w:rPr>
        <w:t>th</w:t>
      </w:r>
      <w:r>
        <w:t xml:space="preserve"> May 2011]. </w:t>
      </w:r>
    </w:p>
    <w:tbl>
      <w:tblPr>
        <w:tblW w:w="5000" w:type="pct"/>
        <w:tblCellSpacing w:w="15" w:type="dxa"/>
        <w:tblCellMar>
          <w:left w:w="0" w:type="dxa"/>
          <w:right w:w="0" w:type="dxa"/>
        </w:tblCellMar>
        <w:tblLook w:val="04A0"/>
      </w:tblPr>
      <w:tblGrid>
        <w:gridCol w:w="9175"/>
      </w:tblGrid>
      <w:tr w:rsidR="005904D8" w:rsidTr="00131394">
        <w:trPr>
          <w:tblCellSpacing w:w="15" w:type="dxa"/>
        </w:trPr>
        <w:tc>
          <w:tcPr>
            <w:tcW w:w="0" w:type="auto"/>
            <w:tcMar>
              <w:top w:w="15" w:type="dxa"/>
              <w:left w:w="15" w:type="dxa"/>
              <w:bottom w:w="15" w:type="dxa"/>
              <w:right w:w="15" w:type="dxa"/>
            </w:tcMar>
            <w:vAlign w:val="center"/>
            <w:hideMark/>
          </w:tcPr>
          <w:p w:rsidR="005904D8" w:rsidRDefault="005904D8" w:rsidP="00131394">
            <w:pPr>
              <w:jc w:val="left"/>
            </w:pPr>
            <w:r>
              <w:t xml:space="preserve">Royal College of Ophthalmologists. (2005). Royal College of Ophthalmologists guidelines: screening for diabetic retinopathy. [Online]. </w:t>
            </w:r>
            <w:hyperlink r:id="rId83" w:history="1">
              <w:r>
                <w:rPr>
                  <w:rStyle w:val="Hyperlink"/>
                </w:rPr>
                <w:t>http://www.mrcophth.com/focus1/Screening%20for%20Diabetic%20Retinopathy.htm</w:t>
              </w:r>
            </w:hyperlink>
            <w:r>
              <w:t xml:space="preserve">  [Accessed 1</w:t>
            </w:r>
            <w:r>
              <w:rPr>
                <w:vertAlign w:val="superscript"/>
              </w:rPr>
              <w:t>st</w:t>
            </w:r>
            <w:r>
              <w:t xml:space="preserve"> Jun 2011]</w:t>
            </w:r>
          </w:p>
        </w:tc>
      </w:tr>
      <w:tr w:rsidR="005904D8" w:rsidTr="00131394">
        <w:trPr>
          <w:tblCellSpacing w:w="15" w:type="dxa"/>
        </w:trPr>
        <w:tc>
          <w:tcPr>
            <w:tcW w:w="0" w:type="auto"/>
            <w:tcMar>
              <w:top w:w="15" w:type="dxa"/>
              <w:left w:w="15" w:type="dxa"/>
              <w:bottom w:w="15" w:type="dxa"/>
              <w:right w:w="15" w:type="dxa"/>
            </w:tcMar>
            <w:vAlign w:val="center"/>
            <w:hideMark/>
          </w:tcPr>
          <w:p w:rsidR="005904D8" w:rsidRDefault="005904D8" w:rsidP="00131394">
            <w:pPr>
              <w:spacing w:before="0"/>
              <w:jc w:val="left"/>
              <w:rPr>
                <w:rFonts w:ascii="Times New Roman" w:hAnsi="Times New Roman"/>
                <w:sz w:val="20"/>
                <w:lang w:eastAsia="en-GB"/>
              </w:rPr>
            </w:pPr>
          </w:p>
        </w:tc>
      </w:tr>
    </w:tbl>
    <w:p w:rsidR="006E0BC7" w:rsidRPr="006E0BC7" w:rsidRDefault="006E0BC7" w:rsidP="006E0BC7">
      <w:pPr>
        <w:pStyle w:val="NormalWeb"/>
        <w:shd w:val="clear" w:color="auto" w:fill="FFFFFF"/>
        <w:rPr>
          <w:rFonts w:ascii="Verdana" w:hAnsi="Verdana" w:cs="Arial"/>
          <w:color w:val="000000" w:themeColor="text1"/>
        </w:rPr>
      </w:pPr>
      <w:r w:rsidRPr="006E0BC7">
        <w:rPr>
          <w:rFonts w:ascii="Verdana" w:hAnsi="Verdana" w:cs="Arial"/>
          <w:color w:val="000000" w:themeColor="text1"/>
        </w:rPr>
        <w:t>Rudnicka AR</w:t>
      </w:r>
      <w:r>
        <w:rPr>
          <w:rFonts w:ascii="Verdana" w:hAnsi="Verdana" w:cs="Arial"/>
          <w:color w:val="000000" w:themeColor="text1"/>
        </w:rPr>
        <w:t xml:space="preserve"> et al. (2006)</w:t>
      </w:r>
      <w:r w:rsidRPr="006E0BC7">
        <w:rPr>
          <w:rFonts w:ascii="Verdana" w:hAnsi="Verdana" w:cs="Arial"/>
          <w:color w:val="000000" w:themeColor="text1"/>
        </w:rPr>
        <w:t xml:space="preserve">. Variations in Primary Open-Angle Glaucoma Prevalence by Age, Gender, and Race: A Bayesian Meta-Analysis. </w:t>
      </w:r>
      <w:r w:rsidRPr="006E0BC7">
        <w:rPr>
          <w:rFonts w:ascii="Verdana" w:hAnsi="Verdana"/>
          <w:i/>
          <w:iCs/>
        </w:rPr>
        <w:t>Investig Ophthalmol Vis Sci</w:t>
      </w:r>
      <w:r w:rsidRPr="006E0BC7">
        <w:rPr>
          <w:rFonts w:ascii="Verdana" w:hAnsi="Verdana" w:cs="Arial"/>
          <w:color w:val="000000" w:themeColor="text1"/>
        </w:rPr>
        <w:t xml:space="preserve"> 47:4254-4261 </w:t>
      </w:r>
      <w:r w:rsidRPr="006E0BC7">
        <w:rPr>
          <w:rFonts w:ascii="Verdana" w:hAnsi="Verdana"/>
          <w:color w:val="000000" w:themeColor="text1"/>
        </w:rPr>
        <w:t>[Cited in NEHEM 2010]</w:t>
      </w:r>
    </w:p>
    <w:p w:rsidR="005904D8" w:rsidRDefault="005904D8" w:rsidP="005904D8">
      <w:pPr>
        <w:rPr>
          <w:rFonts w:cs="Arial"/>
          <w:color w:val="000000"/>
          <w:szCs w:val="24"/>
        </w:rPr>
      </w:pPr>
      <w:r>
        <w:rPr>
          <w:szCs w:val="24"/>
        </w:rPr>
        <w:t xml:space="preserve">Rughani S. (2010). </w:t>
      </w:r>
      <w:r>
        <w:rPr>
          <w:rFonts w:cs="Arial"/>
          <w:i/>
          <w:color w:val="000000"/>
          <w:szCs w:val="24"/>
        </w:rPr>
        <w:t>Ocular disease and systemic factors: A report for DH Health Inequalities National Support Team</w:t>
      </w:r>
      <w:r>
        <w:rPr>
          <w:rFonts w:cs="Arial"/>
          <w:color w:val="000000"/>
          <w:szCs w:val="24"/>
        </w:rPr>
        <w:t>. London: RNIB.</w:t>
      </w:r>
    </w:p>
    <w:p w:rsidR="00131394" w:rsidRDefault="005904D8" w:rsidP="00131394">
      <w:r>
        <w:t>Vision 2020. (2010</w:t>
      </w:r>
      <w:r w:rsidR="00131394">
        <w:t>a</w:t>
      </w:r>
      <w:r>
        <w:t xml:space="preserve">). </w:t>
      </w:r>
      <w:r>
        <w:rPr>
          <w:i/>
        </w:rPr>
        <w:t>What is Vision 2020?</w:t>
      </w:r>
      <w:r>
        <w:t xml:space="preserve"> [Online]. Available at: </w:t>
      </w:r>
      <w:hyperlink r:id="rId84" w:history="1">
        <w:r>
          <w:rPr>
            <w:rStyle w:val="Hyperlink"/>
          </w:rPr>
          <w:t>http://www.vision2020.org/main.cfm?type=WHATVISION2020</w:t>
        </w:r>
      </w:hyperlink>
      <w:r>
        <w:t xml:space="preserve"> . [Accessed 23</w:t>
      </w:r>
      <w:r>
        <w:rPr>
          <w:vertAlign w:val="superscript"/>
        </w:rPr>
        <w:t>rd</w:t>
      </w:r>
      <w:r>
        <w:t xml:space="preserve"> Nov 2010].</w:t>
      </w:r>
    </w:p>
    <w:p w:rsidR="00131394" w:rsidRDefault="00131394" w:rsidP="00131394">
      <w:r>
        <w:t xml:space="preserve">Vision 2020. (2010b). </w:t>
      </w:r>
      <w:r>
        <w:rPr>
          <w:i/>
        </w:rPr>
        <w:t xml:space="preserve">Wales Vision Strategy Implementation Plan 2010-2014. </w:t>
      </w:r>
      <w:r>
        <w:t xml:space="preserve">[Online]. Available at:                                 </w:t>
      </w:r>
    </w:p>
    <w:p w:rsidR="00131394" w:rsidRPr="00131394" w:rsidRDefault="001060C2" w:rsidP="00131394">
      <w:pPr>
        <w:spacing w:before="0"/>
      </w:pPr>
      <w:hyperlink r:id="rId85" w:history="1">
        <w:r w:rsidR="00131394" w:rsidRPr="005C7CC0">
          <w:rPr>
            <w:rStyle w:val="Hyperlink"/>
            <w:rFonts w:cs="Arial"/>
            <w:szCs w:val="24"/>
          </w:rPr>
          <w:t>http://www.wcb-ccd.org.uk/files/low_vision_implementation.doc</w:t>
        </w:r>
      </w:hyperlink>
      <w:r w:rsidR="00131394">
        <w:rPr>
          <w:rFonts w:cs="Arial"/>
          <w:color w:val="000000"/>
          <w:szCs w:val="24"/>
        </w:rPr>
        <w:t xml:space="preserve">. [Accessed </w:t>
      </w:r>
      <w:r w:rsidR="00131394">
        <w:t>23</w:t>
      </w:r>
      <w:r w:rsidR="00131394">
        <w:rPr>
          <w:vertAlign w:val="superscript"/>
        </w:rPr>
        <w:t>rd</w:t>
      </w:r>
      <w:r w:rsidR="00131394">
        <w:t xml:space="preserve"> Nov 2010].</w:t>
      </w:r>
    </w:p>
    <w:p w:rsidR="005904D8" w:rsidRDefault="005904D8" w:rsidP="005904D8">
      <w:pPr>
        <w:jc w:val="left"/>
      </w:pPr>
      <w:r>
        <w:t xml:space="preserve">Welsh Assembly Government.(2010a). </w:t>
      </w:r>
      <w:r>
        <w:rPr>
          <w:i/>
        </w:rPr>
        <w:t>Stats Wales</w:t>
      </w:r>
      <w:r>
        <w:t xml:space="preserve">. [Online]. Available at: </w:t>
      </w:r>
      <w:hyperlink r:id="rId86" w:history="1">
        <w:r>
          <w:rPr>
            <w:rStyle w:val="Hyperlink"/>
          </w:rPr>
          <w:t>http://statswales.wales.gov.uk/index.htm</w:t>
        </w:r>
      </w:hyperlink>
      <w:r>
        <w:t xml:space="preserve"> [Accessed 20</w:t>
      </w:r>
      <w:r>
        <w:rPr>
          <w:vertAlign w:val="superscript"/>
        </w:rPr>
        <w:t>th</w:t>
      </w:r>
      <w:r>
        <w:t xml:space="preserve"> Nov 2011]</w:t>
      </w:r>
    </w:p>
    <w:p w:rsidR="005904D8" w:rsidRDefault="005904D8" w:rsidP="005904D8">
      <w:pPr>
        <w:jc w:val="left"/>
      </w:pPr>
      <w:r>
        <w:t xml:space="preserve">Welsh Assembly Government. (2010b). </w:t>
      </w:r>
      <w:r>
        <w:rPr>
          <w:i/>
        </w:rPr>
        <w:t>Welsh Health Survey</w:t>
      </w:r>
      <w:r>
        <w:t xml:space="preserve"> 2009. [Online]. Available at: </w:t>
      </w:r>
      <w:hyperlink r:id="rId87" w:history="1">
        <w:r>
          <w:rPr>
            <w:rStyle w:val="Hyperlink"/>
          </w:rPr>
          <w:t>http://wales.gov.uk/topics/statistics/theme/health/health-survey/?lang=en</w:t>
        </w:r>
      </w:hyperlink>
      <w:r>
        <w:t xml:space="preserve"> [Accessed 6</w:t>
      </w:r>
      <w:r>
        <w:rPr>
          <w:vertAlign w:val="superscript"/>
        </w:rPr>
        <w:t xml:space="preserve">th </w:t>
      </w:r>
      <w:r>
        <w:t>Jan 2011].</w:t>
      </w:r>
    </w:p>
    <w:p w:rsidR="005904D8" w:rsidRDefault="005904D8" w:rsidP="005904D8">
      <w:pPr>
        <w:jc w:val="left"/>
      </w:pPr>
      <w:r>
        <w:t xml:space="preserve">Welsh Assembly Government. (2010c). </w:t>
      </w:r>
      <w:r>
        <w:rPr>
          <w:i/>
        </w:rPr>
        <w:t xml:space="preserve">Welsh Health Survey 2008+2009 local authority / health board results. </w:t>
      </w:r>
      <w:r>
        <w:t xml:space="preserve">[Online]. Available at: </w:t>
      </w:r>
      <w:hyperlink r:id="rId88" w:history="1">
        <w:r>
          <w:rPr>
            <w:rStyle w:val="Hyperlink"/>
          </w:rPr>
          <w:t>http://wales.gov.uk/docs/statistics/2010/100915sb762010en.pdf</w:t>
        </w:r>
      </w:hyperlink>
      <w:r>
        <w:t xml:space="preserve">  [Accessed 2</w:t>
      </w:r>
      <w:r>
        <w:rPr>
          <w:vertAlign w:val="superscript"/>
        </w:rPr>
        <w:t>nd</w:t>
      </w:r>
      <w:r>
        <w:t xml:space="preserve"> Jun 2011].</w:t>
      </w:r>
    </w:p>
    <w:p w:rsidR="005904D8" w:rsidRDefault="005904D8" w:rsidP="005904D8">
      <w:pPr>
        <w:jc w:val="left"/>
      </w:pPr>
      <w:r>
        <w:t xml:space="preserve">Welsh Assembly Government. (2009). </w:t>
      </w:r>
      <w:r>
        <w:rPr>
          <w:i/>
        </w:rPr>
        <w:t>Screening for diabetic retinopathy</w:t>
      </w:r>
      <w:r>
        <w:t xml:space="preserve">. [Online]. Available at: </w:t>
      </w:r>
      <w:hyperlink r:id="rId89" w:history="1">
        <w:r>
          <w:rPr>
            <w:rStyle w:val="Hyperlink"/>
          </w:rPr>
          <w:t>http://www.wales.nhs.uk/sites3/page.cfm?orgid=562&amp;pid=12776</w:t>
        </w:r>
      </w:hyperlink>
      <w:r>
        <w:t xml:space="preserve"> . [Accessed 20</w:t>
      </w:r>
      <w:r>
        <w:rPr>
          <w:vertAlign w:val="superscript"/>
        </w:rPr>
        <w:t>th</w:t>
      </w:r>
      <w:r>
        <w:t xml:space="preserve"> Nov 2010].</w:t>
      </w:r>
    </w:p>
    <w:p w:rsidR="005904D8" w:rsidRDefault="005904D8" w:rsidP="005904D8">
      <w:pPr>
        <w:autoSpaceDE w:val="0"/>
        <w:autoSpaceDN w:val="0"/>
        <w:adjustRightInd w:val="0"/>
        <w:jc w:val="left"/>
      </w:pPr>
      <w:r>
        <w:t xml:space="preserve">Welsh Assembly Government. (2005). </w:t>
      </w:r>
      <w:r>
        <w:rPr>
          <w:i/>
        </w:rPr>
        <w:t>WIMD 2005 summary report</w:t>
      </w:r>
      <w:r>
        <w:t xml:space="preserve">. [Online]. Available at </w:t>
      </w:r>
      <w:hyperlink r:id="rId90" w:history="1">
        <w:r>
          <w:rPr>
            <w:rStyle w:val="Hyperlink"/>
          </w:rPr>
          <w:t>http://wales.gov.uk/docrepos/40382/40382313/statistics/wimd2005/403821101/wimd2005-report-r-e.pdf?lang=en</w:t>
        </w:r>
      </w:hyperlink>
      <w:r>
        <w:t xml:space="preserve">  [Accessed 5</w:t>
      </w:r>
      <w:r>
        <w:rPr>
          <w:vertAlign w:val="superscript"/>
        </w:rPr>
        <w:t>th</w:t>
      </w:r>
      <w:r>
        <w:t xml:space="preserve"> Dec 2010].</w:t>
      </w:r>
    </w:p>
    <w:p w:rsidR="00250A43" w:rsidRPr="00250A43" w:rsidRDefault="00250A43" w:rsidP="005904D8">
      <w:pPr>
        <w:jc w:val="left"/>
      </w:pPr>
    </w:p>
    <w:sectPr w:rsidR="00250A43" w:rsidRPr="00250A43" w:rsidSect="00EA1BE6">
      <w:type w:val="continuous"/>
      <w:pgSz w:w="11909" w:h="16834" w:code="9"/>
      <w:pgMar w:top="1440" w:right="1412" w:bottom="1440" w:left="1412" w:header="720" w:footer="720" w:gutter="0"/>
      <w:cols w:space="720"/>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1457" w:rsidRDefault="00CF1457">
      <w:r>
        <w:separator/>
      </w:r>
    </w:p>
  </w:endnote>
  <w:endnote w:type="continuationSeparator" w:id="0">
    <w:p w:rsidR="00CF1457" w:rsidRDefault="00CF14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CF1457" w:rsidRPr="00DD4797">
      <w:tc>
        <w:tcPr>
          <w:tcW w:w="3100" w:type="dxa"/>
        </w:tcPr>
        <w:p w:rsidR="00CF1457" w:rsidRPr="00DD4797" w:rsidRDefault="00CF1457" w:rsidP="004C2741">
          <w:pPr>
            <w:pStyle w:val="Footer"/>
            <w:tabs>
              <w:tab w:val="clear" w:pos="4320"/>
              <w:tab w:val="clear" w:pos="8640"/>
              <w:tab w:val="center" w:pos="4500"/>
              <w:tab w:val="right" w:pos="9090"/>
            </w:tabs>
            <w:jc w:val="center"/>
            <w:rPr>
              <w:rFonts w:ascii="Verdana" w:hAnsi="Verdana"/>
              <w:b/>
            </w:rPr>
          </w:pPr>
          <w:r w:rsidRPr="00DD4797">
            <w:rPr>
              <w:rFonts w:ascii="Verdana" w:hAnsi="Verdana"/>
              <w:b/>
            </w:rPr>
            <w:t xml:space="preserve">Date: </w:t>
          </w:r>
          <w:r>
            <w:rPr>
              <w:rFonts w:ascii="Verdana" w:hAnsi="Verdana"/>
              <w:b/>
            </w:rPr>
            <w:t>17 June 2011</w:t>
          </w:r>
        </w:p>
      </w:tc>
      <w:tc>
        <w:tcPr>
          <w:tcW w:w="3100" w:type="dxa"/>
        </w:tcPr>
        <w:p w:rsidR="00CF1457" w:rsidRPr="00DD4797" w:rsidRDefault="00CF1457" w:rsidP="008C217D">
          <w:pPr>
            <w:pStyle w:val="Footer"/>
            <w:tabs>
              <w:tab w:val="clear" w:pos="4320"/>
              <w:tab w:val="clear" w:pos="8640"/>
              <w:tab w:val="center" w:pos="4500"/>
              <w:tab w:val="right" w:pos="9090"/>
            </w:tabs>
            <w:jc w:val="center"/>
            <w:rPr>
              <w:rFonts w:ascii="Verdana" w:hAnsi="Verdana"/>
              <w:b/>
            </w:rPr>
          </w:pPr>
          <w:r w:rsidRPr="00DD4797">
            <w:rPr>
              <w:rFonts w:ascii="Verdana" w:hAnsi="Verdana"/>
              <w:b/>
            </w:rPr>
            <w:t>Version:</w:t>
          </w:r>
          <w:r>
            <w:rPr>
              <w:rFonts w:ascii="Verdana" w:hAnsi="Verdana"/>
              <w:b/>
            </w:rPr>
            <w:t xml:space="preserve"> 1 (final)</w:t>
          </w:r>
        </w:p>
      </w:tc>
      <w:tc>
        <w:tcPr>
          <w:tcW w:w="3101" w:type="dxa"/>
        </w:tcPr>
        <w:p w:rsidR="00CF1457" w:rsidRPr="00DD4797" w:rsidRDefault="00CF1457" w:rsidP="00DD4797">
          <w:pPr>
            <w:pStyle w:val="Footer"/>
            <w:tabs>
              <w:tab w:val="clear" w:pos="4320"/>
              <w:tab w:val="clear" w:pos="8640"/>
              <w:tab w:val="center" w:pos="4500"/>
              <w:tab w:val="right" w:pos="9090"/>
            </w:tabs>
            <w:jc w:val="center"/>
            <w:rPr>
              <w:rFonts w:ascii="Verdana" w:hAnsi="Verdana"/>
              <w:b/>
            </w:rPr>
          </w:pPr>
          <w:r w:rsidRPr="00DD4797">
            <w:rPr>
              <w:rFonts w:ascii="Verdana" w:hAnsi="Verdana"/>
              <w:b/>
            </w:rPr>
            <w:t xml:space="preserve">Page: </w:t>
          </w:r>
          <w:r w:rsidR="001060C2" w:rsidRPr="00DD4797">
            <w:rPr>
              <w:rStyle w:val="PageNumber"/>
              <w:rFonts w:ascii="Verdana" w:hAnsi="Verdana"/>
            </w:rPr>
            <w:fldChar w:fldCharType="begin"/>
          </w:r>
          <w:r w:rsidRPr="00DD4797">
            <w:rPr>
              <w:rStyle w:val="PageNumber"/>
              <w:rFonts w:ascii="Verdana" w:hAnsi="Verdana"/>
            </w:rPr>
            <w:instrText xml:space="preserve"> PAGE </w:instrText>
          </w:r>
          <w:r w:rsidR="001060C2" w:rsidRPr="00DD4797">
            <w:rPr>
              <w:rStyle w:val="PageNumber"/>
              <w:rFonts w:ascii="Verdana" w:hAnsi="Verdana"/>
            </w:rPr>
            <w:fldChar w:fldCharType="separate"/>
          </w:r>
          <w:r w:rsidR="00C108DF">
            <w:rPr>
              <w:rStyle w:val="PageNumber"/>
              <w:rFonts w:ascii="Verdana" w:hAnsi="Verdana"/>
              <w:noProof/>
            </w:rPr>
            <w:t>81</w:t>
          </w:r>
          <w:r w:rsidR="001060C2" w:rsidRPr="00DD4797">
            <w:rPr>
              <w:rStyle w:val="PageNumber"/>
              <w:rFonts w:ascii="Verdana" w:hAnsi="Verdana"/>
            </w:rPr>
            <w:fldChar w:fldCharType="end"/>
          </w:r>
          <w:r w:rsidRPr="00DD4797">
            <w:rPr>
              <w:rStyle w:val="PageNumber"/>
              <w:rFonts w:ascii="Verdana" w:hAnsi="Verdana"/>
            </w:rPr>
            <w:t xml:space="preserve"> of </w:t>
          </w:r>
          <w:r w:rsidR="001060C2" w:rsidRPr="00DD4797">
            <w:rPr>
              <w:rStyle w:val="PageNumber"/>
              <w:rFonts w:ascii="Verdana" w:hAnsi="Verdana"/>
            </w:rPr>
            <w:fldChar w:fldCharType="begin"/>
          </w:r>
          <w:r w:rsidRPr="00DD4797">
            <w:rPr>
              <w:rStyle w:val="PageNumber"/>
              <w:rFonts w:ascii="Verdana" w:hAnsi="Verdana"/>
            </w:rPr>
            <w:instrText xml:space="preserve"> NUMPAGES </w:instrText>
          </w:r>
          <w:r w:rsidR="001060C2" w:rsidRPr="00DD4797">
            <w:rPr>
              <w:rStyle w:val="PageNumber"/>
              <w:rFonts w:ascii="Verdana" w:hAnsi="Verdana"/>
            </w:rPr>
            <w:fldChar w:fldCharType="separate"/>
          </w:r>
          <w:r w:rsidR="00C108DF">
            <w:rPr>
              <w:rStyle w:val="PageNumber"/>
              <w:rFonts w:ascii="Verdana" w:hAnsi="Verdana"/>
              <w:noProof/>
            </w:rPr>
            <w:t>81</w:t>
          </w:r>
          <w:r w:rsidR="001060C2" w:rsidRPr="00DD4797">
            <w:rPr>
              <w:rStyle w:val="PageNumber"/>
              <w:rFonts w:ascii="Verdana" w:hAnsi="Verdana"/>
            </w:rPr>
            <w:fldChar w:fldCharType="end"/>
          </w:r>
        </w:p>
      </w:tc>
    </w:tr>
  </w:tbl>
  <w:p w:rsidR="00CF1457" w:rsidRDefault="00CF1457" w:rsidP="00304E0B">
    <w:pPr>
      <w:pStyle w:val="Footer"/>
      <w:tabs>
        <w:tab w:val="clear" w:pos="4320"/>
        <w:tab w:val="clear" w:pos="8640"/>
        <w:tab w:val="center" w:pos="4500"/>
        <w:tab w:val="right" w:pos="9090"/>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1457" w:rsidRDefault="00CF1457">
      <w:r>
        <w:separator/>
      </w:r>
    </w:p>
  </w:footnote>
  <w:footnote w:type="continuationSeparator" w:id="0">
    <w:p w:rsidR="00CF1457" w:rsidRDefault="00CF14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CF1457" w:rsidRPr="0021053E">
      <w:tc>
        <w:tcPr>
          <w:tcW w:w="4650" w:type="dxa"/>
        </w:tcPr>
        <w:p w:rsidR="00CF1457" w:rsidRPr="00DD4797" w:rsidRDefault="00CF1457">
          <w:pPr>
            <w:pStyle w:val="Header"/>
            <w:rPr>
              <w:rFonts w:ascii="Verdana" w:hAnsi="Verdana"/>
            </w:rPr>
          </w:pPr>
          <w:r w:rsidRPr="00DD4797">
            <w:rPr>
              <w:rFonts w:ascii="Verdana" w:hAnsi="Verdana"/>
            </w:rPr>
            <w:t>Public Health Wales</w:t>
          </w:r>
          <w:r>
            <w:rPr>
              <w:rFonts w:ascii="Verdana" w:hAnsi="Verdana"/>
            </w:rPr>
            <w:t xml:space="preserve"> Observatory</w:t>
          </w:r>
        </w:p>
      </w:tc>
      <w:tc>
        <w:tcPr>
          <w:tcW w:w="4651" w:type="dxa"/>
        </w:tcPr>
        <w:p w:rsidR="00CF1457" w:rsidRPr="00DD4797" w:rsidRDefault="00CF1457" w:rsidP="00DD4797">
          <w:pPr>
            <w:pStyle w:val="Header"/>
            <w:jc w:val="right"/>
            <w:rPr>
              <w:rFonts w:ascii="Verdana" w:hAnsi="Verdana"/>
            </w:rPr>
          </w:pPr>
          <w:r>
            <w:rPr>
              <w:rFonts w:ascii="Verdana" w:hAnsi="Verdana"/>
            </w:rPr>
            <w:t>Eye health equity profile</w:t>
          </w:r>
        </w:p>
      </w:tc>
    </w:tr>
  </w:tbl>
  <w:p w:rsidR="00CF1457" w:rsidRDefault="00CF145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nsid w:val="02DB4831"/>
    <w:multiLevelType w:val="hybridMultilevel"/>
    <w:tmpl w:val="74BCC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053D26A2"/>
    <w:multiLevelType w:val="hybridMultilevel"/>
    <w:tmpl w:val="A830DC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067038AA"/>
    <w:multiLevelType w:val="hybridMultilevel"/>
    <w:tmpl w:val="274CE700"/>
    <w:lvl w:ilvl="0" w:tplc="95B4C15C">
      <w:start w:val="1"/>
      <w:numFmt w:val="bullet"/>
      <w:lvlText w:val="•"/>
      <w:lvlJc w:val="left"/>
      <w:pPr>
        <w:tabs>
          <w:tab w:val="num" w:pos="720"/>
        </w:tabs>
        <w:ind w:left="720" w:hanging="360"/>
      </w:pPr>
      <w:rPr>
        <w:rFonts w:ascii="Verdana" w:hAnsi="Verdana" w:hint="default"/>
      </w:rPr>
    </w:lvl>
    <w:lvl w:ilvl="1" w:tplc="96CED892" w:tentative="1">
      <w:start w:val="1"/>
      <w:numFmt w:val="bullet"/>
      <w:lvlText w:val="•"/>
      <w:lvlJc w:val="left"/>
      <w:pPr>
        <w:tabs>
          <w:tab w:val="num" w:pos="1440"/>
        </w:tabs>
        <w:ind w:left="1440" w:hanging="360"/>
      </w:pPr>
      <w:rPr>
        <w:rFonts w:ascii="Verdana" w:hAnsi="Verdana" w:hint="default"/>
      </w:rPr>
    </w:lvl>
    <w:lvl w:ilvl="2" w:tplc="D39EFF92" w:tentative="1">
      <w:start w:val="1"/>
      <w:numFmt w:val="bullet"/>
      <w:lvlText w:val="•"/>
      <w:lvlJc w:val="left"/>
      <w:pPr>
        <w:tabs>
          <w:tab w:val="num" w:pos="2160"/>
        </w:tabs>
        <w:ind w:left="2160" w:hanging="360"/>
      </w:pPr>
      <w:rPr>
        <w:rFonts w:ascii="Verdana" w:hAnsi="Verdana" w:hint="default"/>
      </w:rPr>
    </w:lvl>
    <w:lvl w:ilvl="3" w:tplc="2D9E8752" w:tentative="1">
      <w:start w:val="1"/>
      <w:numFmt w:val="bullet"/>
      <w:lvlText w:val="•"/>
      <w:lvlJc w:val="left"/>
      <w:pPr>
        <w:tabs>
          <w:tab w:val="num" w:pos="2880"/>
        </w:tabs>
        <w:ind w:left="2880" w:hanging="360"/>
      </w:pPr>
      <w:rPr>
        <w:rFonts w:ascii="Verdana" w:hAnsi="Verdana" w:hint="default"/>
      </w:rPr>
    </w:lvl>
    <w:lvl w:ilvl="4" w:tplc="BA560682" w:tentative="1">
      <w:start w:val="1"/>
      <w:numFmt w:val="bullet"/>
      <w:lvlText w:val="•"/>
      <w:lvlJc w:val="left"/>
      <w:pPr>
        <w:tabs>
          <w:tab w:val="num" w:pos="3600"/>
        </w:tabs>
        <w:ind w:left="3600" w:hanging="360"/>
      </w:pPr>
      <w:rPr>
        <w:rFonts w:ascii="Verdana" w:hAnsi="Verdana" w:hint="default"/>
      </w:rPr>
    </w:lvl>
    <w:lvl w:ilvl="5" w:tplc="165E95D6" w:tentative="1">
      <w:start w:val="1"/>
      <w:numFmt w:val="bullet"/>
      <w:lvlText w:val="•"/>
      <w:lvlJc w:val="left"/>
      <w:pPr>
        <w:tabs>
          <w:tab w:val="num" w:pos="4320"/>
        </w:tabs>
        <w:ind w:left="4320" w:hanging="360"/>
      </w:pPr>
      <w:rPr>
        <w:rFonts w:ascii="Verdana" w:hAnsi="Verdana" w:hint="default"/>
      </w:rPr>
    </w:lvl>
    <w:lvl w:ilvl="6" w:tplc="C1186F36" w:tentative="1">
      <w:start w:val="1"/>
      <w:numFmt w:val="bullet"/>
      <w:lvlText w:val="•"/>
      <w:lvlJc w:val="left"/>
      <w:pPr>
        <w:tabs>
          <w:tab w:val="num" w:pos="5040"/>
        </w:tabs>
        <w:ind w:left="5040" w:hanging="360"/>
      </w:pPr>
      <w:rPr>
        <w:rFonts w:ascii="Verdana" w:hAnsi="Verdana" w:hint="default"/>
      </w:rPr>
    </w:lvl>
    <w:lvl w:ilvl="7" w:tplc="D6C49EB2" w:tentative="1">
      <w:start w:val="1"/>
      <w:numFmt w:val="bullet"/>
      <w:lvlText w:val="•"/>
      <w:lvlJc w:val="left"/>
      <w:pPr>
        <w:tabs>
          <w:tab w:val="num" w:pos="5760"/>
        </w:tabs>
        <w:ind w:left="5760" w:hanging="360"/>
      </w:pPr>
      <w:rPr>
        <w:rFonts w:ascii="Verdana" w:hAnsi="Verdana" w:hint="default"/>
      </w:rPr>
    </w:lvl>
    <w:lvl w:ilvl="8" w:tplc="940AD50A" w:tentative="1">
      <w:start w:val="1"/>
      <w:numFmt w:val="bullet"/>
      <w:lvlText w:val="•"/>
      <w:lvlJc w:val="left"/>
      <w:pPr>
        <w:tabs>
          <w:tab w:val="num" w:pos="6480"/>
        </w:tabs>
        <w:ind w:left="6480" w:hanging="360"/>
      </w:pPr>
      <w:rPr>
        <w:rFonts w:ascii="Verdana" w:hAnsi="Verdana" w:hint="default"/>
      </w:rPr>
    </w:lvl>
  </w:abstractNum>
  <w:abstractNum w:abstractNumId="5">
    <w:nsid w:val="0A9109B4"/>
    <w:multiLevelType w:val="hybridMultilevel"/>
    <w:tmpl w:val="F97A3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D3E32F0"/>
    <w:multiLevelType w:val="multilevel"/>
    <w:tmpl w:val="9C38A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E797196"/>
    <w:multiLevelType w:val="hybridMultilevel"/>
    <w:tmpl w:val="9580CF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106815BF"/>
    <w:multiLevelType w:val="hybridMultilevel"/>
    <w:tmpl w:val="1C5C7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3902E98"/>
    <w:multiLevelType w:val="hybridMultilevel"/>
    <w:tmpl w:val="D5B8A5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14215AE2"/>
    <w:multiLevelType w:val="hybridMultilevel"/>
    <w:tmpl w:val="B44C49AC"/>
    <w:lvl w:ilvl="0" w:tplc="08090001">
      <w:start w:val="1"/>
      <w:numFmt w:val="bullet"/>
      <w:lvlText w:val=""/>
      <w:lvlJc w:val="left"/>
      <w:pPr>
        <w:tabs>
          <w:tab w:val="num" w:pos="1344"/>
        </w:tabs>
        <w:ind w:left="1344" w:hanging="360"/>
      </w:pPr>
      <w:rPr>
        <w:rFonts w:ascii="Symbol" w:hAnsi="Symbol" w:hint="default"/>
      </w:rPr>
    </w:lvl>
    <w:lvl w:ilvl="1" w:tplc="08090003" w:tentative="1">
      <w:start w:val="1"/>
      <w:numFmt w:val="bullet"/>
      <w:lvlText w:val="o"/>
      <w:lvlJc w:val="left"/>
      <w:pPr>
        <w:tabs>
          <w:tab w:val="num" w:pos="2064"/>
        </w:tabs>
        <w:ind w:left="2064" w:hanging="360"/>
      </w:pPr>
      <w:rPr>
        <w:rFonts w:ascii="Courier New" w:hAnsi="Courier New" w:cs="Courier New" w:hint="default"/>
      </w:rPr>
    </w:lvl>
    <w:lvl w:ilvl="2" w:tplc="08090005" w:tentative="1">
      <w:start w:val="1"/>
      <w:numFmt w:val="bullet"/>
      <w:lvlText w:val=""/>
      <w:lvlJc w:val="left"/>
      <w:pPr>
        <w:tabs>
          <w:tab w:val="num" w:pos="2784"/>
        </w:tabs>
        <w:ind w:left="2784" w:hanging="360"/>
      </w:pPr>
      <w:rPr>
        <w:rFonts w:ascii="Wingdings" w:hAnsi="Wingdings" w:hint="default"/>
      </w:rPr>
    </w:lvl>
    <w:lvl w:ilvl="3" w:tplc="08090001" w:tentative="1">
      <w:start w:val="1"/>
      <w:numFmt w:val="bullet"/>
      <w:lvlText w:val=""/>
      <w:lvlJc w:val="left"/>
      <w:pPr>
        <w:tabs>
          <w:tab w:val="num" w:pos="3504"/>
        </w:tabs>
        <w:ind w:left="3504" w:hanging="360"/>
      </w:pPr>
      <w:rPr>
        <w:rFonts w:ascii="Symbol" w:hAnsi="Symbol" w:hint="default"/>
      </w:rPr>
    </w:lvl>
    <w:lvl w:ilvl="4" w:tplc="08090003" w:tentative="1">
      <w:start w:val="1"/>
      <w:numFmt w:val="bullet"/>
      <w:lvlText w:val="o"/>
      <w:lvlJc w:val="left"/>
      <w:pPr>
        <w:tabs>
          <w:tab w:val="num" w:pos="4224"/>
        </w:tabs>
        <w:ind w:left="4224" w:hanging="360"/>
      </w:pPr>
      <w:rPr>
        <w:rFonts w:ascii="Courier New" w:hAnsi="Courier New" w:cs="Courier New" w:hint="default"/>
      </w:rPr>
    </w:lvl>
    <w:lvl w:ilvl="5" w:tplc="08090005" w:tentative="1">
      <w:start w:val="1"/>
      <w:numFmt w:val="bullet"/>
      <w:lvlText w:val=""/>
      <w:lvlJc w:val="left"/>
      <w:pPr>
        <w:tabs>
          <w:tab w:val="num" w:pos="4944"/>
        </w:tabs>
        <w:ind w:left="4944" w:hanging="360"/>
      </w:pPr>
      <w:rPr>
        <w:rFonts w:ascii="Wingdings" w:hAnsi="Wingdings" w:hint="default"/>
      </w:rPr>
    </w:lvl>
    <w:lvl w:ilvl="6" w:tplc="08090001" w:tentative="1">
      <w:start w:val="1"/>
      <w:numFmt w:val="bullet"/>
      <w:lvlText w:val=""/>
      <w:lvlJc w:val="left"/>
      <w:pPr>
        <w:tabs>
          <w:tab w:val="num" w:pos="5664"/>
        </w:tabs>
        <w:ind w:left="5664" w:hanging="360"/>
      </w:pPr>
      <w:rPr>
        <w:rFonts w:ascii="Symbol" w:hAnsi="Symbol" w:hint="default"/>
      </w:rPr>
    </w:lvl>
    <w:lvl w:ilvl="7" w:tplc="08090003" w:tentative="1">
      <w:start w:val="1"/>
      <w:numFmt w:val="bullet"/>
      <w:lvlText w:val="o"/>
      <w:lvlJc w:val="left"/>
      <w:pPr>
        <w:tabs>
          <w:tab w:val="num" w:pos="6384"/>
        </w:tabs>
        <w:ind w:left="6384" w:hanging="360"/>
      </w:pPr>
      <w:rPr>
        <w:rFonts w:ascii="Courier New" w:hAnsi="Courier New" w:cs="Courier New" w:hint="default"/>
      </w:rPr>
    </w:lvl>
    <w:lvl w:ilvl="8" w:tplc="08090005" w:tentative="1">
      <w:start w:val="1"/>
      <w:numFmt w:val="bullet"/>
      <w:lvlText w:val=""/>
      <w:lvlJc w:val="left"/>
      <w:pPr>
        <w:tabs>
          <w:tab w:val="num" w:pos="7104"/>
        </w:tabs>
        <w:ind w:left="7104" w:hanging="360"/>
      </w:pPr>
      <w:rPr>
        <w:rFonts w:ascii="Wingdings" w:hAnsi="Wingdings" w:hint="default"/>
      </w:rPr>
    </w:lvl>
  </w:abstractNum>
  <w:abstractNum w:abstractNumId="11">
    <w:nsid w:val="182C043A"/>
    <w:multiLevelType w:val="hybridMultilevel"/>
    <w:tmpl w:val="BE2060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2FB1DB2"/>
    <w:multiLevelType w:val="hybridMultilevel"/>
    <w:tmpl w:val="C316C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A33214C"/>
    <w:multiLevelType w:val="hybridMultilevel"/>
    <w:tmpl w:val="308264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nsid w:val="30AD09AF"/>
    <w:multiLevelType w:val="hybridMultilevel"/>
    <w:tmpl w:val="54C8D19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391A4B15"/>
    <w:multiLevelType w:val="hybridMultilevel"/>
    <w:tmpl w:val="70060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AAE5882"/>
    <w:multiLevelType w:val="hybridMultilevel"/>
    <w:tmpl w:val="7E7008B8"/>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7">
    <w:nsid w:val="3E644448"/>
    <w:multiLevelType w:val="multilevel"/>
    <w:tmpl w:val="99A85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1286C30"/>
    <w:multiLevelType w:val="hybridMultilevel"/>
    <w:tmpl w:val="71B227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nsid w:val="519F7656"/>
    <w:multiLevelType w:val="hybridMultilevel"/>
    <w:tmpl w:val="8F344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23C09F7"/>
    <w:multiLevelType w:val="hybridMultilevel"/>
    <w:tmpl w:val="EE943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43776F2"/>
    <w:multiLevelType w:val="hybridMultilevel"/>
    <w:tmpl w:val="F12A690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nsid w:val="544E6D75"/>
    <w:multiLevelType w:val="hybridMultilevel"/>
    <w:tmpl w:val="D6A2C4CE"/>
    <w:lvl w:ilvl="0" w:tplc="BA420DA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nsid w:val="54865010"/>
    <w:multiLevelType w:val="hybridMultilevel"/>
    <w:tmpl w:val="FA3A0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6E1405C"/>
    <w:multiLevelType w:val="hybridMultilevel"/>
    <w:tmpl w:val="8FF07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84E6871"/>
    <w:multiLevelType w:val="hybridMultilevel"/>
    <w:tmpl w:val="C966D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A6222B5"/>
    <w:multiLevelType w:val="hybridMultilevel"/>
    <w:tmpl w:val="19285D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nsid w:val="5AAF29AA"/>
    <w:multiLevelType w:val="hybridMultilevel"/>
    <w:tmpl w:val="6EE853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nsid w:val="5CA26F65"/>
    <w:multiLevelType w:val="hybridMultilevel"/>
    <w:tmpl w:val="6DE8C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DAA7CF6"/>
    <w:multiLevelType w:val="hybridMultilevel"/>
    <w:tmpl w:val="8DAEDD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nsid w:val="617B75D8"/>
    <w:multiLevelType w:val="multilevel"/>
    <w:tmpl w:val="4E50A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1B40E0C"/>
    <w:multiLevelType w:val="hybridMultilevel"/>
    <w:tmpl w:val="0B38A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667B54EB"/>
    <w:multiLevelType w:val="hybridMultilevel"/>
    <w:tmpl w:val="2BD85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B376E79"/>
    <w:multiLevelType w:val="hybridMultilevel"/>
    <w:tmpl w:val="BBFC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C2461EA"/>
    <w:multiLevelType w:val="hybridMultilevel"/>
    <w:tmpl w:val="C6B6A9AC"/>
    <w:lvl w:ilvl="0" w:tplc="0809000F">
      <w:start w:val="1"/>
      <w:numFmt w:val="decimal"/>
      <w:lvlText w:val="%1."/>
      <w:lvlJc w:val="left"/>
      <w:pPr>
        <w:ind w:left="502" w:hanging="360"/>
      </w:pPr>
    </w:lvl>
    <w:lvl w:ilvl="1" w:tplc="08090019">
      <w:start w:val="1"/>
      <w:numFmt w:val="decimal"/>
      <w:lvlText w:val="%2."/>
      <w:lvlJc w:val="left"/>
      <w:pPr>
        <w:tabs>
          <w:tab w:val="num" w:pos="1222"/>
        </w:tabs>
        <w:ind w:left="1222" w:hanging="360"/>
      </w:pPr>
    </w:lvl>
    <w:lvl w:ilvl="2" w:tplc="0809001B">
      <w:start w:val="1"/>
      <w:numFmt w:val="decimal"/>
      <w:lvlText w:val="%3."/>
      <w:lvlJc w:val="left"/>
      <w:pPr>
        <w:tabs>
          <w:tab w:val="num" w:pos="1942"/>
        </w:tabs>
        <w:ind w:left="1942" w:hanging="360"/>
      </w:pPr>
    </w:lvl>
    <w:lvl w:ilvl="3" w:tplc="0809000F">
      <w:start w:val="1"/>
      <w:numFmt w:val="decimal"/>
      <w:lvlText w:val="%4."/>
      <w:lvlJc w:val="left"/>
      <w:pPr>
        <w:tabs>
          <w:tab w:val="num" w:pos="2662"/>
        </w:tabs>
        <w:ind w:left="2662" w:hanging="360"/>
      </w:pPr>
    </w:lvl>
    <w:lvl w:ilvl="4" w:tplc="08090019">
      <w:start w:val="1"/>
      <w:numFmt w:val="decimal"/>
      <w:lvlText w:val="%5."/>
      <w:lvlJc w:val="left"/>
      <w:pPr>
        <w:tabs>
          <w:tab w:val="num" w:pos="3382"/>
        </w:tabs>
        <w:ind w:left="3382" w:hanging="360"/>
      </w:pPr>
    </w:lvl>
    <w:lvl w:ilvl="5" w:tplc="0809001B">
      <w:start w:val="1"/>
      <w:numFmt w:val="decimal"/>
      <w:lvlText w:val="%6."/>
      <w:lvlJc w:val="left"/>
      <w:pPr>
        <w:tabs>
          <w:tab w:val="num" w:pos="4102"/>
        </w:tabs>
        <w:ind w:left="4102" w:hanging="360"/>
      </w:pPr>
    </w:lvl>
    <w:lvl w:ilvl="6" w:tplc="0809000F">
      <w:start w:val="1"/>
      <w:numFmt w:val="decimal"/>
      <w:lvlText w:val="%7."/>
      <w:lvlJc w:val="left"/>
      <w:pPr>
        <w:tabs>
          <w:tab w:val="num" w:pos="4822"/>
        </w:tabs>
        <w:ind w:left="4822" w:hanging="360"/>
      </w:pPr>
    </w:lvl>
    <w:lvl w:ilvl="7" w:tplc="08090019">
      <w:start w:val="1"/>
      <w:numFmt w:val="decimal"/>
      <w:lvlText w:val="%8."/>
      <w:lvlJc w:val="left"/>
      <w:pPr>
        <w:tabs>
          <w:tab w:val="num" w:pos="5542"/>
        </w:tabs>
        <w:ind w:left="5542" w:hanging="360"/>
      </w:pPr>
    </w:lvl>
    <w:lvl w:ilvl="8" w:tplc="0809001B">
      <w:start w:val="1"/>
      <w:numFmt w:val="decimal"/>
      <w:lvlText w:val="%9."/>
      <w:lvlJc w:val="left"/>
      <w:pPr>
        <w:tabs>
          <w:tab w:val="num" w:pos="6262"/>
        </w:tabs>
        <w:ind w:left="6262" w:hanging="360"/>
      </w:pPr>
    </w:lvl>
  </w:abstractNum>
  <w:abstractNum w:abstractNumId="36">
    <w:nsid w:val="7024600B"/>
    <w:multiLevelType w:val="hybridMultilevel"/>
    <w:tmpl w:val="C804B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8">
    <w:nsid w:val="751A3EEB"/>
    <w:multiLevelType w:val="multilevel"/>
    <w:tmpl w:val="10027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5E35737"/>
    <w:multiLevelType w:val="hybridMultilevel"/>
    <w:tmpl w:val="2A8223C2"/>
    <w:lvl w:ilvl="0" w:tplc="08090001">
      <w:start w:val="1"/>
      <w:numFmt w:val="bullet"/>
      <w:lvlText w:val=""/>
      <w:lvlJc w:val="left"/>
      <w:pPr>
        <w:ind w:left="1795" w:hanging="360"/>
      </w:pPr>
      <w:rPr>
        <w:rFonts w:ascii="Symbol" w:hAnsi="Symbol" w:hint="default"/>
      </w:rPr>
    </w:lvl>
    <w:lvl w:ilvl="1" w:tplc="08090003" w:tentative="1">
      <w:start w:val="1"/>
      <w:numFmt w:val="bullet"/>
      <w:lvlText w:val="o"/>
      <w:lvlJc w:val="left"/>
      <w:pPr>
        <w:ind w:left="2515" w:hanging="360"/>
      </w:pPr>
      <w:rPr>
        <w:rFonts w:ascii="Courier New" w:hAnsi="Courier New" w:cs="Courier New" w:hint="default"/>
      </w:rPr>
    </w:lvl>
    <w:lvl w:ilvl="2" w:tplc="08090005" w:tentative="1">
      <w:start w:val="1"/>
      <w:numFmt w:val="bullet"/>
      <w:lvlText w:val=""/>
      <w:lvlJc w:val="left"/>
      <w:pPr>
        <w:ind w:left="3235" w:hanging="360"/>
      </w:pPr>
      <w:rPr>
        <w:rFonts w:ascii="Wingdings" w:hAnsi="Wingdings" w:hint="default"/>
      </w:rPr>
    </w:lvl>
    <w:lvl w:ilvl="3" w:tplc="08090001" w:tentative="1">
      <w:start w:val="1"/>
      <w:numFmt w:val="bullet"/>
      <w:lvlText w:val=""/>
      <w:lvlJc w:val="left"/>
      <w:pPr>
        <w:ind w:left="3955" w:hanging="360"/>
      </w:pPr>
      <w:rPr>
        <w:rFonts w:ascii="Symbol" w:hAnsi="Symbol" w:hint="default"/>
      </w:rPr>
    </w:lvl>
    <w:lvl w:ilvl="4" w:tplc="08090003" w:tentative="1">
      <w:start w:val="1"/>
      <w:numFmt w:val="bullet"/>
      <w:lvlText w:val="o"/>
      <w:lvlJc w:val="left"/>
      <w:pPr>
        <w:ind w:left="4675" w:hanging="360"/>
      </w:pPr>
      <w:rPr>
        <w:rFonts w:ascii="Courier New" w:hAnsi="Courier New" w:cs="Courier New" w:hint="default"/>
      </w:rPr>
    </w:lvl>
    <w:lvl w:ilvl="5" w:tplc="08090005" w:tentative="1">
      <w:start w:val="1"/>
      <w:numFmt w:val="bullet"/>
      <w:lvlText w:val=""/>
      <w:lvlJc w:val="left"/>
      <w:pPr>
        <w:ind w:left="5395" w:hanging="360"/>
      </w:pPr>
      <w:rPr>
        <w:rFonts w:ascii="Wingdings" w:hAnsi="Wingdings" w:hint="default"/>
      </w:rPr>
    </w:lvl>
    <w:lvl w:ilvl="6" w:tplc="08090001" w:tentative="1">
      <w:start w:val="1"/>
      <w:numFmt w:val="bullet"/>
      <w:lvlText w:val=""/>
      <w:lvlJc w:val="left"/>
      <w:pPr>
        <w:ind w:left="6115" w:hanging="360"/>
      </w:pPr>
      <w:rPr>
        <w:rFonts w:ascii="Symbol" w:hAnsi="Symbol" w:hint="default"/>
      </w:rPr>
    </w:lvl>
    <w:lvl w:ilvl="7" w:tplc="08090003" w:tentative="1">
      <w:start w:val="1"/>
      <w:numFmt w:val="bullet"/>
      <w:lvlText w:val="o"/>
      <w:lvlJc w:val="left"/>
      <w:pPr>
        <w:ind w:left="6835" w:hanging="360"/>
      </w:pPr>
      <w:rPr>
        <w:rFonts w:ascii="Courier New" w:hAnsi="Courier New" w:cs="Courier New" w:hint="default"/>
      </w:rPr>
    </w:lvl>
    <w:lvl w:ilvl="8" w:tplc="08090005" w:tentative="1">
      <w:start w:val="1"/>
      <w:numFmt w:val="bullet"/>
      <w:lvlText w:val=""/>
      <w:lvlJc w:val="left"/>
      <w:pPr>
        <w:ind w:left="7555" w:hanging="360"/>
      </w:pPr>
      <w:rPr>
        <w:rFonts w:ascii="Wingdings" w:hAnsi="Wingdings" w:hint="default"/>
      </w:rPr>
    </w:lvl>
  </w:abstractNum>
  <w:abstractNum w:abstractNumId="40">
    <w:nsid w:val="7C0A6602"/>
    <w:multiLevelType w:val="hybridMultilevel"/>
    <w:tmpl w:val="53F67648"/>
    <w:lvl w:ilvl="0" w:tplc="08090001">
      <w:start w:val="1"/>
      <w:numFmt w:val="bullet"/>
      <w:lvlText w:val=""/>
      <w:lvlJc w:val="left"/>
      <w:pPr>
        <w:tabs>
          <w:tab w:val="num" w:pos="900"/>
        </w:tabs>
        <w:ind w:left="900" w:hanging="360"/>
      </w:pPr>
      <w:rPr>
        <w:rFonts w:ascii="Symbol" w:hAnsi="Symbol" w:hint="default"/>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41">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nsid w:val="7FB921D7"/>
    <w:multiLevelType w:val="hybridMultilevel"/>
    <w:tmpl w:val="86586EF2"/>
    <w:lvl w:ilvl="0" w:tplc="E2EE593A">
      <w:start w:val="1"/>
      <w:numFmt w:val="decimal"/>
      <w:lvlText w:val="%1)"/>
      <w:lvlJc w:val="left"/>
      <w:pPr>
        <w:tabs>
          <w:tab w:val="num" w:pos="735"/>
        </w:tabs>
        <w:ind w:left="735" w:hanging="375"/>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37"/>
  </w:num>
  <w:num w:numId="3">
    <w:abstractNumId w:val="30"/>
  </w:num>
  <w:num w:numId="4">
    <w:abstractNumId w:val="41"/>
  </w:num>
  <w:num w:numId="5">
    <w:abstractNumId w:val="2"/>
  </w:num>
  <w:num w:numId="6">
    <w:abstractNumId w:val="16"/>
  </w:num>
  <w:num w:numId="7">
    <w:abstractNumId w:val="3"/>
  </w:num>
  <w:num w:numId="8">
    <w:abstractNumId w:val="21"/>
  </w:num>
  <w:num w:numId="9">
    <w:abstractNumId w:val="14"/>
  </w:num>
  <w:num w:numId="10">
    <w:abstractNumId w:val="13"/>
  </w:num>
  <w:num w:numId="11">
    <w:abstractNumId w:val="26"/>
  </w:num>
  <w:num w:numId="12">
    <w:abstractNumId w:val="40"/>
  </w:num>
  <w:num w:numId="13">
    <w:abstractNumId w:val="31"/>
  </w:num>
  <w:num w:numId="14">
    <w:abstractNumId w:val="29"/>
  </w:num>
  <w:num w:numId="15">
    <w:abstractNumId w:val="18"/>
  </w:num>
  <w:num w:numId="16">
    <w:abstractNumId w:val="42"/>
  </w:num>
  <w:num w:numId="17">
    <w:abstractNumId w:val="9"/>
  </w:num>
  <w:num w:numId="18">
    <w:abstractNumId w:val="27"/>
  </w:num>
  <w:num w:numId="19">
    <w:abstractNumId w:val="7"/>
  </w:num>
  <w:num w:numId="20">
    <w:abstractNumId w:val="4"/>
  </w:num>
  <w:num w:numId="21">
    <w:abstractNumId w:val="17"/>
  </w:num>
  <w:num w:numId="22">
    <w:abstractNumId w:val="6"/>
  </w:num>
  <w:num w:numId="23">
    <w:abstractNumId w:val="1"/>
  </w:num>
  <w:num w:numId="24">
    <w:abstractNumId w:val="33"/>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11"/>
  </w:num>
  <w:num w:numId="28">
    <w:abstractNumId w:val="36"/>
  </w:num>
  <w:num w:numId="29">
    <w:abstractNumId w:val="10"/>
  </w:num>
  <w:num w:numId="30">
    <w:abstractNumId w:val="20"/>
  </w:num>
  <w:num w:numId="31">
    <w:abstractNumId w:val="22"/>
  </w:num>
  <w:num w:numId="32">
    <w:abstractNumId w:val="28"/>
  </w:num>
  <w:num w:numId="33">
    <w:abstractNumId w:val="19"/>
  </w:num>
  <w:num w:numId="34">
    <w:abstractNumId w:val="15"/>
  </w:num>
  <w:num w:numId="35">
    <w:abstractNumId w:val="38"/>
  </w:num>
  <w:num w:numId="36">
    <w:abstractNumId w:val="34"/>
  </w:num>
  <w:num w:numId="37">
    <w:abstractNumId w:val="5"/>
  </w:num>
  <w:num w:numId="38">
    <w:abstractNumId w:val="23"/>
  </w:num>
  <w:num w:numId="39">
    <w:abstractNumId w:val="39"/>
  </w:num>
  <w:num w:numId="40">
    <w:abstractNumId w:val="8"/>
  </w:num>
  <w:num w:numId="41">
    <w:abstractNumId w:val="32"/>
  </w:num>
  <w:num w:numId="42">
    <w:abstractNumId w:val="25"/>
  </w:num>
  <w:num w:numId="43">
    <w:abstractNumId w:val="24"/>
  </w:num>
  <w:num w:numId="44">
    <w:abstractNumId w:val="1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stylePaneFormatFilter w:val="2801"/>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FF3166"/>
    <w:rsid w:val="000003BA"/>
    <w:rsid w:val="00000D2E"/>
    <w:rsid w:val="00002769"/>
    <w:rsid w:val="000039A1"/>
    <w:rsid w:val="00004D46"/>
    <w:rsid w:val="00006270"/>
    <w:rsid w:val="00010C1A"/>
    <w:rsid w:val="000131C5"/>
    <w:rsid w:val="00013464"/>
    <w:rsid w:val="00013471"/>
    <w:rsid w:val="00014577"/>
    <w:rsid w:val="00015486"/>
    <w:rsid w:val="00017367"/>
    <w:rsid w:val="000201C2"/>
    <w:rsid w:val="000234F0"/>
    <w:rsid w:val="00024193"/>
    <w:rsid w:val="00031ACD"/>
    <w:rsid w:val="000323E1"/>
    <w:rsid w:val="000338BD"/>
    <w:rsid w:val="00036EBA"/>
    <w:rsid w:val="000372ED"/>
    <w:rsid w:val="00041A9A"/>
    <w:rsid w:val="00041C77"/>
    <w:rsid w:val="0004406A"/>
    <w:rsid w:val="000476A1"/>
    <w:rsid w:val="00047A7E"/>
    <w:rsid w:val="00050042"/>
    <w:rsid w:val="00053308"/>
    <w:rsid w:val="00056B3A"/>
    <w:rsid w:val="000572A4"/>
    <w:rsid w:val="000602A1"/>
    <w:rsid w:val="000607FF"/>
    <w:rsid w:val="000612BE"/>
    <w:rsid w:val="0006163A"/>
    <w:rsid w:val="000622AA"/>
    <w:rsid w:val="000652C7"/>
    <w:rsid w:val="000662D9"/>
    <w:rsid w:val="00067482"/>
    <w:rsid w:val="00067BE6"/>
    <w:rsid w:val="0007019F"/>
    <w:rsid w:val="00072C6D"/>
    <w:rsid w:val="00081822"/>
    <w:rsid w:val="00081F7D"/>
    <w:rsid w:val="0008212A"/>
    <w:rsid w:val="000829C6"/>
    <w:rsid w:val="00082B09"/>
    <w:rsid w:val="00087352"/>
    <w:rsid w:val="000913F8"/>
    <w:rsid w:val="00094796"/>
    <w:rsid w:val="000964A9"/>
    <w:rsid w:val="000966B5"/>
    <w:rsid w:val="00097328"/>
    <w:rsid w:val="000A1672"/>
    <w:rsid w:val="000A385D"/>
    <w:rsid w:val="000A6593"/>
    <w:rsid w:val="000A6B56"/>
    <w:rsid w:val="000B4159"/>
    <w:rsid w:val="000B6C5F"/>
    <w:rsid w:val="000B7331"/>
    <w:rsid w:val="000C0255"/>
    <w:rsid w:val="000C050E"/>
    <w:rsid w:val="000C2A66"/>
    <w:rsid w:val="000C3596"/>
    <w:rsid w:val="000C38BB"/>
    <w:rsid w:val="000C53F6"/>
    <w:rsid w:val="000C54C9"/>
    <w:rsid w:val="000C7DDD"/>
    <w:rsid w:val="000D4F91"/>
    <w:rsid w:val="000D5905"/>
    <w:rsid w:val="000E0574"/>
    <w:rsid w:val="000E2BB4"/>
    <w:rsid w:val="000E4289"/>
    <w:rsid w:val="000E5331"/>
    <w:rsid w:val="000E5702"/>
    <w:rsid w:val="000E6117"/>
    <w:rsid w:val="000E64E9"/>
    <w:rsid w:val="000E6CD4"/>
    <w:rsid w:val="000F277C"/>
    <w:rsid w:val="000F403B"/>
    <w:rsid w:val="000F4684"/>
    <w:rsid w:val="000F66CC"/>
    <w:rsid w:val="000F6B65"/>
    <w:rsid w:val="000F7457"/>
    <w:rsid w:val="000F796A"/>
    <w:rsid w:val="00100C11"/>
    <w:rsid w:val="00101D15"/>
    <w:rsid w:val="0010511D"/>
    <w:rsid w:val="001060C2"/>
    <w:rsid w:val="00106F4E"/>
    <w:rsid w:val="00110EF5"/>
    <w:rsid w:val="00111316"/>
    <w:rsid w:val="00112376"/>
    <w:rsid w:val="00112427"/>
    <w:rsid w:val="0011253F"/>
    <w:rsid w:val="00113851"/>
    <w:rsid w:val="001138EB"/>
    <w:rsid w:val="0011757B"/>
    <w:rsid w:val="00117904"/>
    <w:rsid w:val="0012042B"/>
    <w:rsid w:val="00121431"/>
    <w:rsid w:val="00122C44"/>
    <w:rsid w:val="00123FE0"/>
    <w:rsid w:val="00130B66"/>
    <w:rsid w:val="00131394"/>
    <w:rsid w:val="00132586"/>
    <w:rsid w:val="001337D8"/>
    <w:rsid w:val="00136550"/>
    <w:rsid w:val="0013792D"/>
    <w:rsid w:val="00137D69"/>
    <w:rsid w:val="001412E2"/>
    <w:rsid w:val="00141DED"/>
    <w:rsid w:val="00144689"/>
    <w:rsid w:val="00146B0B"/>
    <w:rsid w:val="00147B1D"/>
    <w:rsid w:val="00147B92"/>
    <w:rsid w:val="001502E6"/>
    <w:rsid w:val="00150302"/>
    <w:rsid w:val="0015111E"/>
    <w:rsid w:val="001527C4"/>
    <w:rsid w:val="00152B3B"/>
    <w:rsid w:val="00153D85"/>
    <w:rsid w:val="001540E6"/>
    <w:rsid w:val="0015537E"/>
    <w:rsid w:val="00155A95"/>
    <w:rsid w:val="00160110"/>
    <w:rsid w:val="00160D38"/>
    <w:rsid w:val="001618E3"/>
    <w:rsid w:val="00163375"/>
    <w:rsid w:val="001660E8"/>
    <w:rsid w:val="00170838"/>
    <w:rsid w:val="001712BB"/>
    <w:rsid w:val="0017171C"/>
    <w:rsid w:val="00171E2F"/>
    <w:rsid w:val="00172DAF"/>
    <w:rsid w:val="00173325"/>
    <w:rsid w:val="00175E53"/>
    <w:rsid w:val="00176F0B"/>
    <w:rsid w:val="00182E6C"/>
    <w:rsid w:val="00186ACC"/>
    <w:rsid w:val="00191AF6"/>
    <w:rsid w:val="001938C0"/>
    <w:rsid w:val="001942DF"/>
    <w:rsid w:val="00194386"/>
    <w:rsid w:val="00194FB9"/>
    <w:rsid w:val="00197647"/>
    <w:rsid w:val="001A274C"/>
    <w:rsid w:val="001A64CC"/>
    <w:rsid w:val="001A6C08"/>
    <w:rsid w:val="001B1CCC"/>
    <w:rsid w:val="001B2EBF"/>
    <w:rsid w:val="001B4488"/>
    <w:rsid w:val="001B48B7"/>
    <w:rsid w:val="001B4FDF"/>
    <w:rsid w:val="001B5115"/>
    <w:rsid w:val="001B66D5"/>
    <w:rsid w:val="001C0464"/>
    <w:rsid w:val="001C22F7"/>
    <w:rsid w:val="001C2D38"/>
    <w:rsid w:val="001C2D68"/>
    <w:rsid w:val="001C3C10"/>
    <w:rsid w:val="001C4A88"/>
    <w:rsid w:val="001C61FD"/>
    <w:rsid w:val="001C69C9"/>
    <w:rsid w:val="001C7CED"/>
    <w:rsid w:val="001D229B"/>
    <w:rsid w:val="001D306F"/>
    <w:rsid w:val="001D57A4"/>
    <w:rsid w:val="001D6776"/>
    <w:rsid w:val="001D6934"/>
    <w:rsid w:val="001E0670"/>
    <w:rsid w:val="001E0B9F"/>
    <w:rsid w:val="001E1168"/>
    <w:rsid w:val="001E200F"/>
    <w:rsid w:val="001E41F2"/>
    <w:rsid w:val="001E4285"/>
    <w:rsid w:val="001E47B5"/>
    <w:rsid w:val="001E49CE"/>
    <w:rsid w:val="001E5202"/>
    <w:rsid w:val="001E5F16"/>
    <w:rsid w:val="001E7F92"/>
    <w:rsid w:val="001F3DF4"/>
    <w:rsid w:val="001F4113"/>
    <w:rsid w:val="001F4857"/>
    <w:rsid w:val="001F52B8"/>
    <w:rsid w:val="001F5FDA"/>
    <w:rsid w:val="001F6849"/>
    <w:rsid w:val="001F796E"/>
    <w:rsid w:val="00200ED9"/>
    <w:rsid w:val="00201A6C"/>
    <w:rsid w:val="00202968"/>
    <w:rsid w:val="0020297E"/>
    <w:rsid w:val="002030A5"/>
    <w:rsid w:val="00204F61"/>
    <w:rsid w:val="00207A16"/>
    <w:rsid w:val="0021053E"/>
    <w:rsid w:val="00214D5D"/>
    <w:rsid w:val="0021754C"/>
    <w:rsid w:val="00217653"/>
    <w:rsid w:val="00217DCD"/>
    <w:rsid w:val="00220AEF"/>
    <w:rsid w:val="00221362"/>
    <w:rsid w:val="0022305C"/>
    <w:rsid w:val="0022335F"/>
    <w:rsid w:val="002237B2"/>
    <w:rsid w:val="00227F0D"/>
    <w:rsid w:val="002306CC"/>
    <w:rsid w:val="00233110"/>
    <w:rsid w:val="00233626"/>
    <w:rsid w:val="00233F31"/>
    <w:rsid w:val="00235C5A"/>
    <w:rsid w:val="002407BE"/>
    <w:rsid w:val="002427E1"/>
    <w:rsid w:val="0024292A"/>
    <w:rsid w:val="00242FDA"/>
    <w:rsid w:val="002438C1"/>
    <w:rsid w:val="00244A54"/>
    <w:rsid w:val="00247711"/>
    <w:rsid w:val="00247936"/>
    <w:rsid w:val="00247DC0"/>
    <w:rsid w:val="00250A43"/>
    <w:rsid w:val="002510F1"/>
    <w:rsid w:val="002517C1"/>
    <w:rsid w:val="00256D6D"/>
    <w:rsid w:val="00257161"/>
    <w:rsid w:val="002627C4"/>
    <w:rsid w:val="00263A45"/>
    <w:rsid w:val="00263CC6"/>
    <w:rsid w:val="0026498C"/>
    <w:rsid w:val="00265BD8"/>
    <w:rsid w:val="00270DC0"/>
    <w:rsid w:val="00271769"/>
    <w:rsid w:val="00272BD9"/>
    <w:rsid w:val="0027398F"/>
    <w:rsid w:val="00275367"/>
    <w:rsid w:val="0027562D"/>
    <w:rsid w:val="00275F2E"/>
    <w:rsid w:val="0027602F"/>
    <w:rsid w:val="002775EC"/>
    <w:rsid w:val="00281BF9"/>
    <w:rsid w:val="002822A7"/>
    <w:rsid w:val="00282D8C"/>
    <w:rsid w:val="00284987"/>
    <w:rsid w:val="00284F05"/>
    <w:rsid w:val="002868DF"/>
    <w:rsid w:val="00287963"/>
    <w:rsid w:val="002916C1"/>
    <w:rsid w:val="0029423C"/>
    <w:rsid w:val="00294761"/>
    <w:rsid w:val="00296215"/>
    <w:rsid w:val="00296CEA"/>
    <w:rsid w:val="00296FC9"/>
    <w:rsid w:val="002A098F"/>
    <w:rsid w:val="002A09C4"/>
    <w:rsid w:val="002A1CE4"/>
    <w:rsid w:val="002A4355"/>
    <w:rsid w:val="002A768F"/>
    <w:rsid w:val="002A7F9F"/>
    <w:rsid w:val="002C1A41"/>
    <w:rsid w:val="002C1DAD"/>
    <w:rsid w:val="002C33EF"/>
    <w:rsid w:val="002C37F8"/>
    <w:rsid w:val="002C49FE"/>
    <w:rsid w:val="002C58B5"/>
    <w:rsid w:val="002D24F4"/>
    <w:rsid w:val="002D4580"/>
    <w:rsid w:val="002E063C"/>
    <w:rsid w:val="002E1FB8"/>
    <w:rsid w:val="002E4528"/>
    <w:rsid w:val="002E544A"/>
    <w:rsid w:val="002E6208"/>
    <w:rsid w:val="002F0E22"/>
    <w:rsid w:val="002F35EB"/>
    <w:rsid w:val="002F3DB9"/>
    <w:rsid w:val="002F6364"/>
    <w:rsid w:val="00302A71"/>
    <w:rsid w:val="00303D85"/>
    <w:rsid w:val="00304E0B"/>
    <w:rsid w:val="003052AC"/>
    <w:rsid w:val="0030608E"/>
    <w:rsid w:val="00306907"/>
    <w:rsid w:val="00307340"/>
    <w:rsid w:val="003075FE"/>
    <w:rsid w:val="00307828"/>
    <w:rsid w:val="003108EE"/>
    <w:rsid w:val="00313CEF"/>
    <w:rsid w:val="00314C68"/>
    <w:rsid w:val="00315CD5"/>
    <w:rsid w:val="00317AA6"/>
    <w:rsid w:val="00321B07"/>
    <w:rsid w:val="00321E19"/>
    <w:rsid w:val="003224E1"/>
    <w:rsid w:val="003255BB"/>
    <w:rsid w:val="00326113"/>
    <w:rsid w:val="00327D4E"/>
    <w:rsid w:val="00330800"/>
    <w:rsid w:val="003311D4"/>
    <w:rsid w:val="00331A0F"/>
    <w:rsid w:val="00331AFA"/>
    <w:rsid w:val="00331B0E"/>
    <w:rsid w:val="00332D89"/>
    <w:rsid w:val="003331B5"/>
    <w:rsid w:val="00334ACE"/>
    <w:rsid w:val="003366A4"/>
    <w:rsid w:val="0034261B"/>
    <w:rsid w:val="00343BB3"/>
    <w:rsid w:val="00345617"/>
    <w:rsid w:val="00346263"/>
    <w:rsid w:val="00346DF0"/>
    <w:rsid w:val="00346FC8"/>
    <w:rsid w:val="0035044B"/>
    <w:rsid w:val="00350FF8"/>
    <w:rsid w:val="003511C3"/>
    <w:rsid w:val="003527D8"/>
    <w:rsid w:val="00353A91"/>
    <w:rsid w:val="00353FA4"/>
    <w:rsid w:val="0035446B"/>
    <w:rsid w:val="00354678"/>
    <w:rsid w:val="00354916"/>
    <w:rsid w:val="00356B21"/>
    <w:rsid w:val="0035775E"/>
    <w:rsid w:val="00362AF8"/>
    <w:rsid w:val="00362C0E"/>
    <w:rsid w:val="0036331B"/>
    <w:rsid w:val="00365B6B"/>
    <w:rsid w:val="00371C47"/>
    <w:rsid w:val="00373082"/>
    <w:rsid w:val="0037325E"/>
    <w:rsid w:val="00380272"/>
    <w:rsid w:val="0038032D"/>
    <w:rsid w:val="00380943"/>
    <w:rsid w:val="00382532"/>
    <w:rsid w:val="00383078"/>
    <w:rsid w:val="00383279"/>
    <w:rsid w:val="003832C5"/>
    <w:rsid w:val="00383A21"/>
    <w:rsid w:val="00384A11"/>
    <w:rsid w:val="00384DE0"/>
    <w:rsid w:val="00384F8F"/>
    <w:rsid w:val="00385742"/>
    <w:rsid w:val="00386689"/>
    <w:rsid w:val="00386922"/>
    <w:rsid w:val="003873AA"/>
    <w:rsid w:val="00390207"/>
    <w:rsid w:val="0039079F"/>
    <w:rsid w:val="0039275B"/>
    <w:rsid w:val="003940CB"/>
    <w:rsid w:val="00397E88"/>
    <w:rsid w:val="003A0E09"/>
    <w:rsid w:val="003A1533"/>
    <w:rsid w:val="003A3924"/>
    <w:rsid w:val="003A4F56"/>
    <w:rsid w:val="003A7E2B"/>
    <w:rsid w:val="003B1271"/>
    <w:rsid w:val="003B12F5"/>
    <w:rsid w:val="003B2840"/>
    <w:rsid w:val="003B49FC"/>
    <w:rsid w:val="003B5859"/>
    <w:rsid w:val="003B7725"/>
    <w:rsid w:val="003B7897"/>
    <w:rsid w:val="003C227D"/>
    <w:rsid w:val="003C2B28"/>
    <w:rsid w:val="003C4050"/>
    <w:rsid w:val="003C4B09"/>
    <w:rsid w:val="003C5421"/>
    <w:rsid w:val="003C57A9"/>
    <w:rsid w:val="003C62A4"/>
    <w:rsid w:val="003D2ED7"/>
    <w:rsid w:val="003D412B"/>
    <w:rsid w:val="003D4595"/>
    <w:rsid w:val="003D4A21"/>
    <w:rsid w:val="003D6B74"/>
    <w:rsid w:val="003D75CB"/>
    <w:rsid w:val="003E1AE4"/>
    <w:rsid w:val="003E1C2D"/>
    <w:rsid w:val="003E204A"/>
    <w:rsid w:val="003E281E"/>
    <w:rsid w:val="003E3C01"/>
    <w:rsid w:val="003F33F3"/>
    <w:rsid w:val="003F4D32"/>
    <w:rsid w:val="003F52DD"/>
    <w:rsid w:val="00400A04"/>
    <w:rsid w:val="00404042"/>
    <w:rsid w:val="004054E5"/>
    <w:rsid w:val="00406B2A"/>
    <w:rsid w:val="00407AD0"/>
    <w:rsid w:val="00410930"/>
    <w:rsid w:val="00411814"/>
    <w:rsid w:val="0041231E"/>
    <w:rsid w:val="004155C3"/>
    <w:rsid w:val="00415A7A"/>
    <w:rsid w:val="00416805"/>
    <w:rsid w:val="00416955"/>
    <w:rsid w:val="0041750B"/>
    <w:rsid w:val="00417947"/>
    <w:rsid w:val="0042088F"/>
    <w:rsid w:val="00423368"/>
    <w:rsid w:val="0042386B"/>
    <w:rsid w:val="0042473F"/>
    <w:rsid w:val="0042493E"/>
    <w:rsid w:val="00424B51"/>
    <w:rsid w:val="00424CF1"/>
    <w:rsid w:val="00425842"/>
    <w:rsid w:val="00425BD5"/>
    <w:rsid w:val="00426AFA"/>
    <w:rsid w:val="00431A02"/>
    <w:rsid w:val="0043200F"/>
    <w:rsid w:val="0043301D"/>
    <w:rsid w:val="00435794"/>
    <w:rsid w:val="00435A0A"/>
    <w:rsid w:val="00440BD9"/>
    <w:rsid w:val="004433A6"/>
    <w:rsid w:val="00444F06"/>
    <w:rsid w:val="004466FC"/>
    <w:rsid w:val="00446A2E"/>
    <w:rsid w:val="00452017"/>
    <w:rsid w:val="00452723"/>
    <w:rsid w:val="004531F9"/>
    <w:rsid w:val="004537B9"/>
    <w:rsid w:val="00454C3E"/>
    <w:rsid w:val="00460423"/>
    <w:rsid w:val="00461FF7"/>
    <w:rsid w:val="004664D9"/>
    <w:rsid w:val="00467286"/>
    <w:rsid w:val="0047034C"/>
    <w:rsid w:val="00470DC9"/>
    <w:rsid w:val="0047133A"/>
    <w:rsid w:val="00471B66"/>
    <w:rsid w:val="004724E7"/>
    <w:rsid w:val="0047251A"/>
    <w:rsid w:val="00475258"/>
    <w:rsid w:val="00477142"/>
    <w:rsid w:val="00477E4F"/>
    <w:rsid w:val="00482F50"/>
    <w:rsid w:val="00484B67"/>
    <w:rsid w:val="0048747B"/>
    <w:rsid w:val="00491D95"/>
    <w:rsid w:val="0049583D"/>
    <w:rsid w:val="00496DB8"/>
    <w:rsid w:val="004A3034"/>
    <w:rsid w:val="004A506C"/>
    <w:rsid w:val="004A6E6A"/>
    <w:rsid w:val="004B207F"/>
    <w:rsid w:val="004B4D1C"/>
    <w:rsid w:val="004B513D"/>
    <w:rsid w:val="004B6728"/>
    <w:rsid w:val="004B6F4E"/>
    <w:rsid w:val="004B7EDA"/>
    <w:rsid w:val="004C01B1"/>
    <w:rsid w:val="004C08E7"/>
    <w:rsid w:val="004C1123"/>
    <w:rsid w:val="004C2741"/>
    <w:rsid w:val="004C32C0"/>
    <w:rsid w:val="004C4F88"/>
    <w:rsid w:val="004C5735"/>
    <w:rsid w:val="004D18B2"/>
    <w:rsid w:val="004D1E75"/>
    <w:rsid w:val="004D2EB1"/>
    <w:rsid w:val="004D2FB4"/>
    <w:rsid w:val="004D3299"/>
    <w:rsid w:val="004D357A"/>
    <w:rsid w:val="004D6217"/>
    <w:rsid w:val="004D6C55"/>
    <w:rsid w:val="004E05B0"/>
    <w:rsid w:val="004E075A"/>
    <w:rsid w:val="004E10EE"/>
    <w:rsid w:val="004E581F"/>
    <w:rsid w:val="004E725C"/>
    <w:rsid w:val="004F16F4"/>
    <w:rsid w:val="004F1C0A"/>
    <w:rsid w:val="004F425B"/>
    <w:rsid w:val="004F44FE"/>
    <w:rsid w:val="004F4C37"/>
    <w:rsid w:val="004F58F3"/>
    <w:rsid w:val="00502513"/>
    <w:rsid w:val="005035F4"/>
    <w:rsid w:val="00504EA8"/>
    <w:rsid w:val="00505415"/>
    <w:rsid w:val="005056E7"/>
    <w:rsid w:val="00505701"/>
    <w:rsid w:val="00507753"/>
    <w:rsid w:val="00507B37"/>
    <w:rsid w:val="00511B53"/>
    <w:rsid w:val="00511D7C"/>
    <w:rsid w:val="00511EB4"/>
    <w:rsid w:val="00512B48"/>
    <w:rsid w:val="00512C3E"/>
    <w:rsid w:val="00513F87"/>
    <w:rsid w:val="005165F2"/>
    <w:rsid w:val="0052106A"/>
    <w:rsid w:val="00522297"/>
    <w:rsid w:val="00524A28"/>
    <w:rsid w:val="00525017"/>
    <w:rsid w:val="00526D7E"/>
    <w:rsid w:val="00530EFB"/>
    <w:rsid w:val="005317B0"/>
    <w:rsid w:val="00531C1A"/>
    <w:rsid w:val="005362BD"/>
    <w:rsid w:val="00536349"/>
    <w:rsid w:val="00540339"/>
    <w:rsid w:val="00540F04"/>
    <w:rsid w:val="00541B4B"/>
    <w:rsid w:val="0054265E"/>
    <w:rsid w:val="00544BDF"/>
    <w:rsid w:val="00544CB4"/>
    <w:rsid w:val="00545155"/>
    <w:rsid w:val="005454CA"/>
    <w:rsid w:val="00547C34"/>
    <w:rsid w:val="005510AA"/>
    <w:rsid w:val="005510F5"/>
    <w:rsid w:val="0055328F"/>
    <w:rsid w:val="00553893"/>
    <w:rsid w:val="00553AE6"/>
    <w:rsid w:val="0055792B"/>
    <w:rsid w:val="00557E8D"/>
    <w:rsid w:val="0056216B"/>
    <w:rsid w:val="0056294E"/>
    <w:rsid w:val="00562C03"/>
    <w:rsid w:val="0056355A"/>
    <w:rsid w:val="00564F57"/>
    <w:rsid w:val="005658A6"/>
    <w:rsid w:val="00566ACB"/>
    <w:rsid w:val="005716E8"/>
    <w:rsid w:val="005718D3"/>
    <w:rsid w:val="00572423"/>
    <w:rsid w:val="0057540F"/>
    <w:rsid w:val="00575AE5"/>
    <w:rsid w:val="00575E9E"/>
    <w:rsid w:val="0057744E"/>
    <w:rsid w:val="00580E37"/>
    <w:rsid w:val="0058143C"/>
    <w:rsid w:val="005824BD"/>
    <w:rsid w:val="005852A3"/>
    <w:rsid w:val="005904D8"/>
    <w:rsid w:val="00591F3D"/>
    <w:rsid w:val="005924F6"/>
    <w:rsid w:val="00595434"/>
    <w:rsid w:val="005A02D4"/>
    <w:rsid w:val="005A2524"/>
    <w:rsid w:val="005A2851"/>
    <w:rsid w:val="005A34C0"/>
    <w:rsid w:val="005A4586"/>
    <w:rsid w:val="005B1496"/>
    <w:rsid w:val="005B3E56"/>
    <w:rsid w:val="005B59FB"/>
    <w:rsid w:val="005B681B"/>
    <w:rsid w:val="005B70F9"/>
    <w:rsid w:val="005B76EB"/>
    <w:rsid w:val="005C0725"/>
    <w:rsid w:val="005C53F4"/>
    <w:rsid w:val="005C5909"/>
    <w:rsid w:val="005C59AF"/>
    <w:rsid w:val="005C71D4"/>
    <w:rsid w:val="005C7DEE"/>
    <w:rsid w:val="005D116F"/>
    <w:rsid w:val="005D2C6D"/>
    <w:rsid w:val="005D3E2F"/>
    <w:rsid w:val="005D4445"/>
    <w:rsid w:val="005D5F42"/>
    <w:rsid w:val="005D602E"/>
    <w:rsid w:val="005D65AC"/>
    <w:rsid w:val="005E0739"/>
    <w:rsid w:val="005E2C10"/>
    <w:rsid w:val="005E75E5"/>
    <w:rsid w:val="005E7D47"/>
    <w:rsid w:val="005F273F"/>
    <w:rsid w:val="005F51B6"/>
    <w:rsid w:val="005F60D9"/>
    <w:rsid w:val="005F675C"/>
    <w:rsid w:val="00600DDA"/>
    <w:rsid w:val="00602335"/>
    <w:rsid w:val="006030D8"/>
    <w:rsid w:val="00606419"/>
    <w:rsid w:val="0061059D"/>
    <w:rsid w:val="006106E2"/>
    <w:rsid w:val="00610B7B"/>
    <w:rsid w:val="006110DE"/>
    <w:rsid w:val="0061150D"/>
    <w:rsid w:val="00612E47"/>
    <w:rsid w:val="006144C1"/>
    <w:rsid w:val="00614F10"/>
    <w:rsid w:val="00617233"/>
    <w:rsid w:val="006172F6"/>
    <w:rsid w:val="006207B5"/>
    <w:rsid w:val="006252EF"/>
    <w:rsid w:val="006259D7"/>
    <w:rsid w:val="00626D0B"/>
    <w:rsid w:val="00627713"/>
    <w:rsid w:val="006303EE"/>
    <w:rsid w:val="00630553"/>
    <w:rsid w:val="00630D8B"/>
    <w:rsid w:val="00630F7C"/>
    <w:rsid w:val="00630FD3"/>
    <w:rsid w:val="0063409A"/>
    <w:rsid w:val="00635051"/>
    <w:rsid w:val="00635B70"/>
    <w:rsid w:val="0063733D"/>
    <w:rsid w:val="006403D9"/>
    <w:rsid w:val="00641D85"/>
    <w:rsid w:val="006443C8"/>
    <w:rsid w:val="006464FF"/>
    <w:rsid w:val="00652988"/>
    <w:rsid w:val="00653DBC"/>
    <w:rsid w:val="00654011"/>
    <w:rsid w:val="00654FD5"/>
    <w:rsid w:val="00655A3F"/>
    <w:rsid w:val="00656224"/>
    <w:rsid w:val="0065664B"/>
    <w:rsid w:val="00656BDF"/>
    <w:rsid w:val="0066183B"/>
    <w:rsid w:val="00661897"/>
    <w:rsid w:val="0066361E"/>
    <w:rsid w:val="00663D48"/>
    <w:rsid w:val="00663E07"/>
    <w:rsid w:val="00664F4B"/>
    <w:rsid w:val="006650F9"/>
    <w:rsid w:val="006668F1"/>
    <w:rsid w:val="00666D70"/>
    <w:rsid w:val="00666F95"/>
    <w:rsid w:val="00667AB9"/>
    <w:rsid w:val="00671C53"/>
    <w:rsid w:val="00671DE6"/>
    <w:rsid w:val="00671E5E"/>
    <w:rsid w:val="00672DA2"/>
    <w:rsid w:val="00675F1C"/>
    <w:rsid w:val="006768EB"/>
    <w:rsid w:val="00676E32"/>
    <w:rsid w:val="00677914"/>
    <w:rsid w:val="00680A9B"/>
    <w:rsid w:val="00682F0C"/>
    <w:rsid w:val="006842A7"/>
    <w:rsid w:val="006842B7"/>
    <w:rsid w:val="0068460A"/>
    <w:rsid w:val="00691DA7"/>
    <w:rsid w:val="00693922"/>
    <w:rsid w:val="00694A96"/>
    <w:rsid w:val="00695375"/>
    <w:rsid w:val="00695C6D"/>
    <w:rsid w:val="006A084F"/>
    <w:rsid w:val="006A0D5D"/>
    <w:rsid w:val="006A400F"/>
    <w:rsid w:val="006A7628"/>
    <w:rsid w:val="006B2851"/>
    <w:rsid w:val="006B63C5"/>
    <w:rsid w:val="006C0ACD"/>
    <w:rsid w:val="006C234C"/>
    <w:rsid w:val="006C3E26"/>
    <w:rsid w:val="006C3E76"/>
    <w:rsid w:val="006C407D"/>
    <w:rsid w:val="006C4F35"/>
    <w:rsid w:val="006C60D8"/>
    <w:rsid w:val="006C63E6"/>
    <w:rsid w:val="006C7D52"/>
    <w:rsid w:val="006D0F86"/>
    <w:rsid w:val="006D1EBF"/>
    <w:rsid w:val="006D2374"/>
    <w:rsid w:val="006D4E7A"/>
    <w:rsid w:val="006D6E36"/>
    <w:rsid w:val="006D6F15"/>
    <w:rsid w:val="006D7B55"/>
    <w:rsid w:val="006E0BAE"/>
    <w:rsid w:val="006E0BC7"/>
    <w:rsid w:val="006E1A68"/>
    <w:rsid w:val="006E1EE2"/>
    <w:rsid w:val="006E22D8"/>
    <w:rsid w:val="006E23F0"/>
    <w:rsid w:val="006E28E8"/>
    <w:rsid w:val="006E36CD"/>
    <w:rsid w:val="006E3F27"/>
    <w:rsid w:val="006E421C"/>
    <w:rsid w:val="006E4F3A"/>
    <w:rsid w:val="006E5EFC"/>
    <w:rsid w:val="006E6A05"/>
    <w:rsid w:val="006E6EEE"/>
    <w:rsid w:val="006E70C6"/>
    <w:rsid w:val="006E7B85"/>
    <w:rsid w:val="006E7C84"/>
    <w:rsid w:val="006F029D"/>
    <w:rsid w:val="006F2380"/>
    <w:rsid w:val="006F448A"/>
    <w:rsid w:val="006F4C70"/>
    <w:rsid w:val="006F4E3A"/>
    <w:rsid w:val="006F5E20"/>
    <w:rsid w:val="00701C7E"/>
    <w:rsid w:val="00702B6B"/>
    <w:rsid w:val="00703CEA"/>
    <w:rsid w:val="00704894"/>
    <w:rsid w:val="00704EEC"/>
    <w:rsid w:val="00706424"/>
    <w:rsid w:val="00706CBB"/>
    <w:rsid w:val="00710718"/>
    <w:rsid w:val="00710E92"/>
    <w:rsid w:val="00711E2A"/>
    <w:rsid w:val="00715104"/>
    <w:rsid w:val="007160BB"/>
    <w:rsid w:val="00723E40"/>
    <w:rsid w:val="00724D8A"/>
    <w:rsid w:val="007269AD"/>
    <w:rsid w:val="0072755E"/>
    <w:rsid w:val="007321DF"/>
    <w:rsid w:val="00732307"/>
    <w:rsid w:val="00732D1C"/>
    <w:rsid w:val="00734045"/>
    <w:rsid w:val="007346A9"/>
    <w:rsid w:val="00736C89"/>
    <w:rsid w:val="00737643"/>
    <w:rsid w:val="00737E34"/>
    <w:rsid w:val="007419BF"/>
    <w:rsid w:val="00744783"/>
    <w:rsid w:val="0074554C"/>
    <w:rsid w:val="007456C5"/>
    <w:rsid w:val="00746122"/>
    <w:rsid w:val="0075075F"/>
    <w:rsid w:val="007510F8"/>
    <w:rsid w:val="0075268E"/>
    <w:rsid w:val="007604C6"/>
    <w:rsid w:val="00763422"/>
    <w:rsid w:val="00765E34"/>
    <w:rsid w:val="007704A6"/>
    <w:rsid w:val="00773AFA"/>
    <w:rsid w:val="0077421D"/>
    <w:rsid w:val="00776828"/>
    <w:rsid w:val="00776A36"/>
    <w:rsid w:val="00776C58"/>
    <w:rsid w:val="007808FE"/>
    <w:rsid w:val="00781184"/>
    <w:rsid w:val="00782DAC"/>
    <w:rsid w:val="007831EA"/>
    <w:rsid w:val="00783933"/>
    <w:rsid w:val="0078399C"/>
    <w:rsid w:val="00784816"/>
    <w:rsid w:val="00785A76"/>
    <w:rsid w:val="00786C30"/>
    <w:rsid w:val="00787C50"/>
    <w:rsid w:val="00787DA2"/>
    <w:rsid w:val="007906AE"/>
    <w:rsid w:val="007911E0"/>
    <w:rsid w:val="007916CD"/>
    <w:rsid w:val="007930CE"/>
    <w:rsid w:val="00793C39"/>
    <w:rsid w:val="007940A3"/>
    <w:rsid w:val="00794ECC"/>
    <w:rsid w:val="007962C0"/>
    <w:rsid w:val="00797E2D"/>
    <w:rsid w:val="007A2366"/>
    <w:rsid w:val="007A445F"/>
    <w:rsid w:val="007A62E3"/>
    <w:rsid w:val="007A671B"/>
    <w:rsid w:val="007A70C0"/>
    <w:rsid w:val="007B1761"/>
    <w:rsid w:val="007B32C7"/>
    <w:rsid w:val="007B4601"/>
    <w:rsid w:val="007B5863"/>
    <w:rsid w:val="007B7B8C"/>
    <w:rsid w:val="007B7C89"/>
    <w:rsid w:val="007B7D0A"/>
    <w:rsid w:val="007C1314"/>
    <w:rsid w:val="007C40E7"/>
    <w:rsid w:val="007C5DE9"/>
    <w:rsid w:val="007C5EF1"/>
    <w:rsid w:val="007C6EA8"/>
    <w:rsid w:val="007D1B70"/>
    <w:rsid w:val="007D1DE0"/>
    <w:rsid w:val="007D3F5D"/>
    <w:rsid w:val="007D7858"/>
    <w:rsid w:val="007E0399"/>
    <w:rsid w:val="007E043B"/>
    <w:rsid w:val="007E1583"/>
    <w:rsid w:val="007E291F"/>
    <w:rsid w:val="007E2AE7"/>
    <w:rsid w:val="007E2F78"/>
    <w:rsid w:val="007E3F44"/>
    <w:rsid w:val="007F01DB"/>
    <w:rsid w:val="007F0647"/>
    <w:rsid w:val="007F1588"/>
    <w:rsid w:val="007F46AC"/>
    <w:rsid w:val="007F5899"/>
    <w:rsid w:val="007F755B"/>
    <w:rsid w:val="0080067B"/>
    <w:rsid w:val="00800900"/>
    <w:rsid w:val="008024F0"/>
    <w:rsid w:val="00804333"/>
    <w:rsid w:val="008058A9"/>
    <w:rsid w:val="00806303"/>
    <w:rsid w:val="0080673A"/>
    <w:rsid w:val="00807BC4"/>
    <w:rsid w:val="00807F5B"/>
    <w:rsid w:val="0081383C"/>
    <w:rsid w:val="00813C2B"/>
    <w:rsid w:val="00813C65"/>
    <w:rsid w:val="008148A1"/>
    <w:rsid w:val="00816747"/>
    <w:rsid w:val="00816A03"/>
    <w:rsid w:val="00816D24"/>
    <w:rsid w:val="00817F53"/>
    <w:rsid w:val="00817FB0"/>
    <w:rsid w:val="008227C2"/>
    <w:rsid w:val="00827388"/>
    <w:rsid w:val="00832467"/>
    <w:rsid w:val="00835ABA"/>
    <w:rsid w:val="00836093"/>
    <w:rsid w:val="00840045"/>
    <w:rsid w:val="008421CF"/>
    <w:rsid w:val="0084274A"/>
    <w:rsid w:val="0084292C"/>
    <w:rsid w:val="00843072"/>
    <w:rsid w:val="0084338E"/>
    <w:rsid w:val="00846B3D"/>
    <w:rsid w:val="008505C7"/>
    <w:rsid w:val="00852E11"/>
    <w:rsid w:val="0085393E"/>
    <w:rsid w:val="00854486"/>
    <w:rsid w:val="008547A2"/>
    <w:rsid w:val="00856081"/>
    <w:rsid w:val="0085672E"/>
    <w:rsid w:val="00856E75"/>
    <w:rsid w:val="00861A90"/>
    <w:rsid w:val="008627A1"/>
    <w:rsid w:val="0086383E"/>
    <w:rsid w:val="008647CF"/>
    <w:rsid w:val="00867B23"/>
    <w:rsid w:val="00870006"/>
    <w:rsid w:val="008704DF"/>
    <w:rsid w:val="008721DF"/>
    <w:rsid w:val="00875CBE"/>
    <w:rsid w:val="00875EDD"/>
    <w:rsid w:val="00877058"/>
    <w:rsid w:val="00877078"/>
    <w:rsid w:val="0087738D"/>
    <w:rsid w:val="00880FCF"/>
    <w:rsid w:val="00882063"/>
    <w:rsid w:val="00883384"/>
    <w:rsid w:val="00883ABE"/>
    <w:rsid w:val="00885A8F"/>
    <w:rsid w:val="00887909"/>
    <w:rsid w:val="00890498"/>
    <w:rsid w:val="0089548D"/>
    <w:rsid w:val="00897F35"/>
    <w:rsid w:val="008A23CC"/>
    <w:rsid w:val="008A3E9C"/>
    <w:rsid w:val="008A50FC"/>
    <w:rsid w:val="008A739E"/>
    <w:rsid w:val="008B04F4"/>
    <w:rsid w:val="008B215C"/>
    <w:rsid w:val="008B4CE1"/>
    <w:rsid w:val="008B582D"/>
    <w:rsid w:val="008B66BF"/>
    <w:rsid w:val="008B6784"/>
    <w:rsid w:val="008B7216"/>
    <w:rsid w:val="008B7FF5"/>
    <w:rsid w:val="008C212C"/>
    <w:rsid w:val="008C217D"/>
    <w:rsid w:val="008C5E62"/>
    <w:rsid w:val="008C639D"/>
    <w:rsid w:val="008C6B6D"/>
    <w:rsid w:val="008C7D8A"/>
    <w:rsid w:val="008D14D7"/>
    <w:rsid w:val="008D1D4D"/>
    <w:rsid w:val="008D2F43"/>
    <w:rsid w:val="008D3130"/>
    <w:rsid w:val="008D506E"/>
    <w:rsid w:val="008D6526"/>
    <w:rsid w:val="008D6DD2"/>
    <w:rsid w:val="008E187B"/>
    <w:rsid w:val="008E4685"/>
    <w:rsid w:val="008E4CB3"/>
    <w:rsid w:val="008E4EA6"/>
    <w:rsid w:val="008E5A91"/>
    <w:rsid w:val="008E5CF5"/>
    <w:rsid w:val="008E7B24"/>
    <w:rsid w:val="008F13CA"/>
    <w:rsid w:val="008F24D4"/>
    <w:rsid w:val="008F28D4"/>
    <w:rsid w:val="008F47C3"/>
    <w:rsid w:val="008F4B7C"/>
    <w:rsid w:val="008F5653"/>
    <w:rsid w:val="008F5B7C"/>
    <w:rsid w:val="008F75A1"/>
    <w:rsid w:val="0090129D"/>
    <w:rsid w:val="009038D2"/>
    <w:rsid w:val="009061B4"/>
    <w:rsid w:val="00906F59"/>
    <w:rsid w:val="00907DCC"/>
    <w:rsid w:val="00910239"/>
    <w:rsid w:val="00911687"/>
    <w:rsid w:val="00916592"/>
    <w:rsid w:val="00916A21"/>
    <w:rsid w:val="00916D89"/>
    <w:rsid w:val="009200F0"/>
    <w:rsid w:val="009207C0"/>
    <w:rsid w:val="00920EA9"/>
    <w:rsid w:val="00925384"/>
    <w:rsid w:val="00926BF2"/>
    <w:rsid w:val="009273F5"/>
    <w:rsid w:val="00927CB6"/>
    <w:rsid w:val="0093089A"/>
    <w:rsid w:val="0093483E"/>
    <w:rsid w:val="00935951"/>
    <w:rsid w:val="00937742"/>
    <w:rsid w:val="00937C87"/>
    <w:rsid w:val="0094003E"/>
    <w:rsid w:val="00940A1C"/>
    <w:rsid w:val="00942937"/>
    <w:rsid w:val="00942E6F"/>
    <w:rsid w:val="00942F83"/>
    <w:rsid w:val="0094371E"/>
    <w:rsid w:val="00945423"/>
    <w:rsid w:val="00945AD7"/>
    <w:rsid w:val="00945FA7"/>
    <w:rsid w:val="00953579"/>
    <w:rsid w:val="0095358C"/>
    <w:rsid w:val="00953D1F"/>
    <w:rsid w:val="00966CE4"/>
    <w:rsid w:val="00967A89"/>
    <w:rsid w:val="00971653"/>
    <w:rsid w:val="009718F9"/>
    <w:rsid w:val="009726D9"/>
    <w:rsid w:val="00974560"/>
    <w:rsid w:val="00976E79"/>
    <w:rsid w:val="00980978"/>
    <w:rsid w:val="00982C57"/>
    <w:rsid w:val="009831D9"/>
    <w:rsid w:val="009836A6"/>
    <w:rsid w:val="009842A7"/>
    <w:rsid w:val="00985941"/>
    <w:rsid w:val="00987B38"/>
    <w:rsid w:val="00990ECF"/>
    <w:rsid w:val="00991A60"/>
    <w:rsid w:val="00991D13"/>
    <w:rsid w:val="009921BC"/>
    <w:rsid w:val="00993AA4"/>
    <w:rsid w:val="0099408C"/>
    <w:rsid w:val="00997230"/>
    <w:rsid w:val="009A288A"/>
    <w:rsid w:val="009A617A"/>
    <w:rsid w:val="009A6AA6"/>
    <w:rsid w:val="009A708F"/>
    <w:rsid w:val="009B0BA0"/>
    <w:rsid w:val="009B1343"/>
    <w:rsid w:val="009B312E"/>
    <w:rsid w:val="009B3F71"/>
    <w:rsid w:val="009B475D"/>
    <w:rsid w:val="009B5456"/>
    <w:rsid w:val="009B63BB"/>
    <w:rsid w:val="009B771C"/>
    <w:rsid w:val="009C4A24"/>
    <w:rsid w:val="009C59C9"/>
    <w:rsid w:val="009C5A09"/>
    <w:rsid w:val="009C66E4"/>
    <w:rsid w:val="009D4331"/>
    <w:rsid w:val="009D5EA5"/>
    <w:rsid w:val="009D650E"/>
    <w:rsid w:val="009E36C5"/>
    <w:rsid w:val="009E36EE"/>
    <w:rsid w:val="009E451C"/>
    <w:rsid w:val="009E61C7"/>
    <w:rsid w:val="009E7124"/>
    <w:rsid w:val="009E728A"/>
    <w:rsid w:val="009E77E7"/>
    <w:rsid w:val="009F0980"/>
    <w:rsid w:val="009F1297"/>
    <w:rsid w:val="009F13C9"/>
    <w:rsid w:val="009F3B6C"/>
    <w:rsid w:val="009F6AB0"/>
    <w:rsid w:val="00A02620"/>
    <w:rsid w:val="00A02CF8"/>
    <w:rsid w:val="00A1005E"/>
    <w:rsid w:val="00A14297"/>
    <w:rsid w:val="00A21613"/>
    <w:rsid w:val="00A221A7"/>
    <w:rsid w:val="00A2254F"/>
    <w:rsid w:val="00A22A6F"/>
    <w:rsid w:val="00A2328C"/>
    <w:rsid w:val="00A24865"/>
    <w:rsid w:val="00A25783"/>
    <w:rsid w:val="00A3100B"/>
    <w:rsid w:val="00A32034"/>
    <w:rsid w:val="00A32C26"/>
    <w:rsid w:val="00A32E47"/>
    <w:rsid w:val="00A34078"/>
    <w:rsid w:val="00A3490A"/>
    <w:rsid w:val="00A37B81"/>
    <w:rsid w:val="00A402C4"/>
    <w:rsid w:val="00A509CE"/>
    <w:rsid w:val="00A51672"/>
    <w:rsid w:val="00A51E46"/>
    <w:rsid w:val="00A52537"/>
    <w:rsid w:val="00A53696"/>
    <w:rsid w:val="00A53C13"/>
    <w:rsid w:val="00A54EB2"/>
    <w:rsid w:val="00A56FE2"/>
    <w:rsid w:val="00A578B5"/>
    <w:rsid w:val="00A603B4"/>
    <w:rsid w:val="00A6102F"/>
    <w:rsid w:val="00A679F6"/>
    <w:rsid w:val="00A67D7C"/>
    <w:rsid w:val="00A701FA"/>
    <w:rsid w:val="00A71F5C"/>
    <w:rsid w:val="00A72302"/>
    <w:rsid w:val="00A7266E"/>
    <w:rsid w:val="00A73028"/>
    <w:rsid w:val="00A731D9"/>
    <w:rsid w:val="00A74DB4"/>
    <w:rsid w:val="00A7584D"/>
    <w:rsid w:val="00A75C22"/>
    <w:rsid w:val="00A75D82"/>
    <w:rsid w:val="00A77063"/>
    <w:rsid w:val="00A7795B"/>
    <w:rsid w:val="00A77B82"/>
    <w:rsid w:val="00A8280B"/>
    <w:rsid w:val="00A82828"/>
    <w:rsid w:val="00A83C38"/>
    <w:rsid w:val="00A8454C"/>
    <w:rsid w:val="00A850A4"/>
    <w:rsid w:val="00A85D82"/>
    <w:rsid w:val="00A85DA3"/>
    <w:rsid w:val="00A91AC4"/>
    <w:rsid w:val="00A95795"/>
    <w:rsid w:val="00A96310"/>
    <w:rsid w:val="00A97195"/>
    <w:rsid w:val="00AA281C"/>
    <w:rsid w:val="00AA42AF"/>
    <w:rsid w:val="00AA4657"/>
    <w:rsid w:val="00AB0C10"/>
    <w:rsid w:val="00AB172F"/>
    <w:rsid w:val="00AB3556"/>
    <w:rsid w:val="00AB5BA9"/>
    <w:rsid w:val="00AB7EF1"/>
    <w:rsid w:val="00AC10FF"/>
    <w:rsid w:val="00AC1C56"/>
    <w:rsid w:val="00AC3EF2"/>
    <w:rsid w:val="00AC4642"/>
    <w:rsid w:val="00AC53E4"/>
    <w:rsid w:val="00AC654C"/>
    <w:rsid w:val="00AC6F53"/>
    <w:rsid w:val="00AC7038"/>
    <w:rsid w:val="00AC7314"/>
    <w:rsid w:val="00AD16BF"/>
    <w:rsid w:val="00AD3E84"/>
    <w:rsid w:val="00AD42B0"/>
    <w:rsid w:val="00AD4791"/>
    <w:rsid w:val="00AD7C08"/>
    <w:rsid w:val="00AE04E8"/>
    <w:rsid w:val="00AE3BFD"/>
    <w:rsid w:val="00AE4A4E"/>
    <w:rsid w:val="00AE6304"/>
    <w:rsid w:val="00AE6839"/>
    <w:rsid w:val="00AF1783"/>
    <w:rsid w:val="00AF18E8"/>
    <w:rsid w:val="00AF4EA2"/>
    <w:rsid w:val="00AF7652"/>
    <w:rsid w:val="00B00408"/>
    <w:rsid w:val="00B00432"/>
    <w:rsid w:val="00B01A7B"/>
    <w:rsid w:val="00B032EB"/>
    <w:rsid w:val="00B03875"/>
    <w:rsid w:val="00B06161"/>
    <w:rsid w:val="00B0772D"/>
    <w:rsid w:val="00B07A0E"/>
    <w:rsid w:val="00B116C4"/>
    <w:rsid w:val="00B11BE2"/>
    <w:rsid w:val="00B136FC"/>
    <w:rsid w:val="00B13E5E"/>
    <w:rsid w:val="00B14372"/>
    <w:rsid w:val="00B158E9"/>
    <w:rsid w:val="00B15CA1"/>
    <w:rsid w:val="00B168E4"/>
    <w:rsid w:val="00B16F0A"/>
    <w:rsid w:val="00B2147D"/>
    <w:rsid w:val="00B21BA5"/>
    <w:rsid w:val="00B23218"/>
    <w:rsid w:val="00B232EF"/>
    <w:rsid w:val="00B236BE"/>
    <w:rsid w:val="00B24485"/>
    <w:rsid w:val="00B24B0E"/>
    <w:rsid w:val="00B252D5"/>
    <w:rsid w:val="00B2573F"/>
    <w:rsid w:val="00B25C64"/>
    <w:rsid w:val="00B26593"/>
    <w:rsid w:val="00B30544"/>
    <w:rsid w:val="00B308CA"/>
    <w:rsid w:val="00B312E6"/>
    <w:rsid w:val="00B321BD"/>
    <w:rsid w:val="00B34DB7"/>
    <w:rsid w:val="00B36EFC"/>
    <w:rsid w:val="00B406E0"/>
    <w:rsid w:val="00B42BE4"/>
    <w:rsid w:val="00B449A2"/>
    <w:rsid w:val="00B4713C"/>
    <w:rsid w:val="00B50094"/>
    <w:rsid w:val="00B500C3"/>
    <w:rsid w:val="00B50D04"/>
    <w:rsid w:val="00B51461"/>
    <w:rsid w:val="00B534B0"/>
    <w:rsid w:val="00B577F6"/>
    <w:rsid w:val="00B60853"/>
    <w:rsid w:val="00B6102A"/>
    <w:rsid w:val="00B63122"/>
    <w:rsid w:val="00B64617"/>
    <w:rsid w:val="00B65E81"/>
    <w:rsid w:val="00B67A48"/>
    <w:rsid w:val="00B67C99"/>
    <w:rsid w:val="00B72B5B"/>
    <w:rsid w:val="00B73CC6"/>
    <w:rsid w:val="00B7429D"/>
    <w:rsid w:val="00B765D8"/>
    <w:rsid w:val="00B76F4D"/>
    <w:rsid w:val="00B92FE3"/>
    <w:rsid w:val="00B9315C"/>
    <w:rsid w:val="00B94F6A"/>
    <w:rsid w:val="00B9607A"/>
    <w:rsid w:val="00B96969"/>
    <w:rsid w:val="00B971F6"/>
    <w:rsid w:val="00B97A24"/>
    <w:rsid w:val="00B97AD4"/>
    <w:rsid w:val="00BA0910"/>
    <w:rsid w:val="00BA1279"/>
    <w:rsid w:val="00BA20D2"/>
    <w:rsid w:val="00BA390B"/>
    <w:rsid w:val="00BA46F0"/>
    <w:rsid w:val="00BA5255"/>
    <w:rsid w:val="00BA5EB5"/>
    <w:rsid w:val="00BA5FCA"/>
    <w:rsid w:val="00BB3960"/>
    <w:rsid w:val="00BB3DA1"/>
    <w:rsid w:val="00BB5324"/>
    <w:rsid w:val="00BC0717"/>
    <w:rsid w:val="00BC2066"/>
    <w:rsid w:val="00BC3379"/>
    <w:rsid w:val="00BC37F9"/>
    <w:rsid w:val="00BC5B40"/>
    <w:rsid w:val="00BD0179"/>
    <w:rsid w:val="00BD0E20"/>
    <w:rsid w:val="00BD48A4"/>
    <w:rsid w:val="00BE0367"/>
    <w:rsid w:val="00BE50A7"/>
    <w:rsid w:val="00BE52AC"/>
    <w:rsid w:val="00BE6038"/>
    <w:rsid w:val="00BE7352"/>
    <w:rsid w:val="00BF0C9A"/>
    <w:rsid w:val="00BF117F"/>
    <w:rsid w:val="00BF1F96"/>
    <w:rsid w:val="00BF4444"/>
    <w:rsid w:val="00BF52B2"/>
    <w:rsid w:val="00BF5AE7"/>
    <w:rsid w:val="00BF5AFF"/>
    <w:rsid w:val="00C0100E"/>
    <w:rsid w:val="00C01566"/>
    <w:rsid w:val="00C01794"/>
    <w:rsid w:val="00C05DD3"/>
    <w:rsid w:val="00C07580"/>
    <w:rsid w:val="00C10735"/>
    <w:rsid w:val="00C108DF"/>
    <w:rsid w:val="00C11372"/>
    <w:rsid w:val="00C13B66"/>
    <w:rsid w:val="00C15A1E"/>
    <w:rsid w:val="00C17C0B"/>
    <w:rsid w:val="00C24478"/>
    <w:rsid w:val="00C30853"/>
    <w:rsid w:val="00C33607"/>
    <w:rsid w:val="00C34216"/>
    <w:rsid w:val="00C342DC"/>
    <w:rsid w:val="00C352AC"/>
    <w:rsid w:val="00C35846"/>
    <w:rsid w:val="00C365A1"/>
    <w:rsid w:val="00C379F3"/>
    <w:rsid w:val="00C406D8"/>
    <w:rsid w:val="00C42EAE"/>
    <w:rsid w:val="00C43C3E"/>
    <w:rsid w:val="00C43DC6"/>
    <w:rsid w:val="00C44102"/>
    <w:rsid w:val="00C50228"/>
    <w:rsid w:val="00C51EBB"/>
    <w:rsid w:val="00C55990"/>
    <w:rsid w:val="00C56101"/>
    <w:rsid w:val="00C5682F"/>
    <w:rsid w:val="00C56F33"/>
    <w:rsid w:val="00C57E5B"/>
    <w:rsid w:val="00C6335F"/>
    <w:rsid w:val="00C64B9F"/>
    <w:rsid w:val="00C66C8B"/>
    <w:rsid w:val="00C670BF"/>
    <w:rsid w:val="00C714CA"/>
    <w:rsid w:val="00C738A8"/>
    <w:rsid w:val="00C74651"/>
    <w:rsid w:val="00C7579F"/>
    <w:rsid w:val="00C778DC"/>
    <w:rsid w:val="00C805BD"/>
    <w:rsid w:val="00C82E3C"/>
    <w:rsid w:val="00C83FDC"/>
    <w:rsid w:val="00C848B4"/>
    <w:rsid w:val="00C84B8F"/>
    <w:rsid w:val="00C8665B"/>
    <w:rsid w:val="00C909B0"/>
    <w:rsid w:val="00C912E5"/>
    <w:rsid w:val="00C9242F"/>
    <w:rsid w:val="00C967EC"/>
    <w:rsid w:val="00C97A50"/>
    <w:rsid w:val="00CA19F4"/>
    <w:rsid w:val="00CA1AB1"/>
    <w:rsid w:val="00CA2190"/>
    <w:rsid w:val="00CA2284"/>
    <w:rsid w:val="00CA2917"/>
    <w:rsid w:val="00CA546C"/>
    <w:rsid w:val="00CA5F99"/>
    <w:rsid w:val="00CA6930"/>
    <w:rsid w:val="00CA6954"/>
    <w:rsid w:val="00CA6E5A"/>
    <w:rsid w:val="00CB1261"/>
    <w:rsid w:val="00CB19CE"/>
    <w:rsid w:val="00CB30E2"/>
    <w:rsid w:val="00CB3278"/>
    <w:rsid w:val="00CB421E"/>
    <w:rsid w:val="00CB4E0E"/>
    <w:rsid w:val="00CB6479"/>
    <w:rsid w:val="00CC2DF1"/>
    <w:rsid w:val="00CC6072"/>
    <w:rsid w:val="00CC6289"/>
    <w:rsid w:val="00CD0778"/>
    <w:rsid w:val="00CD32C1"/>
    <w:rsid w:val="00CD5350"/>
    <w:rsid w:val="00CD5488"/>
    <w:rsid w:val="00CD5D47"/>
    <w:rsid w:val="00CD607E"/>
    <w:rsid w:val="00CD67F0"/>
    <w:rsid w:val="00CD6A09"/>
    <w:rsid w:val="00CD7624"/>
    <w:rsid w:val="00CE1009"/>
    <w:rsid w:val="00CE153C"/>
    <w:rsid w:val="00CE1541"/>
    <w:rsid w:val="00CE2954"/>
    <w:rsid w:val="00CE2A61"/>
    <w:rsid w:val="00CE6B54"/>
    <w:rsid w:val="00CF1457"/>
    <w:rsid w:val="00CF1AF5"/>
    <w:rsid w:val="00CF2B92"/>
    <w:rsid w:val="00CF39E9"/>
    <w:rsid w:val="00CF3F56"/>
    <w:rsid w:val="00CF441A"/>
    <w:rsid w:val="00CF52B4"/>
    <w:rsid w:val="00CF7B30"/>
    <w:rsid w:val="00D002F9"/>
    <w:rsid w:val="00D00902"/>
    <w:rsid w:val="00D01380"/>
    <w:rsid w:val="00D02F32"/>
    <w:rsid w:val="00D03D26"/>
    <w:rsid w:val="00D0487D"/>
    <w:rsid w:val="00D0631C"/>
    <w:rsid w:val="00D06DF2"/>
    <w:rsid w:val="00D112D8"/>
    <w:rsid w:val="00D13DA4"/>
    <w:rsid w:val="00D15C6A"/>
    <w:rsid w:val="00D17349"/>
    <w:rsid w:val="00D17496"/>
    <w:rsid w:val="00D17C26"/>
    <w:rsid w:val="00D223D0"/>
    <w:rsid w:val="00D226F6"/>
    <w:rsid w:val="00D24E18"/>
    <w:rsid w:val="00D26BDC"/>
    <w:rsid w:val="00D26C6A"/>
    <w:rsid w:val="00D31F24"/>
    <w:rsid w:val="00D33E9B"/>
    <w:rsid w:val="00D3756A"/>
    <w:rsid w:val="00D40F4C"/>
    <w:rsid w:val="00D43577"/>
    <w:rsid w:val="00D471A8"/>
    <w:rsid w:val="00D5124A"/>
    <w:rsid w:val="00D51443"/>
    <w:rsid w:val="00D5426E"/>
    <w:rsid w:val="00D546AF"/>
    <w:rsid w:val="00D549A8"/>
    <w:rsid w:val="00D54B6B"/>
    <w:rsid w:val="00D55EE6"/>
    <w:rsid w:val="00D560AE"/>
    <w:rsid w:val="00D56DBC"/>
    <w:rsid w:val="00D57BEB"/>
    <w:rsid w:val="00D57C3B"/>
    <w:rsid w:val="00D57E03"/>
    <w:rsid w:val="00D61E78"/>
    <w:rsid w:val="00D62088"/>
    <w:rsid w:val="00D623DB"/>
    <w:rsid w:val="00D62E78"/>
    <w:rsid w:val="00D63E89"/>
    <w:rsid w:val="00D64BAA"/>
    <w:rsid w:val="00D67089"/>
    <w:rsid w:val="00D702F8"/>
    <w:rsid w:val="00D70BD7"/>
    <w:rsid w:val="00D73FC9"/>
    <w:rsid w:val="00D751BC"/>
    <w:rsid w:val="00D754F9"/>
    <w:rsid w:val="00D75BE3"/>
    <w:rsid w:val="00D76263"/>
    <w:rsid w:val="00D81251"/>
    <w:rsid w:val="00D81AD4"/>
    <w:rsid w:val="00D82BAC"/>
    <w:rsid w:val="00D83866"/>
    <w:rsid w:val="00D85553"/>
    <w:rsid w:val="00D85669"/>
    <w:rsid w:val="00D85FC6"/>
    <w:rsid w:val="00D86E8C"/>
    <w:rsid w:val="00D8724C"/>
    <w:rsid w:val="00D90D15"/>
    <w:rsid w:val="00D917CF"/>
    <w:rsid w:val="00D925A0"/>
    <w:rsid w:val="00D92C74"/>
    <w:rsid w:val="00D9481A"/>
    <w:rsid w:val="00D95071"/>
    <w:rsid w:val="00DA2150"/>
    <w:rsid w:val="00DA52CE"/>
    <w:rsid w:val="00DA75B4"/>
    <w:rsid w:val="00DB0957"/>
    <w:rsid w:val="00DB19A6"/>
    <w:rsid w:val="00DB462D"/>
    <w:rsid w:val="00DB5593"/>
    <w:rsid w:val="00DB58D8"/>
    <w:rsid w:val="00DB6BAE"/>
    <w:rsid w:val="00DB76EF"/>
    <w:rsid w:val="00DC1DEA"/>
    <w:rsid w:val="00DC2110"/>
    <w:rsid w:val="00DC31A5"/>
    <w:rsid w:val="00DC4467"/>
    <w:rsid w:val="00DC6A68"/>
    <w:rsid w:val="00DC6EA2"/>
    <w:rsid w:val="00DD0E8D"/>
    <w:rsid w:val="00DD313A"/>
    <w:rsid w:val="00DD4797"/>
    <w:rsid w:val="00DD4EE6"/>
    <w:rsid w:val="00DD5CBA"/>
    <w:rsid w:val="00DD61D2"/>
    <w:rsid w:val="00DE0984"/>
    <w:rsid w:val="00DE0DC9"/>
    <w:rsid w:val="00DE1062"/>
    <w:rsid w:val="00DE339E"/>
    <w:rsid w:val="00DE3E32"/>
    <w:rsid w:val="00DE4443"/>
    <w:rsid w:val="00DE4F2E"/>
    <w:rsid w:val="00DE5A6C"/>
    <w:rsid w:val="00DE6296"/>
    <w:rsid w:val="00DF1391"/>
    <w:rsid w:val="00DF18E2"/>
    <w:rsid w:val="00DF2FB7"/>
    <w:rsid w:val="00DF4B86"/>
    <w:rsid w:val="00DF66BB"/>
    <w:rsid w:val="00DF7A5B"/>
    <w:rsid w:val="00E002D1"/>
    <w:rsid w:val="00E03076"/>
    <w:rsid w:val="00E03B49"/>
    <w:rsid w:val="00E06B92"/>
    <w:rsid w:val="00E11DF5"/>
    <w:rsid w:val="00E13799"/>
    <w:rsid w:val="00E14623"/>
    <w:rsid w:val="00E160E8"/>
    <w:rsid w:val="00E16518"/>
    <w:rsid w:val="00E16BA3"/>
    <w:rsid w:val="00E17CDB"/>
    <w:rsid w:val="00E21D55"/>
    <w:rsid w:val="00E224D7"/>
    <w:rsid w:val="00E22A0E"/>
    <w:rsid w:val="00E23C55"/>
    <w:rsid w:val="00E246F0"/>
    <w:rsid w:val="00E24A32"/>
    <w:rsid w:val="00E24DE4"/>
    <w:rsid w:val="00E27397"/>
    <w:rsid w:val="00E30C98"/>
    <w:rsid w:val="00E32A83"/>
    <w:rsid w:val="00E331DD"/>
    <w:rsid w:val="00E33C59"/>
    <w:rsid w:val="00E3483F"/>
    <w:rsid w:val="00E372ED"/>
    <w:rsid w:val="00E43332"/>
    <w:rsid w:val="00E435FA"/>
    <w:rsid w:val="00E440F1"/>
    <w:rsid w:val="00E467DE"/>
    <w:rsid w:val="00E46ADF"/>
    <w:rsid w:val="00E46DBD"/>
    <w:rsid w:val="00E5289D"/>
    <w:rsid w:val="00E54009"/>
    <w:rsid w:val="00E54371"/>
    <w:rsid w:val="00E543DC"/>
    <w:rsid w:val="00E55924"/>
    <w:rsid w:val="00E55CDB"/>
    <w:rsid w:val="00E60C41"/>
    <w:rsid w:val="00E60D9D"/>
    <w:rsid w:val="00E61517"/>
    <w:rsid w:val="00E61770"/>
    <w:rsid w:val="00E61977"/>
    <w:rsid w:val="00E62522"/>
    <w:rsid w:val="00E6267C"/>
    <w:rsid w:val="00E62E9A"/>
    <w:rsid w:val="00E65E06"/>
    <w:rsid w:val="00E67E50"/>
    <w:rsid w:val="00E7022C"/>
    <w:rsid w:val="00E71184"/>
    <w:rsid w:val="00E7122B"/>
    <w:rsid w:val="00E71749"/>
    <w:rsid w:val="00E71911"/>
    <w:rsid w:val="00E71F6A"/>
    <w:rsid w:val="00E72E1C"/>
    <w:rsid w:val="00E72ECF"/>
    <w:rsid w:val="00E73E93"/>
    <w:rsid w:val="00E74C12"/>
    <w:rsid w:val="00E75E33"/>
    <w:rsid w:val="00E761E7"/>
    <w:rsid w:val="00E76A48"/>
    <w:rsid w:val="00E772A0"/>
    <w:rsid w:val="00E8012F"/>
    <w:rsid w:val="00E816E7"/>
    <w:rsid w:val="00E848BC"/>
    <w:rsid w:val="00E86344"/>
    <w:rsid w:val="00E86C96"/>
    <w:rsid w:val="00E86EC3"/>
    <w:rsid w:val="00E902B7"/>
    <w:rsid w:val="00E908E2"/>
    <w:rsid w:val="00E92361"/>
    <w:rsid w:val="00E959B2"/>
    <w:rsid w:val="00E95C76"/>
    <w:rsid w:val="00EA1BE6"/>
    <w:rsid w:val="00EA1E6A"/>
    <w:rsid w:val="00EA367A"/>
    <w:rsid w:val="00EA36F0"/>
    <w:rsid w:val="00EB3921"/>
    <w:rsid w:val="00EB4091"/>
    <w:rsid w:val="00EB4947"/>
    <w:rsid w:val="00EB5B6A"/>
    <w:rsid w:val="00EB7BA2"/>
    <w:rsid w:val="00EC0C43"/>
    <w:rsid w:val="00EC1EEF"/>
    <w:rsid w:val="00EC2690"/>
    <w:rsid w:val="00EC2B52"/>
    <w:rsid w:val="00EC7018"/>
    <w:rsid w:val="00EC736E"/>
    <w:rsid w:val="00ED02B8"/>
    <w:rsid w:val="00ED0F8F"/>
    <w:rsid w:val="00EE263B"/>
    <w:rsid w:val="00EE2FC0"/>
    <w:rsid w:val="00EE4555"/>
    <w:rsid w:val="00EE4F9E"/>
    <w:rsid w:val="00EE6ECD"/>
    <w:rsid w:val="00EF12AA"/>
    <w:rsid w:val="00EF3922"/>
    <w:rsid w:val="00EF4CDC"/>
    <w:rsid w:val="00EF5A3C"/>
    <w:rsid w:val="00F00170"/>
    <w:rsid w:val="00F036F3"/>
    <w:rsid w:val="00F0374D"/>
    <w:rsid w:val="00F04A22"/>
    <w:rsid w:val="00F06313"/>
    <w:rsid w:val="00F0636F"/>
    <w:rsid w:val="00F068AF"/>
    <w:rsid w:val="00F076D9"/>
    <w:rsid w:val="00F10B01"/>
    <w:rsid w:val="00F1114F"/>
    <w:rsid w:val="00F124F1"/>
    <w:rsid w:val="00F12899"/>
    <w:rsid w:val="00F12D18"/>
    <w:rsid w:val="00F138BA"/>
    <w:rsid w:val="00F154B4"/>
    <w:rsid w:val="00F16D69"/>
    <w:rsid w:val="00F179E1"/>
    <w:rsid w:val="00F17B95"/>
    <w:rsid w:val="00F24C48"/>
    <w:rsid w:val="00F26F9C"/>
    <w:rsid w:val="00F32718"/>
    <w:rsid w:val="00F34D7B"/>
    <w:rsid w:val="00F35EFB"/>
    <w:rsid w:val="00F36BF6"/>
    <w:rsid w:val="00F36D22"/>
    <w:rsid w:val="00F36DC8"/>
    <w:rsid w:val="00F36DD1"/>
    <w:rsid w:val="00F37DCB"/>
    <w:rsid w:val="00F40282"/>
    <w:rsid w:val="00F40A14"/>
    <w:rsid w:val="00F40E28"/>
    <w:rsid w:val="00F421EA"/>
    <w:rsid w:val="00F435D0"/>
    <w:rsid w:val="00F4422D"/>
    <w:rsid w:val="00F445A0"/>
    <w:rsid w:val="00F44C24"/>
    <w:rsid w:val="00F46C0B"/>
    <w:rsid w:val="00F51638"/>
    <w:rsid w:val="00F516C6"/>
    <w:rsid w:val="00F532CE"/>
    <w:rsid w:val="00F54076"/>
    <w:rsid w:val="00F54B8A"/>
    <w:rsid w:val="00F55717"/>
    <w:rsid w:val="00F55C39"/>
    <w:rsid w:val="00F60228"/>
    <w:rsid w:val="00F61CD5"/>
    <w:rsid w:val="00F63BBA"/>
    <w:rsid w:val="00F63F36"/>
    <w:rsid w:val="00F67CF4"/>
    <w:rsid w:val="00F71D17"/>
    <w:rsid w:val="00F726E4"/>
    <w:rsid w:val="00F7533A"/>
    <w:rsid w:val="00F7626A"/>
    <w:rsid w:val="00F778EA"/>
    <w:rsid w:val="00F77B88"/>
    <w:rsid w:val="00F801B9"/>
    <w:rsid w:val="00F80D75"/>
    <w:rsid w:val="00F843C5"/>
    <w:rsid w:val="00F844B4"/>
    <w:rsid w:val="00F848F2"/>
    <w:rsid w:val="00F84A92"/>
    <w:rsid w:val="00F84E3F"/>
    <w:rsid w:val="00F85943"/>
    <w:rsid w:val="00F85F89"/>
    <w:rsid w:val="00F86D52"/>
    <w:rsid w:val="00F8775F"/>
    <w:rsid w:val="00F87AE5"/>
    <w:rsid w:val="00F90875"/>
    <w:rsid w:val="00F90BB5"/>
    <w:rsid w:val="00F9338A"/>
    <w:rsid w:val="00F95A79"/>
    <w:rsid w:val="00F96900"/>
    <w:rsid w:val="00FA1086"/>
    <w:rsid w:val="00FA2329"/>
    <w:rsid w:val="00FA23E0"/>
    <w:rsid w:val="00FA3C76"/>
    <w:rsid w:val="00FA5BEE"/>
    <w:rsid w:val="00FA7DF3"/>
    <w:rsid w:val="00FB0C52"/>
    <w:rsid w:val="00FB52FC"/>
    <w:rsid w:val="00FB7976"/>
    <w:rsid w:val="00FC0563"/>
    <w:rsid w:val="00FC156C"/>
    <w:rsid w:val="00FC1DE8"/>
    <w:rsid w:val="00FC2BC6"/>
    <w:rsid w:val="00FC2F4E"/>
    <w:rsid w:val="00FC4191"/>
    <w:rsid w:val="00FC4C52"/>
    <w:rsid w:val="00FC5D3E"/>
    <w:rsid w:val="00FD070B"/>
    <w:rsid w:val="00FD0911"/>
    <w:rsid w:val="00FD0D8A"/>
    <w:rsid w:val="00FD1B42"/>
    <w:rsid w:val="00FD25EB"/>
    <w:rsid w:val="00FD31AD"/>
    <w:rsid w:val="00FD3E62"/>
    <w:rsid w:val="00FD406C"/>
    <w:rsid w:val="00FD4302"/>
    <w:rsid w:val="00FD46D0"/>
    <w:rsid w:val="00FD52C1"/>
    <w:rsid w:val="00FE33E9"/>
    <w:rsid w:val="00FE3B22"/>
    <w:rsid w:val="00FE3F2D"/>
    <w:rsid w:val="00FE4511"/>
    <w:rsid w:val="00FE4DA3"/>
    <w:rsid w:val="00FE509C"/>
    <w:rsid w:val="00FE6DEE"/>
    <w:rsid w:val="00FE7A03"/>
    <w:rsid w:val="00FF048A"/>
    <w:rsid w:val="00FF06D9"/>
    <w:rsid w:val="00FF1E39"/>
    <w:rsid w:val="00FF3166"/>
    <w:rsid w:val="00FF382D"/>
    <w:rsid w:val="00FF5568"/>
    <w:rsid w:val="00FF61E2"/>
    <w:rsid w:val="00FF6A53"/>
    <w:rsid w:val="00FF764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30544"/>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2"/>
      </w:numPr>
      <w:spacing w:before="360"/>
      <w:jc w:val="left"/>
      <w:outlineLvl w:val="0"/>
    </w:pPr>
    <w:rPr>
      <w:b/>
      <w:kern w:val="28"/>
      <w:sz w:val="32"/>
    </w:rPr>
  </w:style>
  <w:style w:type="paragraph" w:styleId="Heading2">
    <w:name w:val="heading 2"/>
    <w:basedOn w:val="Normal"/>
    <w:next w:val="Normal"/>
    <w:qFormat/>
    <w:rsid w:val="00C44102"/>
    <w:pPr>
      <w:keepNext/>
      <w:numPr>
        <w:ilvl w:val="1"/>
        <w:numId w:val="2"/>
      </w:numPr>
      <w:spacing w:before="360"/>
      <w:jc w:val="left"/>
      <w:outlineLvl w:val="1"/>
    </w:pPr>
    <w:rPr>
      <w:b/>
      <w:sz w:val="28"/>
    </w:rPr>
  </w:style>
  <w:style w:type="paragraph" w:styleId="Heading3">
    <w:name w:val="heading 3"/>
    <w:basedOn w:val="Normal"/>
    <w:next w:val="Normal"/>
    <w:link w:val="Heading3Char"/>
    <w:qFormat/>
    <w:rsid w:val="00DF7A5B"/>
    <w:pPr>
      <w:keepNext/>
      <w:numPr>
        <w:ilvl w:val="2"/>
        <w:numId w:val="2"/>
      </w:numPr>
      <w:spacing w:before="360"/>
      <w:outlineLvl w:val="2"/>
    </w:pPr>
    <w:rPr>
      <w:b/>
    </w:rPr>
  </w:style>
  <w:style w:type="paragraph" w:styleId="Heading4">
    <w:name w:val="heading 4"/>
    <w:basedOn w:val="Normal"/>
    <w:next w:val="Normal"/>
    <w:link w:val="Heading4Char"/>
    <w:qFormat/>
    <w:rsid w:val="00942F83"/>
    <w:pPr>
      <w:keepNext/>
      <w:tabs>
        <w:tab w:val="left" w:pos="1008"/>
      </w:tabs>
      <w:spacing w:before="360"/>
      <w:outlineLvl w:val="3"/>
    </w:pPr>
    <w:rPr>
      <w:rFonts w:ascii="Arial" w:hAnsi="Arial"/>
      <w:b/>
    </w:rPr>
  </w:style>
  <w:style w:type="paragraph" w:styleId="Heading5">
    <w:name w:val="heading 5"/>
    <w:basedOn w:val="Normal"/>
    <w:next w:val="Normal"/>
    <w:qFormat/>
    <w:rsid w:val="00942F83"/>
    <w:pPr>
      <w:keepNext/>
      <w:numPr>
        <w:ilvl w:val="4"/>
        <w:numId w:val="2"/>
      </w:numPr>
      <w:outlineLvl w:val="4"/>
    </w:pPr>
    <w:rPr>
      <w:b/>
    </w:rPr>
  </w:style>
  <w:style w:type="paragraph" w:styleId="Heading6">
    <w:name w:val="heading 6"/>
    <w:basedOn w:val="Normal"/>
    <w:next w:val="Normal"/>
    <w:qFormat/>
    <w:rsid w:val="00942F83"/>
    <w:pPr>
      <w:keepNext/>
      <w:jc w:val="center"/>
      <w:outlineLvl w:val="5"/>
    </w:pPr>
    <w:rPr>
      <w:b/>
    </w:rPr>
  </w:style>
  <w:style w:type="paragraph" w:styleId="Heading7">
    <w:name w:val="heading 7"/>
    <w:basedOn w:val="Normal"/>
    <w:next w:val="Normal"/>
    <w:qFormat/>
    <w:rsid w:val="00942F83"/>
    <w:pPr>
      <w:keepNext/>
      <w:numPr>
        <w:ilvl w:val="6"/>
        <w:numId w:val="2"/>
      </w:numPr>
      <w:outlineLvl w:val="6"/>
    </w:pPr>
    <w:rPr>
      <w:b/>
    </w:rPr>
  </w:style>
  <w:style w:type="paragraph" w:styleId="Heading8">
    <w:name w:val="heading 8"/>
    <w:basedOn w:val="Normal"/>
    <w:next w:val="Normal"/>
    <w:qFormat/>
    <w:rsid w:val="00942F83"/>
    <w:pPr>
      <w:keepNext/>
      <w:numPr>
        <w:ilvl w:val="7"/>
        <w:numId w:val="2"/>
      </w:numPr>
      <w:spacing w:before="120"/>
      <w:outlineLvl w:val="7"/>
    </w:pPr>
    <w:rPr>
      <w:b/>
    </w:rPr>
  </w:style>
  <w:style w:type="paragraph" w:styleId="Heading9">
    <w:name w:val="heading 9"/>
    <w:basedOn w:val="Normal"/>
    <w:next w:val="Normal"/>
    <w:qFormat/>
    <w:rsid w:val="00942F83"/>
    <w:pPr>
      <w:keepNext/>
      <w:numPr>
        <w:ilvl w:val="8"/>
        <w:numId w:val="2"/>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42F83"/>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E17CDB"/>
    <w:pPr>
      <w:spacing w:before="120"/>
    </w:pPr>
    <w:rPr>
      <w:szCs w:val="24"/>
    </w:rPr>
  </w:style>
  <w:style w:type="paragraph" w:styleId="ListNumber">
    <w:name w:val="List Number"/>
    <w:basedOn w:val="Normal"/>
    <w:rsid w:val="00C44102"/>
    <w:pPr>
      <w:numPr>
        <w:numId w:val="1"/>
      </w:numPr>
      <w:tabs>
        <w:tab w:val="clear" w:pos="360"/>
        <w:tab w:val="num" w:pos="851"/>
      </w:tabs>
      <w:spacing w:before="120"/>
      <w:ind w:left="850" w:hanging="425"/>
    </w:pPr>
  </w:style>
  <w:style w:type="paragraph" w:styleId="TOC1">
    <w:name w:val="toc 1"/>
    <w:basedOn w:val="Normal"/>
    <w:next w:val="Normal"/>
    <w:autoRedefine/>
    <w:uiPriority w:val="39"/>
    <w:rsid w:val="00942F83"/>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942F83"/>
    <w:pPr>
      <w:tabs>
        <w:tab w:val="left" w:pos="960"/>
        <w:tab w:val="right" w:leader="dot" w:pos="9016"/>
      </w:tabs>
      <w:spacing w:before="0"/>
      <w:ind w:left="990" w:hanging="750"/>
      <w:jc w:val="left"/>
    </w:pPr>
    <w:rPr>
      <w:noProof/>
    </w:rPr>
  </w:style>
  <w:style w:type="paragraph" w:styleId="BalloonText">
    <w:name w:val="Balloon Text"/>
    <w:basedOn w:val="Normal"/>
    <w:semiHidden/>
    <w:rsid w:val="00942F83"/>
    <w:rPr>
      <w:rFonts w:ascii="Tahoma" w:hAnsi="Tahoma" w:cs="Tahoma"/>
      <w:sz w:val="16"/>
      <w:szCs w:val="16"/>
    </w:rPr>
  </w:style>
  <w:style w:type="paragraph" w:styleId="EndnoteText">
    <w:name w:val="endnote text"/>
    <w:basedOn w:val="Normal"/>
    <w:semiHidden/>
    <w:rsid w:val="00942F83"/>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942F83"/>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942F83"/>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1502E6"/>
    <w:pPr>
      <w:spacing w:before="0"/>
      <w:ind w:left="482"/>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character" w:customStyle="1" w:styleId="Heading1Char">
    <w:name w:val="Heading 1 Char"/>
    <w:basedOn w:val="DefaultParagraphFont"/>
    <w:link w:val="Heading1"/>
    <w:rsid w:val="009200F0"/>
    <w:rPr>
      <w:rFonts w:ascii="Verdana" w:hAnsi="Verdana"/>
      <w:b/>
      <w:kern w:val="28"/>
      <w:sz w:val="32"/>
      <w:lang w:val="en-GB" w:eastAsia="en-US" w:bidi="ar-SA"/>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NormalWeb">
    <w:name w:val="Normal (Web)"/>
    <w:basedOn w:val="Normal"/>
    <w:uiPriority w:val="99"/>
    <w:rsid w:val="00F138BA"/>
    <w:pPr>
      <w:spacing w:before="100" w:beforeAutospacing="1" w:after="100" w:afterAutospacing="1"/>
      <w:jc w:val="left"/>
    </w:pPr>
    <w:rPr>
      <w:rFonts w:ascii="Times New Roman" w:hAnsi="Times New Roman"/>
      <w:szCs w:val="24"/>
      <w:lang w:eastAsia="en-GB"/>
    </w:rPr>
  </w:style>
  <w:style w:type="character" w:styleId="Emphasis">
    <w:name w:val="Emphasis"/>
    <w:basedOn w:val="DefaultParagraphFont"/>
    <w:uiPriority w:val="20"/>
    <w:qFormat/>
    <w:rsid w:val="00522297"/>
    <w:rPr>
      <w:i/>
      <w:iCs/>
    </w:rPr>
  </w:style>
  <w:style w:type="character" w:styleId="Strong">
    <w:name w:val="Strong"/>
    <w:basedOn w:val="DefaultParagraphFont"/>
    <w:qFormat/>
    <w:rsid w:val="00047A7E"/>
    <w:rPr>
      <w:b/>
      <w:bCs/>
    </w:rPr>
  </w:style>
  <w:style w:type="table" w:styleId="TableClassic1">
    <w:name w:val="Table Classic 1"/>
    <w:basedOn w:val="TableNormal"/>
    <w:rsid w:val="00207A16"/>
    <w:pPr>
      <w:spacing w:before="240"/>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DocumentMap">
    <w:name w:val="Document Map"/>
    <w:basedOn w:val="Normal"/>
    <w:semiHidden/>
    <w:rsid w:val="00CA6954"/>
    <w:pPr>
      <w:shd w:val="clear" w:color="auto" w:fill="000080"/>
    </w:pPr>
    <w:rPr>
      <w:rFonts w:ascii="Tahoma" w:hAnsi="Tahoma" w:cs="Tahoma"/>
      <w:sz w:val="20"/>
    </w:rPr>
  </w:style>
  <w:style w:type="paragraph" w:styleId="BodyText">
    <w:name w:val="Body Text"/>
    <w:basedOn w:val="Normal"/>
    <w:next w:val="Normal"/>
    <w:rsid w:val="00AF4EA2"/>
    <w:pPr>
      <w:autoSpaceDE w:val="0"/>
      <w:autoSpaceDN w:val="0"/>
      <w:adjustRightInd w:val="0"/>
      <w:spacing w:before="0"/>
      <w:jc w:val="left"/>
    </w:pPr>
    <w:rPr>
      <w:rFonts w:ascii="Arial" w:hAnsi="Arial"/>
      <w:szCs w:val="24"/>
      <w:lang w:eastAsia="en-GB"/>
    </w:rPr>
  </w:style>
  <w:style w:type="paragraph" w:customStyle="1" w:styleId="Bulletin-Intro">
    <w:name w:val="Bulletin-Intro"/>
    <w:basedOn w:val="Normal"/>
    <w:next w:val="Normal"/>
    <w:rsid w:val="005B3E56"/>
    <w:pPr>
      <w:autoSpaceDE w:val="0"/>
      <w:autoSpaceDN w:val="0"/>
      <w:adjustRightInd w:val="0"/>
      <w:spacing w:before="0" w:after="400"/>
      <w:jc w:val="left"/>
    </w:pPr>
    <w:rPr>
      <w:rFonts w:ascii="Arial" w:hAnsi="Arial"/>
      <w:szCs w:val="24"/>
      <w:lang w:eastAsia="en-GB"/>
    </w:rPr>
  </w:style>
  <w:style w:type="character" w:customStyle="1" w:styleId="Heading3Char">
    <w:name w:val="Heading 3 Char"/>
    <w:basedOn w:val="DefaultParagraphFont"/>
    <w:link w:val="Heading3"/>
    <w:rsid w:val="00693922"/>
    <w:rPr>
      <w:rFonts w:ascii="Verdana" w:hAnsi="Verdana"/>
      <w:b/>
      <w:sz w:val="24"/>
      <w:lang w:val="en-GB" w:eastAsia="en-US" w:bidi="ar-SA"/>
    </w:rPr>
  </w:style>
  <w:style w:type="paragraph" w:customStyle="1" w:styleId="heading4verdana">
    <w:name w:val="heading 4 verdana"/>
    <w:basedOn w:val="Heading4"/>
    <w:link w:val="heading4verdanaChar"/>
    <w:rsid w:val="0056216B"/>
    <w:rPr>
      <w:rFonts w:ascii="Verdana" w:hAnsi="Verdana"/>
    </w:rPr>
  </w:style>
  <w:style w:type="character" w:customStyle="1" w:styleId="Heading4Char">
    <w:name w:val="Heading 4 Char"/>
    <w:basedOn w:val="DefaultParagraphFont"/>
    <w:link w:val="Heading4"/>
    <w:rsid w:val="0056216B"/>
    <w:rPr>
      <w:rFonts w:ascii="Arial" w:hAnsi="Arial"/>
      <w:b/>
      <w:sz w:val="24"/>
      <w:lang w:val="en-GB" w:eastAsia="en-US" w:bidi="ar-SA"/>
    </w:rPr>
  </w:style>
  <w:style w:type="character" w:customStyle="1" w:styleId="heading4verdanaChar">
    <w:name w:val="heading 4 verdana Char"/>
    <w:basedOn w:val="Heading4Char"/>
    <w:link w:val="heading4verdana"/>
    <w:rsid w:val="0056216B"/>
    <w:rPr>
      <w:rFonts w:ascii="Verdana" w:hAnsi="Verdana"/>
    </w:rPr>
  </w:style>
  <w:style w:type="character" w:styleId="CommentReference">
    <w:name w:val="annotation reference"/>
    <w:basedOn w:val="DefaultParagraphFont"/>
    <w:semiHidden/>
    <w:rsid w:val="006F5E20"/>
    <w:rPr>
      <w:sz w:val="16"/>
      <w:szCs w:val="16"/>
    </w:rPr>
  </w:style>
  <w:style w:type="paragraph" w:styleId="CommentText">
    <w:name w:val="annotation text"/>
    <w:basedOn w:val="Normal"/>
    <w:link w:val="CommentTextChar"/>
    <w:semiHidden/>
    <w:rsid w:val="006F5E20"/>
    <w:rPr>
      <w:sz w:val="20"/>
    </w:rPr>
  </w:style>
  <w:style w:type="paragraph" w:styleId="CommentSubject">
    <w:name w:val="annotation subject"/>
    <w:basedOn w:val="CommentText"/>
    <w:next w:val="CommentText"/>
    <w:semiHidden/>
    <w:rsid w:val="006F5E20"/>
    <w:rPr>
      <w:b/>
      <w:bCs/>
    </w:rPr>
  </w:style>
  <w:style w:type="paragraph" w:styleId="ListParagraph">
    <w:name w:val="List Paragraph"/>
    <w:basedOn w:val="Normal"/>
    <w:uiPriority w:val="34"/>
    <w:qFormat/>
    <w:rsid w:val="00F848F2"/>
    <w:pPr>
      <w:ind w:left="720"/>
      <w:contextualSpacing/>
    </w:pPr>
  </w:style>
  <w:style w:type="paragraph" w:styleId="TableofFigures">
    <w:name w:val="table of figures"/>
    <w:basedOn w:val="Normal"/>
    <w:next w:val="Normal"/>
    <w:uiPriority w:val="99"/>
    <w:rsid w:val="00C909B0"/>
    <w:pPr>
      <w:spacing w:before="0"/>
    </w:pPr>
  </w:style>
  <w:style w:type="character" w:styleId="HTMLCite">
    <w:name w:val="HTML Cite"/>
    <w:basedOn w:val="DefaultParagraphFont"/>
    <w:uiPriority w:val="99"/>
    <w:unhideWhenUsed/>
    <w:rsid w:val="00331A0F"/>
    <w:rPr>
      <w:i/>
      <w:iCs/>
    </w:rPr>
  </w:style>
  <w:style w:type="character" w:customStyle="1" w:styleId="CommentTextChar">
    <w:name w:val="Comment Text Char"/>
    <w:basedOn w:val="DefaultParagraphFont"/>
    <w:link w:val="CommentText"/>
    <w:semiHidden/>
    <w:rsid w:val="0007019F"/>
    <w:rPr>
      <w:rFonts w:ascii="Verdana" w:hAnsi="Verdana"/>
      <w:lang w:eastAsia="en-US"/>
    </w:rPr>
  </w:style>
</w:styles>
</file>

<file path=word/webSettings.xml><?xml version="1.0" encoding="utf-8"?>
<w:webSettings xmlns:r="http://schemas.openxmlformats.org/officeDocument/2006/relationships" xmlns:w="http://schemas.openxmlformats.org/wordprocessingml/2006/main">
  <w:divs>
    <w:div w:id="28453428">
      <w:bodyDiv w:val="1"/>
      <w:marLeft w:val="0"/>
      <w:marRight w:val="0"/>
      <w:marTop w:val="0"/>
      <w:marBottom w:val="0"/>
      <w:divBdr>
        <w:top w:val="none" w:sz="0" w:space="0" w:color="auto"/>
        <w:left w:val="none" w:sz="0" w:space="0" w:color="auto"/>
        <w:bottom w:val="none" w:sz="0" w:space="0" w:color="auto"/>
        <w:right w:val="none" w:sz="0" w:space="0" w:color="auto"/>
      </w:divBdr>
    </w:div>
    <w:div w:id="45840324">
      <w:bodyDiv w:val="1"/>
      <w:marLeft w:val="0"/>
      <w:marRight w:val="0"/>
      <w:marTop w:val="0"/>
      <w:marBottom w:val="0"/>
      <w:divBdr>
        <w:top w:val="none" w:sz="0" w:space="0" w:color="auto"/>
        <w:left w:val="none" w:sz="0" w:space="0" w:color="auto"/>
        <w:bottom w:val="none" w:sz="0" w:space="0" w:color="auto"/>
        <w:right w:val="none" w:sz="0" w:space="0" w:color="auto"/>
      </w:divBdr>
    </w:div>
    <w:div w:id="70007366">
      <w:bodyDiv w:val="1"/>
      <w:marLeft w:val="0"/>
      <w:marRight w:val="0"/>
      <w:marTop w:val="0"/>
      <w:marBottom w:val="0"/>
      <w:divBdr>
        <w:top w:val="none" w:sz="0" w:space="0" w:color="auto"/>
        <w:left w:val="none" w:sz="0" w:space="0" w:color="auto"/>
        <w:bottom w:val="none" w:sz="0" w:space="0" w:color="auto"/>
        <w:right w:val="none" w:sz="0" w:space="0" w:color="auto"/>
      </w:divBdr>
    </w:div>
    <w:div w:id="75322771">
      <w:bodyDiv w:val="1"/>
      <w:marLeft w:val="0"/>
      <w:marRight w:val="0"/>
      <w:marTop w:val="0"/>
      <w:marBottom w:val="0"/>
      <w:divBdr>
        <w:top w:val="none" w:sz="0" w:space="0" w:color="auto"/>
        <w:left w:val="none" w:sz="0" w:space="0" w:color="auto"/>
        <w:bottom w:val="none" w:sz="0" w:space="0" w:color="auto"/>
        <w:right w:val="none" w:sz="0" w:space="0" w:color="auto"/>
      </w:divBdr>
      <w:divsChild>
        <w:div w:id="1865635259">
          <w:marLeft w:val="0"/>
          <w:marRight w:val="0"/>
          <w:marTop w:val="100"/>
          <w:marBottom w:val="100"/>
          <w:divBdr>
            <w:top w:val="none" w:sz="0" w:space="0" w:color="auto"/>
            <w:left w:val="none" w:sz="0" w:space="0" w:color="auto"/>
            <w:bottom w:val="none" w:sz="0" w:space="0" w:color="auto"/>
            <w:right w:val="none" w:sz="0" w:space="0" w:color="auto"/>
          </w:divBdr>
          <w:divsChild>
            <w:div w:id="648752054">
              <w:marLeft w:val="0"/>
              <w:marRight w:val="0"/>
              <w:marTop w:val="100"/>
              <w:marBottom w:val="100"/>
              <w:divBdr>
                <w:top w:val="none" w:sz="0" w:space="0" w:color="auto"/>
                <w:left w:val="none" w:sz="0" w:space="0" w:color="auto"/>
                <w:bottom w:val="none" w:sz="0" w:space="0" w:color="auto"/>
                <w:right w:val="none" w:sz="0" w:space="0" w:color="auto"/>
              </w:divBdr>
              <w:divsChild>
                <w:div w:id="1799371351">
                  <w:marLeft w:val="0"/>
                  <w:marRight w:val="0"/>
                  <w:marTop w:val="0"/>
                  <w:marBottom w:val="0"/>
                  <w:divBdr>
                    <w:top w:val="none" w:sz="0" w:space="0" w:color="auto"/>
                    <w:left w:val="none" w:sz="0" w:space="0" w:color="auto"/>
                    <w:bottom w:val="none" w:sz="0" w:space="0" w:color="auto"/>
                    <w:right w:val="none" w:sz="0" w:space="0" w:color="auto"/>
                  </w:divBdr>
                  <w:divsChild>
                    <w:div w:id="1234855699">
                      <w:marLeft w:val="37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24346">
      <w:bodyDiv w:val="1"/>
      <w:marLeft w:val="0"/>
      <w:marRight w:val="0"/>
      <w:marTop w:val="0"/>
      <w:marBottom w:val="0"/>
      <w:divBdr>
        <w:top w:val="none" w:sz="0" w:space="0" w:color="auto"/>
        <w:left w:val="none" w:sz="0" w:space="0" w:color="auto"/>
        <w:bottom w:val="none" w:sz="0" w:space="0" w:color="auto"/>
        <w:right w:val="none" w:sz="0" w:space="0" w:color="auto"/>
      </w:divBdr>
    </w:div>
    <w:div w:id="124470219">
      <w:bodyDiv w:val="1"/>
      <w:marLeft w:val="0"/>
      <w:marRight w:val="0"/>
      <w:marTop w:val="0"/>
      <w:marBottom w:val="0"/>
      <w:divBdr>
        <w:top w:val="none" w:sz="0" w:space="0" w:color="auto"/>
        <w:left w:val="none" w:sz="0" w:space="0" w:color="auto"/>
        <w:bottom w:val="none" w:sz="0" w:space="0" w:color="auto"/>
        <w:right w:val="none" w:sz="0" w:space="0" w:color="auto"/>
      </w:divBdr>
    </w:div>
    <w:div w:id="142159659">
      <w:bodyDiv w:val="1"/>
      <w:marLeft w:val="0"/>
      <w:marRight w:val="0"/>
      <w:marTop w:val="0"/>
      <w:marBottom w:val="0"/>
      <w:divBdr>
        <w:top w:val="none" w:sz="0" w:space="0" w:color="auto"/>
        <w:left w:val="none" w:sz="0" w:space="0" w:color="auto"/>
        <w:bottom w:val="none" w:sz="0" w:space="0" w:color="auto"/>
        <w:right w:val="none" w:sz="0" w:space="0" w:color="auto"/>
      </w:divBdr>
    </w:div>
    <w:div w:id="148180877">
      <w:bodyDiv w:val="1"/>
      <w:marLeft w:val="0"/>
      <w:marRight w:val="0"/>
      <w:marTop w:val="0"/>
      <w:marBottom w:val="0"/>
      <w:divBdr>
        <w:top w:val="none" w:sz="0" w:space="0" w:color="auto"/>
        <w:left w:val="none" w:sz="0" w:space="0" w:color="auto"/>
        <w:bottom w:val="none" w:sz="0" w:space="0" w:color="auto"/>
        <w:right w:val="none" w:sz="0" w:space="0" w:color="auto"/>
      </w:divBdr>
    </w:div>
    <w:div w:id="186258355">
      <w:bodyDiv w:val="1"/>
      <w:marLeft w:val="0"/>
      <w:marRight w:val="0"/>
      <w:marTop w:val="0"/>
      <w:marBottom w:val="0"/>
      <w:divBdr>
        <w:top w:val="none" w:sz="0" w:space="0" w:color="auto"/>
        <w:left w:val="none" w:sz="0" w:space="0" w:color="auto"/>
        <w:bottom w:val="none" w:sz="0" w:space="0" w:color="auto"/>
        <w:right w:val="none" w:sz="0" w:space="0" w:color="auto"/>
      </w:divBdr>
    </w:div>
    <w:div w:id="208692106">
      <w:bodyDiv w:val="1"/>
      <w:marLeft w:val="0"/>
      <w:marRight w:val="0"/>
      <w:marTop w:val="0"/>
      <w:marBottom w:val="0"/>
      <w:divBdr>
        <w:top w:val="none" w:sz="0" w:space="0" w:color="auto"/>
        <w:left w:val="none" w:sz="0" w:space="0" w:color="auto"/>
        <w:bottom w:val="none" w:sz="0" w:space="0" w:color="auto"/>
        <w:right w:val="none" w:sz="0" w:space="0" w:color="auto"/>
      </w:divBdr>
      <w:divsChild>
        <w:div w:id="2042049326">
          <w:marLeft w:val="1"/>
          <w:marRight w:val="1"/>
          <w:marTop w:val="2"/>
          <w:marBottom w:val="2"/>
          <w:divBdr>
            <w:top w:val="single" w:sz="6" w:space="0" w:color="000000"/>
            <w:left w:val="single" w:sz="6" w:space="0" w:color="000000"/>
            <w:bottom w:val="single" w:sz="6" w:space="0" w:color="000000"/>
            <w:right w:val="single" w:sz="6" w:space="0" w:color="000000"/>
          </w:divBdr>
          <w:divsChild>
            <w:div w:id="702754792">
              <w:marLeft w:val="300"/>
              <w:marRight w:val="300"/>
              <w:marTop w:val="0"/>
              <w:marBottom w:val="0"/>
              <w:divBdr>
                <w:top w:val="none" w:sz="0" w:space="0" w:color="auto"/>
                <w:left w:val="none" w:sz="0" w:space="0" w:color="auto"/>
                <w:bottom w:val="none" w:sz="0" w:space="0" w:color="auto"/>
                <w:right w:val="none" w:sz="0" w:space="0" w:color="auto"/>
              </w:divBdr>
              <w:divsChild>
                <w:div w:id="32731828">
                  <w:marLeft w:val="0"/>
                  <w:marRight w:val="0"/>
                  <w:marTop w:val="0"/>
                  <w:marBottom w:val="0"/>
                  <w:divBdr>
                    <w:top w:val="none" w:sz="0" w:space="0" w:color="auto"/>
                    <w:left w:val="none" w:sz="0" w:space="0" w:color="auto"/>
                    <w:bottom w:val="none" w:sz="0" w:space="0" w:color="auto"/>
                    <w:right w:val="none" w:sz="0" w:space="0" w:color="auto"/>
                  </w:divBdr>
                </w:div>
                <w:div w:id="86848574">
                  <w:marLeft w:val="0"/>
                  <w:marRight w:val="0"/>
                  <w:marTop w:val="0"/>
                  <w:marBottom w:val="0"/>
                  <w:divBdr>
                    <w:top w:val="none" w:sz="0" w:space="0" w:color="auto"/>
                    <w:left w:val="none" w:sz="0" w:space="0" w:color="auto"/>
                    <w:bottom w:val="none" w:sz="0" w:space="0" w:color="auto"/>
                    <w:right w:val="none" w:sz="0" w:space="0" w:color="auto"/>
                  </w:divBdr>
                </w:div>
                <w:div w:id="120729593">
                  <w:marLeft w:val="0"/>
                  <w:marRight w:val="0"/>
                  <w:marTop w:val="0"/>
                  <w:marBottom w:val="0"/>
                  <w:divBdr>
                    <w:top w:val="none" w:sz="0" w:space="0" w:color="auto"/>
                    <w:left w:val="none" w:sz="0" w:space="0" w:color="auto"/>
                    <w:bottom w:val="none" w:sz="0" w:space="0" w:color="auto"/>
                    <w:right w:val="none" w:sz="0" w:space="0" w:color="auto"/>
                  </w:divBdr>
                </w:div>
                <w:div w:id="136264606">
                  <w:marLeft w:val="0"/>
                  <w:marRight w:val="0"/>
                  <w:marTop w:val="0"/>
                  <w:marBottom w:val="0"/>
                  <w:divBdr>
                    <w:top w:val="none" w:sz="0" w:space="0" w:color="auto"/>
                    <w:left w:val="none" w:sz="0" w:space="0" w:color="auto"/>
                    <w:bottom w:val="none" w:sz="0" w:space="0" w:color="auto"/>
                    <w:right w:val="none" w:sz="0" w:space="0" w:color="auto"/>
                  </w:divBdr>
                </w:div>
                <w:div w:id="137455444">
                  <w:marLeft w:val="0"/>
                  <w:marRight w:val="0"/>
                  <w:marTop w:val="0"/>
                  <w:marBottom w:val="0"/>
                  <w:divBdr>
                    <w:top w:val="none" w:sz="0" w:space="0" w:color="auto"/>
                    <w:left w:val="none" w:sz="0" w:space="0" w:color="auto"/>
                    <w:bottom w:val="none" w:sz="0" w:space="0" w:color="auto"/>
                    <w:right w:val="none" w:sz="0" w:space="0" w:color="auto"/>
                  </w:divBdr>
                </w:div>
                <w:div w:id="140082609">
                  <w:marLeft w:val="0"/>
                  <w:marRight w:val="0"/>
                  <w:marTop w:val="0"/>
                  <w:marBottom w:val="0"/>
                  <w:divBdr>
                    <w:top w:val="none" w:sz="0" w:space="0" w:color="auto"/>
                    <w:left w:val="none" w:sz="0" w:space="0" w:color="auto"/>
                    <w:bottom w:val="none" w:sz="0" w:space="0" w:color="auto"/>
                    <w:right w:val="none" w:sz="0" w:space="0" w:color="auto"/>
                  </w:divBdr>
                </w:div>
                <w:div w:id="388655536">
                  <w:marLeft w:val="0"/>
                  <w:marRight w:val="0"/>
                  <w:marTop w:val="0"/>
                  <w:marBottom w:val="0"/>
                  <w:divBdr>
                    <w:top w:val="none" w:sz="0" w:space="0" w:color="auto"/>
                    <w:left w:val="none" w:sz="0" w:space="0" w:color="auto"/>
                    <w:bottom w:val="none" w:sz="0" w:space="0" w:color="auto"/>
                    <w:right w:val="none" w:sz="0" w:space="0" w:color="auto"/>
                  </w:divBdr>
                </w:div>
                <w:div w:id="440875826">
                  <w:marLeft w:val="0"/>
                  <w:marRight w:val="0"/>
                  <w:marTop w:val="0"/>
                  <w:marBottom w:val="0"/>
                  <w:divBdr>
                    <w:top w:val="none" w:sz="0" w:space="0" w:color="auto"/>
                    <w:left w:val="none" w:sz="0" w:space="0" w:color="auto"/>
                    <w:bottom w:val="none" w:sz="0" w:space="0" w:color="auto"/>
                    <w:right w:val="none" w:sz="0" w:space="0" w:color="auto"/>
                  </w:divBdr>
                </w:div>
                <w:div w:id="482162936">
                  <w:marLeft w:val="0"/>
                  <w:marRight w:val="0"/>
                  <w:marTop w:val="0"/>
                  <w:marBottom w:val="0"/>
                  <w:divBdr>
                    <w:top w:val="none" w:sz="0" w:space="0" w:color="auto"/>
                    <w:left w:val="none" w:sz="0" w:space="0" w:color="auto"/>
                    <w:bottom w:val="none" w:sz="0" w:space="0" w:color="auto"/>
                    <w:right w:val="none" w:sz="0" w:space="0" w:color="auto"/>
                  </w:divBdr>
                </w:div>
                <w:div w:id="542525101">
                  <w:marLeft w:val="0"/>
                  <w:marRight w:val="0"/>
                  <w:marTop w:val="0"/>
                  <w:marBottom w:val="0"/>
                  <w:divBdr>
                    <w:top w:val="none" w:sz="0" w:space="0" w:color="auto"/>
                    <w:left w:val="none" w:sz="0" w:space="0" w:color="auto"/>
                    <w:bottom w:val="none" w:sz="0" w:space="0" w:color="auto"/>
                    <w:right w:val="none" w:sz="0" w:space="0" w:color="auto"/>
                  </w:divBdr>
                </w:div>
                <w:div w:id="553003315">
                  <w:marLeft w:val="0"/>
                  <w:marRight w:val="0"/>
                  <w:marTop w:val="0"/>
                  <w:marBottom w:val="0"/>
                  <w:divBdr>
                    <w:top w:val="none" w:sz="0" w:space="0" w:color="auto"/>
                    <w:left w:val="none" w:sz="0" w:space="0" w:color="auto"/>
                    <w:bottom w:val="none" w:sz="0" w:space="0" w:color="auto"/>
                    <w:right w:val="none" w:sz="0" w:space="0" w:color="auto"/>
                  </w:divBdr>
                </w:div>
                <w:div w:id="617880537">
                  <w:marLeft w:val="0"/>
                  <w:marRight w:val="0"/>
                  <w:marTop w:val="0"/>
                  <w:marBottom w:val="0"/>
                  <w:divBdr>
                    <w:top w:val="none" w:sz="0" w:space="0" w:color="auto"/>
                    <w:left w:val="none" w:sz="0" w:space="0" w:color="auto"/>
                    <w:bottom w:val="none" w:sz="0" w:space="0" w:color="auto"/>
                    <w:right w:val="none" w:sz="0" w:space="0" w:color="auto"/>
                  </w:divBdr>
                </w:div>
                <w:div w:id="675108919">
                  <w:marLeft w:val="0"/>
                  <w:marRight w:val="0"/>
                  <w:marTop w:val="0"/>
                  <w:marBottom w:val="0"/>
                  <w:divBdr>
                    <w:top w:val="none" w:sz="0" w:space="0" w:color="auto"/>
                    <w:left w:val="none" w:sz="0" w:space="0" w:color="auto"/>
                    <w:bottom w:val="none" w:sz="0" w:space="0" w:color="auto"/>
                    <w:right w:val="none" w:sz="0" w:space="0" w:color="auto"/>
                  </w:divBdr>
                </w:div>
                <w:div w:id="675156475">
                  <w:marLeft w:val="0"/>
                  <w:marRight w:val="0"/>
                  <w:marTop w:val="0"/>
                  <w:marBottom w:val="0"/>
                  <w:divBdr>
                    <w:top w:val="none" w:sz="0" w:space="0" w:color="auto"/>
                    <w:left w:val="none" w:sz="0" w:space="0" w:color="auto"/>
                    <w:bottom w:val="none" w:sz="0" w:space="0" w:color="auto"/>
                    <w:right w:val="none" w:sz="0" w:space="0" w:color="auto"/>
                  </w:divBdr>
                </w:div>
                <w:div w:id="776145276">
                  <w:marLeft w:val="0"/>
                  <w:marRight w:val="0"/>
                  <w:marTop w:val="0"/>
                  <w:marBottom w:val="0"/>
                  <w:divBdr>
                    <w:top w:val="none" w:sz="0" w:space="0" w:color="auto"/>
                    <w:left w:val="none" w:sz="0" w:space="0" w:color="auto"/>
                    <w:bottom w:val="none" w:sz="0" w:space="0" w:color="auto"/>
                    <w:right w:val="none" w:sz="0" w:space="0" w:color="auto"/>
                  </w:divBdr>
                </w:div>
                <w:div w:id="835070958">
                  <w:marLeft w:val="0"/>
                  <w:marRight w:val="0"/>
                  <w:marTop w:val="0"/>
                  <w:marBottom w:val="0"/>
                  <w:divBdr>
                    <w:top w:val="none" w:sz="0" w:space="0" w:color="auto"/>
                    <w:left w:val="none" w:sz="0" w:space="0" w:color="auto"/>
                    <w:bottom w:val="none" w:sz="0" w:space="0" w:color="auto"/>
                    <w:right w:val="none" w:sz="0" w:space="0" w:color="auto"/>
                  </w:divBdr>
                </w:div>
                <w:div w:id="979337196">
                  <w:marLeft w:val="0"/>
                  <w:marRight w:val="0"/>
                  <w:marTop w:val="0"/>
                  <w:marBottom w:val="0"/>
                  <w:divBdr>
                    <w:top w:val="none" w:sz="0" w:space="0" w:color="auto"/>
                    <w:left w:val="none" w:sz="0" w:space="0" w:color="auto"/>
                    <w:bottom w:val="none" w:sz="0" w:space="0" w:color="auto"/>
                    <w:right w:val="none" w:sz="0" w:space="0" w:color="auto"/>
                  </w:divBdr>
                </w:div>
                <w:div w:id="1070008028">
                  <w:marLeft w:val="0"/>
                  <w:marRight w:val="0"/>
                  <w:marTop w:val="0"/>
                  <w:marBottom w:val="0"/>
                  <w:divBdr>
                    <w:top w:val="none" w:sz="0" w:space="0" w:color="auto"/>
                    <w:left w:val="none" w:sz="0" w:space="0" w:color="auto"/>
                    <w:bottom w:val="none" w:sz="0" w:space="0" w:color="auto"/>
                    <w:right w:val="none" w:sz="0" w:space="0" w:color="auto"/>
                  </w:divBdr>
                </w:div>
                <w:div w:id="1184593742">
                  <w:marLeft w:val="0"/>
                  <w:marRight w:val="0"/>
                  <w:marTop w:val="0"/>
                  <w:marBottom w:val="0"/>
                  <w:divBdr>
                    <w:top w:val="none" w:sz="0" w:space="0" w:color="auto"/>
                    <w:left w:val="none" w:sz="0" w:space="0" w:color="auto"/>
                    <w:bottom w:val="none" w:sz="0" w:space="0" w:color="auto"/>
                    <w:right w:val="none" w:sz="0" w:space="0" w:color="auto"/>
                  </w:divBdr>
                </w:div>
                <w:div w:id="1246115306">
                  <w:marLeft w:val="0"/>
                  <w:marRight w:val="0"/>
                  <w:marTop w:val="0"/>
                  <w:marBottom w:val="0"/>
                  <w:divBdr>
                    <w:top w:val="none" w:sz="0" w:space="0" w:color="auto"/>
                    <w:left w:val="none" w:sz="0" w:space="0" w:color="auto"/>
                    <w:bottom w:val="none" w:sz="0" w:space="0" w:color="auto"/>
                    <w:right w:val="none" w:sz="0" w:space="0" w:color="auto"/>
                  </w:divBdr>
                </w:div>
                <w:div w:id="1365136185">
                  <w:marLeft w:val="0"/>
                  <w:marRight w:val="0"/>
                  <w:marTop w:val="0"/>
                  <w:marBottom w:val="0"/>
                  <w:divBdr>
                    <w:top w:val="none" w:sz="0" w:space="0" w:color="auto"/>
                    <w:left w:val="none" w:sz="0" w:space="0" w:color="auto"/>
                    <w:bottom w:val="none" w:sz="0" w:space="0" w:color="auto"/>
                    <w:right w:val="none" w:sz="0" w:space="0" w:color="auto"/>
                  </w:divBdr>
                </w:div>
                <w:div w:id="1381591499">
                  <w:marLeft w:val="0"/>
                  <w:marRight w:val="0"/>
                  <w:marTop w:val="0"/>
                  <w:marBottom w:val="0"/>
                  <w:divBdr>
                    <w:top w:val="none" w:sz="0" w:space="0" w:color="auto"/>
                    <w:left w:val="none" w:sz="0" w:space="0" w:color="auto"/>
                    <w:bottom w:val="none" w:sz="0" w:space="0" w:color="auto"/>
                    <w:right w:val="none" w:sz="0" w:space="0" w:color="auto"/>
                  </w:divBdr>
                </w:div>
                <w:div w:id="1465123627">
                  <w:marLeft w:val="0"/>
                  <w:marRight w:val="0"/>
                  <w:marTop w:val="0"/>
                  <w:marBottom w:val="0"/>
                  <w:divBdr>
                    <w:top w:val="none" w:sz="0" w:space="0" w:color="auto"/>
                    <w:left w:val="none" w:sz="0" w:space="0" w:color="auto"/>
                    <w:bottom w:val="none" w:sz="0" w:space="0" w:color="auto"/>
                    <w:right w:val="none" w:sz="0" w:space="0" w:color="auto"/>
                  </w:divBdr>
                </w:div>
                <w:div w:id="1521161658">
                  <w:marLeft w:val="0"/>
                  <w:marRight w:val="0"/>
                  <w:marTop w:val="0"/>
                  <w:marBottom w:val="0"/>
                  <w:divBdr>
                    <w:top w:val="none" w:sz="0" w:space="0" w:color="auto"/>
                    <w:left w:val="none" w:sz="0" w:space="0" w:color="auto"/>
                    <w:bottom w:val="none" w:sz="0" w:space="0" w:color="auto"/>
                    <w:right w:val="none" w:sz="0" w:space="0" w:color="auto"/>
                  </w:divBdr>
                </w:div>
                <w:div w:id="1608346087">
                  <w:marLeft w:val="0"/>
                  <w:marRight w:val="0"/>
                  <w:marTop w:val="0"/>
                  <w:marBottom w:val="0"/>
                  <w:divBdr>
                    <w:top w:val="none" w:sz="0" w:space="0" w:color="auto"/>
                    <w:left w:val="none" w:sz="0" w:space="0" w:color="auto"/>
                    <w:bottom w:val="none" w:sz="0" w:space="0" w:color="auto"/>
                    <w:right w:val="none" w:sz="0" w:space="0" w:color="auto"/>
                  </w:divBdr>
                </w:div>
                <w:div w:id="1618103496">
                  <w:marLeft w:val="0"/>
                  <w:marRight w:val="0"/>
                  <w:marTop w:val="0"/>
                  <w:marBottom w:val="0"/>
                  <w:divBdr>
                    <w:top w:val="none" w:sz="0" w:space="0" w:color="auto"/>
                    <w:left w:val="none" w:sz="0" w:space="0" w:color="auto"/>
                    <w:bottom w:val="none" w:sz="0" w:space="0" w:color="auto"/>
                    <w:right w:val="none" w:sz="0" w:space="0" w:color="auto"/>
                  </w:divBdr>
                </w:div>
                <w:div w:id="1630279106">
                  <w:marLeft w:val="0"/>
                  <w:marRight w:val="0"/>
                  <w:marTop w:val="0"/>
                  <w:marBottom w:val="0"/>
                  <w:divBdr>
                    <w:top w:val="none" w:sz="0" w:space="0" w:color="auto"/>
                    <w:left w:val="none" w:sz="0" w:space="0" w:color="auto"/>
                    <w:bottom w:val="none" w:sz="0" w:space="0" w:color="auto"/>
                    <w:right w:val="none" w:sz="0" w:space="0" w:color="auto"/>
                  </w:divBdr>
                </w:div>
                <w:div w:id="1720477135">
                  <w:marLeft w:val="0"/>
                  <w:marRight w:val="0"/>
                  <w:marTop w:val="0"/>
                  <w:marBottom w:val="0"/>
                  <w:divBdr>
                    <w:top w:val="none" w:sz="0" w:space="0" w:color="auto"/>
                    <w:left w:val="none" w:sz="0" w:space="0" w:color="auto"/>
                    <w:bottom w:val="none" w:sz="0" w:space="0" w:color="auto"/>
                    <w:right w:val="none" w:sz="0" w:space="0" w:color="auto"/>
                  </w:divBdr>
                  <w:divsChild>
                    <w:div w:id="717897518">
                      <w:marLeft w:val="0"/>
                      <w:marRight w:val="0"/>
                      <w:marTop w:val="0"/>
                      <w:marBottom w:val="0"/>
                      <w:divBdr>
                        <w:top w:val="none" w:sz="0" w:space="0" w:color="auto"/>
                        <w:left w:val="none" w:sz="0" w:space="0" w:color="auto"/>
                        <w:bottom w:val="none" w:sz="0" w:space="0" w:color="auto"/>
                        <w:right w:val="none" w:sz="0" w:space="0" w:color="auto"/>
                      </w:divBdr>
                    </w:div>
                    <w:div w:id="1787002258">
                      <w:marLeft w:val="0"/>
                      <w:marRight w:val="0"/>
                      <w:marTop w:val="0"/>
                      <w:marBottom w:val="0"/>
                      <w:divBdr>
                        <w:top w:val="none" w:sz="0" w:space="0" w:color="auto"/>
                        <w:left w:val="none" w:sz="0" w:space="0" w:color="auto"/>
                        <w:bottom w:val="none" w:sz="0" w:space="0" w:color="auto"/>
                        <w:right w:val="none" w:sz="0" w:space="0" w:color="auto"/>
                      </w:divBdr>
                    </w:div>
                    <w:div w:id="1794253257">
                      <w:marLeft w:val="0"/>
                      <w:marRight w:val="0"/>
                      <w:marTop w:val="0"/>
                      <w:marBottom w:val="0"/>
                      <w:divBdr>
                        <w:top w:val="none" w:sz="0" w:space="0" w:color="auto"/>
                        <w:left w:val="none" w:sz="0" w:space="0" w:color="auto"/>
                        <w:bottom w:val="none" w:sz="0" w:space="0" w:color="auto"/>
                        <w:right w:val="none" w:sz="0" w:space="0" w:color="auto"/>
                      </w:divBdr>
                    </w:div>
                  </w:divsChild>
                </w:div>
                <w:div w:id="1920093183">
                  <w:marLeft w:val="0"/>
                  <w:marRight w:val="0"/>
                  <w:marTop w:val="0"/>
                  <w:marBottom w:val="0"/>
                  <w:divBdr>
                    <w:top w:val="none" w:sz="0" w:space="0" w:color="auto"/>
                    <w:left w:val="none" w:sz="0" w:space="0" w:color="auto"/>
                    <w:bottom w:val="none" w:sz="0" w:space="0" w:color="auto"/>
                    <w:right w:val="none" w:sz="0" w:space="0" w:color="auto"/>
                  </w:divBdr>
                </w:div>
                <w:div w:id="2053264372">
                  <w:marLeft w:val="0"/>
                  <w:marRight w:val="0"/>
                  <w:marTop w:val="0"/>
                  <w:marBottom w:val="0"/>
                  <w:divBdr>
                    <w:top w:val="none" w:sz="0" w:space="0" w:color="auto"/>
                    <w:left w:val="none" w:sz="0" w:space="0" w:color="auto"/>
                    <w:bottom w:val="none" w:sz="0" w:space="0" w:color="auto"/>
                    <w:right w:val="none" w:sz="0" w:space="0" w:color="auto"/>
                  </w:divBdr>
                </w:div>
                <w:div w:id="207646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143854">
      <w:bodyDiv w:val="1"/>
      <w:marLeft w:val="0"/>
      <w:marRight w:val="0"/>
      <w:marTop w:val="0"/>
      <w:marBottom w:val="0"/>
      <w:divBdr>
        <w:top w:val="none" w:sz="0" w:space="0" w:color="auto"/>
        <w:left w:val="none" w:sz="0" w:space="0" w:color="auto"/>
        <w:bottom w:val="none" w:sz="0" w:space="0" w:color="auto"/>
        <w:right w:val="none" w:sz="0" w:space="0" w:color="auto"/>
      </w:divBdr>
      <w:divsChild>
        <w:div w:id="1114833353">
          <w:marLeft w:val="0"/>
          <w:marRight w:val="0"/>
          <w:marTop w:val="0"/>
          <w:marBottom w:val="240"/>
          <w:divBdr>
            <w:top w:val="none" w:sz="0" w:space="0" w:color="auto"/>
            <w:left w:val="none" w:sz="0" w:space="0" w:color="auto"/>
            <w:bottom w:val="none" w:sz="0" w:space="0" w:color="auto"/>
            <w:right w:val="none" w:sz="0" w:space="0" w:color="auto"/>
          </w:divBdr>
          <w:divsChild>
            <w:div w:id="903490465">
              <w:marLeft w:val="0"/>
              <w:marRight w:val="0"/>
              <w:marTop w:val="0"/>
              <w:marBottom w:val="0"/>
              <w:divBdr>
                <w:top w:val="none" w:sz="0" w:space="0" w:color="auto"/>
                <w:left w:val="none" w:sz="0" w:space="0" w:color="auto"/>
                <w:bottom w:val="none" w:sz="0" w:space="0" w:color="auto"/>
                <w:right w:val="none" w:sz="0" w:space="0" w:color="auto"/>
              </w:divBdr>
              <w:divsChild>
                <w:div w:id="172258383">
                  <w:marLeft w:val="0"/>
                  <w:marRight w:val="0"/>
                  <w:marTop w:val="0"/>
                  <w:marBottom w:val="0"/>
                  <w:divBdr>
                    <w:top w:val="none" w:sz="0" w:space="0" w:color="auto"/>
                    <w:left w:val="none" w:sz="0" w:space="0" w:color="auto"/>
                    <w:bottom w:val="none" w:sz="0" w:space="0" w:color="auto"/>
                    <w:right w:val="none" w:sz="0" w:space="0" w:color="auto"/>
                  </w:divBdr>
                  <w:divsChild>
                    <w:div w:id="1485664401">
                      <w:marLeft w:val="0"/>
                      <w:marRight w:val="0"/>
                      <w:marTop w:val="0"/>
                      <w:marBottom w:val="0"/>
                      <w:divBdr>
                        <w:top w:val="none" w:sz="0" w:space="0" w:color="auto"/>
                        <w:left w:val="none" w:sz="0" w:space="0" w:color="auto"/>
                        <w:bottom w:val="none" w:sz="0" w:space="0" w:color="auto"/>
                        <w:right w:val="none" w:sz="0" w:space="0" w:color="auto"/>
                      </w:divBdr>
                      <w:divsChild>
                        <w:div w:id="937298330">
                          <w:marLeft w:val="0"/>
                          <w:marRight w:val="0"/>
                          <w:marTop w:val="0"/>
                          <w:marBottom w:val="120"/>
                          <w:divBdr>
                            <w:top w:val="none" w:sz="0" w:space="0" w:color="auto"/>
                            <w:left w:val="none" w:sz="0" w:space="0" w:color="auto"/>
                            <w:bottom w:val="none" w:sz="0" w:space="0" w:color="auto"/>
                            <w:right w:val="none" w:sz="0" w:space="0" w:color="auto"/>
                          </w:divBdr>
                          <w:divsChild>
                            <w:div w:id="1228763786">
                              <w:marLeft w:val="0"/>
                              <w:marRight w:val="0"/>
                              <w:marTop w:val="0"/>
                              <w:marBottom w:val="0"/>
                              <w:divBdr>
                                <w:top w:val="none" w:sz="0" w:space="0" w:color="auto"/>
                                <w:left w:val="none" w:sz="0" w:space="0" w:color="auto"/>
                                <w:bottom w:val="none" w:sz="0" w:space="0" w:color="auto"/>
                                <w:right w:val="none" w:sz="0" w:space="0" w:color="auto"/>
                              </w:divBdr>
                              <w:divsChild>
                                <w:div w:id="131499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7762782">
      <w:bodyDiv w:val="1"/>
      <w:marLeft w:val="0"/>
      <w:marRight w:val="0"/>
      <w:marTop w:val="0"/>
      <w:marBottom w:val="0"/>
      <w:divBdr>
        <w:top w:val="none" w:sz="0" w:space="0" w:color="auto"/>
        <w:left w:val="none" w:sz="0" w:space="0" w:color="auto"/>
        <w:bottom w:val="none" w:sz="0" w:space="0" w:color="auto"/>
        <w:right w:val="none" w:sz="0" w:space="0" w:color="auto"/>
      </w:divBdr>
    </w:div>
    <w:div w:id="250086803">
      <w:bodyDiv w:val="1"/>
      <w:marLeft w:val="0"/>
      <w:marRight w:val="0"/>
      <w:marTop w:val="0"/>
      <w:marBottom w:val="0"/>
      <w:divBdr>
        <w:top w:val="none" w:sz="0" w:space="0" w:color="auto"/>
        <w:left w:val="none" w:sz="0" w:space="0" w:color="auto"/>
        <w:bottom w:val="none" w:sz="0" w:space="0" w:color="auto"/>
        <w:right w:val="none" w:sz="0" w:space="0" w:color="auto"/>
      </w:divBdr>
    </w:div>
    <w:div w:id="268436114">
      <w:bodyDiv w:val="1"/>
      <w:marLeft w:val="0"/>
      <w:marRight w:val="0"/>
      <w:marTop w:val="0"/>
      <w:marBottom w:val="0"/>
      <w:divBdr>
        <w:top w:val="none" w:sz="0" w:space="0" w:color="auto"/>
        <w:left w:val="none" w:sz="0" w:space="0" w:color="auto"/>
        <w:bottom w:val="none" w:sz="0" w:space="0" w:color="auto"/>
        <w:right w:val="none" w:sz="0" w:space="0" w:color="auto"/>
      </w:divBdr>
      <w:divsChild>
        <w:div w:id="288778498">
          <w:marLeft w:val="1"/>
          <w:marRight w:val="1"/>
          <w:marTop w:val="2"/>
          <w:marBottom w:val="2"/>
          <w:divBdr>
            <w:top w:val="single" w:sz="6" w:space="0" w:color="000000"/>
            <w:left w:val="single" w:sz="6" w:space="0" w:color="000000"/>
            <w:bottom w:val="single" w:sz="6" w:space="0" w:color="000000"/>
            <w:right w:val="single" w:sz="6" w:space="0" w:color="000000"/>
          </w:divBdr>
          <w:divsChild>
            <w:div w:id="949438269">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289433069">
      <w:bodyDiv w:val="1"/>
      <w:marLeft w:val="0"/>
      <w:marRight w:val="0"/>
      <w:marTop w:val="0"/>
      <w:marBottom w:val="0"/>
      <w:divBdr>
        <w:top w:val="none" w:sz="0" w:space="0" w:color="auto"/>
        <w:left w:val="none" w:sz="0" w:space="0" w:color="auto"/>
        <w:bottom w:val="none" w:sz="0" w:space="0" w:color="auto"/>
        <w:right w:val="none" w:sz="0" w:space="0" w:color="auto"/>
      </w:divBdr>
    </w:div>
    <w:div w:id="323971961">
      <w:bodyDiv w:val="1"/>
      <w:marLeft w:val="0"/>
      <w:marRight w:val="0"/>
      <w:marTop w:val="0"/>
      <w:marBottom w:val="0"/>
      <w:divBdr>
        <w:top w:val="none" w:sz="0" w:space="0" w:color="auto"/>
        <w:left w:val="none" w:sz="0" w:space="0" w:color="auto"/>
        <w:bottom w:val="none" w:sz="0" w:space="0" w:color="auto"/>
        <w:right w:val="none" w:sz="0" w:space="0" w:color="auto"/>
      </w:divBdr>
    </w:div>
    <w:div w:id="340282017">
      <w:bodyDiv w:val="1"/>
      <w:marLeft w:val="0"/>
      <w:marRight w:val="0"/>
      <w:marTop w:val="0"/>
      <w:marBottom w:val="0"/>
      <w:divBdr>
        <w:top w:val="none" w:sz="0" w:space="0" w:color="auto"/>
        <w:left w:val="none" w:sz="0" w:space="0" w:color="auto"/>
        <w:bottom w:val="none" w:sz="0" w:space="0" w:color="auto"/>
        <w:right w:val="none" w:sz="0" w:space="0" w:color="auto"/>
      </w:divBdr>
    </w:div>
    <w:div w:id="381026628">
      <w:bodyDiv w:val="1"/>
      <w:marLeft w:val="0"/>
      <w:marRight w:val="0"/>
      <w:marTop w:val="0"/>
      <w:marBottom w:val="0"/>
      <w:divBdr>
        <w:top w:val="none" w:sz="0" w:space="0" w:color="auto"/>
        <w:left w:val="none" w:sz="0" w:space="0" w:color="auto"/>
        <w:bottom w:val="none" w:sz="0" w:space="0" w:color="auto"/>
        <w:right w:val="none" w:sz="0" w:space="0" w:color="auto"/>
      </w:divBdr>
    </w:div>
    <w:div w:id="391391268">
      <w:bodyDiv w:val="1"/>
      <w:marLeft w:val="0"/>
      <w:marRight w:val="0"/>
      <w:marTop w:val="0"/>
      <w:marBottom w:val="0"/>
      <w:divBdr>
        <w:top w:val="none" w:sz="0" w:space="0" w:color="auto"/>
        <w:left w:val="none" w:sz="0" w:space="0" w:color="auto"/>
        <w:bottom w:val="none" w:sz="0" w:space="0" w:color="auto"/>
        <w:right w:val="none" w:sz="0" w:space="0" w:color="auto"/>
      </w:divBdr>
    </w:div>
    <w:div w:id="512764751">
      <w:bodyDiv w:val="1"/>
      <w:marLeft w:val="0"/>
      <w:marRight w:val="0"/>
      <w:marTop w:val="0"/>
      <w:marBottom w:val="0"/>
      <w:divBdr>
        <w:top w:val="none" w:sz="0" w:space="0" w:color="auto"/>
        <w:left w:val="none" w:sz="0" w:space="0" w:color="auto"/>
        <w:bottom w:val="none" w:sz="0" w:space="0" w:color="auto"/>
        <w:right w:val="none" w:sz="0" w:space="0" w:color="auto"/>
      </w:divBdr>
    </w:div>
    <w:div w:id="548490608">
      <w:bodyDiv w:val="1"/>
      <w:marLeft w:val="0"/>
      <w:marRight w:val="0"/>
      <w:marTop w:val="0"/>
      <w:marBottom w:val="0"/>
      <w:divBdr>
        <w:top w:val="none" w:sz="0" w:space="0" w:color="auto"/>
        <w:left w:val="none" w:sz="0" w:space="0" w:color="auto"/>
        <w:bottom w:val="none" w:sz="0" w:space="0" w:color="auto"/>
        <w:right w:val="none" w:sz="0" w:space="0" w:color="auto"/>
      </w:divBdr>
    </w:div>
    <w:div w:id="555361881">
      <w:bodyDiv w:val="1"/>
      <w:marLeft w:val="0"/>
      <w:marRight w:val="0"/>
      <w:marTop w:val="0"/>
      <w:marBottom w:val="0"/>
      <w:divBdr>
        <w:top w:val="none" w:sz="0" w:space="0" w:color="auto"/>
        <w:left w:val="none" w:sz="0" w:space="0" w:color="auto"/>
        <w:bottom w:val="none" w:sz="0" w:space="0" w:color="auto"/>
        <w:right w:val="none" w:sz="0" w:space="0" w:color="auto"/>
      </w:divBdr>
    </w:div>
    <w:div w:id="583144271">
      <w:bodyDiv w:val="1"/>
      <w:marLeft w:val="0"/>
      <w:marRight w:val="0"/>
      <w:marTop w:val="0"/>
      <w:marBottom w:val="0"/>
      <w:divBdr>
        <w:top w:val="none" w:sz="0" w:space="0" w:color="auto"/>
        <w:left w:val="none" w:sz="0" w:space="0" w:color="auto"/>
        <w:bottom w:val="none" w:sz="0" w:space="0" w:color="auto"/>
        <w:right w:val="none" w:sz="0" w:space="0" w:color="auto"/>
      </w:divBdr>
    </w:div>
    <w:div w:id="607004579">
      <w:bodyDiv w:val="1"/>
      <w:marLeft w:val="0"/>
      <w:marRight w:val="0"/>
      <w:marTop w:val="0"/>
      <w:marBottom w:val="0"/>
      <w:divBdr>
        <w:top w:val="none" w:sz="0" w:space="0" w:color="auto"/>
        <w:left w:val="none" w:sz="0" w:space="0" w:color="auto"/>
        <w:bottom w:val="none" w:sz="0" w:space="0" w:color="auto"/>
        <w:right w:val="none" w:sz="0" w:space="0" w:color="auto"/>
      </w:divBdr>
    </w:div>
    <w:div w:id="609826257">
      <w:bodyDiv w:val="1"/>
      <w:marLeft w:val="0"/>
      <w:marRight w:val="0"/>
      <w:marTop w:val="0"/>
      <w:marBottom w:val="0"/>
      <w:divBdr>
        <w:top w:val="none" w:sz="0" w:space="0" w:color="auto"/>
        <w:left w:val="none" w:sz="0" w:space="0" w:color="auto"/>
        <w:bottom w:val="none" w:sz="0" w:space="0" w:color="auto"/>
        <w:right w:val="none" w:sz="0" w:space="0" w:color="auto"/>
      </w:divBdr>
    </w:div>
    <w:div w:id="628753339">
      <w:bodyDiv w:val="1"/>
      <w:marLeft w:val="0"/>
      <w:marRight w:val="0"/>
      <w:marTop w:val="0"/>
      <w:marBottom w:val="0"/>
      <w:divBdr>
        <w:top w:val="none" w:sz="0" w:space="0" w:color="auto"/>
        <w:left w:val="none" w:sz="0" w:space="0" w:color="auto"/>
        <w:bottom w:val="none" w:sz="0" w:space="0" w:color="auto"/>
        <w:right w:val="none" w:sz="0" w:space="0" w:color="auto"/>
      </w:divBdr>
    </w:div>
    <w:div w:id="660888357">
      <w:bodyDiv w:val="1"/>
      <w:marLeft w:val="0"/>
      <w:marRight w:val="0"/>
      <w:marTop w:val="0"/>
      <w:marBottom w:val="0"/>
      <w:divBdr>
        <w:top w:val="none" w:sz="0" w:space="0" w:color="auto"/>
        <w:left w:val="none" w:sz="0" w:space="0" w:color="auto"/>
        <w:bottom w:val="none" w:sz="0" w:space="0" w:color="auto"/>
        <w:right w:val="none" w:sz="0" w:space="0" w:color="auto"/>
      </w:divBdr>
      <w:divsChild>
        <w:div w:id="1432823855">
          <w:marLeft w:val="0"/>
          <w:marRight w:val="0"/>
          <w:marTop w:val="100"/>
          <w:marBottom w:val="100"/>
          <w:divBdr>
            <w:top w:val="none" w:sz="0" w:space="0" w:color="auto"/>
            <w:left w:val="none" w:sz="0" w:space="0" w:color="auto"/>
            <w:bottom w:val="none" w:sz="0" w:space="0" w:color="auto"/>
            <w:right w:val="none" w:sz="0" w:space="0" w:color="auto"/>
          </w:divBdr>
          <w:divsChild>
            <w:div w:id="1453864916">
              <w:marLeft w:val="0"/>
              <w:marRight w:val="0"/>
              <w:marTop w:val="100"/>
              <w:marBottom w:val="100"/>
              <w:divBdr>
                <w:top w:val="none" w:sz="0" w:space="0" w:color="auto"/>
                <w:left w:val="none" w:sz="0" w:space="0" w:color="auto"/>
                <w:bottom w:val="none" w:sz="0" w:space="0" w:color="auto"/>
                <w:right w:val="none" w:sz="0" w:space="0" w:color="auto"/>
              </w:divBdr>
              <w:divsChild>
                <w:div w:id="46728945">
                  <w:marLeft w:val="0"/>
                  <w:marRight w:val="0"/>
                  <w:marTop w:val="0"/>
                  <w:marBottom w:val="0"/>
                  <w:divBdr>
                    <w:top w:val="none" w:sz="0" w:space="0" w:color="auto"/>
                    <w:left w:val="none" w:sz="0" w:space="0" w:color="auto"/>
                    <w:bottom w:val="none" w:sz="0" w:space="0" w:color="auto"/>
                    <w:right w:val="none" w:sz="0" w:space="0" w:color="auto"/>
                  </w:divBdr>
                  <w:divsChild>
                    <w:div w:id="542207594">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788943">
      <w:bodyDiv w:val="1"/>
      <w:marLeft w:val="0"/>
      <w:marRight w:val="0"/>
      <w:marTop w:val="0"/>
      <w:marBottom w:val="0"/>
      <w:divBdr>
        <w:top w:val="none" w:sz="0" w:space="0" w:color="auto"/>
        <w:left w:val="none" w:sz="0" w:space="0" w:color="auto"/>
        <w:bottom w:val="none" w:sz="0" w:space="0" w:color="auto"/>
        <w:right w:val="none" w:sz="0" w:space="0" w:color="auto"/>
      </w:divBdr>
    </w:div>
    <w:div w:id="768231695">
      <w:bodyDiv w:val="1"/>
      <w:marLeft w:val="0"/>
      <w:marRight w:val="0"/>
      <w:marTop w:val="0"/>
      <w:marBottom w:val="0"/>
      <w:divBdr>
        <w:top w:val="none" w:sz="0" w:space="0" w:color="auto"/>
        <w:left w:val="none" w:sz="0" w:space="0" w:color="auto"/>
        <w:bottom w:val="none" w:sz="0" w:space="0" w:color="auto"/>
        <w:right w:val="none" w:sz="0" w:space="0" w:color="auto"/>
      </w:divBdr>
      <w:divsChild>
        <w:div w:id="1366364052">
          <w:marLeft w:val="1"/>
          <w:marRight w:val="1"/>
          <w:marTop w:val="2"/>
          <w:marBottom w:val="2"/>
          <w:divBdr>
            <w:top w:val="single" w:sz="6" w:space="0" w:color="000000"/>
            <w:left w:val="single" w:sz="6" w:space="0" w:color="000000"/>
            <w:bottom w:val="single" w:sz="6" w:space="0" w:color="000000"/>
            <w:right w:val="single" w:sz="6" w:space="0" w:color="000000"/>
          </w:divBdr>
          <w:divsChild>
            <w:div w:id="334721828">
              <w:marLeft w:val="300"/>
              <w:marRight w:val="300"/>
              <w:marTop w:val="0"/>
              <w:marBottom w:val="0"/>
              <w:divBdr>
                <w:top w:val="none" w:sz="0" w:space="0" w:color="auto"/>
                <w:left w:val="none" w:sz="0" w:space="0" w:color="auto"/>
                <w:bottom w:val="none" w:sz="0" w:space="0" w:color="auto"/>
                <w:right w:val="none" w:sz="0" w:space="0" w:color="auto"/>
              </w:divBdr>
              <w:divsChild>
                <w:div w:id="48158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6976">
      <w:bodyDiv w:val="1"/>
      <w:marLeft w:val="0"/>
      <w:marRight w:val="0"/>
      <w:marTop w:val="0"/>
      <w:marBottom w:val="0"/>
      <w:divBdr>
        <w:top w:val="none" w:sz="0" w:space="0" w:color="auto"/>
        <w:left w:val="none" w:sz="0" w:space="0" w:color="auto"/>
        <w:bottom w:val="none" w:sz="0" w:space="0" w:color="auto"/>
        <w:right w:val="none" w:sz="0" w:space="0" w:color="auto"/>
      </w:divBdr>
      <w:divsChild>
        <w:div w:id="270433664">
          <w:marLeft w:val="0"/>
          <w:marRight w:val="0"/>
          <w:marTop w:val="0"/>
          <w:marBottom w:val="0"/>
          <w:divBdr>
            <w:top w:val="none" w:sz="0" w:space="0" w:color="auto"/>
            <w:left w:val="none" w:sz="0" w:space="0" w:color="auto"/>
            <w:bottom w:val="none" w:sz="0" w:space="0" w:color="auto"/>
            <w:right w:val="none" w:sz="0" w:space="0" w:color="auto"/>
          </w:divBdr>
        </w:div>
        <w:div w:id="558134070">
          <w:marLeft w:val="0"/>
          <w:marRight w:val="0"/>
          <w:marTop w:val="0"/>
          <w:marBottom w:val="0"/>
          <w:divBdr>
            <w:top w:val="none" w:sz="0" w:space="0" w:color="auto"/>
            <w:left w:val="none" w:sz="0" w:space="0" w:color="auto"/>
            <w:bottom w:val="none" w:sz="0" w:space="0" w:color="auto"/>
            <w:right w:val="none" w:sz="0" w:space="0" w:color="auto"/>
          </w:divBdr>
        </w:div>
        <w:div w:id="702629531">
          <w:marLeft w:val="0"/>
          <w:marRight w:val="0"/>
          <w:marTop w:val="0"/>
          <w:marBottom w:val="0"/>
          <w:divBdr>
            <w:top w:val="none" w:sz="0" w:space="0" w:color="auto"/>
            <w:left w:val="none" w:sz="0" w:space="0" w:color="auto"/>
            <w:bottom w:val="none" w:sz="0" w:space="0" w:color="auto"/>
            <w:right w:val="none" w:sz="0" w:space="0" w:color="auto"/>
          </w:divBdr>
        </w:div>
        <w:div w:id="783422534">
          <w:marLeft w:val="0"/>
          <w:marRight w:val="0"/>
          <w:marTop w:val="0"/>
          <w:marBottom w:val="0"/>
          <w:divBdr>
            <w:top w:val="none" w:sz="0" w:space="0" w:color="auto"/>
            <w:left w:val="none" w:sz="0" w:space="0" w:color="auto"/>
            <w:bottom w:val="none" w:sz="0" w:space="0" w:color="auto"/>
            <w:right w:val="none" w:sz="0" w:space="0" w:color="auto"/>
          </w:divBdr>
        </w:div>
        <w:div w:id="957837215">
          <w:marLeft w:val="0"/>
          <w:marRight w:val="0"/>
          <w:marTop w:val="0"/>
          <w:marBottom w:val="0"/>
          <w:divBdr>
            <w:top w:val="none" w:sz="0" w:space="0" w:color="auto"/>
            <w:left w:val="none" w:sz="0" w:space="0" w:color="auto"/>
            <w:bottom w:val="none" w:sz="0" w:space="0" w:color="auto"/>
            <w:right w:val="none" w:sz="0" w:space="0" w:color="auto"/>
          </w:divBdr>
        </w:div>
        <w:div w:id="1111629191">
          <w:marLeft w:val="0"/>
          <w:marRight w:val="0"/>
          <w:marTop w:val="0"/>
          <w:marBottom w:val="0"/>
          <w:divBdr>
            <w:top w:val="none" w:sz="0" w:space="0" w:color="auto"/>
            <w:left w:val="none" w:sz="0" w:space="0" w:color="auto"/>
            <w:bottom w:val="none" w:sz="0" w:space="0" w:color="auto"/>
            <w:right w:val="none" w:sz="0" w:space="0" w:color="auto"/>
          </w:divBdr>
        </w:div>
        <w:div w:id="1146623529">
          <w:marLeft w:val="0"/>
          <w:marRight w:val="0"/>
          <w:marTop w:val="0"/>
          <w:marBottom w:val="0"/>
          <w:divBdr>
            <w:top w:val="none" w:sz="0" w:space="0" w:color="auto"/>
            <w:left w:val="none" w:sz="0" w:space="0" w:color="auto"/>
            <w:bottom w:val="none" w:sz="0" w:space="0" w:color="auto"/>
            <w:right w:val="none" w:sz="0" w:space="0" w:color="auto"/>
          </w:divBdr>
        </w:div>
        <w:div w:id="1176338391">
          <w:marLeft w:val="0"/>
          <w:marRight w:val="0"/>
          <w:marTop w:val="0"/>
          <w:marBottom w:val="0"/>
          <w:divBdr>
            <w:top w:val="none" w:sz="0" w:space="0" w:color="auto"/>
            <w:left w:val="none" w:sz="0" w:space="0" w:color="auto"/>
            <w:bottom w:val="none" w:sz="0" w:space="0" w:color="auto"/>
            <w:right w:val="none" w:sz="0" w:space="0" w:color="auto"/>
          </w:divBdr>
        </w:div>
        <w:div w:id="1295872084">
          <w:marLeft w:val="0"/>
          <w:marRight w:val="0"/>
          <w:marTop w:val="0"/>
          <w:marBottom w:val="0"/>
          <w:divBdr>
            <w:top w:val="none" w:sz="0" w:space="0" w:color="auto"/>
            <w:left w:val="none" w:sz="0" w:space="0" w:color="auto"/>
            <w:bottom w:val="none" w:sz="0" w:space="0" w:color="auto"/>
            <w:right w:val="none" w:sz="0" w:space="0" w:color="auto"/>
          </w:divBdr>
        </w:div>
        <w:div w:id="1371342087">
          <w:marLeft w:val="0"/>
          <w:marRight w:val="0"/>
          <w:marTop w:val="0"/>
          <w:marBottom w:val="0"/>
          <w:divBdr>
            <w:top w:val="none" w:sz="0" w:space="0" w:color="auto"/>
            <w:left w:val="none" w:sz="0" w:space="0" w:color="auto"/>
            <w:bottom w:val="none" w:sz="0" w:space="0" w:color="auto"/>
            <w:right w:val="none" w:sz="0" w:space="0" w:color="auto"/>
          </w:divBdr>
        </w:div>
        <w:div w:id="1400861232">
          <w:marLeft w:val="0"/>
          <w:marRight w:val="0"/>
          <w:marTop w:val="0"/>
          <w:marBottom w:val="0"/>
          <w:divBdr>
            <w:top w:val="none" w:sz="0" w:space="0" w:color="auto"/>
            <w:left w:val="none" w:sz="0" w:space="0" w:color="auto"/>
            <w:bottom w:val="none" w:sz="0" w:space="0" w:color="auto"/>
            <w:right w:val="none" w:sz="0" w:space="0" w:color="auto"/>
          </w:divBdr>
        </w:div>
        <w:div w:id="1410346318">
          <w:marLeft w:val="0"/>
          <w:marRight w:val="0"/>
          <w:marTop w:val="0"/>
          <w:marBottom w:val="0"/>
          <w:divBdr>
            <w:top w:val="none" w:sz="0" w:space="0" w:color="auto"/>
            <w:left w:val="none" w:sz="0" w:space="0" w:color="auto"/>
            <w:bottom w:val="none" w:sz="0" w:space="0" w:color="auto"/>
            <w:right w:val="none" w:sz="0" w:space="0" w:color="auto"/>
          </w:divBdr>
        </w:div>
        <w:div w:id="1526559407">
          <w:marLeft w:val="0"/>
          <w:marRight w:val="0"/>
          <w:marTop w:val="0"/>
          <w:marBottom w:val="0"/>
          <w:divBdr>
            <w:top w:val="none" w:sz="0" w:space="0" w:color="auto"/>
            <w:left w:val="none" w:sz="0" w:space="0" w:color="auto"/>
            <w:bottom w:val="none" w:sz="0" w:space="0" w:color="auto"/>
            <w:right w:val="none" w:sz="0" w:space="0" w:color="auto"/>
          </w:divBdr>
        </w:div>
        <w:div w:id="1533226253">
          <w:marLeft w:val="0"/>
          <w:marRight w:val="0"/>
          <w:marTop w:val="0"/>
          <w:marBottom w:val="0"/>
          <w:divBdr>
            <w:top w:val="none" w:sz="0" w:space="0" w:color="auto"/>
            <w:left w:val="none" w:sz="0" w:space="0" w:color="auto"/>
            <w:bottom w:val="none" w:sz="0" w:space="0" w:color="auto"/>
            <w:right w:val="none" w:sz="0" w:space="0" w:color="auto"/>
          </w:divBdr>
        </w:div>
        <w:div w:id="1646273714">
          <w:marLeft w:val="0"/>
          <w:marRight w:val="0"/>
          <w:marTop w:val="0"/>
          <w:marBottom w:val="0"/>
          <w:divBdr>
            <w:top w:val="none" w:sz="0" w:space="0" w:color="auto"/>
            <w:left w:val="none" w:sz="0" w:space="0" w:color="auto"/>
            <w:bottom w:val="none" w:sz="0" w:space="0" w:color="auto"/>
            <w:right w:val="none" w:sz="0" w:space="0" w:color="auto"/>
          </w:divBdr>
        </w:div>
        <w:div w:id="1654136328">
          <w:marLeft w:val="0"/>
          <w:marRight w:val="0"/>
          <w:marTop w:val="0"/>
          <w:marBottom w:val="0"/>
          <w:divBdr>
            <w:top w:val="none" w:sz="0" w:space="0" w:color="auto"/>
            <w:left w:val="none" w:sz="0" w:space="0" w:color="auto"/>
            <w:bottom w:val="none" w:sz="0" w:space="0" w:color="auto"/>
            <w:right w:val="none" w:sz="0" w:space="0" w:color="auto"/>
          </w:divBdr>
        </w:div>
        <w:div w:id="1693720055">
          <w:marLeft w:val="0"/>
          <w:marRight w:val="0"/>
          <w:marTop w:val="0"/>
          <w:marBottom w:val="0"/>
          <w:divBdr>
            <w:top w:val="none" w:sz="0" w:space="0" w:color="auto"/>
            <w:left w:val="none" w:sz="0" w:space="0" w:color="auto"/>
            <w:bottom w:val="none" w:sz="0" w:space="0" w:color="auto"/>
            <w:right w:val="none" w:sz="0" w:space="0" w:color="auto"/>
          </w:divBdr>
        </w:div>
        <w:div w:id="1859149369">
          <w:marLeft w:val="0"/>
          <w:marRight w:val="0"/>
          <w:marTop w:val="0"/>
          <w:marBottom w:val="0"/>
          <w:divBdr>
            <w:top w:val="none" w:sz="0" w:space="0" w:color="auto"/>
            <w:left w:val="none" w:sz="0" w:space="0" w:color="auto"/>
            <w:bottom w:val="none" w:sz="0" w:space="0" w:color="auto"/>
            <w:right w:val="none" w:sz="0" w:space="0" w:color="auto"/>
          </w:divBdr>
        </w:div>
        <w:div w:id="2014452977">
          <w:marLeft w:val="0"/>
          <w:marRight w:val="0"/>
          <w:marTop w:val="0"/>
          <w:marBottom w:val="0"/>
          <w:divBdr>
            <w:top w:val="none" w:sz="0" w:space="0" w:color="auto"/>
            <w:left w:val="none" w:sz="0" w:space="0" w:color="auto"/>
            <w:bottom w:val="none" w:sz="0" w:space="0" w:color="auto"/>
            <w:right w:val="none" w:sz="0" w:space="0" w:color="auto"/>
          </w:divBdr>
        </w:div>
      </w:divsChild>
    </w:div>
    <w:div w:id="801578218">
      <w:bodyDiv w:val="1"/>
      <w:marLeft w:val="0"/>
      <w:marRight w:val="0"/>
      <w:marTop w:val="0"/>
      <w:marBottom w:val="0"/>
      <w:divBdr>
        <w:top w:val="none" w:sz="0" w:space="0" w:color="auto"/>
        <w:left w:val="none" w:sz="0" w:space="0" w:color="auto"/>
        <w:bottom w:val="none" w:sz="0" w:space="0" w:color="auto"/>
        <w:right w:val="none" w:sz="0" w:space="0" w:color="auto"/>
      </w:divBdr>
    </w:div>
    <w:div w:id="805661475">
      <w:bodyDiv w:val="1"/>
      <w:marLeft w:val="0"/>
      <w:marRight w:val="0"/>
      <w:marTop w:val="0"/>
      <w:marBottom w:val="0"/>
      <w:divBdr>
        <w:top w:val="none" w:sz="0" w:space="0" w:color="auto"/>
        <w:left w:val="none" w:sz="0" w:space="0" w:color="auto"/>
        <w:bottom w:val="none" w:sz="0" w:space="0" w:color="auto"/>
        <w:right w:val="none" w:sz="0" w:space="0" w:color="auto"/>
      </w:divBdr>
    </w:div>
    <w:div w:id="831486322">
      <w:bodyDiv w:val="1"/>
      <w:marLeft w:val="0"/>
      <w:marRight w:val="0"/>
      <w:marTop w:val="0"/>
      <w:marBottom w:val="0"/>
      <w:divBdr>
        <w:top w:val="none" w:sz="0" w:space="0" w:color="auto"/>
        <w:left w:val="none" w:sz="0" w:space="0" w:color="auto"/>
        <w:bottom w:val="none" w:sz="0" w:space="0" w:color="auto"/>
        <w:right w:val="none" w:sz="0" w:space="0" w:color="auto"/>
      </w:divBdr>
      <w:divsChild>
        <w:div w:id="855734482">
          <w:marLeft w:val="1"/>
          <w:marRight w:val="1"/>
          <w:marTop w:val="2"/>
          <w:marBottom w:val="2"/>
          <w:divBdr>
            <w:top w:val="single" w:sz="6" w:space="0" w:color="000000"/>
            <w:left w:val="single" w:sz="6" w:space="0" w:color="000000"/>
            <w:bottom w:val="single" w:sz="6" w:space="0" w:color="000000"/>
            <w:right w:val="single" w:sz="6" w:space="0" w:color="000000"/>
          </w:divBdr>
          <w:divsChild>
            <w:div w:id="79060813">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833227084">
      <w:bodyDiv w:val="1"/>
      <w:marLeft w:val="0"/>
      <w:marRight w:val="0"/>
      <w:marTop w:val="0"/>
      <w:marBottom w:val="0"/>
      <w:divBdr>
        <w:top w:val="none" w:sz="0" w:space="0" w:color="auto"/>
        <w:left w:val="none" w:sz="0" w:space="0" w:color="auto"/>
        <w:bottom w:val="none" w:sz="0" w:space="0" w:color="auto"/>
        <w:right w:val="none" w:sz="0" w:space="0" w:color="auto"/>
      </w:divBdr>
    </w:div>
    <w:div w:id="852913378">
      <w:bodyDiv w:val="1"/>
      <w:marLeft w:val="0"/>
      <w:marRight w:val="0"/>
      <w:marTop w:val="0"/>
      <w:marBottom w:val="0"/>
      <w:divBdr>
        <w:top w:val="none" w:sz="0" w:space="0" w:color="auto"/>
        <w:left w:val="none" w:sz="0" w:space="0" w:color="auto"/>
        <w:bottom w:val="none" w:sz="0" w:space="0" w:color="auto"/>
        <w:right w:val="none" w:sz="0" w:space="0" w:color="auto"/>
      </w:divBdr>
    </w:div>
    <w:div w:id="966736573">
      <w:bodyDiv w:val="1"/>
      <w:marLeft w:val="0"/>
      <w:marRight w:val="0"/>
      <w:marTop w:val="0"/>
      <w:marBottom w:val="0"/>
      <w:divBdr>
        <w:top w:val="none" w:sz="0" w:space="0" w:color="auto"/>
        <w:left w:val="none" w:sz="0" w:space="0" w:color="auto"/>
        <w:bottom w:val="none" w:sz="0" w:space="0" w:color="auto"/>
        <w:right w:val="none" w:sz="0" w:space="0" w:color="auto"/>
      </w:divBdr>
      <w:divsChild>
        <w:div w:id="280303993">
          <w:marLeft w:val="1"/>
          <w:marRight w:val="1"/>
          <w:marTop w:val="2"/>
          <w:marBottom w:val="2"/>
          <w:divBdr>
            <w:top w:val="single" w:sz="6" w:space="0" w:color="000000"/>
            <w:left w:val="single" w:sz="6" w:space="0" w:color="000000"/>
            <w:bottom w:val="single" w:sz="6" w:space="0" w:color="000000"/>
            <w:right w:val="single" w:sz="6" w:space="0" w:color="000000"/>
          </w:divBdr>
          <w:divsChild>
            <w:div w:id="973483946">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050300396">
      <w:bodyDiv w:val="1"/>
      <w:marLeft w:val="0"/>
      <w:marRight w:val="0"/>
      <w:marTop w:val="0"/>
      <w:marBottom w:val="0"/>
      <w:divBdr>
        <w:top w:val="none" w:sz="0" w:space="0" w:color="auto"/>
        <w:left w:val="none" w:sz="0" w:space="0" w:color="auto"/>
        <w:bottom w:val="none" w:sz="0" w:space="0" w:color="auto"/>
        <w:right w:val="none" w:sz="0" w:space="0" w:color="auto"/>
      </w:divBdr>
    </w:div>
    <w:div w:id="1086415719">
      <w:bodyDiv w:val="1"/>
      <w:marLeft w:val="0"/>
      <w:marRight w:val="0"/>
      <w:marTop w:val="0"/>
      <w:marBottom w:val="0"/>
      <w:divBdr>
        <w:top w:val="none" w:sz="0" w:space="0" w:color="auto"/>
        <w:left w:val="none" w:sz="0" w:space="0" w:color="auto"/>
        <w:bottom w:val="none" w:sz="0" w:space="0" w:color="auto"/>
        <w:right w:val="none" w:sz="0" w:space="0" w:color="auto"/>
      </w:divBdr>
    </w:div>
    <w:div w:id="1125929610">
      <w:bodyDiv w:val="1"/>
      <w:marLeft w:val="0"/>
      <w:marRight w:val="0"/>
      <w:marTop w:val="0"/>
      <w:marBottom w:val="0"/>
      <w:divBdr>
        <w:top w:val="none" w:sz="0" w:space="0" w:color="auto"/>
        <w:left w:val="none" w:sz="0" w:space="0" w:color="auto"/>
        <w:bottom w:val="none" w:sz="0" w:space="0" w:color="auto"/>
        <w:right w:val="none" w:sz="0" w:space="0" w:color="auto"/>
      </w:divBdr>
      <w:divsChild>
        <w:div w:id="554657597">
          <w:marLeft w:val="0"/>
          <w:marRight w:val="0"/>
          <w:marTop w:val="100"/>
          <w:marBottom w:val="100"/>
          <w:divBdr>
            <w:top w:val="none" w:sz="0" w:space="0" w:color="auto"/>
            <w:left w:val="none" w:sz="0" w:space="0" w:color="auto"/>
            <w:bottom w:val="none" w:sz="0" w:space="0" w:color="auto"/>
            <w:right w:val="none" w:sz="0" w:space="0" w:color="auto"/>
          </w:divBdr>
          <w:divsChild>
            <w:div w:id="376316054">
              <w:marLeft w:val="0"/>
              <w:marRight w:val="0"/>
              <w:marTop w:val="100"/>
              <w:marBottom w:val="100"/>
              <w:divBdr>
                <w:top w:val="none" w:sz="0" w:space="0" w:color="auto"/>
                <w:left w:val="none" w:sz="0" w:space="0" w:color="auto"/>
                <w:bottom w:val="none" w:sz="0" w:space="0" w:color="auto"/>
                <w:right w:val="none" w:sz="0" w:space="0" w:color="auto"/>
              </w:divBdr>
              <w:divsChild>
                <w:div w:id="135535929">
                  <w:marLeft w:val="0"/>
                  <w:marRight w:val="0"/>
                  <w:marTop w:val="0"/>
                  <w:marBottom w:val="0"/>
                  <w:divBdr>
                    <w:top w:val="none" w:sz="0" w:space="0" w:color="auto"/>
                    <w:left w:val="none" w:sz="0" w:space="0" w:color="auto"/>
                    <w:bottom w:val="none" w:sz="0" w:space="0" w:color="auto"/>
                    <w:right w:val="none" w:sz="0" w:space="0" w:color="auto"/>
                  </w:divBdr>
                  <w:divsChild>
                    <w:div w:id="194975189">
                      <w:marLeft w:val="37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737683">
      <w:bodyDiv w:val="1"/>
      <w:marLeft w:val="0"/>
      <w:marRight w:val="0"/>
      <w:marTop w:val="0"/>
      <w:marBottom w:val="0"/>
      <w:divBdr>
        <w:top w:val="none" w:sz="0" w:space="0" w:color="auto"/>
        <w:left w:val="none" w:sz="0" w:space="0" w:color="auto"/>
        <w:bottom w:val="none" w:sz="0" w:space="0" w:color="auto"/>
        <w:right w:val="none" w:sz="0" w:space="0" w:color="auto"/>
      </w:divBdr>
    </w:div>
    <w:div w:id="1179277688">
      <w:bodyDiv w:val="1"/>
      <w:marLeft w:val="0"/>
      <w:marRight w:val="0"/>
      <w:marTop w:val="0"/>
      <w:marBottom w:val="0"/>
      <w:divBdr>
        <w:top w:val="none" w:sz="0" w:space="0" w:color="auto"/>
        <w:left w:val="none" w:sz="0" w:space="0" w:color="auto"/>
        <w:bottom w:val="none" w:sz="0" w:space="0" w:color="auto"/>
        <w:right w:val="none" w:sz="0" w:space="0" w:color="auto"/>
      </w:divBdr>
    </w:div>
    <w:div w:id="1251502240">
      <w:bodyDiv w:val="1"/>
      <w:marLeft w:val="0"/>
      <w:marRight w:val="0"/>
      <w:marTop w:val="0"/>
      <w:marBottom w:val="0"/>
      <w:divBdr>
        <w:top w:val="none" w:sz="0" w:space="0" w:color="auto"/>
        <w:left w:val="none" w:sz="0" w:space="0" w:color="auto"/>
        <w:bottom w:val="none" w:sz="0" w:space="0" w:color="auto"/>
        <w:right w:val="none" w:sz="0" w:space="0" w:color="auto"/>
      </w:divBdr>
    </w:div>
    <w:div w:id="1288703141">
      <w:bodyDiv w:val="1"/>
      <w:marLeft w:val="0"/>
      <w:marRight w:val="0"/>
      <w:marTop w:val="0"/>
      <w:marBottom w:val="0"/>
      <w:divBdr>
        <w:top w:val="none" w:sz="0" w:space="0" w:color="auto"/>
        <w:left w:val="none" w:sz="0" w:space="0" w:color="auto"/>
        <w:bottom w:val="none" w:sz="0" w:space="0" w:color="auto"/>
        <w:right w:val="none" w:sz="0" w:space="0" w:color="auto"/>
      </w:divBdr>
    </w:div>
    <w:div w:id="1306394753">
      <w:bodyDiv w:val="1"/>
      <w:marLeft w:val="0"/>
      <w:marRight w:val="0"/>
      <w:marTop w:val="0"/>
      <w:marBottom w:val="0"/>
      <w:divBdr>
        <w:top w:val="none" w:sz="0" w:space="0" w:color="auto"/>
        <w:left w:val="none" w:sz="0" w:space="0" w:color="auto"/>
        <w:bottom w:val="none" w:sz="0" w:space="0" w:color="auto"/>
        <w:right w:val="none" w:sz="0" w:space="0" w:color="auto"/>
      </w:divBdr>
      <w:divsChild>
        <w:div w:id="806775627">
          <w:marLeft w:val="1"/>
          <w:marRight w:val="1"/>
          <w:marTop w:val="2"/>
          <w:marBottom w:val="2"/>
          <w:divBdr>
            <w:top w:val="single" w:sz="6" w:space="0" w:color="000000"/>
            <w:left w:val="single" w:sz="6" w:space="0" w:color="000000"/>
            <w:bottom w:val="single" w:sz="6" w:space="0" w:color="000000"/>
            <w:right w:val="single" w:sz="6" w:space="0" w:color="000000"/>
          </w:divBdr>
          <w:divsChild>
            <w:div w:id="357197098">
              <w:marLeft w:val="300"/>
              <w:marRight w:val="300"/>
              <w:marTop w:val="0"/>
              <w:marBottom w:val="0"/>
              <w:divBdr>
                <w:top w:val="none" w:sz="0" w:space="0" w:color="auto"/>
                <w:left w:val="none" w:sz="0" w:space="0" w:color="auto"/>
                <w:bottom w:val="none" w:sz="0" w:space="0" w:color="auto"/>
                <w:right w:val="none" w:sz="0" w:space="0" w:color="auto"/>
              </w:divBdr>
              <w:divsChild>
                <w:div w:id="1066998441">
                  <w:marLeft w:val="0"/>
                  <w:marRight w:val="0"/>
                  <w:marTop w:val="0"/>
                  <w:marBottom w:val="0"/>
                  <w:divBdr>
                    <w:top w:val="none" w:sz="0" w:space="0" w:color="auto"/>
                    <w:left w:val="none" w:sz="0" w:space="0" w:color="auto"/>
                    <w:bottom w:val="none" w:sz="0" w:space="0" w:color="auto"/>
                    <w:right w:val="none" w:sz="0" w:space="0" w:color="auto"/>
                  </w:divBdr>
                </w:div>
                <w:div w:id="1387803951">
                  <w:marLeft w:val="0"/>
                  <w:marRight w:val="0"/>
                  <w:marTop w:val="0"/>
                  <w:marBottom w:val="0"/>
                  <w:divBdr>
                    <w:top w:val="none" w:sz="0" w:space="0" w:color="auto"/>
                    <w:left w:val="none" w:sz="0" w:space="0" w:color="auto"/>
                    <w:bottom w:val="none" w:sz="0" w:space="0" w:color="auto"/>
                    <w:right w:val="none" w:sz="0" w:space="0" w:color="auto"/>
                  </w:divBdr>
                </w:div>
                <w:div w:id="1571117405">
                  <w:marLeft w:val="0"/>
                  <w:marRight w:val="0"/>
                  <w:marTop w:val="0"/>
                  <w:marBottom w:val="0"/>
                  <w:divBdr>
                    <w:top w:val="none" w:sz="0" w:space="0" w:color="auto"/>
                    <w:left w:val="none" w:sz="0" w:space="0" w:color="auto"/>
                    <w:bottom w:val="none" w:sz="0" w:space="0" w:color="auto"/>
                    <w:right w:val="none" w:sz="0" w:space="0" w:color="auto"/>
                  </w:divBdr>
                </w:div>
                <w:div w:id="1692103658">
                  <w:marLeft w:val="0"/>
                  <w:marRight w:val="0"/>
                  <w:marTop w:val="0"/>
                  <w:marBottom w:val="0"/>
                  <w:divBdr>
                    <w:top w:val="none" w:sz="0" w:space="0" w:color="auto"/>
                    <w:left w:val="none" w:sz="0" w:space="0" w:color="auto"/>
                    <w:bottom w:val="none" w:sz="0" w:space="0" w:color="auto"/>
                    <w:right w:val="none" w:sz="0" w:space="0" w:color="auto"/>
                  </w:divBdr>
                </w:div>
                <w:div w:id="188602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119822">
      <w:bodyDiv w:val="1"/>
      <w:marLeft w:val="0"/>
      <w:marRight w:val="0"/>
      <w:marTop w:val="0"/>
      <w:marBottom w:val="0"/>
      <w:divBdr>
        <w:top w:val="none" w:sz="0" w:space="0" w:color="auto"/>
        <w:left w:val="none" w:sz="0" w:space="0" w:color="auto"/>
        <w:bottom w:val="none" w:sz="0" w:space="0" w:color="auto"/>
        <w:right w:val="none" w:sz="0" w:space="0" w:color="auto"/>
      </w:divBdr>
    </w:div>
    <w:div w:id="1377701207">
      <w:bodyDiv w:val="1"/>
      <w:marLeft w:val="0"/>
      <w:marRight w:val="0"/>
      <w:marTop w:val="0"/>
      <w:marBottom w:val="0"/>
      <w:divBdr>
        <w:top w:val="none" w:sz="0" w:space="0" w:color="auto"/>
        <w:left w:val="none" w:sz="0" w:space="0" w:color="auto"/>
        <w:bottom w:val="none" w:sz="0" w:space="0" w:color="auto"/>
        <w:right w:val="none" w:sz="0" w:space="0" w:color="auto"/>
      </w:divBdr>
    </w:div>
    <w:div w:id="1392000909">
      <w:bodyDiv w:val="1"/>
      <w:marLeft w:val="0"/>
      <w:marRight w:val="0"/>
      <w:marTop w:val="56"/>
      <w:marBottom w:val="56"/>
      <w:divBdr>
        <w:top w:val="none" w:sz="0" w:space="0" w:color="auto"/>
        <w:left w:val="none" w:sz="0" w:space="0" w:color="auto"/>
        <w:bottom w:val="none" w:sz="0" w:space="0" w:color="auto"/>
        <w:right w:val="none" w:sz="0" w:space="0" w:color="auto"/>
      </w:divBdr>
      <w:divsChild>
        <w:div w:id="353502821">
          <w:marLeft w:val="0"/>
          <w:marRight w:val="0"/>
          <w:marTop w:val="0"/>
          <w:marBottom w:val="0"/>
          <w:divBdr>
            <w:top w:val="none" w:sz="0" w:space="0" w:color="auto"/>
            <w:left w:val="none" w:sz="0" w:space="0" w:color="auto"/>
            <w:bottom w:val="none" w:sz="0" w:space="0" w:color="auto"/>
            <w:right w:val="none" w:sz="0" w:space="0" w:color="auto"/>
          </w:divBdr>
          <w:divsChild>
            <w:div w:id="228150925">
              <w:marLeft w:val="0"/>
              <w:marRight w:val="0"/>
              <w:marTop w:val="0"/>
              <w:marBottom w:val="0"/>
              <w:divBdr>
                <w:top w:val="none" w:sz="0" w:space="0" w:color="auto"/>
                <w:left w:val="none" w:sz="0" w:space="0" w:color="auto"/>
                <w:bottom w:val="none" w:sz="0" w:space="0" w:color="auto"/>
                <w:right w:val="none" w:sz="0" w:space="0" w:color="auto"/>
              </w:divBdr>
              <w:divsChild>
                <w:div w:id="277182446">
                  <w:marLeft w:val="0"/>
                  <w:marRight w:val="0"/>
                  <w:marTop w:val="0"/>
                  <w:marBottom w:val="0"/>
                  <w:divBdr>
                    <w:top w:val="none" w:sz="0" w:space="0" w:color="auto"/>
                    <w:left w:val="none" w:sz="0" w:space="0" w:color="auto"/>
                    <w:bottom w:val="none" w:sz="0" w:space="0" w:color="auto"/>
                    <w:right w:val="none" w:sz="0" w:space="0" w:color="auto"/>
                  </w:divBdr>
                  <w:divsChild>
                    <w:div w:id="708383072">
                      <w:marLeft w:val="0"/>
                      <w:marRight w:val="0"/>
                      <w:marTop w:val="0"/>
                      <w:marBottom w:val="0"/>
                      <w:divBdr>
                        <w:top w:val="none" w:sz="0" w:space="0" w:color="auto"/>
                        <w:left w:val="none" w:sz="0" w:space="0" w:color="auto"/>
                        <w:bottom w:val="none" w:sz="0" w:space="0" w:color="auto"/>
                        <w:right w:val="none" w:sz="0" w:space="0" w:color="auto"/>
                      </w:divBdr>
                      <w:divsChild>
                        <w:div w:id="244149063">
                          <w:marLeft w:val="0"/>
                          <w:marRight w:val="0"/>
                          <w:marTop w:val="0"/>
                          <w:marBottom w:val="0"/>
                          <w:divBdr>
                            <w:top w:val="none" w:sz="0" w:space="0" w:color="auto"/>
                            <w:left w:val="none" w:sz="0" w:space="0" w:color="auto"/>
                            <w:bottom w:val="none" w:sz="0" w:space="0" w:color="auto"/>
                            <w:right w:val="none" w:sz="0" w:space="0" w:color="auto"/>
                          </w:divBdr>
                          <w:divsChild>
                            <w:div w:id="1868253376">
                              <w:marLeft w:val="2974"/>
                              <w:marRight w:val="4937"/>
                              <w:marTop w:val="0"/>
                              <w:marBottom w:val="0"/>
                              <w:divBdr>
                                <w:top w:val="none" w:sz="0" w:space="0" w:color="auto"/>
                                <w:left w:val="single" w:sz="8" w:space="0" w:color="D3E1F9"/>
                                <w:bottom w:val="none" w:sz="0" w:space="0" w:color="auto"/>
                                <w:right w:val="none" w:sz="0" w:space="0" w:color="auto"/>
                              </w:divBdr>
                              <w:divsChild>
                                <w:div w:id="2112120975">
                                  <w:marLeft w:val="0"/>
                                  <w:marRight w:val="0"/>
                                  <w:marTop w:val="0"/>
                                  <w:marBottom w:val="0"/>
                                  <w:divBdr>
                                    <w:top w:val="none" w:sz="0" w:space="0" w:color="auto"/>
                                    <w:left w:val="none" w:sz="0" w:space="0" w:color="auto"/>
                                    <w:bottom w:val="none" w:sz="0" w:space="0" w:color="auto"/>
                                    <w:right w:val="none" w:sz="0" w:space="0" w:color="auto"/>
                                  </w:divBdr>
                                  <w:divsChild>
                                    <w:div w:id="625157763">
                                      <w:marLeft w:val="0"/>
                                      <w:marRight w:val="0"/>
                                      <w:marTop w:val="0"/>
                                      <w:marBottom w:val="0"/>
                                      <w:divBdr>
                                        <w:top w:val="none" w:sz="0" w:space="0" w:color="auto"/>
                                        <w:left w:val="none" w:sz="0" w:space="0" w:color="auto"/>
                                        <w:bottom w:val="none" w:sz="0" w:space="0" w:color="auto"/>
                                        <w:right w:val="none" w:sz="0" w:space="0" w:color="auto"/>
                                      </w:divBdr>
                                      <w:divsChild>
                                        <w:div w:id="241918617">
                                          <w:marLeft w:val="0"/>
                                          <w:marRight w:val="0"/>
                                          <w:marTop w:val="0"/>
                                          <w:marBottom w:val="0"/>
                                          <w:divBdr>
                                            <w:top w:val="none" w:sz="0" w:space="0" w:color="auto"/>
                                            <w:left w:val="none" w:sz="0" w:space="0" w:color="auto"/>
                                            <w:bottom w:val="none" w:sz="0" w:space="0" w:color="auto"/>
                                            <w:right w:val="none" w:sz="0" w:space="0" w:color="auto"/>
                                          </w:divBdr>
                                          <w:divsChild>
                                            <w:div w:id="144723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2871934">
      <w:bodyDiv w:val="1"/>
      <w:marLeft w:val="0"/>
      <w:marRight w:val="0"/>
      <w:marTop w:val="0"/>
      <w:marBottom w:val="0"/>
      <w:divBdr>
        <w:top w:val="none" w:sz="0" w:space="0" w:color="auto"/>
        <w:left w:val="none" w:sz="0" w:space="0" w:color="auto"/>
        <w:bottom w:val="none" w:sz="0" w:space="0" w:color="auto"/>
        <w:right w:val="none" w:sz="0" w:space="0" w:color="auto"/>
      </w:divBdr>
    </w:div>
    <w:div w:id="1445418182">
      <w:bodyDiv w:val="1"/>
      <w:marLeft w:val="0"/>
      <w:marRight w:val="0"/>
      <w:marTop w:val="0"/>
      <w:marBottom w:val="0"/>
      <w:divBdr>
        <w:top w:val="none" w:sz="0" w:space="0" w:color="auto"/>
        <w:left w:val="none" w:sz="0" w:space="0" w:color="auto"/>
        <w:bottom w:val="none" w:sz="0" w:space="0" w:color="auto"/>
        <w:right w:val="none" w:sz="0" w:space="0" w:color="auto"/>
      </w:divBdr>
    </w:div>
    <w:div w:id="1485779015">
      <w:bodyDiv w:val="1"/>
      <w:marLeft w:val="0"/>
      <w:marRight w:val="0"/>
      <w:marTop w:val="0"/>
      <w:marBottom w:val="0"/>
      <w:divBdr>
        <w:top w:val="none" w:sz="0" w:space="0" w:color="auto"/>
        <w:left w:val="none" w:sz="0" w:space="0" w:color="auto"/>
        <w:bottom w:val="none" w:sz="0" w:space="0" w:color="auto"/>
        <w:right w:val="none" w:sz="0" w:space="0" w:color="auto"/>
      </w:divBdr>
      <w:divsChild>
        <w:div w:id="1346977125">
          <w:marLeft w:val="1"/>
          <w:marRight w:val="1"/>
          <w:marTop w:val="2"/>
          <w:marBottom w:val="2"/>
          <w:divBdr>
            <w:top w:val="single" w:sz="6" w:space="0" w:color="000000"/>
            <w:left w:val="single" w:sz="6" w:space="0" w:color="000000"/>
            <w:bottom w:val="single" w:sz="6" w:space="0" w:color="000000"/>
            <w:right w:val="single" w:sz="6" w:space="0" w:color="000000"/>
          </w:divBdr>
          <w:divsChild>
            <w:div w:id="176431312">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490822567">
      <w:bodyDiv w:val="1"/>
      <w:marLeft w:val="0"/>
      <w:marRight w:val="0"/>
      <w:marTop w:val="0"/>
      <w:marBottom w:val="0"/>
      <w:divBdr>
        <w:top w:val="none" w:sz="0" w:space="0" w:color="auto"/>
        <w:left w:val="none" w:sz="0" w:space="0" w:color="auto"/>
        <w:bottom w:val="none" w:sz="0" w:space="0" w:color="auto"/>
        <w:right w:val="none" w:sz="0" w:space="0" w:color="auto"/>
      </w:divBdr>
    </w:div>
    <w:div w:id="1495411742">
      <w:bodyDiv w:val="1"/>
      <w:marLeft w:val="0"/>
      <w:marRight w:val="0"/>
      <w:marTop w:val="0"/>
      <w:marBottom w:val="0"/>
      <w:divBdr>
        <w:top w:val="none" w:sz="0" w:space="0" w:color="auto"/>
        <w:left w:val="none" w:sz="0" w:space="0" w:color="auto"/>
        <w:bottom w:val="none" w:sz="0" w:space="0" w:color="auto"/>
        <w:right w:val="none" w:sz="0" w:space="0" w:color="auto"/>
      </w:divBdr>
      <w:divsChild>
        <w:div w:id="1021391120">
          <w:marLeft w:val="1"/>
          <w:marRight w:val="1"/>
          <w:marTop w:val="2"/>
          <w:marBottom w:val="2"/>
          <w:divBdr>
            <w:top w:val="single" w:sz="6" w:space="0" w:color="000000"/>
            <w:left w:val="single" w:sz="6" w:space="0" w:color="000000"/>
            <w:bottom w:val="single" w:sz="6" w:space="0" w:color="000000"/>
            <w:right w:val="single" w:sz="6" w:space="0" w:color="000000"/>
          </w:divBdr>
          <w:divsChild>
            <w:div w:id="5182046">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541286717">
      <w:bodyDiv w:val="1"/>
      <w:marLeft w:val="0"/>
      <w:marRight w:val="0"/>
      <w:marTop w:val="0"/>
      <w:marBottom w:val="0"/>
      <w:divBdr>
        <w:top w:val="none" w:sz="0" w:space="0" w:color="auto"/>
        <w:left w:val="none" w:sz="0" w:space="0" w:color="auto"/>
        <w:bottom w:val="none" w:sz="0" w:space="0" w:color="auto"/>
        <w:right w:val="none" w:sz="0" w:space="0" w:color="auto"/>
      </w:divBdr>
      <w:divsChild>
        <w:div w:id="1800996987">
          <w:marLeft w:val="0"/>
          <w:marRight w:val="0"/>
          <w:marTop w:val="100"/>
          <w:marBottom w:val="100"/>
          <w:divBdr>
            <w:top w:val="none" w:sz="0" w:space="0" w:color="auto"/>
            <w:left w:val="none" w:sz="0" w:space="0" w:color="auto"/>
            <w:bottom w:val="none" w:sz="0" w:space="0" w:color="auto"/>
            <w:right w:val="none" w:sz="0" w:space="0" w:color="auto"/>
          </w:divBdr>
          <w:divsChild>
            <w:div w:id="712122767">
              <w:marLeft w:val="0"/>
              <w:marRight w:val="0"/>
              <w:marTop w:val="100"/>
              <w:marBottom w:val="100"/>
              <w:divBdr>
                <w:top w:val="none" w:sz="0" w:space="0" w:color="auto"/>
                <w:left w:val="none" w:sz="0" w:space="0" w:color="auto"/>
                <w:bottom w:val="none" w:sz="0" w:space="0" w:color="auto"/>
                <w:right w:val="none" w:sz="0" w:space="0" w:color="auto"/>
              </w:divBdr>
              <w:divsChild>
                <w:div w:id="72246447">
                  <w:marLeft w:val="0"/>
                  <w:marRight w:val="0"/>
                  <w:marTop w:val="0"/>
                  <w:marBottom w:val="0"/>
                  <w:divBdr>
                    <w:top w:val="none" w:sz="0" w:space="0" w:color="auto"/>
                    <w:left w:val="none" w:sz="0" w:space="0" w:color="auto"/>
                    <w:bottom w:val="none" w:sz="0" w:space="0" w:color="auto"/>
                    <w:right w:val="none" w:sz="0" w:space="0" w:color="auto"/>
                  </w:divBdr>
                  <w:divsChild>
                    <w:div w:id="91547733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866235">
      <w:bodyDiv w:val="1"/>
      <w:marLeft w:val="0"/>
      <w:marRight w:val="0"/>
      <w:marTop w:val="0"/>
      <w:marBottom w:val="0"/>
      <w:divBdr>
        <w:top w:val="none" w:sz="0" w:space="0" w:color="auto"/>
        <w:left w:val="none" w:sz="0" w:space="0" w:color="auto"/>
        <w:bottom w:val="none" w:sz="0" w:space="0" w:color="auto"/>
        <w:right w:val="none" w:sz="0" w:space="0" w:color="auto"/>
      </w:divBdr>
    </w:div>
    <w:div w:id="1574393959">
      <w:bodyDiv w:val="1"/>
      <w:marLeft w:val="0"/>
      <w:marRight w:val="0"/>
      <w:marTop w:val="0"/>
      <w:marBottom w:val="0"/>
      <w:divBdr>
        <w:top w:val="none" w:sz="0" w:space="0" w:color="auto"/>
        <w:left w:val="none" w:sz="0" w:space="0" w:color="auto"/>
        <w:bottom w:val="none" w:sz="0" w:space="0" w:color="auto"/>
        <w:right w:val="none" w:sz="0" w:space="0" w:color="auto"/>
      </w:divBdr>
    </w:div>
    <w:div w:id="1599676002">
      <w:bodyDiv w:val="1"/>
      <w:marLeft w:val="0"/>
      <w:marRight w:val="0"/>
      <w:marTop w:val="0"/>
      <w:marBottom w:val="0"/>
      <w:divBdr>
        <w:top w:val="none" w:sz="0" w:space="0" w:color="auto"/>
        <w:left w:val="none" w:sz="0" w:space="0" w:color="auto"/>
        <w:bottom w:val="none" w:sz="0" w:space="0" w:color="auto"/>
        <w:right w:val="none" w:sz="0" w:space="0" w:color="auto"/>
      </w:divBdr>
      <w:divsChild>
        <w:div w:id="307251367">
          <w:marLeft w:val="1"/>
          <w:marRight w:val="1"/>
          <w:marTop w:val="2"/>
          <w:marBottom w:val="2"/>
          <w:divBdr>
            <w:top w:val="single" w:sz="6" w:space="0" w:color="000000"/>
            <w:left w:val="single" w:sz="6" w:space="0" w:color="000000"/>
            <w:bottom w:val="single" w:sz="6" w:space="0" w:color="000000"/>
            <w:right w:val="single" w:sz="6" w:space="0" w:color="000000"/>
          </w:divBdr>
          <w:divsChild>
            <w:div w:id="243228652">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639842704">
      <w:bodyDiv w:val="1"/>
      <w:marLeft w:val="0"/>
      <w:marRight w:val="0"/>
      <w:marTop w:val="0"/>
      <w:marBottom w:val="0"/>
      <w:divBdr>
        <w:top w:val="none" w:sz="0" w:space="0" w:color="auto"/>
        <w:left w:val="none" w:sz="0" w:space="0" w:color="auto"/>
        <w:bottom w:val="none" w:sz="0" w:space="0" w:color="auto"/>
        <w:right w:val="none" w:sz="0" w:space="0" w:color="auto"/>
      </w:divBdr>
    </w:div>
    <w:div w:id="1677534630">
      <w:bodyDiv w:val="1"/>
      <w:marLeft w:val="0"/>
      <w:marRight w:val="0"/>
      <w:marTop w:val="0"/>
      <w:marBottom w:val="0"/>
      <w:divBdr>
        <w:top w:val="none" w:sz="0" w:space="0" w:color="auto"/>
        <w:left w:val="none" w:sz="0" w:space="0" w:color="auto"/>
        <w:bottom w:val="none" w:sz="0" w:space="0" w:color="auto"/>
        <w:right w:val="none" w:sz="0" w:space="0" w:color="auto"/>
      </w:divBdr>
      <w:divsChild>
        <w:div w:id="1784421674">
          <w:marLeft w:val="0"/>
          <w:marRight w:val="0"/>
          <w:marTop w:val="0"/>
          <w:marBottom w:val="0"/>
          <w:divBdr>
            <w:top w:val="none" w:sz="0" w:space="0" w:color="auto"/>
            <w:left w:val="none" w:sz="0" w:space="0" w:color="auto"/>
            <w:bottom w:val="none" w:sz="0" w:space="0" w:color="auto"/>
            <w:right w:val="none" w:sz="0" w:space="0" w:color="auto"/>
          </w:divBdr>
          <w:divsChild>
            <w:div w:id="1179276056">
              <w:marLeft w:val="0"/>
              <w:marRight w:val="0"/>
              <w:marTop w:val="0"/>
              <w:marBottom w:val="0"/>
              <w:divBdr>
                <w:top w:val="none" w:sz="0" w:space="0" w:color="auto"/>
                <w:left w:val="none" w:sz="0" w:space="0" w:color="auto"/>
                <w:bottom w:val="none" w:sz="0" w:space="0" w:color="auto"/>
                <w:right w:val="none" w:sz="0" w:space="0" w:color="auto"/>
              </w:divBdr>
            </w:div>
            <w:div w:id="1216502833">
              <w:marLeft w:val="0"/>
              <w:marRight w:val="0"/>
              <w:marTop w:val="0"/>
              <w:marBottom w:val="0"/>
              <w:divBdr>
                <w:top w:val="none" w:sz="0" w:space="0" w:color="auto"/>
                <w:left w:val="none" w:sz="0" w:space="0" w:color="auto"/>
                <w:bottom w:val="none" w:sz="0" w:space="0" w:color="auto"/>
                <w:right w:val="none" w:sz="0" w:space="0" w:color="auto"/>
              </w:divBdr>
            </w:div>
            <w:div w:id="142294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095660">
      <w:bodyDiv w:val="1"/>
      <w:marLeft w:val="0"/>
      <w:marRight w:val="0"/>
      <w:marTop w:val="0"/>
      <w:marBottom w:val="0"/>
      <w:divBdr>
        <w:top w:val="none" w:sz="0" w:space="0" w:color="auto"/>
        <w:left w:val="none" w:sz="0" w:space="0" w:color="auto"/>
        <w:bottom w:val="none" w:sz="0" w:space="0" w:color="auto"/>
        <w:right w:val="none" w:sz="0" w:space="0" w:color="auto"/>
      </w:divBdr>
    </w:div>
    <w:div w:id="1721901305">
      <w:bodyDiv w:val="1"/>
      <w:marLeft w:val="0"/>
      <w:marRight w:val="0"/>
      <w:marTop w:val="0"/>
      <w:marBottom w:val="0"/>
      <w:divBdr>
        <w:top w:val="none" w:sz="0" w:space="0" w:color="auto"/>
        <w:left w:val="none" w:sz="0" w:space="0" w:color="auto"/>
        <w:bottom w:val="none" w:sz="0" w:space="0" w:color="auto"/>
        <w:right w:val="none" w:sz="0" w:space="0" w:color="auto"/>
      </w:divBdr>
    </w:div>
    <w:div w:id="1729298565">
      <w:bodyDiv w:val="1"/>
      <w:marLeft w:val="0"/>
      <w:marRight w:val="0"/>
      <w:marTop w:val="0"/>
      <w:marBottom w:val="0"/>
      <w:divBdr>
        <w:top w:val="none" w:sz="0" w:space="0" w:color="auto"/>
        <w:left w:val="none" w:sz="0" w:space="0" w:color="auto"/>
        <w:bottom w:val="none" w:sz="0" w:space="0" w:color="auto"/>
        <w:right w:val="none" w:sz="0" w:space="0" w:color="auto"/>
      </w:divBdr>
      <w:divsChild>
        <w:div w:id="851188087">
          <w:marLeft w:val="0"/>
          <w:marRight w:val="0"/>
          <w:marTop w:val="0"/>
          <w:marBottom w:val="240"/>
          <w:divBdr>
            <w:top w:val="none" w:sz="0" w:space="0" w:color="auto"/>
            <w:left w:val="none" w:sz="0" w:space="0" w:color="auto"/>
            <w:bottom w:val="none" w:sz="0" w:space="0" w:color="auto"/>
            <w:right w:val="none" w:sz="0" w:space="0" w:color="auto"/>
          </w:divBdr>
          <w:divsChild>
            <w:div w:id="2096703529">
              <w:marLeft w:val="0"/>
              <w:marRight w:val="0"/>
              <w:marTop w:val="0"/>
              <w:marBottom w:val="0"/>
              <w:divBdr>
                <w:top w:val="none" w:sz="0" w:space="0" w:color="auto"/>
                <w:left w:val="none" w:sz="0" w:space="0" w:color="auto"/>
                <w:bottom w:val="none" w:sz="0" w:space="0" w:color="auto"/>
                <w:right w:val="none" w:sz="0" w:space="0" w:color="auto"/>
              </w:divBdr>
              <w:divsChild>
                <w:div w:id="623778487">
                  <w:marLeft w:val="0"/>
                  <w:marRight w:val="0"/>
                  <w:marTop w:val="0"/>
                  <w:marBottom w:val="0"/>
                  <w:divBdr>
                    <w:top w:val="none" w:sz="0" w:space="0" w:color="auto"/>
                    <w:left w:val="none" w:sz="0" w:space="0" w:color="auto"/>
                    <w:bottom w:val="none" w:sz="0" w:space="0" w:color="auto"/>
                    <w:right w:val="none" w:sz="0" w:space="0" w:color="auto"/>
                  </w:divBdr>
                  <w:divsChild>
                    <w:div w:id="292105213">
                      <w:marLeft w:val="0"/>
                      <w:marRight w:val="0"/>
                      <w:marTop w:val="0"/>
                      <w:marBottom w:val="0"/>
                      <w:divBdr>
                        <w:top w:val="none" w:sz="0" w:space="0" w:color="auto"/>
                        <w:left w:val="none" w:sz="0" w:space="0" w:color="auto"/>
                        <w:bottom w:val="none" w:sz="0" w:space="0" w:color="auto"/>
                        <w:right w:val="none" w:sz="0" w:space="0" w:color="auto"/>
                      </w:divBdr>
                      <w:divsChild>
                        <w:div w:id="1330981624">
                          <w:marLeft w:val="0"/>
                          <w:marRight w:val="0"/>
                          <w:marTop w:val="0"/>
                          <w:marBottom w:val="120"/>
                          <w:divBdr>
                            <w:top w:val="none" w:sz="0" w:space="0" w:color="auto"/>
                            <w:left w:val="none" w:sz="0" w:space="0" w:color="auto"/>
                            <w:bottom w:val="none" w:sz="0" w:space="0" w:color="auto"/>
                            <w:right w:val="none" w:sz="0" w:space="0" w:color="auto"/>
                          </w:divBdr>
                          <w:divsChild>
                            <w:div w:id="1803647964">
                              <w:marLeft w:val="0"/>
                              <w:marRight w:val="0"/>
                              <w:marTop w:val="0"/>
                              <w:marBottom w:val="0"/>
                              <w:divBdr>
                                <w:top w:val="none" w:sz="0" w:space="0" w:color="auto"/>
                                <w:left w:val="none" w:sz="0" w:space="0" w:color="auto"/>
                                <w:bottom w:val="none" w:sz="0" w:space="0" w:color="auto"/>
                                <w:right w:val="none" w:sz="0" w:space="0" w:color="auto"/>
                              </w:divBdr>
                              <w:divsChild>
                                <w:div w:id="201032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2356408">
      <w:bodyDiv w:val="1"/>
      <w:marLeft w:val="0"/>
      <w:marRight w:val="0"/>
      <w:marTop w:val="0"/>
      <w:marBottom w:val="0"/>
      <w:divBdr>
        <w:top w:val="none" w:sz="0" w:space="0" w:color="auto"/>
        <w:left w:val="none" w:sz="0" w:space="0" w:color="auto"/>
        <w:bottom w:val="none" w:sz="0" w:space="0" w:color="auto"/>
        <w:right w:val="none" w:sz="0" w:space="0" w:color="auto"/>
      </w:divBdr>
    </w:div>
    <w:div w:id="1866749552">
      <w:bodyDiv w:val="1"/>
      <w:marLeft w:val="0"/>
      <w:marRight w:val="0"/>
      <w:marTop w:val="0"/>
      <w:marBottom w:val="0"/>
      <w:divBdr>
        <w:top w:val="none" w:sz="0" w:space="0" w:color="auto"/>
        <w:left w:val="none" w:sz="0" w:space="0" w:color="auto"/>
        <w:bottom w:val="none" w:sz="0" w:space="0" w:color="auto"/>
        <w:right w:val="none" w:sz="0" w:space="0" w:color="auto"/>
      </w:divBdr>
    </w:div>
    <w:div w:id="1879123807">
      <w:bodyDiv w:val="1"/>
      <w:marLeft w:val="0"/>
      <w:marRight w:val="0"/>
      <w:marTop w:val="0"/>
      <w:marBottom w:val="0"/>
      <w:divBdr>
        <w:top w:val="none" w:sz="0" w:space="0" w:color="auto"/>
        <w:left w:val="none" w:sz="0" w:space="0" w:color="auto"/>
        <w:bottom w:val="none" w:sz="0" w:space="0" w:color="auto"/>
        <w:right w:val="none" w:sz="0" w:space="0" w:color="auto"/>
      </w:divBdr>
      <w:divsChild>
        <w:div w:id="1439255677">
          <w:marLeft w:val="1"/>
          <w:marRight w:val="1"/>
          <w:marTop w:val="2"/>
          <w:marBottom w:val="2"/>
          <w:divBdr>
            <w:top w:val="single" w:sz="6" w:space="0" w:color="000000"/>
            <w:left w:val="single" w:sz="6" w:space="0" w:color="000000"/>
            <w:bottom w:val="single" w:sz="6" w:space="0" w:color="000000"/>
            <w:right w:val="single" w:sz="6" w:space="0" w:color="000000"/>
          </w:divBdr>
          <w:divsChild>
            <w:div w:id="1176919689">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879314715">
      <w:bodyDiv w:val="1"/>
      <w:marLeft w:val="0"/>
      <w:marRight w:val="0"/>
      <w:marTop w:val="0"/>
      <w:marBottom w:val="0"/>
      <w:divBdr>
        <w:top w:val="none" w:sz="0" w:space="0" w:color="auto"/>
        <w:left w:val="none" w:sz="0" w:space="0" w:color="auto"/>
        <w:bottom w:val="none" w:sz="0" w:space="0" w:color="auto"/>
        <w:right w:val="none" w:sz="0" w:space="0" w:color="auto"/>
      </w:divBdr>
    </w:div>
    <w:div w:id="1910653072">
      <w:bodyDiv w:val="1"/>
      <w:marLeft w:val="0"/>
      <w:marRight w:val="0"/>
      <w:marTop w:val="0"/>
      <w:marBottom w:val="0"/>
      <w:divBdr>
        <w:top w:val="none" w:sz="0" w:space="0" w:color="auto"/>
        <w:left w:val="none" w:sz="0" w:space="0" w:color="auto"/>
        <w:bottom w:val="none" w:sz="0" w:space="0" w:color="auto"/>
        <w:right w:val="none" w:sz="0" w:space="0" w:color="auto"/>
      </w:divBdr>
    </w:div>
    <w:div w:id="1958176995">
      <w:bodyDiv w:val="1"/>
      <w:marLeft w:val="0"/>
      <w:marRight w:val="0"/>
      <w:marTop w:val="0"/>
      <w:marBottom w:val="0"/>
      <w:divBdr>
        <w:top w:val="none" w:sz="0" w:space="0" w:color="auto"/>
        <w:left w:val="none" w:sz="0" w:space="0" w:color="auto"/>
        <w:bottom w:val="none" w:sz="0" w:space="0" w:color="auto"/>
        <w:right w:val="none" w:sz="0" w:space="0" w:color="auto"/>
      </w:divBdr>
    </w:div>
    <w:div w:id="1969160481">
      <w:bodyDiv w:val="1"/>
      <w:marLeft w:val="0"/>
      <w:marRight w:val="0"/>
      <w:marTop w:val="0"/>
      <w:marBottom w:val="0"/>
      <w:divBdr>
        <w:top w:val="none" w:sz="0" w:space="0" w:color="auto"/>
        <w:left w:val="none" w:sz="0" w:space="0" w:color="auto"/>
        <w:bottom w:val="none" w:sz="0" w:space="0" w:color="auto"/>
        <w:right w:val="none" w:sz="0" w:space="0" w:color="auto"/>
      </w:divBdr>
    </w:div>
    <w:div w:id="1974554255">
      <w:bodyDiv w:val="1"/>
      <w:marLeft w:val="0"/>
      <w:marRight w:val="0"/>
      <w:marTop w:val="0"/>
      <w:marBottom w:val="0"/>
      <w:divBdr>
        <w:top w:val="none" w:sz="0" w:space="0" w:color="auto"/>
        <w:left w:val="none" w:sz="0" w:space="0" w:color="auto"/>
        <w:bottom w:val="none" w:sz="0" w:space="0" w:color="auto"/>
        <w:right w:val="none" w:sz="0" w:space="0" w:color="auto"/>
      </w:divBdr>
    </w:div>
    <w:div w:id="2038238649">
      <w:bodyDiv w:val="1"/>
      <w:marLeft w:val="0"/>
      <w:marRight w:val="0"/>
      <w:marTop w:val="0"/>
      <w:marBottom w:val="0"/>
      <w:divBdr>
        <w:top w:val="none" w:sz="0" w:space="0" w:color="auto"/>
        <w:left w:val="none" w:sz="0" w:space="0" w:color="auto"/>
        <w:bottom w:val="none" w:sz="0" w:space="0" w:color="auto"/>
        <w:right w:val="none" w:sz="0" w:space="0" w:color="auto"/>
      </w:divBdr>
    </w:div>
    <w:div w:id="2056418947">
      <w:bodyDiv w:val="1"/>
      <w:marLeft w:val="0"/>
      <w:marRight w:val="0"/>
      <w:marTop w:val="0"/>
      <w:marBottom w:val="0"/>
      <w:divBdr>
        <w:top w:val="none" w:sz="0" w:space="0" w:color="auto"/>
        <w:left w:val="none" w:sz="0" w:space="0" w:color="auto"/>
        <w:bottom w:val="none" w:sz="0" w:space="0" w:color="auto"/>
        <w:right w:val="none" w:sz="0" w:space="0" w:color="auto"/>
      </w:divBdr>
    </w:div>
    <w:div w:id="2071734708">
      <w:bodyDiv w:val="1"/>
      <w:marLeft w:val="0"/>
      <w:marRight w:val="0"/>
      <w:marTop w:val="0"/>
      <w:marBottom w:val="0"/>
      <w:divBdr>
        <w:top w:val="none" w:sz="0" w:space="0" w:color="auto"/>
        <w:left w:val="none" w:sz="0" w:space="0" w:color="auto"/>
        <w:bottom w:val="none" w:sz="0" w:space="0" w:color="auto"/>
        <w:right w:val="none" w:sz="0" w:space="0" w:color="auto"/>
      </w:divBdr>
      <w:divsChild>
        <w:div w:id="2043674941">
          <w:marLeft w:val="1"/>
          <w:marRight w:val="1"/>
          <w:marTop w:val="2"/>
          <w:marBottom w:val="2"/>
          <w:divBdr>
            <w:top w:val="single" w:sz="6" w:space="0" w:color="000000"/>
            <w:left w:val="single" w:sz="6" w:space="0" w:color="000000"/>
            <w:bottom w:val="single" w:sz="6" w:space="0" w:color="000000"/>
            <w:right w:val="single" w:sz="6" w:space="0" w:color="000000"/>
          </w:divBdr>
          <w:divsChild>
            <w:div w:id="78828495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2144421658">
      <w:bodyDiv w:val="1"/>
      <w:marLeft w:val="0"/>
      <w:marRight w:val="0"/>
      <w:marTop w:val="0"/>
      <w:marBottom w:val="0"/>
      <w:divBdr>
        <w:top w:val="none" w:sz="0" w:space="0" w:color="auto"/>
        <w:left w:val="none" w:sz="0" w:space="0" w:color="auto"/>
        <w:bottom w:val="none" w:sz="0" w:space="0" w:color="auto"/>
        <w:right w:val="none" w:sz="0" w:space="0" w:color="auto"/>
      </w:divBdr>
    </w:div>
    <w:div w:id="2144612160">
      <w:bodyDiv w:val="1"/>
      <w:marLeft w:val="0"/>
      <w:marRight w:val="0"/>
      <w:marTop w:val="0"/>
      <w:marBottom w:val="0"/>
      <w:divBdr>
        <w:top w:val="none" w:sz="0" w:space="0" w:color="auto"/>
        <w:left w:val="none" w:sz="0" w:space="0" w:color="auto"/>
        <w:bottom w:val="none" w:sz="0" w:space="0" w:color="auto"/>
        <w:right w:val="none" w:sz="0" w:space="0" w:color="auto"/>
      </w:divBdr>
      <w:divsChild>
        <w:div w:id="289098373">
          <w:marLeft w:val="0"/>
          <w:marRight w:val="0"/>
          <w:marTop w:val="0"/>
          <w:marBottom w:val="0"/>
          <w:divBdr>
            <w:top w:val="none" w:sz="0" w:space="0" w:color="auto"/>
            <w:left w:val="none" w:sz="0" w:space="0" w:color="auto"/>
            <w:bottom w:val="none" w:sz="0" w:space="0" w:color="auto"/>
            <w:right w:val="none" w:sz="0" w:space="0" w:color="auto"/>
          </w:divBdr>
          <w:divsChild>
            <w:div w:id="1701079932">
              <w:marLeft w:val="0"/>
              <w:marRight w:val="0"/>
              <w:marTop w:val="0"/>
              <w:marBottom w:val="0"/>
              <w:divBdr>
                <w:top w:val="none" w:sz="0" w:space="0" w:color="auto"/>
                <w:left w:val="none" w:sz="0" w:space="0" w:color="auto"/>
                <w:bottom w:val="none" w:sz="0" w:space="0" w:color="auto"/>
                <w:right w:val="none" w:sz="0" w:space="0" w:color="auto"/>
              </w:divBdr>
              <w:divsChild>
                <w:div w:id="515118307">
                  <w:marLeft w:val="0"/>
                  <w:marRight w:val="0"/>
                  <w:marTop w:val="430"/>
                  <w:marBottom w:val="0"/>
                  <w:divBdr>
                    <w:top w:val="none" w:sz="0" w:space="0" w:color="auto"/>
                    <w:left w:val="none" w:sz="0" w:space="0" w:color="auto"/>
                    <w:bottom w:val="none" w:sz="0" w:space="0" w:color="auto"/>
                    <w:right w:val="none" w:sz="0" w:space="0" w:color="auto"/>
                  </w:divBdr>
                  <w:divsChild>
                    <w:div w:id="92409281">
                      <w:marLeft w:val="355"/>
                      <w:marRight w:val="355"/>
                      <w:marTop w:val="0"/>
                      <w:marBottom w:val="0"/>
                      <w:divBdr>
                        <w:top w:val="none" w:sz="0" w:space="0" w:color="auto"/>
                        <w:left w:val="none" w:sz="0" w:space="0" w:color="auto"/>
                        <w:bottom w:val="none" w:sz="0" w:space="0" w:color="auto"/>
                        <w:right w:val="none" w:sz="0" w:space="0" w:color="auto"/>
                      </w:divBdr>
                      <w:divsChild>
                        <w:div w:id="1956252913">
                          <w:marLeft w:val="0"/>
                          <w:marRight w:val="0"/>
                          <w:marTop w:val="281"/>
                          <w:marBottom w:val="281"/>
                          <w:divBdr>
                            <w:top w:val="none" w:sz="0" w:space="0" w:color="auto"/>
                            <w:left w:val="none" w:sz="0" w:space="0" w:color="auto"/>
                            <w:bottom w:val="none" w:sz="0" w:space="0" w:color="auto"/>
                            <w:right w:val="none" w:sz="0" w:space="0" w:color="auto"/>
                          </w:divBdr>
                          <w:divsChild>
                            <w:div w:id="647250832">
                              <w:marLeft w:val="0"/>
                              <w:marRight w:val="0"/>
                              <w:marTop w:val="281"/>
                              <w:marBottom w:val="281"/>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emf"/><Relationship Id="rId26" Type="http://schemas.openxmlformats.org/officeDocument/2006/relationships/image" Target="media/image15.emf"/><Relationship Id="rId39" Type="http://schemas.openxmlformats.org/officeDocument/2006/relationships/image" Target="media/image26.emf"/><Relationship Id="rId21" Type="http://schemas.openxmlformats.org/officeDocument/2006/relationships/image" Target="media/image10.emf"/><Relationship Id="rId34" Type="http://schemas.openxmlformats.org/officeDocument/2006/relationships/chart" Target="charts/chart2.xml"/><Relationship Id="rId42" Type="http://schemas.openxmlformats.org/officeDocument/2006/relationships/image" Target="media/image29.emf"/><Relationship Id="rId47" Type="http://schemas.openxmlformats.org/officeDocument/2006/relationships/image" Target="media/image34.emf"/><Relationship Id="rId50" Type="http://schemas.openxmlformats.org/officeDocument/2006/relationships/image" Target="media/image37.emf"/><Relationship Id="rId55" Type="http://schemas.openxmlformats.org/officeDocument/2006/relationships/image" Target="media/image42.emf"/><Relationship Id="rId63" Type="http://schemas.openxmlformats.org/officeDocument/2006/relationships/image" Target="media/image49.png"/><Relationship Id="rId68" Type="http://schemas.openxmlformats.org/officeDocument/2006/relationships/chart" Target="charts/chart6.xml"/><Relationship Id="rId76" Type="http://schemas.openxmlformats.org/officeDocument/2006/relationships/hyperlink" Target="http://www.infoandstats.wales.nhs.uk/page.cfm?orgid=869&amp;pid=40977" TargetMode="External"/><Relationship Id="rId84" Type="http://schemas.openxmlformats.org/officeDocument/2006/relationships/hyperlink" Target="http://www.vision2020.org/main.cfm?type=WHATVISION2020" TargetMode="External"/><Relationship Id="rId89" Type="http://schemas.openxmlformats.org/officeDocument/2006/relationships/hyperlink" Target="http://www.wales.nhs.uk/sites3/page.cfm?orgid=562&amp;pid=12776" TargetMode="External"/><Relationship Id="rId7" Type="http://schemas.openxmlformats.org/officeDocument/2006/relationships/endnotes" Target="endnotes.xml"/><Relationship Id="rId71" Type="http://schemas.openxmlformats.org/officeDocument/2006/relationships/hyperlink" Target="http://www.wales.nhs.uk/sites3/page.cfm?pid=12019&amp;orgid=562"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8.emf"/><Relationship Id="rId11" Type="http://schemas.openxmlformats.org/officeDocument/2006/relationships/hyperlink" Target="http://www.publichealthwales.wales.nhs.uk/" TargetMode="External"/><Relationship Id="rId24" Type="http://schemas.openxmlformats.org/officeDocument/2006/relationships/image" Target="media/image13.emf"/><Relationship Id="rId32" Type="http://schemas.openxmlformats.org/officeDocument/2006/relationships/image" Target="media/image20.emf"/><Relationship Id="rId37" Type="http://schemas.openxmlformats.org/officeDocument/2006/relationships/image" Target="media/image24.emf"/><Relationship Id="rId40" Type="http://schemas.openxmlformats.org/officeDocument/2006/relationships/image" Target="media/image27.jpeg"/><Relationship Id="rId45" Type="http://schemas.openxmlformats.org/officeDocument/2006/relationships/image" Target="media/image32.emf"/><Relationship Id="rId53" Type="http://schemas.openxmlformats.org/officeDocument/2006/relationships/image" Target="media/image40.emf"/><Relationship Id="rId58" Type="http://schemas.openxmlformats.org/officeDocument/2006/relationships/image" Target="media/image44.emf"/><Relationship Id="rId66" Type="http://schemas.openxmlformats.org/officeDocument/2006/relationships/chart" Target="charts/chart4.xml"/><Relationship Id="rId74" Type="http://schemas.openxmlformats.org/officeDocument/2006/relationships/hyperlink" Target="http://www.qof.ic.nhs.uk/faqs/" TargetMode="External"/><Relationship Id="rId79" Type="http://schemas.openxmlformats.org/officeDocument/2006/relationships/hyperlink" Target="http://www.publichealthwales.wales.nhs.uk" TargetMode="External"/><Relationship Id="rId87" Type="http://schemas.openxmlformats.org/officeDocument/2006/relationships/hyperlink" Target="http://wales.gov.uk/topics/statistics/theme/health/health-survey/?lang=en" TargetMode="External"/><Relationship Id="rId5" Type="http://schemas.openxmlformats.org/officeDocument/2006/relationships/webSettings" Target="webSettings.xml"/><Relationship Id="rId61" Type="http://schemas.openxmlformats.org/officeDocument/2006/relationships/image" Target="media/image47.emf"/><Relationship Id="rId82" Type="http://schemas.openxmlformats.org/officeDocument/2006/relationships/hyperlink" Target="http://www.rcophth.ac.uk/core/core_picker/download.asp?id=181" TargetMode="External"/><Relationship Id="rId90" Type="http://schemas.openxmlformats.org/officeDocument/2006/relationships/hyperlink" Target="http://wales.gov.uk/docrepos/40382/40382313/statistics/wimd2005/403821101/wimd2005-report-r-e.pdf?lang=en" TargetMode="External"/><Relationship Id="rId19" Type="http://schemas.openxmlformats.org/officeDocument/2006/relationships/image" Target="media/image8.emf"/><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chart" Target="charts/chart1.xml"/><Relationship Id="rId35" Type="http://schemas.openxmlformats.org/officeDocument/2006/relationships/image" Target="media/image22.emf"/><Relationship Id="rId43" Type="http://schemas.openxmlformats.org/officeDocument/2006/relationships/image" Target="media/image30.emf"/><Relationship Id="rId48" Type="http://schemas.openxmlformats.org/officeDocument/2006/relationships/image" Target="media/image35.emf"/><Relationship Id="rId56" Type="http://schemas.openxmlformats.org/officeDocument/2006/relationships/image" Target="media/image43.emf"/><Relationship Id="rId64" Type="http://schemas.openxmlformats.org/officeDocument/2006/relationships/image" Target="media/image50.emf"/><Relationship Id="rId69" Type="http://schemas.openxmlformats.org/officeDocument/2006/relationships/hyperlink" Target="http://www.rcgp.org.uk/pdf/BRU%20Annual%20prevalence%20report%202007.pdf" TargetMode="External"/><Relationship Id="rId77" Type="http://schemas.openxmlformats.org/officeDocument/2006/relationships/hyperlink" Target="http://www.neighbourhood.statistics.gov.uk/dissemination/" TargetMode="External"/><Relationship Id="rId8" Type="http://schemas.openxmlformats.org/officeDocument/2006/relationships/image" Target="media/image1.jpeg"/><Relationship Id="rId51" Type="http://schemas.openxmlformats.org/officeDocument/2006/relationships/image" Target="media/image38.emf"/><Relationship Id="rId72" Type="http://schemas.openxmlformats.org/officeDocument/2006/relationships/hyperlink" Target="http://www.eyehealthmodel.org.uk/MainApplication/Default.aspx" TargetMode="External"/><Relationship Id="rId80" Type="http://schemas.openxmlformats.org/officeDocument/2006/relationships/hyperlink" Target="http://www.wales.nhs.uk/sitesplus/922/page/49937" TargetMode="External"/><Relationship Id="rId85" Type="http://schemas.openxmlformats.org/officeDocument/2006/relationships/hyperlink" Target="http://www.wcb-ccd.org.uk/files/low_vision_implementation.doc" TargetMode="External"/><Relationship Id="rId3" Type="http://schemas.openxmlformats.org/officeDocument/2006/relationships/styles" Target="styles.xml"/><Relationship Id="rId12" Type="http://schemas.openxmlformats.org/officeDocument/2006/relationships/hyperlink" Target="mailto:publichealthwalesobservatory@wales.nhs.uk" TargetMode="External"/><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image" Target="media/image21.emf"/><Relationship Id="rId38" Type="http://schemas.openxmlformats.org/officeDocument/2006/relationships/image" Target="media/image25.jpeg"/><Relationship Id="rId46" Type="http://schemas.openxmlformats.org/officeDocument/2006/relationships/image" Target="media/image33.emf"/><Relationship Id="rId59" Type="http://schemas.openxmlformats.org/officeDocument/2006/relationships/image" Target="media/image45.emf"/><Relationship Id="rId67" Type="http://schemas.openxmlformats.org/officeDocument/2006/relationships/chart" Target="charts/chart5.xml"/><Relationship Id="rId20" Type="http://schemas.openxmlformats.org/officeDocument/2006/relationships/image" Target="media/image9.emf"/><Relationship Id="rId41" Type="http://schemas.openxmlformats.org/officeDocument/2006/relationships/image" Target="media/image28.emf"/><Relationship Id="rId54" Type="http://schemas.openxmlformats.org/officeDocument/2006/relationships/image" Target="media/image41.emf"/><Relationship Id="rId62" Type="http://schemas.openxmlformats.org/officeDocument/2006/relationships/image" Target="media/image48.emf"/><Relationship Id="rId70" Type="http://schemas.openxmlformats.org/officeDocument/2006/relationships/hyperlink" Target="http://www.wales.nhs.uk/sites3/page.cfm?orgid=562&amp;pid=55453" TargetMode="External"/><Relationship Id="rId75" Type="http://schemas.openxmlformats.org/officeDocument/2006/relationships/hyperlink" Target="http://www.wales.nhs.uk/sites3/page.cfm?orgid=480&amp;pid=6063" TargetMode="External"/><Relationship Id="rId83" Type="http://schemas.openxmlformats.org/officeDocument/2006/relationships/hyperlink" Target="http://www.mrcophth.com/focus1/Screening%20for%20Diabetic%20Retinopathy.htm" TargetMode="External"/><Relationship Id="rId88" Type="http://schemas.openxmlformats.org/officeDocument/2006/relationships/hyperlink" Target="http://wales.gov.uk/docs/statistics/2010/100915sb762010en.pdf"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3.emf"/><Relationship Id="rId49" Type="http://schemas.openxmlformats.org/officeDocument/2006/relationships/image" Target="media/image36.emf"/><Relationship Id="rId57" Type="http://schemas.openxmlformats.org/officeDocument/2006/relationships/chart" Target="charts/chart3.xml"/><Relationship Id="rId10" Type="http://schemas.openxmlformats.org/officeDocument/2006/relationships/footer" Target="footer1.xml"/><Relationship Id="rId31" Type="http://schemas.openxmlformats.org/officeDocument/2006/relationships/image" Target="media/image19.emf"/><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image" Target="media/image46.emf"/><Relationship Id="rId65" Type="http://schemas.openxmlformats.org/officeDocument/2006/relationships/image" Target="media/image51.emf"/><Relationship Id="rId73" Type="http://schemas.openxmlformats.org/officeDocument/2006/relationships/hyperlink" Target="http://www.nhsdirect.wales.nhs.uk/localservices/opticianfaq/" TargetMode="External"/><Relationship Id="rId78" Type="http://schemas.openxmlformats.org/officeDocument/2006/relationships/hyperlink" Target="http://www.neighbourhood.statistics.gov.uk/dissemination/Info.do?page=aboutneighbourhood/geography/superoutputareas/soafaq/soa-faq.htm" TargetMode="External"/><Relationship Id="rId81" Type="http://schemas.openxmlformats.org/officeDocument/2006/relationships/hyperlink" Target="http://www.rnib.org.uk/livingwithsightloss/registeringsightloss/Pages/vision_criteria.aspx" TargetMode="External"/><Relationship Id="rId86" Type="http://schemas.openxmlformats.org/officeDocument/2006/relationships/hyperlink" Target="http://statswales.wales.gov.uk/index.htm" TargetMode="Externa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wsdnsvr01\users\Ro123248\Health%20Intelligence\EYES\Data%20analysis\Ros%20excel%20sheets%20for%20own%20analysis\GP%20Annual%20Prevalence%20survey%202009%20population%20data.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wsdnsvr01\users\Ro123248\Health%20Intelligence\EYES\Data%20analysis\Ros%20excel%20sheets%20for%20own%20analysis\GP%20Annual%20Prevalence%20survey%202009%20population%20data.xls"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wsdnsvr01\users\Ro123248\Health%20Intelligence\EYES\Data%20analysis\Data%20from%20Margaret\20101210_Opthal_OPD_USOA_22890_MJW_v1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EYES\Data%20analysis\Ros%20excel%20sheets%20for%20own%20analysis\Fig%2026%20(revised)%20crude%20rate%20cataract%20operations%20compared%20with%20need%20at%20LA%20lev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EYES\Data%20analysis\Ros%20excel%20sheets%20for%20own%20analysis\Fig%2027%20(revised)%20crude%20cataract%20operations%20compared%20with%20need%20at%20USOA%20lev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EYES\Data%20analysis\Ros%20excel%20sheets%20for%20own%20analysis\Fig%2028%20cataract%20operations%20vs%20%25%20most%20deprived%20LSOA%20in%20L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lgn="l">
              <a:defRPr sz="1000" b="0" i="0" u="none" strike="noStrike" baseline="0">
                <a:solidFill>
                  <a:srgbClr val="000000"/>
                </a:solidFill>
                <a:latin typeface="Arial"/>
                <a:ea typeface="Arial"/>
                <a:cs typeface="Arial"/>
              </a:defRPr>
            </a:pPr>
            <a:r>
              <a:rPr lang="en-GB" sz="900" b="1" i="0" u="none" strike="noStrike" baseline="0">
                <a:solidFill>
                  <a:srgbClr val="000000"/>
                </a:solidFill>
                <a:latin typeface="Verdana"/>
              </a:rPr>
              <a:t>Age specific prevalence of Glaucoma, rate per 10,000 persons</a:t>
            </a:r>
          </a:p>
          <a:p>
            <a:pPr algn="l">
              <a:defRPr sz="1000" b="0" i="0" u="none" strike="noStrike" baseline="0">
                <a:solidFill>
                  <a:srgbClr val="000000"/>
                </a:solidFill>
                <a:latin typeface="Arial"/>
                <a:ea typeface="Arial"/>
                <a:cs typeface="Arial"/>
              </a:defRPr>
            </a:pPr>
            <a:endParaRPr lang="en-GB" sz="800" b="0" i="0" u="none" strike="noStrike" baseline="0">
              <a:solidFill>
                <a:srgbClr val="000000"/>
              </a:solidFill>
              <a:latin typeface="Verdana"/>
            </a:endParaRPr>
          </a:p>
        </c:rich>
      </c:tx>
      <c:layout>
        <c:manualLayout>
          <c:xMode val="edge"/>
          <c:yMode val="edge"/>
          <c:x val="3.1180400890868598E-2"/>
          <c:y val="2.5723472668810383E-2"/>
        </c:manualLayout>
      </c:layout>
      <c:spPr>
        <a:noFill/>
        <a:ln w="25400">
          <a:noFill/>
        </a:ln>
      </c:spPr>
    </c:title>
    <c:plotArea>
      <c:layout>
        <c:manualLayout>
          <c:layoutTarget val="inner"/>
          <c:xMode val="edge"/>
          <c:yMode val="edge"/>
          <c:x val="1.1135857461024501E-2"/>
          <c:y val="0.11897106109324759"/>
          <c:w val="0.90645879732739421"/>
          <c:h val="0.70739549839228499"/>
        </c:manualLayout>
      </c:layout>
      <c:barChart>
        <c:barDir val="col"/>
        <c:grouping val="clustered"/>
        <c:ser>
          <c:idx val="0"/>
          <c:order val="0"/>
          <c:spPr>
            <a:solidFill>
              <a:srgbClr val="9999FF"/>
            </a:solidFill>
            <a:ln w="12700">
              <a:solidFill>
                <a:srgbClr val="000000"/>
              </a:solidFill>
              <a:prstDash val="solid"/>
            </a:ln>
          </c:spPr>
          <c:dLbls>
            <c:spPr>
              <a:noFill/>
              <a:ln w="25400">
                <a:noFill/>
              </a:ln>
            </c:spPr>
            <c:txPr>
              <a:bodyPr/>
              <a:lstStyle/>
              <a:p>
                <a:pPr>
                  <a:defRPr sz="800" b="0" i="0" u="none" strike="noStrike" baseline="0">
                    <a:solidFill>
                      <a:srgbClr val="000000"/>
                    </a:solidFill>
                    <a:latin typeface="Verdana"/>
                    <a:ea typeface="Verdana"/>
                    <a:cs typeface="Verdana"/>
                  </a:defRPr>
                </a:pPr>
                <a:endParaRPr lang="en-US"/>
              </a:p>
            </c:txPr>
            <c:showVal val="1"/>
          </c:dLbls>
          <c:cat>
            <c:strRef>
              <c:f>Prevalence!$B$3:$I$3</c:f>
              <c:strCache>
                <c:ptCount val="8"/>
                <c:pt idx="0">
                  <c:v>&lt;1</c:v>
                </c:pt>
                <c:pt idx="1">
                  <c:v>1-4</c:v>
                </c:pt>
                <c:pt idx="2">
                  <c:v>5-14</c:v>
                </c:pt>
                <c:pt idx="3">
                  <c:v>15-24</c:v>
                </c:pt>
                <c:pt idx="4">
                  <c:v>25-44</c:v>
                </c:pt>
                <c:pt idx="5">
                  <c:v>45-64</c:v>
                </c:pt>
                <c:pt idx="6">
                  <c:v>65-74</c:v>
                </c:pt>
                <c:pt idx="7">
                  <c:v>75+</c:v>
                </c:pt>
              </c:strCache>
            </c:strRef>
          </c:cat>
          <c:val>
            <c:numRef>
              <c:f>Prevalence!$B$4:$I$4</c:f>
              <c:numCache>
                <c:formatCode>General</c:formatCode>
                <c:ptCount val="8"/>
                <c:pt idx="0">
                  <c:v>0</c:v>
                </c:pt>
                <c:pt idx="1">
                  <c:v>0</c:v>
                </c:pt>
                <c:pt idx="2">
                  <c:v>0</c:v>
                </c:pt>
                <c:pt idx="3">
                  <c:v>1</c:v>
                </c:pt>
                <c:pt idx="4">
                  <c:v>4</c:v>
                </c:pt>
                <c:pt idx="5">
                  <c:v>36</c:v>
                </c:pt>
                <c:pt idx="6">
                  <c:v>120</c:v>
                </c:pt>
                <c:pt idx="7">
                  <c:v>228</c:v>
                </c:pt>
              </c:numCache>
            </c:numRef>
          </c:val>
        </c:ser>
        <c:axId val="43237760"/>
        <c:axId val="43239680"/>
      </c:barChart>
      <c:catAx>
        <c:axId val="43237760"/>
        <c:scaling>
          <c:orientation val="minMax"/>
        </c:scaling>
        <c:axPos val="b"/>
        <c:title>
          <c:tx>
            <c:rich>
              <a:bodyPr/>
              <a:lstStyle/>
              <a:p>
                <a:pPr>
                  <a:defRPr sz="800" b="1" i="0" u="none" strike="noStrike" baseline="0">
                    <a:solidFill>
                      <a:srgbClr val="000000"/>
                    </a:solidFill>
                    <a:latin typeface="Verdana"/>
                    <a:ea typeface="Verdana"/>
                    <a:cs typeface="Verdana"/>
                  </a:defRPr>
                </a:pPr>
                <a:r>
                  <a:rPr lang="en-GB"/>
                  <a:t>Age (years)</a:t>
                </a:r>
              </a:p>
            </c:rich>
          </c:tx>
          <c:layout>
            <c:manualLayout>
              <c:xMode val="edge"/>
              <c:yMode val="edge"/>
              <c:x val="0.37193763919821832"/>
              <c:y val="0.90353697749195838"/>
            </c:manualLayout>
          </c:layout>
          <c:spPr>
            <a:noFill/>
            <a:ln w="25400">
              <a:noFill/>
            </a:ln>
          </c:spPr>
        </c:title>
        <c:numFmt formatCode="@" sourceLinked="1"/>
        <c:tickLblPos val="nextTo"/>
        <c:spPr>
          <a:ln w="3175">
            <a:solidFill>
              <a:srgbClr val="000000"/>
            </a:solidFill>
            <a:prstDash val="solid"/>
          </a:ln>
        </c:spPr>
        <c:txPr>
          <a:bodyPr rot="0" vert="horz"/>
          <a:lstStyle/>
          <a:p>
            <a:pPr>
              <a:defRPr sz="800" b="0" i="0" u="none" strike="noStrike" baseline="0">
                <a:solidFill>
                  <a:srgbClr val="000000"/>
                </a:solidFill>
                <a:latin typeface="Verdana"/>
                <a:ea typeface="Verdana"/>
                <a:cs typeface="Verdana"/>
              </a:defRPr>
            </a:pPr>
            <a:endParaRPr lang="en-US"/>
          </a:p>
        </c:txPr>
        <c:crossAx val="43239680"/>
        <c:crosses val="autoZero"/>
        <c:auto val="1"/>
        <c:lblAlgn val="ctr"/>
        <c:lblOffset val="100"/>
        <c:tickLblSkip val="1"/>
        <c:tickMarkSkip val="1"/>
      </c:catAx>
      <c:valAx>
        <c:axId val="43239680"/>
        <c:scaling>
          <c:orientation val="minMax"/>
        </c:scaling>
        <c:delete val="1"/>
        <c:axPos val="l"/>
        <c:numFmt formatCode="General" sourceLinked="1"/>
        <c:tickLblPos val="none"/>
        <c:crossAx val="43237760"/>
        <c:crosses val="autoZero"/>
        <c:crossBetween val="between"/>
      </c:valAx>
      <c:spPr>
        <a:solidFill>
          <a:srgbClr val="FFFFFF"/>
        </a:solidFill>
        <a:ln w="25400">
          <a:noFill/>
        </a:ln>
      </c:spPr>
    </c:plotArea>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lgn="l">
              <a:defRPr sz="800" b="0" i="0" u="none" strike="noStrike" baseline="0">
                <a:solidFill>
                  <a:srgbClr val="000000"/>
                </a:solidFill>
                <a:latin typeface="Arial"/>
                <a:ea typeface="Arial"/>
                <a:cs typeface="Arial"/>
              </a:defRPr>
            </a:pPr>
            <a:r>
              <a:rPr lang="en-GB" sz="925" b="1" i="0" u="none" strike="noStrike" baseline="0">
                <a:solidFill>
                  <a:srgbClr val="000000"/>
                </a:solidFill>
                <a:latin typeface="Verdana"/>
              </a:rPr>
              <a:t>Age specific prevalence of Cataracts, rate per 10,000 persons</a:t>
            </a:r>
            <a:endParaRPr lang="en-GB" sz="800" b="1" i="0" u="none" strike="noStrike" baseline="0">
              <a:solidFill>
                <a:srgbClr val="000000"/>
              </a:solidFill>
              <a:latin typeface="Verdana"/>
            </a:endParaRPr>
          </a:p>
          <a:p>
            <a:pPr algn="l">
              <a:defRPr sz="800" b="0" i="0" u="none" strike="noStrike" baseline="0">
                <a:solidFill>
                  <a:srgbClr val="000000"/>
                </a:solidFill>
                <a:latin typeface="Arial"/>
                <a:ea typeface="Arial"/>
                <a:cs typeface="Arial"/>
              </a:defRPr>
            </a:pPr>
            <a:endParaRPr lang="en-GB" sz="825" b="0" i="0" u="none" strike="noStrike" baseline="0">
              <a:solidFill>
                <a:srgbClr val="000000"/>
              </a:solidFill>
              <a:latin typeface="Verdana"/>
            </a:endParaRPr>
          </a:p>
        </c:rich>
      </c:tx>
      <c:layout>
        <c:manualLayout>
          <c:xMode val="edge"/>
          <c:yMode val="edge"/>
          <c:x val="2.6315789473684216E-2"/>
          <c:y val="3.2258064516129177E-2"/>
        </c:manualLayout>
      </c:layout>
      <c:spPr>
        <a:noFill/>
        <a:ln w="25400">
          <a:noFill/>
        </a:ln>
      </c:spPr>
    </c:title>
    <c:plotArea>
      <c:layout>
        <c:manualLayout>
          <c:layoutTarget val="inner"/>
          <c:xMode val="edge"/>
          <c:yMode val="edge"/>
          <c:x val="3.2894807289112545E-2"/>
          <c:y val="0.22903261881397868"/>
          <c:w val="0.93640551416340123"/>
          <c:h val="0.57419445280124271"/>
        </c:manualLayout>
      </c:layout>
      <c:barChart>
        <c:barDir val="col"/>
        <c:grouping val="clustered"/>
        <c:ser>
          <c:idx val="0"/>
          <c:order val="0"/>
          <c:spPr>
            <a:solidFill>
              <a:srgbClr val="9999FF"/>
            </a:solidFill>
            <a:ln w="12700">
              <a:solidFill>
                <a:srgbClr val="000000"/>
              </a:solidFill>
              <a:prstDash val="solid"/>
            </a:ln>
          </c:spPr>
          <c:dLbls>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Prevalence!$B$6:$I$6</c:f>
              <c:strCache>
                <c:ptCount val="8"/>
                <c:pt idx="0">
                  <c:v>&lt;1</c:v>
                </c:pt>
                <c:pt idx="1">
                  <c:v>1-4</c:v>
                </c:pt>
                <c:pt idx="2">
                  <c:v>5-14</c:v>
                </c:pt>
                <c:pt idx="3">
                  <c:v>15-24</c:v>
                </c:pt>
                <c:pt idx="4">
                  <c:v>25-44</c:v>
                </c:pt>
                <c:pt idx="5">
                  <c:v>45-64</c:v>
                </c:pt>
                <c:pt idx="6">
                  <c:v>65-74</c:v>
                </c:pt>
                <c:pt idx="7">
                  <c:v>75+</c:v>
                </c:pt>
              </c:strCache>
            </c:strRef>
          </c:cat>
          <c:val>
            <c:numRef>
              <c:f>Prevalence!$B$7:$I$7</c:f>
              <c:numCache>
                <c:formatCode>General</c:formatCode>
                <c:ptCount val="8"/>
                <c:pt idx="0">
                  <c:v>0</c:v>
                </c:pt>
                <c:pt idx="1">
                  <c:v>1</c:v>
                </c:pt>
                <c:pt idx="2">
                  <c:v>1</c:v>
                </c:pt>
                <c:pt idx="3">
                  <c:v>1</c:v>
                </c:pt>
                <c:pt idx="4">
                  <c:v>1</c:v>
                </c:pt>
                <c:pt idx="5">
                  <c:v>23</c:v>
                </c:pt>
                <c:pt idx="6">
                  <c:v>123</c:v>
                </c:pt>
                <c:pt idx="7">
                  <c:v>328</c:v>
                </c:pt>
              </c:numCache>
            </c:numRef>
          </c:val>
        </c:ser>
        <c:axId val="43747200"/>
        <c:axId val="43761664"/>
      </c:barChart>
      <c:catAx>
        <c:axId val="43747200"/>
        <c:scaling>
          <c:orientation val="minMax"/>
        </c:scaling>
        <c:axPos val="b"/>
        <c:title>
          <c:tx>
            <c:rich>
              <a:bodyPr/>
              <a:lstStyle/>
              <a:p>
                <a:pPr>
                  <a:defRPr sz="800" b="1" i="0" u="none" strike="noStrike" baseline="0">
                    <a:solidFill>
                      <a:srgbClr val="000000"/>
                    </a:solidFill>
                    <a:latin typeface="Verdana"/>
                    <a:ea typeface="Verdana"/>
                    <a:cs typeface="Verdana"/>
                  </a:defRPr>
                </a:pPr>
                <a:r>
                  <a:rPr lang="en-GB"/>
                  <a:t>Age (years)</a:t>
                </a:r>
              </a:p>
            </c:rich>
          </c:tx>
          <c:layout>
            <c:manualLayout>
              <c:xMode val="edge"/>
              <c:yMode val="edge"/>
              <c:x val="0.41008864023576147"/>
              <c:y val="0.88064651595969867"/>
            </c:manualLayout>
          </c:layout>
          <c:spPr>
            <a:noFill/>
            <a:ln w="25400">
              <a:noFill/>
            </a:ln>
          </c:spPr>
        </c:title>
        <c:numFmt formatCode="@" sourceLinked="1"/>
        <c:tickLblPos val="nextTo"/>
        <c:spPr>
          <a:ln w="3175">
            <a:solidFill>
              <a:srgbClr val="000000"/>
            </a:solidFill>
            <a:prstDash val="solid"/>
          </a:ln>
        </c:spPr>
        <c:txPr>
          <a:bodyPr rot="0" vert="horz"/>
          <a:lstStyle/>
          <a:p>
            <a:pPr>
              <a:defRPr sz="800" b="0" i="0" u="none" strike="noStrike" baseline="0">
                <a:solidFill>
                  <a:srgbClr val="000000"/>
                </a:solidFill>
                <a:latin typeface="Verdana"/>
                <a:ea typeface="Verdana"/>
                <a:cs typeface="Verdana"/>
              </a:defRPr>
            </a:pPr>
            <a:endParaRPr lang="en-US"/>
          </a:p>
        </c:txPr>
        <c:crossAx val="43761664"/>
        <c:crosses val="autoZero"/>
        <c:auto val="1"/>
        <c:lblAlgn val="ctr"/>
        <c:lblOffset val="100"/>
        <c:tickLblSkip val="1"/>
        <c:tickMarkSkip val="1"/>
      </c:catAx>
      <c:valAx>
        <c:axId val="43761664"/>
        <c:scaling>
          <c:orientation val="minMax"/>
        </c:scaling>
        <c:delete val="1"/>
        <c:axPos val="l"/>
        <c:numFmt formatCode="General" sourceLinked="1"/>
        <c:tickLblPos val="none"/>
        <c:crossAx val="43747200"/>
        <c:crosses val="autoZero"/>
        <c:crossBetween val="between"/>
      </c:valAx>
      <c:spPr>
        <a:noFill/>
        <a:ln w="25400">
          <a:noFill/>
        </a:ln>
      </c:spPr>
    </c:plotArea>
    <c:plotVisOnly val="1"/>
    <c:dispBlanksAs val="gap"/>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GB"/>
  <c:chart>
    <c:plotArea>
      <c:layout>
        <c:manualLayout>
          <c:layoutTarget val="inner"/>
          <c:xMode val="edge"/>
          <c:yMode val="edge"/>
          <c:x val="8.2508383786458767E-3"/>
          <c:y val="0.18600000000000044"/>
          <c:w val="0.86963836730095034"/>
          <c:h val="0.56336273183357566"/>
        </c:manualLayout>
      </c:layout>
      <c:barChart>
        <c:barDir val="col"/>
        <c:grouping val="clustered"/>
        <c:ser>
          <c:idx val="0"/>
          <c:order val="0"/>
          <c:tx>
            <c:v>EASR</c:v>
          </c:tx>
          <c:spPr>
            <a:solidFill>
              <a:srgbClr val="99CCFF"/>
            </a:solidFill>
            <a:ln w="3175">
              <a:solidFill>
                <a:srgbClr val="808080"/>
              </a:solidFill>
              <a:prstDash val="solid"/>
            </a:ln>
          </c:spPr>
          <c:dLbls>
            <c:dLbl>
              <c:idx val="4"/>
              <c:layout>
                <c:manualLayout>
                  <c:x val="1.3311968787952301E-3"/>
                  <c:y val="0.21771674540682831"/>
                </c:manualLayout>
              </c:layout>
              <c:dLblPos val="outEnd"/>
              <c:showVal val="1"/>
            </c:dLbl>
            <c:spPr>
              <a:noFill/>
              <a:ln w="25400">
                <a:noFill/>
              </a:ln>
            </c:spPr>
            <c:txPr>
              <a:bodyPr/>
              <a:lstStyle/>
              <a:p>
                <a:pPr>
                  <a:defRPr sz="800" b="1" i="0" u="none" strike="noStrike" baseline="0">
                    <a:solidFill>
                      <a:srgbClr val="000000"/>
                    </a:solidFill>
                    <a:latin typeface="Verdana"/>
                    <a:ea typeface="Verdana"/>
                    <a:cs typeface="Verdana"/>
                  </a:defRPr>
                </a:pPr>
                <a:endParaRPr lang="en-US"/>
              </a:p>
            </c:txPr>
            <c:dLblPos val="ctr"/>
            <c:showVal val="1"/>
          </c:dLbls>
          <c:errBars>
            <c:errBarType val="both"/>
            <c:errValType val="cust"/>
            <c:plus>
              <c:numRef>
                <c:f>'New patients table chart'!$R$3:$R$11</c:f>
                <c:numCache>
                  <c:formatCode>General</c:formatCode>
                  <c:ptCount val="9"/>
                  <c:pt idx="0">
                    <c:v>1.8059698593770708</c:v>
                  </c:pt>
                  <c:pt idx="1">
                    <c:v>1.9232597933292166</c:v>
                  </c:pt>
                  <c:pt idx="2">
                    <c:v>1.9499554717228635</c:v>
                  </c:pt>
                  <c:pt idx="3">
                    <c:v>2.1086859310973782</c:v>
                  </c:pt>
                  <c:pt idx="4">
                    <c:v>1.9618775166298981</c:v>
                  </c:pt>
                  <c:pt idx="5">
                    <c:v>2.5431132240094012</c:v>
                  </c:pt>
                  <c:pt idx="6">
                    <c:v>2.548885939884201</c:v>
                  </c:pt>
                  <c:pt idx="7">
                    <c:v>2.021240332567686</c:v>
                  </c:pt>
                  <c:pt idx="8">
                    <c:v>2.0684448819522459</c:v>
                  </c:pt>
                </c:numCache>
              </c:numRef>
            </c:plus>
            <c:minus>
              <c:numRef>
                <c:f>'New patients table chart'!$S$3:$S$11</c:f>
                <c:numCache>
                  <c:formatCode>General</c:formatCode>
                  <c:ptCount val="9"/>
                  <c:pt idx="0">
                    <c:v>1.7186650390563962</c:v>
                  </c:pt>
                  <c:pt idx="1">
                    <c:v>1.8295116282991657</c:v>
                  </c:pt>
                  <c:pt idx="2">
                    <c:v>1.8591066658459034</c:v>
                  </c:pt>
                  <c:pt idx="3">
                    <c:v>2.0032219190487637</c:v>
                  </c:pt>
                  <c:pt idx="4">
                    <c:v>1.8894377433441099</c:v>
                  </c:pt>
                  <c:pt idx="5">
                    <c:v>2.4262219114202277</c:v>
                  </c:pt>
                  <c:pt idx="6">
                    <c:v>2.4427450187182367</c:v>
                  </c:pt>
                  <c:pt idx="7">
                    <c:v>1.9578745776381237</c:v>
                  </c:pt>
                  <c:pt idx="8">
                    <c:v>2.0012215847121202</c:v>
                  </c:pt>
                </c:numCache>
              </c:numRef>
            </c:minus>
            <c:spPr>
              <a:ln w="12700">
                <a:solidFill>
                  <a:srgbClr val="808080"/>
                </a:solidFill>
                <a:prstDash val="solid"/>
              </a:ln>
            </c:spPr>
          </c:errBars>
          <c:cat>
            <c:strRef>
              <c:f>'New patients table chart'!$I$3:$I$11</c:f>
              <c:strCache>
                <c:ptCount val="9"/>
                <c:pt idx="0">
                  <c:v>RCT02</c:v>
                </c:pt>
                <c:pt idx="1">
                  <c:v>RCT01</c:v>
                </c:pt>
                <c:pt idx="2">
                  <c:v>Merthyr02</c:v>
                </c:pt>
                <c:pt idx="3">
                  <c:v>Merthyr01</c:v>
                </c:pt>
                <c:pt idx="4">
                  <c:v>RCT07</c:v>
                </c:pt>
                <c:pt idx="5">
                  <c:v>RCT06</c:v>
                </c:pt>
                <c:pt idx="6">
                  <c:v>RCT03</c:v>
                </c:pt>
                <c:pt idx="7">
                  <c:v>RCT04</c:v>
                </c:pt>
                <c:pt idx="8">
                  <c:v>RCT05</c:v>
                </c:pt>
              </c:strCache>
            </c:strRef>
          </c:cat>
          <c:val>
            <c:numRef>
              <c:f>'New patients table chart'!$M$3:$M$11</c:f>
              <c:numCache>
                <c:formatCode>0.0</c:formatCode>
                <c:ptCount val="9"/>
                <c:pt idx="0">
                  <c:v>25.074546418737729</c:v>
                </c:pt>
                <c:pt idx="1">
                  <c:v>26.918758010527089</c:v>
                </c:pt>
                <c:pt idx="2">
                  <c:v>28.540232712619289</c:v>
                </c:pt>
                <c:pt idx="3">
                  <c:v>28.960748920934723</c:v>
                </c:pt>
                <c:pt idx="4">
                  <c:v>36.841492989028254</c:v>
                </c:pt>
                <c:pt idx="5">
                  <c:v>37.12918044098155</c:v>
                </c:pt>
                <c:pt idx="6">
                  <c:v>41.557439996881648</c:v>
                </c:pt>
                <c:pt idx="7">
                  <c:v>43.783404129326229</c:v>
                </c:pt>
                <c:pt idx="8">
                  <c:v>45.171919521314344</c:v>
                </c:pt>
              </c:numCache>
            </c:numRef>
          </c:val>
        </c:ser>
        <c:gapWidth val="50"/>
        <c:axId val="43779200"/>
        <c:axId val="43781120"/>
      </c:barChart>
      <c:lineChart>
        <c:grouping val="standard"/>
        <c:ser>
          <c:idx val="1"/>
          <c:order val="1"/>
          <c:tx>
            <c:v>Wales</c:v>
          </c:tx>
          <c:spPr>
            <a:ln w="28575">
              <a:noFill/>
            </a:ln>
          </c:spPr>
          <c:marker>
            <c:symbol val="none"/>
          </c:marker>
          <c:trendline>
            <c:spPr>
              <a:ln w="25400">
                <a:solidFill>
                  <a:srgbClr val="FF0000"/>
                </a:solidFill>
                <a:prstDash val="solid"/>
              </a:ln>
            </c:spPr>
            <c:trendlineType val="linear"/>
            <c:forward val="0.5"/>
            <c:backward val="0.5"/>
            <c:dispEq val="1"/>
            <c:trendlineLbl>
              <c:layout>
                <c:manualLayout>
                  <c:x val="-0.6621244850714979"/>
                  <c:y val="-4.2756535433071757E-2"/>
                </c:manualLayout>
              </c:layout>
              <c:tx>
                <c:rich>
                  <a:bodyPr/>
                  <a:lstStyle/>
                  <a:p>
                    <a:pPr>
                      <a:defRPr sz="800" b="0" i="0" u="none" strike="noStrike" baseline="0">
                        <a:solidFill>
                          <a:srgbClr val="FF0000"/>
                        </a:solidFill>
                        <a:latin typeface="Verdana"/>
                        <a:ea typeface="Verdana"/>
                        <a:cs typeface="Verdana"/>
                      </a:defRPr>
                    </a:pPr>
                    <a:r>
                      <a:rPr lang="en-GB"/>
                      <a:t>Wales EASR = 30.4</a:t>
                    </a:r>
                  </a:p>
                </c:rich>
              </c:tx>
              <c:numFmt formatCode="General" sourceLinked="0"/>
              <c:spPr>
                <a:noFill/>
                <a:ln w="25400">
                  <a:noFill/>
                </a:ln>
              </c:spPr>
            </c:trendlineLbl>
          </c:trendline>
          <c:cat>
            <c:strRef>
              <c:f>'New patients table chart'!$I$3:$I$11</c:f>
              <c:strCache>
                <c:ptCount val="9"/>
                <c:pt idx="0">
                  <c:v>RCT02</c:v>
                </c:pt>
                <c:pt idx="1">
                  <c:v>RCT01</c:v>
                </c:pt>
                <c:pt idx="2">
                  <c:v>Merthyr02</c:v>
                </c:pt>
                <c:pt idx="3">
                  <c:v>Merthyr01</c:v>
                </c:pt>
                <c:pt idx="4">
                  <c:v>RCT07</c:v>
                </c:pt>
                <c:pt idx="5">
                  <c:v>RCT06</c:v>
                </c:pt>
                <c:pt idx="6">
                  <c:v>RCT03</c:v>
                </c:pt>
                <c:pt idx="7">
                  <c:v>RCT04</c:v>
                </c:pt>
                <c:pt idx="8">
                  <c:v>RCT05</c:v>
                </c:pt>
              </c:strCache>
            </c:strRef>
          </c:cat>
          <c:val>
            <c:numRef>
              <c:f>'New patients table chart'!$Q$3:$Q$11</c:f>
              <c:numCache>
                <c:formatCode>0.0</c:formatCode>
                <c:ptCount val="9"/>
                <c:pt idx="0">
                  <c:v>30.419292197875027</c:v>
                </c:pt>
                <c:pt idx="1">
                  <c:v>30.419292197875027</c:v>
                </c:pt>
                <c:pt idx="2">
                  <c:v>30.419292197875027</c:v>
                </c:pt>
                <c:pt idx="3">
                  <c:v>30.419292197875027</c:v>
                </c:pt>
                <c:pt idx="4">
                  <c:v>30.419292197875027</c:v>
                </c:pt>
                <c:pt idx="5">
                  <c:v>30.419292197875027</c:v>
                </c:pt>
                <c:pt idx="6">
                  <c:v>30.419292197875027</c:v>
                </c:pt>
                <c:pt idx="7">
                  <c:v>30.419292197875027</c:v>
                </c:pt>
                <c:pt idx="8">
                  <c:v>30.419292197875027</c:v>
                </c:pt>
              </c:numCache>
            </c:numRef>
          </c:val>
        </c:ser>
        <c:ser>
          <c:idx val="2"/>
          <c:order val="2"/>
          <c:tx>
            <c:v>Crude rate</c:v>
          </c:tx>
          <c:spPr>
            <a:ln w="28575">
              <a:noFill/>
            </a:ln>
          </c:spPr>
          <c:marker>
            <c:symbol val="circle"/>
            <c:size val="5"/>
            <c:spPr>
              <a:solidFill>
                <a:srgbClr val="00FF00"/>
              </a:solidFill>
              <a:ln>
                <a:solidFill>
                  <a:srgbClr val="000000"/>
                </a:solidFill>
                <a:prstDash val="solid"/>
              </a:ln>
            </c:spPr>
          </c:marker>
          <c:cat>
            <c:strRef>
              <c:f>'New patients table chart'!$I$3:$I$11</c:f>
              <c:strCache>
                <c:ptCount val="9"/>
                <c:pt idx="0">
                  <c:v>RCT02</c:v>
                </c:pt>
                <c:pt idx="1">
                  <c:v>RCT01</c:v>
                </c:pt>
                <c:pt idx="2">
                  <c:v>Merthyr02</c:v>
                </c:pt>
                <c:pt idx="3">
                  <c:v>Merthyr01</c:v>
                </c:pt>
                <c:pt idx="4">
                  <c:v>RCT07</c:v>
                </c:pt>
                <c:pt idx="5">
                  <c:v>RCT06</c:v>
                </c:pt>
                <c:pt idx="6">
                  <c:v>RCT03</c:v>
                </c:pt>
                <c:pt idx="7">
                  <c:v>RCT04</c:v>
                </c:pt>
                <c:pt idx="8">
                  <c:v>RCT05</c:v>
                </c:pt>
              </c:strCache>
            </c:strRef>
          </c:cat>
          <c:val>
            <c:numRef>
              <c:f>'New patients table chart'!$L$3:$L$11</c:f>
              <c:numCache>
                <c:formatCode>General</c:formatCode>
                <c:ptCount val="9"/>
                <c:pt idx="0">
                  <c:v>30.306115522975627</c:v>
                </c:pt>
                <c:pt idx="1">
                  <c:v>30.719708897519329</c:v>
                </c:pt>
                <c:pt idx="2">
                  <c:v>32.287266143632721</c:v>
                </c:pt>
                <c:pt idx="3">
                  <c:v>32.248074019588913</c:v>
                </c:pt>
                <c:pt idx="4">
                  <c:v>37.769476793867035</c:v>
                </c:pt>
                <c:pt idx="5">
                  <c:v>40.987000082801998</c:v>
                </c:pt>
                <c:pt idx="6">
                  <c:v>45.841692849301545</c:v>
                </c:pt>
                <c:pt idx="7">
                  <c:v>50.062665366940543</c:v>
                </c:pt>
                <c:pt idx="8">
                  <c:v>48.035457594633144</c:v>
                </c:pt>
              </c:numCache>
            </c:numRef>
          </c:val>
        </c:ser>
        <c:marker val="1"/>
        <c:axId val="43779200"/>
        <c:axId val="43781120"/>
      </c:lineChart>
      <c:catAx>
        <c:axId val="43779200"/>
        <c:scaling>
          <c:orientation val="minMax"/>
        </c:scaling>
        <c:axPos val="b"/>
        <c:numFmt formatCode="General" sourceLinked="1"/>
        <c:tickLblPos val="nextTo"/>
        <c:spPr>
          <a:ln w="9525">
            <a:noFill/>
          </a:ln>
        </c:spPr>
        <c:txPr>
          <a:bodyPr rot="-5400000" vert="horz"/>
          <a:lstStyle/>
          <a:p>
            <a:pPr rtl="0">
              <a:defRPr sz="900" b="0" i="0" u="none" strike="noStrike" baseline="0">
                <a:solidFill>
                  <a:srgbClr val="000000"/>
                </a:solidFill>
                <a:latin typeface="Verdana"/>
                <a:ea typeface="Verdana"/>
                <a:cs typeface="Verdana"/>
              </a:defRPr>
            </a:pPr>
            <a:endParaRPr lang="en-US"/>
          </a:p>
        </c:txPr>
        <c:crossAx val="43781120"/>
        <c:crosses val="autoZero"/>
        <c:auto val="1"/>
        <c:lblAlgn val="ctr"/>
        <c:lblOffset val="0"/>
        <c:tickLblSkip val="1"/>
        <c:tickMarkSkip val="1"/>
      </c:catAx>
      <c:valAx>
        <c:axId val="43781120"/>
        <c:scaling>
          <c:orientation val="minMax"/>
          <c:max val="50"/>
          <c:min val="0"/>
        </c:scaling>
        <c:delete val="1"/>
        <c:axPos val="l"/>
        <c:majorGridlines>
          <c:spPr>
            <a:ln w="3175">
              <a:solidFill>
                <a:srgbClr val="FFFFFF"/>
              </a:solidFill>
              <a:prstDash val="solid"/>
            </a:ln>
          </c:spPr>
        </c:majorGridlines>
        <c:numFmt formatCode="0.0" sourceLinked="1"/>
        <c:tickLblPos val="none"/>
        <c:crossAx val="43779200"/>
        <c:crosses val="autoZero"/>
        <c:crossBetween val="between"/>
        <c:majorUnit val="10"/>
        <c:minorUnit val="1"/>
      </c:valAx>
      <c:spPr>
        <a:noFill/>
        <a:ln w="25400">
          <a:noFill/>
        </a:ln>
      </c:spPr>
    </c:plotArea>
    <c:legend>
      <c:legendPos val="r"/>
      <c:legendEntry>
        <c:idx val="1"/>
        <c:delete val="1"/>
      </c:legendEntry>
      <c:legendEntry>
        <c:idx val="3"/>
        <c:delete val="1"/>
      </c:legendEntry>
      <c:layout>
        <c:manualLayout>
          <c:xMode val="edge"/>
          <c:yMode val="edge"/>
          <c:x val="8.2508383786458767E-3"/>
          <c:y val="0.128"/>
          <c:w val="0.36798739168761108"/>
          <c:h val="6.6000000000000003E-2"/>
        </c:manualLayout>
      </c:layout>
      <c:spPr>
        <a:solidFill>
          <a:srgbClr val="FFFFFF"/>
        </a:solidFill>
        <a:ln w="25400">
          <a:noFill/>
        </a:ln>
      </c:spPr>
      <c:txPr>
        <a:bodyPr/>
        <a:lstStyle/>
        <a:p>
          <a:pPr>
            <a:defRPr sz="825" b="0" i="0" u="none" strike="noStrike" baseline="0">
              <a:solidFill>
                <a:srgbClr val="000000"/>
              </a:solidFill>
              <a:latin typeface="Verdana"/>
              <a:ea typeface="Verdana"/>
              <a:cs typeface="Verdana"/>
            </a:defRPr>
          </a:pPr>
          <a:endParaRPr lang="en-US"/>
        </a:p>
      </c:txPr>
    </c:legend>
    <c:plotVisOnly val="1"/>
    <c:dispBlanksAs val="gap"/>
  </c:chart>
  <c:spPr>
    <a:solidFill>
      <a:srgbClr val="FFFFFF"/>
    </a:solidFill>
    <a:ln w="9525">
      <a:noFill/>
    </a:ln>
  </c:spPr>
  <c:txPr>
    <a:bodyPr/>
    <a:lstStyle/>
    <a:p>
      <a:pPr>
        <a:defRPr sz="1000" b="0" i="0" u="none" strike="noStrike" baseline="0">
          <a:solidFill>
            <a:srgbClr val="000000"/>
          </a:solidFill>
          <a:latin typeface="Verdana"/>
          <a:ea typeface="Verdana"/>
          <a:cs typeface="Verdana"/>
        </a:defRPr>
      </a:pPr>
      <a:endParaRPr lang="en-US"/>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en-GB"/>
  <c:chart>
    <c:title>
      <c:tx>
        <c:rich>
          <a:bodyPr/>
          <a:lstStyle/>
          <a:p>
            <a:pPr>
              <a:defRPr sz="1000" b="1" i="0" u="none" strike="noStrike" baseline="0">
                <a:solidFill>
                  <a:srgbClr val="000000"/>
                </a:solidFill>
                <a:latin typeface="Verdana"/>
                <a:ea typeface="Verdana"/>
                <a:cs typeface="Verdana"/>
              </a:defRPr>
            </a:pPr>
            <a:r>
              <a:rPr lang="en-GB"/>
              <a:t>Prevalence vs. cataract procedures</a:t>
            </a:r>
          </a:p>
        </c:rich>
      </c:tx>
      <c:layout>
        <c:manualLayout>
          <c:xMode val="edge"/>
          <c:yMode val="edge"/>
          <c:x val="3.689078390892838E-2"/>
          <c:y val="3.1189083820662791E-2"/>
        </c:manualLayout>
      </c:layout>
      <c:spPr>
        <a:noFill/>
        <a:ln w="25400">
          <a:noFill/>
        </a:ln>
      </c:spPr>
    </c:title>
    <c:plotArea>
      <c:layout>
        <c:manualLayout>
          <c:layoutTarget val="inner"/>
          <c:xMode val="edge"/>
          <c:yMode val="edge"/>
          <c:x val="0.13965762369485885"/>
          <c:y val="0.20662807365541555"/>
          <c:w val="0.83399316791364042"/>
          <c:h val="0.65497200705867753"/>
        </c:manualLayout>
      </c:layout>
      <c:scatterChart>
        <c:scatterStyle val="lineMarker"/>
        <c:ser>
          <c:idx val="1"/>
          <c:order val="0"/>
          <c:tx>
            <c:strRef>
              <c:f>Sheet1!$A$2</c:f>
              <c:strCache>
                <c:ptCount val="1"/>
                <c:pt idx="0">
                  <c:v>BG</c:v>
                </c:pt>
              </c:strCache>
            </c:strRef>
          </c:tx>
          <c:spPr>
            <a:ln w="28575">
              <a:noFill/>
            </a:ln>
          </c:spPr>
          <c:marker>
            <c:symbol val="square"/>
            <c:size val="5"/>
            <c:spPr>
              <a:solidFill>
                <a:srgbClr val="FF00FF"/>
              </a:solidFill>
              <a:ln>
                <a:solidFill>
                  <a:srgbClr val="FF00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Sheet1!$B$2</c:f>
              <c:numCache>
                <c:formatCode>General</c:formatCode>
                <c:ptCount val="1"/>
                <c:pt idx="0">
                  <c:v>4.5</c:v>
                </c:pt>
              </c:numCache>
            </c:numRef>
          </c:xVal>
          <c:yVal>
            <c:numRef>
              <c:f>Sheet1!$C$2</c:f>
              <c:numCache>
                <c:formatCode>General</c:formatCode>
                <c:ptCount val="1"/>
                <c:pt idx="0">
                  <c:v>5.2</c:v>
                </c:pt>
              </c:numCache>
            </c:numRef>
          </c:yVal>
        </c:ser>
        <c:ser>
          <c:idx val="0"/>
          <c:order val="1"/>
          <c:tx>
            <c:strRef>
              <c:f>Sheet1!$A$3</c:f>
              <c:strCache>
                <c:ptCount val="1"/>
                <c:pt idx="0">
                  <c:v>BR</c:v>
                </c:pt>
              </c:strCache>
            </c:strRef>
          </c:tx>
          <c:spPr>
            <a:ln w="28575">
              <a:noFill/>
            </a:ln>
          </c:spPr>
          <c:marker>
            <c:symbol val="diamond"/>
            <c:size val="5"/>
            <c:spPr>
              <a:solidFill>
                <a:srgbClr val="000080"/>
              </a:solidFill>
              <a:ln>
                <a:solidFill>
                  <a:srgbClr val="0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Sheet1!$B$3</c:f>
              <c:numCache>
                <c:formatCode>General</c:formatCode>
                <c:ptCount val="1"/>
                <c:pt idx="0">
                  <c:v>4.3</c:v>
                </c:pt>
              </c:numCache>
            </c:numRef>
          </c:xVal>
          <c:yVal>
            <c:numRef>
              <c:f>Sheet1!$C$3</c:f>
              <c:numCache>
                <c:formatCode>General</c:formatCode>
                <c:ptCount val="1"/>
                <c:pt idx="0">
                  <c:v>6.8</c:v>
                </c:pt>
              </c:numCache>
            </c:numRef>
          </c:yVal>
        </c:ser>
        <c:ser>
          <c:idx val="2"/>
          <c:order val="2"/>
          <c:tx>
            <c:strRef>
              <c:f>Sheet1!$A$4</c:f>
              <c:strCache>
                <c:ptCount val="1"/>
                <c:pt idx="0">
                  <c:v>CY</c:v>
                </c:pt>
              </c:strCache>
            </c:strRef>
          </c:tx>
          <c:spPr>
            <a:ln w="28575">
              <a:noFill/>
            </a:ln>
          </c:spPr>
          <c:marker>
            <c:symbol val="triangle"/>
            <c:size val="5"/>
            <c:spPr>
              <a:solidFill>
                <a:srgbClr val="FFFF00"/>
              </a:solidFill>
              <a:ln>
                <a:solidFill>
                  <a:srgbClr val="FFFF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Sheet1!$B$4</c:f>
              <c:numCache>
                <c:formatCode>General</c:formatCode>
                <c:ptCount val="1"/>
                <c:pt idx="0">
                  <c:v>4.0999999999999996</c:v>
                </c:pt>
              </c:numCache>
            </c:numRef>
          </c:xVal>
          <c:yVal>
            <c:numRef>
              <c:f>Sheet1!$C$4</c:f>
              <c:numCache>
                <c:formatCode>General</c:formatCode>
                <c:ptCount val="1"/>
                <c:pt idx="0">
                  <c:v>6.3</c:v>
                </c:pt>
              </c:numCache>
            </c:numRef>
          </c:yVal>
        </c:ser>
        <c:ser>
          <c:idx val="3"/>
          <c:order val="3"/>
          <c:tx>
            <c:strRef>
              <c:f>Sheet1!$A$5</c:f>
              <c:strCache>
                <c:ptCount val="1"/>
                <c:pt idx="0">
                  <c:v>CA</c:v>
                </c:pt>
              </c:strCache>
            </c:strRef>
          </c:tx>
          <c:spPr>
            <a:ln w="28575">
              <a:noFill/>
            </a:ln>
          </c:spPr>
          <c:marker>
            <c:symbol val="x"/>
            <c:size val="5"/>
            <c:spPr>
              <a:noFill/>
              <a:ln>
                <a:solidFill>
                  <a:srgbClr val="00FF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Sheet1!$B$5</c:f>
              <c:numCache>
                <c:formatCode>General</c:formatCode>
                <c:ptCount val="1"/>
                <c:pt idx="0">
                  <c:v>4.4000000000000004</c:v>
                </c:pt>
              </c:numCache>
            </c:numRef>
          </c:xVal>
          <c:yVal>
            <c:numRef>
              <c:f>Sheet1!$C$5</c:f>
              <c:numCache>
                <c:formatCode>General</c:formatCode>
                <c:ptCount val="1"/>
                <c:pt idx="0">
                  <c:v>5</c:v>
                </c:pt>
              </c:numCache>
            </c:numRef>
          </c:yVal>
        </c:ser>
        <c:ser>
          <c:idx val="4"/>
          <c:order val="4"/>
          <c:tx>
            <c:strRef>
              <c:f>Sheet1!$A$6</c:f>
              <c:strCache>
                <c:ptCount val="1"/>
                <c:pt idx="0">
                  <c:v>CM</c:v>
                </c:pt>
              </c:strCache>
            </c:strRef>
          </c:tx>
          <c:spPr>
            <a:ln w="28575">
              <a:noFill/>
            </a:ln>
          </c:spPr>
          <c:marker>
            <c:symbol val="star"/>
            <c:size val="5"/>
            <c:spPr>
              <a:noFill/>
              <a:ln>
                <a:solidFill>
                  <a:srgbClr val="8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Sheet1!$B$6</c:f>
              <c:numCache>
                <c:formatCode>General</c:formatCode>
                <c:ptCount val="1"/>
                <c:pt idx="0">
                  <c:v>4.5999999999999996</c:v>
                </c:pt>
              </c:numCache>
            </c:numRef>
          </c:xVal>
          <c:yVal>
            <c:numRef>
              <c:f>Sheet1!$C$6</c:f>
              <c:numCache>
                <c:formatCode>General</c:formatCode>
                <c:ptCount val="1"/>
                <c:pt idx="0">
                  <c:v>7</c:v>
                </c:pt>
              </c:numCache>
            </c:numRef>
          </c:yVal>
        </c:ser>
        <c:ser>
          <c:idx val="5"/>
          <c:order val="5"/>
          <c:tx>
            <c:strRef>
              <c:f>Sheet1!$A$7</c:f>
              <c:strCache>
                <c:ptCount val="1"/>
                <c:pt idx="0">
                  <c:v>CE</c:v>
                </c:pt>
              </c:strCache>
            </c:strRef>
          </c:tx>
          <c:spPr>
            <a:ln w="28575">
              <a:noFill/>
            </a:ln>
          </c:spPr>
          <c:marker>
            <c:symbol val="circle"/>
            <c:size val="5"/>
            <c:spPr>
              <a:solidFill>
                <a:srgbClr val="800000"/>
              </a:solidFill>
              <a:ln>
                <a:solidFill>
                  <a:srgbClr val="8000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Sheet1!$B$7</c:f>
              <c:numCache>
                <c:formatCode>General</c:formatCode>
                <c:ptCount val="1"/>
                <c:pt idx="0">
                  <c:v>4.5999999999999996</c:v>
                </c:pt>
              </c:numCache>
            </c:numRef>
          </c:xVal>
          <c:yVal>
            <c:numRef>
              <c:f>Sheet1!$C$7</c:f>
              <c:numCache>
                <c:formatCode>General</c:formatCode>
                <c:ptCount val="1"/>
                <c:pt idx="0">
                  <c:v>5.2</c:v>
                </c:pt>
              </c:numCache>
            </c:numRef>
          </c:yVal>
        </c:ser>
        <c:ser>
          <c:idx val="6"/>
          <c:order val="6"/>
          <c:tx>
            <c:strRef>
              <c:f>Sheet1!$A$8</c:f>
              <c:strCache>
                <c:ptCount val="1"/>
                <c:pt idx="0">
                  <c:v>CO</c:v>
                </c:pt>
              </c:strCache>
            </c:strRef>
          </c:tx>
          <c:spPr>
            <a:ln w="28575">
              <a:noFill/>
            </a:ln>
          </c:spPr>
          <c:marker>
            <c:symbol val="plus"/>
            <c:size val="5"/>
            <c:spPr>
              <a:noFill/>
              <a:ln>
                <a:solidFill>
                  <a:srgbClr val="008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Sheet1!$B$8</c:f>
              <c:numCache>
                <c:formatCode>General</c:formatCode>
                <c:ptCount val="1"/>
                <c:pt idx="0">
                  <c:v>5.3</c:v>
                </c:pt>
              </c:numCache>
            </c:numRef>
          </c:xVal>
          <c:yVal>
            <c:numRef>
              <c:f>Sheet1!$C$8</c:f>
              <c:numCache>
                <c:formatCode>General</c:formatCode>
                <c:ptCount val="1"/>
                <c:pt idx="0">
                  <c:v>9.8000000000000007</c:v>
                </c:pt>
              </c:numCache>
            </c:numRef>
          </c:yVal>
        </c:ser>
        <c:ser>
          <c:idx val="7"/>
          <c:order val="7"/>
          <c:tx>
            <c:strRef>
              <c:f>Sheet1!$A$9</c:f>
              <c:strCache>
                <c:ptCount val="1"/>
                <c:pt idx="0">
                  <c:v>DE</c:v>
                </c:pt>
              </c:strCache>
            </c:strRef>
          </c:tx>
          <c:spPr>
            <a:ln w="28575">
              <a:noFill/>
            </a:ln>
          </c:spPr>
          <c:marker>
            <c:symbol val="dot"/>
            <c:size val="5"/>
            <c:spPr>
              <a:noFill/>
              <a:ln>
                <a:solidFill>
                  <a:srgbClr val="0000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Sheet1!$B$9</c:f>
              <c:numCache>
                <c:formatCode>General</c:formatCode>
                <c:ptCount val="1"/>
                <c:pt idx="0">
                  <c:v>4.9000000000000004</c:v>
                </c:pt>
              </c:numCache>
            </c:numRef>
          </c:xVal>
          <c:yVal>
            <c:numRef>
              <c:f>Sheet1!$C$9</c:f>
              <c:numCache>
                <c:formatCode>General</c:formatCode>
                <c:ptCount val="1"/>
                <c:pt idx="0">
                  <c:v>9.4</c:v>
                </c:pt>
              </c:numCache>
            </c:numRef>
          </c:yVal>
        </c:ser>
        <c:ser>
          <c:idx val="8"/>
          <c:order val="8"/>
          <c:tx>
            <c:strRef>
              <c:f>Sheet1!$A$10</c:f>
              <c:strCache>
                <c:ptCount val="1"/>
                <c:pt idx="0">
                  <c:v>FL</c:v>
                </c:pt>
              </c:strCache>
            </c:strRef>
          </c:tx>
          <c:spPr>
            <a:ln w="28575">
              <a:noFill/>
            </a:ln>
          </c:spPr>
          <c:marker>
            <c:symbol val="dash"/>
            <c:size val="5"/>
            <c:spPr>
              <a:noFill/>
              <a:ln>
                <a:solidFill>
                  <a:srgbClr val="00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Sheet1!$B$10</c:f>
              <c:numCache>
                <c:formatCode>General</c:formatCode>
                <c:ptCount val="1"/>
                <c:pt idx="0">
                  <c:v>4.0999999999999996</c:v>
                </c:pt>
              </c:numCache>
            </c:numRef>
          </c:xVal>
          <c:yVal>
            <c:numRef>
              <c:f>Sheet1!$C$10</c:f>
              <c:numCache>
                <c:formatCode>General</c:formatCode>
                <c:ptCount val="1"/>
                <c:pt idx="0">
                  <c:v>5.8</c:v>
                </c:pt>
              </c:numCache>
            </c:numRef>
          </c:yVal>
        </c:ser>
        <c:ser>
          <c:idx val="9"/>
          <c:order val="9"/>
          <c:tx>
            <c:strRef>
              <c:f>Sheet1!$A$11</c:f>
              <c:strCache>
                <c:ptCount val="1"/>
                <c:pt idx="0">
                  <c:v>GW</c:v>
                </c:pt>
              </c:strCache>
            </c:strRef>
          </c:tx>
          <c:spPr>
            <a:ln w="28575">
              <a:noFill/>
            </a:ln>
          </c:spPr>
          <c:marker>
            <c:symbol val="diamond"/>
            <c:size val="5"/>
            <c:spPr>
              <a:solidFill>
                <a:srgbClr val="CCFFFF"/>
              </a:solidFill>
              <a:ln>
                <a:solidFill>
                  <a:srgbClr val="CCFF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Sheet1!$B$11</c:f>
              <c:numCache>
                <c:formatCode>General</c:formatCode>
                <c:ptCount val="1"/>
                <c:pt idx="0">
                  <c:v>4.7</c:v>
                </c:pt>
              </c:numCache>
            </c:numRef>
          </c:xVal>
          <c:yVal>
            <c:numRef>
              <c:f>Sheet1!$C$11</c:f>
              <c:numCache>
                <c:formatCode>General</c:formatCode>
                <c:ptCount val="1"/>
                <c:pt idx="0">
                  <c:v>7.1</c:v>
                </c:pt>
              </c:numCache>
            </c:numRef>
          </c:yVal>
        </c:ser>
        <c:ser>
          <c:idx val="10"/>
          <c:order val="10"/>
          <c:tx>
            <c:strRef>
              <c:f>Sheet1!$A$12</c:f>
              <c:strCache>
                <c:ptCount val="1"/>
                <c:pt idx="0">
                  <c:v>IA</c:v>
                </c:pt>
              </c:strCache>
            </c:strRef>
          </c:tx>
          <c:spPr>
            <a:ln w="28575">
              <a:noFill/>
            </a:ln>
          </c:spPr>
          <c:marker>
            <c:symbol val="square"/>
            <c:size val="5"/>
            <c:spPr>
              <a:solidFill>
                <a:srgbClr val="CCFFCC"/>
              </a:solidFill>
              <a:ln>
                <a:solidFill>
                  <a:srgbClr val="CCFF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Sheet1!$B$12</c:f>
              <c:numCache>
                <c:formatCode>General</c:formatCode>
                <c:ptCount val="1"/>
                <c:pt idx="0">
                  <c:v>4.5999999999999996</c:v>
                </c:pt>
              </c:numCache>
            </c:numRef>
          </c:xVal>
          <c:yVal>
            <c:numRef>
              <c:f>Sheet1!$C$12</c:f>
              <c:numCache>
                <c:formatCode>General</c:formatCode>
                <c:ptCount val="1"/>
                <c:pt idx="0">
                  <c:v>7.6</c:v>
                </c:pt>
              </c:numCache>
            </c:numRef>
          </c:yVal>
        </c:ser>
        <c:ser>
          <c:idx val="11"/>
          <c:order val="11"/>
          <c:tx>
            <c:strRef>
              <c:f>Sheet1!$A$13</c:f>
              <c:strCache>
                <c:ptCount val="1"/>
                <c:pt idx="0">
                  <c:v>MT</c:v>
                </c:pt>
              </c:strCache>
            </c:strRef>
          </c:tx>
          <c:spPr>
            <a:ln w="28575">
              <a:noFill/>
            </a:ln>
          </c:spPr>
          <c:marker>
            <c:symbol val="triangle"/>
            <c:size val="5"/>
            <c:spPr>
              <a:solidFill>
                <a:srgbClr val="FFFF99"/>
              </a:solidFill>
              <a:ln>
                <a:solidFill>
                  <a:srgbClr val="FFFF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Sheet1!$B$13</c:f>
              <c:numCache>
                <c:formatCode>General</c:formatCode>
                <c:ptCount val="1"/>
                <c:pt idx="0">
                  <c:v>4.3</c:v>
                </c:pt>
              </c:numCache>
            </c:numRef>
          </c:xVal>
          <c:yVal>
            <c:numRef>
              <c:f>Sheet1!$C$13</c:f>
              <c:numCache>
                <c:formatCode>General</c:formatCode>
                <c:ptCount val="1"/>
                <c:pt idx="0">
                  <c:v>6.9</c:v>
                </c:pt>
              </c:numCache>
            </c:numRef>
          </c:yVal>
        </c:ser>
        <c:ser>
          <c:idx val="12"/>
          <c:order val="12"/>
          <c:tx>
            <c:strRef>
              <c:f>Sheet1!$A$14</c:f>
              <c:strCache>
                <c:ptCount val="1"/>
                <c:pt idx="0">
                  <c:v>MO</c:v>
                </c:pt>
              </c:strCache>
            </c:strRef>
          </c:tx>
          <c:spPr>
            <a:ln w="28575">
              <a:noFill/>
            </a:ln>
          </c:spPr>
          <c:marker>
            <c:symbol val="x"/>
            <c:size val="5"/>
            <c:spPr>
              <a:noFill/>
              <a:ln>
                <a:solidFill>
                  <a:srgbClr val="99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Sheet1!$B$14</c:f>
              <c:numCache>
                <c:formatCode>General</c:formatCode>
                <c:ptCount val="1"/>
                <c:pt idx="0">
                  <c:v>4.4000000000000004</c:v>
                </c:pt>
              </c:numCache>
            </c:numRef>
          </c:xVal>
          <c:yVal>
            <c:numRef>
              <c:f>Sheet1!$C$14</c:f>
              <c:numCache>
                <c:formatCode>General</c:formatCode>
                <c:ptCount val="1"/>
                <c:pt idx="0">
                  <c:v>6.2</c:v>
                </c:pt>
              </c:numCache>
            </c:numRef>
          </c:yVal>
        </c:ser>
        <c:ser>
          <c:idx val="13"/>
          <c:order val="13"/>
          <c:tx>
            <c:strRef>
              <c:f>Sheet1!$A$15</c:f>
              <c:strCache>
                <c:ptCount val="1"/>
                <c:pt idx="0">
                  <c:v>NPT</c:v>
                </c:pt>
              </c:strCache>
            </c:strRef>
          </c:tx>
          <c:spPr>
            <a:ln w="28575">
              <a:noFill/>
            </a:ln>
          </c:spPr>
          <c:marker>
            <c:symbol val="star"/>
            <c:size val="5"/>
            <c:spPr>
              <a:noFill/>
              <a:ln>
                <a:solidFill>
                  <a:srgbClr val="FF99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Sheet1!$B$15</c:f>
              <c:numCache>
                <c:formatCode>General</c:formatCode>
                <c:ptCount val="1"/>
                <c:pt idx="0">
                  <c:v>4.5999999999999996</c:v>
                </c:pt>
              </c:numCache>
            </c:numRef>
          </c:xVal>
          <c:yVal>
            <c:numRef>
              <c:f>Sheet1!$C$15</c:f>
              <c:numCache>
                <c:formatCode>General</c:formatCode>
                <c:ptCount val="1"/>
                <c:pt idx="0">
                  <c:v>10</c:v>
                </c:pt>
              </c:numCache>
            </c:numRef>
          </c:yVal>
        </c:ser>
        <c:ser>
          <c:idx val="14"/>
          <c:order val="14"/>
          <c:tx>
            <c:strRef>
              <c:f>Sheet1!$A$16</c:f>
              <c:strCache>
                <c:ptCount val="1"/>
                <c:pt idx="0">
                  <c:v>NEW</c:v>
                </c:pt>
              </c:strCache>
            </c:strRef>
          </c:tx>
          <c:spPr>
            <a:ln w="28575">
              <a:noFill/>
            </a:ln>
          </c:spPr>
          <c:marker>
            <c:symbol val="circle"/>
            <c:size val="5"/>
            <c:spPr>
              <a:solidFill>
                <a:srgbClr val="CC99FF"/>
              </a:solidFill>
              <a:ln>
                <a:solidFill>
                  <a:srgbClr val="CC99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Sheet1!$B$16</c:f>
              <c:numCache>
                <c:formatCode>General</c:formatCode>
                <c:ptCount val="1"/>
                <c:pt idx="0">
                  <c:v>4.4000000000000004</c:v>
                </c:pt>
              </c:numCache>
            </c:numRef>
          </c:xVal>
          <c:yVal>
            <c:numRef>
              <c:f>Sheet1!$C$16</c:f>
              <c:numCache>
                <c:formatCode>General</c:formatCode>
                <c:ptCount val="1"/>
                <c:pt idx="0">
                  <c:v>6.5</c:v>
                </c:pt>
              </c:numCache>
            </c:numRef>
          </c:yVal>
        </c:ser>
        <c:ser>
          <c:idx val="15"/>
          <c:order val="15"/>
          <c:tx>
            <c:strRef>
              <c:f>Sheet1!$A$17</c:f>
              <c:strCache>
                <c:ptCount val="1"/>
                <c:pt idx="0">
                  <c:v>PE</c:v>
                </c:pt>
              </c:strCache>
            </c:strRef>
          </c:tx>
          <c:spPr>
            <a:ln w="28575">
              <a:noFill/>
            </a:ln>
          </c:spPr>
          <c:marker>
            <c:symbol val="plus"/>
            <c:size val="5"/>
            <c:spPr>
              <a:noFill/>
              <a:ln>
                <a:solidFill>
                  <a:srgbClr val="FFCC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Sheet1!$B$17</c:f>
              <c:numCache>
                <c:formatCode>General</c:formatCode>
                <c:ptCount val="1"/>
                <c:pt idx="0">
                  <c:v>4.5999999999999996</c:v>
                </c:pt>
              </c:numCache>
            </c:numRef>
          </c:xVal>
          <c:yVal>
            <c:numRef>
              <c:f>Sheet1!$C$17</c:f>
              <c:numCache>
                <c:formatCode>General</c:formatCode>
                <c:ptCount val="1"/>
                <c:pt idx="0">
                  <c:v>6.7</c:v>
                </c:pt>
              </c:numCache>
            </c:numRef>
          </c:yVal>
        </c:ser>
        <c:ser>
          <c:idx val="16"/>
          <c:order val="16"/>
          <c:tx>
            <c:strRef>
              <c:f>Sheet1!$A$18</c:f>
              <c:strCache>
                <c:ptCount val="1"/>
                <c:pt idx="0">
                  <c:v>PO</c:v>
                </c:pt>
              </c:strCache>
            </c:strRef>
          </c:tx>
          <c:spPr>
            <a:ln w="28575">
              <a:noFill/>
            </a:ln>
          </c:spPr>
          <c:marker>
            <c:symbol val="dot"/>
            <c:size val="5"/>
            <c:spPr>
              <a:noFill/>
              <a:ln>
                <a:solidFill>
                  <a:srgbClr val="3366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Sheet1!$B$18</c:f>
              <c:numCache>
                <c:formatCode>General</c:formatCode>
                <c:ptCount val="1"/>
                <c:pt idx="0">
                  <c:v>4.5999999999999996</c:v>
                </c:pt>
              </c:numCache>
            </c:numRef>
          </c:xVal>
          <c:yVal>
            <c:numRef>
              <c:f>Sheet1!$C$18</c:f>
              <c:numCache>
                <c:formatCode>General</c:formatCode>
                <c:ptCount val="1"/>
                <c:pt idx="0">
                  <c:v>7.7</c:v>
                </c:pt>
              </c:numCache>
            </c:numRef>
          </c:yVal>
        </c:ser>
        <c:ser>
          <c:idx val="17"/>
          <c:order val="17"/>
          <c:tx>
            <c:strRef>
              <c:f>Sheet1!$A$19</c:f>
              <c:strCache>
                <c:ptCount val="1"/>
                <c:pt idx="0">
                  <c:v>RCT</c:v>
                </c:pt>
              </c:strCache>
            </c:strRef>
          </c:tx>
          <c:spPr>
            <a:ln w="28575">
              <a:noFill/>
            </a:ln>
          </c:spPr>
          <c:marker>
            <c:symbol val="dash"/>
            <c:size val="5"/>
            <c:spPr>
              <a:noFill/>
              <a:ln>
                <a:solidFill>
                  <a:srgbClr val="33CC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Sheet1!$B$19</c:f>
              <c:numCache>
                <c:formatCode>General</c:formatCode>
                <c:ptCount val="1"/>
                <c:pt idx="0">
                  <c:v>4.4000000000000004</c:v>
                </c:pt>
              </c:numCache>
            </c:numRef>
          </c:xVal>
          <c:yVal>
            <c:numRef>
              <c:f>Sheet1!$C$19</c:f>
              <c:numCache>
                <c:formatCode>General</c:formatCode>
                <c:ptCount val="1"/>
                <c:pt idx="0">
                  <c:v>6.7</c:v>
                </c:pt>
              </c:numCache>
            </c:numRef>
          </c:yVal>
        </c:ser>
        <c:ser>
          <c:idx val="18"/>
          <c:order val="18"/>
          <c:tx>
            <c:strRef>
              <c:f>Sheet1!$A$20</c:f>
              <c:strCache>
                <c:ptCount val="1"/>
                <c:pt idx="0">
                  <c:v>SW</c:v>
                </c:pt>
              </c:strCache>
            </c:strRef>
          </c:tx>
          <c:spPr>
            <a:ln w="28575">
              <a:noFill/>
            </a:ln>
          </c:spPr>
          <c:marker>
            <c:symbol val="diamond"/>
            <c:size val="5"/>
            <c:spPr>
              <a:solidFill>
                <a:srgbClr val="99CC00"/>
              </a:solidFill>
              <a:ln>
                <a:solidFill>
                  <a:srgbClr val="99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Sheet1!$B$20</c:f>
              <c:numCache>
                <c:formatCode>General</c:formatCode>
                <c:ptCount val="1"/>
                <c:pt idx="0">
                  <c:v>4.5999999999999996</c:v>
                </c:pt>
              </c:numCache>
            </c:numRef>
          </c:xVal>
          <c:yVal>
            <c:numRef>
              <c:f>Sheet1!$C$20</c:f>
              <c:numCache>
                <c:formatCode>General</c:formatCode>
                <c:ptCount val="1"/>
                <c:pt idx="0">
                  <c:v>7.5</c:v>
                </c:pt>
              </c:numCache>
            </c:numRef>
          </c:yVal>
        </c:ser>
        <c:ser>
          <c:idx val="19"/>
          <c:order val="19"/>
          <c:tx>
            <c:strRef>
              <c:f>Sheet1!$A$21</c:f>
              <c:strCache>
                <c:ptCount val="1"/>
                <c:pt idx="0">
                  <c:v>VG</c:v>
                </c:pt>
              </c:strCache>
            </c:strRef>
          </c:tx>
          <c:spPr>
            <a:ln w="28575">
              <a:noFill/>
            </a:ln>
          </c:spPr>
          <c:marker>
            <c:symbol val="square"/>
            <c:size val="5"/>
            <c:spPr>
              <a:solidFill>
                <a:srgbClr val="FFCC00"/>
              </a:solidFill>
              <a:ln>
                <a:solidFill>
                  <a:srgbClr val="FF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Sheet1!$B$21</c:f>
              <c:numCache>
                <c:formatCode>General</c:formatCode>
                <c:ptCount val="1"/>
                <c:pt idx="0">
                  <c:v>4.4000000000000004</c:v>
                </c:pt>
              </c:numCache>
            </c:numRef>
          </c:xVal>
          <c:yVal>
            <c:numRef>
              <c:f>Sheet1!$C$21</c:f>
              <c:numCache>
                <c:formatCode>General</c:formatCode>
                <c:ptCount val="1"/>
                <c:pt idx="0">
                  <c:v>6.1</c:v>
                </c:pt>
              </c:numCache>
            </c:numRef>
          </c:yVal>
        </c:ser>
        <c:ser>
          <c:idx val="20"/>
          <c:order val="20"/>
          <c:tx>
            <c:strRef>
              <c:f>Sheet1!$A$22</c:f>
              <c:strCache>
                <c:ptCount val="1"/>
                <c:pt idx="0">
                  <c:v>TO</c:v>
                </c:pt>
              </c:strCache>
            </c:strRef>
          </c:tx>
          <c:spPr>
            <a:ln w="28575">
              <a:noFill/>
            </a:ln>
          </c:spPr>
          <c:marker>
            <c:symbol val="triangle"/>
            <c:size val="5"/>
            <c:spPr>
              <a:solidFill>
                <a:srgbClr val="FF9900"/>
              </a:solidFill>
              <a:ln>
                <a:solidFill>
                  <a:srgbClr val="FF9900"/>
                </a:solidFill>
                <a:prstDash val="solid"/>
              </a:ln>
            </c:spPr>
          </c:marker>
          <c:dLbls>
            <c:spPr>
              <a:noFill/>
              <a:ln w="25400">
                <a:noFill/>
              </a:ln>
            </c:spPr>
            <c:txPr>
              <a:bodyPr/>
              <a:lstStyle/>
              <a:p>
                <a:pPr>
                  <a:defRPr sz="875" b="0" i="0" u="none" strike="noStrike" baseline="0">
                    <a:solidFill>
                      <a:srgbClr val="000000"/>
                    </a:solidFill>
                    <a:latin typeface="Arial"/>
                    <a:ea typeface="Arial"/>
                    <a:cs typeface="Arial"/>
                  </a:defRPr>
                </a:pPr>
                <a:endParaRPr lang="en-US"/>
              </a:p>
            </c:txPr>
            <c:showSerName val="1"/>
          </c:dLbls>
          <c:xVal>
            <c:numRef>
              <c:f>Sheet1!$B$22</c:f>
              <c:numCache>
                <c:formatCode>General</c:formatCode>
                <c:ptCount val="1"/>
                <c:pt idx="0">
                  <c:v>4.3</c:v>
                </c:pt>
              </c:numCache>
            </c:numRef>
          </c:xVal>
          <c:yVal>
            <c:numRef>
              <c:f>Sheet1!$C$22</c:f>
              <c:numCache>
                <c:formatCode>General</c:formatCode>
                <c:ptCount val="1"/>
                <c:pt idx="0">
                  <c:v>5.5</c:v>
                </c:pt>
              </c:numCache>
            </c:numRef>
          </c:yVal>
        </c:ser>
        <c:ser>
          <c:idx val="21"/>
          <c:order val="21"/>
          <c:tx>
            <c:strRef>
              <c:f>Sheet1!$A$23</c:f>
              <c:strCache>
                <c:ptCount val="1"/>
                <c:pt idx="0">
                  <c:v>WR</c:v>
                </c:pt>
              </c:strCache>
            </c:strRef>
          </c:tx>
          <c:spPr>
            <a:ln w="28575">
              <a:noFill/>
            </a:ln>
          </c:spPr>
          <c:marker>
            <c:symbol val="x"/>
            <c:size val="5"/>
            <c:spPr>
              <a:noFill/>
              <a:ln>
                <a:solidFill>
                  <a:srgbClr val="FF66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Sheet1!$B$23</c:f>
              <c:numCache>
                <c:formatCode>General</c:formatCode>
                <c:ptCount val="1"/>
                <c:pt idx="0">
                  <c:v>4.3</c:v>
                </c:pt>
              </c:numCache>
            </c:numRef>
          </c:xVal>
          <c:yVal>
            <c:numRef>
              <c:f>Sheet1!$C$23</c:f>
              <c:numCache>
                <c:formatCode>General</c:formatCode>
                <c:ptCount val="1"/>
                <c:pt idx="0">
                  <c:v>5.2</c:v>
                </c:pt>
              </c:numCache>
            </c:numRef>
          </c:yVal>
        </c:ser>
        <c:dLbls>
          <c:showSerName val="1"/>
        </c:dLbls>
        <c:axId val="44148992"/>
        <c:axId val="44163456"/>
      </c:scatterChart>
      <c:valAx>
        <c:axId val="44148992"/>
        <c:scaling>
          <c:orientation val="minMax"/>
          <c:min val="3.5"/>
        </c:scaling>
        <c:axPos val="b"/>
        <c:title>
          <c:tx>
            <c:rich>
              <a:bodyPr/>
              <a:lstStyle/>
              <a:p>
                <a:pPr>
                  <a:defRPr sz="900" b="1" i="0" u="none" strike="noStrike" baseline="0">
                    <a:solidFill>
                      <a:srgbClr val="000000"/>
                    </a:solidFill>
                    <a:latin typeface="Verdana"/>
                    <a:ea typeface="Verdana"/>
                    <a:cs typeface="Verdana"/>
                  </a:defRPr>
                </a:pPr>
                <a:r>
                  <a:rPr lang="en-GB" sz="900"/>
                  <a:t>Prevalence</a:t>
                </a:r>
                <a:r>
                  <a:rPr lang="en-GB" sz="900" baseline="0"/>
                  <a:t> of cataract</a:t>
                </a:r>
                <a:r>
                  <a:rPr lang="en-GB" sz="900"/>
                  <a:t> (mid estimate, %)</a:t>
                </a:r>
              </a:p>
            </c:rich>
          </c:tx>
          <c:layout>
            <c:manualLayout>
              <c:xMode val="edge"/>
              <c:yMode val="edge"/>
              <c:x val="0.22266168306067172"/>
              <c:y val="0.91423175985273375"/>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163456"/>
        <c:crosses val="autoZero"/>
        <c:crossBetween val="midCat"/>
        <c:majorUnit val="1"/>
      </c:valAx>
      <c:valAx>
        <c:axId val="44163456"/>
        <c:scaling>
          <c:orientation val="minMax"/>
          <c:min val="0"/>
        </c:scaling>
        <c:axPos val="l"/>
        <c:title>
          <c:tx>
            <c:rich>
              <a:bodyPr/>
              <a:lstStyle/>
              <a:p>
                <a:pPr>
                  <a:defRPr sz="900" b="1" i="0" u="none" strike="noStrike" baseline="0">
                    <a:solidFill>
                      <a:srgbClr val="000000"/>
                    </a:solidFill>
                    <a:latin typeface="Verdana"/>
                    <a:ea typeface="Verdana"/>
                    <a:cs typeface="Verdana"/>
                  </a:defRPr>
                </a:pPr>
                <a:r>
                  <a:rPr lang="en-GB" sz="900"/>
                  <a:t>Cataract operations (crude rate,</a:t>
                </a:r>
                <a:r>
                  <a:rPr lang="en-GB" sz="900" baseline="0"/>
                  <a:t> per 1000)</a:t>
                </a:r>
                <a:r>
                  <a:rPr lang="en-GB" sz="900"/>
                  <a:t> 
</a:t>
                </a:r>
              </a:p>
            </c:rich>
          </c:tx>
          <c:layout>
            <c:manualLayout>
              <c:xMode val="edge"/>
              <c:yMode val="edge"/>
              <c:x val="4.1282527431106761E-2"/>
              <c:y val="0.24106624098888221"/>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148992"/>
        <c:crosses val="autoZero"/>
        <c:crossBetween val="midCat"/>
        <c:majorUnit val="1"/>
      </c:valAx>
      <c:spPr>
        <a:solidFill>
          <a:srgbClr val="FFFFFF"/>
        </a:solidFill>
        <a:ln w="12700">
          <a:solidFill>
            <a:srgbClr val="FFFFFF"/>
          </a:solidFill>
          <a:prstDash val="solid"/>
        </a:ln>
      </c:spPr>
    </c:plotArea>
    <c:plotVisOnly val="1"/>
    <c:dispBlanksAs val="gap"/>
  </c:chart>
  <c:spPr>
    <a:solidFill>
      <a:srgbClr val="FFFFFF"/>
    </a:solidFill>
    <a:ln w="3175">
      <a:no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000" b="1" i="0" u="none" strike="noStrike" baseline="0">
                <a:solidFill>
                  <a:srgbClr val="000000"/>
                </a:solidFill>
                <a:latin typeface="Verdana"/>
                <a:ea typeface="Verdana"/>
                <a:cs typeface="Verdana"/>
              </a:defRPr>
            </a:pPr>
            <a:r>
              <a:rPr lang="en-GB"/>
              <a:t>Prevalence vs. cataract procedures</a:t>
            </a:r>
          </a:p>
        </c:rich>
      </c:tx>
      <c:layout>
        <c:manualLayout>
          <c:xMode val="edge"/>
          <c:yMode val="edge"/>
          <c:x val="2.6350599455700445E-2"/>
          <c:y val="3.1189083820662791E-2"/>
        </c:manualLayout>
      </c:layout>
      <c:spPr>
        <a:noFill/>
        <a:ln w="25400">
          <a:noFill/>
        </a:ln>
      </c:spPr>
    </c:title>
    <c:plotArea>
      <c:layout>
        <c:manualLayout>
          <c:layoutTarget val="inner"/>
          <c:xMode val="edge"/>
          <c:yMode val="edge"/>
          <c:x val="0.13965762369485882"/>
          <c:y val="0.20662807365541555"/>
          <c:w val="0.83399316791364042"/>
          <c:h val="0.65497200705867775"/>
        </c:manualLayout>
      </c:layout>
      <c:scatterChart>
        <c:scatterStyle val="lineMarker"/>
        <c:ser>
          <c:idx val="1"/>
          <c:order val="0"/>
          <c:tx>
            <c:strRef>
              <c:f>Sheet1!$A$2</c:f>
              <c:strCache>
                <c:ptCount val="1"/>
                <c:pt idx="0">
                  <c:v>RCT01</c:v>
                </c:pt>
              </c:strCache>
            </c:strRef>
          </c:tx>
          <c:spPr>
            <a:ln w="28575">
              <a:noFill/>
            </a:ln>
          </c:spPr>
          <c:marker>
            <c:symbol val="square"/>
            <c:size val="5"/>
            <c:spPr>
              <a:solidFill>
                <a:srgbClr val="FF00FF"/>
              </a:solidFill>
              <a:ln>
                <a:solidFill>
                  <a:srgbClr val="FF00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Sheet1!$B$2</c:f>
              <c:numCache>
                <c:formatCode>General</c:formatCode>
                <c:ptCount val="1"/>
                <c:pt idx="0">
                  <c:v>4.4000000000000004</c:v>
                </c:pt>
              </c:numCache>
            </c:numRef>
          </c:xVal>
          <c:yVal>
            <c:numRef>
              <c:f>Sheet1!$C$2</c:f>
              <c:numCache>
                <c:formatCode>General</c:formatCode>
                <c:ptCount val="1"/>
                <c:pt idx="0">
                  <c:v>6.6</c:v>
                </c:pt>
              </c:numCache>
            </c:numRef>
          </c:yVal>
        </c:ser>
        <c:ser>
          <c:idx val="0"/>
          <c:order val="1"/>
          <c:tx>
            <c:strRef>
              <c:f>Sheet1!$A$3</c:f>
              <c:strCache>
                <c:ptCount val="1"/>
                <c:pt idx="0">
                  <c:v>RCT02</c:v>
                </c:pt>
              </c:strCache>
            </c:strRef>
          </c:tx>
          <c:spPr>
            <a:ln w="28575">
              <a:noFill/>
            </a:ln>
          </c:spPr>
          <c:marker>
            <c:symbol val="diamond"/>
            <c:size val="5"/>
            <c:spPr>
              <a:solidFill>
                <a:srgbClr val="000080"/>
              </a:solidFill>
              <a:ln>
                <a:solidFill>
                  <a:srgbClr val="0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Sheet1!$B$3</c:f>
              <c:numCache>
                <c:formatCode>General</c:formatCode>
                <c:ptCount val="1"/>
                <c:pt idx="0">
                  <c:v>4.5</c:v>
                </c:pt>
              </c:numCache>
            </c:numRef>
          </c:xVal>
          <c:yVal>
            <c:numRef>
              <c:f>Sheet1!$C$3</c:f>
              <c:numCache>
                <c:formatCode>General</c:formatCode>
                <c:ptCount val="1"/>
                <c:pt idx="0">
                  <c:v>7.3</c:v>
                </c:pt>
              </c:numCache>
            </c:numRef>
          </c:yVal>
        </c:ser>
        <c:ser>
          <c:idx val="2"/>
          <c:order val="2"/>
          <c:tx>
            <c:strRef>
              <c:f>Sheet1!$A$4</c:f>
              <c:strCache>
                <c:ptCount val="1"/>
                <c:pt idx="0">
                  <c:v>RCT03</c:v>
                </c:pt>
              </c:strCache>
            </c:strRef>
          </c:tx>
          <c:spPr>
            <a:ln w="28575">
              <a:noFill/>
            </a:ln>
          </c:spPr>
          <c:marker>
            <c:symbol val="triangle"/>
            <c:size val="5"/>
            <c:spPr>
              <a:solidFill>
                <a:srgbClr val="FFFF00"/>
              </a:solidFill>
              <a:ln>
                <a:solidFill>
                  <a:srgbClr val="FFFF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Sheet1!$B$4</c:f>
              <c:numCache>
                <c:formatCode>General</c:formatCode>
                <c:ptCount val="1"/>
                <c:pt idx="0">
                  <c:v>4.5</c:v>
                </c:pt>
              </c:numCache>
            </c:numRef>
          </c:xVal>
          <c:yVal>
            <c:numRef>
              <c:f>Sheet1!$C$4</c:f>
              <c:numCache>
                <c:formatCode>General</c:formatCode>
                <c:ptCount val="1"/>
                <c:pt idx="0">
                  <c:v>8.8000000000000007</c:v>
                </c:pt>
              </c:numCache>
            </c:numRef>
          </c:yVal>
        </c:ser>
        <c:ser>
          <c:idx val="3"/>
          <c:order val="3"/>
          <c:tx>
            <c:strRef>
              <c:f>Sheet1!$A$5</c:f>
              <c:strCache>
                <c:ptCount val="1"/>
                <c:pt idx="0">
                  <c:v>RCT04</c:v>
                </c:pt>
              </c:strCache>
            </c:strRef>
          </c:tx>
          <c:spPr>
            <a:ln w="28575">
              <a:noFill/>
            </a:ln>
          </c:spPr>
          <c:marker>
            <c:symbol val="x"/>
            <c:size val="5"/>
            <c:spPr>
              <a:noFill/>
              <a:ln>
                <a:solidFill>
                  <a:srgbClr val="00FF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Sheet1!$B$5</c:f>
              <c:numCache>
                <c:formatCode>General</c:formatCode>
                <c:ptCount val="1"/>
                <c:pt idx="0">
                  <c:v>4.8</c:v>
                </c:pt>
              </c:numCache>
            </c:numRef>
          </c:xVal>
          <c:yVal>
            <c:numRef>
              <c:f>Sheet1!$C$5</c:f>
              <c:numCache>
                <c:formatCode>General</c:formatCode>
                <c:ptCount val="1"/>
                <c:pt idx="0">
                  <c:v>7.2</c:v>
                </c:pt>
              </c:numCache>
            </c:numRef>
          </c:yVal>
        </c:ser>
        <c:ser>
          <c:idx val="4"/>
          <c:order val="4"/>
          <c:tx>
            <c:strRef>
              <c:f>Sheet1!$A$6</c:f>
              <c:strCache>
                <c:ptCount val="1"/>
                <c:pt idx="0">
                  <c:v>RCT05</c:v>
                </c:pt>
              </c:strCache>
            </c:strRef>
          </c:tx>
          <c:spPr>
            <a:ln w="28575">
              <a:noFill/>
            </a:ln>
          </c:spPr>
          <c:marker>
            <c:symbol val="star"/>
            <c:size val="5"/>
            <c:spPr>
              <a:noFill/>
              <a:ln>
                <a:solidFill>
                  <a:srgbClr val="8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Sheet1!$B$6</c:f>
              <c:numCache>
                <c:formatCode>General</c:formatCode>
                <c:ptCount val="1"/>
                <c:pt idx="0">
                  <c:v>4</c:v>
                </c:pt>
              </c:numCache>
            </c:numRef>
          </c:xVal>
          <c:yVal>
            <c:numRef>
              <c:f>Sheet1!$C$6</c:f>
              <c:numCache>
                <c:formatCode>General</c:formatCode>
                <c:ptCount val="1"/>
                <c:pt idx="0">
                  <c:v>5.6</c:v>
                </c:pt>
              </c:numCache>
            </c:numRef>
          </c:yVal>
        </c:ser>
        <c:ser>
          <c:idx val="5"/>
          <c:order val="5"/>
          <c:tx>
            <c:strRef>
              <c:f>Sheet1!$A$7</c:f>
              <c:strCache>
                <c:ptCount val="1"/>
                <c:pt idx="0">
                  <c:v>RCT06</c:v>
                </c:pt>
              </c:strCache>
            </c:strRef>
          </c:tx>
          <c:spPr>
            <a:ln w="28575">
              <a:noFill/>
            </a:ln>
          </c:spPr>
          <c:marker>
            <c:symbol val="circle"/>
            <c:size val="5"/>
            <c:spPr>
              <a:solidFill>
                <a:srgbClr val="800000"/>
              </a:solidFill>
              <a:ln>
                <a:solidFill>
                  <a:srgbClr val="8000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Sheet1!$B$7</c:f>
              <c:numCache>
                <c:formatCode>General</c:formatCode>
                <c:ptCount val="1"/>
                <c:pt idx="0">
                  <c:v>4.5</c:v>
                </c:pt>
              </c:numCache>
            </c:numRef>
          </c:xVal>
          <c:yVal>
            <c:numRef>
              <c:f>Sheet1!$C$7</c:f>
              <c:numCache>
                <c:formatCode>General</c:formatCode>
                <c:ptCount val="1"/>
                <c:pt idx="0">
                  <c:v>7.2</c:v>
                </c:pt>
              </c:numCache>
            </c:numRef>
          </c:yVal>
        </c:ser>
        <c:ser>
          <c:idx val="6"/>
          <c:order val="6"/>
          <c:tx>
            <c:strRef>
              <c:f>Sheet1!$A$8</c:f>
              <c:strCache>
                <c:ptCount val="1"/>
                <c:pt idx="0">
                  <c:v>RCT07</c:v>
                </c:pt>
              </c:strCache>
            </c:strRef>
          </c:tx>
          <c:spPr>
            <a:ln w="28575">
              <a:noFill/>
            </a:ln>
          </c:spPr>
          <c:marker>
            <c:symbol val="plus"/>
            <c:size val="5"/>
            <c:spPr>
              <a:noFill/>
              <a:ln>
                <a:solidFill>
                  <a:srgbClr val="008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Sheet1!$B$8</c:f>
              <c:numCache>
                <c:formatCode>General</c:formatCode>
                <c:ptCount val="1"/>
                <c:pt idx="0">
                  <c:v>4.2</c:v>
                </c:pt>
              </c:numCache>
            </c:numRef>
          </c:xVal>
          <c:yVal>
            <c:numRef>
              <c:f>Sheet1!$C$8</c:f>
              <c:numCache>
                <c:formatCode>General</c:formatCode>
                <c:ptCount val="1"/>
                <c:pt idx="0">
                  <c:v>5</c:v>
                </c:pt>
              </c:numCache>
            </c:numRef>
          </c:yVal>
        </c:ser>
        <c:ser>
          <c:idx val="7"/>
          <c:order val="7"/>
          <c:tx>
            <c:strRef>
              <c:f>Sheet1!$A$9</c:f>
              <c:strCache>
                <c:ptCount val="1"/>
                <c:pt idx="0">
                  <c:v>MT01</c:v>
                </c:pt>
              </c:strCache>
            </c:strRef>
          </c:tx>
          <c:spPr>
            <a:ln w="28575">
              <a:noFill/>
            </a:ln>
          </c:spPr>
          <c:marker>
            <c:symbol val="dot"/>
            <c:size val="5"/>
            <c:spPr>
              <a:noFill/>
              <a:ln>
                <a:solidFill>
                  <a:srgbClr val="0000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Sheet1!$B$9</c:f>
              <c:numCache>
                <c:formatCode>General</c:formatCode>
                <c:ptCount val="1"/>
                <c:pt idx="0">
                  <c:v>4.2</c:v>
                </c:pt>
              </c:numCache>
            </c:numRef>
          </c:xVal>
          <c:yVal>
            <c:numRef>
              <c:f>Sheet1!$C$9</c:f>
              <c:numCache>
                <c:formatCode>General</c:formatCode>
                <c:ptCount val="1"/>
                <c:pt idx="0">
                  <c:v>6.2</c:v>
                </c:pt>
              </c:numCache>
            </c:numRef>
          </c:yVal>
        </c:ser>
        <c:ser>
          <c:idx val="8"/>
          <c:order val="8"/>
          <c:tx>
            <c:strRef>
              <c:f>Sheet1!$A$10</c:f>
              <c:strCache>
                <c:ptCount val="1"/>
                <c:pt idx="0">
                  <c:v>MT02</c:v>
                </c:pt>
              </c:strCache>
            </c:strRef>
          </c:tx>
          <c:spPr>
            <a:ln w="28575">
              <a:noFill/>
            </a:ln>
          </c:spPr>
          <c:marker>
            <c:symbol val="dash"/>
            <c:size val="5"/>
            <c:spPr>
              <a:noFill/>
              <a:ln>
                <a:solidFill>
                  <a:srgbClr val="00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Sheet1!$B$10</c:f>
              <c:numCache>
                <c:formatCode>General</c:formatCode>
                <c:ptCount val="1"/>
                <c:pt idx="0">
                  <c:v>4.4000000000000004</c:v>
                </c:pt>
              </c:numCache>
            </c:numRef>
          </c:xVal>
          <c:yVal>
            <c:numRef>
              <c:f>Sheet1!$C$10</c:f>
              <c:numCache>
                <c:formatCode>General</c:formatCode>
                <c:ptCount val="1"/>
                <c:pt idx="0">
                  <c:v>7.6</c:v>
                </c:pt>
              </c:numCache>
            </c:numRef>
          </c:yVal>
        </c:ser>
        <c:ser>
          <c:idx val="9"/>
          <c:order val="9"/>
          <c:tx>
            <c:strRef>
              <c:f>Sheet1!$A$11</c:f>
              <c:strCache>
                <c:ptCount val="1"/>
              </c:strCache>
            </c:strRef>
          </c:tx>
          <c:spPr>
            <a:ln w="28575">
              <a:noFill/>
            </a:ln>
          </c:spPr>
          <c:marker>
            <c:symbol val="diamond"/>
            <c:size val="5"/>
            <c:spPr>
              <a:solidFill>
                <a:srgbClr val="CCFFFF"/>
              </a:solidFill>
              <a:ln>
                <a:solidFill>
                  <a:srgbClr val="CCFF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Sheet1!$B$11</c:f>
              <c:numCache>
                <c:formatCode>General</c:formatCode>
                <c:ptCount val="1"/>
              </c:numCache>
            </c:numRef>
          </c:xVal>
          <c:yVal>
            <c:numRef>
              <c:f>Sheet1!$C$11</c:f>
              <c:numCache>
                <c:formatCode>General</c:formatCode>
                <c:ptCount val="1"/>
              </c:numCache>
            </c:numRef>
          </c:yVal>
        </c:ser>
        <c:ser>
          <c:idx val="10"/>
          <c:order val="10"/>
          <c:tx>
            <c:strRef>
              <c:f>Sheet1!$A$12</c:f>
              <c:strCache>
                <c:ptCount val="1"/>
              </c:strCache>
            </c:strRef>
          </c:tx>
          <c:spPr>
            <a:ln w="28575">
              <a:noFill/>
            </a:ln>
          </c:spPr>
          <c:marker>
            <c:symbol val="square"/>
            <c:size val="5"/>
            <c:spPr>
              <a:solidFill>
                <a:srgbClr val="CCFFCC"/>
              </a:solidFill>
              <a:ln>
                <a:solidFill>
                  <a:srgbClr val="CCFF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Sheet1!$B$12</c:f>
              <c:numCache>
                <c:formatCode>General</c:formatCode>
                <c:ptCount val="1"/>
              </c:numCache>
            </c:numRef>
          </c:xVal>
          <c:yVal>
            <c:numRef>
              <c:f>Sheet1!$C$12</c:f>
              <c:numCache>
                <c:formatCode>General</c:formatCode>
                <c:ptCount val="1"/>
              </c:numCache>
            </c:numRef>
          </c:yVal>
        </c:ser>
        <c:ser>
          <c:idx val="11"/>
          <c:order val="11"/>
          <c:tx>
            <c:strRef>
              <c:f>Sheet1!$A$13</c:f>
              <c:strCache>
                <c:ptCount val="1"/>
              </c:strCache>
            </c:strRef>
          </c:tx>
          <c:spPr>
            <a:ln w="28575">
              <a:noFill/>
            </a:ln>
          </c:spPr>
          <c:marker>
            <c:symbol val="triangle"/>
            <c:size val="5"/>
            <c:spPr>
              <a:solidFill>
                <a:srgbClr val="FFFF99"/>
              </a:solidFill>
              <a:ln>
                <a:solidFill>
                  <a:srgbClr val="FFFF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Sheet1!$B$13</c:f>
              <c:numCache>
                <c:formatCode>General</c:formatCode>
                <c:ptCount val="1"/>
              </c:numCache>
            </c:numRef>
          </c:xVal>
          <c:yVal>
            <c:numRef>
              <c:f>Sheet1!$C$13</c:f>
              <c:numCache>
                <c:formatCode>General</c:formatCode>
                <c:ptCount val="1"/>
              </c:numCache>
            </c:numRef>
          </c:yVal>
        </c:ser>
        <c:ser>
          <c:idx val="12"/>
          <c:order val="12"/>
          <c:tx>
            <c:strRef>
              <c:f>Sheet1!$A$14</c:f>
              <c:strCache>
                <c:ptCount val="1"/>
              </c:strCache>
            </c:strRef>
          </c:tx>
          <c:spPr>
            <a:ln w="28575">
              <a:noFill/>
            </a:ln>
          </c:spPr>
          <c:marker>
            <c:symbol val="x"/>
            <c:size val="5"/>
            <c:spPr>
              <a:noFill/>
              <a:ln>
                <a:solidFill>
                  <a:srgbClr val="99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Sheet1!$B$14</c:f>
              <c:numCache>
                <c:formatCode>General</c:formatCode>
                <c:ptCount val="1"/>
              </c:numCache>
            </c:numRef>
          </c:xVal>
          <c:yVal>
            <c:numRef>
              <c:f>Sheet1!$C$14</c:f>
              <c:numCache>
                <c:formatCode>General</c:formatCode>
                <c:ptCount val="1"/>
              </c:numCache>
            </c:numRef>
          </c:yVal>
        </c:ser>
        <c:ser>
          <c:idx val="13"/>
          <c:order val="13"/>
          <c:tx>
            <c:strRef>
              <c:f>Sheet1!$A$15</c:f>
              <c:strCache>
                <c:ptCount val="1"/>
              </c:strCache>
            </c:strRef>
          </c:tx>
          <c:spPr>
            <a:ln w="28575">
              <a:noFill/>
            </a:ln>
          </c:spPr>
          <c:marker>
            <c:symbol val="star"/>
            <c:size val="5"/>
            <c:spPr>
              <a:noFill/>
              <a:ln>
                <a:solidFill>
                  <a:srgbClr val="FF99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Sheet1!$B$15</c:f>
              <c:numCache>
                <c:formatCode>General</c:formatCode>
                <c:ptCount val="1"/>
              </c:numCache>
            </c:numRef>
          </c:xVal>
          <c:yVal>
            <c:numRef>
              <c:f>Sheet1!$C$15</c:f>
              <c:numCache>
                <c:formatCode>General</c:formatCode>
                <c:ptCount val="1"/>
              </c:numCache>
            </c:numRef>
          </c:yVal>
        </c:ser>
        <c:ser>
          <c:idx val="14"/>
          <c:order val="14"/>
          <c:tx>
            <c:strRef>
              <c:f>Sheet1!$A$16</c:f>
              <c:strCache>
                <c:ptCount val="1"/>
              </c:strCache>
            </c:strRef>
          </c:tx>
          <c:spPr>
            <a:ln w="28575">
              <a:noFill/>
            </a:ln>
          </c:spPr>
          <c:marker>
            <c:symbol val="circle"/>
            <c:size val="5"/>
            <c:spPr>
              <a:solidFill>
                <a:srgbClr val="CC99FF"/>
              </a:solidFill>
              <a:ln>
                <a:solidFill>
                  <a:srgbClr val="CC99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Sheet1!$B$16</c:f>
              <c:numCache>
                <c:formatCode>General</c:formatCode>
                <c:ptCount val="1"/>
              </c:numCache>
            </c:numRef>
          </c:xVal>
          <c:yVal>
            <c:numRef>
              <c:f>Sheet1!$C$16</c:f>
              <c:numCache>
                <c:formatCode>General</c:formatCode>
                <c:ptCount val="1"/>
              </c:numCache>
            </c:numRef>
          </c:yVal>
        </c:ser>
        <c:ser>
          <c:idx val="15"/>
          <c:order val="15"/>
          <c:tx>
            <c:strRef>
              <c:f>Sheet1!$A$17</c:f>
              <c:strCache>
                <c:ptCount val="1"/>
              </c:strCache>
            </c:strRef>
          </c:tx>
          <c:spPr>
            <a:ln w="28575">
              <a:noFill/>
            </a:ln>
          </c:spPr>
          <c:marker>
            <c:symbol val="plus"/>
            <c:size val="5"/>
            <c:spPr>
              <a:noFill/>
              <a:ln>
                <a:solidFill>
                  <a:srgbClr val="FFCC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Sheet1!$B$17</c:f>
              <c:numCache>
                <c:formatCode>General</c:formatCode>
                <c:ptCount val="1"/>
              </c:numCache>
            </c:numRef>
          </c:xVal>
          <c:yVal>
            <c:numRef>
              <c:f>Sheet1!$C$17</c:f>
              <c:numCache>
                <c:formatCode>General</c:formatCode>
                <c:ptCount val="1"/>
              </c:numCache>
            </c:numRef>
          </c:yVal>
        </c:ser>
        <c:ser>
          <c:idx val="16"/>
          <c:order val="16"/>
          <c:tx>
            <c:strRef>
              <c:f>Sheet1!$A$18</c:f>
              <c:strCache>
                <c:ptCount val="1"/>
              </c:strCache>
            </c:strRef>
          </c:tx>
          <c:spPr>
            <a:ln w="28575">
              <a:noFill/>
            </a:ln>
          </c:spPr>
          <c:marker>
            <c:symbol val="dot"/>
            <c:size val="5"/>
            <c:spPr>
              <a:noFill/>
              <a:ln>
                <a:solidFill>
                  <a:srgbClr val="3366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Sheet1!$B$18</c:f>
              <c:numCache>
                <c:formatCode>General</c:formatCode>
                <c:ptCount val="1"/>
              </c:numCache>
            </c:numRef>
          </c:xVal>
          <c:yVal>
            <c:numRef>
              <c:f>Sheet1!$C$18</c:f>
              <c:numCache>
                <c:formatCode>General</c:formatCode>
                <c:ptCount val="1"/>
              </c:numCache>
            </c:numRef>
          </c:yVal>
        </c:ser>
        <c:ser>
          <c:idx val="17"/>
          <c:order val="17"/>
          <c:tx>
            <c:strRef>
              <c:f>Sheet1!$A$19</c:f>
              <c:strCache>
                <c:ptCount val="1"/>
              </c:strCache>
            </c:strRef>
          </c:tx>
          <c:spPr>
            <a:ln w="28575">
              <a:noFill/>
            </a:ln>
          </c:spPr>
          <c:marker>
            <c:symbol val="dash"/>
            <c:size val="5"/>
            <c:spPr>
              <a:noFill/>
              <a:ln>
                <a:solidFill>
                  <a:srgbClr val="33CC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Sheet1!$B$19</c:f>
              <c:numCache>
                <c:formatCode>General</c:formatCode>
                <c:ptCount val="1"/>
              </c:numCache>
            </c:numRef>
          </c:xVal>
          <c:yVal>
            <c:numRef>
              <c:f>Sheet1!$C$19</c:f>
              <c:numCache>
                <c:formatCode>General</c:formatCode>
                <c:ptCount val="1"/>
              </c:numCache>
            </c:numRef>
          </c:yVal>
        </c:ser>
        <c:ser>
          <c:idx val="18"/>
          <c:order val="18"/>
          <c:tx>
            <c:strRef>
              <c:f>Sheet1!$A$20</c:f>
              <c:strCache>
                <c:ptCount val="1"/>
              </c:strCache>
            </c:strRef>
          </c:tx>
          <c:spPr>
            <a:ln w="28575">
              <a:noFill/>
            </a:ln>
          </c:spPr>
          <c:marker>
            <c:symbol val="diamond"/>
            <c:size val="5"/>
            <c:spPr>
              <a:solidFill>
                <a:srgbClr val="99CC00"/>
              </a:solidFill>
              <a:ln>
                <a:solidFill>
                  <a:srgbClr val="99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Sheet1!$B$20</c:f>
              <c:numCache>
                <c:formatCode>General</c:formatCode>
                <c:ptCount val="1"/>
              </c:numCache>
            </c:numRef>
          </c:xVal>
          <c:yVal>
            <c:numRef>
              <c:f>Sheet1!$C$20</c:f>
              <c:numCache>
                <c:formatCode>General</c:formatCode>
                <c:ptCount val="1"/>
              </c:numCache>
            </c:numRef>
          </c:yVal>
        </c:ser>
        <c:ser>
          <c:idx val="19"/>
          <c:order val="19"/>
          <c:tx>
            <c:strRef>
              <c:f>Sheet1!$A$21</c:f>
              <c:strCache>
                <c:ptCount val="1"/>
              </c:strCache>
            </c:strRef>
          </c:tx>
          <c:spPr>
            <a:ln w="28575">
              <a:noFill/>
            </a:ln>
          </c:spPr>
          <c:marker>
            <c:symbol val="square"/>
            <c:size val="5"/>
            <c:spPr>
              <a:solidFill>
                <a:srgbClr val="FFCC00"/>
              </a:solidFill>
              <a:ln>
                <a:solidFill>
                  <a:srgbClr val="FF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Sheet1!$B$21</c:f>
              <c:numCache>
                <c:formatCode>General</c:formatCode>
                <c:ptCount val="1"/>
              </c:numCache>
            </c:numRef>
          </c:xVal>
          <c:yVal>
            <c:numRef>
              <c:f>Sheet1!$C$21</c:f>
              <c:numCache>
                <c:formatCode>General</c:formatCode>
                <c:ptCount val="1"/>
              </c:numCache>
            </c:numRef>
          </c:yVal>
        </c:ser>
        <c:ser>
          <c:idx val="20"/>
          <c:order val="20"/>
          <c:tx>
            <c:strRef>
              <c:f>Sheet1!$A$22</c:f>
              <c:strCache>
                <c:ptCount val="1"/>
              </c:strCache>
            </c:strRef>
          </c:tx>
          <c:spPr>
            <a:ln w="28575">
              <a:noFill/>
            </a:ln>
          </c:spPr>
          <c:marker>
            <c:symbol val="triangle"/>
            <c:size val="5"/>
            <c:spPr>
              <a:solidFill>
                <a:srgbClr val="FF9900"/>
              </a:solidFill>
              <a:ln>
                <a:solidFill>
                  <a:srgbClr val="FF9900"/>
                </a:solidFill>
                <a:prstDash val="solid"/>
              </a:ln>
            </c:spPr>
          </c:marker>
          <c:dLbls>
            <c:spPr>
              <a:noFill/>
              <a:ln w="25400">
                <a:noFill/>
              </a:ln>
            </c:spPr>
            <c:txPr>
              <a:bodyPr/>
              <a:lstStyle/>
              <a:p>
                <a:pPr>
                  <a:defRPr sz="875" b="0" i="0" u="none" strike="noStrike" baseline="0">
                    <a:solidFill>
                      <a:srgbClr val="000000"/>
                    </a:solidFill>
                    <a:latin typeface="Arial"/>
                    <a:ea typeface="Arial"/>
                    <a:cs typeface="Arial"/>
                  </a:defRPr>
                </a:pPr>
                <a:endParaRPr lang="en-US"/>
              </a:p>
            </c:txPr>
            <c:showSerName val="1"/>
          </c:dLbls>
          <c:xVal>
            <c:numRef>
              <c:f>Sheet1!$B$22</c:f>
              <c:numCache>
                <c:formatCode>General</c:formatCode>
                <c:ptCount val="1"/>
              </c:numCache>
            </c:numRef>
          </c:xVal>
          <c:yVal>
            <c:numRef>
              <c:f>Sheet1!$C$22</c:f>
              <c:numCache>
                <c:formatCode>General</c:formatCode>
                <c:ptCount val="1"/>
              </c:numCache>
            </c:numRef>
          </c:yVal>
        </c:ser>
        <c:ser>
          <c:idx val="21"/>
          <c:order val="21"/>
          <c:tx>
            <c:strRef>
              <c:f>Sheet1!$A$23</c:f>
              <c:strCache>
                <c:ptCount val="1"/>
              </c:strCache>
            </c:strRef>
          </c:tx>
          <c:spPr>
            <a:ln w="28575">
              <a:noFill/>
            </a:ln>
          </c:spPr>
          <c:marker>
            <c:symbol val="x"/>
            <c:size val="5"/>
            <c:spPr>
              <a:noFill/>
              <a:ln>
                <a:solidFill>
                  <a:srgbClr val="FF66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Sheet1!$B$23</c:f>
              <c:numCache>
                <c:formatCode>General</c:formatCode>
                <c:ptCount val="1"/>
              </c:numCache>
            </c:numRef>
          </c:xVal>
          <c:yVal>
            <c:numRef>
              <c:f>Sheet1!$C$23</c:f>
              <c:numCache>
                <c:formatCode>General</c:formatCode>
                <c:ptCount val="1"/>
              </c:numCache>
            </c:numRef>
          </c:yVal>
        </c:ser>
        <c:dLbls>
          <c:showSerName val="1"/>
        </c:dLbls>
        <c:axId val="44370176"/>
        <c:axId val="44388736"/>
      </c:scatterChart>
      <c:valAx>
        <c:axId val="44370176"/>
        <c:scaling>
          <c:orientation val="minMax"/>
          <c:min val="3.5"/>
        </c:scaling>
        <c:axPos val="b"/>
        <c:title>
          <c:tx>
            <c:rich>
              <a:bodyPr/>
              <a:lstStyle/>
              <a:p>
                <a:pPr>
                  <a:defRPr sz="900" b="1" i="0" u="none" strike="noStrike" baseline="0">
                    <a:solidFill>
                      <a:srgbClr val="000000"/>
                    </a:solidFill>
                    <a:latin typeface="Verdana"/>
                    <a:ea typeface="Verdana"/>
                    <a:cs typeface="Verdana"/>
                  </a:defRPr>
                </a:pPr>
                <a:r>
                  <a:rPr lang="en-GB" sz="900"/>
                  <a:t>Prevalence of cataract (mid estimate, %)</a:t>
                </a:r>
              </a:p>
            </c:rich>
          </c:tx>
          <c:layout>
            <c:manualLayout>
              <c:xMode val="edge"/>
              <c:yMode val="edge"/>
              <c:x val="0.22266168306067172"/>
              <c:y val="0.91423175985273353"/>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388736"/>
        <c:crosses val="autoZero"/>
        <c:crossBetween val="midCat"/>
        <c:majorUnit val="1"/>
      </c:valAx>
      <c:valAx>
        <c:axId val="44388736"/>
        <c:scaling>
          <c:orientation val="minMax"/>
          <c:min val="2.5"/>
        </c:scaling>
        <c:axPos val="l"/>
        <c:title>
          <c:tx>
            <c:rich>
              <a:bodyPr/>
              <a:lstStyle/>
              <a:p>
                <a:pPr>
                  <a:defRPr sz="900" b="1" i="0" u="none" strike="noStrike" baseline="0">
                    <a:solidFill>
                      <a:srgbClr val="000000"/>
                    </a:solidFill>
                    <a:latin typeface="Verdana"/>
                    <a:ea typeface="Verdana"/>
                    <a:cs typeface="Verdana"/>
                  </a:defRPr>
                </a:pPr>
                <a:r>
                  <a:rPr lang="en-GB" sz="900"/>
                  <a:t>Cataract operations (crude rate, per 1000)   
</a:t>
                </a:r>
              </a:p>
            </c:rich>
          </c:tx>
          <c:layout>
            <c:manualLayout>
              <c:xMode val="edge"/>
              <c:yMode val="edge"/>
              <c:x val="2.8985645569007474E-2"/>
              <c:y val="0.25925987321760285"/>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370176"/>
        <c:crosses val="autoZero"/>
        <c:crossBetween val="midCat"/>
        <c:majorUnit val="1"/>
      </c:valAx>
      <c:spPr>
        <a:solidFill>
          <a:srgbClr val="FFFFFF"/>
        </a:solidFill>
        <a:ln w="12700">
          <a:solidFill>
            <a:srgbClr val="FFFFFF"/>
          </a:solidFill>
          <a:prstDash val="solid"/>
        </a:ln>
      </c:spPr>
    </c:plotArea>
    <c:plotVisOnly val="1"/>
    <c:dispBlanksAs val="gap"/>
  </c:chart>
  <c:spPr>
    <a:solidFill>
      <a:srgbClr val="FFFFFF"/>
    </a:solidFill>
    <a:ln w="3175">
      <a:no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sz="1000" b="1" i="0" u="none" strike="noStrike" baseline="0">
                <a:solidFill>
                  <a:srgbClr val="000000"/>
                </a:solidFill>
                <a:latin typeface="Verdana"/>
                <a:ea typeface="Verdana"/>
                <a:cs typeface="Verdana"/>
              </a:defRPr>
            </a:pPr>
            <a:r>
              <a:rPr lang="en-GB"/>
              <a:t>Deprivation vs. cataract procedures</a:t>
            </a:r>
          </a:p>
        </c:rich>
      </c:tx>
      <c:layout>
        <c:manualLayout>
          <c:xMode val="edge"/>
          <c:yMode val="edge"/>
          <c:x val="2.3715415019762844E-2"/>
          <c:y val="3.1189083820662791E-2"/>
        </c:manualLayout>
      </c:layout>
      <c:spPr>
        <a:noFill/>
        <a:ln w="25400">
          <a:noFill/>
        </a:ln>
      </c:spPr>
    </c:title>
    <c:plotArea>
      <c:layout>
        <c:manualLayout>
          <c:layoutTarget val="inner"/>
          <c:xMode val="edge"/>
          <c:yMode val="edge"/>
          <c:x val="0.12340813129584098"/>
          <c:y val="0.17543900579679048"/>
          <c:w val="0.8168653461397426"/>
          <c:h val="0.65497200705867775"/>
        </c:manualLayout>
      </c:layout>
      <c:scatterChart>
        <c:scatterStyle val="lineMarker"/>
        <c:ser>
          <c:idx val="1"/>
          <c:order val="0"/>
          <c:tx>
            <c:strRef>
              <c:f>Sheet1!$A$2</c:f>
              <c:strCache>
                <c:ptCount val="1"/>
                <c:pt idx="0">
                  <c:v>BG</c:v>
                </c:pt>
              </c:strCache>
            </c:strRef>
          </c:tx>
          <c:spPr>
            <a:ln w="28575">
              <a:noFill/>
            </a:ln>
          </c:spPr>
          <c:marker>
            <c:symbol val="square"/>
            <c:size val="5"/>
            <c:spPr>
              <a:solidFill>
                <a:srgbClr val="FF00FF"/>
              </a:solidFill>
              <a:ln>
                <a:solidFill>
                  <a:srgbClr val="FF00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Sheet1!$B$2</c:f>
              <c:numCache>
                <c:formatCode>General</c:formatCode>
                <c:ptCount val="1"/>
                <c:pt idx="0">
                  <c:v>42.5</c:v>
                </c:pt>
              </c:numCache>
            </c:numRef>
          </c:xVal>
          <c:yVal>
            <c:numRef>
              <c:f>Sheet1!$C$2</c:f>
              <c:numCache>
                <c:formatCode>General</c:formatCode>
                <c:ptCount val="1"/>
                <c:pt idx="0">
                  <c:v>3.3</c:v>
                </c:pt>
              </c:numCache>
            </c:numRef>
          </c:yVal>
        </c:ser>
        <c:ser>
          <c:idx val="0"/>
          <c:order val="1"/>
          <c:tx>
            <c:strRef>
              <c:f>Sheet1!$A$3</c:f>
              <c:strCache>
                <c:ptCount val="1"/>
                <c:pt idx="0">
                  <c:v>BR</c:v>
                </c:pt>
              </c:strCache>
            </c:strRef>
          </c:tx>
          <c:spPr>
            <a:ln w="28575">
              <a:noFill/>
            </a:ln>
          </c:spPr>
          <c:marker>
            <c:symbol val="diamond"/>
            <c:size val="5"/>
            <c:spPr>
              <a:solidFill>
                <a:srgbClr val="000080"/>
              </a:solidFill>
              <a:ln>
                <a:solidFill>
                  <a:srgbClr val="0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Sheet1!$B$3</c:f>
              <c:numCache>
                <c:formatCode>General</c:formatCode>
                <c:ptCount val="1"/>
                <c:pt idx="0">
                  <c:v>24.7</c:v>
                </c:pt>
              </c:numCache>
            </c:numRef>
          </c:xVal>
          <c:yVal>
            <c:numRef>
              <c:f>Sheet1!$C$3</c:f>
              <c:numCache>
                <c:formatCode>General</c:formatCode>
                <c:ptCount val="1"/>
                <c:pt idx="0">
                  <c:v>4.2</c:v>
                </c:pt>
              </c:numCache>
            </c:numRef>
          </c:yVal>
        </c:ser>
        <c:ser>
          <c:idx val="2"/>
          <c:order val="2"/>
          <c:tx>
            <c:strRef>
              <c:f>Sheet1!$A$4</c:f>
              <c:strCache>
                <c:ptCount val="1"/>
                <c:pt idx="0">
                  <c:v>CY</c:v>
                </c:pt>
              </c:strCache>
            </c:strRef>
          </c:tx>
          <c:spPr>
            <a:ln w="28575">
              <a:noFill/>
            </a:ln>
          </c:spPr>
          <c:marker>
            <c:symbol val="triangle"/>
            <c:size val="5"/>
            <c:spPr>
              <a:solidFill>
                <a:srgbClr val="FFFF00"/>
              </a:solidFill>
              <a:ln>
                <a:solidFill>
                  <a:srgbClr val="FFFF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Sheet1!$B$4</c:f>
              <c:numCache>
                <c:formatCode>General</c:formatCode>
                <c:ptCount val="1"/>
                <c:pt idx="0">
                  <c:v>26.4</c:v>
                </c:pt>
              </c:numCache>
            </c:numRef>
          </c:xVal>
          <c:yVal>
            <c:numRef>
              <c:f>Sheet1!$C$4</c:f>
              <c:numCache>
                <c:formatCode>General</c:formatCode>
                <c:ptCount val="1"/>
                <c:pt idx="0">
                  <c:v>4.3</c:v>
                </c:pt>
              </c:numCache>
            </c:numRef>
          </c:yVal>
        </c:ser>
        <c:ser>
          <c:idx val="3"/>
          <c:order val="3"/>
          <c:tx>
            <c:strRef>
              <c:f>Sheet1!$A$5</c:f>
              <c:strCache>
                <c:ptCount val="1"/>
                <c:pt idx="0">
                  <c:v>CA</c:v>
                </c:pt>
              </c:strCache>
            </c:strRef>
          </c:tx>
          <c:spPr>
            <a:ln w="28575">
              <a:noFill/>
            </a:ln>
          </c:spPr>
          <c:marker>
            <c:symbol val="x"/>
            <c:size val="5"/>
            <c:spPr>
              <a:noFill/>
              <a:ln>
                <a:solidFill>
                  <a:srgbClr val="00FFFF"/>
                </a:solidFill>
                <a:prstDash val="solid"/>
              </a:ln>
            </c:spPr>
          </c:marker>
          <c:dLbls>
            <c:dLbl>
              <c:idx val="0"/>
              <c:spPr>
                <a:noFill/>
                <a:ln w="25400">
                  <a:noFill/>
                </a:ln>
              </c:spPr>
              <c:txPr>
                <a:bodyPr/>
                <a:lstStyle/>
                <a:p>
                  <a:pPr>
                    <a:defRPr sz="875" b="0" i="0" u="none" strike="noStrike" baseline="0">
                      <a:solidFill>
                        <a:srgbClr val="000000"/>
                      </a:solidFill>
                      <a:latin typeface="Verdana"/>
                      <a:ea typeface="Verdana"/>
                      <a:cs typeface="Verdana"/>
                    </a:defRPr>
                  </a:pPr>
                  <a:endParaRPr lang="en-US"/>
                </a:p>
              </c:txPr>
            </c:dLbl>
            <c:spPr>
              <a:noFill/>
              <a:ln w="25400">
                <a:noFill/>
              </a:ln>
            </c:spPr>
            <c:txPr>
              <a:bodyPr/>
              <a:lstStyle/>
              <a:p>
                <a:pPr>
                  <a:defRPr sz="1200" b="0" i="0" u="none" strike="noStrike" baseline="0">
                    <a:solidFill>
                      <a:srgbClr val="000000"/>
                    </a:solidFill>
                    <a:latin typeface="Arial"/>
                    <a:ea typeface="Arial"/>
                    <a:cs typeface="Arial"/>
                  </a:defRPr>
                </a:pPr>
                <a:endParaRPr lang="en-US"/>
              </a:p>
            </c:txPr>
            <c:showSerName val="1"/>
          </c:dLbls>
          <c:xVal>
            <c:numRef>
              <c:f>Sheet1!$B$5</c:f>
              <c:numCache>
                <c:formatCode>General</c:formatCode>
                <c:ptCount val="1"/>
                <c:pt idx="0">
                  <c:v>25.6</c:v>
                </c:pt>
              </c:numCache>
            </c:numRef>
          </c:xVal>
          <c:yVal>
            <c:numRef>
              <c:f>Sheet1!$C$5</c:f>
              <c:numCache>
                <c:formatCode>General</c:formatCode>
                <c:ptCount val="1"/>
                <c:pt idx="0">
                  <c:v>3.9</c:v>
                </c:pt>
              </c:numCache>
            </c:numRef>
          </c:yVal>
        </c:ser>
        <c:ser>
          <c:idx val="4"/>
          <c:order val="4"/>
          <c:tx>
            <c:strRef>
              <c:f>Sheet1!$A$6</c:f>
              <c:strCache>
                <c:ptCount val="1"/>
                <c:pt idx="0">
                  <c:v>CM</c:v>
                </c:pt>
              </c:strCache>
            </c:strRef>
          </c:tx>
          <c:spPr>
            <a:ln w="28575">
              <a:noFill/>
            </a:ln>
          </c:spPr>
          <c:marker>
            <c:symbol val="star"/>
            <c:size val="5"/>
            <c:spPr>
              <a:noFill/>
              <a:ln>
                <a:solidFill>
                  <a:srgbClr val="800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Sheet1!$B$6</c:f>
              <c:numCache>
                <c:formatCode>General</c:formatCode>
                <c:ptCount val="1"/>
                <c:pt idx="0">
                  <c:v>12.5</c:v>
                </c:pt>
              </c:numCache>
            </c:numRef>
          </c:xVal>
          <c:yVal>
            <c:numRef>
              <c:f>Sheet1!$C$6</c:f>
              <c:numCache>
                <c:formatCode>General</c:formatCode>
                <c:ptCount val="1"/>
                <c:pt idx="0">
                  <c:v>3.7</c:v>
                </c:pt>
              </c:numCache>
            </c:numRef>
          </c:yVal>
        </c:ser>
        <c:ser>
          <c:idx val="5"/>
          <c:order val="5"/>
          <c:tx>
            <c:strRef>
              <c:f>Sheet1!$A$7</c:f>
              <c:strCache>
                <c:ptCount val="1"/>
                <c:pt idx="0">
                  <c:v>CE</c:v>
                </c:pt>
              </c:strCache>
            </c:strRef>
          </c:tx>
          <c:spPr>
            <a:ln w="28575">
              <a:noFill/>
            </a:ln>
          </c:spPr>
          <c:marker>
            <c:symbol val="circle"/>
            <c:size val="5"/>
            <c:spPr>
              <a:solidFill>
                <a:srgbClr val="800000"/>
              </a:solidFill>
              <a:ln>
                <a:solidFill>
                  <a:srgbClr val="8000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Sheet1!$B$7</c:f>
              <c:numCache>
                <c:formatCode>General</c:formatCode>
                <c:ptCount val="1"/>
                <c:pt idx="0">
                  <c:v>4.3</c:v>
                </c:pt>
              </c:numCache>
            </c:numRef>
          </c:xVal>
          <c:yVal>
            <c:numRef>
              <c:f>Sheet1!$C$7</c:f>
              <c:numCache>
                <c:formatCode>General</c:formatCode>
                <c:ptCount val="1"/>
                <c:pt idx="0">
                  <c:v>2.8</c:v>
                </c:pt>
              </c:numCache>
            </c:numRef>
          </c:yVal>
        </c:ser>
        <c:ser>
          <c:idx val="6"/>
          <c:order val="6"/>
          <c:tx>
            <c:strRef>
              <c:f>Sheet1!$A$8</c:f>
              <c:strCache>
                <c:ptCount val="1"/>
                <c:pt idx="0">
                  <c:v>CO</c:v>
                </c:pt>
              </c:strCache>
            </c:strRef>
          </c:tx>
          <c:spPr>
            <a:ln w="28575">
              <a:noFill/>
            </a:ln>
          </c:spPr>
          <c:marker>
            <c:symbol val="plus"/>
            <c:size val="5"/>
            <c:spPr>
              <a:noFill/>
              <a:ln>
                <a:solidFill>
                  <a:srgbClr val="00808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Sheet1!$B$8</c:f>
              <c:numCache>
                <c:formatCode>General</c:formatCode>
                <c:ptCount val="1"/>
                <c:pt idx="0">
                  <c:v>12.7</c:v>
                </c:pt>
              </c:numCache>
            </c:numRef>
          </c:xVal>
          <c:yVal>
            <c:numRef>
              <c:f>Sheet1!$C$8</c:f>
              <c:numCache>
                <c:formatCode>General</c:formatCode>
                <c:ptCount val="1"/>
                <c:pt idx="0">
                  <c:v>4.5</c:v>
                </c:pt>
              </c:numCache>
            </c:numRef>
          </c:yVal>
        </c:ser>
        <c:ser>
          <c:idx val="7"/>
          <c:order val="7"/>
          <c:tx>
            <c:strRef>
              <c:f>Sheet1!$A$9</c:f>
              <c:strCache>
                <c:ptCount val="1"/>
                <c:pt idx="0">
                  <c:v>DE</c:v>
                </c:pt>
              </c:strCache>
            </c:strRef>
          </c:tx>
          <c:spPr>
            <a:ln w="28575">
              <a:noFill/>
            </a:ln>
          </c:spPr>
          <c:marker>
            <c:symbol val="dot"/>
            <c:size val="5"/>
            <c:spPr>
              <a:noFill/>
              <a:ln>
                <a:solidFill>
                  <a:srgbClr val="0000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Sheet1!$B$9</c:f>
              <c:numCache>
                <c:formatCode>General</c:formatCode>
                <c:ptCount val="1"/>
                <c:pt idx="0">
                  <c:v>15.5</c:v>
                </c:pt>
              </c:numCache>
            </c:numRef>
          </c:xVal>
          <c:yVal>
            <c:numRef>
              <c:f>Sheet1!$C$9</c:f>
              <c:numCache>
                <c:formatCode>General</c:formatCode>
                <c:ptCount val="1"/>
                <c:pt idx="0">
                  <c:v>4.8</c:v>
                </c:pt>
              </c:numCache>
            </c:numRef>
          </c:yVal>
        </c:ser>
        <c:ser>
          <c:idx val="8"/>
          <c:order val="8"/>
          <c:tx>
            <c:strRef>
              <c:f>Sheet1!$A$10</c:f>
              <c:strCache>
                <c:ptCount val="1"/>
                <c:pt idx="0">
                  <c:v>FL</c:v>
                </c:pt>
              </c:strCache>
            </c:strRef>
          </c:tx>
          <c:spPr>
            <a:ln w="28575">
              <a:noFill/>
            </a:ln>
          </c:spPr>
          <c:marker>
            <c:symbol val="dash"/>
            <c:size val="5"/>
            <c:spPr>
              <a:noFill/>
              <a:ln>
                <a:solidFill>
                  <a:srgbClr val="00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Sheet1!$B$10</c:f>
              <c:numCache>
                <c:formatCode>General</c:formatCode>
                <c:ptCount val="1"/>
                <c:pt idx="0">
                  <c:v>10.9</c:v>
                </c:pt>
              </c:numCache>
            </c:numRef>
          </c:xVal>
          <c:yVal>
            <c:numRef>
              <c:f>Sheet1!$C$10</c:f>
              <c:numCache>
                <c:formatCode>General</c:formatCode>
                <c:ptCount val="1"/>
                <c:pt idx="0">
                  <c:v>3.8</c:v>
                </c:pt>
              </c:numCache>
            </c:numRef>
          </c:yVal>
        </c:ser>
        <c:ser>
          <c:idx val="9"/>
          <c:order val="9"/>
          <c:tx>
            <c:strRef>
              <c:f>Sheet1!$A$11</c:f>
              <c:strCache>
                <c:ptCount val="1"/>
                <c:pt idx="0">
                  <c:v>GW</c:v>
                </c:pt>
              </c:strCache>
            </c:strRef>
          </c:tx>
          <c:spPr>
            <a:ln w="28575">
              <a:noFill/>
            </a:ln>
          </c:spPr>
          <c:marker>
            <c:symbol val="diamond"/>
            <c:size val="5"/>
            <c:spPr>
              <a:solidFill>
                <a:srgbClr val="CCFFFF"/>
              </a:solidFill>
              <a:ln>
                <a:solidFill>
                  <a:srgbClr val="CCFF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Sheet1!$B$11</c:f>
              <c:numCache>
                <c:formatCode>General</c:formatCode>
                <c:ptCount val="1"/>
                <c:pt idx="0">
                  <c:v>5.3</c:v>
                </c:pt>
              </c:numCache>
            </c:numRef>
          </c:xVal>
          <c:yVal>
            <c:numRef>
              <c:f>Sheet1!$C$11</c:f>
              <c:numCache>
                <c:formatCode>General</c:formatCode>
                <c:ptCount val="1"/>
                <c:pt idx="0">
                  <c:v>3.9</c:v>
                </c:pt>
              </c:numCache>
            </c:numRef>
          </c:yVal>
        </c:ser>
        <c:ser>
          <c:idx val="10"/>
          <c:order val="10"/>
          <c:tx>
            <c:strRef>
              <c:f>Sheet1!$A$12</c:f>
              <c:strCache>
                <c:ptCount val="1"/>
                <c:pt idx="0">
                  <c:v>IA</c:v>
                </c:pt>
              </c:strCache>
            </c:strRef>
          </c:tx>
          <c:spPr>
            <a:ln w="28575">
              <a:noFill/>
            </a:ln>
          </c:spPr>
          <c:marker>
            <c:symbol val="square"/>
            <c:size val="5"/>
            <c:spPr>
              <a:solidFill>
                <a:srgbClr val="CCFFCC"/>
              </a:solidFill>
              <a:ln>
                <a:solidFill>
                  <a:srgbClr val="CCFF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Sheet1!$B$12</c:f>
              <c:numCache>
                <c:formatCode>General</c:formatCode>
                <c:ptCount val="1"/>
                <c:pt idx="0">
                  <c:v>11.4</c:v>
                </c:pt>
              </c:numCache>
            </c:numRef>
          </c:xVal>
          <c:yVal>
            <c:numRef>
              <c:f>Sheet1!$C$12</c:f>
              <c:numCache>
                <c:formatCode>General</c:formatCode>
                <c:ptCount val="1"/>
                <c:pt idx="0">
                  <c:v>4</c:v>
                </c:pt>
              </c:numCache>
            </c:numRef>
          </c:yVal>
        </c:ser>
        <c:ser>
          <c:idx val="11"/>
          <c:order val="11"/>
          <c:tx>
            <c:strRef>
              <c:f>Sheet1!$A$13</c:f>
              <c:strCache>
                <c:ptCount val="1"/>
                <c:pt idx="0">
                  <c:v>MT</c:v>
                </c:pt>
              </c:strCache>
            </c:strRef>
          </c:tx>
          <c:spPr>
            <a:ln w="28575">
              <a:noFill/>
            </a:ln>
          </c:spPr>
          <c:marker>
            <c:symbol val="triangle"/>
            <c:size val="5"/>
            <c:spPr>
              <a:solidFill>
                <a:srgbClr val="FFFF99"/>
              </a:solidFill>
              <a:ln>
                <a:solidFill>
                  <a:srgbClr val="FFFF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Sheet1!$B$13</c:f>
              <c:numCache>
                <c:formatCode>General</c:formatCode>
                <c:ptCount val="1"/>
                <c:pt idx="0">
                  <c:v>50</c:v>
                </c:pt>
              </c:numCache>
            </c:numRef>
          </c:xVal>
          <c:yVal>
            <c:numRef>
              <c:f>Sheet1!$C$13</c:f>
              <c:numCache>
                <c:formatCode>General</c:formatCode>
                <c:ptCount val="1"/>
                <c:pt idx="0">
                  <c:v>4.5</c:v>
                </c:pt>
              </c:numCache>
            </c:numRef>
          </c:yVal>
        </c:ser>
        <c:ser>
          <c:idx val="12"/>
          <c:order val="12"/>
          <c:tx>
            <c:strRef>
              <c:f>Sheet1!$A$14</c:f>
              <c:strCache>
                <c:ptCount val="1"/>
                <c:pt idx="0">
                  <c:v>MO</c:v>
                </c:pt>
              </c:strCache>
            </c:strRef>
          </c:tx>
          <c:spPr>
            <a:ln w="28575">
              <a:noFill/>
            </a:ln>
          </c:spPr>
          <c:marker>
            <c:symbol val="x"/>
            <c:size val="5"/>
            <c:spPr>
              <a:noFill/>
              <a:ln>
                <a:solidFill>
                  <a:srgbClr val="99CC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Sheet1!$B$14</c:f>
              <c:numCache>
                <c:formatCode>General</c:formatCode>
                <c:ptCount val="1"/>
                <c:pt idx="0">
                  <c:v>1.7</c:v>
                </c:pt>
              </c:numCache>
            </c:numRef>
          </c:xVal>
          <c:yVal>
            <c:numRef>
              <c:f>Sheet1!$C$14</c:f>
              <c:numCache>
                <c:formatCode>General</c:formatCode>
                <c:ptCount val="1"/>
                <c:pt idx="0">
                  <c:v>3.3</c:v>
                </c:pt>
              </c:numCache>
            </c:numRef>
          </c:yVal>
        </c:ser>
        <c:ser>
          <c:idx val="13"/>
          <c:order val="13"/>
          <c:tx>
            <c:strRef>
              <c:f>Sheet1!$A$15</c:f>
              <c:strCache>
                <c:ptCount val="1"/>
                <c:pt idx="0">
                  <c:v>NPT</c:v>
                </c:pt>
              </c:strCache>
            </c:strRef>
          </c:tx>
          <c:spPr>
            <a:ln w="28575">
              <a:noFill/>
            </a:ln>
          </c:spPr>
          <c:marker>
            <c:symbol val="star"/>
            <c:size val="5"/>
            <c:spPr>
              <a:noFill/>
              <a:ln>
                <a:solidFill>
                  <a:srgbClr val="FF99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Sheet1!$B$15</c:f>
              <c:numCache>
                <c:formatCode>General</c:formatCode>
                <c:ptCount val="1"/>
                <c:pt idx="0">
                  <c:v>31.9</c:v>
                </c:pt>
              </c:numCache>
            </c:numRef>
          </c:xVal>
          <c:yVal>
            <c:numRef>
              <c:f>Sheet1!$C$15</c:f>
              <c:numCache>
                <c:formatCode>General</c:formatCode>
                <c:ptCount val="1"/>
                <c:pt idx="0">
                  <c:v>5.8</c:v>
                </c:pt>
              </c:numCache>
            </c:numRef>
          </c:yVal>
        </c:ser>
        <c:ser>
          <c:idx val="14"/>
          <c:order val="14"/>
          <c:tx>
            <c:strRef>
              <c:f>Sheet1!$A$16</c:f>
              <c:strCache>
                <c:ptCount val="1"/>
                <c:pt idx="0">
                  <c:v>NEW</c:v>
                </c:pt>
              </c:strCache>
            </c:strRef>
          </c:tx>
          <c:spPr>
            <a:ln w="28575">
              <a:noFill/>
            </a:ln>
          </c:spPr>
          <c:marker>
            <c:symbol val="circle"/>
            <c:size val="5"/>
            <c:spPr>
              <a:solidFill>
                <a:srgbClr val="CC99FF"/>
              </a:solidFill>
              <a:ln>
                <a:solidFill>
                  <a:srgbClr val="CC99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Sheet1!$B$16</c:f>
              <c:numCache>
                <c:formatCode>General</c:formatCode>
                <c:ptCount val="1"/>
                <c:pt idx="0">
                  <c:v>27.7</c:v>
                </c:pt>
              </c:numCache>
            </c:numRef>
          </c:xVal>
          <c:yVal>
            <c:numRef>
              <c:f>Sheet1!$C$16</c:f>
              <c:numCache>
                <c:formatCode>General</c:formatCode>
                <c:ptCount val="1"/>
                <c:pt idx="0">
                  <c:v>4.3</c:v>
                </c:pt>
              </c:numCache>
            </c:numRef>
          </c:yVal>
        </c:ser>
        <c:ser>
          <c:idx val="15"/>
          <c:order val="15"/>
          <c:tx>
            <c:strRef>
              <c:f>Sheet1!$A$17</c:f>
              <c:strCache>
                <c:ptCount val="1"/>
                <c:pt idx="0">
                  <c:v>PE</c:v>
                </c:pt>
              </c:strCache>
            </c:strRef>
          </c:tx>
          <c:spPr>
            <a:ln w="28575">
              <a:noFill/>
            </a:ln>
          </c:spPr>
          <c:marker>
            <c:symbol val="plus"/>
            <c:size val="5"/>
            <c:spPr>
              <a:noFill/>
              <a:ln>
                <a:solidFill>
                  <a:srgbClr val="FFCC99"/>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Sheet1!$B$17</c:f>
              <c:numCache>
                <c:formatCode>General</c:formatCode>
                <c:ptCount val="1"/>
                <c:pt idx="0">
                  <c:v>8.5</c:v>
                </c:pt>
              </c:numCache>
            </c:numRef>
          </c:xVal>
          <c:yVal>
            <c:numRef>
              <c:f>Sheet1!$C$17</c:f>
              <c:numCache>
                <c:formatCode>General</c:formatCode>
                <c:ptCount val="1"/>
                <c:pt idx="0">
                  <c:v>3.5</c:v>
                </c:pt>
              </c:numCache>
            </c:numRef>
          </c:yVal>
        </c:ser>
        <c:ser>
          <c:idx val="16"/>
          <c:order val="16"/>
          <c:tx>
            <c:strRef>
              <c:f>Sheet1!$A$18</c:f>
              <c:strCache>
                <c:ptCount val="1"/>
                <c:pt idx="0">
                  <c:v>PO</c:v>
                </c:pt>
              </c:strCache>
            </c:strRef>
          </c:tx>
          <c:spPr>
            <a:ln w="28575">
              <a:noFill/>
            </a:ln>
          </c:spPr>
          <c:marker>
            <c:symbol val="dot"/>
            <c:size val="5"/>
            <c:spPr>
              <a:noFill/>
              <a:ln>
                <a:solidFill>
                  <a:srgbClr val="3366FF"/>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Sheet1!$B$18</c:f>
              <c:numCache>
                <c:formatCode>General</c:formatCode>
                <c:ptCount val="1"/>
                <c:pt idx="0">
                  <c:v>3.8</c:v>
                </c:pt>
              </c:numCache>
            </c:numRef>
          </c:xVal>
          <c:yVal>
            <c:numRef>
              <c:f>Sheet1!$C$18</c:f>
              <c:numCache>
                <c:formatCode>General</c:formatCode>
                <c:ptCount val="1"/>
                <c:pt idx="0">
                  <c:v>3.9</c:v>
                </c:pt>
              </c:numCache>
            </c:numRef>
          </c:yVal>
        </c:ser>
        <c:ser>
          <c:idx val="17"/>
          <c:order val="17"/>
          <c:tx>
            <c:strRef>
              <c:f>Sheet1!$A$19</c:f>
              <c:strCache>
                <c:ptCount val="1"/>
                <c:pt idx="0">
                  <c:v>RCT</c:v>
                </c:pt>
              </c:strCache>
            </c:strRef>
          </c:tx>
          <c:spPr>
            <a:ln w="28575">
              <a:noFill/>
            </a:ln>
          </c:spPr>
          <c:marker>
            <c:symbol val="dash"/>
            <c:size val="5"/>
            <c:spPr>
              <a:noFill/>
              <a:ln>
                <a:solidFill>
                  <a:srgbClr val="33CCCC"/>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Sheet1!$B$19</c:f>
              <c:numCache>
                <c:formatCode>General</c:formatCode>
                <c:ptCount val="1"/>
                <c:pt idx="0">
                  <c:v>36.200000000000003</c:v>
                </c:pt>
              </c:numCache>
            </c:numRef>
          </c:xVal>
          <c:yVal>
            <c:numRef>
              <c:f>Sheet1!$C$19</c:f>
              <c:numCache>
                <c:formatCode>General</c:formatCode>
                <c:ptCount val="1"/>
                <c:pt idx="0">
                  <c:v>4.3</c:v>
                </c:pt>
              </c:numCache>
            </c:numRef>
          </c:yVal>
        </c:ser>
        <c:ser>
          <c:idx val="18"/>
          <c:order val="18"/>
          <c:tx>
            <c:strRef>
              <c:f>Sheet1!$A$20</c:f>
              <c:strCache>
                <c:ptCount val="1"/>
                <c:pt idx="0">
                  <c:v>SW</c:v>
                </c:pt>
              </c:strCache>
            </c:strRef>
          </c:tx>
          <c:spPr>
            <a:ln w="28575">
              <a:noFill/>
            </a:ln>
          </c:spPr>
          <c:marker>
            <c:symbol val="diamond"/>
            <c:size val="5"/>
            <c:spPr>
              <a:solidFill>
                <a:srgbClr val="99CC00"/>
              </a:solidFill>
              <a:ln>
                <a:solidFill>
                  <a:srgbClr val="99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Sheet1!$B$20</c:f>
              <c:numCache>
                <c:formatCode>General</c:formatCode>
                <c:ptCount val="1"/>
                <c:pt idx="0">
                  <c:v>24.5</c:v>
                </c:pt>
              </c:numCache>
            </c:numRef>
          </c:xVal>
          <c:yVal>
            <c:numRef>
              <c:f>Sheet1!$C$20</c:f>
              <c:numCache>
                <c:formatCode>General</c:formatCode>
                <c:ptCount val="1"/>
                <c:pt idx="0">
                  <c:v>4.3</c:v>
                </c:pt>
              </c:numCache>
            </c:numRef>
          </c:yVal>
        </c:ser>
        <c:ser>
          <c:idx val="19"/>
          <c:order val="19"/>
          <c:tx>
            <c:strRef>
              <c:f>Sheet1!$A$21</c:f>
              <c:strCache>
                <c:ptCount val="1"/>
                <c:pt idx="0">
                  <c:v>VG</c:v>
                </c:pt>
              </c:strCache>
            </c:strRef>
          </c:tx>
          <c:spPr>
            <a:ln w="28575">
              <a:noFill/>
            </a:ln>
          </c:spPr>
          <c:marker>
            <c:symbol val="square"/>
            <c:size val="5"/>
            <c:spPr>
              <a:solidFill>
                <a:srgbClr val="FFCC00"/>
              </a:solidFill>
              <a:ln>
                <a:solidFill>
                  <a:srgbClr val="FFCC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Sheet1!$B$21</c:f>
              <c:numCache>
                <c:formatCode>General</c:formatCode>
                <c:ptCount val="1"/>
                <c:pt idx="0">
                  <c:v>7.7</c:v>
                </c:pt>
              </c:numCache>
            </c:numRef>
          </c:xVal>
          <c:yVal>
            <c:numRef>
              <c:f>Sheet1!$C$21</c:f>
              <c:numCache>
                <c:formatCode>General</c:formatCode>
                <c:ptCount val="1"/>
                <c:pt idx="0">
                  <c:v>3.7</c:v>
                </c:pt>
              </c:numCache>
            </c:numRef>
          </c:yVal>
        </c:ser>
        <c:ser>
          <c:idx val="20"/>
          <c:order val="20"/>
          <c:tx>
            <c:strRef>
              <c:f>Sheet1!$A$22</c:f>
              <c:strCache>
                <c:ptCount val="1"/>
                <c:pt idx="0">
                  <c:v>TO</c:v>
                </c:pt>
              </c:strCache>
            </c:strRef>
          </c:tx>
          <c:spPr>
            <a:ln w="28575">
              <a:noFill/>
            </a:ln>
          </c:spPr>
          <c:marker>
            <c:symbol val="triangle"/>
            <c:size val="5"/>
            <c:spPr>
              <a:solidFill>
                <a:srgbClr val="FF9900"/>
              </a:solidFill>
              <a:ln>
                <a:solidFill>
                  <a:srgbClr val="FF9900"/>
                </a:solidFill>
                <a:prstDash val="solid"/>
              </a:ln>
            </c:spPr>
          </c:marker>
          <c:dLbls>
            <c:spPr>
              <a:noFill/>
              <a:ln w="25400">
                <a:noFill/>
              </a:ln>
            </c:spPr>
            <c:txPr>
              <a:bodyPr/>
              <a:lstStyle/>
              <a:p>
                <a:pPr>
                  <a:defRPr sz="875" b="0" i="0" u="none" strike="noStrike" baseline="0">
                    <a:solidFill>
                      <a:srgbClr val="000000"/>
                    </a:solidFill>
                    <a:latin typeface="Arial"/>
                    <a:ea typeface="Arial"/>
                    <a:cs typeface="Arial"/>
                  </a:defRPr>
                </a:pPr>
                <a:endParaRPr lang="en-US"/>
              </a:p>
            </c:txPr>
            <c:showSerName val="1"/>
          </c:dLbls>
          <c:xVal>
            <c:numRef>
              <c:f>Sheet1!$B$22</c:f>
              <c:numCache>
                <c:formatCode>General</c:formatCode>
                <c:ptCount val="1"/>
                <c:pt idx="0">
                  <c:v>20</c:v>
                </c:pt>
              </c:numCache>
            </c:numRef>
          </c:xVal>
          <c:yVal>
            <c:numRef>
              <c:f>Sheet1!$C$22</c:f>
              <c:numCache>
                <c:formatCode>General</c:formatCode>
                <c:ptCount val="1"/>
                <c:pt idx="0">
                  <c:v>3.3</c:v>
                </c:pt>
              </c:numCache>
            </c:numRef>
          </c:yVal>
        </c:ser>
        <c:ser>
          <c:idx val="21"/>
          <c:order val="21"/>
          <c:tx>
            <c:strRef>
              <c:f>Sheet1!$A$23</c:f>
              <c:strCache>
                <c:ptCount val="1"/>
                <c:pt idx="0">
                  <c:v>WR</c:v>
                </c:pt>
              </c:strCache>
            </c:strRef>
          </c:tx>
          <c:spPr>
            <a:ln w="28575">
              <a:noFill/>
            </a:ln>
          </c:spPr>
          <c:marker>
            <c:symbol val="x"/>
            <c:size val="5"/>
            <c:spPr>
              <a:noFill/>
              <a:ln>
                <a:solidFill>
                  <a:srgbClr val="FF6600"/>
                </a:solidFill>
                <a:prstDash val="solid"/>
              </a:ln>
            </c:spPr>
          </c:marker>
          <c:dLbls>
            <c:spPr>
              <a:noFill/>
              <a:ln w="25400">
                <a:noFill/>
              </a:ln>
            </c:spPr>
            <c:txPr>
              <a:bodyPr/>
              <a:lstStyle/>
              <a:p>
                <a:pPr>
                  <a:defRPr sz="875" b="0" i="0" u="none" strike="noStrike" baseline="0">
                    <a:solidFill>
                      <a:srgbClr val="000000"/>
                    </a:solidFill>
                    <a:latin typeface="Verdana"/>
                    <a:ea typeface="Verdana"/>
                    <a:cs typeface="Verdana"/>
                  </a:defRPr>
                </a:pPr>
                <a:endParaRPr lang="en-US"/>
              </a:p>
            </c:txPr>
            <c:showSerName val="1"/>
          </c:dLbls>
          <c:xVal>
            <c:numRef>
              <c:f>Sheet1!$B$23</c:f>
              <c:numCache>
                <c:formatCode>General</c:formatCode>
                <c:ptCount val="1"/>
                <c:pt idx="0">
                  <c:v>14.1</c:v>
                </c:pt>
              </c:numCache>
            </c:numRef>
          </c:xVal>
          <c:yVal>
            <c:numRef>
              <c:f>Sheet1!$C$23</c:f>
              <c:numCache>
                <c:formatCode>General</c:formatCode>
                <c:ptCount val="1"/>
                <c:pt idx="0">
                  <c:v>3.4</c:v>
                </c:pt>
              </c:numCache>
            </c:numRef>
          </c:yVal>
        </c:ser>
        <c:dLbls>
          <c:showSerName val="1"/>
        </c:dLbls>
        <c:axId val="44590976"/>
        <c:axId val="44617728"/>
      </c:scatterChart>
      <c:valAx>
        <c:axId val="44590976"/>
        <c:scaling>
          <c:orientation val="minMax"/>
        </c:scaling>
        <c:axPos val="b"/>
        <c:title>
          <c:tx>
            <c:rich>
              <a:bodyPr anchor="ctr" anchorCtr="1"/>
              <a:lstStyle/>
              <a:p>
                <a:pPr algn="ctr">
                  <a:defRPr sz="900" b="1" i="0" u="none" strike="noStrike" baseline="0">
                    <a:solidFill>
                      <a:srgbClr val="000000"/>
                    </a:solidFill>
                    <a:latin typeface="Verdana"/>
                    <a:ea typeface="Verdana"/>
                    <a:cs typeface="Verdana"/>
                  </a:defRPr>
                </a:pPr>
                <a:r>
                  <a:rPr lang="en-GB" sz="900"/>
                  <a:t>% LSOAs in most deprived quintile</a:t>
                </a:r>
              </a:p>
            </c:rich>
          </c:tx>
          <c:layout>
            <c:manualLayout>
              <c:xMode val="edge"/>
              <c:yMode val="edge"/>
              <c:x val="0.39130485129597486"/>
              <c:y val="0.91423175985273353"/>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617728"/>
        <c:crosses val="autoZero"/>
        <c:crossBetween val="midCat"/>
      </c:valAx>
      <c:valAx>
        <c:axId val="44617728"/>
        <c:scaling>
          <c:orientation val="minMax"/>
        </c:scaling>
        <c:axPos val="l"/>
        <c:title>
          <c:tx>
            <c:rich>
              <a:bodyPr/>
              <a:lstStyle/>
              <a:p>
                <a:pPr>
                  <a:defRPr sz="900" b="1" i="0" u="none" strike="noStrike" baseline="0">
                    <a:solidFill>
                      <a:srgbClr val="000000"/>
                    </a:solidFill>
                    <a:latin typeface="Verdana"/>
                    <a:ea typeface="Verdana"/>
                    <a:cs typeface="Verdana"/>
                  </a:defRPr>
                </a:pPr>
                <a:r>
                  <a:rPr lang="en-GB" sz="900"/>
                  <a:t>Cataract operations</a:t>
                </a:r>
                <a:r>
                  <a:rPr lang="en-GB" sz="900" baseline="0"/>
                  <a:t> (EASR, per 1000)</a:t>
                </a:r>
                <a:r>
                  <a:rPr lang="en-GB" sz="900"/>
                  <a:t> 
</a:t>
                </a:r>
              </a:p>
            </c:rich>
          </c:tx>
          <c:layout>
            <c:manualLayout>
              <c:xMode val="edge"/>
              <c:yMode val="edge"/>
              <c:x val="4.1282389108476064E-2"/>
              <c:y val="0.26315830404240431"/>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Verdana"/>
                <a:ea typeface="Verdana"/>
                <a:cs typeface="Verdana"/>
              </a:defRPr>
            </a:pPr>
            <a:endParaRPr lang="en-US"/>
          </a:p>
        </c:txPr>
        <c:crossAx val="44590976"/>
        <c:crosses val="autoZero"/>
        <c:crossBetween val="midCat"/>
      </c:valAx>
      <c:spPr>
        <a:solidFill>
          <a:srgbClr val="FFFFFF"/>
        </a:solidFill>
        <a:ln w="12700">
          <a:solidFill>
            <a:srgbClr val="FFFFFF"/>
          </a:solidFill>
          <a:prstDash val="solid"/>
        </a:ln>
      </c:spPr>
    </c:plotArea>
    <c:plotVisOnly val="1"/>
    <c:dispBlanksAs val="gap"/>
  </c:chart>
  <c:spPr>
    <a:solidFill>
      <a:srgbClr val="FFFFFF"/>
    </a:solidFill>
    <a:ln w="3175">
      <a:no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drawings/drawing1.xml><?xml version="1.0" encoding="utf-8"?>
<c:userShapes xmlns:c="http://schemas.openxmlformats.org/drawingml/2006/chart">
  <cdr:relSizeAnchor xmlns:cdr="http://schemas.openxmlformats.org/drawingml/2006/chartDrawing">
    <cdr:from>
      <cdr:x>0.00824</cdr:x>
      <cdr:y>0.01439</cdr:y>
    </cdr:from>
    <cdr:to>
      <cdr:x>0.99176</cdr:x>
      <cdr:y>0.1195</cdr:y>
    </cdr:to>
    <cdr:sp macro="" textlink="">
      <cdr:nvSpPr>
        <cdr:cNvPr id="6146" name="Text Box 2"/>
        <cdr:cNvSpPr txBox="1">
          <a:spLocks xmlns:a="http://schemas.openxmlformats.org/drawingml/2006/main" noChangeArrowheads="1"/>
        </cdr:cNvSpPr>
      </cdr:nvSpPr>
      <cdr:spPr bwMode="auto">
        <a:xfrm xmlns:a="http://schemas.openxmlformats.org/drawingml/2006/main">
          <a:off x="50800" y="71845"/>
          <a:ext cx="5686425" cy="501585"/>
        </a:xfrm>
        <a:prstGeom xmlns:a="http://schemas.openxmlformats.org/drawingml/2006/main" prst="rect">
          <a:avLst/>
        </a:prstGeom>
        <a:noFill xmlns:a="http://schemas.openxmlformats.org/drawingml/2006/main"/>
        <a:ln xmlns:a="http://schemas.openxmlformats.org/drawingml/2006/main" w="1">
          <a:noFill/>
          <a:miter lim="800000"/>
          <a:headEnd/>
          <a:tailEnd/>
        </a:ln>
        <a:effectLst xmlns:a="http://schemas.openxmlformats.org/drawingml/2006/main"/>
      </cdr:spPr>
      <cdr:txBody>
        <a:bodyPr xmlns:a="http://schemas.openxmlformats.org/drawingml/2006/main" vertOverflow="clip" wrap="square" lIns="36576" tIns="18288" rIns="0" bIns="18288" anchor="ctr" upright="1"/>
        <a:lstStyle xmlns:a="http://schemas.openxmlformats.org/drawingml/2006/main"/>
        <a:p xmlns:a="http://schemas.openxmlformats.org/drawingml/2006/main">
          <a:pPr algn="l" rtl="0">
            <a:defRPr sz="1000"/>
          </a:pPr>
          <a:r>
            <a:rPr lang="en-GB" sz="900" b="1" i="0" u="none" strike="noStrike" baseline="0">
              <a:solidFill>
                <a:srgbClr val="000000"/>
              </a:solidFill>
              <a:latin typeface="Verdana"/>
            </a:rPr>
            <a:t>Attendence for ophthalmology new appointments.  European age-standardised rate (EASR) per 1,000. Upper super output areas, all persons, all ages, 2009</a:t>
          </a:r>
        </a:p>
        <a:p xmlns:a="http://schemas.openxmlformats.org/drawingml/2006/main">
          <a:pPr algn="l" rtl="0">
            <a:defRPr sz="1000"/>
          </a:pPr>
          <a:r>
            <a:rPr lang="en-GB" sz="700" b="0" i="0" u="none" strike="noStrike" baseline="0">
              <a:solidFill>
                <a:srgbClr val="000000"/>
              </a:solidFill>
              <a:latin typeface="Verdana"/>
            </a:rPr>
            <a:t>Produced by Public Health Wales Observatory using MYE (ONS), OPD (HSW)</a:t>
          </a:r>
        </a:p>
      </cdr:txBody>
    </cdr:sp>
  </cdr:relSizeAnchor>
  <cdr:relSizeAnchor xmlns:cdr="http://schemas.openxmlformats.org/drawingml/2006/chartDrawing">
    <cdr:from>
      <cdr:x>0.73752</cdr:x>
      <cdr:y>0.10382</cdr:y>
    </cdr:from>
    <cdr:to>
      <cdr:x>0.99127</cdr:x>
      <cdr:y>0.17144</cdr:y>
    </cdr:to>
    <cdr:grpSp>
      <cdr:nvGrpSpPr>
        <cdr:cNvPr id="6147" name="Group 3"/>
        <cdr:cNvGrpSpPr>
          <a:grpSpLocks xmlns:a="http://schemas.openxmlformats.org/drawingml/2006/main"/>
        </cdr:cNvGrpSpPr>
      </cdr:nvGrpSpPr>
      <cdr:grpSpPr bwMode="auto">
        <a:xfrm xmlns:a="http://schemas.openxmlformats.org/drawingml/2006/main">
          <a:off x="4254734" y="494171"/>
          <a:ext cx="1463878" cy="321863"/>
          <a:chOff x="3761089" y="647760"/>
          <a:chExt cx="1220486" cy="305166"/>
        </a:xfrm>
      </cdr:grpSpPr>
      <cdr:grpSp>
        <cdr:nvGrpSpPr>
          <cdr:cNvPr id="6148" name="Group 4"/>
          <cdr:cNvGrpSpPr>
            <a:grpSpLocks xmlns:a="http://schemas.openxmlformats.org/drawingml/2006/main"/>
          </cdr:cNvGrpSpPr>
        </cdr:nvGrpSpPr>
        <cdr:grpSpPr bwMode="auto">
          <a:xfrm xmlns:a="http://schemas.openxmlformats.org/drawingml/2006/main">
            <a:off x="3761089" y="686145"/>
            <a:ext cx="59779" cy="224557"/>
            <a:chOff x="1565" y="572"/>
            <a:chExt cx="90" cy="363"/>
          </a:xfrm>
        </cdr:grpSpPr>
        <cdr:sp macro="" textlink="">
          <cdr:nvSpPr>
            <cdr:cNvPr id="6149" name="Line 5"/>
            <cdr:cNvSpPr>
              <a:spLocks xmlns:a="http://schemas.openxmlformats.org/drawingml/2006/main" noChangeShapeType="1"/>
            </cdr:cNvSpPr>
          </cdr:nvSpPr>
          <cdr:spPr bwMode="auto">
            <a:xfrm xmlns:a="http://schemas.openxmlformats.org/drawingml/2006/main">
              <a:off x="1610" y="572"/>
              <a:ext cx="0" cy="363"/>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sp macro="" textlink="">
          <cdr:nvSpPr>
            <cdr:cNvPr id="6150" name="Line 6"/>
            <cdr:cNvSpPr>
              <a:spLocks xmlns:a="http://schemas.openxmlformats.org/drawingml/2006/main" noChangeShapeType="1"/>
            </cdr:cNvSpPr>
          </cdr:nvSpPr>
          <cdr:spPr bwMode="auto">
            <a:xfrm xmlns:a="http://schemas.openxmlformats.org/drawingml/2006/main">
              <a:off x="1565" y="572"/>
              <a:ext cx="90" cy="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sp macro="" textlink="">
          <cdr:nvSpPr>
            <cdr:cNvPr id="6151" name="Line 7"/>
            <cdr:cNvSpPr>
              <a:spLocks xmlns:a="http://schemas.openxmlformats.org/drawingml/2006/main" noChangeShapeType="1"/>
            </cdr:cNvSpPr>
          </cdr:nvSpPr>
          <cdr:spPr bwMode="auto">
            <a:xfrm xmlns:a="http://schemas.openxmlformats.org/drawingml/2006/main">
              <a:off x="1565" y="935"/>
              <a:ext cx="90" cy="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grpSp>
      <cdr:sp macro="" textlink="">
        <cdr:nvSpPr>
          <cdr:cNvPr id="6152" name="Text Box 8"/>
          <cdr:cNvSpPr txBox="1">
            <a:spLocks xmlns:a="http://schemas.openxmlformats.org/drawingml/2006/main" noChangeArrowheads="1"/>
          </cdr:cNvSpPr>
        </cdr:nvSpPr>
        <cdr:spPr bwMode="auto">
          <a:xfrm xmlns:a="http://schemas.openxmlformats.org/drawingml/2006/main">
            <a:off x="3847021" y="647760"/>
            <a:ext cx="1134554" cy="305166"/>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wrap="square" lIns="27432" tIns="18288" rIns="0" bIns="0" anchor="t" upright="1"/>
          <a:lstStyle xmlns:a="http://schemas.openxmlformats.org/drawingml/2006/main"/>
          <a:p xmlns:a="http://schemas.openxmlformats.org/drawingml/2006/main">
            <a:pPr algn="l" rtl="0">
              <a:defRPr sz="1000"/>
            </a:pPr>
            <a:r>
              <a:rPr lang="en-GB" sz="900" b="0" i="0" u="none" strike="noStrike" baseline="0">
                <a:solidFill>
                  <a:srgbClr val="000000"/>
                </a:solidFill>
                <a:latin typeface="Verdana"/>
              </a:rPr>
              <a:t>95% confidence interval for EASR</a:t>
            </a:r>
          </a:p>
        </cdr:txBody>
      </cdr:sp>
    </cdr:grp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EBB18-41C6-459A-8EB8-01EDBA6AB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19865</Words>
  <Characters>115406</Characters>
  <Application>Microsoft Office Word</Application>
  <DocSecurity>0</DocSecurity>
  <Lines>961</Lines>
  <Paragraphs>270</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135001</CharactersWithSpaces>
  <SharedDoc>false</SharedDoc>
  <HLinks>
    <vt:vector size="354" baseType="variant">
      <vt:variant>
        <vt:i4>1900604</vt:i4>
      </vt:variant>
      <vt:variant>
        <vt:i4>353</vt:i4>
      </vt:variant>
      <vt:variant>
        <vt:i4>0</vt:i4>
      </vt:variant>
      <vt:variant>
        <vt:i4>5</vt:i4>
      </vt:variant>
      <vt:variant>
        <vt:lpwstr/>
      </vt:variant>
      <vt:variant>
        <vt:lpwstr>_Toc283888521</vt:lpwstr>
      </vt:variant>
      <vt:variant>
        <vt:i4>1900604</vt:i4>
      </vt:variant>
      <vt:variant>
        <vt:i4>347</vt:i4>
      </vt:variant>
      <vt:variant>
        <vt:i4>0</vt:i4>
      </vt:variant>
      <vt:variant>
        <vt:i4>5</vt:i4>
      </vt:variant>
      <vt:variant>
        <vt:lpwstr/>
      </vt:variant>
      <vt:variant>
        <vt:lpwstr>_Toc283888520</vt:lpwstr>
      </vt:variant>
      <vt:variant>
        <vt:i4>1966140</vt:i4>
      </vt:variant>
      <vt:variant>
        <vt:i4>341</vt:i4>
      </vt:variant>
      <vt:variant>
        <vt:i4>0</vt:i4>
      </vt:variant>
      <vt:variant>
        <vt:i4>5</vt:i4>
      </vt:variant>
      <vt:variant>
        <vt:lpwstr/>
      </vt:variant>
      <vt:variant>
        <vt:lpwstr>_Toc283888519</vt:lpwstr>
      </vt:variant>
      <vt:variant>
        <vt:i4>1966140</vt:i4>
      </vt:variant>
      <vt:variant>
        <vt:i4>335</vt:i4>
      </vt:variant>
      <vt:variant>
        <vt:i4>0</vt:i4>
      </vt:variant>
      <vt:variant>
        <vt:i4>5</vt:i4>
      </vt:variant>
      <vt:variant>
        <vt:lpwstr/>
      </vt:variant>
      <vt:variant>
        <vt:lpwstr>_Toc283888518</vt:lpwstr>
      </vt:variant>
      <vt:variant>
        <vt:i4>1966140</vt:i4>
      </vt:variant>
      <vt:variant>
        <vt:i4>329</vt:i4>
      </vt:variant>
      <vt:variant>
        <vt:i4>0</vt:i4>
      </vt:variant>
      <vt:variant>
        <vt:i4>5</vt:i4>
      </vt:variant>
      <vt:variant>
        <vt:lpwstr/>
      </vt:variant>
      <vt:variant>
        <vt:lpwstr>_Toc283888517</vt:lpwstr>
      </vt:variant>
      <vt:variant>
        <vt:i4>1966140</vt:i4>
      </vt:variant>
      <vt:variant>
        <vt:i4>323</vt:i4>
      </vt:variant>
      <vt:variant>
        <vt:i4>0</vt:i4>
      </vt:variant>
      <vt:variant>
        <vt:i4>5</vt:i4>
      </vt:variant>
      <vt:variant>
        <vt:lpwstr/>
      </vt:variant>
      <vt:variant>
        <vt:lpwstr>_Toc283888516</vt:lpwstr>
      </vt:variant>
      <vt:variant>
        <vt:i4>1966140</vt:i4>
      </vt:variant>
      <vt:variant>
        <vt:i4>317</vt:i4>
      </vt:variant>
      <vt:variant>
        <vt:i4>0</vt:i4>
      </vt:variant>
      <vt:variant>
        <vt:i4>5</vt:i4>
      </vt:variant>
      <vt:variant>
        <vt:lpwstr/>
      </vt:variant>
      <vt:variant>
        <vt:lpwstr>_Toc283888515</vt:lpwstr>
      </vt:variant>
      <vt:variant>
        <vt:i4>1966140</vt:i4>
      </vt:variant>
      <vt:variant>
        <vt:i4>311</vt:i4>
      </vt:variant>
      <vt:variant>
        <vt:i4>0</vt:i4>
      </vt:variant>
      <vt:variant>
        <vt:i4>5</vt:i4>
      </vt:variant>
      <vt:variant>
        <vt:lpwstr/>
      </vt:variant>
      <vt:variant>
        <vt:lpwstr>_Toc283888514</vt:lpwstr>
      </vt:variant>
      <vt:variant>
        <vt:i4>1966140</vt:i4>
      </vt:variant>
      <vt:variant>
        <vt:i4>305</vt:i4>
      </vt:variant>
      <vt:variant>
        <vt:i4>0</vt:i4>
      </vt:variant>
      <vt:variant>
        <vt:i4>5</vt:i4>
      </vt:variant>
      <vt:variant>
        <vt:lpwstr/>
      </vt:variant>
      <vt:variant>
        <vt:lpwstr>_Toc283888513</vt:lpwstr>
      </vt:variant>
      <vt:variant>
        <vt:i4>1966140</vt:i4>
      </vt:variant>
      <vt:variant>
        <vt:i4>299</vt:i4>
      </vt:variant>
      <vt:variant>
        <vt:i4>0</vt:i4>
      </vt:variant>
      <vt:variant>
        <vt:i4>5</vt:i4>
      </vt:variant>
      <vt:variant>
        <vt:lpwstr/>
      </vt:variant>
      <vt:variant>
        <vt:lpwstr>_Toc283888512</vt:lpwstr>
      </vt:variant>
      <vt:variant>
        <vt:i4>1966140</vt:i4>
      </vt:variant>
      <vt:variant>
        <vt:i4>293</vt:i4>
      </vt:variant>
      <vt:variant>
        <vt:i4>0</vt:i4>
      </vt:variant>
      <vt:variant>
        <vt:i4>5</vt:i4>
      </vt:variant>
      <vt:variant>
        <vt:lpwstr/>
      </vt:variant>
      <vt:variant>
        <vt:lpwstr>_Toc283888511</vt:lpwstr>
      </vt:variant>
      <vt:variant>
        <vt:i4>1966140</vt:i4>
      </vt:variant>
      <vt:variant>
        <vt:i4>287</vt:i4>
      </vt:variant>
      <vt:variant>
        <vt:i4>0</vt:i4>
      </vt:variant>
      <vt:variant>
        <vt:i4>5</vt:i4>
      </vt:variant>
      <vt:variant>
        <vt:lpwstr/>
      </vt:variant>
      <vt:variant>
        <vt:lpwstr>_Toc283888510</vt:lpwstr>
      </vt:variant>
      <vt:variant>
        <vt:i4>2031676</vt:i4>
      </vt:variant>
      <vt:variant>
        <vt:i4>281</vt:i4>
      </vt:variant>
      <vt:variant>
        <vt:i4>0</vt:i4>
      </vt:variant>
      <vt:variant>
        <vt:i4>5</vt:i4>
      </vt:variant>
      <vt:variant>
        <vt:lpwstr/>
      </vt:variant>
      <vt:variant>
        <vt:lpwstr>_Toc283888509</vt:lpwstr>
      </vt:variant>
      <vt:variant>
        <vt:i4>2031676</vt:i4>
      </vt:variant>
      <vt:variant>
        <vt:i4>275</vt:i4>
      </vt:variant>
      <vt:variant>
        <vt:i4>0</vt:i4>
      </vt:variant>
      <vt:variant>
        <vt:i4>5</vt:i4>
      </vt:variant>
      <vt:variant>
        <vt:lpwstr/>
      </vt:variant>
      <vt:variant>
        <vt:lpwstr>_Toc283888508</vt:lpwstr>
      </vt:variant>
      <vt:variant>
        <vt:i4>2031676</vt:i4>
      </vt:variant>
      <vt:variant>
        <vt:i4>269</vt:i4>
      </vt:variant>
      <vt:variant>
        <vt:i4>0</vt:i4>
      </vt:variant>
      <vt:variant>
        <vt:i4>5</vt:i4>
      </vt:variant>
      <vt:variant>
        <vt:lpwstr/>
      </vt:variant>
      <vt:variant>
        <vt:lpwstr>_Toc283888507</vt:lpwstr>
      </vt:variant>
      <vt:variant>
        <vt:i4>2031676</vt:i4>
      </vt:variant>
      <vt:variant>
        <vt:i4>263</vt:i4>
      </vt:variant>
      <vt:variant>
        <vt:i4>0</vt:i4>
      </vt:variant>
      <vt:variant>
        <vt:i4>5</vt:i4>
      </vt:variant>
      <vt:variant>
        <vt:lpwstr/>
      </vt:variant>
      <vt:variant>
        <vt:lpwstr>_Toc283888506</vt:lpwstr>
      </vt:variant>
      <vt:variant>
        <vt:i4>2031676</vt:i4>
      </vt:variant>
      <vt:variant>
        <vt:i4>257</vt:i4>
      </vt:variant>
      <vt:variant>
        <vt:i4>0</vt:i4>
      </vt:variant>
      <vt:variant>
        <vt:i4>5</vt:i4>
      </vt:variant>
      <vt:variant>
        <vt:lpwstr/>
      </vt:variant>
      <vt:variant>
        <vt:lpwstr>_Toc283888505</vt:lpwstr>
      </vt:variant>
      <vt:variant>
        <vt:i4>2031676</vt:i4>
      </vt:variant>
      <vt:variant>
        <vt:i4>251</vt:i4>
      </vt:variant>
      <vt:variant>
        <vt:i4>0</vt:i4>
      </vt:variant>
      <vt:variant>
        <vt:i4>5</vt:i4>
      </vt:variant>
      <vt:variant>
        <vt:lpwstr/>
      </vt:variant>
      <vt:variant>
        <vt:lpwstr>_Toc283888504</vt:lpwstr>
      </vt:variant>
      <vt:variant>
        <vt:i4>2031676</vt:i4>
      </vt:variant>
      <vt:variant>
        <vt:i4>245</vt:i4>
      </vt:variant>
      <vt:variant>
        <vt:i4>0</vt:i4>
      </vt:variant>
      <vt:variant>
        <vt:i4>5</vt:i4>
      </vt:variant>
      <vt:variant>
        <vt:lpwstr/>
      </vt:variant>
      <vt:variant>
        <vt:lpwstr>_Toc283888503</vt:lpwstr>
      </vt:variant>
      <vt:variant>
        <vt:i4>2031676</vt:i4>
      </vt:variant>
      <vt:variant>
        <vt:i4>239</vt:i4>
      </vt:variant>
      <vt:variant>
        <vt:i4>0</vt:i4>
      </vt:variant>
      <vt:variant>
        <vt:i4>5</vt:i4>
      </vt:variant>
      <vt:variant>
        <vt:lpwstr/>
      </vt:variant>
      <vt:variant>
        <vt:lpwstr>_Toc283888502</vt:lpwstr>
      </vt:variant>
      <vt:variant>
        <vt:i4>2031676</vt:i4>
      </vt:variant>
      <vt:variant>
        <vt:i4>233</vt:i4>
      </vt:variant>
      <vt:variant>
        <vt:i4>0</vt:i4>
      </vt:variant>
      <vt:variant>
        <vt:i4>5</vt:i4>
      </vt:variant>
      <vt:variant>
        <vt:lpwstr/>
      </vt:variant>
      <vt:variant>
        <vt:lpwstr>_Toc283888501</vt:lpwstr>
      </vt:variant>
      <vt:variant>
        <vt:i4>2031676</vt:i4>
      </vt:variant>
      <vt:variant>
        <vt:i4>227</vt:i4>
      </vt:variant>
      <vt:variant>
        <vt:i4>0</vt:i4>
      </vt:variant>
      <vt:variant>
        <vt:i4>5</vt:i4>
      </vt:variant>
      <vt:variant>
        <vt:lpwstr/>
      </vt:variant>
      <vt:variant>
        <vt:lpwstr>_Toc283888500</vt:lpwstr>
      </vt:variant>
      <vt:variant>
        <vt:i4>1441853</vt:i4>
      </vt:variant>
      <vt:variant>
        <vt:i4>221</vt:i4>
      </vt:variant>
      <vt:variant>
        <vt:i4>0</vt:i4>
      </vt:variant>
      <vt:variant>
        <vt:i4>5</vt:i4>
      </vt:variant>
      <vt:variant>
        <vt:lpwstr/>
      </vt:variant>
      <vt:variant>
        <vt:lpwstr>_Toc283888499</vt:lpwstr>
      </vt:variant>
      <vt:variant>
        <vt:i4>1441853</vt:i4>
      </vt:variant>
      <vt:variant>
        <vt:i4>215</vt:i4>
      </vt:variant>
      <vt:variant>
        <vt:i4>0</vt:i4>
      </vt:variant>
      <vt:variant>
        <vt:i4>5</vt:i4>
      </vt:variant>
      <vt:variant>
        <vt:lpwstr/>
      </vt:variant>
      <vt:variant>
        <vt:lpwstr>_Toc283888498</vt:lpwstr>
      </vt:variant>
      <vt:variant>
        <vt:i4>1441853</vt:i4>
      </vt:variant>
      <vt:variant>
        <vt:i4>209</vt:i4>
      </vt:variant>
      <vt:variant>
        <vt:i4>0</vt:i4>
      </vt:variant>
      <vt:variant>
        <vt:i4>5</vt:i4>
      </vt:variant>
      <vt:variant>
        <vt:lpwstr/>
      </vt:variant>
      <vt:variant>
        <vt:lpwstr>_Toc283888497</vt:lpwstr>
      </vt:variant>
      <vt:variant>
        <vt:i4>1441853</vt:i4>
      </vt:variant>
      <vt:variant>
        <vt:i4>203</vt:i4>
      </vt:variant>
      <vt:variant>
        <vt:i4>0</vt:i4>
      </vt:variant>
      <vt:variant>
        <vt:i4>5</vt:i4>
      </vt:variant>
      <vt:variant>
        <vt:lpwstr/>
      </vt:variant>
      <vt:variant>
        <vt:lpwstr>_Toc283888496</vt:lpwstr>
      </vt:variant>
      <vt:variant>
        <vt:i4>1441853</vt:i4>
      </vt:variant>
      <vt:variant>
        <vt:i4>197</vt:i4>
      </vt:variant>
      <vt:variant>
        <vt:i4>0</vt:i4>
      </vt:variant>
      <vt:variant>
        <vt:i4>5</vt:i4>
      </vt:variant>
      <vt:variant>
        <vt:lpwstr/>
      </vt:variant>
      <vt:variant>
        <vt:lpwstr>_Toc283888495</vt:lpwstr>
      </vt:variant>
      <vt:variant>
        <vt:i4>1441853</vt:i4>
      </vt:variant>
      <vt:variant>
        <vt:i4>191</vt:i4>
      </vt:variant>
      <vt:variant>
        <vt:i4>0</vt:i4>
      </vt:variant>
      <vt:variant>
        <vt:i4>5</vt:i4>
      </vt:variant>
      <vt:variant>
        <vt:lpwstr/>
      </vt:variant>
      <vt:variant>
        <vt:lpwstr>_Toc283888494</vt:lpwstr>
      </vt:variant>
      <vt:variant>
        <vt:i4>1441853</vt:i4>
      </vt:variant>
      <vt:variant>
        <vt:i4>185</vt:i4>
      </vt:variant>
      <vt:variant>
        <vt:i4>0</vt:i4>
      </vt:variant>
      <vt:variant>
        <vt:i4>5</vt:i4>
      </vt:variant>
      <vt:variant>
        <vt:lpwstr/>
      </vt:variant>
      <vt:variant>
        <vt:lpwstr>_Toc283888493</vt:lpwstr>
      </vt:variant>
      <vt:variant>
        <vt:i4>1441853</vt:i4>
      </vt:variant>
      <vt:variant>
        <vt:i4>179</vt:i4>
      </vt:variant>
      <vt:variant>
        <vt:i4>0</vt:i4>
      </vt:variant>
      <vt:variant>
        <vt:i4>5</vt:i4>
      </vt:variant>
      <vt:variant>
        <vt:lpwstr/>
      </vt:variant>
      <vt:variant>
        <vt:lpwstr>_Toc283888492</vt:lpwstr>
      </vt:variant>
      <vt:variant>
        <vt:i4>1441853</vt:i4>
      </vt:variant>
      <vt:variant>
        <vt:i4>173</vt:i4>
      </vt:variant>
      <vt:variant>
        <vt:i4>0</vt:i4>
      </vt:variant>
      <vt:variant>
        <vt:i4>5</vt:i4>
      </vt:variant>
      <vt:variant>
        <vt:lpwstr/>
      </vt:variant>
      <vt:variant>
        <vt:lpwstr>_Toc283888491</vt:lpwstr>
      </vt:variant>
      <vt:variant>
        <vt:i4>1441853</vt:i4>
      </vt:variant>
      <vt:variant>
        <vt:i4>167</vt:i4>
      </vt:variant>
      <vt:variant>
        <vt:i4>0</vt:i4>
      </vt:variant>
      <vt:variant>
        <vt:i4>5</vt:i4>
      </vt:variant>
      <vt:variant>
        <vt:lpwstr/>
      </vt:variant>
      <vt:variant>
        <vt:lpwstr>_Toc283888490</vt:lpwstr>
      </vt:variant>
      <vt:variant>
        <vt:i4>1507389</vt:i4>
      </vt:variant>
      <vt:variant>
        <vt:i4>161</vt:i4>
      </vt:variant>
      <vt:variant>
        <vt:i4>0</vt:i4>
      </vt:variant>
      <vt:variant>
        <vt:i4>5</vt:i4>
      </vt:variant>
      <vt:variant>
        <vt:lpwstr/>
      </vt:variant>
      <vt:variant>
        <vt:lpwstr>_Toc283888489</vt:lpwstr>
      </vt:variant>
      <vt:variant>
        <vt:i4>1507389</vt:i4>
      </vt:variant>
      <vt:variant>
        <vt:i4>155</vt:i4>
      </vt:variant>
      <vt:variant>
        <vt:i4>0</vt:i4>
      </vt:variant>
      <vt:variant>
        <vt:i4>5</vt:i4>
      </vt:variant>
      <vt:variant>
        <vt:lpwstr/>
      </vt:variant>
      <vt:variant>
        <vt:lpwstr>_Toc283888488</vt:lpwstr>
      </vt:variant>
      <vt:variant>
        <vt:i4>1507389</vt:i4>
      </vt:variant>
      <vt:variant>
        <vt:i4>149</vt:i4>
      </vt:variant>
      <vt:variant>
        <vt:i4>0</vt:i4>
      </vt:variant>
      <vt:variant>
        <vt:i4>5</vt:i4>
      </vt:variant>
      <vt:variant>
        <vt:lpwstr/>
      </vt:variant>
      <vt:variant>
        <vt:lpwstr>_Toc283888487</vt:lpwstr>
      </vt:variant>
      <vt:variant>
        <vt:i4>1507389</vt:i4>
      </vt:variant>
      <vt:variant>
        <vt:i4>143</vt:i4>
      </vt:variant>
      <vt:variant>
        <vt:i4>0</vt:i4>
      </vt:variant>
      <vt:variant>
        <vt:i4>5</vt:i4>
      </vt:variant>
      <vt:variant>
        <vt:lpwstr/>
      </vt:variant>
      <vt:variant>
        <vt:lpwstr>_Toc283888486</vt:lpwstr>
      </vt:variant>
      <vt:variant>
        <vt:i4>1507389</vt:i4>
      </vt:variant>
      <vt:variant>
        <vt:i4>137</vt:i4>
      </vt:variant>
      <vt:variant>
        <vt:i4>0</vt:i4>
      </vt:variant>
      <vt:variant>
        <vt:i4>5</vt:i4>
      </vt:variant>
      <vt:variant>
        <vt:lpwstr/>
      </vt:variant>
      <vt:variant>
        <vt:lpwstr>_Toc283888485</vt:lpwstr>
      </vt:variant>
      <vt:variant>
        <vt:i4>1507389</vt:i4>
      </vt:variant>
      <vt:variant>
        <vt:i4>131</vt:i4>
      </vt:variant>
      <vt:variant>
        <vt:i4>0</vt:i4>
      </vt:variant>
      <vt:variant>
        <vt:i4>5</vt:i4>
      </vt:variant>
      <vt:variant>
        <vt:lpwstr/>
      </vt:variant>
      <vt:variant>
        <vt:lpwstr>_Toc283888484</vt:lpwstr>
      </vt:variant>
      <vt:variant>
        <vt:i4>1507389</vt:i4>
      </vt:variant>
      <vt:variant>
        <vt:i4>125</vt:i4>
      </vt:variant>
      <vt:variant>
        <vt:i4>0</vt:i4>
      </vt:variant>
      <vt:variant>
        <vt:i4>5</vt:i4>
      </vt:variant>
      <vt:variant>
        <vt:lpwstr/>
      </vt:variant>
      <vt:variant>
        <vt:lpwstr>_Toc283888483</vt:lpwstr>
      </vt:variant>
      <vt:variant>
        <vt:i4>1507389</vt:i4>
      </vt:variant>
      <vt:variant>
        <vt:i4>119</vt:i4>
      </vt:variant>
      <vt:variant>
        <vt:i4>0</vt:i4>
      </vt:variant>
      <vt:variant>
        <vt:i4>5</vt:i4>
      </vt:variant>
      <vt:variant>
        <vt:lpwstr/>
      </vt:variant>
      <vt:variant>
        <vt:lpwstr>_Toc283888482</vt:lpwstr>
      </vt:variant>
      <vt:variant>
        <vt:i4>1507389</vt:i4>
      </vt:variant>
      <vt:variant>
        <vt:i4>113</vt:i4>
      </vt:variant>
      <vt:variant>
        <vt:i4>0</vt:i4>
      </vt:variant>
      <vt:variant>
        <vt:i4>5</vt:i4>
      </vt:variant>
      <vt:variant>
        <vt:lpwstr/>
      </vt:variant>
      <vt:variant>
        <vt:lpwstr>_Toc283888481</vt:lpwstr>
      </vt:variant>
      <vt:variant>
        <vt:i4>1507389</vt:i4>
      </vt:variant>
      <vt:variant>
        <vt:i4>107</vt:i4>
      </vt:variant>
      <vt:variant>
        <vt:i4>0</vt:i4>
      </vt:variant>
      <vt:variant>
        <vt:i4>5</vt:i4>
      </vt:variant>
      <vt:variant>
        <vt:lpwstr/>
      </vt:variant>
      <vt:variant>
        <vt:lpwstr>_Toc283888480</vt:lpwstr>
      </vt:variant>
      <vt:variant>
        <vt:i4>1572925</vt:i4>
      </vt:variant>
      <vt:variant>
        <vt:i4>101</vt:i4>
      </vt:variant>
      <vt:variant>
        <vt:i4>0</vt:i4>
      </vt:variant>
      <vt:variant>
        <vt:i4>5</vt:i4>
      </vt:variant>
      <vt:variant>
        <vt:lpwstr/>
      </vt:variant>
      <vt:variant>
        <vt:lpwstr>_Toc283888479</vt:lpwstr>
      </vt:variant>
      <vt:variant>
        <vt:i4>1572925</vt:i4>
      </vt:variant>
      <vt:variant>
        <vt:i4>95</vt:i4>
      </vt:variant>
      <vt:variant>
        <vt:i4>0</vt:i4>
      </vt:variant>
      <vt:variant>
        <vt:i4>5</vt:i4>
      </vt:variant>
      <vt:variant>
        <vt:lpwstr/>
      </vt:variant>
      <vt:variant>
        <vt:lpwstr>_Toc283888478</vt:lpwstr>
      </vt:variant>
      <vt:variant>
        <vt:i4>1572925</vt:i4>
      </vt:variant>
      <vt:variant>
        <vt:i4>89</vt:i4>
      </vt:variant>
      <vt:variant>
        <vt:i4>0</vt:i4>
      </vt:variant>
      <vt:variant>
        <vt:i4>5</vt:i4>
      </vt:variant>
      <vt:variant>
        <vt:lpwstr/>
      </vt:variant>
      <vt:variant>
        <vt:lpwstr>_Toc283888477</vt:lpwstr>
      </vt:variant>
      <vt:variant>
        <vt:i4>1572925</vt:i4>
      </vt:variant>
      <vt:variant>
        <vt:i4>83</vt:i4>
      </vt:variant>
      <vt:variant>
        <vt:i4>0</vt:i4>
      </vt:variant>
      <vt:variant>
        <vt:i4>5</vt:i4>
      </vt:variant>
      <vt:variant>
        <vt:lpwstr/>
      </vt:variant>
      <vt:variant>
        <vt:lpwstr>_Toc283888476</vt:lpwstr>
      </vt:variant>
      <vt:variant>
        <vt:i4>1572925</vt:i4>
      </vt:variant>
      <vt:variant>
        <vt:i4>77</vt:i4>
      </vt:variant>
      <vt:variant>
        <vt:i4>0</vt:i4>
      </vt:variant>
      <vt:variant>
        <vt:i4>5</vt:i4>
      </vt:variant>
      <vt:variant>
        <vt:lpwstr/>
      </vt:variant>
      <vt:variant>
        <vt:lpwstr>_Toc283888475</vt:lpwstr>
      </vt:variant>
      <vt:variant>
        <vt:i4>1572925</vt:i4>
      </vt:variant>
      <vt:variant>
        <vt:i4>71</vt:i4>
      </vt:variant>
      <vt:variant>
        <vt:i4>0</vt:i4>
      </vt:variant>
      <vt:variant>
        <vt:i4>5</vt:i4>
      </vt:variant>
      <vt:variant>
        <vt:lpwstr/>
      </vt:variant>
      <vt:variant>
        <vt:lpwstr>_Toc283888474</vt:lpwstr>
      </vt:variant>
      <vt:variant>
        <vt:i4>1572925</vt:i4>
      </vt:variant>
      <vt:variant>
        <vt:i4>65</vt:i4>
      </vt:variant>
      <vt:variant>
        <vt:i4>0</vt:i4>
      </vt:variant>
      <vt:variant>
        <vt:i4>5</vt:i4>
      </vt:variant>
      <vt:variant>
        <vt:lpwstr/>
      </vt:variant>
      <vt:variant>
        <vt:lpwstr>_Toc283888473</vt:lpwstr>
      </vt:variant>
      <vt:variant>
        <vt:i4>1572925</vt:i4>
      </vt:variant>
      <vt:variant>
        <vt:i4>59</vt:i4>
      </vt:variant>
      <vt:variant>
        <vt:i4>0</vt:i4>
      </vt:variant>
      <vt:variant>
        <vt:i4>5</vt:i4>
      </vt:variant>
      <vt:variant>
        <vt:lpwstr/>
      </vt:variant>
      <vt:variant>
        <vt:lpwstr>_Toc283888472</vt:lpwstr>
      </vt:variant>
      <vt:variant>
        <vt:i4>1572925</vt:i4>
      </vt:variant>
      <vt:variant>
        <vt:i4>53</vt:i4>
      </vt:variant>
      <vt:variant>
        <vt:i4>0</vt:i4>
      </vt:variant>
      <vt:variant>
        <vt:i4>5</vt:i4>
      </vt:variant>
      <vt:variant>
        <vt:lpwstr/>
      </vt:variant>
      <vt:variant>
        <vt:lpwstr>_Toc283888471</vt:lpwstr>
      </vt:variant>
      <vt:variant>
        <vt:i4>1572925</vt:i4>
      </vt:variant>
      <vt:variant>
        <vt:i4>47</vt:i4>
      </vt:variant>
      <vt:variant>
        <vt:i4>0</vt:i4>
      </vt:variant>
      <vt:variant>
        <vt:i4>5</vt:i4>
      </vt:variant>
      <vt:variant>
        <vt:lpwstr/>
      </vt:variant>
      <vt:variant>
        <vt:lpwstr>_Toc283888470</vt:lpwstr>
      </vt:variant>
      <vt:variant>
        <vt:i4>1638461</vt:i4>
      </vt:variant>
      <vt:variant>
        <vt:i4>41</vt:i4>
      </vt:variant>
      <vt:variant>
        <vt:i4>0</vt:i4>
      </vt:variant>
      <vt:variant>
        <vt:i4>5</vt:i4>
      </vt:variant>
      <vt:variant>
        <vt:lpwstr/>
      </vt:variant>
      <vt:variant>
        <vt:lpwstr>_Toc283888469</vt:lpwstr>
      </vt:variant>
      <vt:variant>
        <vt:i4>1638461</vt:i4>
      </vt:variant>
      <vt:variant>
        <vt:i4>35</vt:i4>
      </vt:variant>
      <vt:variant>
        <vt:i4>0</vt:i4>
      </vt:variant>
      <vt:variant>
        <vt:i4>5</vt:i4>
      </vt:variant>
      <vt:variant>
        <vt:lpwstr/>
      </vt:variant>
      <vt:variant>
        <vt:lpwstr>_Toc283888468</vt:lpwstr>
      </vt:variant>
      <vt:variant>
        <vt:i4>1638461</vt:i4>
      </vt:variant>
      <vt:variant>
        <vt:i4>29</vt:i4>
      </vt:variant>
      <vt:variant>
        <vt:i4>0</vt:i4>
      </vt:variant>
      <vt:variant>
        <vt:i4>5</vt:i4>
      </vt:variant>
      <vt:variant>
        <vt:lpwstr/>
      </vt:variant>
      <vt:variant>
        <vt:lpwstr>_Toc283888467</vt:lpwstr>
      </vt:variant>
      <vt:variant>
        <vt:i4>1638461</vt:i4>
      </vt:variant>
      <vt:variant>
        <vt:i4>23</vt:i4>
      </vt:variant>
      <vt:variant>
        <vt:i4>0</vt:i4>
      </vt:variant>
      <vt:variant>
        <vt:i4>5</vt:i4>
      </vt:variant>
      <vt:variant>
        <vt:lpwstr/>
      </vt:variant>
      <vt:variant>
        <vt:lpwstr>_Toc283888466</vt:lpwstr>
      </vt:variant>
      <vt:variant>
        <vt:i4>1638461</vt:i4>
      </vt:variant>
      <vt:variant>
        <vt:i4>17</vt:i4>
      </vt:variant>
      <vt:variant>
        <vt:i4>0</vt:i4>
      </vt:variant>
      <vt:variant>
        <vt:i4>5</vt:i4>
      </vt:variant>
      <vt:variant>
        <vt:lpwstr/>
      </vt:variant>
      <vt:variant>
        <vt:lpwstr>_Toc283888465</vt:lpwstr>
      </vt:variant>
      <vt:variant>
        <vt:i4>1638461</vt:i4>
      </vt:variant>
      <vt:variant>
        <vt:i4>11</vt:i4>
      </vt:variant>
      <vt:variant>
        <vt:i4>0</vt:i4>
      </vt:variant>
      <vt:variant>
        <vt:i4>5</vt:i4>
      </vt:variant>
      <vt:variant>
        <vt:lpwstr/>
      </vt:variant>
      <vt:variant>
        <vt:lpwstr>_Toc283888464</vt:lpwstr>
      </vt:variant>
      <vt:variant>
        <vt:i4>1638461</vt:i4>
      </vt:variant>
      <vt:variant>
        <vt:i4>5</vt:i4>
      </vt:variant>
      <vt:variant>
        <vt:i4>0</vt:i4>
      </vt:variant>
      <vt:variant>
        <vt:i4>5</vt:i4>
      </vt:variant>
      <vt:variant>
        <vt:lpwstr/>
      </vt:variant>
      <vt:variant>
        <vt:lpwstr>_Toc283888463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anna.humphries</dc:creator>
  <cp:lastModifiedBy>Dinah Roberts</cp:lastModifiedBy>
  <cp:revision>2</cp:revision>
  <cp:lastPrinted>2011-08-28T10:21:00Z</cp:lastPrinted>
  <dcterms:created xsi:type="dcterms:W3CDTF">2011-10-10T10:19:00Z</dcterms:created>
  <dcterms:modified xsi:type="dcterms:W3CDTF">2011-10-10T10:19:00Z</dcterms:modified>
</cp:coreProperties>
</file>