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3060632"/>
        <w:docPartObj>
          <w:docPartGallery w:val="Cover Pages"/>
          <w:docPartUnique/>
        </w:docPartObj>
      </w:sdtPr>
      <w:sdtEndPr/>
      <w:sdtContent>
        <w:p w14:paraId="4EF8C414" w14:textId="77777777" w:rsidR="00F82132" w:rsidRDefault="00F82132">
          <w:r>
            <w:rPr>
              <w:noProof/>
            </w:rPr>
            <w:drawing>
              <wp:anchor distT="0" distB="0" distL="114300" distR="114300" simplePos="0" relativeHeight="251803648" behindDoc="0" locked="0" layoutInCell="1" allowOverlap="1" wp14:anchorId="1752220A" wp14:editId="44F08517">
                <wp:simplePos x="0" y="0"/>
                <wp:positionH relativeFrom="column">
                  <wp:posOffset>-466725</wp:posOffset>
                </wp:positionH>
                <wp:positionV relativeFrom="paragraph">
                  <wp:posOffset>-612775</wp:posOffset>
                </wp:positionV>
                <wp:extent cx="7574915" cy="10706100"/>
                <wp:effectExtent l="19050" t="0" r="6985" b="0"/>
                <wp:wrapNone/>
                <wp:docPr id="5" name="Picture 4" descr="Alchohol and Health in Wales_Wales prof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chohol and Health in Wales_Wales profile.jpg"/>
                        <pic:cNvPicPr/>
                      </pic:nvPicPr>
                      <pic:blipFill>
                        <a:blip r:embed="rId11" cstate="print"/>
                        <a:stretch>
                          <a:fillRect/>
                        </a:stretch>
                      </pic:blipFill>
                      <pic:spPr>
                        <a:xfrm>
                          <a:off x="0" y="0"/>
                          <a:ext cx="7574915" cy="10706100"/>
                        </a:xfrm>
                        <a:prstGeom prst="rect">
                          <a:avLst/>
                        </a:prstGeom>
                      </pic:spPr>
                    </pic:pic>
                  </a:graphicData>
                </a:graphic>
              </wp:anchor>
            </w:drawing>
          </w:r>
        </w:p>
        <w:p w14:paraId="38870756" w14:textId="08C69173" w:rsidR="00F82132" w:rsidRDefault="007465D8">
          <w:r>
            <w:rPr>
              <w:noProof/>
            </w:rPr>
            <mc:AlternateContent>
              <mc:Choice Requires="wps">
                <w:drawing>
                  <wp:anchor distT="0" distB="0" distL="114300" distR="114300" simplePos="0" relativeHeight="251802624" behindDoc="1" locked="0" layoutInCell="0" allowOverlap="1" wp14:anchorId="5A2EAAAE" wp14:editId="39FF0DF0">
                    <wp:simplePos x="0" y="0"/>
                    <wp:positionH relativeFrom="page">
                      <wp:align>center</wp:align>
                    </wp:positionH>
                    <wp:positionV relativeFrom="page">
                      <wp:align>center</wp:align>
                    </wp:positionV>
                    <wp:extent cx="7562215" cy="10689590"/>
                    <wp:effectExtent l="0" t="0" r="635" b="0"/>
                    <wp:wrapNone/>
                    <wp:docPr id="308" name="Rectangle 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2215" cy="106895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CA6359" w14:textId="77777777" w:rsidR="0021734B" w:rsidRPr="00F82132" w:rsidRDefault="0021734B" w:rsidP="00F82132">
                                <w:pPr>
                                  <w:rPr>
                                    <w:rFonts w:eastAsiaTheme="majorEastAsia"/>
                                    <w:szCs w:val="96"/>
                                  </w:rPr>
                                </w:pPr>
                              </w:p>
                            </w:txbxContent>
                          </wps:txbx>
                          <wps:bodyPr rot="0" vert="horz" wrap="square" lIns="91440" tIns="45720" rIns="91440" bIns="45720" anchor="t" anchorCtr="0" upright="1">
                            <a:noAutofit/>
                          </wps:bodyPr>
                        </wps:wsp>
                      </a:graphicData>
                    </a:graphic>
                    <wp14:sizeRelH relativeFrom="page">
                      <wp14:pctWidth>100000</wp14:pctWidth>
                    </wp14:sizeRelH>
                    <wp14:sizeRelV relativeFrom="page">
                      <wp14:pctHeight>100000</wp14:pctHeight>
                    </wp14:sizeRelV>
                  </wp:anchor>
                </w:drawing>
              </mc:Choice>
              <mc:Fallback>
                <w:pict>
                  <v:rect w14:anchorId="5A2EAAAE" id="Rectangle 325" o:spid="_x0000_s1026" style="position:absolute;left:0;text-align:left;margin-left:0;margin-top:0;width:595.45pt;height:841.7pt;z-index:-251513856;visibility:visible;mso-wrap-style:square;mso-width-percent:1000;mso-height-percent:1000;mso-wrap-distance-left:9pt;mso-wrap-distance-top:0;mso-wrap-distance-right:9pt;mso-wrap-distance-bottom:0;mso-position-horizontal:center;mso-position-horizontal-relative:page;mso-position-vertical:center;mso-position-vertical-relative:page;mso-width-percent:1000;mso-height-percent:10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fkChwIAAAw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" o:allowincell="f" stroked="f">
                    <v:textbox>
                      <w:txbxContent>
                        <w:p w14:paraId="31CA6359" w14:textId="77777777" w:rsidR="0021734B" w:rsidRPr="00F82132" w:rsidRDefault="0021734B" w:rsidP="00F82132">
                          <w:pPr>
                            <w:rPr>
                              <w:rFonts w:eastAsiaTheme="majorEastAsia"/>
                              <w:szCs w:val="96"/>
                            </w:rPr>
                          </w:pPr>
                        </w:p>
                      </w:txbxContent>
                    </v:textbox>
                    <w10:wrap anchorx="page" anchory="page"/>
                  </v:rect>
                </w:pict>
              </mc:Fallback>
            </mc:AlternateContent>
          </w:r>
        </w:p>
        <w:p w14:paraId="2F314071" w14:textId="77777777" w:rsidR="00F82132" w:rsidRDefault="00F82132"/>
        <w:p w14:paraId="0F81EC7F" w14:textId="77777777" w:rsidR="00F82132" w:rsidRDefault="00F82132"/>
        <w:p w14:paraId="065A7585" w14:textId="77777777" w:rsidR="00F82132" w:rsidRDefault="00F82132">
          <w:pPr>
            <w:spacing w:before="0"/>
            <w:jc w:val="left"/>
          </w:pPr>
          <w:r>
            <w:br w:type="page"/>
          </w:r>
        </w:p>
      </w:sdtContent>
    </w:sdt>
    <w:p w14:paraId="575B1754" w14:textId="77777777" w:rsidR="00F82132" w:rsidRDefault="00F82132" w:rsidP="008E1255">
      <w:pPr>
        <w:sectPr w:rsidR="00F82132" w:rsidSect="00F82132">
          <w:headerReference w:type="even" r:id="rId12"/>
          <w:headerReference w:type="default" r:id="rId13"/>
          <w:footerReference w:type="even" r:id="rId14"/>
          <w:footerReference w:type="default" r:id="rId15"/>
          <w:headerReference w:type="first" r:id="rId16"/>
          <w:footerReference w:type="first" r:id="rId17"/>
          <w:pgSz w:w="11909" w:h="16834" w:code="9"/>
          <w:pgMar w:top="720" w:right="710" w:bottom="720" w:left="720" w:header="720" w:footer="249" w:gutter="0"/>
          <w:pgNumType w:start="1"/>
          <w:cols w:space="720"/>
          <w:noEndnote/>
          <w:titlePg/>
          <w:docGrid w:linePitch="360"/>
        </w:sectPr>
      </w:pPr>
    </w:p>
    <w:p w14:paraId="5C9ACB34" w14:textId="77777777" w:rsidR="008E1255" w:rsidRPr="00E830A2" w:rsidRDefault="008E1255" w:rsidP="008E1255">
      <w:r w:rsidRPr="00E830A2">
        <w:lastRenderedPageBreak/>
        <w:t xml:space="preserve">The </w:t>
      </w:r>
      <w:r>
        <w:t xml:space="preserve">publication </w:t>
      </w:r>
      <w:r w:rsidRPr="00351245">
        <w:rPr>
          <w:i/>
        </w:rPr>
        <w:t>Alcohol and health in Wales 2014</w:t>
      </w:r>
      <w:r w:rsidRPr="00E830A2">
        <w:t xml:space="preserve"> consists of:</w:t>
      </w:r>
    </w:p>
    <w:p w14:paraId="397273FD" w14:textId="77777777" w:rsidR="008E1255" w:rsidRPr="00E830A2" w:rsidRDefault="008E1255" w:rsidP="008E1255">
      <w:r w:rsidRPr="00E830A2">
        <w:t xml:space="preserve">- </w:t>
      </w:r>
      <w:r>
        <w:t xml:space="preserve">a </w:t>
      </w:r>
      <w:r w:rsidRPr="00E830A2">
        <w:t xml:space="preserve">Wales </w:t>
      </w:r>
      <w:r>
        <w:t>profile</w:t>
      </w:r>
    </w:p>
    <w:p w14:paraId="76D8928A" w14:textId="77777777" w:rsidR="008E1255" w:rsidRPr="00E830A2" w:rsidRDefault="008E1255" w:rsidP="008E1255">
      <w:r w:rsidRPr="00E830A2">
        <w:t>- se</w:t>
      </w:r>
      <w:r>
        <w:t>ven health board summary documents</w:t>
      </w:r>
    </w:p>
    <w:p w14:paraId="6D7AABF8" w14:textId="77777777" w:rsidR="008E1255" w:rsidRPr="00E830A2" w:rsidRDefault="008E1255" w:rsidP="008E1255">
      <w:r w:rsidRPr="00E830A2">
        <w:t>- interactive data files</w:t>
      </w:r>
      <w:r>
        <w:t xml:space="preserve"> with the main indicators </w:t>
      </w:r>
    </w:p>
    <w:p w14:paraId="16244268" w14:textId="77777777" w:rsidR="008E1255" w:rsidRPr="00E830A2" w:rsidRDefault="008E1255" w:rsidP="008E1255">
      <w:r w:rsidRPr="00E830A2">
        <w:t>- a technical guide describing the methods, data sources and caveats</w:t>
      </w:r>
    </w:p>
    <w:p w14:paraId="08144642" w14:textId="77777777" w:rsidR="008E1255" w:rsidRPr="00123B0A" w:rsidRDefault="008E1255" w:rsidP="008E1255">
      <w:pPr>
        <w:jc w:val="left"/>
      </w:pPr>
      <w:r>
        <w:t>These are available</w:t>
      </w:r>
      <w:r w:rsidRPr="00123B0A">
        <w:t xml:space="preserve"> on </w:t>
      </w:r>
      <w:hyperlink r:id="rId18" w:history="1">
        <w:r w:rsidR="00304244">
          <w:rPr>
            <w:rStyle w:val="Hyperlink"/>
          </w:rPr>
          <w:t>www.publichealthwalesobservatory.wales.nhs.uk/alcohol</w:t>
        </w:r>
      </w:hyperlink>
      <w:r w:rsidR="00304244">
        <w:t xml:space="preserve"> </w:t>
      </w:r>
    </w:p>
    <w:p w14:paraId="0CD8077B" w14:textId="77777777" w:rsidR="00390943" w:rsidRDefault="00390943">
      <w:pPr>
        <w:spacing w:before="0"/>
        <w:jc w:val="left"/>
      </w:pPr>
    </w:p>
    <w:p w14:paraId="56A3A152" w14:textId="77777777" w:rsidR="00390943" w:rsidRDefault="00390943">
      <w:pPr>
        <w:spacing w:before="0"/>
        <w:jc w:val="left"/>
      </w:pPr>
    </w:p>
    <w:p w14:paraId="5E70A400" w14:textId="77777777" w:rsidR="00390943" w:rsidRDefault="00390943">
      <w:pPr>
        <w:spacing w:before="0"/>
        <w:jc w:val="left"/>
      </w:pPr>
    </w:p>
    <w:p w14:paraId="22506C58" w14:textId="77777777" w:rsidR="00390943" w:rsidRDefault="00390943">
      <w:pPr>
        <w:spacing w:before="0"/>
        <w:jc w:val="left"/>
      </w:pPr>
    </w:p>
    <w:p w14:paraId="0259255E" w14:textId="77777777" w:rsidR="00390943" w:rsidRDefault="00390943">
      <w:pPr>
        <w:spacing w:before="0"/>
        <w:jc w:val="left"/>
      </w:pPr>
    </w:p>
    <w:p w14:paraId="30FB3FDF" w14:textId="77777777" w:rsidR="00390943" w:rsidRDefault="00390943">
      <w:pPr>
        <w:spacing w:before="0"/>
        <w:jc w:val="left"/>
      </w:pPr>
    </w:p>
    <w:p w14:paraId="31CE14BF" w14:textId="77777777" w:rsidR="00390943" w:rsidRDefault="00390943">
      <w:pPr>
        <w:spacing w:before="0"/>
        <w:jc w:val="left"/>
      </w:pPr>
    </w:p>
    <w:p w14:paraId="49FEBFD9" w14:textId="77777777" w:rsidR="00390943" w:rsidRDefault="00390943">
      <w:pPr>
        <w:spacing w:before="0"/>
        <w:jc w:val="left"/>
      </w:pPr>
      <w:r>
        <w:rPr>
          <w:b/>
        </w:rPr>
        <w:t>Main p</w:t>
      </w:r>
      <w:r w:rsidRPr="00390943">
        <w:rPr>
          <w:b/>
        </w:rPr>
        <w:t>roject team (analysis and writing):</w:t>
      </w:r>
      <w:r>
        <w:t xml:space="preserve"> Andrea Gartner, </w:t>
      </w:r>
      <w:r w:rsidR="00D6522B">
        <w:t xml:space="preserve">Ioan Francis, </w:t>
      </w:r>
      <w:r>
        <w:t xml:space="preserve">Dee Hickey, Rhian Hughes, Leon May </w:t>
      </w:r>
    </w:p>
    <w:p w14:paraId="4D12C737" w14:textId="77777777" w:rsidR="00390943" w:rsidRDefault="00390943">
      <w:pPr>
        <w:spacing w:before="0"/>
        <w:jc w:val="left"/>
      </w:pPr>
    </w:p>
    <w:p w14:paraId="64716B96" w14:textId="77777777" w:rsidR="00390943" w:rsidRDefault="00390943">
      <w:pPr>
        <w:spacing w:before="0"/>
        <w:jc w:val="left"/>
      </w:pPr>
      <w:r>
        <w:rPr>
          <w:b/>
        </w:rPr>
        <w:t>Additional</w:t>
      </w:r>
      <w:r w:rsidRPr="00390943">
        <w:rPr>
          <w:b/>
        </w:rPr>
        <w:t xml:space="preserve"> analysis</w:t>
      </w:r>
      <w:r>
        <w:rPr>
          <w:b/>
        </w:rPr>
        <w:t xml:space="preserve"> work</w:t>
      </w:r>
      <w:r w:rsidRPr="00390943">
        <w:rPr>
          <w:b/>
        </w:rPr>
        <w:t>:</w:t>
      </w:r>
      <w:r>
        <w:t xml:space="preserve"> James Allen, Hugo Cosh, Arthur Duncan-Jones, Rhys Powell, Holly Walsh, Mari Ann Jones</w:t>
      </w:r>
    </w:p>
    <w:p w14:paraId="6E3934D4" w14:textId="77777777" w:rsidR="00390943" w:rsidRDefault="00390943">
      <w:pPr>
        <w:spacing w:before="0"/>
        <w:jc w:val="left"/>
      </w:pPr>
    </w:p>
    <w:p w14:paraId="23AC92F7" w14:textId="77777777" w:rsidR="00390943" w:rsidRDefault="00390943">
      <w:pPr>
        <w:spacing w:before="0"/>
        <w:jc w:val="left"/>
      </w:pPr>
      <w:r w:rsidRPr="00390943">
        <w:rPr>
          <w:b/>
        </w:rPr>
        <w:t>Project manager:</w:t>
      </w:r>
      <w:r>
        <w:t xml:space="preserve"> Andrea Gartner</w:t>
      </w:r>
    </w:p>
    <w:p w14:paraId="2E8EE194" w14:textId="77777777" w:rsidR="00390943" w:rsidRDefault="00390943">
      <w:pPr>
        <w:spacing w:before="0"/>
        <w:jc w:val="left"/>
      </w:pPr>
    </w:p>
    <w:p w14:paraId="3A70A80F" w14:textId="77777777" w:rsidR="00390943" w:rsidRDefault="00390943">
      <w:pPr>
        <w:spacing w:before="0"/>
        <w:jc w:val="left"/>
      </w:pPr>
      <w:r w:rsidRPr="00390943">
        <w:rPr>
          <w:b/>
        </w:rPr>
        <w:t xml:space="preserve">Project </w:t>
      </w:r>
      <w:r w:rsidR="007907C2">
        <w:rPr>
          <w:b/>
        </w:rPr>
        <w:t>director</w:t>
      </w:r>
      <w:r>
        <w:t>: Nathan Lester</w:t>
      </w:r>
    </w:p>
    <w:p w14:paraId="0EEC1142" w14:textId="77777777" w:rsidR="00390943" w:rsidRDefault="00390943">
      <w:pPr>
        <w:spacing w:before="0"/>
        <w:jc w:val="left"/>
      </w:pPr>
    </w:p>
    <w:p w14:paraId="115EC13C" w14:textId="77777777" w:rsidR="00390943" w:rsidRPr="00390943" w:rsidRDefault="00390943">
      <w:pPr>
        <w:spacing w:before="0"/>
        <w:jc w:val="left"/>
        <w:rPr>
          <w:b/>
        </w:rPr>
      </w:pPr>
      <w:r w:rsidRPr="00390943">
        <w:rPr>
          <w:b/>
        </w:rPr>
        <w:t>Acknowledgements:</w:t>
      </w:r>
    </w:p>
    <w:p w14:paraId="7B27CD5F" w14:textId="77777777" w:rsidR="00390943" w:rsidRDefault="00390943" w:rsidP="00771331">
      <w:pPr>
        <w:pStyle w:val="BodyText1"/>
      </w:pPr>
      <w:r>
        <w:t xml:space="preserve">Thanks to the following people for their help with this publication: </w:t>
      </w:r>
      <w:r w:rsidR="000735D9">
        <w:t xml:space="preserve">Professor </w:t>
      </w:r>
      <w:r>
        <w:t>Mark Bellis, Helen Crowther,</w:t>
      </w:r>
      <w:r w:rsidR="000735D9">
        <w:t xml:space="preserve"> Dr</w:t>
      </w:r>
      <w:r>
        <w:t xml:space="preserve"> </w:t>
      </w:r>
      <w:r w:rsidR="00F40371">
        <w:t xml:space="preserve">Gareth Davies, </w:t>
      </w:r>
      <w:r w:rsidR="001F081B">
        <w:t xml:space="preserve">Ruth Davies, </w:t>
      </w:r>
      <w:r>
        <w:t>Andrew Dring, Cath Roberts (WG), Isabel Puscas, Mark Robinson (PHE), Sa</w:t>
      </w:r>
      <w:r w:rsidR="00D6522B">
        <w:t>c</w:t>
      </w:r>
      <w:r>
        <w:t>ha Wyke (PHE)</w:t>
      </w:r>
    </w:p>
    <w:p w14:paraId="40FEA6A7" w14:textId="77777777" w:rsidR="00FF2C2E" w:rsidRDefault="00FF2C2E">
      <w:pPr>
        <w:spacing w:before="0"/>
        <w:jc w:val="left"/>
      </w:pPr>
    </w:p>
    <w:p w14:paraId="044C394D" w14:textId="77777777" w:rsidR="00FF2C2E" w:rsidRPr="00FF2C2E" w:rsidRDefault="00FF2C2E">
      <w:pPr>
        <w:spacing w:before="0"/>
        <w:jc w:val="left"/>
        <w:rPr>
          <w:b/>
        </w:rPr>
      </w:pPr>
      <w:r w:rsidRPr="00FF2C2E">
        <w:rPr>
          <w:b/>
        </w:rPr>
        <w:t>Contact:</w:t>
      </w:r>
    </w:p>
    <w:p w14:paraId="7B3EF046" w14:textId="77777777" w:rsidR="00FF2C2E" w:rsidRDefault="00FF2C2E">
      <w:pPr>
        <w:spacing w:before="0"/>
        <w:jc w:val="left"/>
      </w:pPr>
    </w:p>
    <w:p w14:paraId="38949B33" w14:textId="77777777" w:rsidR="00FF2C2E" w:rsidRDefault="00FF2C2E">
      <w:pPr>
        <w:spacing w:before="0"/>
        <w:jc w:val="left"/>
      </w:pPr>
      <w:r>
        <w:t>Public Health Wales Observatory</w:t>
      </w:r>
    </w:p>
    <w:p w14:paraId="3812D16A" w14:textId="77777777" w:rsidR="00FF2C2E" w:rsidRDefault="00FF2C2E">
      <w:pPr>
        <w:spacing w:before="0"/>
        <w:jc w:val="left"/>
      </w:pPr>
      <w:r>
        <w:t>14 Cathedral Road</w:t>
      </w:r>
    </w:p>
    <w:p w14:paraId="44F899D6" w14:textId="77777777" w:rsidR="00FF2C2E" w:rsidRDefault="00FF2C2E">
      <w:pPr>
        <w:spacing w:before="0"/>
        <w:jc w:val="left"/>
      </w:pPr>
      <w:r>
        <w:t>Cardiff CF11 9LJ</w:t>
      </w:r>
    </w:p>
    <w:p w14:paraId="103287C7" w14:textId="77777777" w:rsidR="00FF2C2E" w:rsidRDefault="00FF2C2E">
      <w:pPr>
        <w:spacing w:before="0"/>
        <w:jc w:val="left"/>
      </w:pPr>
    </w:p>
    <w:p w14:paraId="7D8F9962" w14:textId="77777777" w:rsidR="00FF2C2E" w:rsidRPr="00FF2C2E" w:rsidRDefault="00FF2C2E" w:rsidP="00FF2C2E">
      <w:pPr>
        <w:spacing w:before="0"/>
        <w:jc w:val="left"/>
      </w:pPr>
      <w:r w:rsidRPr="00FF2C2E">
        <w:t xml:space="preserve">Email: </w:t>
      </w:r>
      <w:hyperlink r:id="rId19" w:history="1">
        <w:r w:rsidRPr="00FF2C2E">
          <w:rPr>
            <w:rStyle w:val="Hyperlink"/>
          </w:rPr>
          <w:t>publichealthwalesobservatory@wales.nhs.uk</w:t>
        </w:r>
      </w:hyperlink>
    </w:p>
    <w:p w14:paraId="08FC385F" w14:textId="77777777" w:rsidR="00FF2C2E" w:rsidRDefault="00FF2C2E" w:rsidP="00FF2C2E">
      <w:pPr>
        <w:spacing w:before="0"/>
        <w:jc w:val="left"/>
      </w:pPr>
      <w:r w:rsidRPr="00FF2C2E">
        <w:t xml:space="preserve">Website: </w:t>
      </w:r>
      <w:hyperlink r:id="rId20" w:history="1">
        <w:r w:rsidR="00A310AE">
          <w:rPr>
            <w:rStyle w:val="Hyperlink"/>
          </w:rPr>
          <w:t>www.publichealthwalesobservatory.wales.nhs.uk</w:t>
        </w:r>
      </w:hyperlink>
    </w:p>
    <w:p w14:paraId="4F0B3A0D" w14:textId="77777777" w:rsidR="00FF2C2E" w:rsidRDefault="00FF2C2E" w:rsidP="00FF2C2E">
      <w:pPr>
        <w:spacing w:before="0"/>
        <w:jc w:val="left"/>
      </w:pPr>
    </w:p>
    <w:p w14:paraId="7CBEDEA2" w14:textId="77777777" w:rsidR="00FF2C2E" w:rsidRDefault="00FF2C2E" w:rsidP="00FF2C2E">
      <w:pPr>
        <w:spacing w:before="0"/>
        <w:jc w:val="left"/>
      </w:pPr>
    </w:p>
    <w:p w14:paraId="416FEBDB" w14:textId="77777777" w:rsidR="00200BBD" w:rsidRDefault="00200BBD" w:rsidP="00FF2C2E">
      <w:pPr>
        <w:spacing w:before="0"/>
        <w:jc w:val="left"/>
      </w:pPr>
    </w:p>
    <w:p w14:paraId="7DB805E6" w14:textId="77777777" w:rsidR="00200BBD" w:rsidRPr="00FF2C2E" w:rsidRDefault="00200BBD" w:rsidP="00FF2C2E">
      <w:pPr>
        <w:spacing w:before="0"/>
        <w:jc w:val="left"/>
      </w:pPr>
    </w:p>
    <w:p w14:paraId="17C7447D" w14:textId="77777777" w:rsidR="00FF2C2E" w:rsidRPr="00FF2C2E" w:rsidRDefault="00FF2C2E">
      <w:pPr>
        <w:spacing w:before="0"/>
        <w:jc w:val="left"/>
        <w:rPr>
          <w:sz w:val="20"/>
          <w:szCs w:val="20"/>
        </w:rPr>
      </w:pPr>
    </w:p>
    <w:p w14:paraId="529B33AB" w14:textId="77777777" w:rsidR="00FF2C2E" w:rsidRPr="00FF2C2E" w:rsidRDefault="00FF2C2E" w:rsidP="00FF2C2E">
      <w:pPr>
        <w:spacing w:before="0"/>
        <w:rPr>
          <w:sz w:val="20"/>
          <w:szCs w:val="20"/>
        </w:rPr>
      </w:pPr>
      <w:r w:rsidRPr="00FF2C2E">
        <w:rPr>
          <w:sz w:val="20"/>
          <w:szCs w:val="20"/>
        </w:rPr>
        <w:t>© 2014 Public Health Wales NHS Trust</w:t>
      </w:r>
    </w:p>
    <w:p w14:paraId="271A132B" w14:textId="77777777" w:rsidR="00FF2C2E" w:rsidRPr="00FF2C2E" w:rsidRDefault="00FF2C2E" w:rsidP="00FF2C2E">
      <w:pPr>
        <w:spacing w:before="120"/>
        <w:rPr>
          <w:sz w:val="20"/>
          <w:szCs w:val="20"/>
        </w:rPr>
      </w:pPr>
    </w:p>
    <w:p w14:paraId="2E5E2F9D" w14:textId="77777777" w:rsidR="00F82132" w:rsidRDefault="00FF2C2E" w:rsidP="00FF2C2E">
      <w:pPr>
        <w:spacing w:before="0"/>
        <w:rPr>
          <w:sz w:val="20"/>
          <w:szCs w:val="20"/>
        </w:rPr>
      </w:pPr>
      <w:r w:rsidRPr="00FF2C2E">
        <w:rPr>
          <w:sz w:val="20"/>
          <w:szCs w:val="20"/>
        </w:rPr>
        <w:t>All tables, charts and maps were produced by the Public Health Wales Observatory and the data sources are shown under each graphic. Material contained in this profile may be reproduced without prior permission provided it is done so accurately and is not used in a misleading context. Acknowledgement to Public Health Wales NHS Trust to be stated. Typographical copyright lies with Public Health Wales NHS Trust.</w:t>
      </w:r>
    </w:p>
    <w:p w14:paraId="6E556F73" w14:textId="77777777" w:rsidR="00F82132" w:rsidRDefault="00F82132">
      <w:pPr>
        <w:spacing w:before="0"/>
        <w:jc w:val="left"/>
        <w:rPr>
          <w:sz w:val="20"/>
          <w:szCs w:val="20"/>
        </w:rPr>
      </w:pPr>
      <w:r>
        <w:rPr>
          <w:sz w:val="20"/>
          <w:szCs w:val="20"/>
        </w:rPr>
        <w:br w:type="page"/>
      </w:r>
    </w:p>
    <w:p w14:paraId="5EA191AD" w14:textId="77777777" w:rsidR="00BB551A" w:rsidRDefault="00BB551A" w:rsidP="00007DE7">
      <w:pPr>
        <w:pStyle w:val="BodyText1"/>
        <w:rPr>
          <w:b/>
          <w:color w:val="2D5B75"/>
          <w:kern w:val="28"/>
          <w:sz w:val="72"/>
          <w:szCs w:val="72"/>
        </w:rPr>
      </w:pPr>
      <w:bookmarkStart w:id="1" w:name="_Toc399325070"/>
      <w:bookmarkStart w:id="2" w:name="_Toc399326008"/>
      <w:bookmarkStart w:id="3" w:name="_Toc399326661"/>
      <w:bookmarkStart w:id="4" w:name="_Toc399335467"/>
      <w:r w:rsidRPr="00007DE7">
        <w:rPr>
          <w:b/>
          <w:color w:val="2D5B75"/>
          <w:kern w:val="28"/>
          <w:sz w:val="72"/>
          <w:szCs w:val="72"/>
        </w:rPr>
        <w:lastRenderedPageBreak/>
        <w:t>Table of contents</w:t>
      </w:r>
      <w:bookmarkEnd w:id="1"/>
      <w:bookmarkEnd w:id="2"/>
      <w:bookmarkEnd w:id="3"/>
      <w:bookmarkEnd w:id="4"/>
    </w:p>
    <w:p w14:paraId="775E8046" w14:textId="77777777" w:rsidR="00D954C2" w:rsidRPr="00D954C2" w:rsidRDefault="00D954C2" w:rsidP="00007DE7">
      <w:pPr>
        <w:pStyle w:val="BodyText1"/>
        <w:rPr>
          <w:b/>
          <w:color w:val="2D5B75"/>
          <w:kern w:val="28"/>
          <w:sz w:val="32"/>
          <w:szCs w:val="32"/>
        </w:rPr>
      </w:pPr>
    </w:p>
    <w:p w14:paraId="7F6BE2E1" w14:textId="77777777" w:rsidR="00456B01" w:rsidRDefault="006C3227">
      <w:pPr>
        <w:pStyle w:val="TOC1"/>
        <w:rPr>
          <w:rFonts w:asciiTheme="minorHAnsi" w:eastAsiaTheme="minorEastAsia" w:hAnsiTheme="minorHAnsi" w:cstheme="minorBidi"/>
          <w:b w:val="0"/>
          <w:caps w:val="0"/>
        </w:rPr>
      </w:pPr>
      <w:r>
        <w:fldChar w:fldCharType="begin"/>
      </w:r>
      <w:r w:rsidR="00870469">
        <w:instrText xml:space="preserve"> TOC \o "1-3" \h \z \u </w:instrText>
      </w:r>
      <w:r>
        <w:fldChar w:fldCharType="separate"/>
      </w:r>
      <w:hyperlink w:anchor="_Toc400007260" w:history="1">
        <w:r w:rsidR="00456B01" w:rsidRPr="00F514A7">
          <w:rPr>
            <w:rStyle w:val="Hyperlink"/>
          </w:rPr>
          <w:t>Figures &amp; Tables</w:t>
        </w:r>
        <w:r w:rsidR="00456B01">
          <w:rPr>
            <w:webHidden/>
          </w:rPr>
          <w:tab/>
        </w:r>
        <w:r>
          <w:rPr>
            <w:webHidden/>
          </w:rPr>
          <w:fldChar w:fldCharType="begin"/>
        </w:r>
        <w:r w:rsidR="00456B01">
          <w:rPr>
            <w:webHidden/>
          </w:rPr>
          <w:instrText xml:space="preserve"> PAGEREF _Toc400007260 \h </w:instrText>
        </w:r>
        <w:r>
          <w:rPr>
            <w:webHidden/>
          </w:rPr>
        </w:r>
        <w:r>
          <w:rPr>
            <w:webHidden/>
          </w:rPr>
          <w:fldChar w:fldCharType="separate"/>
        </w:r>
        <w:r w:rsidR="00A37683">
          <w:rPr>
            <w:webHidden/>
          </w:rPr>
          <w:t>2</w:t>
        </w:r>
        <w:r>
          <w:rPr>
            <w:webHidden/>
          </w:rPr>
          <w:fldChar w:fldCharType="end"/>
        </w:r>
      </w:hyperlink>
    </w:p>
    <w:p w14:paraId="68EBCFD7" w14:textId="77777777" w:rsidR="00456B01" w:rsidRDefault="007465D8">
      <w:pPr>
        <w:pStyle w:val="TOC1"/>
        <w:rPr>
          <w:rFonts w:asciiTheme="minorHAnsi" w:eastAsiaTheme="minorEastAsia" w:hAnsiTheme="minorHAnsi" w:cstheme="minorBidi"/>
          <w:b w:val="0"/>
          <w:caps w:val="0"/>
        </w:rPr>
      </w:pPr>
      <w:hyperlink w:anchor="_Toc400007261" w:history="1">
        <w:r w:rsidR="00456B01" w:rsidRPr="00F514A7">
          <w:rPr>
            <w:rStyle w:val="Hyperlink"/>
          </w:rPr>
          <w:t>Key Messages</w:t>
        </w:r>
        <w:r w:rsidR="00456B01">
          <w:rPr>
            <w:webHidden/>
          </w:rPr>
          <w:tab/>
        </w:r>
        <w:r w:rsidR="006C3227">
          <w:rPr>
            <w:webHidden/>
          </w:rPr>
          <w:fldChar w:fldCharType="begin"/>
        </w:r>
        <w:r w:rsidR="00456B01">
          <w:rPr>
            <w:webHidden/>
          </w:rPr>
          <w:instrText xml:space="preserve"> PAGEREF _Toc400007261 \h </w:instrText>
        </w:r>
        <w:r w:rsidR="006C3227">
          <w:rPr>
            <w:webHidden/>
          </w:rPr>
        </w:r>
        <w:r w:rsidR="006C3227">
          <w:rPr>
            <w:webHidden/>
          </w:rPr>
          <w:fldChar w:fldCharType="separate"/>
        </w:r>
        <w:r w:rsidR="00A37683">
          <w:rPr>
            <w:webHidden/>
          </w:rPr>
          <w:t>5</w:t>
        </w:r>
        <w:r w:rsidR="006C3227">
          <w:rPr>
            <w:webHidden/>
          </w:rPr>
          <w:fldChar w:fldCharType="end"/>
        </w:r>
      </w:hyperlink>
    </w:p>
    <w:p w14:paraId="39915FEB" w14:textId="77777777" w:rsidR="00456B01" w:rsidRDefault="007465D8">
      <w:pPr>
        <w:pStyle w:val="TOC1"/>
        <w:rPr>
          <w:rFonts w:asciiTheme="minorHAnsi" w:eastAsiaTheme="minorEastAsia" w:hAnsiTheme="minorHAnsi" w:cstheme="minorBidi"/>
          <w:b w:val="0"/>
          <w:caps w:val="0"/>
        </w:rPr>
      </w:pPr>
      <w:hyperlink w:anchor="_Toc400007262" w:history="1">
        <w:r w:rsidR="00456B01" w:rsidRPr="00F514A7">
          <w:rPr>
            <w:rStyle w:val="Hyperlink"/>
          </w:rPr>
          <w:t>1</w:t>
        </w:r>
        <w:r w:rsidR="00456B01">
          <w:rPr>
            <w:rFonts w:asciiTheme="minorHAnsi" w:eastAsiaTheme="minorEastAsia" w:hAnsiTheme="minorHAnsi" w:cstheme="minorBidi"/>
            <w:b w:val="0"/>
            <w:caps w:val="0"/>
          </w:rPr>
          <w:tab/>
        </w:r>
        <w:r w:rsidR="00456B01" w:rsidRPr="00F514A7">
          <w:rPr>
            <w:rStyle w:val="Hyperlink"/>
          </w:rPr>
          <w:t>Introduction</w:t>
        </w:r>
        <w:r w:rsidR="00456B01">
          <w:rPr>
            <w:webHidden/>
          </w:rPr>
          <w:tab/>
        </w:r>
        <w:r w:rsidR="006C3227">
          <w:rPr>
            <w:webHidden/>
          </w:rPr>
          <w:fldChar w:fldCharType="begin"/>
        </w:r>
        <w:r w:rsidR="00456B01">
          <w:rPr>
            <w:webHidden/>
          </w:rPr>
          <w:instrText xml:space="preserve"> PAGEREF _Toc400007262 \h </w:instrText>
        </w:r>
        <w:r w:rsidR="006C3227">
          <w:rPr>
            <w:webHidden/>
          </w:rPr>
        </w:r>
        <w:r w:rsidR="006C3227">
          <w:rPr>
            <w:webHidden/>
          </w:rPr>
          <w:fldChar w:fldCharType="separate"/>
        </w:r>
        <w:r w:rsidR="00A37683">
          <w:rPr>
            <w:webHidden/>
          </w:rPr>
          <w:t>6</w:t>
        </w:r>
        <w:r w:rsidR="006C3227">
          <w:rPr>
            <w:webHidden/>
          </w:rPr>
          <w:fldChar w:fldCharType="end"/>
        </w:r>
      </w:hyperlink>
    </w:p>
    <w:p w14:paraId="19199B08" w14:textId="77777777" w:rsidR="00456B01" w:rsidRDefault="007465D8">
      <w:pPr>
        <w:pStyle w:val="TOC1"/>
        <w:rPr>
          <w:rFonts w:asciiTheme="minorHAnsi" w:eastAsiaTheme="minorEastAsia" w:hAnsiTheme="minorHAnsi" w:cstheme="minorBidi"/>
          <w:b w:val="0"/>
          <w:caps w:val="0"/>
        </w:rPr>
      </w:pPr>
      <w:hyperlink w:anchor="_Toc400007263" w:history="1">
        <w:r w:rsidR="00456B01" w:rsidRPr="00F514A7">
          <w:rPr>
            <w:rStyle w:val="Hyperlink"/>
          </w:rPr>
          <w:t>2</w:t>
        </w:r>
        <w:r w:rsidR="00456B01">
          <w:rPr>
            <w:rFonts w:asciiTheme="minorHAnsi" w:eastAsiaTheme="minorEastAsia" w:hAnsiTheme="minorHAnsi" w:cstheme="minorBidi"/>
            <w:b w:val="0"/>
            <w:caps w:val="0"/>
          </w:rPr>
          <w:tab/>
        </w:r>
        <w:r w:rsidR="00456B01" w:rsidRPr="00F514A7">
          <w:rPr>
            <w:rStyle w:val="Hyperlink"/>
          </w:rPr>
          <w:t>Definition of units and drinking patterns</w:t>
        </w:r>
        <w:r w:rsidR="00456B01">
          <w:rPr>
            <w:webHidden/>
          </w:rPr>
          <w:tab/>
        </w:r>
        <w:r w:rsidR="006C3227">
          <w:rPr>
            <w:webHidden/>
          </w:rPr>
          <w:fldChar w:fldCharType="begin"/>
        </w:r>
        <w:r w:rsidR="00456B01">
          <w:rPr>
            <w:webHidden/>
          </w:rPr>
          <w:instrText xml:space="preserve"> PAGEREF _Toc400007263 \h </w:instrText>
        </w:r>
        <w:r w:rsidR="006C3227">
          <w:rPr>
            <w:webHidden/>
          </w:rPr>
        </w:r>
        <w:r w:rsidR="006C3227">
          <w:rPr>
            <w:webHidden/>
          </w:rPr>
          <w:fldChar w:fldCharType="separate"/>
        </w:r>
        <w:r w:rsidR="00A37683">
          <w:rPr>
            <w:webHidden/>
          </w:rPr>
          <w:t>7</w:t>
        </w:r>
        <w:r w:rsidR="006C3227">
          <w:rPr>
            <w:webHidden/>
          </w:rPr>
          <w:fldChar w:fldCharType="end"/>
        </w:r>
      </w:hyperlink>
    </w:p>
    <w:p w14:paraId="065D4186" w14:textId="77777777" w:rsidR="00456B01" w:rsidRDefault="007465D8">
      <w:pPr>
        <w:pStyle w:val="TOC1"/>
        <w:rPr>
          <w:rFonts w:asciiTheme="minorHAnsi" w:eastAsiaTheme="minorEastAsia" w:hAnsiTheme="minorHAnsi" w:cstheme="minorBidi"/>
          <w:b w:val="0"/>
          <w:caps w:val="0"/>
        </w:rPr>
      </w:pPr>
      <w:hyperlink w:anchor="_Toc400007266" w:history="1">
        <w:r w:rsidR="00456B01" w:rsidRPr="00F514A7">
          <w:rPr>
            <w:rStyle w:val="Hyperlink"/>
          </w:rPr>
          <w:t>3</w:t>
        </w:r>
        <w:r w:rsidR="00456B01">
          <w:rPr>
            <w:rFonts w:asciiTheme="minorHAnsi" w:eastAsiaTheme="minorEastAsia" w:hAnsiTheme="minorHAnsi" w:cstheme="minorBidi"/>
            <w:b w:val="0"/>
            <w:caps w:val="0"/>
          </w:rPr>
          <w:tab/>
        </w:r>
        <w:r w:rsidR="00456B01" w:rsidRPr="00F514A7">
          <w:rPr>
            <w:rStyle w:val="Hyperlink"/>
          </w:rPr>
          <w:t>Patterns of drinking</w:t>
        </w:r>
        <w:r w:rsidR="00456B01">
          <w:rPr>
            <w:webHidden/>
          </w:rPr>
          <w:tab/>
        </w:r>
        <w:r w:rsidR="006C3227">
          <w:rPr>
            <w:webHidden/>
          </w:rPr>
          <w:fldChar w:fldCharType="begin"/>
        </w:r>
        <w:r w:rsidR="00456B01">
          <w:rPr>
            <w:webHidden/>
          </w:rPr>
          <w:instrText xml:space="preserve"> PAGEREF _Toc400007266 \h </w:instrText>
        </w:r>
        <w:r w:rsidR="006C3227">
          <w:rPr>
            <w:webHidden/>
          </w:rPr>
        </w:r>
        <w:r w:rsidR="006C3227">
          <w:rPr>
            <w:webHidden/>
          </w:rPr>
          <w:fldChar w:fldCharType="separate"/>
        </w:r>
        <w:r w:rsidR="00A37683">
          <w:rPr>
            <w:webHidden/>
          </w:rPr>
          <w:t>9</w:t>
        </w:r>
        <w:r w:rsidR="006C3227">
          <w:rPr>
            <w:webHidden/>
          </w:rPr>
          <w:fldChar w:fldCharType="end"/>
        </w:r>
      </w:hyperlink>
    </w:p>
    <w:p w14:paraId="42A76D53" w14:textId="77777777" w:rsidR="00456B01" w:rsidRDefault="007465D8">
      <w:pPr>
        <w:pStyle w:val="TOC2"/>
        <w:rPr>
          <w:rFonts w:asciiTheme="minorHAnsi" w:eastAsiaTheme="minorEastAsia" w:hAnsiTheme="minorHAnsi" w:cstheme="minorBidi"/>
        </w:rPr>
      </w:pPr>
      <w:hyperlink w:anchor="_Toc400007267" w:history="1">
        <w:r w:rsidR="00456B01" w:rsidRPr="00F514A7">
          <w:rPr>
            <w:rStyle w:val="Hyperlink"/>
          </w:rPr>
          <w:t>3.1</w:t>
        </w:r>
        <w:r w:rsidR="00456B01">
          <w:rPr>
            <w:rFonts w:asciiTheme="minorHAnsi" w:eastAsiaTheme="minorEastAsia" w:hAnsiTheme="minorHAnsi" w:cstheme="minorBidi"/>
          </w:rPr>
          <w:tab/>
        </w:r>
        <w:r w:rsidR="00456B01" w:rsidRPr="00F514A7">
          <w:rPr>
            <w:rStyle w:val="Hyperlink"/>
          </w:rPr>
          <w:t>Drinking in children and young people</w:t>
        </w:r>
        <w:r w:rsidR="00456B01">
          <w:rPr>
            <w:webHidden/>
          </w:rPr>
          <w:tab/>
        </w:r>
        <w:r w:rsidR="006C3227">
          <w:rPr>
            <w:webHidden/>
          </w:rPr>
          <w:fldChar w:fldCharType="begin"/>
        </w:r>
        <w:r w:rsidR="00456B01">
          <w:rPr>
            <w:webHidden/>
          </w:rPr>
          <w:instrText xml:space="preserve"> PAGEREF _Toc400007267 \h </w:instrText>
        </w:r>
        <w:r w:rsidR="006C3227">
          <w:rPr>
            <w:webHidden/>
          </w:rPr>
        </w:r>
        <w:r w:rsidR="006C3227">
          <w:rPr>
            <w:webHidden/>
          </w:rPr>
          <w:fldChar w:fldCharType="separate"/>
        </w:r>
        <w:r w:rsidR="00A37683">
          <w:rPr>
            <w:webHidden/>
          </w:rPr>
          <w:t>9</w:t>
        </w:r>
        <w:r w:rsidR="006C3227">
          <w:rPr>
            <w:webHidden/>
          </w:rPr>
          <w:fldChar w:fldCharType="end"/>
        </w:r>
      </w:hyperlink>
    </w:p>
    <w:p w14:paraId="2C19D31C" w14:textId="77777777" w:rsidR="00456B01" w:rsidRDefault="007465D8">
      <w:pPr>
        <w:pStyle w:val="TOC2"/>
        <w:rPr>
          <w:rFonts w:asciiTheme="minorHAnsi" w:eastAsiaTheme="minorEastAsia" w:hAnsiTheme="minorHAnsi" w:cstheme="minorBidi"/>
        </w:rPr>
      </w:pPr>
      <w:hyperlink w:anchor="_Toc400007268" w:history="1">
        <w:r w:rsidR="00456B01" w:rsidRPr="00F514A7">
          <w:rPr>
            <w:rStyle w:val="Hyperlink"/>
          </w:rPr>
          <w:t>3.2</w:t>
        </w:r>
        <w:r w:rsidR="00456B01">
          <w:rPr>
            <w:rFonts w:asciiTheme="minorHAnsi" w:eastAsiaTheme="minorEastAsia" w:hAnsiTheme="minorHAnsi" w:cstheme="minorBidi"/>
          </w:rPr>
          <w:tab/>
        </w:r>
        <w:r w:rsidR="00456B01" w:rsidRPr="00F514A7">
          <w:rPr>
            <w:rStyle w:val="Hyperlink"/>
          </w:rPr>
          <w:t>Consumption in adults in Wales</w:t>
        </w:r>
        <w:r w:rsidR="00456B01">
          <w:rPr>
            <w:webHidden/>
          </w:rPr>
          <w:tab/>
        </w:r>
        <w:r w:rsidR="006C3227">
          <w:rPr>
            <w:webHidden/>
          </w:rPr>
          <w:fldChar w:fldCharType="begin"/>
        </w:r>
        <w:r w:rsidR="00456B01">
          <w:rPr>
            <w:webHidden/>
          </w:rPr>
          <w:instrText xml:space="preserve"> PAGEREF _Toc400007268 \h </w:instrText>
        </w:r>
        <w:r w:rsidR="006C3227">
          <w:rPr>
            <w:webHidden/>
          </w:rPr>
        </w:r>
        <w:r w:rsidR="006C3227">
          <w:rPr>
            <w:webHidden/>
          </w:rPr>
          <w:fldChar w:fldCharType="separate"/>
        </w:r>
        <w:r w:rsidR="00A37683">
          <w:rPr>
            <w:webHidden/>
          </w:rPr>
          <w:t>10</w:t>
        </w:r>
        <w:r w:rsidR="006C3227">
          <w:rPr>
            <w:webHidden/>
          </w:rPr>
          <w:fldChar w:fldCharType="end"/>
        </w:r>
      </w:hyperlink>
    </w:p>
    <w:p w14:paraId="75C4975C" w14:textId="77777777" w:rsidR="00456B01" w:rsidRDefault="002F08A8" w:rsidP="002F08A8">
      <w:pPr>
        <w:pStyle w:val="TOC3"/>
        <w:spacing w:before="0" w:after="0"/>
        <w:ind w:left="482"/>
        <w:rPr>
          <w:rFonts w:asciiTheme="minorHAnsi" w:eastAsiaTheme="minorEastAsia" w:hAnsiTheme="minorHAnsi" w:cstheme="minorBidi"/>
          <w:noProof/>
        </w:rPr>
      </w:pPr>
      <w:r>
        <w:rPr>
          <w:noProof/>
        </w:rPr>
        <w:t xml:space="preserve"> </w:t>
      </w:r>
      <w:hyperlink w:anchor="_Toc400007269" w:history="1">
        <w:r w:rsidR="00456B01" w:rsidRPr="00F514A7">
          <w:rPr>
            <w:rStyle w:val="Hyperlink"/>
            <w:noProof/>
          </w:rPr>
          <w:t>3.2.1</w:t>
        </w:r>
        <w:r w:rsidR="00456B01">
          <w:rPr>
            <w:rFonts w:asciiTheme="minorHAnsi" w:eastAsiaTheme="minorEastAsia" w:hAnsiTheme="minorHAnsi" w:cstheme="minorBidi"/>
            <w:noProof/>
          </w:rPr>
          <w:tab/>
        </w:r>
        <w:r w:rsidR="00456B01" w:rsidRPr="00F514A7">
          <w:rPr>
            <w:rStyle w:val="Hyperlink"/>
            <w:noProof/>
          </w:rPr>
          <w:t>Frequency of alcohol consumption in Wales</w:t>
        </w:r>
        <w:r w:rsidR="00456B01">
          <w:rPr>
            <w:noProof/>
            <w:webHidden/>
          </w:rPr>
          <w:tab/>
        </w:r>
        <w:r w:rsidR="006C3227">
          <w:rPr>
            <w:noProof/>
            <w:webHidden/>
          </w:rPr>
          <w:fldChar w:fldCharType="begin"/>
        </w:r>
        <w:r w:rsidR="00456B01">
          <w:rPr>
            <w:noProof/>
            <w:webHidden/>
          </w:rPr>
          <w:instrText xml:space="preserve"> PAGEREF _Toc400007269 \h </w:instrText>
        </w:r>
        <w:r w:rsidR="006C3227">
          <w:rPr>
            <w:noProof/>
            <w:webHidden/>
          </w:rPr>
        </w:r>
        <w:r w:rsidR="006C3227">
          <w:rPr>
            <w:noProof/>
            <w:webHidden/>
          </w:rPr>
          <w:fldChar w:fldCharType="separate"/>
        </w:r>
        <w:r w:rsidR="00A37683">
          <w:rPr>
            <w:noProof/>
            <w:webHidden/>
          </w:rPr>
          <w:t>11</w:t>
        </w:r>
        <w:r w:rsidR="006C3227">
          <w:rPr>
            <w:noProof/>
            <w:webHidden/>
          </w:rPr>
          <w:fldChar w:fldCharType="end"/>
        </w:r>
      </w:hyperlink>
    </w:p>
    <w:p w14:paraId="11EF9B7C" w14:textId="77777777" w:rsidR="00456B01" w:rsidRDefault="002F08A8" w:rsidP="002F08A8">
      <w:pPr>
        <w:pStyle w:val="TOC3"/>
        <w:spacing w:before="0" w:after="0"/>
        <w:ind w:left="482"/>
        <w:rPr>
          <w:rFonts w:asciiTheme="minorHAnsi" w:eastAsiaTheme="minorEastAsia" w:hAnsiTheme="minorHAnsi" w:cstheme="minorBidi"/>
          <w:noProof/>
        </w:rPr>
      </w:pPr>
      <w:r>
        <w:rPr>
          <w:noProof/>
        </w:rPr>
        <w:t xml:space="preserve"> </w:t>
      </w:r>
      <w:hyperlink w:anchor="_Toc400007270" w:history="1">
        <w:r w:rsidR="00456B01" w:rsidRPr="00F514A7">
          <w:rPr>
            <w:rStyle w:val="Hyperlink"/>
            <w:noProof/>
          </w:rPr>
          <w:t>3.2.2</w:t>
        </w:r>
        <w:r w:rsidR="00456B01">
          <w:rPr>
            <w:rFonts w:asciiTheme="minorHAnsi" w:eastAsiaTheme="minorEastAsia" w:hAnsiTheme="minorHAnsi" w:cstheme="minorBidi"/>
            <w:noProof/>
          </w:rPr>
          <w:tab/>
        </w:r>
        <w:r w:rsidR="00456B01" w:rsidRPr="00F514A7">
          <w:rPr>
            <w:rStyle w:val="Hyperlink"/>
            <w:noProof/>
          </w:rPr>
          <w:t>Alcohol consumption trend in Wales</w:t>
        </w:r>
        <w:r w:rsidR="00456B01">
          <w:rPr>
            <w:noProof/>
            <w:webHidden/>
          </w:rPr>
          <w:tab/>
        </w:r>
        <w:r w:rsidR="006C3227">
          <w:rPr>
            <w:noProof/>
            <w:webHidden/>
          </w:rPr>
          <w:fldChar w:fldCharType="begin"/>
        </w:r>
        <w:r w:rsidR="00456B01">
          <w:rPr>
            <w:noProof/>
            <w:webHidden/>
          </w:rPr>
          <w:instrText xml:space="preserve"> PAGEREF _Toc400007270 \h </w:instrText>
        </w:r>
        <w:r w:rsidR="006C3227">
          <w:rPr>
            <w:noProof/>
            <w:webHidden/>
          </w:rPr>
        </w:r>
        <w:r w:rsidR="006C3227">
          <w:rPr>
            <w:noProof/>
            <w:webHidden/>
          </w:rPr>
          <w:fldChar w:fldCharType="separate"/>
        </w:r>
        <w:r w:rsidR="00A37683">
          <w:rPr>
            <w:noProof/>
            <w:webHidden/>
          </w:rPr>
          <w:t>11</w:t>
        </w:r>
        <w:r w:rsidR="006C3227">
          <w:rPr>
            <w:noProof/>
            <w:webHidden/>
          </w:rPr>
          <w:fldChar w:fldCharType="end"/>
        </w:r>
      </w:hyperlink>
    </w:p>
    <w:p w14:paraId="302CAFA7" w14:textId="77777777" w:rsidR="00456B01" w:rsidRDefault="002F08A8" w:rsidP="002F08A8">
      <w:pPr>
        <w:pStyle w:val="TOC3"/>
        <w:spacing w:before="0" w:after="0"/>
        <w:ind w:left="482"/>
        <w:rPr>
          <w:rFonts w:asciiTheme="minorHAnsi" w:eastAsiaTheme="minorEastAsia" w:hAnsiTheme="minorHAnsi" w:cstheme="minorBidi"/>
          <w:noProof/>
        </w:rPr>
      </w:pPr>
      <w:r>
        <w:rPr>
          <w:noProof/>
        </w:rPr>
        <w:t xml:space="preserve"> </w:t>
      </w:r>
      <w:hyperlink w:anchor="_Toc400007271" w:history="1">
        <w:r w:rsidR="00456B01" w:rsidRPr="00F514A7">
          <w:rPr>
            <w:rStyle w:val="Hyperlink"/>
            <w:noProof/>
          </w:rPr>
          <w:t>3.2.3</w:t>
        </w:r>
        <w:r w:rsidR="00456B01">
          <w:rPr>
            <w:rFonts w:asciiTheme="minorHAnsi" w:eastAsiaTheme="minorEastAsia" w:hAnsiTheme="minorHAnsi" w:cstheme="minorBidi"/>
            <w:noProof/>
          </w:rPr>
          <w:tab/>
        </w:r>
        <w:r w:rsidR="00456B01" w:rsidRPr="00F514A7">
          <w:rPr>
            <w:rStyle w:val="Hyperlink"/>
            <w:noProof/>
          </w:rPr>
          <w:t>Abstainers</w:t>
        </w:r>
        <w:r w:rsidR="00456B01">
          <w:rPr>
            <w:noProof/>
            <w:webHidden/>
          </w:rPr>
          <w:tab/>
        </w:r>
        <w:r w:rsidR="006C3227">
          <w:rPr>
            <w:noProof/>
            <w:webHidden/>
          </w:rPr>
          <w:fldChar w:fldCharType="begin"/>
        </w:r>
        <w:r w:rsidR="00456B01">
          <w:rPr>
            <w:noProof/>
            <w:webHidden/>
          </w:rPr>
          <w:instrText xml:space="preserve"> PAGEREF _Toc400007271 \h </w:instrText>
        </w:r>
        <w:r w:rsidR="006C3227">
          <w:rPr>
            <w:noProof/>
            <w:webHidden/>
          </w:rPr>
        </w:r>
        <w:r w:rsidR="006C3227">
          <w:rPr>
            <w:noProof/>
            <w:webHidden/>
          </w:rPr>
          <w:fldChar w:fldCharType="separate"/>
        </w:r>
        <w:r w:rsidR="00A37683">
          <w:rPr>
            <w:noProof/>
            <w:webHidden/>
          </w:rPr>
          <w:t>12</w:t>
        </w:r>
        <w:r w:rsidR="006C3227">
          <w:rPr>
            <w:noProof/>
            <w:webHidden/>
          </w:rPr>
          <w:fldChar w:fldCharType="end"/>
        </w:r>
      </w:hyperlink>
    </w:p>
    <w:p w14:paraId="3D5B57B6" w14:textId="77777777" w:rsidR="00456B01" w:rsidRDefault="002F08A8" w:rsidP="002F08A8">
      <w:pPr>
        <w:pStyle w:val="TOC3"/>
        <w:spacing w:before="0" w:after="0"/>
        <w:ind w:left="482"/>
        <w:rPr>
          <w:rFonts w:asciiTheme="minorHAnsi" w:eastAsiaTheme="minorEastAsia" w:hAnsiTheme="minorHAnsi" w:cstheme="minorBidi"/>
          <w:noProof/>
        </w:rPr>
      </w:pPr>
      <w:r>
        <w:rPr>
          <w:noProof/>
        </w:rPr>
        <w:t xml:space="preserve"> </w:t>
      </w:r>
      <w:hyperlink w:anchor="_Toc400007272" w:history="1">
        <w:r w:rsidR="00456B01" w:rsidRPr="00F514A7">
          <w:rPr>
            <w:rStyle w:val="Hyperlink"/>
            <w:noProof/>
          </w:rPr>
          <w:t>3.2.4</w:t>
        </w:r>
        <w:r w:rsidR="00456B01">
          <w:rPr>
            <w:rFonts w:asciiTheme="minorHAnsi" w:eastAsiaTheme="minorEastAsia" w:hAnsiTheme="minorHAnsi" w:cstheme="minorBidi"/>
            <w:noProof/>
          </w:rPr>
          <w:tab/>
        </w:r>
        <w:r w:rsidR="00456B01" w:rsidRPr="00F514A7">
          <w:rPr>
            <w:rStyle w:val="Hyperlink"/>
            <w:noProof/>
          </w:rPr>
          <w:t>Drinking patterns by age group and over time</w:t>
        </w:r>
        <w:r w:rsidR="00456B01">
          <w:rPr>
            <w:noProof/>
            <w:webHidden/>
          </w:rPr>
          <w:tab/>
        </w:r>
        <w:r w:rsidR="006C3227">
          <w:rPr>
            <w:noProof/>
            <w:webHidden/>
          </w:rPr>
          <w:fldChar w:fldCharType="begin"/>
        </w:r>
        <w:r w:rsidR="00456B01">
          <w:rPr>
            <w:noProof/>
            <w:webHidden/>
          </w:rPr>
          <w:instrText xml:space="preserve"> PAGEREF _Toc400007272 \h </w:instrText>
        </w:r>
        <w:r w:rsidR="006C3227">
          <w:rPr>
            <w:noProof/>
            <w:webHidden/>
          </w:rPr>
        </w:r>
        <w:r w:rsidR="006C3227">
          <w:rPr>
            <w:noProof/>
            <w:webHidden/>
          </w:rPr>
          <w:fldChar w:fldCharType="separate"/>
        </w:r>
        <w:r w:rsidR="00A37683">
          <w:rPr>
            <w:noProof/>
            <w:webHidden/>
          </w:rPr>
          <w:t>13</w:t>
        </w:r>
        <w:r w:rsidR="006C3227">
          <w:rPr>
            <w:noProof/>
            <w:webHidden/>
          </w:rPr>
          <w:fldChar w:fldCharType="end"/>
        </w:r>
      </w:hyperlink>
    </w:p>
    <w:p w14:paraId="7440A3E0" w14:textId="77777777" w:rsidR="00456B01" w:rsidRDefault="002F08A8" w:rsidP="002F08A8">
      <w:pPr>
        <w:pStyle w:val="TOC3"/>
        <w:spacing w:before="0" w:after="0"/>
        <w:ind w:left="482"/>
        <w:rPr>
          <w:rFonts w:asciiTheme="minorHAnsi" w:eastAsiaTheme="minorEastAsia" w:hAnsiTheme="minorHAnsi" w:cstheme="minorBidi"/>
          <w:noProof/>
        </w:rPr>
      </w:pPr>
      <w:r>
        <w:rPr>
          <w:noProof/>
        </w:rPr>
        <w:t xml:space="preserve"> </w:t>
      </w:r>
      <w:hyperlink w:anchor="_Toc400007273" w:history="1">
        <w:r w:rsidR="00456B01" w:rsidRPr="00F514A7">
          <w:rPr>
            <w:rStyle w:val="Hyperlink"/>
            <w:noProof/>
          </w:rPr>
          <w:t>3.2.5</w:t>
        </w:r>
        <w:r w:rsidR="00456B01">
          <w:rPr>
            <w:rFonts w:asciiTheme="minorHAnsi" w:eastAsiaTheme="minorEastAsia" w:hAnsiTheme="minorHAnsi" w:cstheme="minorBidi"/>
            <w:noProof/>
          </w:rPr>
          <w:tab/>
        </w:r>
        <w:r w:rsidR="00456B01" w:rsidRPr="00F514A7">
          <w:rPr>
            <w:rStyle w:val="Hyperlink"/>
            <w:noProof/>
          </w:rPr>
          <w:t>Geographical variation in very heavy drinking</w:t>
        </w:r>
        <w:r w:rsidR="00456B01">
          <w:rPr>
            <w:noProof/>
            <w:webHidden/>
          </w:rPr>
          <w:tab/>
        </w:r>
        <w:r w:rsidR="006C3227">
          <w:rPr>
            <w:noProof/>
            <w:webHidden/>
          </w:rPr>
          <w:fldChar w:fldCharType="begin"/>
        </w:r>
        <w:r w:rsidR="00456B01">
          <w:rPr>
            <w:noProof/>
            <w:webHidden/>
          </w:rPr>
          <w:instrText xml:space="preserve"> PAGEREF _Toc400007273 \h </w:instrText>
        </w:r>
        <w:r w:rsidR="006C3227">
          <w:rPr>
            <w:noProof/>
            <w:webHidden/>
          </w:rPr>
        </w:r>
        <w:r w:rsidR="006C3227">
          <w:rPr>
            <w:noProof/>
            <w:webHidden/>
          </w:rPr>
          <w:fldChar w:fldCharType="separate"/>
        </w:r>
        <w:r w:rsidR="00A37683">
          <w:rPr>
            <w:noProof/>
            <w:webHidden/>
          </w:rPr>
          <w:t>16</w:t>
        </w:r>
        <w:r w:rsidR="006C3227">
          <w:rPr>
            <w:noProof/>
            <w:webHidden/>
          </w:rPr>
          <w:fldChar w:fldCharType="end"/>
        </w:r>
      </w:hyperlink>
    </w:p>
    <w:p w14:paraId="6EDBC281" w14:textId="77777777" w:rsidR="00456B01" w:rsidRDefault="007465D8">
      <w:pPr>
        <w:pStyle w:val="TOC2"/>
        <w:rPr>
          <w:rFonts w:asciiTheme="minorHAnsi" w:eastAsiaTheme="minorEastAsia" w:hAnsiTheme="minorHAnsi" w:cstheme="minorBidi"/>
        </w:rPr>
      </w:pPr>
      <w:hyperlink w:anchor="_Toc400007274" w:history="1">
        <w:r w:rsidR="00456B01" w:rsidRPr="00F514A7">
          <w:rPr>
            <w:rStyle w:val="Hyperlink"/>
          </w:rPr>
          <w:t>3.3</w:t>
        </w:r>
        <w:r w:rsidR="00456B01">
          <w:rPr>
            <w:rFonts w:asciiTheme="minorHAnsi" w:eastAsiaTheme="minorEastAsia" w:hAnsiTheme="minorHAnsi" w:cstheme="minorBidi"/>
          </w:rPr>
          <w:tab/>
        </w:r>
        <w:r w:rsidR="00456B01" w:rsidRPr="00F514A7">
          <w:rPr>
            <w:rStyle w:val="Hyperlink"/>
          </w:rPr>
          <w:t>Drinking patterns and trends in Great Britain</w:t>
        </w:r>
        <w:r w:rsidR="00456B01">
          <w:rPr>
            <w:webHidden/>
          </w:rPr>
          <w:tab/>
        </w:r>
        <w:r w:rsidR="006C3227">
          <w:rPr>
            <w:webHidden/>
          </w:rPr>
          <w:fldChar w:fldCharType="begin"/>
        </w:r>
        <w:r w:rsidR="00456B01">
          <w:rPr>
            <w:webHidden/>
          </w:rPr>
          <w:instrText xml:space="preserve"> PAGEREF _Toc400007274 \h </w:instrText>
        </w:r>
        <w:r w:rsidR="006C3227">
          <w:rPr>
            <w:webHidden/>
          </w:rPr>
        </w:r>
        <w:r w:rsidR="006C3227">
          <w:rPr>
            <w:webHidden/>
          </w:rPr>
          <w:fldChar w:fldCharType="separate"/>
        </w:r>
        <w:r w:rsidR="00A37683">
          <w:rPr>
            <w:webHidden/>
          </w:rPr>
          <w:t>18</w:t>
        </w:r>
        <w:r w:rsidR="006C3227">
          <w:rPr>
            <w:webHidden/>
          </w:rPr>
          <w:fldChar w:fldCharType="end"/>
        </w:r>
      </w:hyperlink>
    </w:p>
    <w:p w14:paraId="7FC1D20F" w14:textId="77777777" w:rsidR="00456B01" w:rsidRDefault="007465D8">
      <w:pPr>
        <w:pStyle w:val="TOC2"/>
        <w:rPr>
          <w:rFonts w:asciiTheme="minorHAnsi" w:eastAsiaTheme="minorEastAsia" w:hAnsiTheme="minorHAnsi" w:cstheme="minorBidi"/>
        </w:rPr>
      </w:pPr>
      <w:hyperlink w:anchor="_Toc400007275" w:history="1">
        <w:r w:rsidR="00456B01" w:rsidRPr="00F514A7">
          <w:rPr>
            <w:rStyle w:val="Hyperlink"/>
          </w:rPr>
          <w:t>3.4</w:t>
        </w:r>
        <w:r w:rsidR="00456B01">
          <w:rPr>
            <w:rFonts w:asciiTheme="minorHAnsi" w:eastAsiaTheme="minorEastAsia" w:hAnsiTheme="minorHAnsi" w:cstheme="minorBidi"/>
          </w:rPr>
          <w:tab/>
        </w:r>
        <w:r w:rsidR="00456B01" w:rsidRPr="00F514A7">
          <w:rPr>
            <w:rStyle w:val="Hyperlink"/>
          </w:rPr>
          <w:t>Comparison of survey results and sales data</w:t>
        </w:r>
        <w:r w:rsidR="00456B01">
          <w:rPr>
            <w:webHidden/>
          </w:rPr>
          <w:tab/>
        </w:r>
        <w:r w:rsidR="006C3227">
          <w:rPr>
            <w:webHidden/>
          </w:rPr>
          <w:fldChar w:fldCharType="begin"/>
        </w:r>
        <w:r w:rsidR="00456B01">
          <w:rPr>
            <w:webHidden/>
          </w:rPr>
          <w:instrText xml:space="preserve"> PAGEREF _Toc400007275 \h </w:instrText>
        </w:r>
        <w:r w:rsidR="006C3227">
          <w:rPr>
            <w:webHidden/>
          </w:rPr>
        </w:r>
        <w:r w:rsidR="006C3227">
          <w:rPr>
            <w:webHidden/>
          </w:rPr>
          <w:fldChar w:fldCharType="separate"/>
        </w:r>
        <w:r w:rsidR="00A37683">
          <w:rPr>
            <w:webHidden/>
          </w:rPr>
          <w:t>18</w:t>
        </w:r>
        <w:r w:rsidR="006C3227">
          <w:rPr>
            <w:webHidden/>
          </w:rPr>
          <w:fldChar w:fldCharType="end"/>
        </w:r>
      </w:hyperlink>
    </w:p>
    <w:p w14:paraId="49A48BC0" w14:textId="77777777" w:rsidR="00456B01" w:rsidRDefault="007465D8">
      <w:pPr>
        <w:pStyle w:val="TOC2"/>
        <w:rPr>
          <w:rFonts w:asciiTheme="minorHAnsi" w:eastAsiaTheme="minorEastAsia" w:hAnsiTheme="minorHAnsi" w:cstheme="minorBidi"/>
        </w:rPr>
      </w:pPr>
      <w:hyperlink w:anchor="_Toc400007276" w:history="1">
        <w:r w:rsidR="00456B01" w:rsidRPr="00F514A7">
          <w:rPr>
            <w:rStyle w:val="Hyperlink"/>
          </w:rPr>
          <w:t>3.5</w:t>
        </w:r>
        <w:r w:rsidR="00456B01">
          <w:rPr>
            <w:rFonts w:asciiTheme="minorHAnsi" w:eastAsiaTheme="minorEastAsia" w:hAnsiTheme="minorHAnsi" w:cstheme="minorBidi"/>
          </w:rPr>
          <w:tab/>
        </w:r>
        <w:r w:rsidR="00456B01" w:rsidRPr="00F514A7">
          <w:rPr>
            <w:rStyle w:val="Hyperlink"/>
          </w:rPr>
          <w:t>International comparison of consumption</w:t>
        </w:r>
        <w:r w:rsidR="00456B01">
          <w:rPr>
            <w:webHidden/>
          </w:rPr>
          <w:tab/>
        </w:r>
        <w:r w:rsidR="006C3227">
          <w:rPr>
            <w:webHidden/>
          </w:rPr>
          <w:fldChar w:fldCharType="begin"/>
        </w:r>
        <w:r w:rsidR="00456B01">
          <w:rPr>
            <w:webHidden/>
          </w:rPr>
          <w:instrText xml:space="preserve"> PAGEREF _Toc400007276 \h </w:instrText>
        </w:r>
        <w:r w:rsidR="006C3227">
          <w:rPr>
            <w:webHidden/>
          </w:rPr>
        </w:r>
        <w:r w:rsidR="006C3227">
          <w:rPr>
            <w:webHidden/>
          </w:rPr>
          <w:fldChar w:fldCharType="separate"/>
        </w:r>
        <w:r w:rsidR="00A37683">
          <w:rPr>
            <w:webHidden/>
          </w:rPr>
          <w:t>20</w:t>
        </w:r>
        <w:r w:rsidR="006C3227">
          <w:rPr>
            <w:webHidden/>
          </w:rPr>
          <w:fldChar w:fldCharType="end"/>
        </w:r>
      </w:hyperlink>
    </w:p>
    <w:p w14:paraId="489219CB" w14:textId="77777777" w:rsidR="00456B01" w:rsidRDefault="007465D8">
      <w:pPr>
        <w:pStyle w:val="TOC1"/>
        <w:rPr>
          <w:rFonts w:asciiTheme="minorHAnsi" w:eastAsiaTheme="minorEastAsia" w:hAnsiTheme="minorHAnsi" w:cstheme="minorBidi"/>
          <w:b w:val="0"/>
          <w:caps w:val="0"/>
        </w:rPr>
      </w:pPr>
      <w:hyperlink w:anchor="_Toc400007277" w:history="1">
        <w:r w:rsidR="00456B01" w:rsidRPr="00F514A7">
          <w:rPr>
            <w:rStyle w:val="Hyperlink"/>
          </w:rPr>
          <w:t>4</w:t>
        </w:r>
        <w:r w:rsidR="00456B01">
          <w:rPr>
            <w:rFonts w:asciiTheme="minorHAnsi" w:eastAsiaTheme="minorEastAsia" w:hAnsiTheme="minorHAnsi" w:cstheme="minorBidi"/>
            <w:b w:val="0"/>
            <w:caps w:val="0"/>
          </w:rPr>
          <w:tab/>
        </w:r>
        <w:r w:rsidR="00456B01" w:rsidRPr="00F514A7">
          <w:rPr>
            <w:rStyle w:val="Hyperlink"/>
          </w:rPr>
          <w:t>Hospital admissions</w:t>
        </w:r>
        <w:r w:rsidR="00456B01">
          <w:rPr>
            <w:webHidden/>
          </w:rPr>
          <w:tab/>
        </w:r>
        <w:r w:rsidR="006C3227">
          <w:rPr>
            <w:webHidden/>
          </w:rPr>
          <w:fldChar w:fldCharType="begin"/>
        </w:r>
        <w:r w:rsidR="00456B01">
          <w:rPr>
            <w:webHidden/>
          </w:rPr>
          <w:instrText xml:space="preserve"> PAGEREF _Toc400007277 \h </w:instrText>
        </w:r>
        <w:r w:rsidR="006C3227">
          <w:rPr>
            <w:webHidden/>
          </w:rPr>
        </w:r>
        <w:r w:rsidR="006C3227">
          <w:rPr>
            <w:webHidden/>
          </w:rPr>
          <w:fldChar w:fldCharType="separate"/>
        </w:r>
        <w:r w:rsidR="00A37683">
          <w:rPr>
            <w:webHidden/>
          </w:rPr>
          <w:t>21</w:t>
        </w:r>
        <w:r w:rsidR="006C3227">
          <w:rPr>
            <w:webHidden/>
          </w:rPr>
          <w:fldChar w:fldCharType="end"/>
        </w:r>
      </w:hyperlink>
    </w:p>
    <w:p w14:paraId="27F460CE" w14:textId="77777777" w:rsidR="00456B01" w:rsidRDefault="007465D8">
      <w:pPr>
        <w:pStyle w:val="TOC2"/>
        <w:rPr>
          <w:rFonts w:asciiTheme="minorHAnsi" w:eastAsiaTheme="minorEastAsia" w:hAnsiTheme="minorHAnsi" w:cstheme="minorBidi"/>
        </w:rPr>
      </w:pPr>
      <w:hyperlink w:anchor="_Toc400007279" w:history="1">
        <w:r w:rsidR="00456B01" w:rsidRPr="00F514A7">
          <w:rPr>
            <w:rStyle w:val="Hyperlink"/>
          </w:rPr>
          <w:t>4.1</w:t>
        </w:r>
        <w:r w:rsidR="00456B01">
          <w:rPr>
            <w:rFonts w:asciiTheme="minorHAnsi" w:eastAsiaTheme="minorEastAsia" w:hAnsiTheme="minorHAnsi" w:cstheme="minorBidi"/>
          </w:rPr>
          <w:tab/>
        </w:r>
        <w:r w:rsidR="00456B01" w:rsidRPr="00F514A7">
          <w:rPr>
            <w:rStyle w:val="Hyperlink"/>
          </w:rPr>
          <w:t>The scale and breakdown by condition</w:t>
        </w:r>
        <w:r w:rsidR="00456B01">
          <w:rPr>
            <w:webHidden/>
          </w:rPr>
          <w:tab/>
        </w:r>
        <w:r w:rsidR="006C3227">
          <w:rPr>
            <w:webHidden/>
          </w:rPr>
          <w:fldChar w:fldCharType="begin"/>
        </w:r>
        <w:r w:rsidR="00456B01">
          <w:rPr>
            <w:webHidden/>
          </w:rPr>
          <w:instrText xml:space="preserve"> PAGEREF _Toc400007279 \h </w:instrText>
        </w:r>
        <w:r w:rsidR="006C3227">
          <w:rPr>
            <w:webHidden/>
          </w:rPr>
        </w:r>
        <w:r w:rsidR="006C3227">
          <w:rPr>
            <w:webHidden/>
          </w:rPr>
          <w:fldChar w:fldCharType="separate"/>
        </w:r>
        <w:r w:rsidR="00A37683">
          <w:rPr>
            <w:webHidden/>
          </w:rPr>
          <w:t>22</w:t>
        </w:r>
        <w:r w:rsidR="006C3227">
          <w:rPr>
            <w:webHidden/>
          </w:rPr>
          <w:fldChar w:fldCharType="end"/>
        </w:r>
      </w:hyperlink>
    </w:p>
    <w:p w14:paraId="6532936E" w14:textId="77777777" w:rsidR="00456B01" w:rsidRDefault="007465D8">
      <w:pPr>
        <w:pStyle w:val="TOC2"/>
        <w:rPr>
          <w:rFonts w:asciiTheme="minorHAnsi" w:eastAsiaTheme="minorEastAsia" w:hAnsiTheme="minorHAnsi" w:cstheme="minorBidi"/>
        </w:rPr>
      </w:pPr>
      <w:hyperlink w:anchor="_Toc400007280" w:history="1">
        <w:r w:rsidR="00456B01" w:rsidRPr="00F514A7">
          <w:rPr>
            <w:rStyle w:val="Hyperlink"/>
          </w:rPr>
          <w:t>4.2</w:t>
        </w:r>
        <w:r w:rsidR="00456B01">
          <w:rPr>
            <w:rFonts w:asciiTheme="minorHAnsi" w:eastAsiaTheme="minorEastAsia" w:hAnsiTheme="minorHAnsi" w:cstheme="minorBidi"/>
          </w:rPr>
          <w:tab/>
        </w:r>
        <w:r w:rsidR="00456B01" w:rsidRPr="00F514A7">
          <w:rPr>
            <w:rStyle w:val="Hyperlink"/>
          </w:rPr>
          <w:t>Hospital admission trends over time</w:t>
        </w:r>
        <w:r w:rsidR="00456B01">
          <w:rPr>
            <w:webHidden/>
          </w:rPr>
          <w:tab/>
        </w:r>
        <w:r w:rsidR="006C3227">
          <w:rPr>
            <w:webHidden/>
          </w:rPr>
          <w:fldChar w:fldCharType="begin"/>
        </w:r>
        <w:r w:rsidR="00456B01">
          <w:rPr>
            <w:webHidden/>
          </w:rPr>
          <w:instrText xml:space="preserve"> PAGEREF _Toc400007280 \h </w:instrText>
        </w:r>
        <w:r w:rsidR="006C3227">
          <w:rPr>
            <w:webHidden/>
          </w:rPr>
        </w:r>
        <w:r w:rsidR="006C3227">
          <w:rPr>
            <w:webHidden/>
          </w:rPr>
          <w:fldChar w:fldCharType="separate"/>
        </w:r>
        <w:r w:rsidR="00A37683">
          <w:rPr>
            <w:webHidden/>
          </w:rPr>
          <w:t>24</w:t>
        </w:r>
        <w:r w:rsidR="006C3227">
          <w:rPr>
            <w:webHidden/>
          </w:rPr>
          <w:fldChar w:fldCharType="end"/>
        </w:r>
      </w:hyperlink>
    </w:p>
    <w:p w14:paraId="604EBF92" w14:textId="77777777" w:rsidR="00456B01" w:rsidRDefault="007465D8">
      <w:pPr>
        <w:pStyle w:val="TOC2"/>
        <w:rPr>
          <w:rFonts w:asciiTheme="minorHAnsi" w:eastAsiaTheme="minorEastAsia" w:hAnsiTheme="minorHAnsi" w:cstheme="minorBidi"/>
        </w:rPr>
      </w:pPr>
      <w:hyperlink w:anchor="_Toc400007281" w:history="1">
        <w:r w:rsidR="00456B01" w:rsidRPr="00F514A7">
          <w:rPr>
            <w:rStyle w:val="Hyperlink"/>
          </w:rPr>
          <w:t>4.3</w:t>
        </w:r>
        <w:r w:rsidR="00456B01">
          <w:rPr>
            <w:rFonts w:asciiTheme="minorHAnsi" w:eastAsiaTheme="minorEastAsia" w:hAnsiTheme="minorHAnsi" w:cstheme="minorBidi"/>
          </w:rPr>
          <w:tab/>
        </w:r>
        <w:r w:rsidR="00456B01" w:rsidRPr="00F514A7">
          <w:rPr>
            <w:rStyle w:val="Hyperlink"/>
          </w:rPr>
          <w:t>Geographical variation in hospital admissions</w:t>
        </w:r>
        <w:r w:rsidR="00456B01">
          <w:rPr>
            <w:webHidden/>
          </w:rPr>
          <w:tab/>
        </w:r>
        <w:r w:rsidR="006C3227">
          <w:rPr>
            <w:webHidden/>
          </w:rPr>
          <w:fldChar w:fldCharType="begin"/>
        </w:r>
        <w:r w:rsidR="00456B01">
          <w:rPr>
            <w:webHidden/>
          </w:rPr>
          <w:instrText xml:space="preserve"> PAGEREF _Toc400007281 \h </w:instrText>
        </w:r>
        <w:r w:rsidR="006C3227">
          <w:rPr>
            <w:webHidden/>
          </w:rPr>
        </w:r>
        <w:r w:rsidR="006C3227">
          <w:rPr>
            <w:webHidden/>
          </w:rPr>
          <w:fldChar w:fldCharType="separate"/>
        </w:r>
        <w:r w:rsidR="00A37683">
          <w:rPr>
            <w:webHidden/>
          </w:rPr>
          <w:t>26</w:t>
        </w:r>
        <w:r w:rsidR="006C3227">
          <w:rPr>
            <w:webHidden/>
          </w:rPr>
          <w:fldChar w:fldCharType="end"/>
        </w:r>
      </w:hyperlink>
    </w:p>
    <w:p w14:paraId="4818315C" w14:textId="77777777" w:rsidR="00456B01" w:rsidRDefault="007465D8">
      <w:pPr>
        <w:pStyle w:val="TOC2"/>
        <w:rPr>
          <w:rFonts w:asciiTheme="minorHAnsi" w:eastAsiaTheme="minorEastAsia" w:hAnsiTheme="minorHAnsi" w:cstheme="minorBidi"/>
        </w:rPr>
      </w:pPr>
      <w:hyperlink w:anchor="_Toc400007282" w:history="1">
        <w:r w:rsidR="00456B01" w:rsidRPr="00F514A7">
          <w:rPr>
            <w:rStyle w:val="Hyperlink"/>
          </w:rPr>
          <w:t>4.4</w:t>
        </w:r>
        <w:r w:rsidR="00456B01">
          <w:rPr>
            <w:rFonts w:asciiTheme="minorHAnsi" w:eastAsiaTheme="minorEastAsia" w:hAnsiTheme="minorHAnsi" w:cstheme="minorBidi"/>
          </w:rPr>
          <w:tab/>
        </w:r>
        <w:r w:rsidR="00456B01" w:rsidRPr="00F514A7">
          <w:rPr>
            <w:rStyle w:val="Hyperlink"/>
          </w:rPr>
          <w:t>Comparison to England and English regions</w:t>
        </w:r>
        <w:r w:rsidR="00456B01">
          <w:rPr>
            <w:webHidden/>
          </w:rPr>
          <w:tab/>
        </w:r>
        <w:r w:rsidR="006C3227">
          <w:rPr>
            <w:webHidden/>
          </w:rPr>
          <w:fldChar w:fldCharType="begin"/>
        </w:r>
        <w:r w:rsidR="00456B01">
          <w:rPr>
            <w:webHidden/>
          </w:rPr>
          <w:instrText xml:space="preserve"> PAGEREF _Toc400007282 \h </w:instrText>
        </w:r>
        <w:r w:rsidR="006C3227">
          <w:rPr>
            <w:webHidden/>
          </w:rPr>
        </w:r>
        <w:r w:rsidR="006C3227">
          <w:rPr>
            <w:webHidden/>
          </w:rPr>
          <w:fldChar w:fldCharType="separate"/>
        </w:r>
        <w:r w:rsidR="00A37683">
          <w:rPr>
            <w:webHidden/>
          </w:rPr>
          <w:t>28</w:t>
        </w:r>
        <w:r w:rsidR="006C3227">
          <w:rPr>
            <w:webHidden/>
          </w:rPr>
          <w:fldChar w:fldCharType="end"/>
        </w:r>
      </w:hyperlink>
    </w:p>
    <w:p w14:paraId="632A70C9" w14:textId="77777777" w:rsidR="00456B01" w:rsidRDefault="007465D8">
      <w:pPr>
        <w:pStyle w:val="TOC1"/>
        <w:rPr>
          <w:rFonts w:asciiTheme="minorHAnsi" w:eastAsiaTheme="minorEastAsia" w:hAnsiTheme="minorHAnsi" w:cstheme="minorBidi"/>
          <w:b w:val="0"/>
          <w:caps w:val="0"/>
        </w:rPr>
      </w:pPr>
      <w:hyperlink w:anchor="_Toc400007283" w:history="1">
        <w:r w:rsidR="00456B01" w:rsidRPr="00F514A7">
          <w:rPr>
            <w:rStyle w:val="Hyperlink"/>
          </w:rPr>
          <w:t>5</w:t>
        </w:r>
        <w:r w:rsidR="00456B01">
          <w:rPr>
            <w:rFonts w:asciiTheme="minorHAnsi" w:eastAsiaTheme="minorEastAsia" w:hAnsiTheme="minorHAnsi" w:cstheme="minorBidi"/>
            <w:b w:val="0"/>
            <w:caps w:val="0"/>
          </w:rPr>
          <w:tab/>
        </w:r>
        <w:r w:rsidR="00456B01" w:rsidRPr="00F514A7">
          <w:rPr>
            <w:rStyle w:val="Hyperlink"/>
          </w:rPr>
          <w:t>Mortality</w:t>
        </w:r>
        <w:r w:rsidR="00456B01">
          <w:rPr>
            <w:webHidden/>
          </w:rPr>
          <w:tab/>
        </w:r>
        <w:r w:rsidR="006C3227">
          <w:rPr>
            <w:webHidden/>
          </w:rPr>
          <w:fldChar w:fldCharType="begin"/>
        </w:r>
        <w:r w:rsidR="00456B01">
          <w:rPr>
            <w:webHidden/>
          </w:rPr>
          <w:instrText xml:space="preserve"> PAGEREF _Toc400007283 \h </w:instrText>
        </w:r>
        <w:r w:rsidR="006C3227">
          <w:rPr>
            <w:webHidden/>
          </w:rPr>
        </w:r>
        <w:r w:rsidR="006C3227">
          <w:rPr>
            <w:webHidden/>
          </w:rPr>
          <w:fldChar w:fldCharType="separate"/>
        </w:r>
        <w:r w:rsidR="00A37683">
          <w:rPr>
            <w:webHidden/>
          </w:rPr>
          <w:t>32</w:t>
        </w:r>
        <w:r w:rsidR="006C3227">
          <w:rPr>
            <w:webHidden/>
          </w:rPr>
          <w:fldChar w:fldCharType="end"/>
        </w:r>
      </w:hyperlink>
    </w:p>
    <w:p w14:paraId="6E35AB1B" w14:textId="77777777" w:rsidR="00456B01" w:rsidRDefault="007465D8">
      <w:pPr>
        <w:pStyle w:val="TOC2"/>
        <w:rPr>
          <w:rFonts w:asciiTheme="minorHAnsi" w:eastAsiaTheme="minorEastAsia" w:hAnsiTheme="minorHAnsi" w:cstheme="minorBidi"/>
        </w:rPr>
      </w:pPr>
      <w:hyperlink w:anchor="_Toc400007284" w:history="1">
        <w:r w:rsidR="00456B01" w:rsidRPr="00F514A7">
          <w:rPr>
            <w:rStyle w:val="Hyperlink"/>
          </w:rPr>
          <w:t>5.1</w:t>
        </w:r>
        <w:r w:rsidR="00456B01">
          <w:rPr>
            <w:rFonts w:asciiTheme="minorHAnsi" w:eastAsiaTheme="minorEastAsia" w:hAnsiTheme="minorHAnsi" w:cstheme="minorBidi"/>
          </w:rPr>
          <w:tab/>
        </w:r>
        <w:r w:rsidR="00456B01" w:rsidRPr="00F514A7">
          <w:rPr>
            <w:rStyle w:val="Hyperlink"/>
          </w:rPr>
          <w:t>Alcohol-specific and alcohol-attributable mortality</w:t>
        </w:r>
        <w:r w:rsidR="00456B01">
          <w:rPr>
            <w:webHidden/>
          </w:rPr>
          <w:tab/>
        </w:r>
        <w:r w:rsidR="006C3227">
          <w:rPr>
            <w:webHidden/>
          </w:rPr>
          <w:fldChar w:fldCharType="begin"/>
        </w:r>
        <w:r w:rsidR="00456B01">
          <w:rPr>
            <w:webHidden/>
          </w:rPr>
          <w:instrText xml:space="preserve"> PAGEREF _Toc400007284 \h </w:instrText>
        </w:r>
        <w:r w:rsidR="006C3227">
          <w:rPr>
            <w:webHidden/>
          </w:rPr>
        </w:r>
        <w:r w:rsidR="006C3227">
          <w:rPr>
            <w:webHidden/>
          </w:rPr>
          <w:fldChar w:fldCharType="separate"/>
        </w:r>
        <w:r w:rsidR="00A37683">
          <w:rPr>
            <w:webHidden/>
          </w:rPr>
          <w:t>32</w:t>
        </w:r>
        <w:r w:rsidR="006C3227">
          <w:rPr>
            <w:webHidden/>
          </w:rPr>
          <w:fldChar w:fldCharType="end"/>
        </w:r>
      </w:hyperlink>
    </w:p>
    <w:p w14:paraId="1BF20DB7" w14:textId="77777777" w:rsidR="00456B01" w:rsidRDefault="007465D8">
      <w:pPr>
        <w:pStyle w:val="TOC2"/>
        <w:rPr>
          <w:rFonts w:asciiTheme="minorHAnsi" w:eastAsiaTheme="minorEastAsia" w:hAnsiTheme="minorHAnsi" w:cstheme="minorBidi"/>
        </w:rPr>
      </w:pPr>
      <w:hyperlink w:anchor="_Toc400007286" w:history="1">
        <w:r w:rsidR="00456B01" w:rsidRPr="00F514A7">
          <w:rPr>
            <w:rStyle w:val="Hyperlink"/>
          </w:rPr>
          <w:t>5.2</w:t>
        </w:r>
        <w:r w:rsidR="00456B01">
          <w:rPr>
            <w:rFonts w:asciiTheme="minorHAnsi" w:eastAsiaTheme="minorEastAsia" w:hAnsiTheme="minorHAnsi" w:cstheme="minorBidi"/>
          </w:rPr>
          <w:tab/>
        </w:r>
        <w:r w:rsidR="00456B01" w:rsidRPr="00F514A7">
          <w:rPr>
            <w:rStyle w:val="Hyperlink"/>
          </w:rPr>
          <w:t>Chronic liver disease and cirrhosis</w:t>
        </w:r>
        <w:r w:rsidR="00456B01">
          <w:rPr>
            <w:webHidden/>
          </w:rPr>
          <w:tab/>
        </w:r>
        <w:r w:rsidR="006C3227">
          <w:rPr>
            <w:webHidden/>
          </w:rPr>
          <w:fldChar w:fldCharType="begin"/>
        </w:r>
        <w:r w:rsidR="00456B01">
          <w:rPr>
            <w:webHidden/>
          </w:rPr>
          <w:instrText xml:space="preserve"> PAGEREF _Toc400007286 \h </w:instrText>
        </w:r>
        <w:r w:rsidR="006C3227">
          <w:rPr>
            <w:webHidden/>
          </w:rPr>
        </w:r>
        <w:r w:rsidR="006C3227">
          <w:rPr>
            <w:webHidden/>
          </w:rPr>
          <w:fldChar w:fldCharType="separate"/>
        </w:r>
        <w:r w:rsidR="00A37683">
          <w:rPr>
            <w:webHidden/>
          </w:rPr>
          <w:t>34</w:t>
        </w:r>
        <w:r w:rsidR="006C3227">
          <w:rPr>
            <w:webHidden/>
          </w:rPr>
          <w:fldChar w:fldCharType="end"/>
        </w:r>
      </w:hyperlink>
    </w:p>
    <w:p w14:paraId="3004F654" w14:textId="77777777" w:rsidR="00456B01" w:rsidRDefault="007465D8">
      <w:pPr>
        <w:pStyle w:val="TOC2"/>
        <w:rPr>
          <w:rFonts w:asciiTheme="minorHAnsi" w:eastAsiaTheme="minorEastAsia" w:hAnsiTheme="minorHAnsi" w:cstheme="minorBidi"/>
        </w:rPr>
      </w:pPr>
      <w:hyperlink w:anchor="_Toc400007287" w:history="1">
        <w:r w:rsidR="00456B01" w:rsidRPr="00F514A7">
          <w:rPr>
            <w:rStyle w:val="Hyperlink"/>
          </w:rPr>
          <w:t>5.3</w:t>
        </w:r>
        <w:r w:rsidR="00456B01">
          <w:rPr>
            <w:rFonts w:asciiTheme="minorHAnsi" w:eastAsiaTheme="minorEastAsia" w:hAnsiTheme="minorHAnsi" w:cstheme="minorBidi"/>
          </w:rPr>
          <w:tab/>
        </w:r>
        <w:r w:rsidR="00456B01" w:rsidRPr="00F514A7">
          <w:rPr>
            <w:rStyle w:val="Hyperlink"/>
          </w:rPr>
          <w:t>Months of life lost</w:t>
        </w:r>
        <w:r w:rsidR="00456B01">
          <w:rPr>
            <w:webHidden/>
          </w:rPr>
          <w:tab/>
        </w:r>
        <w:r w:rsidR="006C3227">
          <w:rPr>
            <w:webHidden/>
          </w:rPr>
          <w:fldChar w:fldCharType="begin"/>
        </w:r>
        <w:r w:rsidR="00456B01">
          <w:rPr>
            <w:webHidden/>
          </w:rPr>
          <w:instrText xml:space="preserve"> PAGEREF _Toc400007287 \h </w:instrText>
        </w:r>
        <w:r w:rsidR="006C3227">
          <w:rPr>
            <w:webHidden/>
          </w:rPr>
        </w:r>
        <w:r w:rsidR="006C3227">
          <w:rPr>
            <w:webHidden/>
          </w:rPr>
          <w:fldChar w:fldCharType="separate"/>
        </w:r>
        <w:r w:rsidR="00A37683">
          <w:rPr>
            <w:webHidden/>
          </w:rPr>
          <w:t>35</w:t>
        </w:r>
        <w:r w:rsidR="006C3227">
          <w:rPr>
            <w:webHidden/>
          </w:rPr>
          <w:fldChar w:fldCharType="end"/>
        </w:r>
      </w:hyperlink>
    </w:p>
    <w:p w14:paraId="496ACDFB" w14:textId="77777777" w:rsidR="00456B01" w:rsidRDefault="007465D8">
      <w:pPr>
        <w:pStyle w:val="TOC2"/>
        <w:rPr>
          <w:rFonts w:asciiTheme="minorHAnsi" w:eastAsiaTheme="minorEastAsia" w:hAnsiTheme="minorHAnsi" w:cstheme="minorBidi"/>
        </w:rPr>
      </w:pPr>
      <w:hyperlink w:anchor="_Toc400007288" w:history="1">
        <w:r w:rsidR="00456B01" w:rsidRPr="00F514A7">
          <w:rPr>
            <w:rStyle w:val="Hyperlink"/>
          </w:rPr>
          <w:t>5.4</w:t>
        </w:r>
        <w:r w:rsidR="00456B01">
          <w:rPr>
            <w:rFonts w:asciiTheme="minorHAnsi" w:eastAsiaTheme="minorEastAsia" w:hAnsiTheme="minorHAnsi" w:cstheme="minorBidi"/>
          </w:rPr>
          <w:tab/>
        </w:r>
        <w:r w:rsidR="00456B01" w:rsidRPr="00F514A7">
          <w:rPr>
            <w:rStyle w:val="Hyperlink"/>
          </w:rPr>
          <w:t>Geographical variation in mortality</w:t>
        </w:r>
        <w:r w:rsidR="00456B01">
          <w:rPr>
            <w:webHidden/>
          </w:rPr>
          <w:tab/>
        </w:r>
        <w:r w:rsidR="006C3227">
          <w:rPr>
            <w:webHidden/>
          </w:rPr>
          <w:fldChar w:fldCharType="begin"/>
        </w:r>
        <w:r w:rsidR="00456B01">
          <w:rPr>
            <w:webHidden/>
          </w:rPr>
          <w:instrText xml:space="preserve"> PAGEREF _Toc400007288 \h </w:instrText>
        </w:r>
        <w:r w:rsidR="006C3227">
          <w:rPr>
            <w:webHidden/>
          </w:rPr>
        </w:r>
        <w:r w:rsidR="006C3227">
          <w:rPr>
            <w:webHidden/>
          </w:rPr>
          <w:fldChar w:fldCharType="separate"/>
        </w:r>
        <w:r w:rsidR="00A37683">
          <w:rPr>
            <w:webHidden/>
          </w:rPr>
          <w:t>37</w:t>
        </w:r>
        <w:r w:rsidR="006C3227">
          <w:rPr>
            <w:webHidden/>
          </w:rPr>
          <w:fldChar w:fldCharType="end"/>
        </w:r>
      </w:hyperlink>
    </w:p>
    <w:p w14:paraId="216CEB61" w14:textId="77777777" w:rsidR="00456B01" w:rsidRDefault="007465D8">
      <w:pPr>
        <w:pStyle w:val="TOC2"/>
        <w:rPr>
          <w:rFonts w:asciiTheme="minorHAnsi" w:eastAsiaTheme="minorEastAsia" w:hAnsiTheme="minorHAnsi" w:cstheme="minorBidi"/>
        </w:rPr>
      </w:pPr>
      <w:hyperlink w:anchor="_Toc400007289" w:history="1">
        <w:r w:rsidR="00456B01" w:rsidRPr="00F514A7">
          <w:rPr>
            <w:rStyle w:val="Hyperlink"/>
          </w:rPr>
          <w:t>5.5</w:t>
        </w:r>
        <w:r w:rsidR="00456B01">
          <w:rPr>
            <w:rFonts w:asciiTheme="minorHAnsi" w:eastAsiaTheme="minorEastAsia" w:hAnsiTheme="minorHAnsi" w:cstheme="minorBidi"/>
          </w:rPr>
          <w:tab/>
        </w:r>
        <w:r w:rsidR="00456B01" w:rsidRPr="00F514A7">
          <w:rPr>
            <w:rStyle w:val="Hyperlink"/>
          </w:rPr>
          <w:t>Comparison to England and English regions</w:t>
        </w:r>
        <w:r w:rsidR="00456B01">
          <w:rPr>
            <w:webHidden/>
          </w:rPr>
          <w:tab/>
        </w:r>
        <w:r w:rsidR="006C3227">
          <w:rPr>
            <w:webHidden/>
          </w:rPr>
          <w:fldChar w:fldCharType="begin"/>
        </w:r>
        <w:r w:rsidR="00456B01">
          <w:rPr>
            <w:webHidden/>
          </w:rPr>
          <w:instrText xml:space="preserve"> PAGEREF _Toc400007289 \h </w:instrText>
        </w:r>
        <w:r w:rsidR="006C3227">
          <w:rPr>
            <w:webHidden/>
          </w:rPr>
        </w:r>
        <w:r w:rsidR="006C3227">
          <w:rPr>
            <w:webHidden/>
          </w:rPr>
          <w:fldChar w:fldCharType="separate"/>
        </w:r>
        <w:r w:rsidR="00A37683">
          <w:rPr>
            <w:webHidden/>
          </w:rPr>
          <w:t>38</w:t>
        </w:r>
        <w:r w:rsidR="006C3227">
          <w:rPr>
            <w:webHidden/>
          </w:rPr>
          <w:fldChar w:fldCharType="end"/>
        </w:r>
      </w:hyperlink>
    </w:p>
    <w:p w14:paraId="6A8EAFDE" w14:textId="77777777" w:rsidR="00456B01" w:rsidRDefault="007465D8">
      <w:pPr>
        <w:pStyle w:val="TOC1"/>
        <w:rPr>
          <w:rFonts w:asciiTheme="minorHAnsi" w:eastAsiaTheme="minorEastAsia" w:hAnsiTheme="minorHAnsi" w:cstheme="minorBidi"/>
          <w:b w:val="0"/>
          <w:caps w:val="0"/>
        </w:rPr>
      </w:pPr>
      <w:hyperlink w:anchor="_Toc400007290" w:history="1">
        <w:r w:rsidR="00456B01" w:rsidRPr="00F514A7">
          <w:rPr>
            <w:rStyle w:val="Hyperlink"/>
          </w:rPr>
          <w:t>6</w:t>
        </w:r>
        <w:r w:rsidR="00456B01">
          <w:rPr>
            <w:rFonts w:asciiTheme="minorHAnsi" w:eastAsiaTheme="minorEastAsia" w:hAnsiTheme="minorHAnsi" w:cstheme="minorBidi"/>
            <w:b w:val="0"/>
            <w:caps w:val="0"/>
          </w:rPr>
          <w:tab/>
        </w:r>
        <w:r w:rsidR="00456B01" w:rsidRPr="00F514A7">
          <w:rPr>
            <w:rStyle w:val="Hyperlink"/>
          </w:rPr>
          <w:t>Socio-economic patterns</w:t>
        </w:r>
        <w:r w:rsidR="00456B01">
          <w:rPr>
            <w:webHidden/>
          </w:rPr>
          <w:tab/>
        </w:r>
        <w:r w:rsidR="006C3227">
          <w:rPr>
            <w:webHidden/>
          </w:rPr>
          <w:fldChar w:fldCharType="begin"/>
        </w:r>
        <w:r w:rsidR="00456B01">
          <w:rPr>
            <w:webHidden/>
          </w:rPr>
          <w:instrText xml:space="preserve"> PAGEREF _Toc400007290 \h </w:instrText>
        </w:r>
        <w:r w:rsidR="006C3227">
          <w:rPr>
            <w:webHidden/>
          </w:rPr>
        </w:r>
        <w:r w:rsidR="006C3227">
          <w:rPr>
            <w:webHidden/>
          </w:rPr>
          <w:fldChar w:fldCharType="separate"/>
        </w:r>
        <w:r w:rsidR="00A37683">
          <w:rPr>
            <w:webHidden/>
          </w:rPr>
          <w:t>41</w:t>
        </w:r>
        <w:r w:rsidR="006C3227">
          <w:rPr>
            <w:webHidden/>
          </w:rPr>
          <w:fldChar w:fldCharType="end"/>
        </w:r>
      </w:hyperlink>
    </w:p>
    <w:p w14:paraId="7EFDCA5C" w14:textId="77777777" w:rsidR="00456B01" w:rsidRDefault="007465D8">
      <w:pPr>
        <w:pStyle w:val="TOC1"/>
        <w:rPr>
          <w:rFonts w:asciiTheme="minorHAnsi" w:eastAsiaTheme="minorEastAsia" w:hAnsiTheme="minorHAnsi" w:cstheme="minorBidi"/>
          <w:b w:val="0"/>
          <w:caps w:val="0"/>
        </w:rPr>
      </w:pPr>
      <w:hyperlink w:anchor="_Toc400007291" w:history="1">
        <w:r w:rsidR="00456B01" w:rsidRPr="00F514A7">
          <w:rPr>
            <w:rStyle w:val="Hyperlink"/>
          </w:rPr>
          <w:t>7</w:t>
        </w:r>
        <w:r w:rsidR="00456B01">
          <w:rPr>
            <w:rFonts w:asciiTheme="minorHAnsi" w:eastAsiaTheme="minorEastAsia" w:hAnsiTheme="minorHAnsi" w:cstheme="minorBidi"/>
            <w:b w:val="0"/>
            <w:caps w:val="0"/>
          </w:rPr>
          <w:tab/>
        </w:r>
        <w:r w:rsidR="00456B01" w:rsidRPr="00F514A7">
          <w:rPr>
            <w:rStyle w:val="Hyperlink"/>
          </w:rPr>
          <w:t>References</w:t>
        </w:r>
        <w:r w:rsidR="00456B01">
          <w:rPr>
            <w:webHidden/>
          </w:rPr>
          <w:tab/>
        </w:r>
        <w:r w:rsidR="006C3227">
          <w:rPr>
            <w:webHidden/>
          </w:rPr>
          <w:fldChar w:fldCharType="begin"/>
        </w:r>
        <w:r w:rsidR="00456B01">
          <w:rPr>
            <w:webHidden/>
          </w:rPr>
          <w:instrText xml:space="preserve"> PAGEREF _Toc400007291 \h </w:instrText>
        </w:r>
        <w:r w:rsidR="006C3227">
          <w:rPr>
            <w:webHidden/>
          </w:rPr>
        </w:r>
        <w:r w:rsidR="006C3227">
          <w:rPr>
            <w:webHidden/>
          </w:rPr>
          <w:fldChar w:fldCharType="separate"/>
        </w:r>
        <w:r w:rsidR="00A37683">
          <w:rPr>
            <w:webHidden/>
          </w:rPr>
          <w:t>47</w:t>
        </w:r>
        <w:r w:rsidR="006C3227">
          <w:rPr>
            <w:webHidden/>
          </w:rPr>
          <w:fldChar w:fldCharType="end"/>
        </w:r>
      </w:hyperlink>
    </w:p>
    <w:p w14:paraId="69492F25" w14:textId="77777777" w:rsidR="00BB551A" w:rsidRPr="00BB551A" w:rsidRDefault="006C3227" w:rsidP="00BB551A">
      <w:r>
        <w:rPr>
          <w:noProof/>
        </w:rPr>
        <w:fldChar w:fldCharType="end"/>
      </w:r>
    </w:p>
    <w:p w14:paraId="37A284DF" w14:textId="77777777" w:rsidR="00787794" w:rsidRDefault="00787794">
      <w:pPr>
        <w:spacing w:before="0"/>
        <w:jc w:val="left"/>
        <w:rPr>
          <w:b/>
          <w:color w:val="2D5B75"/>
          <w:kern w:val="28"/>
          <w:sz w:val="72"/>
          <w:szCs w:val="30"/>
        </w:rPr>
      </w:pPr>
      <w:bookmarkStart w:id="5" w:name="_Toc400007260"/>
      <w:r>
        <w:br w:type="page"/>
      </w:r>
    </w:p>
    <w:p w14:paraId="70D01E19" w14:textId="77777777" w:rsidR="00BB551A" w:rsidRDefault="00BA7D8B" w:rsidP="00AB483B">
      <w:pPr>
        <w:pStyle w:val="Heading1"/>
        <w:numPr>
          <w:ilvl w:val="0"/>
          <w:numId w:val="0"/>
        </w:numPr>
      </w:pPr>
      <w:r w:rsidRPr="00BA7D8B">
        <w:lastRenderedPageBreak/>
        <w:t>Figures &amp; Tables</w:t>
      </w:r>
      <w:bookmarkEnd w:id="5"/>
    </w:p>
    <w:p w14:paraId="7B1FA309" w14:textId="77777777" w:rsidR="00200BBD" w:rsidRPr="00200BBD" w:rsidRDefault="00200BBD" w:rsidP="00200BBD"/>
    <w:tbl>
      <w:tblPr>
        <w:tblStyle w:val="TableGrid"/>
        <w:tblW w:w="10774"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8363"/>
        <w:gridCol w:w="851"/>
      </w:tblGrid>
      <w:tr w:rsidR="00574EB5" w:rsidRPr="00574EB5" w14:paraId="31041B52" w14:textId="77777777" w:rsidTr="002400AF">
        <w:tc>
          <w:tcPr>
            <w:tcW w:w="1560" w:type="dxa"/>
          </w:tcPr>
          <w:p w14:paraId="07BE7726" w14:textId="77777777" w:rsidR="00574EB5" w:rsidRPr="00574EB5" w:rsidRDefault="00574EB5" w:rsidP="00771331">
            <w:pPr>
              <w:tabs>
                <w:tab w:val="left" w:pos="1080"/>
              </w:tabs>
              <w:spacing w:before="120" w:after="60"/>
              <w:rPr>
                <w:sz w:val="20"/>
                <w:szCs w:val="20"/>
              </w:rPr>
            </w:pPr>
            <w:r w:rsidRPr="00574EB5">
              <w:rPr>
                <w:b/>
                <w:sz w:val="20"/>
                <w:szCs w:val="20"/>
              </w:rPr>
              <w:t>Table 1</w:t>
            </w:r>
            <w:r w:rsidRPr="00574EB5">
              <w:rPr>
                <w:b/>
                <w:sz w:val="20"/>
                <w:szCs w:val="20"/>
              </w:rPr>
              <w:tab/>
            </w:r>
          </w:p>
        </w:tc>
        <w:tc>
          <w:tcPr>
            <w:tcW w:w="8363" w:type="dxa"/>
          </w:tcPr>
          <w:p w14:paraId="30EDAF6B" w14:textId="77777777" w:rsidR="00574EB5" w:rsidRPr="00574EB5" w:rsidRDefault="00574EB5" w:rsidP="00771331">
            <w:pPr>
              <w:spacing w:before="120" w:after="60"/>
              <w:rPr>
                <w:sz w:val="20"/>
                <w:szCs w:val="20"/>
              </w:rPr>
            </w:pPr>
            <w:r w:rsidRPr="00574EB5">
              <w:rPr>
                <w:sz w:val="20"/>
                <w:szCs w:val="20"/>
              </w:rPr>
              <w:t>Number of units in common alcoholic drinks</w:t>
            </w:r>
          </w:p>
        </w:tc>
        <w:tc>
          <w:tcPr>
            <w:tcW w:w="851" w:type="dxa"/>
          </w:tcPr>
          <w:p w14:paraId="296F61B5" w14:textId="77777777" w:rsidR="00574EB5" w:rsidRPr="00574EB5" w:rsidRDefault="00A367EB" w:rsidP="005847B7">
            <w:pPr>
              <w:spacing w:before="120" w:after="60"/>
              <w:jc w:val="right"/>
              <w:rPr>
                <w:sz w:val="20"/>
                <w:szCs w:val="20"/>
              </w:rPr>
            </w:pPr>
            <w:r>
              <w:rPr>
                <w:sz w:val="20"/>
                <w:szCs w:val="20"/>
              </w:rPr>
              <w:t>7</w:t>
            </w:r>
          </w:p>
        </w:tc>
      </w:tr>
      <w:tr w:rsidR="00574EB5" w:rsidRPr="00574EB5" w14:paraId="4909CE7A" w14:textId="77777777" w:rsidTr="002400AF">
        <w:tc>
          <w:tcPr>
            <w:tcW w:w="1560" w:type="dxa"/>
          </w:tcPr>
          <w:p w14:paraId="0598E5F8" w14:textId="77777777" w:rsidR="00574EB5" w:rsidRPr="00574EB5" w:rsidRDefault="00574EB5" w:rsidP="00771331">
            <w:pPr>
              <w:spacing w:before="120" w:after="60"/>
              <w:rPr>
                <w:sz w:val="20"/>
                <w:szCs w:val="20"/>
              </w:rPr>
            </w:pPr>
            <w:r w:rsidRPr="00574EB5">
              <w:rPr>
                <w:b/>
                <w:sz w:val="20"/>
                <w:szCs w:val="20"/>
              </w:rPr>
              <w:t>Table 2</w:t>
            </w:r>
          </w:p>
        </w:tc>
        <w:tc>
          <w:tcPr>
            <w:tcW w:w="8363" w:type="dxa"/>
          </w:tcPr>
          <w:p w14:paraId="55BB1204" w14:textId="77777777" w:rsidR="00574EB5" w:rsidRPr="00574EB5" w:rsidRDefault="00574EB5" w:rsidP="00771331">
            <w:pPr>
              <w:spacing w:before="120" w:after="60"/>
              <w:rPr>
                <w:sz w:val="20"/>
                <w:szCs w:val="20"/>
              </w:rPr>
            </w:pPr>
            <w:r w:rsidRPr="00574EB5">
              <w:rPr>
                <w:sz w:val="20"/>
                <w:szCs w:val="20"/>
              </w:rPr>
              <w:t>Overview of definitions used</w:t>
            </w:r>
          </w:p>
        </w:tc>
        <w:tc>
          <w:tcPr>
            <w:tcW w:w="851" w:type="dxa"/>
          </w:tcPr>
          <w:p w14:paraId="04AF02C4" w14:textId="77777777" w:rsidR="00574EB5" w:rsidRPr="00574EB5" w:rsidRDefault="00A367EB" w:rsidP="005847B7">
            <w:pPr>
              <w:spacing w:before="120" w:after="60"/>
              <w:jc w:val="right"/>
              <w:rPr>
                <w:sz w:val="20"/>
                <w:szCs w:val="20"/>
              </w:rPr>
            </w:pPr>
            <w:r>
              <w:rPr>
                <w:sz w:val="20"/>
                <w:szCs w:val="20"/>
              </w:rPr>
              <w:t>8</w:t>
            </w:r>
          </w:p>
        </w:tc>
      </w:tr>
      <w:tr w:rsidR="00574EB5" w:rsidRPr="00574EB5" w14:paraId="0E829B9D" w14:textId="77777777" w:rsidTr="002400AF">
        <w:tc>
          <w:tcPr>
            <w:tcW w:w="1560" w:type="dxa"/>
          </w:tcPr>
          <w:p w14:paraId="1842FDC8" w14:textId="77777777" w:rsidR="00574EB5" w:rsidRPr="00574EB5" w:rsidRDefault="00595419" w:rsidP="00771331">
            <w:pPr>
              <w:tabs>
                <w:tab w:val="left" w:pos="409"/>
                <w:tab w:val="left" w:pos="1114"/>
              </w:tabs>
              <w:spacing w:before="120" w:after="60"/>
              <w:rPr>
                <w:sz w:val="20"/>
                <w:szCs w:val="20"/>
              </w:rPr>
            </w:pPr>
            <w:r>
              <w:rPr>
                <w:b/>
                <w:sz w:val="20"/>
                <w:szCs w:val="20"/>
              </w:rPr>
              <w:t xml:space="preserve">Figure </w:t>
            </w:r>
            <w:r w:rsidR="00574EB5" w:rsidRPr="00574EB5">
              <w:rPr>
                <w:b/>
                <w:sz w:val="20"/>
                <w:szCs w:val="20"/>
              </w:rPr>
              <w:t>1</w:t>
            </w:r>
            <w:r w:rsidR="00574EB5" w:rsidRPr="00574EB5">
              <w:rPr>
                <w:b/>
                <w:sz w:val="20"/>
                <w:szCs w:val="20"/>
              </w:rPr>
              <w:tab/>
            </w:r>
          </w:p>
        </w:tc>
        <w:tc>
          <w:tcPr>
            <w:tcW w:w="8363" w:type="dxa"/>
          </w:tcPr>
          <w:p w14:paraId="5D0EA4DE" w14:textId="77777777" w:rsidR="00574EB5" w:rsidRPr="00574EB5" w:rsidRDefault="00574EB5" w:rsidP="00702B27">
            <w:pPr>
              <w:tabs>
                <w:tab w:val="left" w:pos="9923"/>
              </w:tabs>
              <w:spacing w:before="120" w:after="60"/>
              <w:rPr>
                <w:sz w:val="20"/>
                <w:szCs w:val="20"/>
              </w:rPr>
            </w:pPr>
            <w:r w:rsidRPr="00574EB5">
              <w:rPr>
                <w:sz w:val="20"/>
                <w:szCs w:val="20"/>
              </w:rPr>
              <w:t>Percentage of respondents who reported drinking alcohol at least once a we</w:t>
            </w:r>
            <w:r w:rsidR="00771331">
              <w:rPr>
                <w:sz w:val="20"/>
                <w:szCs w:val="20"/>
              </w:rPr>
              <w:t>ek</w:t>
            </w:r>
            <w:r w:rsidR="00702B27">
              <w:rPr>
                <w:sz w:val="20"/>
                <w:szCs w:val="20"/>
              </w:rPr>
              <w:t>,</w:t>
            </w:r>
            <w:r w:rsidR="00771331">
              <w:rPr>
                <w:sz w:val="20"/>
                <w:szCs w:val="20"/>
              </w:rPr>
              <w:t xml:space="preserve"> </w:t>
            </w:r>
            <w:r w:rsidR="00702B27">
              <w:rPr>
                <w:sz w:val="20"/>
                <w:szCs w:val="20"/>
              </w:rPr>
              <w:t>boys</w:t>
            </w:r>
            <w:r w:rsidR="00771331">
              <w:rPr>
                <w:sz w:val="20"/>
                <w:szCs w:val="20"/>
              </w:rPr>
              <w:t xml:space="preserve"> and </w:t>
            </w:r>
            <w:r w:rsidR="00702B27">
              <w:rPr>
                <w:sz w:val="20"/>
                <w:szCs w:val="20"/>
              </w:rPr>
              <w:t>girls</w:t>
            </w:r>
            <w:r w:rsidR="00771331">
              <w:rPr>
                <w:sz w:val="20"/>
                <w:szCs w:val="20"/>
              </w:rPr>
              <w:t xml:space="preserve"> aged 11-16</w:t>
            </w:r>
            <w:r w:rsidRPr="00574EB5">
              <w:rPr>
                <w:sz w:val="20"/>
                <w:szCs w:val="20"/>
              </w:rPr>
              <w:t>, 2009/10</w:t>
            </w:r>
          </w:p>
        </w:tc>
        <w:tc>
          <w:tcPr>
            <w:tcW w:w="851" w:type="dxa"/>
          </w:tcPr>
          <w:p w14:paraId="15D7AFDE" w14:textId="77777777" w:rsidR="00574EB5" w:rsidRPr="00574EB5" w:rsidRDefault="00DB76B0" w:rsidP="005847B7">
            <w:pPr>
              <w:spacing w:before="120" w:after="60"/>
              <w:jc w:val="right"/>
              <w:rPr>
                <w:sz w:val="20"/>
                <w:szCs w:val="20"/>
              </w:rPr>
            </w:pPr>
            <w:r>
              <w:rPr>
                <w:sz w:val="20"/>
                <w:szCs w:val="20"/>
              </w:rPr>
              <w:t>1</w:t>
            </w:r>
            <w:r w:rsidR="00A367EB">
              <w:rPr>
                <w:sz w:val="20"/>
                <w:szCs w:val="20"/>
              </w:rPr>
              <w:t>0</w:t>
            </w:r>
          </w:p>
        </w:tc>
      </w:tr>
      <w:tr w:rsidR="00574EB5" w:rsidRPr="00574EB5" w14:paraId="251AD901" w14:textId="77777777" w:rsidTr="002400AF">
        <w:tc>
          <w:tcPr>
            <w:tcW w:w="1560" w:type="dxa"/>
          </w:tcPr>
          <w:p w14:paraId="43987FD8" w14:textId="77777777" w:rsidR="00574EB5" w:rsidRPr="00574EB5" w:rsidRDefault="00574EB5" w:rsidP="00771331">
            <w:pPr>
              <w:spacing w:before="120" w:after="60"/>
              <w:rPr>
                <w:sz w:val="20"/>
                <w:szCs w:val="20"/>
              </w:rPr>
            </w:pPr>
            <w:r w:rsidRPr="00574EB5">
              <w:rPr>
                <w:b/>
                <w:sz w:val="20"/>
                <w:szCs w:val="20"/>
              </w:rPr>
              <w:t>Figure 2</w:t>
            </w:r>
          </w:p>
        </w:tc>
        <w:tc>
          <w:tcPr>
            <w:tcW w:w="8363" w:type="dxa"/>
          </w:tcPr>
          <w:p w14:paraId="4C6D68F2" w14:textId="77777777" w:rsidR="00574EB5" w:rsidRPr="00574EB5" w:rsidRDefault="00574EB5" w:rsidP="00771331">
            <w:pPr>
              <w:tabs>
                <w:tab w:val="left" w:pos="1418"/>
                <w:tab w:val="left" w:pos="9923"/>
              </w:tabs>
              <w:spacing w:before="120" w:after="60"/>
              <w:rPr>
                <w:sz w:val="20"/>
                <w:szCs w:val="20"/>
              </w:rPr>
            </w:pPr>
            <w:r w:rsidRPr="00574EB5">
              <w:rPr>
                <w:sz w:val="20"/>
                <w:szCs w:val="20"/>
              </w:rPr>
              <w:t>Reported average frequency of drinking alcohol, percentages, males and females aged 16+, Wales, 2012</w:t>
            </w:r>
          </w:p>
        </w:tc>
        <w:tc>
          <w:tcPr>
            <w:tcW w:w="851" w:type="dxa"/>
          </w:tcPr>
          <w:p w14:paraId="1C5FDFD6" w14:textId="77777777" w:rsidR="00574EB5" w:rsidRPr="00574EB5" w:rsidRDefault="00DB76B0" w:rsidP="005847B7">
            <w:pPr>
              <w:spacing w:before="120" w:after="60"/>
              <w:jc w:val="right"/>
              <w:rPr>
                <w:sz w:val="20"/>
                <w:szCs w:val="20"/>
              </w:rPr>
            </w:pPr>
            <w:r>
              <w:rPr>
                <w:sz w:val="20"/>
                <w:szCs w:val="20"/>
              </w:rPr>
              <w:t>1</w:t>
            </w:r>
            <w:r w:rsidR="00A367EB">
              <w:rPr>
                <w:sz w:val="20"/>
                <w:szCs w:val="20"/>
              </w:rPr>
              <w:t>1</w:t>
            </w:r>
          </w:p>
        </w:tc>
      </w:tr>
      <w:tr w:rsidR="00574EB5" w:rsidRPr="00574EB5" w14:paraId="617CBF12" w14:textId="77777777" w:rsidTr="002400AF">
        <w:tc>
          <w:tcPr>
            <w:tcW w:w="1560" w:type="dxa"/>
          </w:tcPr>
          <w:p w14:paraId="1203C10D" w14:textId="77777777" w:rsidR="00574EB5" w:rsidRPr="00574EB5" w:rsidRDefault="00574EB5" w:rsidP="00771331">
            <w:pPr>
              <w:spacing w:before="120" w:after="60"/>
              <w:rPr>
                <w:sz w:val="20"/>
                <w:szCs w:val="20"/>
              </w:rPr>
            </w:pPr>
            <w:r w:rsidRPr="00574EB5">
              <w:rPr>
                <w:b/>
                <w:sz w:val="20"/>
                <w:szCs w:val="20"/>
              </w:rPr>
              <w:t>Figure 3</w:t>
            </w:r>
          </w:p>
        </w:tc>
        <w:tc>
          <w:tcPr>
            <w:tcW w:w="8363" w:type="dxa"/>
          </w:tcPr>
          <w:p w14:paraId="3511C05A" w14:textId="77777777" w:rsidR="00574EB5" w:rsidRPr="00574EB5" w:rsidRDefault="00574EB5" w:rsidP="00771331">
            <w:pPr>
              <w:tabs>
                <w:tab w:val="left" w:pos="1418"/>
                <w:tab w:val="right" w:pos="7938"/>
                <w:tab w:val="left" w:pos="9923"/>
              </w:tabs>
              <w:spacing w:before="120" w:after="60"/>
              <w:rPr>
                <w:rFonts w:cs="Arial"/>
                <w:bCs/>
                <w:sz w:val="20"/>
                <w:szCs w:val="20"/>
              </w:rPr>
            </w:pPr>
            <w:r w:rsidRPr="00574EB5">
              <w:rPr>
                <w:rFonts w:cs="Arial"/>
                <w:bCs/>
                <w:sz w:val="20"/>
                <w:szCs w:val="20"/>
              </w:rPr>
              <w:t>Percentage of adults who reported drinking on the heaviest day in the past we</w:t>
            </w:r>
            <w:r w:rsidR="00022318">
              <w:rPr>
                <w:rFonts w:cs="Arial"/>
                <w:bCs/>
                <w:sz w:val="20"/>
                <w:szCs w:val="20"/>
              </w:rPr>
              <w:t>ek, age-standardised percentage</w:t>
            </w:r>
            <w:r w:rsidRPr="00574EB5">
              <w:rPr>
                <w:rFonts w:cs="Arial"/>
                <w:bCs/>
                <w:sz w:val="20"/>
                <w:szCs w:val="20"/>
              </w:rPr>
              <w:t>, males and females aged 16+, Wales, 2008 -2013</w:t>
            </w:r>
          </w:p>
        </w:tc>
        <w:tc>
          <w:tcPr>
            <w:tcW w:w="851" w:type="dxa"/>
          </w:tcPr>
          <w:p w14:paraId="050D121E" w14:textId="77777777" w:rsidR="00574EB5" w:rsidRPr="00574EB5" w:rsidRDefault="00DB76B0" w:rsidP="005847B7">
            <w:pPr>
              <w:spacing w:before="120" w:after="60"/>
              <w:jc w:val="right"/>
              <w:rPr>
                <w:sz w:val="20"/>
                <w:szCs w:val="20"/>
              </w:rPr>
            </w:pPr>
            <w:r>
              <w:rPr>
                <w:sz w:val="20"/>
                <w:szCs w:val="20"/>
              </w:rPr>
              <w:t>1</w:t>
            </w:r>
            <w:r w:rsidR="00A367EB">
              <w:rPr>
                <w:sz w:val="20"/>
                <w:szCs w:val="20"/>
              </w:rPr>
              <w:t>2</w:t>
            </w:r>
          </w:p>
        </w:tc>
      </w:tr>
      <w:tr w:rsidR="00574EB5" w:rsidRPr="00574EB5" w14:paraId="1193025C" w14:textId="77777777" w:rsidTr="002400AF">
        <w:tc>
          <w:tcPr>
            <w:tcW w:w="1560" w:type="dxa"/>
          </w:tcPr>
          <w:p w14:paraId="09BAFBE5" w14:textId="77777777" w:rsidR="00574EB5" w:rsidRPr="00574EB5" w:rsidRDefault="00574EB5" w:rsidP="00771331">
            <w:pPr>
              <w:spacing w:before="120" w:after="60"/>
              <w:rPr>
                <w:sz w:val="20"/>
                <w:szCs w:val="20"/>
              </w:rPr>
            </w:pPr>
            <w:r w:rsidRPr="00574EB5">
              <w:rPr>
                <w:rFonts w:cs="Arial"/>
                <w:b/>
                <w:bCs/>
                <w:sz w:val="20"/>
                <w:szCs w:val="20"/>
              </w:rPr>
              <w:t>Figure 4</w:t>
            </w:r>
          </w:p>
        </w:tc>
        <w:tc>
          <w:tcPr>
            <w:tcW w:w="8363" w:type="dxa"/>
          </w:tcPr>
          <w:p w14:paraId="655E3850" w14:textId="77777777" w:rsidR="00574EB5" w:rsidRPr="00574EB5" w:rsidRDefault="00574EB5" w:rsidP="00771331">
            <w:pPr>
              <w:tabs>
                <w:tab w:val="left" w:pos="1418"/>
                <w:tab w:val="left" w:pos="9923"/>
              </w:tabs>
              <w:spacing w:before="120" w:after="60"/>
              <w:ind w:right="540"/>
              <w:rPr>
                <w:rFonts w:cs="Arial"/>
                <w:bCs/>
                <w:sz w:val="20"/>
                <w:szCs w:val="20"/>
              </w:rPr>
            </w:pPr>
            <w:r w:rsidRPr="00574EB5">
              <w:rPr>
                <w:rFonts w:cs="Arial"/>
                <w:bCs/>
                <w:sz w:val="20"/>
                <w:szCs w:val="20"/>
              </w:rPr>
              <w:t>Percentage of adults who reported abstaining from alcohol, males and females aged 16+, Wales, 2008-</w:t>
            </w:r>
            <w:r w:rsidR="004A5740">
              <w:rPr>
                <w:rFonts w:cs="Arial"/>
                <w:bCs/>
                <w:sz w:val="20"/>
                <w:szCs w:val="20"/>
              </w:rPr>
              <w:t>0</w:t>
            </w:r>
            <w:r w:rsidRPr="00574EB5">
              <w:rPr>
                <w:rFonts w:cs="Arial"/>
                <w:bCs/>
                <w:sz w:val="20"/>
                <w:szCs w:val="20"/>
              </w:rPr>
              <w:t>9 and 2011-12</w:t>
            </w:r>
          </w:p>
        </w:tc>
        <w:tc>
          <w:tcPr>
            <w:tcW w:w="851" w:type="dxa"/>
          </w:tcPr>
          <w:p w14:paraId="6AA330C6" w14:textId="77777777" w:rsidR="00574EB5" w:rsidRPr="00574EB5" w:rsidRDefault="00DB76B0" w:rsidP="005847B7">
            <w:pPr>
              <w:spacing w:before="120" w:after="60"/>
              <w:jc w:val="right"/>
              <w:rPr>
                <w:sz w:val="20"/>
                <w:szCs w:val="20"/>
              </w:rPr>
            </w:pPr>
            <w:r>
              <w:rPr>
                <w:sz w:val="20"/>
                <w:szCs w:val="20"/>
              </w:rPr>
              <w:t>1</w:t>
            </w:r>
            <w:r w:rsidR="00A367EB">
              <w:rPr>
                <w:sz w:val="20"/>
                <w:szCs w:val="20"/>
              </w:rPr>
              <w:t>3</w:t>
            </w:r>
          </w:p>
        </w:tc>
      </w:tr>
      <w:tr w:rsidR="00574EB5" w:rsidRPr="00574EB5" w14:paraId="06DE8D86" w14:textId="77777777" w:rsidTr="002400AF">
        <w:tc>
          <w:tcPr>
            <w:tcW w:w="1560" w:type="dxa"/>
          </w:tcPr>
          <w:p w14:paraId="4FCE4283" w14:textId="77777777" w:rsidR="00574EB5" w:rsidRPr="00574EB5" w:rsidRDefault="00574EB5" w:rsidP="00771331">
            <w:pPr>
              <w:spacing w:before="120" w:after="60"/>
              <w:rPr>
                <w:sz w:val="20"/>
                <w:szCs w:val="20"/>
              </w:rPr>
            </w:pPr>
            <w:r w:rsidRPr="00574EB5">
              <w:rPr>
                <w:rFonts w:cs="Arial"/>
                <w:b/>
                <w:bCs/>
                <w:sz w:val="20"/>
                <w:szCs w:val="20"/>
              </w:rPr>
              <w:t>Figure 5</w:t>
            </w:r>
          </w:p>
        </w:tc>
        <w:tc>
          <w:tcPr>
            <w:tcW w:w="8363" w:type="dxa"/>
          </w:tcPr>
          <w:p w14:paraId="36DA732F" w14:textId="77777777" w:rsidR="00574EB5" w:rsidRPr="00574EB5" w:rsidRDefault="00574EB5" w:rsidP="00771331">
            <w:pPr>
              <w:spacing w:before="120" w:after="60"/>
              <w:rPr>
                <w:rFonts w:cs="Arial"/>
                <w:bCs/>
                <w:sz w:val="20"/>
                <w:szCs w:val="20"/>
              </w:rPr>
            </w:pPr>
            <w:r w:rsidRPr="00574EB5">
              <w:rPr>
                <w:rFonts w:cs="Arial"/>
                <w:bCs/>
                <w:sz w:val="20"/>
                <w:szCs w:val="20"/>
              </w:rPr>
              <w:t>Percentage of adults who reported drinking above guidelines, males and females aged 16+, Wales, 2008-</w:t>
            </w:r>
            <w:r w:rsidR="004A5740">
              <w:rPr>
                <w:rFonts w:cs="Arial"/>
                <w:bCs/>
                <w:sz w:val="20"/>
                <w:szCs w:val="20"/>
              </w:rPr>
              <w:t>0</w:t>
            </w:r>
            <w:r w:rsidRPr="00574EB5">
              <w:rPr>
                <w:rFonts w:cs="Arial"/>
                <w:bCs/>
                <w:sz w:val="20"/>
                <w:szCs w:val="20"/>
              </w:rPr>
              <w:t>9 and 2011-12</w:t>
            </w:r>
          </w:p>
        </w:tc>
        <w:tc>
          <w:tcPr>
            <w:tcW w:w="851" w:type="dxa"/>
          </w:tcPr>
          <w:p w14:paraId="75819282" w14:textId="77777777" w:rsidR="00574EB5" w:rsidRPr="00574EB5" w:rsidRDefault="00DB76B0" w:rsidP="005847B7">
            <w:pPr>
              <w:spacing w:before="120" w:after="60"/>
              <w:jc w:val="right"/>
              <w:rPr>
                <w:sz w:val="20"/>
                <w:szCs w:val="20"/>
              </w:rPr>
            </w:pPr>
            <w:r>
              <w:rPr>
                <w:sz w:val="20"/>
                <w:szCs w:val="20"/>
              </w:rPr>
              <w:t>1</w:t>
            </w:r>
            <w:r w:rsidR="00A367EB">
              <w:rPr>
                <w:sz w:val="20"/>
                <w:szCs w:val="20"/>
              </w:rPr>
              <w:t>4</w:t>
            </w:r>
          </w:p>
        </w:tc>
      </w:tr>
      <w:tr w:rsidR="00574EB5" w:rsidRPr="00574EB5" w14:paraId="4795AB8F" w14:textId="77777777" w:rsidTr="002400AF">
        <w:tc>
          <w:tcPr>
            <w:tcW w:w="1560" w:type="dxa"/>
          </w:tcPr>
          <w:p w14:paraId="22E810BE" w14:textId="77777777" w:rsidR="00574EB5" w:rsidRPr="00574EB5" w:rsidRDefault="00574EB5" w:rsidP="00771331">
            <w:pPr>
              <w:spacing w:before="120" w:after="60"/>
              <w:rPr>
                <w:rFonts w:cs="Arial"/>
                <w:b/>
                <w:bCs/>
                <w:sz w:val="20"/>
                <w:szCs w:val="20"/>
              </w:rPr>
            </w:pPr>
            <w:r w:rsidRPr="00574EB5">
              <w:rPr>
                <w:rFonts w:cs="Arial"/>
                <w:b/>
                <w:bCs/>
                <w:sz w:val="20"/>
                <w:szCs w:val="20"/>
              </w:rPr>
              <w:t>Figure 6</w:t>
            </w:r>
          </w:p>
        </w:tc>
        <w:tc>
          <w:tcPr>
            <w:tcW w:w="8363" w:type="dxa"/>
          </w:tcPr>
          <w:p w14:paraId="3BD7124E" w14:textId="77777777" w:rsidR="00574EB5" w:rsidRPr="00574EB5" w:rsidRDefault="00574EB5" w:rsidP="00771331">
            <w:pPr>
              <w:spacing w:before="120" w:after="60"/>
              <w:rPr>
                <w:rFonts w:cs="Arial"/>
                <w:bCs/>
                <w:sz w:val="20"/>
                <w:szCs w:val="20"/>
              </w:rPr>
            </w:pPr>
            <w:r w:rsidRPr="00574EB5">
              <w:rPr>
                <w:rFonts w:cs="Arial"/>
                <w:bCs/>
                <w:sz w:val="20"/>
                <w:szCs w:val="20"/>
              </w:rPr>
              <w:t>Percentage of adults who reported heavy (binge) drinking, males and females aged 16+, Wales, 2008-</w:t>
            </w:r>
            <w:r w:rsidR="004A5740">
              <w:rPr>
                <w:rFonts w:cs="Arial"/>
                <w:bCs/>
                <w:sz w:val="20"/>
                <w:szCs w:val="20"/>
              </w:rPr>
              <w:t>0</w:t>
            </w:r>
            <w:r w:rsidRPr="00574EB5">
              <w:rPr>
                <w:rFonts w:cs="Arial"/>
                <w:bCs/>
                <w:sz w:val="20"/>
                <w:szCs w:val="20"/>
              </w:rPr>
              <w:t>9 and 2011-12</w:t>
            </w:r>
          </w:p>
        </w:tc>
        <w:tc>
          <w:tcPr>
            <w:tcW w:w="851" w:type="dxa"/>
          </w:tcPr>
          <w:p w14:paraId="44E6068A" w14:textId="77777777" w:rsidR="00574EB5" w:rsidRPr="00574EB5" w:rsidRDefault="00DB76B0" w:rsidP="005847B7">
            <w:pPr>
              <w:spacing w:before="120" w:after="60"/>
              <w:jc w:val="right"/>
              <w:rPr>
                <w:sz w:val="20"/>
                <w:szCs w:val="20"/>
              </w:rPr>
            </w:pPr>
            <w:r>
              <w:rPr>
                <w:sz w:val="20"/>
                <w:szCs w:val="20"/>
              </w:rPr>
              <w:t>1</w:t>
            </w:r>
            <w:r w:rsidR="00A367EB">
              <w:rPr>
                <w:sz w:val="20"/>
                <w:szCs w:val="20"/>
              </w:rPr>
              <w:t>5</w:t>
            </w:r>
          </w:p>
        </w:tc>
      </w:tr>
      <w:tr w:rsidR="00574EB5" w:rsidRPr="00574EB5" w14:paraId="48101DB1" w14:textId="77777777" w:rsidTr="002400AF">
        <w:tc>
          <w:tcPr>
            <w:tcW w:w="1560" w:type="dxa"/>
          </w:tcPr>
          <w:p w14:paraId="53E3551B" w14:textId="77777777" w:rsidR="00574EB5" w:rsidRPr="00574EB5" w:rsidRDefault="00574EB5" w:rsidP="00771331">
            <w:pPr>
              <w:spacing w:before="120" w:after="60"/>
              <w:rPr>
                <w:rFonts w:cs="Arial"/>
                <w:b/>
                <w:bCs/>
                <w:sz w:val="20"/>
                <w:szCs w:val="20"/>
              </w:rPr>
            </w:pPr>
            <w:r w:rsidRPr="00574EB5">
              <w:rPr>
                <w:rFonts w:cs="Arial"/>
                <w:b/>
                <w:bCs/>
                <w:sz w:val="20"/>
                <w:szCs w:val="20"/>
              </w:rPr>
              <w:t>Figure 7</w:t>
            </w:r>
          </w:p>
        </w:tc>
        <w:tc>
          <w:tcPr>
            <w:tcW w:w="8363" w:type="dxa"/>
          </w:tcPr>
          <w:p w14:paraId="5344C393" w14:textId="77777777" w:rsidR="00574EB5" w:rsidRPr="00574EB5" w:rsidRDefault="00574EB5" w:rsidP="00771331">
            <w:pPr>
              <w:spacing w:before="120" w:after="60"/>
              <w:rPr>
                <w:rFonts w:cs="Arial"/>
                <w:bCs/>
                <w:sz w:val="20"/>
                <w:szCs w:val="20"/>
              </w:rPr>
            </w:pPr>
            <w:r w:rsidRPr="00574EB5">
              <w:rPr>
                <w:rFonts w:cs="Arial"/>
                <w:bCs/>
                <w:sz w:val="20"/>
                <w:szCs w:val="20"/>
              </w:rPr>
              <w:t>Percentage of adults who reported very heavy drinking, males and females aged 16+, Wales, 2008-</w:t>
            </w:r>
            <w:r w:rsidR="004A5740">
              <w:rPr>
                <w:rFonts w:cs="Arial"/>
                <w:bCs/>
                <w:sz w:val="20"/>
                <w:szCs w:val="20"/>
              </w:rPr>
              <w:t>0</w:t>
            </w:r>
            <w:r w:rsidRPr="00574EB5">
              <w:rPr>
                <w:rFonts w:cs="Arial"/>
                <w:bCs/>
                <w:sz w:val="20"/>
                <w:szCs w:val="20"/>
              </w:rPr>
              <w:t>9 and 2011-12</w:t>
            </w:r>
          </w:p>
        </w:tc>
        <w:tc>
          <w:tcPr>
            <w:tcW w:w="851" w:type="dxa"/>
          </w:tcPr>
          <w:p w14:paraId="100FC548" w14:textId="77777777" w:rsidR="00574EB5" w:rsidRPr="00574EB5" w:rsidRDefault="00DB76B0" w:rsidP="005847B7">
            <w:pPr>
              <w:spacing w:before="120" w:after="60"/>
              <w:jc w:val="right"/>
              <w:rPr>
                <w:sz w:val="20"/>
                <w:szCs w:val="20"/>
              </w:rPr>
            </w:pPr>
            <w:r>
              <w:rPr>
                <w:sz w:val="20"/>
                <w:szCs w:val="20"/>
              </w:rPr>
              <w:t>1</w:t>
            </w:r>
            <w:r w:rsidR="00A367EB">
              <w:rPr>
                <w:sz w:val="20"/>
                <w:szCs w:val="20"/>
              </w:rPr>
              <w:t>5</w:t>
            </w:r>
          </w:p>
        </w:tc>
      </w:tr>
      <w:tr w:rsidR="00574EB5" w:rsidRPr="00574EB5" w14:paraId="74DC8832" w14:textId="77777777" w:rsidTr="002400AF">
        <w:tc>
          <w:tcPr>
            <w:tcW w:w="1560" w:type="dxa"/>
          </w:tcPr>
          <w:p w14:paraId="2D4FF488" w14:textId="77777777" w:rsidR="00574EB5" w:rsidRPr="00574EB5" w:rsidRDefault="00574EB5" w:rsidP="00771331">
            <w:pPr>
              <w:spacing w:before="120" w:after="60"/>
              <w:rPr>
                <w:rFonts w:cs="Arial"/>
                <w:b/>
                <w:bCs/>
                <w:sz w:val="20"/>
                <w:szCs w:val="20"/>
              </w:rPr>
            </w:pPr>
            <w:r w:rsidRPr="00574EB5">
              <w:rPr>
                <w:rFonts w:cs="Arial"/>
                <w:b/>
                <w:bCs/>
                <w:sz w:val="20"/>
                <w:szCs w:val="20"/>
              </w:rPr>
              <w:t>Figure 8</w:t>
            </w:r>
          </w:p>
        </w:tc>
        <w:tc>
          <w:tcPr>
            <w:tcW w:w="8363" w:type="dxa"/>
          </w:tcPr>
          <w:p w14:paraId="6F64C817" w14:textId="77777777" w:rsidR="005E7BB8" w:rsidRPr="00574EB5" w:rsidRDefault="00574EB5" w:rsidP="00771331">
            <w:pPr>
              <w:spacing w:before="120" w:after="60"/>
              <w:rPr>
                <w:rFonts w:cs="Arial"/>
                <w:bCs/>
                <w:sz w:val="20"/>
                <w:szCs w:val="20"/>
              </w:rPr>
            </w:pPr>
            <w:r w:rsidRPr="00574EB5">
              <w:rPr>
                <w:rFonts w:cs="Arial"/>
                <w:bCs/>
                <w:sz w:val="20"/>
                <w:szCs w:val="20"/>
              </w:rPr>
              <w:t>Percentage of adults reporting very heavy drinking (males over 12 units, females over 9 units) on the heaviest drinking day in the past we</w:t>
            </w:r>
            <w:r w:rsidR="005E7BB8">
              <w:rPr>
                <w:rFonts w:cs="Arial"/>
                <w:bCs/>
                <w:sz w:val="20"/>
                <w:szCs w:val="20"/>
              </w:rPr>
              <w:t>ek, age-standardised percentage</w:t>
            </w:r>
            <w:r w:rsidRPr="00574EB5">
              <w:rPr>
                <w:rFonts w:cs="Arial"/>
                <w:bCs/>
                <w:sz w:val="20"/>
                <w:szCs w:val="20"/>
              </w:rPr>
              <w:t xml:space="preserve">, persons, </w:t>
            </w:r>
            <w:r w:rsidR="00D25909">
              <w:rPr>
                <w:rFonts w:cs="Arial"/>
                <w:bCs/>
                <w:sz w:val="20"/>
                <w:szCs w:val="20"/>
              </w:rPr>
              <w:t xml:space="preserve">Wales health boards, </w:t>
            </w:r>
            <w:r w:rsidRPr="00574EB5">
              <w:rPr>
                <w:rFonts w:cs="Arial"/>
                <w:bCs/>
                <w:sz w:val="20"/>
                <w:szCs w:val="20"/>
              </w:rPr>
              <w:t>2011-2012</w:t>
            </w:r>
          </w:p>
        </w:tc>
        <w:tc>
          <w:tcPr>
            <w:tcW w:w="851" w:type="dxa"/>
          </w:tcPr>
          <w:p w14:paraId="085D0D86" w14:textId="77777777" w:rsidR="00574EB5" w:rsidRPr="00574EB5" w:rsidRDefault="00DB76B0" w:rsidP="005847B7">
            <w:pPr>
              <w:spacing w:before="120" w:after="60"/>
              <w:jc w:val="right"/>
              <w:rPr>
                <w:sz w:val="20"/>
                <w:szCs w:val="20"/>
              </w:rPr>
            </w:pPr>
            <w:r>
              <w:rPr>
                <w:sz w:val="20"/>
                <w:szCs w:val="20"/>
              </w:rPr>
              <w:t>1</w:t>
            </w:r>
            <w:r w:rsidR="00A367EB">
              <w:rPr>
                <w:sz w:val="20"/>
                <w:szCs w:val="20"/>
              </w:rPr>
              <w:t>6</w:t>
            </w:r>
          </w:p>
        </w:tc>
      </w:tr>
      <w:tr w:rsidR="00574EB5" w:rsidRPr="00574EB5" w14:paraId="285FED0B" w14:textId="77777777" w:rsidTr="002400AF">
        <w:tc>
          <w:tcPr>
            <w:tcW w:w="1560" w:type="dxa"/>
          </w:tcPr>
          <w:p w14:paraId="4B61E10C" w14:textId="77777777" w:rsidR="00574EB5" w:rsidRPr="00574EB5" w:rsidRDefault="00574EB5" w:rsidP="00771331">
            <w:pPr>
              <w:spacing w:before="120" w:after="60"/>
              <w:rPr>
                <w:rFonts w:cs="Arial"/>
                <w:b/>
                <w:bCs/>
                <w:sz w:val="20"/>
                <w:szCs w:val="20"/>
              </w:rPr>
            </w:pPr>
            <w:r w:rsidRPr="00574EB5">
              <w:rPr>
                <w:rFonts w:cs="Arial"/>
                <w:b/>
                <w:bCs/>
                <w:sz w:val="20"/>
                <w:szCs w:val="20"/>
              </w:rPr>
              <w:t>Figure 9</w:t>
            </w:r>
          </w:p>
        </w:tc>
        <w:tc>
          <w:tcPr>
            <w:tcW w:w="8363" w:type="dxa"/>
          </w:tcPr>
          <w:p w14:paraId="05035F02" w14:textId="77777777" w:rsidR="00574EB5" w:rsidRPr="00595419" w:rsidRDefault="00574EB5" w:rsidP="00771331">
            <w:pPr>
              <w:spacing w:before="120" w:after="60"/>
              <w:ind w:left="34" w:hanging="34"/>
              <w:rPr>
                <w:sz w:val="20"/>
                <w:szCs w:val="20"/>
              </w:rPr>
            </w:pPr>
            <w:r w:rsidRPr="00574EB5">
              <w:rPr>
                <w:sz w:val="20"/>
                <w:szCs w:val="20"/>
              </w:rPr>
              <w:t>Percentage of adults reporting very heavy drinkin</w:t>
            </w:r>
            <w:r w:rsidR="00595419">
              <w:rPr>
                <w:sz w:val="20"/>
                <w:szCs w:val="20"/>
              </w:rPr>
              <w:t>g</w:t>
            </w:r>
            <w:r w:rsidRPr="00574EB5">
              <w:rPr>
                <w:sz w:val="20"/>
                <w:szCs w:val="20"/>
              </w:rPr>
              <w:t xml:space="preserve"> (males,</w:t>
            </w:r>
            <w:r w:rsidR="00595419">
              <w:rPr>
                <w:sz w:val="20"/>
                <w:szCs w:val="20"/>
              </w:rPr>
              <w:t xml:space="preserve"> </w:t>
            </w:r>
            <w:r w:rsidRPr="00574EB5">
              <w:rPr>
                <w:sz w:val="20"/>
                <w:szCs w:val="20"/>
              </w:rPr>
              <w:t>over 12 units, females over 9 units) on the heaviest drinking day in the past week, Wales, 2008-12</w:t>
            </w:r>
          </w:p>
        </w:tc>
        <w:tc>
          <w:tcPr>
            <w:tcW w:w="851" w:type="dxa"/>
          </w:tcPr>
          <w:p w14:paraId="6D607470" w14:textId="77777777" w:rsidR="00574EB5" w:rsidRPr="00574EB5" w:rsidRDefault="00DB76B0" w:rsidP="005847B7">
            <w:pPr>
              <w:spacing w:before="120" w:after="60"/>
              <w:jc w:val="right"/>
              <w:rPr>
                <w:sz w:val="20"/>
                <w:szCs w:val="20"/>
              </w:rPr>
            </w:pPr>
            <w:r>
              <w:rPr>
                <w:sz w:val="20"/>
                <w:szCs w:val="20"/>
              </w:rPr>
              <w:t>1</w:t>
            </w:r>
            <w:r w:rsidR="00A367EB">
              <w:rPr>
                <w:sz w:val="20"/>
                <w:szCs w:val="20"/>
              </w:rPr>
              <w:t>7</w:t>
            </w:r>
          </w:p>
        </w:tc>
      </w:tr>
      <w:tr w:rsidR="00574EB5" w:rsidRPr="00574EB5" w14:paraId="2E0286C9" w14:textId="77777777" w:rsidTr="002400AF">
        <w:tc>
          <w:tcPr>
            <w:tcW w:w="1560" w:type="dxa"/>
          </w:tcPr>
          <w:p w14:paraId="03157852" w14:textId="77777777" w:rsidR="00574EB5" w:rsidRPr="00574EB5" w:rsidRDefault="00574EB5" w:rsidP="00771331">
            <w:pPr>
              <w:spacing w:before="120" w:after="60"/>
              <w:rPr>
                <w:rFonts w:cs="Arial"/>
                <w:b/>
                <w:bCs/>
                <w:sz w:val="20"/>
                <w:szCs w:val="20"/>
              </w:rPr>
            </w:pPr>
            <w:r w:rsidRPr="00574EB5">
              <w:rPr>
                <w:rFonts w:cs="Arial"/>
                <w:b/>
                <w:bCs/>
                <w:sz w:val="20"/>
                <w:szCs w:val="20"/>
              </w:rPr>
              <w:t>Figure 10</w:t>
            </w:r>
          </w:p>
        </w:tc>
        <w:tc>
          <w:tcPr>
            <w:tcW w:w="8363" w:type="dxa"/>
          </w:tcPr>
          <w:p w14:paraId="69B5938A" w14:textId="77777777" w:rsidR="00574EB5" w:rsidRPr="00574EB5" w:rsidRDefault="00574EB5" w:rsidP="00771331">
            <w:pPr>
              <w:spacing w:before="120" w:after="60"/>
              <w:rPr>
                <w:rFonts w:cstheme="minorBidi"/>
                <w:bCs/>
                <w:sz w:val="20"/>
                <w:szCs w:val="20"/>
              </w:rPr>
            </w:pPr>
            <w:r w:rsidRPr="00574EB5">
              <w:rPr>
                <w:bCs/>
                <w:sz w:val="20"/>
                <w:szCs w:val="20"/>
              </w:rPr>
              <w:t>Percentage of adults who reported drinking alcohol on the heaviest drinking day in the past week, persons aged 16+, Great Britain, 2012</w:t>
            </w:r>
          </w:p>
        </w:tc>
        <w:tc>
          <w:tcPr>
            <w:tcW w:w="851" w:type="dxa"/>
          </w:tcPr>
          <w:p w14:paraId="75EA0659" w14:textId="77777777" w:rsidR="00574EB5" w:rsidRPr="00574EB5" w:rsidRDefault="00A367EB" w:rsidP="005847B7">
            <w:pPr>
              <w:spacing w:before="120" w:after="60"/>
              <w:jc w:val="right"/>
              <w:rPr>
                <w:sz w:val="20"/>
                <w:szCs w:val="20"/>
              </w:rPr>
            </w:pPr>
            <w:r>
              <w:rPr>
                <w:sz w:val="20"/>
                <w:szCs w:val="20"/>
              </w:rPr>
              <w:t>18</w:t>
            </w:r>
          </w:p>
        </w:tc>
      </w:tr>
      <w:tr w:rsidR="00574EB5" w:rsidRPr="00574EB5" w14:paraId="2B7B2ED2" w14:textId="77777777" w:rsidTr="002400AF">
        <w:tc>
          <w:tcPr>
            <w:tcW w:w="1560" w:type="dxa"/>
          </w:tcPr>
          <w:p w14:paraId="31F989A3" w14:textId="77777777" w:rsidR="00574EB5" w:rsidRPr="00574EB5" w:rsidRDefault="00574EB5" w:rsidP="00771331">
            <w:pPr>
              <w:spacing w:before="120" w:after="60"/>
              <w:rPr>
                <w:rFonts w:cs="Arial"/>
                <w:b/>
                <w:bCs/>
                <w:sz w:val="20"/>
                <w:szCs w:val="20"/>
              </w:rPr>
            </w:pPr>
            <w:r w:rsidRPr="00574EB5">
              <w:rPr>
                <w:b/>
                <w:bCs/>
                <w:sz w:val="20"/>
                <w:szCs w:val="20"/>
              </w:rPr>
              <w:t>Figure 11</w:t>
            </w:r>
          </w:p>
        </w:tc>
        <w:tc>
          <w:tcPr>
            <w:tcW w:w="8363" w:type="dxa"/>
          </w:tcPr>
          <w:p w14:paraId="4D220A08" w14:textId="77777777" w:rsidR="00574EB5" w:rsidRPr="00574EB5" w:rsidRDefault="00574EB5" w:rsidP="00771331">
            <w:pPr>
              <w:spacing w:before="120" w:after="60"/>
              <w:rPr>
                <w:rFonts w:cs="Arial"/>
                <w:bCs/>
                <w:sz w:val="20"/>
                <w:szCs w:val="20"/>
              </w:rPr>
            </w:pPr>
            <w:r w:rsidRPr="00574EB5">
              <w:rPr>
                <w:sz w:val="20"/>
                <w:szCs w:val="20"/>
              </w:rPr>
              <w:t>Comparison of sales and survey consumption data, weekly alcohol units per person, 1996-2012</w:t>
            </w:r>
          </w:p>
        </w:tc>
        <w:tc>
          <w:tcPr>
            <w:tcW w:w="851" w:type="dxa"/>
          </w:tcPr>
          <w:p w14:paraId="2DE7AA40" w14:textId="77777777" w:rsidR="00574EB5" w:rsidRPr="00574EB5" w:rsidRDefault="00A367EB" w:rsidP="005847B7">
            <w:pPr>
              <w:spacing w:before="120" w:after="60"/>
              <w:jc w:val="right"/>
              <w:rPr>
                <w:sz w:val="20"/>
                <w:szCs w:val="20"/>
              </w:rPr>
            </w:pPr>
            <w:r>
              <w:rPr>
                <w:sz w:val="20"/>
                <w:szCs w:val="20"/>
              </w:rPr>
              <w:t>19</w:t>
            </w:r>
          </w:p>
        </w:tc>
      </w:tr>
      <w:tr w:rsidR="00574EB5" w:rsidRPr="00574EB5" w14:paraId="4E075184" w14:textId="77777777" w:rsidTr="002400AF">
        <w:tc>
          <w:tcPr>
            <w:tcW w:w="1560" w:type="dxa"/>
          </w:tcPr>
          <w:p w14:paraId="2FBFF266" w14:textId="77777777" w:rsidR="00574EB5" w:rsidRPr="00574EB5" w:rsidRDefault="00574EB5" w:rsidP="00771331">
            <w:pPr>
              <w:spacing w:before="120" w:after="60"/>
              <w:rPr>
                <w:rFonts w:cs="Arial"/>
                <w:b/>
                <w:bCs/>
                <w:sz w:val="20"/>
                <w:szCs w:val="20"/>
              </w:rPr>
            </w:pPr>
            <w:r w:rsidRPr="00574EB5">
              <w:rPr>
                <w:b/>
                <w:sz w:val="20"/>
                <w:szCs w:val="20"/>
              </w:rPr>
              <w:t>Figure 12</w:t>
            </w:r>
          </w:p>
        </w:tc>
        <w:tc>
          <w:tcPr>
            <w:tcW w:w="8363" w:type="dxa"/>
          </w:tcPr>
          <w:p w14:paraId="71C31129" w14:textId="77777777" w:rsidR="00574EB5" w:rsidRPr="00595419" w:rsidRDefault="00574EB5" w:rsidP="00771331">
            <w:pPr>
              <w:spacing w:before="120" w:after="60"/>
              <w:rPr>
                <w:sz w:val="20"/>
                <w:szCs w:val="20"/>
              </w:rPr>
            </w:pPr>
            <w:r w:rsidRPr="00574EB5">
              <w:rPr>
                <w:sz w:val="20"/>
                <w:szCs w:val="20"/>
              </w:rPr>
              <w:t xml:space="preserve">International alcohol consumption for selected countries, litres of pure alcohol per </w:t>
            </w:r>
            <w:r w:rsidR="00FE3D7A">
              <w:rPr>
                <w:sz w:val="20"/>
                <w:szCs w:val="20"/>
              </w:rPr>
              <w:t>person aged 15+</w:t>
            </w:r>
            <w:r w:rsidRPr="00574EB5">
              <w:rPr>
                <w:sz w:val="20"/>
                <w:szCs w:val="20"/>
              </w:rPr>
              <w:t>, 201</w:t>
            </w:r>
            <w:r w:rsidR="00FE3D7A">
              <w:rPr>
                <w:sz w:val="20"/>
                <w:szCs w:val="20"/>
              </w:rPr>
              <w:t>0</w:t>
            </w:r>
          </w:p>
        </w:tc>
        <w:tc>
          <w:tcPr>
            <w:tcW w:w="851" w:type="dxa"/>
          </w:tcPr>
          <w:p w14:paraId="6376577D" w14:textId="77777777" w:rsidR="00574EB5" w:rsidRPr="00574EB5" w:rsidRDefault="00DB76B0" w:rsidP="005847B7">
            <w:pPr>
              <w:spacing w:before="120" w:after="60"/>
              <w:jc w:val="right"/>
              <w:rPr>
                <w:sz w:val="20"/>
                <w:szCs w:val="20"/>
              </w:rPr>
            </w:pPr>
            <w:r>
              <w:rPr>
                <w:sz w:val="20"/>
                <w:szCs w:val="20"/>
              </w:rPr>
              <w:t>2</w:t>
            </w:r>
            <w:r w:rsidR="00A367EB">
              <w:rPr>
                <w:sz w:val="20"/>
                <w:szCs w:val="20"/>
              </w:rPr>
              <w:t>0</w:t>
            </w:r>
          </w:p>
        </w:tc>
      </w:tr>
      <w:tr w:rsidR="00574EB5" w:rsidRPr="00574EB5" w14:paraId="5F91FAC8" w14:textId="77777777" w:rsidTr="002400AF">
        <w:tc>
          <w:tcPr>
            <w:tcW w:w="1560" w:type="dxa"/>
          </w:tcPr>
          <w:p w14:paraId="09CF1F81" w14:textId="77777777" w:rsidR="00574EB5" w:rsidRPr="00574EB5" w:rsidRDefault="00574EB5" w:rsidP="00771331">
            <w:pPr>
              <w:spacing w:before="120" w:after="60"/>
              <w:rPr>
                <w:rFonts w:cs="Arial"/>
                <w:b/>
                <w:bCs/>
                <w:sz w:val="20"/>
                <w:szCs w:val="20"/>
              </w:rPr>
            </w:pPr>
            <w:r w:rsidRPr="00574EB5">
              <w:rPr>
                <w:b/>
                <w:sz w:val="20"/>
                <w:szCs w:val="20"/>
              </w:rPr>
              <w:t>Table 3</w:t>
            </w:r>
          </w:p>
        </w:tc>
        <w:tc>
          <w:tcPr>
            <w:tcW w:w="8363" w:type="dxa"/>
          </w:tcPr>
          <w:p w14:paraId="69F85693" w14:textId="77777777" w:rsidR="00574EB5" w:rsidRPr="00574EB5" w:rsidRDefault="00574EB5" w:rsidP="00771331">
            <w:pPr>
              <w:spacing w:before="120" w:after="60"/>
              <w:rPr>
                <w:rFonts w:cstheme="minorBidi"/>
                <w:sz w:val="20"/>
                <w:szCs w:val="20"/>
              </w:rPr>
            </w:pPr>
            <w:r w:rsidRPr="00574EB5">
              <w:rPr>
                <w:rFonts w:cs="Arial"/>
                <w:sz w:val="20"/>
                <w:szCs w:val="20"/>
              </w:rPr>
              <w:t>Overview of definitions for person-based hospital admission indicators</w:t>
            </w:r>
          </w:p>
        </w:tc>
        <w:tc>
          <w:tcPr>
            <w:tcW w:w="851" w:type="dxa"/>
          </w:tcPr>
          <w:p w14:paraId="771E46E0" w14:textId="77777777" w:rsidR="00574EB5" w:rsidRPr="00574EB5" w:rsidRDefault="00DB76B0" w:rsidP="005847B7">
            <w:pPr>
              <w:spacing w:before="120" w:after="60"/>
              <w:jc w:val="right"/>
              <w:rPr>
                <w:sz w:val="20"/>
                <w:szCs w:val="20"/>
              </w:rPr>
            </w:pPr>
            <w:r>
              <w:rPr>
                <w:sz w:val="20"/>
                <w:szCs w:val="20"/>
              </w:rPr>
              <w:t>2</w:t>
            </w:r>
            <w:r w:rsidR="00A367EB">
              <w:rPr>
                <w:sz w:val="20"/>
                <w:szCs w:val="20"/>
              </w:rPr>
              <w:t>1</w:t>
            </w:r>
          </w:p>
        </w:tc>
      </w:tr>
      <w:tr w:rsidR="00574EB5" w:rsidRPr="00574EB5" w14:paraId="5BF6BADA" w14:textId="77777777" w:rsidTr="002400AF">
        <w:tc>
          <w:tcPr>
            <w:tcW w:w="1560" w:type="dxa"/>
          </w:tcPr>
          <w:p w14:paraId="7E4EAAC9" w14:textId="77777777" w:rsidR="00574EB5" w:rsidRPr="00574EB5" w:rsidRDefault="00574EB5" w:rsidP="00771331">
            <w:pPr>
              <w:spacing w:before="120" w:after="60"/>
              <w:rPr>
                <w:rFonts w:cs="Arial"/>
                <w:b/>
                <w:bCs/>
                <w:sz w:val="20"/>
                <w:szCs w:val="20"/>
              </w:rPr>
            </w:pPr>
            <w:r w:rsidRPr="00574EB5">
              <w:rPr>
                <w:b/>
                <w:sz w:val="20"/>
                <w:szCs w:val="20"/>
              </w:rPr>
              <w:t>Figure 13</w:t>
            </w:r>
          </w:p>
        </w:tc>
        <w:tc>
          <w:tcPr>
            <w:tcW w:w="8363" w:type="dxa"/>
          </w:tcPr>
          <w:p w14:paraId="2AFAE2F2" w14:textId="77777777" w:rsidR="00574EB5" w:rsidRPr="00574EB5" w:rsidRDefault="00574EB5" w:rsidP="00771331">
            <w:pPr>
              <w:spacing w:before="120" w:after="60"/>
              <w:ind w:left="68" w:hanging="68"/>
              <w:rPr>
                <w:rFonts w:cs="Arial"/>
                <w:bCs/>
                <w:sz w:val="20"/>
                <w:szCs w:val="20"/>
              </w:rPr>
            </w:pPr>
            <w:r w:rsidRPr="00574EB5">
              <w:rPr>
                <w:sz w:val="20"/>
                <w:szCs w:val="20"/>
              </w:rPr>
              <w:t>Alcohol-specific hospital admissions by condition</w:t>
            </w:r>
            <w:r w:rsidR="00D36E60">
              <w:rPr>
                <w:sz w:val="20"/>
                <w:szCs w:val="20"/>
              </w:rPr>
              <w:t>, 2012/13</w:t>
            </w:r>
          </w:p>
        </w:tc>
        <w:tc>
          <w:tcPr>
            <w:tcW w:w="851" w:type="dxa"/>
          </w:tcPr>
          <w:p w14:paraId="75E1368D" w14:textId="77777777" w:rsidR="00574EB5" w:rsidRPr="00574EB5" w:rsidRDefault="00DB76B0" w:rsidP="005847B7">
            <w:pPr>
              <w:spacing w:before="120" w:after="60"/>
              <w:jc w:val="right"/>
              <w:rPr>
                <w:sz w:val="20"/>
                <w:szCs w:val="20"/>
              </w:rPr>
            </w:pPr>
            <w:r>
              <w:rPr>
                <w:sz w:val="20"/>
                <w:szCs w:val="20"/>
              </w:rPr>
              <w:t>2</w:t>
            </w:r>
            <w:r w:rsidR="00A367EB">
              <w:rPr>
                <w:sz w:val="20"/>
                <w:szCs w:val="20"/>
              </w:rPr>
              <w:t>2</w:t>
            </w:r>
          </w:p>
        </w:tc>
      </w:tr>
      <w:tr w:rsidR="00574EB5" w:rsidRPr="00574EB5" w14:paraId="4A30C095" w14:textId="77777777" w:rsidTr="002400AF">
        <w:tc>
          <w:tcPr>
            <w:tcW w:w="1560" w:type="dxa"/>
          </w:tcPr>
          <w:p w14:paraId="236B324F" w14:textId="77777777" w:rsidR="00574EB5" w:rsidRPr="00574EB5" w:rsidRDefault="00574EB5" w:rsidP="00771331">
            <w:pPr>
              <w:spacing w:before="120" w:after="60"/>
              <w:rPr>
                <w:rFonts w:cs="Arial"/>
                <w:b/>
                <w:bCs/>
                <w:sz w:val="20"/>
                <w:szCs w:val="20"/>
              </w:rPr>
            </w:pPr>
            <w:r w:rsidRPr="00574EB5">
              <w:rPr>
                <w:b/>
                <w:sz w:val="20"/>
                <w:szCs w:val="20"/>
              </w:rPr>
              <w:t>Figure 14</w:t>
            </w:r>
          </w:p>
        </w:tc>
        <w:tc>
          <w:tcPr>
            <w:tcW w:w="8363" w:type="dxa"/>
          </w:tcPr>
          <w:p w14:paraId="6275D6DD" w14:textId="77777777" w:rsidR="00574EB5" w:rsidRPr="00574EB5" w:rsidRDefault="00574EB5" w:rsidP="00771331">
            <w:pPr>
              <w:spacing w:before="120" w:after="60"/>
              <w:rPr>
                <w:rFonts w:cs="Arial"/>
                <w:bCs/>
                <w:sz w:val="20"/>
                <w:szCs w:val="20"/>
              </w:rPr>
            </w:pPr>
            <w:r w:rsidRPr="00574EB5">
              <w:rPr>
                <w:sz w:val="20"/>
                <w:szCs w:val="20"/>
              </w:rPr>
              <w:t>Alcohol-attributable hospital admissions (narrow) by condition</w:t>
            </w:r>
            <w:r w:rsidR="00D36E60">
              <w:rPr>
                <w:sz w:val="20"/>
                <w:szCs w:val="20"/>
              </w:rPr>
              <w:t>, 2012/13</w:t>
            </w:r>
          </w:p>
        </w:tc>
        <w:tc>
          <w:tcPr>
            <w:tcW w:w="851" w:type="dxa"/>
          </w:tcPr>
          <w:p w14:paraId="5DC0D824" w14:textId="77777777" w:rsidR="00574EB5" w:rsidRPr="00574EB5" w:rsidRDefault="00DB76B0" w:rsidP="005847B7">
            <w:pPr>
              <w:spacing w:before="120" w:after="60"/>
              <w:jc w:val="right"/>
              <w:rPr>
                <w:sz w:val="20"/>
                <w:szCs w:val="20"/>
              </w:rPr>
            </w:pPr>
            <w:r>
              <w:rPr>
                <w:sz w:val="20"/>
                <w:szCs w:val="20"/>
              </w:rPr>
              <w:t>2</w:t>
            </w:r>
            <w:r w:rsidR="00A367EB">
              <w:rPr>
                <w:sz w:val="20"/>
                <w:szCs w:val="20"/>
              </w:rPr>
              <w:t>3</w:t>
            </w:r>
          </w:p>
        </w:tc>
      </w:tr>
      <w:tr w:rsidR="00574EB5" w:rsidRPr="00574EB5" w14:paraId="7D9EB826" w14:textId="77777777" w:rsidTr="002400AF">
        <w:tc>
          <w:tcPr>
            <w:tcW w:w="1560" w:type="dxa"/>
          </w:tcPr>
          <w:p w14:paraId="4B58F65C" w14:textId="77777777" w:rsidR="00574EB5" w:rsidRPr="00574EB5" w:rsidRDefault="00574EB5" w:rsidP="00771331">
            <w:pPr>
              <w:spacing w:before="120" w:after="60"/>
              <w:jc w:val="left"/>
              <w:rPr>
                <w:rFonts w:cs="Arial"/>
                <w:b/>
                <w:bCs/>
                <w:sz w:val="20"/>
                <w:szCs w:val="20"/>
              </w:rPr>
            </w:pPr>
            <w:r w:rsidRPr="00574EB5">
              <w:rPr>
                <w:b/>
                <w:sz w:val="20"/>
                <w:szCs w:val="20"/>
              </w:rPr>
              <w:t>Figure 15</w:t>
            </w:r>
          </w:p>
        </w:tc>
        <w:tc>
          <w:tcPr>
            <w:tcW w:w="8363" w:type="dxa"/>
          </w:tcPr>
          <w:p w14:paraId="2EF00648" w14:textId="77777777" w:rsidR="00574EB5" w:rsidRPr="00574EB5" w:rsidRDefault="00574EB5" w:rsidP="00771331">
            <w:pPr>
              <w:spacing w:before="120" w:after="60"/>
              <w:rPr>
                <w:rFonts w:cs="Arial"/>
                <w:bCs/>
                <w:sz w:val="20"/>
                <w:szCs w:val="20"/>
              </w:rPr>
            </w:pPr>
            <w:r w:rsidRPr="00574EB5">
              <w:rPr>
                <w:sz w:val="20"/>
                <w:szCs w:val="20"/>
              </w:rPr>
              <w:t>Alcohol-attributable hospital admissions (broad) by condition</w:t>
            </w:r>
            <w:r w:rsidR="00D36E60">
              <w:rPr>
                <w:sz w:val="20"/>
                <w:szCs w:val="20"/>
              </w:rPr>
              <w:t>, 2012/13</w:t>
            </w:r>
          </w:p>
        </w:tc>
        <w:tc>
          <w:tcPr>
            <w:tcW w:w="851" w:type="dxa"/>
          </w:tcPr>
          <w:p w14:paraId="492DD059" w14:textId="77777777" w:rsidR="00574EB5" w:rsidRPr="00574EB5" w:rsidRDefault="00DB76B0" w:rsidP="005847B7">
            <w:pPr>
              <w:spacing w:before="120" w:after="60"/>
              <w:jc w:val="right"/>
              <w:rPr>
                <w:sz w:val="20"/>
                <w:szCs w:val="20"/>
              </w:rPr>
            </w:pPr>
            <w:r>
              <w:rPr>
                <w:sz w:val="20"/>
                <w:szCs w:val="20"/>
              </w:rPr>
              <w:t>2</w:t>
            </w:r>
            <w:r w:rsidR="00A367EB">
              <w:rPr>
                <w:sz w:val="20"/>
                <w:szCs w:val="20"/>
              </w:rPr>
              <w:t>4</w:t>
            </w:r>
          </w:p>
        </w:tc>
      </w:tr>
      <w:tr w:rsidR="00574EB5" w:rsidRPr="00574EB5" w14:paraId="72CD4C06" w14:textId="77777777" w:rsidTr="002400AF">
        <w:tc>
          <w:tcPr>
            <w:tcW w:w="1560" w:type="dxa"/>
          </w:tcPr>
          <w:p w14:paraId="4D0B977E" w14:textId="77777777" w:rsidR="00574EB5" w:rsidRPr="00574EB5" w:rsidRDefault="00574EB5" w:rsidP="00771331">
            <w:pPr>
              <w:spacing w:before="120" w:after="60"/>
              <w:jc w:val="left"/>
              <w:rPr>
                <w:rFonts w:cs="Arial"/>
                <w:b/>
                <w:bCs/>
                <w:sz w:val="20"/>
                <w:szCs w:val="20"/>
              </w:rPr>
            </w:pPr>
            <w:r w:rsidRPr="00574EB5">
              <w:rPr>
                <w:b/>
                <w:sz w:val="20"/>
                <w:szCs w:val="20"/>
              </w:rPr>
              <w:t>Figure 16</w:t>
            </w:r>
          </w:p>
        </w:tc>
        <w:tc>
          <w:tcPr>
            <w:tcW w:w="8363" w:type="dxa"/>
          </w:tcPr>
          <w:p w14:paraId="50BFA932" w14:textId="77777777" w:rsidR="00574EB5" w:rsidRPr="00574EB5" w:rsidRDefault="00574EB5" w:rsidP="00771331">
            <w:pPr>
              <w:spacing w:before="120" w:after="60"/>
              <w:rPr>
                <w:rFonts w:cstheme="minorBidi"/>
                <w:bCs/>
                <w:sz w:val="20"/>
                <w:szCs w:val="20"/>
                <w:lang w:val="en-US"/>
              </w:rPr>
            </w:pPr>
            <w:r w:rsidRPr="00574EB5">
              <w:rPr>
                <w:bCs/>
                <w:sz w:val="20"/>
                <w:szCs w:val="20"/>
                <w:lang w:val="en-US"/>
              </w:rPr>
              <w:t>Hospital admissions (person based), European age-stand</w:t>
            </w:r>
            <w:r w:rsidR="005E7BB8">
              <w:rPr>
                <w:bCs/>
                <w:sz w:val="20"/>
                <w:szCs w:val="20"/>
                <w:lang w:val="en-US"/>
              </w:rPr>
              <w:t>ardised rate (EASR) per 100,000</w:t>
            </w:r>
            <w:r w:rsidRPr="00574EB5">
              <w:rPr>
                <w:bCs/>
                <w:sz w:val="20"/>
                <w:szCs w:val="20"/>
                <w:lang w:val="en-US"/>
              </w:rPr>
              <w:t>, males and females, all ages, Wales, financial years 2003/04-2012/13</w:t>
            </w:r>
          </w:p>
        </w:tc>
        <w:tc>
          <w:tcPr>
            <w:tcW w:w="851" w:type="dxa"/>
          </w:tcPr>
          <w:p w14:paraId="63CAB6A2" w14:textId="77777777" w:rsidR="00574EB5" w:rsidRPr="00574EB5" w:rsidRDefault="00DB76B0" w:rsidP="005847B7">
            <w:pPr>
              <w:spacing w:before="120" w:after="60"/>
              <w:jc w:val="right"/>
              <w:rPr>
                <w:sz w:val="20"/>
                <w:szCs w:val="20"/>
              </w:rPr>
            </w:pPr>
            <w:r>
              <w:rPr>
                <w:sz w:val="20"/>
                <w:szCs w:val="20"/>
              </w:rPr>
              <w:t>2</w:t>
            </w:r>
            <w:r w:rsidR="00A367EB">
              <w:rPr>
                <w:sz w:val="20"/>
                <w:szCs w:val="20"/>
              </w:rPr>
              <w:t>5</w:t>
            </w:r>
          </w:p>
        </w:tc>
      </w:tr>
      <w:tr w:rsidR="00574EB5" w:rsidRPr="00574EB5" w14:paraId="509373E2" w14:textId="77777777" w:rsidTr="002400AF">
        <w:tc>
          <w:tcPr>
            <w:tcW w:w="1560" w:type="dxa"/>
          </w:tcPr>
          <w:p w14:paraId="48EA86F4" w14:textId="77777777" w:rsidR="00574EB5" w:rsidRPr="00574EB5" w:rsidRDefault="00574EB5" w:rsidP="00771331">
            <w:pPr>
              <w:spacing w:before="120" w:after="60"/>
              <w:rPr>
                <w:rFonts w:cs="Arial"/>
                <w:b/>
                <w:bCs/>
                <w:sz w:val="20"/>
                <w:szCs w:val="20"/>
              </w:rPr>
            </w:pPr>
            <w:r w:rsidRPr="00574EB5">
              <w:rPr>
                <w:rFonts w:cs="Arial"/>
                <w:b/>
                <w:bCs/>
                <w:sz w:val="20"/>
                <w:szCs w:val="20"/>
              </w:rPr>
              <w:t>Figure 17</w:t>
            </w:r>
          </w:p>
        </w:tc>
        <w:tc>
          <w:tcPr>
            <w:tcW w:w="8363" w:type="dxa"/>
          </w:tcPr>
          <w:p w14:paraId="68481362" w14:textId="77777777" w:rsidR="000754F6" w:rsidRPr="00574EB5" w:rsidRDefault="00574EB5" w:rsidP="00771331">
            <w:pPr>
              <w:spacing w:before="120" w:after="60"/>
              <w:ind w:left="34" w:hanging="34"/>
              <w:rPr>
                <w:rFonts w:cs="Arial"/>
                <w:bCs/>
                <w:sz w:val="20"/>
                <w:szCs w:val="20"/>
              </w:rPr>
            </w:pPr>
            <w:r w:rsidRPr="00574EB5">
              <w:rPr>
                <w:bCs/>
                <w:color w:val="000000"/>
                <w:sz w:val="20"/>
                <w:szCs w:val="20"/>
              </w:rPr>
              <w:t xml:space="preserve">Alcohol-specific hospital admissions, 3-year rolling crude </w:t>
            </w:r>
            <w:r>
              <w:rPr>
                <w:bCs/>
                <w:color w:val="000000"/>
                <w:sz w:val="20"/>
                <w:szCs w:val="20"/>
              </w:rPr>
              <w:t xml:space="preserve">rate per 100,000, </w:t>
            </w:r>
            <w:r w:rsidRPr="00574EB5">
              <w:rPr>
                <w:bCs/>
                <w:color w:val="000000"/>
                <w:sz w:val="20"/>
                <w:szCs w:val="20"/>
              </w:rPr>
              <w:t>males and females aged under 18, Wales, financial years 2003/04-2012/13</w:t>
            </w:r>
          </w:p>
        </w:tc>
        <w:tc>
          <w:tcPr>
            <w:tcW w:w="851" w:type="dxa"/>
          </w:tcPr>
          <w:p w14:paraId="301C8127" w14:textId="77777777" w:rsidR="00574EB5" w:rsidRPr="00574EB5" w:rsidRDefault="00DB76B0" w:rsidP="005847B7">
            <w:pPr>
              <w:spacing w:before="120" w:after="60"/>
              <w:jc w:val="right"/>
              <w:rPr>
                <w:sz w:val="20"/>
                <w:szCs w:val="20"/>
              </w:rPr>
            </w:pPr>
            <w:r>
              <w:rPr>
                <w:sz w:val="20"/>
                <w:szCs w:val="20"/>
              </w:rPr>
              <w:t>2</w:t>
            </w:r>
            <w:r w:rsidR="00A367EB">
              <w:rPr>
                <w:sz w:val="20"/>
                <w:szCs w:val="20"/>
              </w:rPr>
              <w:t>6</w:t>
            </w:r>
          </w:p>
        </w:tc>
      </w:tr>
      <w:tr w:rsidR="00574EB5" w:rsidRPr="00574EB5" w14:paraId="792551C0" w14:textId="77777777" w:rsidTr="002400AF">
        <w:tc>
          <w:tcPr>
            <w:tcW w:w="1560" w:type="dxa"/>
          </w:tcPr>
          <w:p w14:paraId="43D18037" w14:textId="77777777" w:rsidR="00574EB5" w:rsidRPr="00574EB5" w:rsidRDefault="00574EB5" w:rsidP="00771331">
            <w:pPr>
              <w:spacing w:before="120" w:after="60"/>
              <w:rPr>
                <w:rFonts w:cs="Arial"/>
                <w:b/>
                <w:bCs/>
                <w:sz w:val="20"/>
                <w:szCs w:val="20"/>
              </w:rPr>
            </w:pPr>
            <w:r w:rsidRPr="00574EB5">
              <w:rPr>
                <w:b/>
                <w:bCs/>
                <w:color w:val="000000"/>
                <w:sz w:val="20"/>
                <w:szCs w:val="20"/>
              </w:rPr>
              <w:t>Figure 18</w:t>
            </w:r>
          </w:p>
        </w:tc>
        <w:tc>
          <w:tcPr>
            <w:tcW w:w="8363" w:type="dxa"/>
          </w:tcPr>
          <w:p w14:paraId="57309306" w14:textId="77777777" w:rsidR="00574EB5" w:rsidRPr="00574EB5" w:rsidRDefault="00574EB5" w:rsidP="00771331">
            <w:pPr>
              <w:spacing w:before="120" w:after="60"/>
              <w:rPr>
                <w:rFonts w:cstheme="minorBidi"/>
                <w:sz w:val="20"/>
                <w:szCs w:val="20"/>
              </w:rPr>
            </w:pPr>
            <w:r w:rsidRPr="00574EB5">
              <w:rPr>
                <w:sz w:val="20"/>
                <w:szCs w:val="20"/>
              </w:rPr>
              <w:t xml:space="preserve">Alcohol-specific hospital admissions (person-based), European age-standardised rate per 100,000, males, all ages, </w:t>
            </w:r>
            <w:r w:rsidR="007417A5">
              <w:rPr>
                <w:sz w:val="20"/>
                <w:szCs w:val="20"/>
              </w:rPr>
              <w:t xml:space="preserve">Wales health boards, </w:t>
            </w:r>
            <w:r w:rsidRPr="00574EB5">
              <w:rPr>
                <w:sz w:val="20"/>
                <w:szCs w:val="20"/>
              </w:rPr>
              <w:t>financial year 2012/13</w:t>
            </w:r>
          </w:p>
        </w:tc>
        <w:tc>
          <w:tcPr>
            <w:tcW w:w="851" w:type="dxa"/>
          </w:tcPr>
          <w:p w14:paraId="7D852D3C" w14:textId="77777777" w:rsidR="00574EB5" w:rsidRPr="00574EB5" w:rsidRDefault="00DB76B0" w:rsidP="005847B7">
            <w:pPr>
              <w:spacing w:before="120" w:after="60"/>
              <w:jc w:val="right"/>
              <w:rPr>
                <w:sz w:val="20"/>
                <w:szCs w:val="20"/>
              </w:rPr>
            </w:pPr>
            <w:r>
              <w:rPr>
                <w:sz w:val="20"/>
                <w:szCs w:val="20"/>
              </w:rPr>
              <w:t>2</w:t>
            </w:r>
            <w:r w:rsidR="00A367EB">
              <w:rPr>
                <w:sz w:val="20"/>
                <w:szCs w:val="20"/>
              </w:rPr>
              <w:t>7</w:t>
            </w:r>
          </w:p>
        </w:tc>
      </w:tr>
      <w:tr w:rsidR="00574EB5" w:rsidRPr="00574EB5" w14:paraId="0F692BF7" w14:textId="77777777" w:rsidTr="002400AF">
        <w:tc>
          <w:tcPr>
            <w:tcW w:w="1560" w:type="dxa"/>
          </w:tcPr>
          <w:p w14:paraId="27BE35CD" w14:textId="77777777" w:rsidR="00574EB5" w:rsidRPr="00574EB5" w:rsidRDefault="00574EB5" w:rsidP="00771331">
            <w:pPr>
              <w:spacing w:before="120" w:after="60"/>
              <w:jc w:val="left"/>
              <w:rPr>
                <w:rFonts w:cs="Arial"/>
                <w:b/>
                <w:bCs/>
                <w:sz w:val="20"/>
                <w:szCs w:val="20"/>
              </w:rPr>
            </w:pPr>
            <w:r w:rsidRPr="00574EB5">
              <w:rPr>
                <w:b/>
                <w:sz w:val="20"/>
                <w:szCs w:val="20"/>
              </w:rPr>
              <w:lastRenderedPageBreak/>
              <w:t>Figure 19</w:t>
            </w:r>
          </w:p>
        </w:tc>
        <w:tc>
          <w:tcPr>
            <w:tcW w:w="8363" w:type="dxa"/>
          </w:tcPr>
          <w:p w14:paraId="4722C779" w14:textId="77777777" w:rsidR="000754F6" w:rsidRPr="005E7BB8" w:rsidRDefault="00574EB5" w:rsidP="00771331">
            <w:pPr>
              <w:spacing w:before="120" w:after="60"/>
              <w:rPr>
                <w:sz w:val="20"/>
                <w:szCs w:val="20"/>
              </w:rPr>
            </w:pPr>
            <w:r w:rsidRPr="00574EB5">
              <w:rPr>
                <w:sz w:val="20"/>
                <w:szCs w:val="20"/>
              </w:rPr>
              <w:t>Alcohol-specific hospital admissions (person-based), European ag</w:t>
            </w:r>
            <w:r w:rsidR="005E7BB8">
              <w:rPr>
                <w:sz w:val="20"/>
                <w:szCs w:val="20"/>
              </w:rPr>
              <w:t>e-standardised rate per 100,000</w:t>
            </w:r>
            <w:r w:rsidRPr="00574EB5">
              <w:rPr>
                <w:sz w:val="20"/>
                <w:szCs w:val="20"/>
              </w:rPr>
              <w:t xml:space="preserve">, females, all ages, </w:t>
            </w:r>
            <w:r w:rsidR="007417A5">
              <w:rPr>
                <w:sz w:val="20"/>
                <w:szCs w:val="20"/>
              </w:rPr>
              <w:t xml:space="preserve">Wales health boards, </w:t>
            </w:r>
            <w:r w:rsidRPr="00574EB5">
              <w:rPr>
                <w:sz w:val="20"/>
                <w:szCs w:val="20"/>
              </w:rPr>
              <w:t xml:space="preserve">financial year 2012/13 </w:t>
            </w:r>
          </w:p>
        </w:tc>
        <w:tc>
          <w:tcPr>
            <w:tcW w:w="851" w:type="dxa"/>
          </w:tcPr>
          <w:p w14:paraId="1C4B4A2C" w14:textId="77777777" w:rsidR="00574EB5" w:rsidRPr="00574EB5" w:rsidRDefault="00DB76B0" w:rsidP="005847B7">
            <w:pPr>
              <w:spacing w:before="120" w:after="60"/>
              <w:jc w:val="right"/>
              <w:rPr>
                <w:sz w:val="20"/>
                <w:szCs w:val="20"/>
              </w:rPr>
            </w:pPr>
            <w:r>
              <w:rPr>
                <w:sz w:val="20"/>
                <w:szCs w:val="20"/>
              </w:rPr>
              <w:t>2</w:t>
            </w:r>
            <w:r w:rsidR="00A367EB">
              <w:rPr>
                <w:sz w:val="20"/>
                <w:szCs w:val="20"/>
              </w:rPr>
              <w:t>7</w:t>
            </w:r>
          </w:p>
        </w:tc>
      </w:tr>
      <w:tr w:rsidR="00574EB5" w:rsidRPr="00574EB5" w14:paraId="7BAC12A7" w14:textId="77777777" w:rsidTr="002400AF">
        <w:tc>
          <w:tcPr>
            <w:tcW w:w="1560" w:type="dxa"/>
          </w:tcPr>
          <w:p w14:paraId="50C85C20" w14:textId="77777777" w:rsidR="00574EB5" w:rsidRPr="00574EB5" w:rsidRDefault="00574EB5" w:rsidP="00771331">
            <w:pPr>
              <w:spacing w:before="120" w:after="60"/>
              <w:rPr>
                <w:rFonts w:cs="Arial"/>
                <w:b/>
                <w:bCs/>
                <w:sz w:val="20"/>
                <w:szCs w:val="20"/>
              </w:rPr>
            </w:pPr>
            <w:r w:rsidRPr="00574EB5">
              <w:rPr>
                <w:b/>
                <w:sz w:val="20"/>
                <w:szCs w:val="20"/>
              </w:rPr>
              <w:t>Figure 20</w:t>
            </w:r>
          </w:p>
        </w:tc>
        <w:tc>
          <w:tcPr>
            <w:tcW w:w="8363" w:type="dxa"/>
          </w:tcPr>
          <w:p w14:paraId="318316B6" w14:textId="77777777" w:rsidR="000754F6" w:rsidRPr="005E7BB8" w:rsidRDefault="00574EB5" w:rsidP="00771331">
            <w:pPr>
              <w:spacing w:before="120" w:after="60"/>
              <w:rPr>
                <w:rFonts w:cs="Arial"/>
                <w:bCs/>
                <w:sz w:val="20"/>
                <w:szCs w:val="20"/>
              </w:rPr>
            </w:pPr>
            <w:r w:rsidRPr="00574EB5">
              <w:rPr>
                <w:sz w:val="20"/>
                <w:szCs w:val="20"/>
              </w:rPr>
              <w:t xml:space="preserve">Alcohol-specific hospital admissions (person-based), </w:t>
            </w:r>
            <w:r w:rsidR="008D6259">
              <w:rPr>
                <w:rFonts w:cs="Arial"/>
                <w:bCs/>
                <w:sz w:val="20"/>
                <w:szCs w:val="20"/>
              </w:rPr>
              <w:t>p</w:t>
            </w:r>
            <w:r w:rsidR="00D13A9F">
              <w:rPr>
                <w:rFonts w:cs="Arial"/>
                <w:bCs/>
                <w:sz w:val="20"/>
                <w:szCs w:val="20"/>
              </w:rPr>
              <w:t>ersons, all ages, Wales</w:t>
            </w:r>
            <w:r w:rsidR="00D51630">
              <w:rPr>
                <w:rFonts w:cs="Arial"/>
                <w:bCs/>
                <w:sz w:val="20"/>
                <w:szCs w:val="20"/>
              </w:rPr>
              <w:t>,</w:t>
            </w:r>
            <w:r w:rsidR="00D13A9F">
              <w:rPr>
                <w:rFonts w:cs="Arial"/>
                <w:bCs/>
                <w:sz w:val="20"/>
                <w:szCs w:val="20"/>
              </w:rPr>
              <w:t xml:space="preserve"> 2010/</w:t>
            </w:r>
            <w:r w:rsidRPr="00574EB5">
              <w:rPr>
                <w:rFonts w:cs="Arial"/>
                <w:bCs/>
                <w:sz w:val="20"/>
                <w:szCs w:val="20"/>
              </w:rPr>
              <w:t>11-2012/13</w:t>
            </w:r>
          </w:p>
        </w:tc>
        <w:tc>
          <w:tcPr>
            <w:tcW w:w="851" w:type="dxa"/>
          </w:tcPr>
          <w:p w14:paraId="0D0B0ADA" w14:textId="77777777" w:rsidR="00574EB5" w:rsidRPr="00574EB5" w:rsidRDefault="00A367EB" w:rsidP="005847B7">
            <w:pPr>
              <w:spacing w:before="120" w:after="60"/>
              <w:jc w:val="right"/>
              <w:rPr>
                <w:sz w:val="20"/>
                <w:szCs w:val="20"/>
              </w:rPr>
            </w:pPr>
            <w:r>
              <w:rPr>
                <w:sz w:val="20"/>
                <w:szCs w:val="20"/>
              </w:rPr>
              <w:t>28</w:t>
            </w:r>
          </w:p>
        </w:tc>
      </w:tr>
      <w:tr w:rsidR="00574EB5" w:rsidRPr="00574EB5" w14:paraId="6ADCCB75" w14:textId="77777777" w:rsidTr="002400AF">
        <w:tc>
          <w:tcPr>
            <w:tcW w:w="1560" w:type="dxa"/>
          </w:tcPr>
          <w:p w14:paraId="1354791F" w14:textId="77777777" w:rsidR="00574EB5" w:rsidRPr="00574EB5" w:rsidRDefault="00574EB5" w:rsidP="00771331">
            <w:pPr>
              <w:spacing w:before="120" w:after="60"/>
              <w:rPr>
                <w:rFonts w:cs="Arial"/>
                <w:b/>
                <w:bCs/>
                <w:sz w:val="20"/>
                <w:szCs w:val="20"/>
              </w:rPr>
            </w:pPr>
            <w:r w:rsidRPr="00574EB5">
              <w:rPr>
                <w:rFonts w:cs="Arial"/>
                <w:b/>
                <w:bCs/>
                <w:sz w:val="20"/>
                <w:szCs w:val="20"/>
              </w:rPr>
              <w:t>Figure 21</w:t>
            </w:r>
          </w:p>
        </w:tc>
        <w:tc>
          <w:tcPr>
            <w:tcW w:w="8363" w:type="dxa"/>
          </w:tcPr>
          <w:p w14:paraId="2AB755D5" w14:textId="77777777" w:rsidR="000754F6" w:rsidRPr="005E7BB8" w:rsidRDefault="00574EB5" w:rsidP="00771331">
            <w:pPr>
              <w:spacing w:before="120" w:after="60"/>
              <w:rPr>
                <w:bCs/>
                <w:sz w:val="20"/>
                <w:szCs w:val="20"/>
              </w:rPr>
            </w:pPr>
            <w:r w:rsidRPr="00574EB5">
              <w:rPr>
                <w:bCs/>
                <w:sz w:val="20"/>
                <w:szCs w:val="20"/>
              </w:rPr>
              <w:t>Alcohol-specific hospital admissions, European age-standardised rate (EASR) per 100,000, all ag</w:t>
            </w:r>
            <w:r>
              <w:rPr>
                <w:bCs/>
                <w:sz w:val="20"/>
                <w:szCs w:val="20"/>
              </w:rPr>
              <w:t>es, Wales,</w:t>
            </w:r>
            <w:r w:rsidR="00FD471D">
              <w:rPr>
                <w:bCs/>
                <w:sz w:val="20"/>
                <w:szCs w:val="20"/>
              </w:rPr>
              <w:t xml:space="preserve"> </w:t>
            </w:r>
            <w:r w:rsidRPr="00574EB5">
              <w:rPr>
                <w:bCs/>
                <w:sz w:val="20"/>
                <w:szCs w:val="20"/>
              </w:rPr>
              <w:t xml:space="preserve">England &amp; </w:t>
            </w:r>
            <w:r w:rsidR="003B28A4">
              <w:rPr>
                <w:bCs/>
                <w:sz w:val="20"/>
                <w:szCs w:val="20"/>
              </w:rPr>
              <w:t>English regions, financial year</w:t>
            </w:r>
            <w:r w:rsidRPr="00574EB5">
              <w:rPr>
                <w:bCs/>
                <w:sz w:val="20"/>
                <w:szCs w:val="20"/>
              </w:rPr>
              <w:t xml:space="preserve"> 2012/13</w:t>
            </w:r>
          </w:p>
        </w:tc>
        <w:tc>
          <w:tcPr>
            <w:tcW w:w="851" w:type="dxa"/>
          </w:tcPr>
          <w:p w14:paraId="56648F5D" w14:textId="77777777" w:rsidR="00574EB5" w:rsidRPr="00574EB5" w:rsidRDefault="00A367EB" w:rsidP="005847B7">
            <w:pPr>
              <w:spacing w:before="120" w:after="60"/>
              <w:jc w:val="right"/>
              <w:rPr>
                <w:sz w:val="20"/>
                <w:szCs w:val="20"/>
              </w:rPr>
            </w:pPr>
            <w:r>
              <w:rPr>
                <w:sz w:val="20"/>
                <w:szCs w:val="20"/>
              </w:rPr>
              <w:t>29</w:t>
            </w:r>
          </w:p>
        </w:tc>
      </w:tr>
      <w:tr w:rsidR="00574EB5" w:rsidRPr="00574EB5" w14:paraId="32D54063" w14:textId="77777777" w:rsidTr="002400AF">
        <w:tc>
          <w:tcPr>
            <w:tcW w:w="1560" w:type="dxa"/>
          </w:tcPr>
          <w:p w14:paraId="33763E31" w14:textId="77777777" w:rsidR="00574EB5" w:rsidRPr="00574EB5" w:rsidRDefault="00574EB5" w:rsidP="00771331">
            <w:pPr>
              <w:spacing w:before="120" w:after="60"/>
              <w:rPr>
                <w:rFonts w:cs="Arial"/>
                <w:b/>
                <w:bCs/>
                <w:sz w:val="20"/>
                <w:szCs w:val="20"/>
              </w:rPr>
            </w:pPr>
            <w:r w:rsidRPr="00574EB5">
              <w:rPr>
                <w:b/>
                <w:bCs/>
                <w:sz w:val="20"/>
                <w:szCs w:val="20"/>
              </w:rPr>
              <w:t>Figure 22</w:t>
            </w:r>
          </w:p>
        </w:tc>
        <w:tc>
          <w:tcPr>
            <w:tcW w:w="8363" w:type="dxa"/>
          </w:tcPr>
          <w:p w14:paraId="5A3CACD9" w14:textId="77777777" w:rsidR="000754F6" w:rsidRPr="00771331" w:rsidRDefault="00574EB5" w:rsidP="00771331">
            <w:pPr>
              <w:spacing w:before="120" w:after="60"/>
              <w:rPr>
                <w:bCs/>
                <w:color w:val="000000"/>
                <w:sz w:val="20"/>
                <w:szCs w:val="20"/>
              </w:rPr>
            </w:pPr>
            <w:r w:rsidRPr="00574EB5">
              <w:rPr>
                <w:bCs/>
                <w:color w:val="000000"/>
                <w:sz w:val="20"/>
                <w:szCs w:val="20"/>
              </w:rPr>
              <w:t xml:space="preserve">Alcohol-specific hospital admissions, 3-year rolling crude rate per 100,000, persons aged under 18, </w:t>
            </w:r>
            <w:r w:rsidR="003B28A4">
              <w:rPr>
                <w:bCs/>
                <w:color w:val="000000"/>
                <w:sz w:val="20"/>
                <w:szCs w:val="20"/>
              </w:rPr>
              <w:t>Wales &amp; England, financial years</w:t>
            </w:r>
            <w:r w:rsidRPr="00574EB5">
              <w:rPr>
                <w:bCs/>
                <w:color w:val="000000"/>
                <w:sz w:val="20"/>
                <w:szCs w:val="20"/>
              </w:rPr>
              <w:t xml:space="preserve"> 2003/04-2012/13</w:t>
            </w:r>
          </w:p>
        </w:tc>
        <w:tc>
          <w:tcPr>
            <w:tcW w:w="851" w:type="dxa"/>
          </w:tcPr>
          <w:p w14:paraId="64BFF2DF" w14:textId="77777777" w:rsidR="00574EB5" w:rsidRPr="00574EB5" w:rsidRDefault="00DB76B0" w:rsidP="005847B7">
            <w:pPr>
              <w:spacing w:before="120" w:after="60"/>
              <w:jc w:val="right"/>
              <w:rPr>
                <w:sz w:val="20"/>
                <w:szCs w:val="20"/>
              </w:rPr>
            </w:pPr>
            <w:r>
              <w:rPr>
                <w:sz w:val="20"/>
                <w:szCs w:val="20"/>
              </w:rPr>
              <w:t>3</w:t>
            </w:r>
            <w:r w:rsidR="00A367EB">
              <w:rPr>
                <w:sz w:val="20"/>
                <w:szCs w:val="20"/>
              </w:rPr>
              <w:t>0</w:t>
            </w:r>
          </w:p>
        </w:tc>
      </w:tr>
      <w:tr w:rsidR="00574EB5" w:rsidRPr="00574EB5" w14:paraId="2D7E2105" w14:textId="77777777" w:rsidTr="002400AF">
        <w:tc>
          <w:tcPr>
            <w:tcW w:w="1560" w:type="dxa"/>
          </w:tcPr>
          <w:p w14:paraId="3A13D49B" w14:textId="77777777" w:rsidR="00574EB5" w:rsidRPr="00574EB5" w:rsidRDefault="00574EB5" w:rsidP="00771331">
            <w:pPr>
              <w:spacing w:before="120" w:after="60"/>
              <w:rPr>
                <w:rFonts w:cs="Arial"/>
                <w:b/>
                <w:bCs/>
                <w:sz w:val="20"/>
                <w:szCs w:val="20"/>
              </w:rPr>
            </w:pPr>
            <w:r w:rsidRPr="00574EB5">
              <w:rPr>
                <w:b/>
                <w:bCs/>
                <w:sz w:val="20"/>
                <w:szCs w:val="20"/>
              </w:rPr>
              <w:t>Figure 23</w:t>
            </w:r>
          </w:p>
        </w:tc>
        <w:tc>
          <w:tcPr>
            <w:tcW w:w="8363" w:type="dxa"/>
          </w:tcPr>
          <w:p w14:paraId="25D01274" w14:textId="77777777" w:rsidR="00574EB5" w:rsidRPr="00574EB5" w:rsidRDefault="00574EB5" w:rsidP="003B28A4">
            <w:pPr>
              <w:spacing w:before="120" w:after="60"/>
              <w:ind w:left="34" w:hanging="34"/>
              <w:rPr>
                <w:rFonts w:cs="Arial"/>
                <w:bCs/>
                <w:sz w:val="20"/>
                <w:szCs w:val="20"/>
              </w:rPr>
            </w:pPr>
            <w:r w:rsidRPr="00574EB5">
              <w:rPr>
                <w:bCs/>
                <w:sz w:val="20"/>
                <w:szCs w:val="20"/>
              </w:rPr>
              <w:t>Alcohol-attributable hospital admissions (person-based</w:t>
            </w:r>
            <w:r w:rsidR="00595419">
              <w:rPr>
                <w:bCs/>
                <w:sz w:val="20"/>
                <w:szCs w:val="20"/>
              </w:rPr>
              <w:t xml:space="preserve"> narrow), European age </w:t>
            </w:r>
            <w:r w:rsidRPr="00574EB5">
              <w:rPr>
                <w:bCs/>
                <w:sz w:val="20"/>
                <w:szCs w:val="20"/>
              </w:rPr>
              <w:t>standardised rate (EASR) per 100,000,  all ages, Wales, England &amp; English regions, financial year 2012/13</w:t>
            </w:r>
          </w:p>
        </w:tc>
        <w:tc>
          <w:tcPr>
            <w:tcW w:w="851" w:type="dxa"/>
          </w:tcPr>
          <w:p w14:paraId="3A60C54E" w14:textId="77777777" w:rsidR="00574EB5" w:rsidRPr="00574EB5" w:rsidRDefault="00DB76B0" w:rsidP="005847B7">
            <w:pPr>
              <w:spacing w:before="120" w:after="60"/>
              <w:jc w:val="right"/>
              <w:rPr>
                <w:sz w:val="20"/>
                <w:szCs w:val="20"/>
              </w:rPr>
            </w:pPr>
            <w:r>
              <w:rPr>
                <w:sz w:val="20"/>
                <w:szCs w:val="20"/>
              </w:rPr>
              <w:t>3</w:t>
            </w:r>
            <w:r w:rsidR="00A367EB">
              <w:rPr>
                <w:sz w:val="20"/>
                <w:szCs w:val="20"/>
              </w:rPr>
              <w:t>0</w:t>
            </w:r>
          </w:p>
        </w:tc>
      </w:tr>
      <w:tr w:rsidR="00335E3A" w:rsidRPr="00574EB5" w14:paraId="3A593838" w14:textId="77777777" w:rsidTr="002400AF">
        <w:tc>
          <w:tcPr>
            <w:tcW w:w="1560" w:type="dxa"/>
          </w:tcPr>
          <w:p w14:paraId="5AC594EE" w14:textId="77777777" w:rsidR="00335E3A" w:rsidRPr="00574EB5" w:rsidRDefault="00335E3A" w:rsidP="004C3261">
            <w:pPr>
              <w:spacing w:before="120" w:after="60"/>
              <w:jc w:val="left"/>
              <w:rPr>
                <w:b/>
                <w:bCs/>
                <w:sz w:val="20"/>
                <w:szCs w:val="20"/>
              </w:rPr>
            </w:pPr>
            <w:r>
              <w:rPr>
                <w:b/>
                <w:bCs/>
                <w:sz w:val="20"/>
                <w:szCs w:val="20"/>
              </w:rPr>
              <w:t>Figure 24</w:t>
            </w:r>
          </w:p>
        </w:tc>
        <w:tc>
          <w:tcPr>
            <w:tcW w:w="8363" w:type="dxa"/>
          </w:tcPr>
          <w:p w14:paraId="68EF5FAD" w14:textId="77777777" w:rsidR="00335E3A" w:rsidRPr="00574EB5" w:rsidRDefault="00335E3A" w:rsidP="004C3261">
            <w:pPr>
              <w:spacing w:before="120" w:after="60"/>
              <w:rPr>
                <w:bCs/>
                <w:sz w:val="20"/>
                <w:szCs w:val="20"/>
              </w:rPr>
            </w:pPr>
            <w:r>
              <w:rPr>
                <w:bCs/>
                <w:sz w:val="20"/>
                <w:szCs w:val="20"/>
              </w:rPr>
              <w:t>Alcohol-attributable hospital admissions (person-based, broad), Eu</w:t>
            </w:r>
            <w:r w:rsidR="0021734B">
              <w:rPr>
                <w:bCs/>
                <w:sz w:val="20"/>
                <w:szCs w:val="20"/>
              </w:rPr>
              <w:t>ropean age-standardised rate (E</w:t>
            </w:r>
            <w:r>
              <w:rPr>
                <w:bCs/>
                <w:sz w:val="20"/>
                <w:szCs w:val="20"/>
              </w:rPr>
              <w:t>A</w:t>
            </w:r>
            <w:r w:rsidR="0021734B">
              <w:rPr>
                <w:bCs/>
                <w:sz w:val="20"/>
                <w:szCs w:val="20"/>
              </w:rPr>
              <w:t>S</w:t>
            </w:r>
            <w:r>
              <w:rPr>
                <w:bCs/>
                <w:sz w:val="20"/>
                <w:szCs w:val="20"/>
              </w:rPr>
              <w:t>R) per 100,000, all age, Wales, England and E</w:t>
            </w:r>
            <w:r w:rsidR="003B28A4">
              <w:rPr>
                <w:bCs/>
                <w:sz w:val="20"/>
                <w:szCs w:val="20"/>
              </w:rPr>
              <w:t>nglish regions, financial year</w:t>
            </w:r>
            <w:r>
              <w:rPr>
                <w:bCs/>
                <w:sz w:val="20"/>
                <w:szCs w:val="20"/>
              </w:rPr>
              <w:t xml:space="preserve"> 2012/13</w:t>
            </w:r>
          </w:p>
        </w:tc>
        <w:tc>
          <w:tcPr>
            <w:tcW w:w="851" w:type="dxa"/>
          </w:tcPr>
          <w:p w14:paraId="42365B4C" w14:textId="77777777" w:rsidR="00335E3A" w:rsidRPr="00574EB5" w:rsidRDefault="00DB76B0" w:rsidP="005847B7">
            <w:pPr>
              <w:spacing w:before="120" w:after="60"/>
              <w:jc w:val="right"/>
              <w:rPr>
                <w:sz w:val="20"/>
                <w:szCs w:val="20"/>
              </w:rPr>
            </w:pPr>
            <w:r>
              <w:rPr>
                <w:sz w:val="20"/>
                <w:szCs w:val="20"/>
              </w:rPr>
              <w:t>3</w:t>
            </w:r>
            <w:r w:rsidR="00A367EB">
              <w:rPr>
                <w:sz w:val="20"/>
                <w:szCs w:val="20"/>
              </w:rPr>
              <w:t>1</w:t>
            </w:r>
          </w:p>
        </w:tc>
      </w:tr>
      <w:tr w:rsidR="00335E3A" w:rsidRPr="00574EB5" w14:paraId="433AD7F5" w14:textId="77777777" w:rsidTr="002400AF">
        <w:tc>
          <w:tcPr>
            <w:tcW w:w="1560" w:type="dxa"/>
          </w:tcPr>
          <w:p w14:paraId="0BCE8C5F" w14:textId="77777777" w:rsidR="00335E3A" w:rsidRPr="00574EB5" w:rsidRDefault="00335E3A" w:rsidP="00771331">
            <w:pPr>
              <w:spacing w:before="120" w:after="60"/>
              <w:jc w:val="left"/>
              <w:rPr>
                <w:rFonts w:cs="Arial"/>
                <w:b/>
                <w:bCs/>
                <w:sz w:val="20"/>
                <w:szCs w:val="20"/>
              </w:rPr>
            </w:pPr>
            <w:r w:rsidRPr="00574EB5">
              <w:rPr>
                <w:b/>
                <w:bCs/>
                <w:sz w:val="20"/>
                <w:szCs w:val="20"/>
              </w:rPr>
              <w:t>Table 4</w:t>
            </w:r>
          </w:p>
        </w:tc>
        <w:tc>
          <w:tcPr>
            <w:tcW w:w="8363" w:type="dxa"/>
          </w:tcPr>
          <w:p w14:paraId="0DEBCBB1" w14:textId="77777777" w:rsidR="00335E3A" w:rsidRPr="00574EB5" w:rsidRDefault="00335E3A" w:rsidP="00771331">
            <w:pPr>
              <w:spacing w:before="120" w:after="60"/>
              <w:rPr>
                <w:rFonts w:cs="Arial"/>
                <w:bCs/>
                <w:sz w:val="20"/>
                <w:szCs w:val="20"/>
              </w:rPr>
            </w:pPr>
            <w:r w:rsidRPr="00574EB5">
              <w:rPr>
                <w:bCs/>
                <w:sz w:val="20"/>
                <w:szCs w:val="20"/>
              </w:rPr>
              <w:t xml:space="preserve">Overview of definitions for mortality indicators </w:t>
            </w:r>
            <w:r w:rsidRPr="00574EB5">
              <w:rPr>
                <w:bCs/>
                <w:sz w:val="20"/>
                <w:szCs w:val="20"/>
              </w:rPr>
              <w:tab/>
            </w:r>
          </w:p>
        </w:tc>
        <w:tc>
          <w:tcPr>
            <w:tcW w:w="851" w:type="dxa"/>
          </w:tcPr>
          <w:p w14:paraId="29F1FB1A" w14:textId="77777777" w:rsidR="00335E3A" w:rsidRPr="00574EB5" w:rsidRDefault="00DB76B0" w:rsidP="005847B7">
            <w:pPr>
              <w:spacing w:before="120" w:after="60"/>
              <w:jc w:val="right"/>
              <w:rPr>
                <w:sz w:val="20"/>
                <w:szCs w:val="20"/>
              </w:rPr>
            </w:pPr>
            <w:r>
              <w:rPr>
                <w:sz w:val="20"/>
                <w:szCs w:val="20"/>
              </w:rPr>
              <w:t>3</w:t>
            </w:r>
            <w:r w:rsidR="00A367EB">
              <w:rPr>
                <w:sz w:val="20"/>
                <w:szCs w:val="20"/>
              </w:rPr>
              <w:t>2</w:t>
            </w:r>
          </w:p>
        </w:tc>
      </w:tr>
      <w:tr w:rsidR="00335E3A" w:rsidRPr="00574EB5" w14:paraId="47B5837C" w14:textId="77777777" w:rsidTr="002400AF">
        <w:tc>
          <w:tcPr>
            <w:tcW w:w="1560" w:type="dxa"/>
          </w:tcPr>
          <w:p w14:paraId="437B9EBB" w14:textId="77777777" w:rsidR="00335E3A" w:rsidRPr="00574EB5" w:rsidRDefault="00335E3A" w:rsidP="00771331">
            <w:pPr>
              <w:spacing w:before="120" w:after="60"/>
              <w:rPr>
                <w:rFonts w:cs="Arial"/>
                <w:b/>
                <w:bCs/>
                <w:sz w:val="20"/>
                <w:szCs w:val="20"/>
              </w:rPr>
            </w:pPr>
            <w:r w:rsidRPr="00574EB5">
              <w:rPr>
                <w:b/>
                <w:bCs/>
                <w:sz w:val="20"/>
                <w:szCs w:val="20"/>
              </w:rPr>
              <w:t>Figure 2</w:t>
            </w:r>
            <w:r>
              <w:rPr>
                <w:b/>
                <w:bCs/>
                <w:sz w:val="20"/>
                <w:szCs w:val="20"/>
              </w:rPr>
              <w:t>5</w:t>
            </w:r>
          </w:p>
        </w:tc>
        <w:tc>
          <w:tcPr>
            <w:tcW w:w="8363" w:type="dxa"/>
          </w:tcPr>
          <w:p w14:paraId="788545C5" w14:textId="77777777" w:rsidR="00335E3A" w:rsidRPr="00574EB5" w:rsidRDefault="00335E3A" w:rsidP="00771331">
            <w:pPr>
              <w:spacing w:before="120" w:after="60"/>
              <w:rPr>
                <w:rFonts w:cs="Arial"/>
                <w:bCs/>
                <w:sz w:val="20"/>
                <w:szCs w:val="20"/>
              </w:rPr>
            </w:pPr>
            <w:r w:rsidRPr="00574EB5">
              <w:rPr>
                <w:bCs/>
                <w:sz w:val="20"/>
                <w:szCs w:val="20"/>
              </w:rPr>
              <w:t>Alcohol-specific and alcohol-attributable mortality</w:t>
            </w:r>
            <w:r>
              <w:rPr>
                <w:bCs/>
                <w:sz w:val="20"/>
                <w:szCs w:val="20"/>
              </w:rPr>
              <w:t xml:space="preserve"> by condition</w:t>
            </w:r>
            <w:r w:rsidR="00D36E60">
              <w:rPr>
                <w:bCs/>
                <w:sz w:val="20"/>
                <w:szCs w:val="20"/>
              </w:rPr>
              <w:t>, 2010-12</w:t>
            </w:r>
          </w:p>
        </w:tc>
        <w:tc>
          <w:tcPr>
            <w:tcW w:w="851" w:type="dxa"/>
          </w:tcPr>
          <w:p w14:paraId="2BD28E9A" w14:textId="77777777" w:rsidR="00335E3A" w:rsidRPr="00574EB5" w:rsidRDefault="00DB76B0" w:rsidP="005847B7">
            <w:pPr>
              <w:spacing w:before="120" w:after="60"/>
              <w:jc w:val="right"/>
              <w:rPr>
                <w:sz w:val="20"/>
                <w:szCs w:val="20"/>
              </w:rPr>
            </w:pPr>
            <w:r>
              <w:rPr>
                <w:sz w:val="20"/>
                <w:szCs w:val="20"/>
              </w:rPr>
              <w:t>3</w:t>
            </w:r>
            <w:r w:rsidR="00A367EB">
              <w:rPr>
                <w:sz w:val="20"/>
                <w:szCs w:val="20"/>
              </w:rPr>
              <w:t>3</w:t>
            </w:r>
          </w:p>
        </w:tc>
      </w:tr>
      <w:tr w:rsidR="00335E3A" w:rsidRPr="00574EB5" w14:paraId="4EA76752" w14:textId="77777777" w:rsidTr="002400AF">
        <w:tc>
          <w:tcPr>
            <w:tcW w:w="1560" w:type="dxa"/>
          </w:tcPr>
          <w:p w14:paraId="19820836" w14:textId="77777777" w:rsidR="00335E3A" w:rsidRPr="00574EB5" w:rsidRDefault="00335E3A" w:rsidP="00771331">
            <w:pPr>
              <w:spacing w:before="120" w:after="60"/>
              <w:rPr>
                <w:rFonts w:cs="Arial"/>
                <w:b/>
                <w:bCs/>
                <w:sz w:val="20"/>
                <w:szCs w:val="20"/>
              </w:rPr>
            </w:pPr>
            <w:r w:rsidRPr="00574EB5">
              <w:rPr>
                <w:b/>
                <w:bCs/>
                <w:sz w:val="20"/>
                <w:szCs w:val="20"/>
                <w:lang w:val="en-US"/>
              </w:rPr>
              <w:t>Figure 2</w:t>
            </w:r>
            <w:r>
              <w:rPr>
                <w:b/>
                <w:bCs/>
                <w:sz w:val="20"/>
                <w:szCs w:val="20"/>
                <w:lang w:val="en-US"/>
              </w:rPr>
              <w:t>6</w:t>
            </w:r>
          </w:p>
        </w:tc>
        <w:tc>
          <w:tcPr>
            <w:tcW w:w="8363" w:type="dxa"/>
          </w:tcPr>
          <w:p w14:paraId="2C81C321" w14:textId="77777777" w:rsidR="00335E3A" w:rsidRPr="00574EB5" w:rsidRDefault="00335E3A" w:rsidP="00771331">
            <w:pPr>
              <w:spacing w:before="120" w:after="60"/>
              <w:rPr>
                <w:rFonts w:cs="Arial"/>
                <w:bCs/>
                <w:sz w:val="20"/>
                <w:szCs w:val="20"/>
              </w:rPr>
            </w:pPr>
            <w:r>
              <w:rPr>
                <w:bCs/>
                <w:sz w:val="20"/>
                <w:szCs w:val="20"/>
                <w:lang w:val="en-US"/>
              </w:rPr>
              <w:t xml:space="preserve">Mortality, European </w:t>
            </w:r>
            <w:r w:rsidRPr="00574EB5">
              <w:rPr>
                <w:bCs/>
                <w:sz w:val="20"/>
                <w:szCs w:val="20"/>
                <w:lang w:val="en-US"/>
              </w:rPr>
              <w:t>age-stand</w:t>
            </w:r>
            <w:r>
              <w:rPr>
                <w:bCs/>
                <w:sz w:val="20"/>
                <w:szCs w:val="20"/>
                <w:lang w:val="en-US"/>
              </w:rPr>
              <w:t>ardised rate (EASR) per 100,000</w:t>
            </w:r>
            <w:r w:rsidRPr="00574EB5">
              <w:rPr>
                <w:bCs/>
                <w:sz w:val="20"/>
                <w:szCs w:val="20"/>
                <w:lang w:val="en-US"/>
              </w:rPr>
              <w:t>, males and females, all ages, Wales, 2003-05</w:t>
            </w:r>
            <w:r>
              <w:rPr>
                <w:bCs/>
                <w:sz w:val="20"/>
                <w:szCs w:val="20"/>
                <w:lang w:val="en-US"/>
              </w:rPr>
              <w:t xml:space="preserve"> </w:t>
            </w:r>
            <w:r w:rsidRPr="00574EB5">
              <w:rPr>
                <w:bCs/>
                <w:sz w:val="20"/>
                <w:szCs w:val="20"/>
                <w:lang w:val="en-US"/>
              </w:rPr>
              <w:t>to 2010-12</w:t>
            </w:r>
          </w:p>
        </w:tc>
        <w:tc>
          <w:tcPr>
            <w:tcW w:w="851" w:type="dxa"/>
          </w:tcPr>
          <w:p w14:paraId="092795B8" w14:textId="77777777" w:rsidR="00335E3A" w:rsidRPr="00574EB5" w:rsidRDefault="00DB76B0" w:rsidP="005847B7">
            <w:pPr>
              <w:spacing w:before="120" w:after="60"/>
              <w:jc w:val="right"/>
              <w:rPr>
                <w:sz w:val="20"/>
                <w:szCs w:val="20"/>
              </w:rPr>
            </w:pPr>
            <w:r>
              <w:rPr>
                <w:sz w:val="20"/>
                <w:szCs w:val="20"/>
              </w:rPr>
              <w:t>3</w:t>
            </w:r>
            <w:r w:rsidR="00A367EB">
              <w:rPr>
                <w:sz w:val="20"/>
                <w:szCs w:val="20"/>
              </w:rPr>
              <w:t>4</w:t>
            </w:r>
          </w:p>
        </w:tc>
      </w:tr>
      <w:tr w:rsidR="00335E3A" w:rsidRPr="00574EB5" w14:paraId="74D1A6A4" w14:textId="77777777" w:rsidTr="002400AF">
        <w:tc>
          <w:tcPr>
            <w:tcW w:w="1560" w:type="dxa"/>
          </w:tcPr>
          <w:p w14:paraId="07338677" w14:textId="77777777" w:rsidR="00335E3A" w:rsidRPr="00574EB5" w:rsidRDefault="00335E3A" w:rsidP="00771331">
            <w:pPr>
              <w:spacing w:before="120" w:after="60"/>
              <w:rPr>
                <w:rFonts w:cs="Arial"/>
                <w:b/>
                <w:bCs/>
                <w:sz w:val="20"/>
                <w:szCs w:val="20"/>
              </w:rPr>
            </w:pPr>
            <w:r w:rsidRPr="00574EB5">
              <w:rPr>
                <w:b/>
                <w:bCs/>
                <w:sz w:val="20"/>
                <w:szCs w:val="20"/>
              </w:rPr>
              <w:t>Figure 2</w:t>
            </w:r>
            <w:r>
              <w:rPr>
                <w:b/>
                <w:bCs/>
                <w:sz w:val="20"/>
                <w:szCs w:val="20"/>
              </w:rPr>
              <w:t>7</w:t>
            </w:r>
          </w:p>
        </w:tc>
        <w:tc>
          <w:tcPr>
            <w:tcW w:w="8363" w:type="dxa"/>
          </w:tcPr>
          <w:p w14:paraId="5EBA3641" w14:textId="77777777" w:rsidR="00335E3A" w:rsidRPr="00574EB5" w:rsidRDefault="00335E3A" w:rsidP="00771331">
            <w:pPr>
              <w:spacing w:before="120" w:after="60"/>
              <w:rPr>
                <w:rFonts w:cstheme="minorBidi"/>
                <w:bCs/>
                <w:sz w:val="20"/>
                <w:szCs w:val="20"/>
              </w:rPr>
            </w:pPr>
            <w:r w:rsidRPr="00574EB5">
              <w:rPr>
                <w:bCs/>
                <w:sz w:val="20"/>
                <w:szCs w:val="20"/>
              </w:rPr>
              <w:t>Mortality from chronic liver disease and cirrhosis, European age-stand</w:t>
            </w:r>
            <w:r>
              <w:rPr>
                <w:bCs/>
                <w:sz w:val="20"/>
                <w:szCs w:val="20"/>
              </w:rPr>
              <w:t>ardised rate (EASR) per 100,000</w:t>
            </w:r>
            <w:r w:rsidRPr="00574EB5">
              <w:rPr>
                <w:bCs/>
                <w:sz w:val="20"/>
                <w:szCs w:val="20"/>
              </w:rPr>
              <w:t>, males and females, all ages, Wales, 2003-05 to 2010-12</w:t>
            </w:r>
          </w:p>
        </w:tc>
        <w:tc>
          <w:tcPr>
            <w:tcW w:w="851" w:type="dxa"/>
          </w:tcPr>
          <w:p w14:paraId="28C05034" w14:textId="77777777" w:rsidR="00335E3A" w:rsidRPr="00574EB5" w:rsidRDefault="00DB76B0" w:rsidP="005847B7">
            <w:pPr>
              <w:spacing w:before="120" w:after="60"/>
              <w:jc w:val="right"/>
              <w:rPr>
                <w:sz w:val="20"/>
                <w:szCs w:val="20"/>
              </w:rPr>
            </w:pPr>
            <w:r>
              <w:rPr>
                <w:sz w:val="20"/>
                <w:szCs w:val="20"/>
              </w:rPr>
              <w:t>3</w:t>
            </w:r>
            <w:r w:rsidR="00A367EB">
              <w:rPr>
                <w:sz w:val="20"/>
                <w:szCs w:val="20"/>
              </w:rPr>
              <w:t>5</w:t>
            </w:r>
          </w:p>
        </w:tc>
      </w:tr>
      <w:tr w:rsidR="00335E3A" w:rsidRPr="00574EB5" w14:paraId="5A8EC2C6" w14:textId="77777777" w:rsidTr="002400AF">
        <w:tc>
          <w:tcPr>
            <w:tcW w:w="1560" w:type="dxa"/>
          </w:tcPr>
          <w:p w14:paraId="29F2D3EC" w14:textId="77777777" w:rsidR="00335E3A" w:rsidRPr="00574EB5" w:rsidRDefault="00335E3A" w:rsidP="00771331">
            <w:pPr>
              <w:spacing w:before="120" w:after="60"/>
              <w:rPr>
                <w:rFonts w:cs="Arial"/>
                <w:b/>
                <w:bCs/>
                <w:sz w:val="20"/>
                <w:szCs w:val="20"/>
              </w:rPr>
            </w:pPr>
            <w:r w:rsidRPr="00574EB5">
              <w:rPr>
                <w:b/>
                <w:bCs/>
                <w:sz w:val="20"/>
                <w:szCs w:val="20"/>
              </w:rPr>
              <w:t>Figure 2</w:t>
            </w:r>
            <w:r>
              <w:rPr>
                <w:b/>
                <w:bCs/>
                <w:sz w:val="20"/>
                <w:szCs w:val="20"/>
              </w:rPr>
              <w:t>8</w:t>
            </w:r>
          </w:p>
        </w:tc>
        <w:tc>
          <w:tcPr>
            <w:tcW w:w="8363" w:type="dxa"/>
          </w:tcPr>
          <w:p w14:paraId="63B8BF67" w14:textId="77777777" w:rsidR="00335E3A" w:rsidRPr="00574EB5" w:rsidRDefault="00335E3A" w:rsidP="00771331">
            <w:pPr>
              <w:spacing w:before="120" w:after="60"/>
              <w:rPr>
                <w:rFonts w:cs="Arial"/>
                <w:bCs/>
                <w:sz w:val="20"/>
                <w:szCs w:val="20"/>
              </w:rPr>
            </w:pPr>
            <w:r w:rsidRPr="00574EB5">
              <w:rPr>
                <w:bCs/>
                <w:sz w:val="20"/>
                <w:szCs w:val="20"/>
              </w:rPr>
              <w:t xml:space="preserve">Months of life lost due to alcohol, males aged under 75, </w:t>
            </w:r>
            <w:r>
              <w:rPr>
                <w:bCs/>
                <w:sz w:val="20"/>
                <w:szCs w:val="20"/>
              </w:rPr>
              <w:t xml:space="preserve">Wales health boards, </w:t>
            </w:r>
            <w:r w:rsidRPr="00574EB5">
              <w:rPr>
                <w:bCs/>
                <w:sz w:val="20"/>
                <w:szCs w:val="20"/>
              </w:rPr>
              <w:t>2010-2012</w:t>
            </w:r>
          </w:p>
        </w:tc>
        <w:tc>
          <w:tcPr>
            <w:tcW w:w="851" w:type="dxa"/>
          </w:tcPr>
          <w:p w14:paraId="4193B4E0" w14:textId="77777777" w:rsidR="00335E3A" w:rsidRPr="00574EB5" w:rsidRDefault="00DB76B0" w:rsidP="005847B7">
            <w:pPr>
              <w:spacing w:before="120" w:after="60"/>
              <w:jc w:val="right"/>
              <w:rPr>
                <w:sz w:val="20"/>
                <w:szCs w:val="20"/>
              </w:rPr>
            </w:pPr>
            <w:r>
              <w:rPr>
                <w:sz w:val="20"/>
                <w:szCs w:val="20"/>
              </w:rPr>
              <w:t>3</w:t>
            </w:r>
            <w:r w:rsidR="00A367EB">
              <w:rPr>
                <w:sz w:val="20"/>
                <w:szCs w:val="20"/>
              </w:rPr>
              <w:t>6</w:t>
            </w:r>
          </w:p>
        </w:tc>
      </w:tr>
      <w:tr w:rsidR="00335E3A" w:rsidRPr="00574EB5" w14:paraId="625EF458" w14:textId="77777777" w:rsidTr="002400AF">
        <w:tc>
          <w:tcPr>
            <w:tcW w:w="1560" w:type="dxa"/>
          </w:tcPr>
          <w:p w14:paraId="31D3181F" w14:textId="77777777" w:rsidR="00335E3A" w:rsidRPr="00574EB5" w:rsidRDefault="00335E3A" w:rsidP="00771331">
            <w:pPr>
              <w:spacing w:before="120" w:after="60"/>
              <w:rPr>
                <w:rFonts w:cs="Arial"/>
                <w:b/>
                <w:bCs/>
                <w:sz w:val="20"/>
                <w:szCs w:val="20"/>
              </w:rPr>
            </w:pPr>
            <w:r w:rsidRPr="00574EB5">
              <w:rPr>
                <w:b/>
                <w:bCs/>
                <w:sz w:val="20"/>
                <w:szCs w:val="20"/>
              </w:rPr>
              <w:t>Figure 2</w:t>
            </w:r>
            <w:r>
              <w:rPr>
                <w:b/>
                <w:bCs/>
                <w:sz w:val="20"/>
                <w:szCs w:val="20"/>
              </w:rPr>
              <w:t>9</w:t>
            </w:r>
          </w:p>
        </w:tc>
        <w:tc>
          <w:tcPr>
            <w:tcW w:w="8363" w:type="dxa"/>
          </w:tcPr>
          <w:p w14:paraId="0A513036" w14:textId="77777777" w:rsidR="00335E3A" w:rsidRPr="00574EB5" w:rsidRDefault="00335E3A" w:rsidP="00771331">
            <w:pPr>
              <w:spacing w:before="120" w:after="60"/>
              <w:rPr>
                <w:rFonts w:cstheme="minorBidi"/>
                <w:bCs/>
                <w:sz w:val="20"/>
                <w:szCs w:val="20"/>
              </w:rPr>
            </w:pPr>
            <w:r w:rsidRPr="00574EB5">
              <w:rPr>
                <w:bCs/>
                <w:sz w:val="20"/>
                <w:szCs w:val="20"/>
              </w:rPr>
              <w:t xml:space="preserve">Months of life lost due to alcohol, females aged under 75, </w:t>
            </w:r>
            <w:r>
              <w:rPr>
                <w:bCs/>
                <w:sz w:val="20"/>
                <w:szCs w:val="20"/>
              </w:rPr>
              <w:t xml:space="preserve">Wales health boards, </w:t>
            </w:r>
            <w:r w:rsidRPr="00574EB5">
              <w:rPr>
                <w:bCs/>
                <w:sz w:val="20"/>
                <w:szCs w:val="20"/>
              </w:rPr>
              <w:t>2010-2012</w:t>
            </w:r>
          </w:p>
        </w:tc>
        <w:tc>
          <w:tcPr>
            <w:tcW w:w="851" w:type="dxa"/>
          </w:tcPr>
          <w:p w14:paraId="67B33E03" w14:textId="77777777" w:rsidR="00335E3A" w:rsidRPr="00574EB5" w:rsidRDefault="00DB76B0" w:rsidP="005847B7">
            <w:pPr>
              <w:spacing w:before="120" w:after="60"/>
              <w:jc w:val="right"/>
              <w:rPr>
                <w:sz w:val="20"/>
                <w:szCs w:val="20"/>
              </w:rPr>
            </w:pPr>
            <w:r>
              <w:rPr>
                <w:sz w:val="20"/>
                <w:szCs w:val="20"/>
              </w:rPr>
              <w:t>3</w:t>
            </w:r>
            <w:r w:rsidR="00A367EB">
              <w:rPr>
                <w:sz w:val="20"/>
                <w:szCs w:val="20"/>
              </w:rPr>
              <w:t>6</w:t>
            </w:r>
          </w:p>
        </w:tc>
      </w:tr>
      <w:tr w:rsidR="00335E3A" w:rsidRPr="00574EB5" w14:paraId="47965B72" w14:textId="77777777" w:rsidTr="002400AF">
        <w:tc>
          <w:tcPr>
            <w:tcW w:w="1560" w:type="dxa"/>
          </w:tcPr>
          <w:p w14:paraId="6FD0CC73" w14:textId="77777777" w:rsidR="00335E3A" w:rsidRPr="00574EB5" w:rsidRDefault="00335E3A" w:rsidP="00771331">
            <w:pPr>
              <w:spacing w:before="120" w:after="60"/>
              <w:rPr>
                <w:rFonts w:cs="Arial"/>
                <w:b/>
                <w:bCs/>
                <w:sz w:val="20"/>
                <w:szCs w:val="20"/>
              </w:rPr>
            </w:pPr>
            <w:r w:rsidRPr="00574EB5">
              <w:rPr>
                <w:b/>
                <w:bCs/>
                <w:sz w:val="20"/>
                <w:szCs w:val="20"/>
              </w:rPr>
              <w:t xml:space="preserve">Figure </w:t>
            </w:r>
            <w:r>
              <w:rPr>
                <w:b/>
                <w:bCs/>
                <w:sz w:val="20"/>
                <w:szCs w:val="20"/>
              </w:rPr>
              <w:t>30</w:t>
            </w:r>
          </w:p>
        </w:tc>
        <w:tc>
          <w:tcPr>
            <w:tcW w:w="8363" w:type="dxa"/>
          </w:tcPr>
          <w:p w14:paraId="38405AFA" w14:textId="77777777" w:rsidR="00335E3A" w:rsidRPr="00574EB5" w:rsidRDefault="00335E3A" w:rsidP="00771331">
            <w:pPr>
              <w:spacing w:before="120" w:after="60"/>
              <w:rPr>
                <w:rFonts w:cstheme="minorBidi"/>
                <w:bCs/>
                <w:sz w:val="20"/>
                <w:szCs w:val="20"/>
              </w:rPr>
            </w:pPr>
            <w:r w:rsidRPr="00574EB5">
              <w:rPr>
                <w:bCs/>
                <w:sz w:val="20"/>
                <w:szCs w:val="20"/>
              </w:rPr>
              <w:t>Alcohol-specific mortality, European ag</w:t>
            </w:r>
            <w:r>
              <w:rPr>
                <w:bCs/>
                <w:sz w:val="20"/>
                <w:szCs w:val="20"/>
              </w:rPr>
              <w:t>e-standardised rate per 100,000</w:t>
            </w:r>
            <w:r w:rsidRPr="00574EB5">
              <w:rPr>
                <w:bCs/>
                <w:sz w:val="20"/>
                <w:szCs w:val="20"/>
              </w:rPr>
              <w:t xml:space="preserve">, males, all ages, </w:t>
            </w:r>
            <w:r>
              <w:rPr>
                <w:bCs/>
                <w:sz w:val="20"/>
                <w:szCs w:val="20"/>
              </w:rPr>
              <w:t xml:space="preserve">Wales health boards, </w:t>
            </w:r>
            <w:r w:rsidRPr="00574EB5">
              <w:rPr>
                <w:bCs/>
                <w:sz w:val="20"/>
                <w:szCs w:val="20"/>
              </w:rPr>
              <w:t>2010-2012</w:t>
            </w:r>
          </w:p>
        </w:tc>
        <w:tc>
          <w:tcPr>
            <w:tcW w:w="851" w:type="dxa"/>
          </w:tcPr>
          <w:p w14:paraId="17EF04C3" w14:textId="77777777" w:rsidR="00335E3A" w:rsidRPr="00574EB5" w:rsidRDefault="00DB76B0" w:rsidP="005847B7">
            <w:pPr>
              <w:spacing w:before="120" w:after="60"/>
              <w:jc w:val="right"/>
              <w:rPr>
                <w:sz w:val="20"/>
                <w:szCs w:val="20"/>
              </w:rPr>
            </w:pPr>
            <w:r>
              <w:rPr>
                <w:sz w:val="20"/>
                <w:szCs w:val="20"/>
              </w:rPr>
              <w:t>3</w:t>
            </w:r>
            <w:r w:rsidR="00A367EB">
              <w:rPr>
                <w:sz w:val="20"/>
                <w:szCs w:val="20"/>
              </w:rPr>
              <w:t>7</w:t>
            </w:r>
          </w:p>
        </w:tc>
      </w:tr>
      <w:tr w:rsidR="00335E3A" w:rsidRPr="00574EB5" w14:paraId="2EA2D8D8" w14:textId="77777777" w:rsidTr="002400AF">
        <w:tc>
          <w:tcPr>
            <w:tcW w:w="1560" w:type="dxa"/>
          </w:tcPr>
          <w:p w14:paraId="6E3EFD80" w14:textId="77777777" w:rsidR="00335E3A" w:rsidRPr="00574EB5" w:rsidRDefault="00335E3A" w:rsidP="00771331">
            <w:pPr>
              <w:spacing w:before="120" w:after="60"/>
              <w:rPr>
                <w:rFonts w:cs="Arial"/>
                <w:b/>
                <w:bCs/>
                <w:sz w:val="20"/>
                <w:szCs w:val="20"/>
              </w:rPr>
            </w:pPr>
            <w:r w:rsidRPr="00574EB5">
              <w:rPr>
                <w:b/>
                <w:bCs/>
                <w:sz w:val="20"/>
                <w:szCs w:val="20"/>
              </w:rPr>
              <w:t>Figure 3</w:t>
            </w:r>
            <w:r>
              <w:rPr>
                <w:b/>
                <w:bCs/>
                <w:sz w:val="20"/>
                <w:szCs w:val="20"/>
              </w:rPr>
              <w:t>1</w:t>
            </w:r>
          </w:p>
        </w:tc>
        <w:tc>
          <w:tcPr>
            <w:tcW w:w="8363" w:type="dxa"/>
          </w:tcPr>
          <w:p w14:paraId="01901695" w14:textId="77777777" w:rsidR="00335E3A" w:rsidRPr="00574EB5" w:rsidRDefault="00335E3A" w:rsidP="00771331">
            <w:pPr>
              <w:spacing w:before="120" w:after="60"/>
              <w:rPr>
                <w:rFonts w:cstheme="minorBidi"/>
                <w:bCs/>
                <w:sz w:val="20"/>
                <w:szCs w:val="20"/>
              </w:rPr>
            </w:pPr>
            <w:r w:rsidRPr="00574EB5">
              <w:rPr>
                <w:bCs/>
                <w:sz w:val="20"/>
                <w:szCs w:val="20"/>
              </w:rPr>
              <w:t>Alcohol-specific mortality, European ag</w:t>
            </w:r>
            <w:r>
              <w:rPr>
                <w:bCs/>
                <w:sz w:val="20"/>
                <w:szCs w:val="20"/>
              </w:rPr>
              <w:t>e-standardised rate per 100,000</w:t>
            </w:r>
            <w:r w:rsidRPr="00574EB5">
              <w:rPr>
                <w:bCs/>
                <w:sz w:val="20"/>
                <w:szCs w:val="20"/>
              </w:rPr>
              <w:t xml:space="preserve">, females, all ages, </w:t>
            </w:r>
            <w:r>
              <w:rPr>
                <w:bCs/>
                <w:sz w:val="20"/>
                <w:szCs w:val="20"/>
              </w:rPr>
              <w:t xml:space="preserve">Wales health boards, </w:t>
            </w:r>
            <w:r w:rsidRPr="00574EB5">
              <w:rPr>
                <w:bCs/>
                <w:sz w:val="20"/>
                <w:szCs w:val="20"/>
              </w:rPr>
              <w:t>2010-2012</w:t>
            </w:r>
          </w:p>
        </w:tc>
        <w:tc>
          <w:tcPr>
            <w:tcW w:w="851" w:type="dxa"/>
          </w:tcPr>
          <w:p w14:paraId="0FBF0801" w14:textId="77777777" w:rsidR="00335E3A" w:rsidRPr="00574EB5" w:rsidRDefault="00DB76B0" w:rsidP="005847B7">
            <w:pPr>
              <w:spacing w:before="120" w:after="60"/>
              <w:jc w:val="right"/>
              <w:rPr>
                <w:sz w:val="20"/>
                <w:szCs w:val="20"/>
              </w:rPr>
            </w:pPr>
            <w:r>
              <w:rPr>
                <w:sz w:val="20"/>
                <w:szCs w:val="20"/>
              </w:rPr>
              <w:t>3</w:t>
            </w:r>
            <w:r w:rsidR="00A367EB">
              <w:rPr>
                <w:sz w:val="20"/>
                <w:szCs w:val="20"/>
              </w:rPr>
              <w:t>7</w:t>
            </w:r>
          </w:p>
        </w:tc>
      </w:tr>
      <w:tr w:rsidR="00335E3A" w:rsidRPr="00574EB5" w14:paraId="2AB4FDB3" w14:textId="77777777" w:rsidTr="002400AF">
        <w:tc>
          <w:tcPr>
            <w:tcW w:w="1560" w:type="dxa"/>
          </w:tcPr>
          <w:p w14:paraId="3865AA94" w14:textId="77777777" w:rsidR="00335E3A" w:rsidRPr="00574EB5" w:rsidRDefault="00335E3A" w:rsidP="00771331">
            <w:pPr>
              <w:spacing w:before="120" w:after="60"/>
              <w:rPr>
                <w:rFonts w:cs="Arial"/>
                <w:b/>
                <w:bCs/>
                <w:sz w:val="20"/>
                <w:szCs w:val="20"/>
              </w:rPr>
            </w:pPr>
            <w:r w:rsidRPr="00574EB5">
              <w:rPr>
                <w:b/>
                <w:bCs/>
                <w:sz w:val="20"/>
                <w:szCs w:val="20"/>
              </w:rPr>
              <w:t>Figure 3</w:t>
            </w:r>
            <w:r>
              <w:rPr>
                <w:b/>
                <w:bCs/>
                <w:sz w:val="20"/>
                <w:szCs w:val="20"/>
              </w:rPr>
              <w:t>2</w:t>
            </w:r>
          </w:p>
        </w:tc>
        <w:tc>
          <w:tcPr>
            <w:tcW w:w="8363" w:type="dxa"/>
          </w:tcPr>
          <w:p w14:paraId="2F4DB244" w14:textId="77777777" w:rsidR="00335E3A" w:rsidRPr="00574EB5" w:rsidRDefault="00335E3A" w:rsidP="00771331">
            <w:pPr>
              <w:spacing w:before="120" w:after="60"/>
              <w:rPr>
                <w:rFonts w:cs="Arial"/>
                <w:bCs/>
                <w:sz w:val="20"/>
                <w:szCs w:val="20"/>
              </w:rPr>
            </w:pPr>
            <w:r w:rsidRPr="00574EB5">
              <w:rPr>
                <w:sz w:val="20"/>
                <w:szCs w:val="20"/>
              </w:rPr>
              <w:t xml:space="preserve">Alcohol-specific mortality, persons, all ages, Wales, 2003-12  </w:t>
            </w:r>
            <w:r w:rsidRPr="00574EB5">
              <w:rPr>
                <w:sz w:val="20"/>
                <w:szCs w:val="20"/>
              </w:rPr>
              <w:tab/>
            </w:r>
          </w:p>
        </w:tc>
        <w:tc>
          <w:tcPr>
            <w:tcW w:w="851" w:type="dxa"/>
          </w:tcPr>
          <w:p w14:paraId="52BCA93A" w14:textId="77777777" w:rsidR="00DB76B0" w:rsidRPr="00574EB5" w:rsidRDefault="00A367EB" w:rsidP="005847B7">
            <w:pPr>
              <w:spacing w:before="120" w:after="60"/>
              <w:jc w:val="right"/>
              <w:rPr>
                <w:sz w:val="20"/>
                <w:szCs w:val="20"/>
              </w:rPr>
            </w:pPr>
            <w:r>
              <w:rPr>
                <w:sz w:val="20"/>
                <w:szCs w:val="20"/>
              </w:rPr>
              <w:t>38</w:t>
            </w:r>
          </w:p>
        </w:tc>
      </w:tr>
      <w:tr w:rsidR="00335E3A" w:rsidRPr="00574EB5" w14:paraId="57D096AF" w14:textId="77777777" w:rsidTr="002400AF">
        <w:tc>
          <w:tcPr>
            <w:tcW w:w="1560" w:type="dxa"/>
          </w:tcPr>
          <w:p w14:paraId="7C757784" w14:textId="77777777" w:rsidR="00335E3A" w:rsidRPr="00574EB5" w:rsidRDefault="00335E3A" w:rsidP="00771331">
            <w:pPr>
              <w:spacing w:before="120" w:after="60"/>
              <w:rPr>
                <w:rFonts w:cs="Arial"/>
                <w:b/>
                <w:bCs/>
                <w:sz w:val="20"/>
                <w:szCs w:val="20"/>
              </w:rPr>
            </w:pPr>
            <w:r w:rsidRPr="00574EB5">
              <w:rPr>
                <w:b/>
                <w:sz w:val="20"/>
                <w:szCs w:val="20"/>
              </w:rPr>
              <w:t>Figure 3</w:t>
            </w:r>
            <w:r>
              <w:rPr>
                <w:b/>
                <w:sz w:val="20"/>
                <w:szCs w:val="20"/>
              </w:rPr>
              <w:t>3</w:t>
            </w:r>
          </w:p>
        </w:tc>
        <w:tc>
          <w:tcPr>
            <w:tcW w:w="8363" w:type="dxa"/>
          </w:tcPr>
          <w:p w14:paraId="41770BB3" w14:textId="77777777" w:rsidR="00335E3A" w:rsidRPr="00574EB5" w:rsidRDefault="00335E3A" w:rsidP="00771331">
            <w:pPr>
              <w:spacing w:before="120" w:after="60"/>
              <w:rPr>
                <w:rFonts w:cstheme="minorBidi"/>
                <w:sz w:val="20"/>
                <w:szCs w:val="20"/>
              </w:rPr>
            </w:pPr>
            <w:r w:rsidRPr="00574EB5">
              <w:rPr>
                <w:bCs/>
                <w:sz w:val="20"/>
                <w:szCs w:val="20"/>
              </w:rPr>
              <w:t>Alcohol-specific mortality, European age-standardised rate (EASR) per 100,000, all ages, Wales, England &amp; English regions, 2010-2012</w:t>
            </w:r>
            <w:r w:rsidRPr="00574EB5">
              <w:rPr>
                <w:sz w:val="20"/>
                <w:szCs w:val="20"/>
              </w:rPr>
              <w:t xml:space="preserve">   </w:t>
            </w:r>
          </w:p>
        </w:tc>
        <w:tc>
          <w:tcPr>
            <w:tcW w:w="851" w:type="dxa"/>
          </w:tcPr>
          <w:p w14:paraId="0F08988A" w14:textId="77777777" w:rsidR="00335E3A" w:rsidRPr="00574EB5" w:rsidRDefault="00A367EB" w:rsidP="005847B7">
            <w:pPr>
              <w:spacing w:before="120" w:after="60"/>
              <w:jc w:val="right"/>
              <w:rPr>
                <w:sz w:val="20"/>
                <w:szCs w:val="20"/>
              </w:rPr>
            </w:pPr>
            <w:r>
              <w:rPr>
                <w:sz w:val="20"/>
                <w:szCs w:val="20"/>
              </w:rPr>
              <w:t>39</w:t>
            </w:r>
          </w:p>
        </w:tc>
      </w:tr>
      <w:tr w:rsidR="00335E3A" w:rsidRPr="00574EB5" w14:paraId="5E746B68" w14:textId="77777777" w:rsidTr="002400AF">
        <w:tc>
          <w:tcPr>
            <w:tcW w:w="1560" w:type="dxa"/>
          </w:tcPr>
          <w:p w14:paraId="7831AC62" w14:textId="77777777" w:rsidR="00335E3A" w:rsidRPr="00574EB5" w:rsidRDefault="00335E3A" w:rsidP="00771331">
            <w:pPr>
              <w:spacing w:before="120" w:after="60"/>
              <w:jc w:val="left"/>
              <w:rPr>
                <w:rFonts w:cs="Arial"/>
                <w:b/>
                <w:bCs/>
                <w:sz w:val="20"/>
                <w:szCs w:val="20"/>
              </w:rPr>
            </w:pPr>
            <w:r w:rsidRPr="00574EB5">
              <w:rPr>
                <w:b/>
                <w:sz w:val="20"/>
                <w:szCs w:val="20"/>
              </w:rPr>
              <w:t>Figure 3</w:t>
            </w:r>
            <w:r>
              <w:rPr>
                <w:b/>
                <w:sz w:val="20"/>
                <w:szCs w:val="20"/>
              </w:rPr>
              <w:t>4</w:t>
            </w:r>
          </w:p>
        </w:tc>
        <w:tc>
          <w:tcPr>
            <w:tcW w:w="8363" w:type="dxa"/>
          </w:tcPr>
          <w:p w14:paraId="24AF32A0" w14:textId="77777777" w:rsidR="00335E3A" w:rsidRPr="00574EB5" w:rsidRDefault="00335E3A" w:rsidP="00771331">
            <w:pPr>
              <w:spacing w:before="120" w:after="60"/>
              <w:rPr>
                <w:rFonts w:cs="Arial"/>
                <w:bCs/>
                <w:sz w:val="20"/>
                <w:szCs w:val="20"/>
              </w:rPr>
            </w:pPr>
            <w:r w:rsidRPr="00574EB5">
              <w:rPr>
                <w:bCs/>
                <w:sz w:val="20"/>
                <w:szCs w:val="20"/>
              </w:rPr>
              <w:t>Alcohol-attributable mortality, European age-standardised rate (EASR) per 100,000,  all ages, Wales, England &amp; English regions, 2012</w:t>
            </w:r>
          </w:p>
        </w:tc>
        <w:tc>
          <w:tcPr>
            <w:tcW w:w="851" w:type="dxa"/>
          </w:tcPr>
          <w:p w14:paraId="7035E3E3" w14:textId="77777777" w:rsidR="00335E3A" w:rsidRPr="00574EB5" w:rsidRDefault="00DB76B0" w:rsidP="005847B7">
            <w:pPr>
              <w:spacing w:before="120" w:after="60"/>
              <w:jc w:val="right"/>
              <w:rPr>
                <w:sz w:val="20"/>
                <w:szCs w:val="20"/>
              </w:rPr>
            </w:pPr>
            <w:r>
              <w:rPr>
                <w:sz w:val="20"/>
                <w:szCs w:val="20"/>
              </w:rPr>
              <w:t>4</w:t>
            </w:r>
            <w:r w:rsidR="00A367EB">
              <w:rPr>
                <w:sz w:val="20"/>
                <w:szCs w:val="20"/>
              </w:rPr>
              <w:t>0</w:t>
            </w:r>
          </w:p>
        </w:tc>
      </w:tr>
      <w:tr w:rsidR="00335E3A" w:rsidRPr="00574EB5" w14:paraId="565123A3" w14:textId="77777777" w:rsidTr="002400AF">
        <w:tc>
          <w:tcPr>
            <w:tcW w:w="1560" w:type="dxa"/>
          </w:tcPr>
          <w:p w14:paraId="33495D02" w14:textId="77777777" w:rsidR="00335E3A" w:rsidRPr="00574EB5" w:rsidRDefault="00335E3A" w:rsidP="00771331">
            <w:pPr>
              <w:spacing w:before="120" w:after="60"/>
              <w:rPr>
                <w:rFonts w:cs="Arial"/>
                <w:b/>
                <w:bCs/>
                <w:sz w:val="20"/>
                <w:szCs w:val="20"/>
              </w:rPr>
            </w:pPr>
            <w:r w:rsidRPr="00574EB5">
              <w:rPr>
                <w:b/>
                <w:bCs/>
                <w:sz w:val="20"/>
                <w:szCs w:val="20"/>
              </w:rPr>
              <w:t>Figure 3</w:t>
            </w:r>
            <w:r>
              <w:rPr>
                <w:b/>
                <w:bCs/>
                <w:sz w:val="20"/>
                <w:szCs w:val="20"/>
              </w:rPr>
              <w:t>5</w:t>
            </w:r>
          </w:p>
        </w:tc>
        <w:tc>
          <w:tcPr>
            <w:tcW w:w="8363" w:type="dxa"/>
          </w:tcPr>
          <w:p w14:paraId="2081E29B" w14:textId="77777777" w:rsidR="00335E3A" w:rsidRPr="00574EB5" w:rsidRDefault="00335E3A" w:rsidP="00771331">
            <w:pPr>
              <w:spacing w:before="120" w:after="60"/>
              <w:jc w:val="left"/>
              <w:rPr>
                <w:rFonts w:cs="Arial"/>
                <w:bCs/>
                <w:sz w:val="20"/>
                <w:szCs w:val="20"/>
              </w:rPr>
            </w:pPr>
            <w:r w:rsidRPr="00574EB5">
              <w:rPr>
                <w:bCs/>
                <w:sz w:val="20"/>
                <w:szCs w:val="20"/>
              </w:rPr>
              <w:t>Self-reported alcohol consumption, age-standardised percentage by deprivation fifth, males aged 16+, Wales, 2011-12</w:t>
            </w:r>
          </w:p>
        </w:tc>
        <w:tc>
          <w:tcPr>
            <w:tcW w:w="851" w:type="dxa"/>
          </w:tcPr>
          <w:p w14:paraId="31DF15B9" w14:textId="77777777" w:rsidR="00335E3A" w:rsidRPr="00574EB5" w:rsidRDefault="00DB76B0" w:rsidP="005847B7">
            <w:pPr>
              <w:spacing w:before="120" w:after="60"/>
              <w:jc w:val="right"/>
              <w:rPr>
                <w:sz w:val="20"/>
                <w:szCs w:val="20"/>
              </w:rPr>
            </w:pPr>
            <w:r>
              <w:rPr>
                <w:sz w:val="20"/>
                <w:szCs w:val="20"/>
              </w:rPr>
              <w:t>4</w:t>
            </w:r>
            <w:r w:rsidR="00A367EB">
              <w:rPr>
                <w:sz w:val="20"/>
                <w:szCs w:val="20"/>
              </w:rPr>
              <w:t>2</w:t>
            </w:r>
          </w:p>
        </w:tc>
      </w:tr>
      <w:tr w:rsidR="00335E3A" w:rsidRPr="00574EB5" w14:paraId="407879B0" w14:textId="77777777" w:rsidTr="002400AF">
        <w:tc>
          <w:tcPr>
            <w:tcW w:w="1560" w:type="dxa"/>
          </w:tcPr>
          <w:p w14:paraId="01D0FE5C" w14:textId="77777777" w:rsidR="00335E3A" w:rsidRPr="00574EB5" w:rsidRDefault="00335E3A" w:rsidP="00771331">
            <w:pPr>
              <w:spacing w:before="120" w:after="60"/>
              <w:jc w:val="left"/>
              <w:rPr>
                <w:rFonts w:cs="Arial"/>
                <w:b/>
                <w:bCs/>
                <w:sz w:val="20"/>
                <w:szCs w:val="20"/>
              </w:rPr>
            </w:pPr>
            <w:r w:rsidRPr="00574EB5">
              <w:rPr>
                <w:b/>
                <w:bCs/>
                <w:sz w:val="20"/>
                <w:szCs w:val="20"/>
              </w:rPr>
              <w:t>Figure 3</w:t>
            </w:r>
            <w:r>
              <w:rPr>
                <w:b/>
                <w:bCs/>
                <w:sz w:val="20"/>
                <w:szCs w:val="20"/>
              </w:rPr>
              <w:t>6</w:t>
            </w:r>
          </w:p>
        </w:tc>
        <w:tc>
          <w:tcPr>
            <w:tcW w:w="8363" w:type="dxa"/>
          </w:tcPr>
          <w:p w14:paraId="49BAB03D" w14:textId="77777777" w:rsidR="00335E3A" w:rsidRPr="00574EB5" w:rsidRDefault="00335E3A" w:rsidP="00771331">
            <w:pPr>
              <w:spacing w:before="120" w:after="60"/>
              <w:rPr>
                <w:rFonts w:cs="Arial"/>
                <w:bCs/>
                <w:sz w:val="20"/>
                <w:szCs w:val="20"/>
              </w:rPr>
            </w:pPr>
            <w:r w:rsidRPr="00574EB5">
              <w:rPr>
                <w:bCs/>
                <w:sz w:val="20"/>
                <w:szCs w:val="20"/>
              </w:rPr>
              <w:t>Self-reported alcohol consumption, age-standardised percentage by deprivation fifth, females aged 16+, Wales, 2011-12</w:t>
            </w:r>
          </w:p>
        </w:tc>
        <w:tc>
          <w:tcPr>
            <w:tcW w:w="851" w:type="dxa"/>
          </w:tcPr>
          <w:p w14:paraId="1A08036F" w14:textId="77777777" w:rsidR="00335E3A" w:rsidRPr="00574EB5" w:rsidRDefault="00DB76B0" w:rsidP="005847B7">
            <w:pPr>
              <w:spacing w:before="120" w:after="60"/>
              <w:jc w:val="right"/>
              <w:rPr>
                <w:sz w:val="20"/>
                <w:szCs w:val="20"/>
              </w:rPr>
            </w:pPr>
            <w:r>
              <w:rPr>
                <w:sz w:val="20"/>
                <w:szCs w:val="20"/>
              </w:rPr>
              <w:t>4</w:t>
            </w:r>
            <w:r w:rsidR="00A367EB">
              <w:rPr>
                <w:sz w:val="20"/>
                <w:szCs w:val="20"/>
              </w:rPr>
              <w:t>2</w:t>
            </w:r>
          </w:p>
        </w:tc>
      </w:tr>
      <w:tr w:rsidR="00335E3A" w:rsidRPr="00574EB5" w14:paraId="629C5087" w14:textId="77777777" w:rsidTr="002400AF">
        <w:tc>
          <w:tcPr>
            <w:tcW w:w="1560" w:type="dxa"/>
          </w:tcPr>
          <w:p w14:paraId="68E12FE6" w14:textId="77777777" w:rsidR="00335E3A" w:rsidRPr="00574EB5" w:rsidRDefault="00335E3A" w:rsidP="00771331">
            <w:pPr>
              <w:spacing w:before="120" w:after="60"/>
              <w:jc w:val="left"/>
              <w:rPr>
                <w:rFonts w:cs="Arial"/>
                <w:b/>
                <w:bCs/>
                <w:sz w:val="20"/>
                <w:szCs w:val="20"/>
              </w:rPr>
            </w:pPr>
            <w:r w:rsidRPr="00574EB5">
              <w:rPr>
                <w:b/>
                <w:bCs/>
                <w:sz w:val="20"/>
                <w:szCs w:val="20"/>
              </w:rPr>
              <w:t>Figure 3</w:t>
            </w:r>
            <w:r>
              <w:rPr>
                <w:b/>
                <w:bCs/>
                <w:sz w:val="20"/>
                <w:szCs w:val="20"/>
              </w:rPr>
              <w:t>7</w:t>
            </w:r>
          </w:p>
        </w:tc>
        <w:tc>
          <w:tcPr>
            <w:tcW w:w="8363" w:type="dxa"/>
          </w:tcPr>
          <w:p w14:paraId="21F77807" w14:textId="77777777" w:rsidR="00335E3A" w:rsidRPr="00574EB5" w:rsidRDefault="00335E3A" w:rsidP="00771331">
            <w:pPr>
              <w:spacing w:before="120" w:after="60"/>
              <w:rPr>
                <w:rFonts w:cstheme="minorBidi"/>
                <w:bCs/>
                <w:sz w:val="20"/>
                <w:szCs w:val="20"/>
              </w:rPr>
            </w:pPr>
            <w:r w:rsidRPr="00574EB5">
              <w:rPr>
                <w:bCs/>
                <w:sz w:val="20"/>
                <w:szCs w:val="20"/>
              </w:rPr>
              <w:t>Mortality by deprivation fifth, European age-standardised rate (EASR) per 100,000*, all ages, Wales, 2003-05 to 2010-12</w:t>
            </w:r>
          </w:p>
        </w:tc>
        <w:tc>
          <w:tcPr>
            <w:tcW w:w="851" w:type="dxa"/>
          </w:tcPr>
          <w:p w14:paraId="2DC4667B" w14:textId="77777777" w:rsidR="00335E3A" w:rsidRPr="00574EB5" w:rsidRDefault="005847B7" w:rsidP="005847B7">
            <w:pPr>
              <w:spacing w:before="120" w:after="60"/>
              <w:jc w:val="right"/>
              <w:rPr>
                <w:sz w:val="20"/>
                <w:szCs w:val="20"/>
              </w:rPr>
            </w:pPr>
            <w:r>
              <w:rPr>
                <w:sz w:val="20"/>
                <w:szCs w:val="20"/>
              </w:rPr>
              <w:t>4</w:t>
            </w:r>
            <w:r w:rsidR="00A367EB">
              <w:rPr>
                <w:sz w:val="20"/>
                <w:szCs w:val="20"/>
              </w:rPr>
              <w:t>4</w:t>
            </w:r>
          </w:p>
        </w:tc>
      </w:tr>
      <w:tr w:rsidR="00335E3A" w:rsidRPr="00574EB5" w14:paraId="1A438E94" w14:textId="77777777" w:rsidTr="002400AF">
        <w:tc>
          <w:tcPr>
            <w:tcW w:w="1560" w:type="dxa"/>
          </w:tcPr>
          <w:p w14:paraId="21CA2EB3" w14:textId="77777777" w:rsidR="00335E3A" w:rsidRPr="00574EB5" w:rsidRDefault="00335E3A" w:rsidP="00771331">
            <w:pPr>
              <w:spacing w:before="120" w:after="60"/>
              <w:jc w:val="left"/>
              <w:rPr>
                <w:b/>
                <w:bCs/>
                <w:sz w:val="20"/>
                <w:szCs w:val="20"/>
              </w:rPr>
            </w:pPr>
            <w:r w:rsidRPr="00574EB5">
              <w:rPr>
                <w:b/>
                <w:bCs/>
                <w:sz w:val="20"/>
                <w:szCs w:val="20"/>
              </w:rPr>
              <w:t>Figure 3</w:t>
            </w:r>
            <w:r>
              <w:rPr>
                <w:b/>
                <w:bCs/>
                <w:sz w:val="20"/>
                <w:szCs w:val="20"/>
              </w:rPr>
              <w:t>8</w:t>
            </w:r>
          </w:p>
        </w:tc>
        <w:tc>
          <w:tcPr>
            <w:tcW w:w="8363" w:type="dxa"/>
          </w:tcPr>
          <w:p w14:paraId="646E52D4" w14:textId="77777777" w:rsidR="00335E3A" w:rsidRPr="00574EB5" w:rsidRDefault="00335E3A" w:rsidP="00771331">
            <w:pPr>
              <w:spacing w:before="120" w:after="60"/>
              <w:rPr>
                <w:bCs/>
                <w:sz w:val="20"/>
                <w:szCs w:val="20"/>
              </w:rPr>
            </w:pPr>
            <w:r w:rsidRPr="00574EB5">
              <w:rPr>
                <w:bCs/>
                <w:sz w:val="20"/>
                <w:szCs w:val="20"/>
              </w:rPr>
              <w:t>Hospital admissions by deprivation fifth (person-based), European age-stand</w:t>
            </w:r>
            <w:r>
              <w:rPr>
                <w:bCs/>
                <w:sz w:val="20"/>
                <w:szCs w:val="20"/>
              </w:rPr>
              <w:t>ardised rate (EASR) per 100,000</w:t>
            </w:r>
            <w:r w:rsidRPr="00574EB5">
              <w:rPr>
                <w:bCs/>
                <w:sz w:val="20"/>
                <w:szCs w:val="20"/>
              </w:rPr>
              <w:t>, all ages, Wales, financial years 2003/04-2012/13</w:t>
            </w:r>
          </w:p>
        </w:tc>
        <w:tc>
          <w:tcPr>
            <w:tcW w:w="851" w:type="dxa"/>
          </w:tcPr>
          <w:p w14:paraId="776C8BFE" w14:textId="77777777" w:rsidR="00335E3A" w:rsidRPr="00574EB5" w:rsidRDefault="005847B7" w:rsidP="005847B7">
            <w:pPr>
              <w:spacing w:before="120" w:after="60"/>
              <w:jc w:val="right"/>
              <w:rPr>
                <w:sz w:val="20"/>
                <w:szCs w:val="20"/>
              </w:rPr>
            </w:pPr>
            <w:r>
              <w:rPr>
                <w:sz w:val="20"/>
                <w:szCs w:val="20"/>
              </w:rPr>
              <w:t>4</w:t>
            </w:r>
            <w:r w:rsidR="00A367EB">
              <w:rPr>
                <w:sz w:val="20"/>
                <w:szCs w:val="20"/>
              </w:rPr>
              <w:t>6</w:t>
            </w:r>
          </w:p>
        </w:tc>
      </w:tr>
    </w:tbl>
    <w:p w14:paraId="2CC18E9F" w14:textId="77777777" w:rsidR="00232E44" w:rsidRPr="00BA7D8B" w:rsidRDefault="00574EB5" w:rsidP="000754F6">
      <w:pPr>
        <w:spacing w:before="0"/>
        <w:jc w:val="left"/>
        <w:rPr>
          <w:b/>
          <w:color w:val="2D5B75"/>
          <w:kern w:val="28"/>
          <w:sz w:val="72"/>
          <w:szCs w:val="30"/>
        </w:rPr>
      </w:pPr>
      <w:r>
        <w:rPr>
          <w:b/>
          <w:color w:val="2D5B75"/>
          <w:kern w:val="28"/>
          <w:sz w:val="72"/>
          <w:szCs w:val="30"/>
        </w:rPr>
        <w:br w:type="page"/>
      </w:r>
      <w:r w:rsidR="00232E44" w:rsidRPr="00BA7D8B">
        <w:rPr>
          <w:b/>
          <w:color w:val="2D5B75"/>
          <w:kern w:val="28"/>
          <w:sz w:val="72"/>
          <w:szCs w:val="30"/>
        </w:rPr>
        <w:lastRenderedPageBreak/>
        <w:t>Foreword</w:t>
      </w:r>
    </w:p>
    <w:p w14:paraId="18892ED9" w14:textId="77777777" w:rsidR="00402604" w:rsidRPr="00554834" w:rsidRDefault="00402604" w:rsidP="00402604">
      <w:pPr>
        <w:rPr>
          <w:sz w:val="21"/>
          <w:szCs w:val="21"/>
        </w:rPr>
      </w:pPr>
      <w:r w:rsidRPr="00D373FD">
        <w:rPr>
          <w:sz w:val="21"/>
          <w:szCs w:val="21"/>
        </w:rPr>
        <w:t xml:space="preserve">Every week in Wales alcohol results in </w:t>
      </w:r>
      <w:r w:rsidR="000E2795">
        <w:rPr>
          <w:sz w:val="21"/>
          <w:szCs w:val="21"/>
        </w:rPr>
        <w:t xml:space="preserve">29 deaths; </w:t>
      </w:r>
      <w:r w:rsidR="000E2795" w:rsidRPr="00554834">
        <w:rPr>
          <w:sz w:val="21"/>
          <w:szCs w:val="21"/>
        </w:rPr>
        <w:t>around 1</w:t>
      </w:r>
      <w:r w:rsidRPr="00554834">
        <w:rPr>
          <w:sz w:val="21"/>
          <w:szCs w:val="21"/>
        </w:rPr>
        <w:t xml:space="preserve"> in </w:t>
      </w:r>
      <w:r w:rsidR="000E2795" w:rsidRPr="00554834">
        <w:rPr>
          <w:sz w:val="21"/>
          <w:szCs w:val="21"/>
        </w:rPr>
        <w:t>20</w:t>
      </w:r>
      <w:r w:rsidRPr="00554834">
        <w:rPr>
          <w:sz w:val="21"/>
          <w:szCs w:val="21"/>
        </w:rPr>
        <w:t xml:space="preserve"> of all deaths. These are not just bar brawls and overdoses resulting from binge drinking. In fact, </w:t>
      </w:r>
      <w:r w:rsidR="00554834" w:rsidRPr="00554834">
        <w:rPr>
          <w:sz w:val="21"/>
          <w:szCs w:val="21"/>
        </w:rPr>
        <w:t>most</w:t>
      </w:r>
      <w:r w:rsidRPr="00554834">
        <w:rPr>
          <w:sz w:val="21"/>
          <w:szCs w:val="21"/>
        </w:rPr>
        <w:t xml:space="preserve"> result from long-term drinking and its role in increasing risks of dis</w:t>
      </w:r>
      <w:r w:rsidR="00455B30">
        <w:rPr>
          <w:sz w:val="21"/>
          <w:szCs w:val="21"/>
        </w:rPr>
        <w:t>eases such as cancer and cardio</w:t>
      </w:r>
      <w:r w:rsidRPr="00554834">
        <w:rPr>
          <w:sz w:val="21"/>
          <w:szCs w:val="21"/>
        </w:rPr>
        <w:t>vascular disease. Tragically, many of those affected by alcohol are unaware of how it is harming their health until the disease process is well established.</w:t>
      </w:r>
    </w:p>
    <w:p w14:paraId="61D70070" w14:textId="77777777" w:rsidR="00402604" w:rsidRPr="00554834" w:rsidRDefault="00402604" w:rsidP="00746A64">
      <w:pPr>
        <w:spacing w:before="160"/>
        <w:rPr>
          <w:sz w:val="21"/>
          <w:szCs w:val="21"/>
        </w:rPr>
      </w:pPr>
      <w:r w:rsidRPr="00554834">
        <w:rPr>
          <w:sz w:val="21"/>
          <w:szCs w:val="21"/>
        </w:rPr>
        <w:t xml:space="preserve">The impact of alcohol on health also creates enormous pressures on our health systems. Every week our hospitals handle as many as </w:t>
      </w:r>
      <w:r w:rsidR="008F6A00" w:rsidRPr="00554834">
        <w:rPr>
          <w:sz w:val="21"/>
          <w:szCs w:val="21"/>
        </w:rPr>
        <w:t>1</w:t>
      </w:r>
      <w:r w:rsidR="00746A64" w:rsidRPr="00554834">
        <w:rPr>
          <w:sz w:val="21"/>
          <w:szCs w:val="21"/>
        </w:rPr>
        <w:t>,00</w:t>
      </w:r>
      <w:r w:rsidRPr="00554834">
        <w:rPr>
          <w:sz w:val="21"/>
          <w:szCs w:val="21"/>
        </w:rPr>
        <w:t>0 admissions related to alcohol, increasing strains on already stretched services. Such admissions are only the tip of an iceberg which includes many more presentations at emergency departments, ambulance requests and GP appointments all resulting from alcohol. The cost of alcohol to Wales extends even further through alcohol related crime, domestic violence, abuse and neglect where individuals’ well-being, property and sometimes families are harmed through the misuse of alcohol by others. Alcohol related long-term disability and lost productivity at work mean that it is not just individuals but also the economy that suffers from an unhealthy relationship with alcohol.</w:t>
      </w:r>
    </w:p>
    <w:p w14:paraId="1038BF14" w14:textId="77777777" w:rsidR="00402604" w:rsidRPr="00554834" w:rsidRDefault="00402604" w:rsidP="00746A64">
      <w:pPr>
        <w:spacing w:before="160"/>
        <w:rPr>
          <w:sz w:val="21"/>
          <w:szCs w:val="21"/>
        </w:rPr>
      </w:pPr>
      <w:r w:rsidRPr="00554834">
        <w:rPr>
          <w:sz w:val="21"/>
          <w:szCs w:val="21"/>
        </w:rPr>
        <w:t xml:space="preserve">Our problems with alcohol in Wales must be tackled early in life. A greater proportion of children drink alcohol in Wales than </w:t>
      </w:r>
      <w:r w:rsidR="008A02EE">
        <w:rPr>
          <w:sz w:val="21"/>
          <w:szCs w:val="21"/>
        </w:rPr>
        <w:t>in England, Scotland or</w:t>
      </w:r>
      <w:r w:rsidRPr="00554834">
        <w:rPr>
          <w:sz w:val="21"/>
          <w:szCs w:val="21"/>
        </w:rPr>
        <w:t xml:space="preserve"> </w:t>
      </w:r>
      <w:r w:rsidR="00A37683">
        <w:rPr>
          <w:sz w:val="21"/>
          <w:szCs w:val="21"/>
        </w:rPr>
        <w:t xml:space="preserve">the Republic of </w:t>
      </w:r>
      <w:r w:rsidRPr="00554834">
        <w:rPr>
          <w:sz w:val="21"/>
          <w:szCs w:val="21"/>
        </w:rPr>
        <w:t>Ireland. The normalisation of drinking at a young age, particularly when associated with binge drinking, is especially harmful and is linked with poor educational performance, sexual health problems in early life and sets the pattern for harmful drinking behaviour in adulthood. Alcohol also hurts the poorest the most. While this report shows that no parts of Wales are untouched by alcohol, its impact is greatest in our most deprived communities which suffer substantially higher levels of both alc</w:t>
      </w:r>
      <w:r w:rsidR="008F6A00" w:rsidRPr="00554834">
        <w:rPr>
          <w:sz w:val="21"/>
          <w:szCs w:val="21"/>
        </w:rPr>
        <w:t>ohol related disease and deaths</w:t>
      </w:r>
      <w:r w:rsidRPr="00554834">
        <w:rPr>
          <w:sz w:val="21"/>
          <w:szCs w:val="21"/>
        </w:rPr>
        <w:t>.</w:t>
      </w:r>
    </w:p>
    <w:p w14:paraId="6C071570" w14:textId="77777777" w:rsidR="00402604" w:rsidRPr="00D373FD" w:rsidRDefault="008F6A00" w:rsidP="00746A64">
      <w:pPr>
        <w:spacing w:before="160"/>
        <w:rPr>
          <w:sz w:val="21"/>
          <w:szCs w:val="21"/>
        </w:rPr>
      </w:pPr>
      <w:r w:rsidRPr="00554834">
        <w:rPr>
          <w:noProof/>
          <w:sz w:val="21"/>
          <w:szCs w:val="21"/>
        </w:rPr>
        <w:drawing>
          <wp:anchor distT="71755" distB="0" distL="252095" distR="0" simplePos="0" relativeHeight="251800576" behindDoc="0" locked="0" layoutInCell="1" allowOverlap="1" wp14:anchorId="4B56C18F" wp14:editId="5A4C5773">
            <wp:simplePos x="0" y="0"/>
            <wp:positionH relativeFrom="column">
              <wp:posOffset>4838700</wp:posOffset>
            </wp:positionH>
            <wp:positionV relativeFrom="paragraph">
              <wp:posOffset>1417320</wp:posOffset>
            </wp:positionV>
            <wp:extent cx="1823085" cy="1962150"/>
            <wp:effectExtent l="19050" t="0" r="5715" b="0"/>
            <wp:wrapSquare wrapText="bothSides"/>
            <wp:docPr id="1" name="Picture 0" descr="Mark Bellis pho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k Bellis photo.[1].jpg"/>
                    <pic:cNvPicPr/>
                  </pic:nvPicPr>
                  <pic:blipFill>
                    <a:blip r:embed="rId21" cstate="print"/>
                    <a:stretch>
                      <a:fillRect/>
                    </a:stretch>
                  </pic:blipFill>
                  <pic:spPr>
                    <a:xfrm>
                      <a:off x="0" y="0"/>
                      <a:ext cx="1823085" cy="1962150"/>
                    </a:xfrm>
                    <a:prstGeom prst="rect">
                      <a:avLst/>
                    </a:prstGeom>
                  </pic:spPr>
                </pic:pic>
              </a:graphicData>
            </a:graphic>
          </wp:anchor>
        </w:drawing>
      </w:r>
      <w:r w:rsidR="00402604" w:rsidRPr="00554834">
        <w:rPr>
          <w:sz w:val="21"/>
          <w:szCs w:val="21"/>
        </w:rPr>
        <w:t>We can change our relationship with alcohol. The Welsh Government is taking forward a Minimum Unit Price for alcohol; a targeted measure intended to reduce alcohol consumption in the heaviest drinkers who favour very cheap alcohol but leave the moderate drinker with little or no changes to what they pay for their drinks. Such measures have successfully improved health elsewhere and can do the same in Wales.  However, we also need to empower individuals in Wales to make the right choices about their own drinking. Too many drinkers fail to recognise how even moderate drinking can increase their risks of developing diseases</w:t>
      </w:r>
      <w:r w:rsidR="00402604" w:rsidRPr="00D373FD">
        <w:rPr>
          <w:sz w:val="21"/>
          <w:szCs w:val="21"/>
        </w:rPr>
        <w:t xml:space="preserve"> such as cancer. Public health professionals must rise to the challenge of informing the public about these risks in an environment dominated by advertising intent on increasing consumption of their products. Our experience with tobacco suggests that sustained and population wide messages about harms were only possible once legislation stipulated prominent health information on all advertisements and products. The risks related to alcohol use are now clear - what is needed is the policy to allow them to be communicated at scale to the public. </w:t>
      </w:r>
    </w:p>
    <w:p w14:paraId="66CE6C36" w14:textId="4977BEB6" w:rsidR="00232E44" w:rsidRDefault="007A0E4D" w:rsidP="00746A64">
      <w:pPr>
        <w:spacing w:before="160"/>
        <w:rPr>
          <w:sz w:val="21"/>
          <w:szCs w:val="21"/>
        </w:rPr>
      </w:pPr>
      <w:r>
        <w:rPr>
          <w:noProof/>
          <w:sz w:val="21"/>
          <w:szCs w:val="21"/>
        </w:rPr>
        <w:drawing>
          <wp:anchor distT="0" distB="0" distL="323850" distR="180340" simplePos="0" relativeHeight="251797504" behindDoc="0" locked="0" layoutInCell="1" allowOverlap="1" wp14:anchorId="3DC3C213" wp14:editId="19F930F1">
            <wp:simplePos x="0" y="0"/>
            <wp:positionH relativeFrom="column">
              <wp:posOffset>4953000</wp:posOffset>
            </wp:positionH>
            <wp:positionV relativeFrom="paragraph">
              <wp:posOffset>875665</wp:posOffset>
            </wp:positionV>
            <wp:extent cx="1495425" cy="638175"/>
            <wp:effectExtent l="19050" t="0" r="9525" b="0"/>
            <wp:wrapSquare wrapText="bothSides"/>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BELLIS SIGN.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495425" cy="638175"/>
                    </a:xfrm>
                    <a:prstGeom prst="rect">
                      <a:avLst/>
                    </a:prstGeom>
                  </pic:spPr>
                </pic:pic>
              </a:graphicData>
            </a:graphic>
          </wp:anchor>
        </w:drawing>
      </w:r>
      <w:r w:rsidR="007465D8">
        <w:rPr>
          <w:noProof/>
          <w:sz w:val="21"/>
          <w:szCs w:val="21"/>
        </w:rPr>
        <mc:AlternateContent>
          <mc:Choice Requires="wps">
            <w:drawing>
              <wp:anchor distT="0" distB="0" distL="114300" distR="114300" simplePos="0" relativeHeight="251799552" behindDoc="0" locked="0" layoutInCell="1" allowOverlap="1" wp14:anchorId="07D73F75" wp14:editId="4BF3224D">
                <wp:simplePos x="0" y="0"/>
                <wp:positionH relativeFrom="column">
                  <wp:posOffset>4724400</wp:posOffset>
                </wp:positionH>
                <wp:positionV relativeFrom="paragraph">
                  <wp:posOffset>1443990</wp:posOffset>
                </wp:positionV>
                <wp:extent cx="2057400" cy="914400"/>
                <wp:effectExtent l="0" t="0" r="0" b="3175"/>
                <wp:wrapSquare wrapText="bothSides"/>
                <wp:docPr id="307" name="Text Box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3FB9F6" w14:textId="77777777" w:rsidR="0021734B" w:rsidRPr="0016379E" w:rsidRDefault="0021734B" w:rsidP="0016379E">
                            <w:pPr>
                              <w:spacing w:before="120"/>
                              <w:rPr>
                                <w:b/>
                              </w:rPr>
                            </w:pPr>
                            <w:r w:rsidRPr="0016379E">
                              <w:rPr>
                                <w:b/>
                              </w:rPr>
                              <w:t>Professor Mark Bellis</w:t>
                            </w:r>
                          </w:p>
                          <w:p w14:paraId="45CDD4E7" w14:textId="77777777" w:rsidR="0021734B" w:rsidRPr="000E2795" w:rsidRDefault="0021734B" w:rsidP="0016379E">
                            <w:pPr>
                              <w:spacing w:before="120"/>
                              <w:rPr>
                                <w:sz w:val="20"/>
                                <w:szCs w:val="20"/>
                              </w:rPr>
                            </w:pPr>
                            <w:r w:rsidRPr="000E2795">
                              <w:rPr>
                                <w:sz w:val="20"/>
                                <w:szCs w:val="20"/>
                              </w:rPr>
                              <w:t xml:space="preserve">Director of Policy, </w:t>
                            </w:r>
                          </w:p>
                          <w:p w14:paraId="046D8726" w14:textId="77777777" w:rsidR="0021734B" w:rsidRPr="000E2795" w:rsidRDefault="0021734B" w:rsidP="0016379E">
                            <w:pPr>
                              <w:spacing w:before="0"/>
                              <w:rPr>
                                <w:sz w:val="20"/>
                                <w:szCs w:val="20"/>
                              </w:rPr>
                            </w:pPr>
                            <w:r w:rsidRPr="000E2795">
                              <w:rPr>
                                <w:sz w:val="20"/>
                                <w:szCs w:val="20"/>
                              </w:rPr>
                              <w:t>Research and Development</w:t>
                            </w:r>
                          </w:p>
                          <w:p w14:paraId="78E67F7D" w14:textId="77777777" w:rsidR="0021734B" w:rsidRPr="000E2795" w:rsidRDefault="0021734B" w:rsidP="0016379E">
                            <w:pPr>
                              <w:spacing w:before="0"/>
                              <w:rPr>
                                <w:sz w:val="20"/>
                                <w:szCs w:val="20"/>
                              </w:rPr>
                            </w:pPr>
                            <w:r w:rsidRPr="000E2795">
                              <w:rPr>
                                <w:sz w:val="20"/>
                                <w:szCs w:val="20"/>
                              </w:rPr>
                              <w:t>Public Health Wales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7D73F75" id="_x0000_t202" coordsize="21600,21600" o:spt="202" path="m,l,21600r21600,l21600,xe">
                <v:stroke joinstyle="miter"/>
                <v:path gradientshapeok="t" o:connecttype="rect"/>
              </v:shapetype>
              <v:shape id="Text Box 323" o:spid="_x0000_s1027" type="#_x0000_t202" style="position:absolute;left:0;text-align:left;margin-left:372pt;margin-top:113.7pt;width:162pt;height:1in;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" stroked="f">
                <v:textbox>
                  <w:txbxContent>
                    <w:p w14:paraId="363FB9F6" w14:textId="77777777" w:rsidR="0021734B" w:rsidRPr="0016379E" w:rsidRDefault="0021734B" w:rsidP="0016379E">
                      <w:pPr>
                        <w:spacing w:before="120"/>
                        <w:rPr>
                          <w:b/>
                        </w:rPr>
                      </w:pPr>
                      <w:r w:rsidRPr="0016379E">
                        <w:rPr>
                          <w:b/>
                        </w:rPr>
                        <w:t>Professor Mark Bellis</w:t>
                      </w:r>
                    </w:p>
                    <w:p w14:paraId="45CDD4E7" w14:textId="77777777" w:rsidR="0021734B" w:rsidRPr="000E2795" w:rsidRDefault="0021734B" w:rsidP="0016379E">
                      <w:pPr>
                        <w:spacing w:before="120"/>
                        <w:rPr>
                          <w:sz w:val="20"/>
                          <w:szCs w:val="20"/>
                        </w:rPr>
                      </w:pPr>
                      <w:r w:rsidRPr="000E2795">
                        <w:rPr>
                          <w:sz w:val="20"/>
                          <w:szCs w:val="20"/>
                        </w:rPr>
                        <w:t xml:space="preserve">Director of Policy, </w:t>
                      </w:r>
                    </w:p>
                    <w:p w14:paraId="046D8726" w14:textId="77777777" w:rsidR="0021734B" w:rsidRPr="000E2795" w:rsidRDefault="0021734B" w:rsidP="0016379E">
                      <w:pPr>
                        <w:spacing w:before="0"/>
                        <w:rPr>
                          <w:sz w:val="20"/>
                          <w:szCs w:val="20"/>
                        </w:rPr>
                      </w:pPr>
                      <w:r w:rsidRPr="000E2795">
                        <w:rPr>
                          <w:sz w:val="20"/>
                          <w:szCs w:val="20"/>
                        </w:rPr>
                        <w:t>Research and Development</w:t>
                      </w:r>
                    </w:p>
                    <w:p w14:paraId="78E67F7D" w14:textId="77777777" w:rsidR="0021734B" w:rsidRPr="000E2795" w:rsidRDefault="0021734B" w:rsidP="0016379E">
                      <w:pPr>
                        <w:spacing w:before="0"/>
                        <w:rPr>
                          <w:sz w:val="20"/>
                          <w:szCs w:val="20"/>
                        </w:rPr>
                      </w:pPr>
                      <w:r w:rsidRPr="000E2795">
                        <w:rPr>
                          <w:sz w:val="20"/>
                          <w:szCs w:val="20"/>
                        </w:rPr>
                        <w:t>Public Health Wales</w:t>
                      </w:r>
                    </w:p>
                  </w:txbxContent>
                </v:textbox>
                <w10:wrap type="square"/>
              </v:shape>
            </w:pict>
          </mc:Fallback>
        </mc:AlternateContent>
      </w:r>
      <w:r w:rsidR="00402604" w:rsidRPr="00D373FD">
        <w:rPr>
          <w:sz w:val="21"/>
          <w:szCs w:val="21"/>
        </w:rPr>
        <w:t>The Welsh Government’s 10 year substance misuse strategy, Working Together to Reduce Harm (2008-18), is clear that a multi-pronged approach involving individuals, the health service, the alcohol industry and government is required if we are to make significant progress in tackling this public health challenge. I congratulate my colleagues at the Public Health Wales Observatory for producing this comprehensive report which set</w:t>
      </w:r>
      <w:r>
        <w:rPr>
          <w:sz w:val="21"/>
          <w:szCs w:val="21"/>
        </w:rPr>
        <w:t>s</w:t>
      </w:r>
      <w:r w:rsidR="00402604" w:rsidRPr="00D373FD">
        <w:rPr>
          <w:sz w:val="21"/>
          <w:szCs w:val="21"/>
        </w:rPr>
        <w:t xml:space="preserve"> out the scale of the challenges we face if we are to prevent the harms related to alcohol consumption across Wales. It provides a clear indication that while we are making progress much more is still to be done if we want to reduce the avoidable harms that alcohol causes to families, business and communities across Wales.</w:t>
      </w:r>
    </w:p>
    <w:p w14:paraId="181A3DA5" w14:textId="77777777" w:rsidR="00D373FD" w:rsidRPr="00D373FD" w:rsidRDefault="00D373FD" w:rsidP="00402604">
      <w:pPr>
        <w:rPr>
          <w:sz w:val="21"/>
          <w:szCs w:val="21"/>
        </w:rPr>
      </w:pPr>
    </w:p>
    <w:p w14:paraId="41BB973E" w14:textId="77777777" w:rsidR="00BA7D8B" w:rsidRDefault="00BA7D8B" w:rsidP="007D7CDD">
      <w:pPr>
        <w:pStyle w:val="Heading1"/>
        <w:numPr>
          <w:ilvl w:val="0"/>
          <w:numId w:val="0"/>
        </w:numPr>
        <w:ind w:left="1008" w:hanging="1008"/>
      </w:pPr>
      <w:bookmarkStart w:id="6" w:name="_Toc400007261"/>
      <w:r w:rsidRPr="00BA7D8B">
        <w:lastRenderedPageBreak/>
        <w:t>Key Messages</w:t>
      </w:r>
      <w:bookmarkEnd w:id="6"/>
    </w:p>
    <w:p w14:paraId="54A5F71F" w14:textId="77777777" w:rsidR="00196EA4" w:rsidRPr="00196EA4" w:rsidRDefault="00196EA4" w:rsidP="00196EA4"/>
    <w:p w14:paraId="7E0632AE" w14:textId="77777777" w:rsidR="007D7CDD" w:rsidRPr="00AB6FA3" w:rsidRDefault="007D7CDD" w:rsidP="00DF456C">
      <w:pPr>
        <w:pStyle w:val="ListParagraph"/>
        <w:numPr>
          <w:ilvl w:val="0"/>
          <w:numId w:val="32"/>
        </w:numPr>
        <w:autoSpaceDE w:val="0"/>
        <w:autoSpaceDN w:val="0"/>
        <w:adjustRightInd w:val="0"/>
        <w:spacing w:before="120" w:after="120"/>
        <w:ind w:left="714" w:hanging="357"/>
        <w:contextualSpacing w:val="0"/>
        <w:jc w:val="left"/>
      </w:pPr>
      <w:r w:rsidRPr="00AB6FA3">
        <w:rPr>
          <w:noProof/>
        </w:rPr>
        <w:t>Alcohol remains a major cause of death and illness in Wales. Around 1</w:t>
      </w:r>
      <w:r w:rsidR="00113C16">
        <w:rPr>
          <w:noProof/>
        </w:rPr>
        <w:t>,</w:t>
      </w:r>
      <w:r w:rsidRPr="00AB6FA3">
        <w:rPr>
          <w:noProof/>
        </w:rPr>
        <w:t>500 deaths in Wales are attributable to alcohol each year (4.9% of all deaths).</w:t>
      </w:r>
    </w:p>
    <w:p w14:paraId="4ED335EB" w14:textId="77777777" w:rsidR="007D7CDD" w:rsidRPr="00AB6FA3" w:rsidRDefault="007D7CDD" w:rsidP="00DF456C">
      <w:pPr>
        <w:pStyle w:val="ListParagraph"/>
        <w:numPr>
          <w:ilvl w:val="0"/>
          <w:numId w:val="32"/>
        </w:numPr>
        <w:autoSpaceDE w:val="0"/>
        <w:autoSpaceDN w:val="0"/>
        <w:adjustRightInd w:val="0"/>
        <w:spacing w:before="120" w:after="120"/>
        <w:ind w:left="714" w:hanging="357"/>
        <w:contextualSpacing w:val="0"/>
        <w:jc w:val="left"/>
      </w:pPr>
      <w:r w:rsidRPr="00AB6FA3">
        <w:t xml:space="preserve">Drinking in children and young people remains a concern with 17% of males and 14% of females aged 11-16 in Wales drinking alcohol at least once a week. This is higher than in Scotland, Ireland, England and the survey average. </w:t>
      </w:r>
    </w:p>
    <w:p w14:paraId="17C86A31" w14:textId="77777777" w:rsidR="007D7CDD" w:rsidRPr="00AB6FA3" w:rsidRDefault="007D7CDD" w:rsidP="00DF456C">
      <w:pPr>
        <w:pStyle w:val="ListParagraph"/>
        <w:numPr>
          <w:ilvl w:val="0"/>
          <w:numId w:val="32"/>
        </w:numPr>
        <w:autoSpaceDE w:val="0"/>
        <w:autoSpaceDN w:val="0"/>
        <w:adjustRightInd w:val="0"/>
        <w:spacing w:before="120" w:after="120"/>
        <w:ind w:left="714" w:hanging="357"/>
        <w:contextualSpacing w:val="0"/>
        <w:jc w:val="left"/>
      </w:pPr>
      <w:r w:rsidRPr="00AB6FA3">
        <w:t xml:space="preserve">Adult consumption has fallen slightly in Wales since 2008 for all three measures: drinking above guidelines, heavy (binge) drinking and very heavy drinking. This mirrors UK sales data which has fallen since its peak in 2004. </w:t>
      </w:r>
    </w:p>
    <w:p w14:paraId="7E9E89E7" w14:textId="77777777" w:rsidR="007D7CDD" w:rsidRPr="00AB6FA3" w:rsidRDefault="007D7CDD" w:rsidP="00DF456C">
      <w:pPr>
        <w:pStyle w:val="ListParagraph"/>
        <w:numPr>
          <w:ilvl w:val="0"/>
          <w:numId w:val="32"/>
        </w:numPr>
        <w:autoSpaceDE w:val="0"/>
        <w:autoSpaceDN w:val="0"/>
        <w:adjustRightInd w:val="0"/>
        <w:spacing w:before="120" w:after="120"/>
        <w:ind w:left="714" w:hanging="357"/>
        <w:contextualSpacing w:val="0"/>
        <w:jc w:val="left"/>
      </w:pPr>
      <w:r w:rsidRPr="0000586B">
        <w:t>Adults under 45 now drink less. Drinking above guidelines, heavy and very heavy drinking have decreased in adults aged</w:t>
      </w:r>
      <w:r w:rsidRPr="00AB6FA3">
        <w:t xml:space="preserve"> under 45, particularly in males and the youngest females, and increased or stayed the same for adults aged 45 and over. Whilst a reduction in average drinking is good news, it is not uniform across the age groups and masks persistent or increased drinking in over 45 year olds.</w:t>
      </w:r>
    </w:p>
    <w:p w14:paraId="231D5449" w14:textId="77777777" w:rsidR="007D7CDD" w:rsidRPr="00AB6FA3" w:rsidRDefault="007D7CDD" w:rsidP="00DF456C">
      <w:pPr>
        <w:pStyle w:val="ListParagraph"/>
        <w:numPr>
          <w:ilvl w:val="0"/>
          <w:numId w:val="32"/>
        </w:numPr>
        <w:autoSpaceDE w:val="0"/>
        <w:autoSpaceDN w:val="0"/>
        <w:adjustRightInd w:val="0"/>
        <w:spacing w:before="120" w:after="120"/>
        <w:ind w:left="714" w:hanging="357"/>
        <w:contextualSpacing w:val="0"/>
        <w:jc w:val="left"/>
      </w:pPr>
      <w:r w:rsidRPr="00AB6FA3">
        <w:t>More young males aged 16-24 and more older females aged 75+ have abstained from alcohol in the past year, whilst the percentage in the other age groups has largely remained the same.</w:t>
      </w:r>
    </w:p>
    <w:p w14:paraId="3737479E" w14:textId="77777777" w:rsidR="007D7CDD" w:rsidRPr="00AB6FA3" w:rsidRDefault="007D7CDD" w:rsidP="00DF456C">
      <w:pPr>
        <w:pStyle w:val="ListParagraph"/>
        <w:numPr>
          <w:ilvl w:val="0"/>
          <w:numId w:val="32"/>
        </w:numPr>
        <w:autoSpaceDE w:val="0"/>
        <w:autoSpaceDN w:val="0"/>
        <w:adjustRightInd w:val="0"/>
        <w:spacing w:before="120" w:after="120"/>
        <w:ind w:left="714" w:hanging="357"/>
        <w:contextualSpacing w:val="0"/>
        <w:jc w:val="left"/>
      </w:pPr>
      <w:r w:rsidRPr="00AB6FA3">
        <w:t xml:space="preserve">The comparison with UK alcohol sales data suggests that surveys including the Welsh Health Survey underestimate alcohol consumption, and may still only represent 60% of the alcohol sold. </w:t>
      </w:r>
    </w:p>
    <w:p w14:paraId="5EC33CBB" w14:textId="77777777" w:rsidR="007D7CDD" w:rsidRPr="00AB6FA3" w:rsidRDefault="007D7CDD" w:rsidP="00DF456C">
      <w:pPr>
        <w:pStyle w:val="ListParagraph"/>
        <w:numPr>
          <w:ilvl w:val="0"/>
          <w:numId w:val="32"/>
        </w:numPr>
        <w:spacing w:before="120" w:after="120"/>
        <w:ind w:left="714" w:hanging="357"/>
        <w:contextualSpacing w:val="0"/>
      </w:pPr>
      <w:r w:rsidRPr="00AB6FA3">
        <w:t>The hospital admission rate in children and young people under 18 for alcohol-specific conditions has been decreasing steadily for several years, but around 410 young people were still admitted per year in the most recent period.</w:t>
      </w:r>
    </w:p>
    <w:p w14:paraId="02FDC4F4" w14:textId="77777777" w:rsidR="007D7CDD" w:rsidRPr="00AB6FA3" w:rsidRDefault="007D7CDD" w:rsidP="00DF456C">
      <w:pPr>
        <w:pStyle w:val="ListParagraph"/>
        <w:numPr>
          <w:ilvl w:val="0"/>
          <w:numId w:val="32"/>
        </w:numPr>
        <w:spacing w:before="120" w:after="120"/>
        <w:ind w:left="714" w:hanging="357"/>
        <w:contextualSpacing w:val="0"/>
      </w:pPr>
      <w:r w:rsidRPr="00AB6FA3">
        <w:t>The rate of individuals admitted to hospital for alcohol-specific conditions has remained static since 2006/07. The rate of alcohol-attributable admissions (narrow) has decreased slowly since 2006/07, but in contrast, the rate for the broad measure has increased steadily over time.</w:t>
      </w:r>
    </w:p>
    <w:p w14:paraId="5C797126" w14:textId="77777777" w:rsidR="007D7CDD" w:rsidRPr="00AB6FA3" w:rsidRDefault="007D7CDD" w:rsidP="00DF456C">
      <w:pPr>
        <w:pStyle w:val="ListParagraph"/>
        <w:numPr>
          <w:ilvl w:val="0"/>
          <w:numId w:val="32"/>
        </w:numPr>
        <w:spacing w:before="120" w:after="120"/>
        <w:ind w:left="714" w:hanging="357"/>
        <w:contextualSpacing w:val="0"/>
        <w:rPr>
          <w:noProof/>
        </w:rPr>
      </w:pPr>
      <w:r w:rsidRPr="00AB6FA3">
        <w:t xml:space="preserve">Both the alcohol-specific hospital admission rates and alcohol-attributable admission rates are lower in Wales than in England for males, </w:t>
      </w:r>
      <w:r w:rsidR="004A5740">
        <w:t xml:space="preserve">but </w:t>
      </w:r>
      <w:r w:rsidRPr="00AB6FA3">
        <w:t>more similar for females.</w:t>
      </w:r>
    </w:p>
    <w:p w14:paraId="39F6949A" w14:textId="77777777" w:rsidR="007D7CDD" w:rsidRPr="00AB6FA3" w:rsidRDefault="007D7CDD" w:rsidP="00DF456C">
      <w:pPr>
        <w:pStyle w:val="ListParagraph"/>
        <w:numPr>
          <w:ilvl w:val="0"/>
          <w:numId w:val="32"/>
        </w:numPr>
        <w:spacing w:before="120" w:after="120"/>
        <w:ind w:left="714" w:hanging="357"/>
        <w:contextualSpacing w:val="0"/>
      </w:pPr>
      <w:r w:rsidRPr="00AB6FA3">
        <w:rPr>
          <w:noProof/>
        </w:rPr>
        <w:t>The months of life lost in Wales with 13.5 months for males and 6.5 months for females was higher than in England with 11.5 months for males and 5.4 months for females.</w:t>
      </w:r>
    </w:p>
    <w:p w14:paraId="43AFA19A" w14:textId="77777777" w:rsidR="007D7CDD" w:rsidRPr="00AB6FA3" w:rsidRDefault="007D7CDD" w:rsidP="00DF456C">
      <w:pPr>
        <w:pStyle w:val="ListParagraph"/>
        <w:numPr>
          <w:ilvl w:val="0"/>
          <w:numId w:val="32"/>
        </w:numPr>
        <w:spacing w:before="120" w:after="120"/>
        <w:ind w:left="714" w:hanging="357"/>
        <w:contextualSpacing w:val="0"/>
        <w:rPr>
          <w:noProof/>
        </w:rPr>
      </w:pPr>
      <w:r w:rsidRPr="00AB6FA3">
        <w:rPr>
          <w:noProof/>
        </w:rPr>
        <w:t>There were around 250 alcohol-specific deaths in males and 140 in females per year in Wales, based on the period 2010-12, and alcoholic liver disease accounts for the majority of these. Mortality rates are higher in Wales than in England.</w:t>
      </w:r>
    </w:p>
    <w:p w14:paraId="43D759A0" w14:textId="77777777" w:rsidR="007D7CDD" w:rsidRPr="00AB6FA3" w:rsidRDefault="007D7CDD" w:rsidP="00DF456C">
      <w:pPr>
        <w:pStyle w:val="ListParagraph"/>
        <w:numPr>
          <w:ilvl w:val="0"/>
          <w:numId w:val="32"/>
        </w:numPr>
        <w:spacing w:before="120" w:after="120"/>
        <w:ind w:left="714" w:hanging="357"/>
        <w:contextualSpacing w:val="0"/>
      </w:pPr>
      <w:r w:rsidRPr="00AB6FA3">
        <w:t xml:space="preserve">Mortality and hospital admissions are strongly related to deprivation, where rates in the most deprived areas are much higher than in least deprived areas. In contrast self-reported </w:t>
      </w:r>
      <w:r w:rsidRPr="00AB6FA3">
        <w:rPr>
          <w:noProof/>
        </w:rPr>
        <w:t xml:space="preserve">heavy and very heavy drinking </w:t>
      </w:r>
      <w:r w:rsidRPr="00AB6FA3">
        <w:t xml:space="preserve">is very similar </w:t>
      </w:r>
      <w:r w:rsidRPr="00AB6FA3">
        <w:rPr>
          <w:noProof/>
        </w:rPr>
        <w:t xml:space="preserve">between the deprivation fifths. </w:t>
      </w:r>
    </w:p>
    <w:p w14:paraId="3796304F" w14:textId="77777777" w:rsidR="007D7CDD" w:rsidRPr="00BD789A" w:rsidRDefault="00200BBD" w:rsidP="00DF456C">
      <w:pPr>
        <w:pStyle w:val="ListParagraph"/>
        <w:numPr>
          <w:ilvl w:val="0"/>
          <w:numId w:val="32"/>
        </w:numPr>
        <w:spacing w:before="120" w:after="120"/>
        <w:ind w:left="714" w:hanging="357"/>
        <w:contextualSpacing w:val="0"/>
      </w:pPr>
      <w:r>
        <w:t xml:space="preserve">There is no sign of improvement in the gap in </w:t>
      </w:r>
      <w:r w:rsidR="007D7CDD" w:rsidRPr="00BD789A">
        <w:t xml:space="preserve">mortality </w:t>
      </w:r>
      <w:r>
        <w:t xml:space="preserve">between </w:t>
      </w:r>
      <w:r w:rsidR="007D7CDD" w:rsidRPr="00BD789A">
        <w:t xml:space="preserve">the most deprived </w:t>
      </w:r>
      <w:r>
        <w:t xml:space="preserve">and </w:t>
      </w:r>
      <w:r w:rsidR="007D7CDD" w:rsidRPr="00BD789A">
        <w:t xml:space="preserve">the least deprived </w:t>
      </w:r>
      <w:r>
        <w:t>areas over time</w:t>
      </w:r>
      <w:r w:rsidR="007D7CDD" w:rsidRPr="00BD789A">
        <w:t xml:space="preserve">. </w:t>
      </w:r>
    </w:p>
    <w:p w14:paraId="17C810BB" w14:textId="77777777" w:rsidR="007D7CDD" w:rsidRPr="00BD789A" w:rsidRDefault="007D7CDD" w:rsidP="00DF456C">
      <w:pPr>
        <w:pStyle w:val="ListParagraph"/>
        <w:numPr>
          <w:ilvl w:val="0"/>
          <w:numId w:val="32"/>
        </w:numPr>
        <w:spacing w:before="120" w:after="120"/>
        <w:ind w:left="714" w:hanging="357"/>
        <w:contextualSpacing w:val="0"/>
      </w:pPr>
      <w:r w:rsidRPr="00BD789A">
        <w:t>Inequalities in alcohol-specific and alcohol-attributable (narrow) hospital admissions have slightly narrowed over time, but slightly widened for the alcohol-attributabl</w:t>
      </w:r>
      <w:r w:rsidR="00BD789A" w:rsidRPr="00BD789A">
        <w:t>e (broad) admissions.</w:t>
      </w:r>
    </w:p>
    <w:p w14:paraId="71369B17" w14:textId="77777777" w:rsidR="002804CC" w:rsidRDefault="00BA7D8B" w:rsidP="00AB483B">
      <w:pPr>
        <w:pStyle w:val="Heading1"/>
        <w:numPr>
          <w:ilvl w:val="0"/>
          <w:numId w:val="41"/>
        </w:numPr>
        <w:ind w:left="1009" w:hanging="1009"/>
      </w:pPr>
      <w:r>
        <w:br w:type="page"/>
      </w:r>
      <w:bookmarkStart w:id="7" w:name="_Toc400007262"/>
      <w:r w:rsidR="00A33B1A">
        <w:lastRenderedPageBreak/>
        <w:t xml:space="preserve"> </w:t>
      </w:r>
      <w:r w:rsidR="00AB6FA3">
        <w:t>Introduction</w:t>
      </w:r>
      <w:bookmarkEnd w:id="7"/>
    </w:p>
    <w:p w14:paraId="56E8B44B" w14:textId="77777777" w:rsidR="00B72F39" w:rsidRPr="00B72F39" w:rsidRDefault="00B72F39" w:rsidP="00B72F39"/>
    <w:p w14:paraId="385993AA" w14:textId="77777777" w:rsidR="00AB6FA3" w:rsidRDefault="00AB6FA3" w:rsidP="00AB6FA3">
      <w:bookmarkStart w:id="8" w:name="_Toc399335469"/>
      <w:r>
        <w:t xml:space="preserve">Alcohol is deeply engrained in the culture of Wales, the UK and many other countries. Many people enjoy alcoholic drinks in moderation but alcohol use can lead to significant harm to the individual, their families and society. </w:t>
      </w:r>
      <w:r w:rsidRPr="00883FC7">
        <w:t>The harmful use of alcohol ranks among the top five risk factors for disease, disability</w:t>
      </w:r>
      <w:r>
        <w:t xml:space="preserve"> </w:t>
      </w:r>
      <w:r w:rsidRPr="00883FC7">
        <w:t>a</w:t>
      </w:r>
      <w:r>
        <w:t>nd death throughout the world. Alcohol is a causal factor in more than 200 disease and injury conditions and accounts for an estimat</w:t>
      </w:r>
      <w:r w:rsidR="00F13974">
        <w:t>ed 5.9% of all deaths worldwide</w:t>
      </w:r>
      <w:r w:rsidR="00F13974" w:rsidRPr="00F13974">
        <w:rPr>
          <w:vertAlign w:val="superscript"/>
        </w:rPr>
        <w:t>1</w:t>
      </w:r>
      <w:r w:rsidR="00F13974">
        <w:t>. A</w:t>
      </w:r>
      <w:r>
        <w:t>lcohol use and its consequences remain a major public challenge in Wales, the UK and elsewhere.</w:t>
      </w:r>
    </w:p>
    <w:p w14:paraId="5F82A23E" w14:textId="77777777" w:rsidR="00AB6FA3" w:rsidRPr="00C662C2" w:rsidRDefault="00AB6FA3" w:rsidP="00AB6FA3">
      <w:r>
        <w:t xml:space="preserve">The Welsh Government’s substance misuse strategy </w:t>
      </w:r>
      <w:r w:rsidRPr="005E625B">
        <w:rPr>
          <w:i/>
        </w:rPr>
        <w:t>Working together to reduce harm</w:t>
      </w:r>
      <w:r>
        <w:rPr>
          <w:i/>
        </w:rPr>
        <w:t xml:space="preserve"> </w:t>
      </w:r>
      <w:r w:rsidRPr="005E625B">
        <w:t>was published in 2008</w:t>
      </w:r>
      <w:r>
        <w:t xml:space="preserve"> and in its 10 year plan </w:t>
      </w:r>
      <w:r w:rsidRPr="005E625B">
        <w:t xml:space="preserve">sets out a national programme for tackling and reducing the harms associated with </w:t>
      </w:r>
      <w:r>
        <w:t xml:space="preserve">alcohol, </w:t>
      </w:r>
      <w:r w:rsidR="00F13974">
        <w:t>drugs and other substances</w:t>
      </w:r>
      <w:r w:rsidR="00F13974">
        <w:rPr>
          <w:vertAlign w:val="superscript"/>
        </w:rPr>
        <w:t>2</w:t>
      </w:r>
      <w:r w:rsidRPr="005E625B">
        <w:t>.</w:t>
      </w:r>
      <w:r>
        <w:t xml:space="preserve"> The Welsh Government publishes annual reports on progress</w:t>
      </w:r>
      <w:r w:rsidR="005E7BB8">
        <w:t xml:space="preserve"> made to implement the strategy</w:t>
      </w:r>
      <w:r w:rsidR="00F13974">
        <w:rPr>
          <w:vertAlign w:val="superscript"/>
        </w:rPr>
        <w:t>2</w:t>
      </w:r>
      <w:r w:rsidR="00F13974" w:rsidRPr="00F13974">
        <w:t xml:space="preserve"> </w:t>
      </w:r>
      <w:r>
        <w:t xml:space="preserve">and data from our publication has been provided for the forthcoming 2014 annual update. </w:t>
      </w:r>
    </w:p>
    <w:p w14:paraId="31971B49" w14:textId="77777777" w:rsidR="00AB6FA3" w:rsidRDefault="00AB6FA3" w:rsidP="00AB6FA3">
      <w:pPr>
        <w:rPr>
          <w:noProof/>
          <w:szCs w:val="24"/>
        </w:rPr>
      </w:pPr>
      <w:r>
        <w:t xml:space="preserve">This new publication provides the latest update to our report </w:t>
      </w:r>
      <w:r w:rsidRPr="00F964C0">
        <w:rPr>
          <w:i/>
        </w:rPr>
        <w:t>A profile of alcohol and health in Wales</w:t>
      </w:r>
      <w:r w:rsidR="00D51630">
        <w:t xml:space="preserve"> published fiv</w:t>
      </w:r>
      <w:r w:rsidR="00217483">
        <w:t>e</w:t>
      </w:r>
      <w:r>
        <w:t xml:space="preserve"> years ago</w:t>
      </w:r>
      <w:r w:rsidR="00F13974">
        <w:rPr>
          <w:vertAlign w:val="superscript"/>
        </w:rPr>
        <w:t>3</w:t>
      </w:r>
      <w:r>
        <w:t xml:space="preserve">. </w:t>
      </w:r>
      <w:r w:rsidRPr="00CB7FDB">
        <w:rPr>
          <w:noProof/>
          <w:szCs w:val="24"/>
        </w:rPr>
        <w:t>Public Health England</w:t>
      </w:r>
      <w:r>
        <w:rPr>
          <w:noProof/>
          <w:szCs w:val="24"/>
        </w:rPr>
        <w:t xml:space="preserve"> have recently published revised methods for mortality and hospital admission indicators</w:t>
      </w:r>
      <w:r w:rsidR="00F13974">
        <w:rPr>
          <w:vertAlign w:val="superscript"/>
        </w:rPr>
        <w:t>4</w:t>
      </w:r>
      <w:r>
        <w:rPr>
          <w:noProof/>
          <w:szCs w:val="24"/>
        </w:rPr>
        <w:t xml:space="preserve"> foll</w:t>
      </w:r>
      <w:r w:rsidR="00F13974">
        <w:rPr>
          <w:noProof/>
          <w:szCs w:val="24"/>
        </w:rPr>
        <w:t>o</w:t>
      </w:r>
      <w:r>
        <w:rPr>
          <w:noProof/>
          <w:szCs w:val="24"/>
        </w:rPr>
        <w:t>wing a review of alcohol-attributable fractions</w:t>
      </w:r>
      <w:r w:rsidR="00F13974">
        <w:rPr>
          <w:vertAlign w:val="superscript"/>
        </w:rPr>
        <w:t>5</w:t>
      </w:r>
      <w:r>
        <w:rPr>
          <w:noProof/>
          <w:szCs w:val="24"/>
        </w:rPr>
        <w:t xml:space="preserve"> for each condition linked to alcohol. We have implemented these methods using Wales data, providing a comprehensive and extended set of indicators for Wales, allowing a comparison to England.</w:t>
      </w:r>
    </w:p>
    <w:p w14:paraId="0CFE958A" w14:textId="77777777" w:rsidR="00AB6FA3" w:rsidRDefault="00AB6FA3" w:rsidP="00AB6FA3">
      <w:pPr>
        <w:rPr>
          <w:noProof/>
          <w:szCs w:val="24"/>
        </w:rPr>
      </w:pPr>
      <w:r>
        <w:rPr>
          <w:noProof/>
          <w:szCs w:val="24"/>
        </w:rPr>
        <w:t>This Wales report provides further analysis with interpretation on alcohol consumption patterns, hospital admissions, mortality and socio-economic inequalities. The publication contains an extensive local component to support local action with seven health board summary documents, each with data provided at the lowest geographical level possible. The main indicator data is published in interactive data files and details of definitions, methods and caveats as well as guidance on interpretation can be found in the technical guide.</w:t>
      </w:r>
    </w:p>
    <w:p w14:paraId="1DBB96B1" w14:textId="77777777" w:rsidR="00AB6FA3" w:rsidRDefault="00AB6FA3" w:rsidP="00AB6FA3"/>
    <w:p w14:paraId="4090C9AF" w14:textId="77777777" w:rsidR="00AB6FA3" w:rsidRDefault="00AB6FA3" w:rsidP="00AB6FA3"/>
    <w:p w14:paraId="0D96200F" w14:textId="77777777" w:rsidR="00AB6FA3" w:rsidRDefault="00AB6FA3" w:rsidP="00AB6FA3"/>
    <w:p w14:paraId="53589EFD" w14:textId="77777777" w:rsidR="00AB6FA3" w:rsidRDefault="00AB6FA3" w:rsidP="00AB6FA3"/>
    <w:p w14:paraId="09D82AF4" w14:textId="77777777" w:rsidR="00AB6FA3" w:rsidRDefault="00AB6FA3" w:rsidP="00AB6FA3"/>
    <w:p w14:paraId="44F47A5A" w14:textId="77777777" w:rsidR="00AB6FA3" w:rsidRDefault="00AB6FA3" w:rsidP="00AB6FA3"/>
    <w:p w14:paraId="7206B2DF" w14:textId="77777777" w:rsidR="00AB6FA3" w:rsidRDefault="00AB6FA3" w:rsidP="00AB6FA3"/>
    <w:p w14:paraId="06090F99" w14:textId="77777777" w:rsidR="00AB6FA3" w:rsidRDefault="00AB6FA3" w:rsidP="00AB6FA3"/>
    <w:p w14:paraId="24A81A5B" w14:textId="77777777" w:rsidR="00AB6FA3" w:rsidRDefault="00AB6FA3" w:rsidP="00AB6FA3"/>
    <w:p w14:paraId="6007CA42" w14:textId="77777777" w:rsidR="00AB6FA3" w:rsidRDefault="00AB6FA3" w:rsidP="00C91BAF">
      <w:pPr>
        <w:pStyle w:val="Heading1"/>
        <w:tabs>
          <w:tab w:val="clear" w:pos="1008"/>
          <w:tab w:val="num" w:pos="142"/>
        </w:tabs>
        <w:ind w:left="142" w:hanging="142"/>
      </w:pPr>
      <w:bookmarkStart w:id="9" w:name="_Toc400007263"/>
      <w:bookmarkStart w:id="10" w:name="_Toc399335470"/>
      <w:bookmarkEnd w:id="8"/>
      <w:r>
        <w:lastRenderedPageBreak/>
        <w:t>Definition of units and drinking patterns</w:t>
      </w:r>
      <w:bookmarkEnd w:id="9"/>
      <w:r>
        <w:t xml:space="preserve"> </w:t>
      </w:r>
      <w:bookmarkEnd w:id="10"/>
    </w:p>
    <w:p w14:paraId="25E71E78" w14:textId="77777777" w:rsidR="00B72F39" w:rsidRPr="00B72F39" w:rsidRDefault="00B72F39" w:rsidP="00B72F39"/>
    <w:p w14:paraId="2E88A8ED" w14:textId="77777777" w:rsidR="00CE48DD" w:rsidRPr="00BB1A03" w:rsidRDefault="00CE48DD" w:rsidP="00CE48DD">
      <w:pPr>
        <w:pStyle w:val="Heading3nonumber"/>
      </w:pPr>
      <w:r w:rsidRPr="00BB1A03">
        <w:t>Alcohol units</w:t>
      </w:r>
    </w:p>
    <w:p w14:paraId="4BC562F0" w14:textId="77777777" w:rsidR="00AB6FA3" w:rsidRDefault="00AB6FA3" w:rsidP="00AB6FA3">
      <w:r w:rsidRPr="004150C3">
        <w:t>In the UK alcoholic drinks are measured in units</w:t>
      </w:r>
      <w:r>
        <w:t xml:space="preserve"> where o</w:t>
      </w:r>
      <w:r w:rsidRPr="004150C3">
        <w:t>ne unit corresponds to approximately 8 grams (g) or 10 millilitres (ml) of pure alcohol. The number of units in a drink depends on the size of the drin</w:t>
      </w:r>
      <w:r>
        <w:t>k and its alcohol strength</w:t>
      </w:r>
      <w:r w:rsidRPr="004150C3">
        <w:t xml:space="preserve"> </w:t>
      </w:r>
      <w:r>
        <w:t>(Table 1).</w:t>
      </w:r>
      <w:r w:rsidRPr="004150C3">
        <w:t xml:space="preserve"> </w:t>
      </w:r>
    </w:p>
    <w:p w14:paraId="6E717F08" w14:textId="77777777" w:rsidR="00AB6FA3" w:rsidRPr="005838C5" w:rsidRDefault="00AB6FA3" w:rsidP="00AB6FA3">
      <w:r w:rsidRPr="004150C3">
        <w:t xml:space="preserve">The number of units in a drink is calculated by multiplying the amount in millilitres (ml) by its strength (Alcohol by Volume, ABV which is measured as a percentage) and dividing the result by 1,000. </w:t>
      </w:r>
      <w:r w:rsidRPr="00641328">
        <w:rPr>
          <w:szCs w:val="24"/>
        </w:rPr>
        <w:t>For example, to work out the number of units in a pint (568ml) of strong lager (ABV 5.2%):</w:t>
      </w:r>
    </w:p>
    <w:p w14:paraId="13233AB0" w14:textId="77777777" w:rsidR="00AB6FA3" w:rsidRPr="00641328" w:rsidRDefault="00AB6FA3" w:rsidP="00AB6FA3">
      <w:pPr>
        <w:spacing w:before="100" w:beforeAutospacing="1" w:after="100" w:afterAutospacing="1"/>
        <w:ind w:left="720"/>
        <w:jc w:val="left"/>
        <w:rPr>
          <w:szCs w:val="24"/>
        </w:rPr>
      </w:pPr>
      <w:r w:rsidRPr="00641328">
        <w:rPr>
          <w:szCs w:val="24"/>
        </w:rPr>
        <w:t xml:space="preserve">5.2 (%) x 568 (ml) ÷ 1,000 = 2.95 units </w:t>
      </w:r>
    </w:p>
    <w:p w14:paraId="498F3140" w14:textId="77777777" w:rsidR="00AB6FA3" w:rsidRPr="00641328" w:rsidRDefault="00AB6FA3" w:rsidP="00AB6FA3">
      <w:pPr>
        <w:spacing w:before="100" w:beforeAutospacing="1" w:after="100" w:afterAutospacing="1"/>
        <w:jc w:val="left"/>
        <w:rPr>
          <w:szCs w:val="24"/>
        </w:rPr>
      </w:pPr>
      <w:r w:rsidRPr="00641328">
        <w:rPr>
          <w:szCs w:val="24"/>
        </w:rPr>
        <w:t xml:space="preserve">Further information and a unit calculator can be found on the NHS choices website </w:t>
      </w:r>
      <w:r>
        <w:rPr>
          <w:szCs w:val="24"/>
        </w:rPr>
        <w:t xml:space="preserve">on </w:t>
      </w:r>
      <w:hyperlink r:id="rId23" w:history="1">
        <w:r>
          <w:rPr>
            <w:rStyle w:val="Hyperlink"/>
            <w:szCs w:val="24"/>
          </w:rPr>
          <w:t>alcohol units</w:t>
        </w:r>
      </w:hyperlink>
      <w:r w:rsidRPr="00F2205F">
        <w:rPr>
          <w:vertAlign w:val="superscript"/>
        </w:rPr>
        <w:t>6</w:t>
      </w:r>
      <w:r>
        <w:rPr>
          <w:szCs w:val="24"/>
        </w:rPr>
        <w:t>.</w:t>
      </w:r>
    </w:p>
    <w:p w14:paraId="156150C0" w14:textId="77777777" w:rsidR="00AB6FA3" w:rsidRDefault="00CE48DD" w:rsidP="00CE48DD">
      <w:pPr>
        <w:pStyle w:val="Tableheading"/>
      </w:pPr>
      <w:bookmarkStart w:id="11" w:name="_Toc399752263"/>
      <w:bookmarkStart w:id="12" w:name="_Toc400007264"/>
      <w:r>
        <w:t>Table 1 Number of units in common alcoholic drinks</w:t>
      </w:r>
      <w:bookmarkEnd w:id="11"/>
      <w:bookmarkEnd w:id="12"/>
    </w:p>
    <w:tbl>
      <w:tblPr>
        <w:tblW w:w="8000" w:type="dxa"/>
        <w:tblInd w:w="94" w:type="dxa"/>
        <w:tblLook w:val="04A0" w:firstRow="1" w:lastRow="0" w:firstColumn="1" w:lastColumn="0" w:noHBand="0" w:noVBand="1"/>
      </w:tblPr>
      <w:tblGrid>
        <w:gridCol w:w="5160"/>
        <w:gridCol w:w="1720"/>
        <w:gridCol w:w="1120"/>
      </w:tblGrid>
      <w:tr w:rsidR="00C00A53" w:rsidRPr="009F2501" w14:paraId="1D84BB6F" w14:textId="77777777" w:rsidTr="00C00A53">
        <w:trPr>
          <w:trHeight w:val="330"/>
        </w:trPr>
        <w:tc>
          <w:tcPr>
            <w:tcW w:w="5160" w:type="dxa"/>
            <w:tcBorders>
              <w:top w:val="nil"/>
              <w:left w:val="nil"/>
              <w:bottom w:val="single" w:sz="12" w:space="0" w:color="FFFFFF"/>
              <w:right w:val="single" w:sz="4" w:space="0" w:color="FFFFFF"/>
            </w:tcBorders>
            <w:shd w:val="clear" w:color="4BACC6" w:fill="629FC2"/>
            <w:noWrap/>
            <w:vAlign w:val="center"/>
            <w:hideMark/>
          </w:tcPr>
          <w:p w14:paraId="516389D3" w14:textId="77777777" w:rsidR="00C00A53" w:rsidRPr="009F2501" w:rsidRDefault="00C00A53" w:rsidP="00C00A53">
            <w:pPr>
              <w:spacing w:before="0"/>
              <w:jc w:val="left"/>
              <w:rPr>
                <w:b/>
                <w:bCs/>
                <w:color w:val="FFFFFF"/>
                <w:sz w:val="20"/>
              </w:rPr>
            </w:pPr>
            <w:r w:rsidRPr="009F2501">
              <w:rPr>
                <w:b/>
                <w:bCs/>
                <w:color w:val="FFFFFF"/>
                <w:sz w:val="20"/>
              </w:rPr>
              <w:t>Drink (and unit strength (ABV))</w:t>
            </w:r>
          </w:p>
        </w:tc>
        <w:tc>
          <w:tcPr>
            <w:tcW w:w="1720" w:type="dxa"/>
            <w:tcBorders>
              <w:top w:val="nil"/>
              <w:left w:val="nil"/>
              <w:bottom w:val="single" w:sz="12" w:space="0" w:color="FFFFFF"/>
              <w:right w:val="single" w:sz="4" w:space="0" w:color="FFFFFF"/>
            </w:tcBorders>
            <w:shd w:val="clear" w:color="4BACC6" w:fill="629FC2"/>
            <w:vAlign w:val="center"/>
            <w:hideMark/>
          </w:tcPr>
          <w:p w14:paraId="72AB46B4" w14:textId="77777777" w:rsidR="00C00A53" w:rsidRPr="009F2501" w:rsidRDefault="00C00A53" w:rsidP="00C00A53">
            <w:pPr>
              <w:spacing w:before="0"/>
              <w:jc w:val="left"/>
              <w:rPr>
                <w:b/>
                <w:bCs/>
                <w:color w:val="FFFFFF"/>
                <w:sz w:val="20"/>
              </w:rPr>
            </w:pPr>
            <w:r w:rsidRPr="009F2501">
              <w:rPr>
                <w:b/>
                <w:bCs/>
                <w:color w:val="FFFFFF"/>
                <w:sz w:val="20"/>
              </w:rPr>
              <w:t>Quantity</w:t>
            </w:r>
          </w:p>
        </w:tc>
        <w:tc>
          <w:tcPr>
            <w:tcW w:w="1120" w:type="dxa"/>
            <w:tcBorders>
              <w:top w:val="nil"/>
              <w:left w:val="nil"/>
              <w:bottom w:val="single" w:sz="12" w:space="0" w:color="FFFFFF"/>
              <w:right w:val="nil"/>
            </w:tcBorders>
            <w:shd w:val="clear" w:color="4BACC6" w:fill="629FC2"/>
            <w:vAlign w:val="center"/>
            <w:hideMark/>
          </w:tcPr>
          <w:p w14:paraId="2FC46C8A" w14:textId="77777777" w:rsidR="00C00A53" w:rsidRPr="009F2501" w:rsidRDefault="00C00A53" w:rsidP="00C00A53">
            <w:pPr>
              <w:spacing w:before="0"/>
              <w:jc w:val="left"/>
              <w:rPr>
                <w:b/>
                <w:bCs/>
                <w:color w:val="FFFFFF"/>
                <w:sz w:val="20"/>
              </w:rPr>
            </w:pPr>
            <w:r w:rsidRPr="009F2501">
              <w:rPr>
                <w:b/>
                <w:bCs/>
                <w:color w:val="FFFFFF"/>
                <w:sz w:val="20"/>
              </w:rPr>
              <w:t>Units</w:t>
            </w:r>
          </w:p>
        </w:tc>
      </w:tr>
      <w:tr w:rsidR="00C00A53" w:rsidRPr="009F2501" w14:paraId="049193EC" w14:textId="77777777" w:rsidTr="00CE48DD">
        <w:trPr>
          <w:trHeight w:val="300"/>
        </w:trPr>
        <w:tc>
          <w:tcPr>
            <w:tcW w:w="5160" w:type="dxa"/>
            <w:tcBorders>
              <w:top w:val="single" w:sz="12" w:space="0" w:color="FFFFFF"/>
              <w:left w:val="nil"/>
              <w:bottom w:val="single" w:sz="4" w:space="0" w:color="FFFFFF"/>
              <w:right w:val="single" w:sz="4" w:space="0" w:color="FFFFFF"/>
            </w:tcBorders>
            <w:shd w:val="clear" w:color="DBEEF3" w:fill="auto"/>
            <w:hideMark/>
          </w:tcPr>
          <w:p w14:paraId="081747E0" w14:textId="77777777" w:rsidR="00C00A53" w:rsidRPr="004A05E7" w:rsidRDefault="00C00A53" w:rsidP="00CE48DD">
            <w:pPr>
              <w:spacing w:before="0"/>
              <w:rPr>
                <w:color w:val="000000"/>
                <w:sz w:val="20"/>
              </w:rPr>
            </w:pPr>
            <w:r w:rsidRPr="004A05E7">
              <w:rPr>
                <w:color w:val="000000"/>
                <w:sz w:val="20"/>
              </w:rPr>
              <w:t>Small glass red/white/rosé wine (12%)</w:t>
            </w:r>
          </w:p>
        </w:tc>
        <w:tc>
          <w:tcPr>
            <w:tcW w:w="1720" w:type="dxa"/>
            <w:tcBorders>
              <w:top w:val="single" w:sz="12" w:space="0" w:color="FFFFFF"/>
              <w:left w:val="nil"/>
              <w:bottom w:val="single" w:sz="4" w:space="0" w:color="FFFFFF"/>
              <w:right w:val="single" w:sz="4" w:space="0" w:color="FFFFFF"/>
            </w:tcBorders>
            <w:shd w:val="clear" w:color="DBEEF3" w:fill="auto"/>
            <w:hideMark/>
          </w:tcPr>
          <w:p w14:paraId="002D18D9" w14:textId="77777777" w:rsidR="00C00A53" w:rsidRPr="004A05E7" w:rsidRDefault="00C00A53" w:rsidP="00CE48DD">
            <w:pPr>
              <w:spacing w:before="0"/>
              <w:rPr>
                <w:color w:val="000000"/>
                <w:sz w:val="20"/>
              </w:rPr>
            </w:pPr>
            <w:r w:rsidRPr="004A05E7">
              <w:rPr>
                <w:color w:val="000000"/>
                <w:sz w:val="20"/>
              </w:rPr>
              <w:t>125 ml</w:t>
            </w:r>
          </w:p>
        </w:tc>
        <w:tc>
          <w:tcPr>
            <w:tcW w:w="1120" w:type="dxa"/>
            <w:tcBorders>
              <w:top w:val="single" w:sz="12" w:space="0" w:color="FFFFFF"/>
              <w:left w:val="nil"/>
              <w:bottom w:val="single" w:sz="4" w:space="0" w:color="FFFFFF"/>
              <w:right w:val="nil"/>
            </w:tcBorders>
            <w:shd w:val="clear" w:color="DBEEF3" w:fill="auto"/>
            <w:hideMark/>
          </w:tcPr>
          <w:p w14:paraId="5D1EE059" w14:textId="77777777" w:rsidR="00C00A53" w:rsidRPr="004A05E7" w:rsidRDefault="00C00A53" w:rsidP="00CE48DD">
            <w:pPr>
              <w:spacing w:before="0"/>
              <w:rPr>
                <w:color w:val="000000"/>
                <w:sz w:val="20"/>
              </w:rPr>
            </w:pPr>
            <w:r w:rsidRPr="004A05E7">
              <w:rPr>
                <w:color w:val="000000"/>
                <w:sz w:val="20"/>
              </w:rPr>
              <w:t>1.5 units</w:t>
            </w:r>
          </w:p>
        </w:tc>
      </w:tr>
      <w:tr w:rsidR="00C00A53" w:rsidRPr="009F2501" w14:paraId="6C52EE00" w14:textId="77777777" w:rsidTr="00CE48DD">
        <w:trPr>
          <w:trHeight w:val="300"/>
        </w:trPr>
        <w:tc>
          <w:tcPr>
            <w:tcW w:w="5160" w:type="dxa"/>
            <w:tcBorders>
              <w:top w:val="single" w:sz="4" w:space="0" w:color="FFFFFF"/>
              <w:left w:val="nil"/>
              <w:bottom w:val="single" w:sz="4" w:space="0" w:color="FFFFFF"/>
              <w:right w:val="single" w:sz="4" w:space="0" w:color="FFFFFF"/>
            </w:tcBorders>
            <w:shd w:val="clear" w:color="DBEEF3" w:fill="auto"/>
            <w:hideMark/>
          </w:tcPr>
          <w:p w14:paraId="5FE48193" w14:textId="77777777" w:rsidR="00C00A53" w:rsidRPr="004A05E7" w:rsidRDefault="00C00A53" w:rsidP="00CE48DD">
            <w:pPr>
              <w:spacing w:before="0"/>
              <w:rPr>
                <w:color w:val="000000"/>
                <w:sz w:val="20"/>
              </w:rPr>
            </w:pPr>
            <w:r w:rsidRPr="004A05E7">
              <w:rPr>
                <w:color w:val="000000"/>
                <w:sz w:val="20"/>
              </w:rPr>
              <w:t>Standard glass red/white/rosé wine (12%)</w:t>
            </w:r>
          </w:p>
        </w:tc>
        <w:tc>
          <w:tcPr>
            <w:tcW w:w="1720" w:type="dxa"/>
            <w:tcBorders>
              <w:top w:val="single" w:sz="4" w:space="0" w:color="FFFFFF"/>
              <w:left w:val="nil"/>
              <w:bottom w:val="single" w:sz="4" w:space="0" w:color="FFFFFF"/>
              <w:right w:val="single" w:sz="4" w:space="0" w:color="FFFFFF"/>
            </w:tcBorders>
            <w:shd w:val="clear" w:color="DBEEF3" w:fill="auto"/>
            <w:hideMark/>
          </w:tcPr>
          <w:p w14:paraId="5C4BD11F" w14:textId="77777777" w:rsidR="00C00A53" w:rsidRPr="004A05E7" w:rsidRDefault="00C00A53" w:rsidP="00CE48DD">
            <w:pPr>
              <w:spacing w:before="0"/>
              <w:rPr>
                <w:color w:val="000000"/>
                <w:sz w:val="20"/>
              </w:rPr>
            </w:pPr>
            <w:r w:rsidRPr="004A05E7">
              <w:rPr>
                <w:color w:val="000000"/>
                <w:sz w:val="20"/>
              </w:rPr>
              <w:t>175 ml</w:t>
            </w:r>
          </w:p>
        </w:tc>
        <w:tc>
          <w:tcPr>
            <w:tcW w:w="1120" w:type="dxa"/>
            <w:tcBorders>
              <w:top w:val="single" w:sz="4" w:space="0" w:color="FFFFFF"/>
              <w:left w:val="nil"/>
              <w:bottom w:val="single" w:sz="4" w:space="0" w:color="FFFFFF"/>
              <w:right w:val="nil"/>
            </w:tcBorders>
            <w:shd w:val="clear" w:color="DBEEF3" w:fill="auto"/>
            <w:hideMark/>
          </w:tcPr>
          <w:p w14:paraId="63A2819A" w14:textId="77777777" w:rsidR="00C00A53" w:rsidRPr="004A05E7" w:rsidRDefault="00C00A53" w:rsidP="00CE48DD">
            <w:pPr>
              <w:spacing w:before="0"/>
              <w:rPr>
                <w:color w:val="000000"/>
                <w:sz w:val="20"/>
              </w:rPr>
            </w:pPr>
            <w:r w:rsidRPr="004A05E7">
              <w:rPr>
                <w:color w:val="000000"/>
                <w:sz w:val="20"/>
              </w:rPr>
              <w:t>2.1 units</w:t>
            </w:r>
          </w:p>
        </w:tc>
      </w:tr>
      <w:tr w:rsidR="00C00A53" w:rsidRPr="009F2501" w14:paraId="206E233A" w14:textId="77777777" w:rsidTr="00CE48DD">
        <w:trPr>
          <w:trHeight w:val="300"/>
        </w:trPr>
        <w:tc>
          <w:tcPr>
            <w:tcW w:w="5160" w:type="dxa"/>
            <w:tcBorders>
              <w:top w:val="single" w:sz="4" w:space="0" w:color="FFFFFF"/>
              <w:left w:val="nil"/>
              <w:bottom w:val="single" w:sz="4" w:space="0" w:color="FFFFFF"/>
              <w:right w:val="single" w:sz="4" w:space="0" w:color="FFFFFF"/>
            </w:tcBorders>
            <w:shd w:val="clear" w:color="DBEEF3" w:fill="auto"/>
            <w:hideMark/>
          </w:tcPr>
          <w:p w14:paraId="448155E9" w14:textId="77777777" w:rsidR="00C00A53" w:rsidRPr="004A05E7" w:rsidRDefault="00C00A53" w:rsidP="00CE48DD">
            <w:pPr>
              <w:spacing w:before="0"/>
              <w:rPr>
                <w:color w:val="000000"/>
                <w:sz w:val="20"/>
              </w:rPr>
            </w:pPr>
            <w:r w:rsidRPr="004A05E7">
              <w:rPr>
                <w:color w:val="000000"/>
                <w:sz w:val="20"/>
              </w:rPr>
              <w:t>Large glass red/white/rosé wine (12%)</w:t>
            </w:r>
          </w:p>
        </w:tc>
        <w:tc>
          <w:tcPr>
            <w:tcW w:w="1720" w:type="dxa"/>
            <w:tcBorders>
              <w:top w:val="single" w:sz="4" w:space="0" w:color="FFFFFF"/>
              <w:left w:val="nil"/>
              <w:bottom w:val="single" w:sz="4" w:space="0" w:color="FFFFFF"/>
              <w:right w:val="single" w:sz="4" w:space="0" w:color="FFFFFF"/>
            </w:tcBorders>
            <w:shd w:val="clear" w:color="DBEEF3" w:fill="auto"/>
            <w:hideMark/>
          </w:tcPr>
          <w:p w14:paraId="30C9924E" w14:textId="77777777" w:rsidR="00C00A53" w:rsidRPr="004A05E7" w:rsidRDefault="00C00A53" w:rsidP="00CE48DD">
            <w:pPr>
              <w:spacing w:before="0"/>
              <w:rPr>
                <w:color w:val="000000"/>
                <w:sz w:val="20"/>
              </w:rPr>
            </w:pPr>
            <w:r w:rsidRPr="004A05E7">
              <w:rPr>
                <w:color w:val="000000"/>
                <w:sz w:val="20"/>
              </w:rPr>
              <w:t>250 ml</w:t>
            </w:r>
          </w:p>
        </w:tc>
        <w:tc>
          <w:tcPr>
            <w:tcW w:w="1120" w:type="dxa"/>
            <w:tcBorders>
              <w:top w:val="single" w:sz="4" w:space="0" w:color="FFFFFF"/>
              <w:left w:val="nil"/>
              <w:bottom w:val="single" w:sz="4" w:space="0" w:color="FFFFFF"/>
              <w:right w:val="nil"/>
            </w:tcBorders>
            <w:shd w:val="clear" w:color="DBEEF3" w:fill="auto"/>
            <w:hideMark/>
          </w:tcPr>
          <w:p w14:paraId="3FFE78D4" w14:textId="77777777" w:rsidR="00C00A53" w:rsidRPr="004A05E7" w:rsidRDefault="00C00A53" w:rsidP="00CE48DD">
            <w:pPr>
              <w:spacing w:before="0"/>
              <w:rPr>
                <w:color w:val="000000"/>
                <w:sz w:val="20"/>
              </w:rPr>
            </w:pPr>
            <w:r w:rsidRPr="004A05E7">
              <w:rPr>
                <w:color w:val="000000"/>
                <w:sz w:val="20"/>
              </w:rPr>
              <w:t>3 units</w:t>
            </w:r>
          </w:p>
        </w:tc>
      </w:tr>
      <w:tr w:rsidR="00C00A53" w:rsidRPr="009F2501" w14:paraId="7AA4C9D0" w14:textId="77777777" w:rsidTr="00CE48DD">
        <w:trPr>
          <w:trHeight w:val="300"/>
        </w:trPr>
        <w:tc>
          <w:tcPr>
            <w:tcW w:w="5160" w:type="dxa"/>
            <w:tcBorders>
              <w:top w:val="single" w:sz="4" w:space="0" w:color="FFFFFF"/>
              <w:left w:val="nil"/>
              <w:bottom w:val="single" w:sz="4" w:space="0" w:color="FFFFFF"/>
              <w:right w:val="single" w:sz="4" w:space="0" w:color="FFFFFF"/>
            </w:tcBorders>
            <w:shd w:val="clear" w:color="DBEEF3" w:fill="auto"/>
            <w:hideMark/>
          </w:tcPr>
          <w:p w14:paraId="3C4A231D" w14:textId="77777777" w:rsidR="00C00A53" w:rsidRPr="004A05E7" w:rsidRDefault="00C00A53" w:rsidP="00CE48DD">
            <w:pPr>
              <w:spacing w:before="0"/>
              <w:rPr>
                <w:color w:val="000000"/>
                <w:sz w:val="20"/>
              </w:rPr>
            </w:pPr>
            <w:r w:rsidRPr="004A05E7">
              <w:rPr>
                <w:color w:val="000000"/>
                <w:sz w:val="20"/>
              </w:rPr>
              <w:t>Pint of lower-strength lager/beer/cider (3.6%)</w:t>
            </w:r>
          </w:p>
        </w:tc>
        <w:tc>
          <w:tcPr>
            <w:tcW w:w="1720" w:type="dxa"/>
            <w:tcBorders>
              <w:top w:val="single" w:sz="4" w:space="0" w:color="FFFFFF"/>
              <w:left w:val="nil"/>
              <w:bottom w:val="single" w:sz="4" w:space="0" w:color="FFFFFF"/>
              <w:right w:val="single" w:sz="4" w:space="0" w:color="FFFFFF"/>
            </w:tcBorders>
            <w:shd w:val="clear" w:color="DBEEF3" w:fill="auto"/>
            <w:hideMark/>
          </w:tcPr>
          <w:p w14:paraId="0331EE79" w14:textId="77777777" w:rsidR="00C00A53" w:rsidRPr="004A05E7" w:rsidRDefault="00C00A53" w:rsidP="00CE48DD">
            <w:pPr>
              <w:spacing w:before="0"/>
              <w:rPr>
                <w:color w:val="000000"/>
                <w:sz w:val="20"/>
              </w:rPr>
            </w:pPr>
            <w:r w:rsidRPr="004A05E7">
              <w:rPr>
                <w:color w:val="000000"/>
                <w:sz w:val="20"/>
              </w:rPr>
              <w:t>Pint (568 ml)</w:t>
            </w:r>
          </w:p>
        </w:tc>
        <w:tc>
          <w:tcPr>
            <w:tcW w:w="1120" w:type="dxa"/>
            <w:tcBorders>
              <w:top w:val="single" w:sz="4" w:space="0" w:color="FFFFFF"/>
              <w:left w:val="nil"/>
              <w:bottom w:val="single" w:sz="4" w:space="0" w:color="FFFFFF"/>
              <w:right w:val="nil"/>
            </w:tcBorders>
            <w:shd w:val="clear" w:color="DBEEF3" w:fill="auto"/>
            <w:hideMark/>
          </w:tcPr>
          <w:p w14:paraId="2D9650C1" w14:textId="77777777" w:rsidR="00C00A53" w:rsidRPr="004A05E7" w:rsidRDefault="00C00A53" w:rsidP="00CE48DD">
            <w:pPr>
              <w:spacing w:before="0"/>
              <w:rPr>
                <w:color w:val="000000"/>
                <w:sz w:val="20"/>
              </w:rPr>
            </w:pPr>
            <w:r w:rsidRPr="004A05E7">
              <w:rPr>
                <w:color w:val="000000"/>
                <w:sz w:val="20"/>
              </w:rPr>
              <w:t>2 units</w:t>
            </w:r>
          </w:p>
        </w:tc>
      </w:tr>
      <w:tr w:rsidR="00C00A53" w:rsidRPr="009F2501" w14:paraId="5C7E7569" w14:textId="77777777" w:rsidTr="00CE48DD">
        <w:trPr>
          <w:trHeight w:val="300"/>
        </w:trPr>
        <w:tc>
          <w:tcPr>
            <w:tcW w:w="5160" w:type="dxa"/>
            <w:tcBorders>
              <w:top w:val="single" w:sz="4" w:space="0" w:color="FFFFFF"/>
              <w:left w:val="nil"/>
              <w:bottom w:val="single" w:sz="4" w:space="0" w:color="FFFFFF"/>
              <w:right w:val="single" w:sz="4" w:space="0" w:color="FFFFFF"/>
            </w:tcBorders>
            <w:shd w:val="clear" w:color="DBEEF3" w:fill="auto"/>
            <w:hideMark/>
          </w:tcPr>
          <w:p w14:paraId="1EDF2F45" w14:textId="77777777" w:rsidR="00C00A53" w:rsidRPr="004A05E7" w:rsidRDefault="00C00A53" w:rsidP="00CE48DD">
            <w:pPr>
              <w:spacing w:before="0"/>
              <w:rPr>
                <w:color w:val="000000"/>
                <w:sz w:val="20"/>
              </w:rPr>
            </w:pPr>
            <w:r w:rsidRPr="004A05E7">
              <w:rPr>
                <w:color w:val="000000"/>
                <w:sz w:val="20"/>
              </w:rPr>
              <w:t>Pint of higher-strength lager/beer/cider (5.2%)</w:t>
            </w:r>
          </w:p>
        </w:tc>
        <w:tc>
          <w:tcPr>
            <w:tcW w:w="1720" w:type="dxa"/>
            <w:tcBorders>
              <w:top w:val="single" w:sz="4" w:space="0" w:color="FFFFFF"/>
              <w:left w:val="nil"/>
              <w:bottom w:val="single" w:sz="4" w:space="0" w:color="FFFFFF"/>
              <w:right w:val="single" w:sz="4" w:space="0" w:color="FFFFFF"/>
            </w:tcBorders>
            <w:shd w:val="clear" w:color="DBEEF3" w:fill="auto"/>
            <w:hideMark/>
          </w:tcPr>
          <w:p w14:paraId="73252389" w14:textId="77777777" w:rsidR="00C00A53" w:rsidRPr="004A05E7" w:rsidRDefault="00C00A53" w:rsidP="00CE48DD">
            <w:pPr>
              <w:spacing w:before="0"/>
              <w:rPr>
                <w:color w:val="000000"/>
                <w:sz w:val="20"/>
              </w:rPr>
            </w:pPr>
            <w:r w:rsidRPr="004A05E7">
              <w:rPr>
                <w:color w:val="000000"/>
                <w:sz w:val="20"/>
              </w:rPr>
              <w:t>Pint (568 ml)</w:t>
            </w:r>
          </w:p>
        </w:tc>
        <w:tc>
          <w:tcPr>
            <w:tcW w:w="1120" w:type="dxa"/>
            <w:tcBorders>
              <w:top w:val="single" w:sz="4" w:space="0" w:color="FFFFFF"/>
              <w:left w:val="nil"/>
              <w:bottom w:val="single" w:sz="4" w:space="0" w:color="FFFFFF"/>
              <w:right w:val="nil"/>
            </w:tcBorders>
            <w:shd w:val="clear" w:color="DBEEF3" w:fill="auto"/>
            <w:hideMark/>
          </w:tcPr>
          <w:p w14:paraId="72D124D2" w14:textId="77777777" w:rsidR="00C00A53" w:rsidRPr="004A05E7" w:rsidRDefault="00C00A53" w:rsidP="00CE48DD">
            <w:pPr>
              <w:spacing w:before="0"/>
              <w:rPr>
                <w:color w:val="000000"/>
                <w:sz w:val="20"/>
              </w:rPr>
            </w:pPr>
            <w:r w:rsidRPr="004A05E7">
              <w:rPr>
                <w:color w:val="000000"/>
                <w:sz w:val="20"/>
              </w:rPr>
              <w:t>3 units</w:t>
            </w:r>
          </w:p>
        </w:tc>
      </w:tr>
      <w:tr w:rsidR="00C00A53" w:rsidRPr="009F2501" w14:paraId="36BAA5EF" w14:textId="77777777" w:rsidTr="00CE48DD">
        <w:trPr>
          <w:trHeight w:val="300"/>
        </w:trPr>
        <w:tc>
          <w:tcPr>
            <w:tcW w:w="5160" w:type="dxa"/>
            <w:tcBorders>
              <w:top w:val="single" w:sz="4" w:space="0" w:color="FFFFFF"/>
              <w:left w:val="nil"/>
              <w:bottom w:val="single" w:sz="4" w:space="0" w:color="FFFFFF"/>
              <w:right w:val="single" w:sz="4" w:space="0" w:color="FFFFFF"/>
            </w:tcBorders>
            <w:shd w:val="clear" w:color="DBEEF3" w:fill="auto"/>
            <w:hideMark/>
          </w:tcPr>
          <w:p w14:paraId="7A6B3759" w14:textId="77777777" w:rsidR="00C00A53" w:rsidRPr="004A05E7" w:rsidRDefault="00C00A53" w:rsidP="00CE48DD">
            <w:pPr>
              <w:spacing w:before="0"/>
              <w:rPr>
                <w:color w:val="000000"/>
                <w:sz w:val="20"/>
              </w:rPr>
            </w:pPr>
            <w:r w:rsidRPr="004A05E7">
              <w:rPr>
                <w:color w:val="000000"/>
                <w:sz w:val="20"/>
              </w:rPr>
              <w:t>Bottle of lager/beer/cider (5%)</w:t>
            </w:r>
          </w:p>
        </w:tc>
        <w:tc>
          <w:tcPr>
            <w:tcW w:w="1720" w:type="dxa"/>
            <w:tcBorders>
              <w:top w:val="single" w:sz="4" w:space="0" w:color="FFFFFF"/>
              <w:left w:val="nil"/>
              <w:bottom w:val="single" w:sz="4" w:space="0" w:color="FFFFFF"/>
              <w:right w:val="single" w:sz="4" w:space="0" w:color="FFFFFF"/>
            </w:tcBorders>
            <w:shd w:val="clear" w:color="DBEEF3" w:fill="auto"/>
            <w:hideMark/>
          </w:tcPr>
          <w:p w14:paraId="7E375B59" w14:textId="77777777" w:rsidR="00C00A53" w:rsidRPr="004A05E7" w:rsidRDefault="00C00A53" w:rsidP="00CE48DD">
            <w:pPr>
              <w:spacing w:before="0"/>
              <w:rPr>
                <w:color w:val="000000"/>
                <w:sz w:val="20"/>
              </w:rPr>
            </w:pPr>
            <w:r w:rsidRPr="004A05E7">
              <w:rPr>
                <w:color w:val="000000"/>
                <w:sz w:val="20"/>
              </w:rPr>
              <w:t>330 ml</w:t>
            </w:r>
          </w:p>
        </w:tc>
        <w:tc>
          <w:tcPr>
            <w:tcW w:w="1120" w:type="dxa"/>
            <w:tcBorders>
              <w:top w:val="single" w:sz="4" w:space="0" w:color="FFFFFF"/>
              <w:left w:val="nil"/>
              <w:bottom w:val="single" w:sz="4" w:space="0" w:color="FFFFFF"/>
              <w:right w:val="nil"/>
            </w:tcBorders>
            <w:shd w:val="clear" w:color="DBEEF3" w:fill="auto"/>
            <w:hideMark/>
          </w:tcPr>
          <w:p w14:paraId="2CB855A7" w14:textId="77777777" w:rsidR="00C00A53" w:rsidRPr="004A05E7" w:rsidRDefault="00C00A53" w:rsidP="00CE48DD">
            <w:pPr>
              <w:spacing w:before="0"/>
              <w:rPr>
                <w:color w:val="000000"/>
                <w:sz w:val="20"/>
              </w:rPr>
            </w:pPr>
            <w:r w:rsidRPr="004A05E7">
              <w:rPr>
                <w:color w:val="000000"/>
                <w:sz w:val="20"/>
              </w:rPr>
              <w:t>1.7 units</w:t>
            </w:r>
          </w:p>
        </w:tc>
      </w:tr>
      <w:tr w:rsidR="00C00A53" w:rsidRPr="009F2501" w14:paraId="0CB2000B" w14:textId="77777777" w:rsidTr="00CE48DD">
        <w:trPr>
          <w:trHeight w:val="300"/>
        </w:trPr>
        <w:tc>
          <w:tcPr>
            <w:tcW w:w="5160" w:type="dxa"/>
            <w:tcBorders>
              <w:top w:val="single" w:sz="4" w:space="0" w:color="FFFFFF"/>
              <w:left w:val="nil"/>
              <w:bottom w:val="single" w:sz="4" w:space="0" w:color="FFFFFF"/>
              <w:right w:val="single" w:sz="4" w:space="0" w:color="FFFFFF"/>
            </w:tcBorders>
            <w:shd w:val="clear" w:color="DBEEF3" w:fill="auto"/>
            <w:hideMark/>
          </w:tcPr>
          <w:p w14:paraId="317C997E" w14:textId="77777777" w:rsidR="00C00A53" w:rsidRPr="004A05E7" w:rsidRDefault="00E64207" w:rsidP="00CE48DD">
            <w:pPr>
              <w:spacing w:before="0"/>
              <w:rPr>
                <w:color w:val="000000"/>
                <w:sz w:val="20"/>
              </w:rPr>
            </w:pPr>
            <w:r>
              <w:rPr>
                <w:color w:val="000000"/>
                <w:sz w:val="20"/>
              </w:rPr>
              <w:t>Can of lag</w:t>
            </w:r>
            <w:r w:rsidR="00E358D6">
              <w:rPr>
                <w:color w:val="000000"/>
                <w:sz w:val="20"/>
              </w:rPr>
              <w:t>e</w:t>
            </w:r>
            <w:r>
              <w:rPr>
                <w:color w:val="000000"/>
                <w:sz w:val="20"/>
              </w:rPr>
              <w:t>r</w:t>
            </w:r>
            <w:r w:rsidR="00C00A53" w:rsidRPr="004A05E7">
              <w:rPr>
                <w:color w:val="000000"/>
                <w:sz w:val="20"/>
              </w:rPr>
              <w:t>/beer/cider (4.5%)</w:t>
            </w:r>
          </w:p>
        </w:tc>
        <w:tc>
          <w:tcPr>
            <w:tcW w:w="1720" w:type="dxa"/>
            <w:tcBorders>
              <w:top w:val="single" w:sz="4" w:space="0" w:color="FFFFFF"/>
              <w:left w:val="nil"/>
              <w:bottom w:val="single" w:sz="4" w:space="0" w:color="FFFFFF"/>
              <w:right w:val="single" w:sz="4" w:space="0" w:color="FFFFFF"/>
            </w:tcBorders>
            <w:shd w:val="clear" w:color="DBEEF3" w:fill="auto"/>
            <w:hideMark/>
          </w:tcPr>
          <w:p w14:paraId="14193E2F" w14:textId="77777777" w:rsidR="00C00A53" w:rsidRPr="004A05E7" w:rsidRDefault="00C00A53" w:rsidP="00CE48DD">
            <w:pPr>
              <w:spacing w:before="0"/>
              <w:rPr>
                <w:color w:val="000000"/>
                <w:sz w:val="20"/>
              </w:rPr>
            </w:pPr>
            <w:r w:rsidRPr="004A05E7">
              <w:rPr>
                <w:color w:val="000000"/>
                <w:sz w:val="20"/>
              </w:rPr>
              <w:t>440 ml</w:t>
            </w:r>
          </w:p>
        </w:tc>
        <w:tc>
          <w:tcPr>
            <w:tcW w:w="1120" w:type="dxa"/>
            <w:tcBorders>
              <w:top w:val="single" w:sz="4" w:space="0" w:color="FFFFFF"/>
              <w:left w:val="nil"/>
              <w:bottom w:val="single" w:sz="4" w:space="0" w:color="FFFFFF"/>
              <w:right w:val="nil"/>
            </w:tcBorders>
            <w:shd w:val="clear" w:color="DBEEF3" w:fill="auto"/>
            <w:hideMark/>
          </w:tcPr>
          <w:p w14:paraId="27734886" w14:textId="77777777" w:rsidR="00C00A53" w:rsidRPr="004A05E7" w:rsidRDefault="00C00A53" w:rsidP="00CE48DD">
            <w:pPr>
              <w:spacing w:before="0"/>
              <w:rPr>
                <w:color w:val="000000"/>
                <w:sz w:val="20"/>
              </w:rPr>
            </w:pPr>
            <w:r w:rsidRPr="004A05E7">
              <w:rPr>
                <w:color w:val="000000"/>
                <w:sz w:val="20"/>
              </w:rPr>
              <w:t>2 units</w:t>
            </w:r>
          </w:p>
        </w:tc>
      </w:tr>
      <w:tr w:rsidR="00C00A53" w:rsidRPr="009F2501" w14:paraId="6B6BD194" w14:textId="77777777" w:rsidTr="00CE48DD">
        <w:trPr>
          <w:trHeight w:val="300"/>
        </w:trPr>
        <w:tc>
          <w:tcPr>
            <w:tcW w:w="5160" w:type="dxa"/>
            <w:tcBorders>
              <w:top w:val="single" w:sz="4" w:space="0" w:color="FFFFFF"/>
              <w:left w:val="nil"/>
              <w:bottom w:val="single" w:sz="4" w:space="0" w:color="FFFFFF"/>
              <w:right w:val="single" w:sz="4" w:space="0" w:color="FFFFFF"/>
            </w:tcBorders>
            <w:shd w:val="clear" w:color="DBEEF3" w:fill="auto"/>
            <w:hideMark/>
          </w:tcPr>
          <w:p w14:paraId="23B864CA" w14:textId="77777777" w:rsidR="00C00A53" w:rsidRPr="004A05E7" w:rsidRDefault="00C00A53" w:rsidP="00CE48DD">
            <w:pPr>
              <w:spacing w:before="0"/>
              <w:rPr>
                <w:color w:val="000000"/>
                <w:sz w:val="20"/>
              </w:rPr>
            </w:pPr>
            <w:r w:rsidRPr="004A05E7">
              <w:rPr>
                <w:color w:val="000000"/>
                <w:sz w:val="20"/>
              </w:rPr>
              <w:t>Alco pop (5.5%)</w:t>
            </w:r>
          </w:p>
        </w:tc>
        <w:tc>
          <w:tcPr>
            <w:tcW w:w="1720" w:type="dxa"/>
            <w:tcBorders>
              <w:top w:val="single" w:sz="4" w:space="0" w:color="FFFFFF"/>
              <w:left w:val="nil"/>
              <w:bottom w:val="single" w:sz="4" w:space="0" w:color="FFFFFF"/>
              <w:right w:val="single" w:sz="4" w:space="0" w:color="FFFFFF"/>
            </w:tcBorders>
            <w:shd w:val="clear" w:color="DBEEF3" w:fill="auto"/>
            <w:hideMark/>
          </w:tcPr>
          <w:p w14:paraId="73FF5519" w14:textId="77777777" w:rsidR="00C00A53" w:rsidRPr="004A05E7" w:rsidRDefault="00C00A53" w:rsidP="00CE48DD">
            <w:pPr>
              <w:spacing w:before="0"/>
              <w:rPr>
                <w:color w:val="000000"/>
                <w:sz w:val="20"/>
              </w:rPr>
            </w:pPr>
            <w:r w:rsidRPr="004A05E7">
              <w:rPr>
                <w:color w:val="000000"/>
                <w:sz w:val="20"/>
              </w:rPr>
              <w:t>275 ml</w:t>
            </w:r>
          </w:p>
        </w:tc>
        <w:tc>
          <w:tcPr>
            <w:tcW w:w="1120" w:type="dxa"/>
            <w:tcBorders>
              <w:top w:val="single" w:sz="4" w:space="0" w:color="FFFFFF"/>
              <w:left w:val="nil"/>
              <w:bottom w:val="single" w:sz="4" w:space="0" w:color="FFFFFF"/>
              <w:right w:val="nil"/>
            </w:tcBorders>
            <w:shd w:val="clear" w:color="DBEEF3" w:fill="auto"/>
            <w:hideMark/>
          </w:tcPr>
          <w:p w14:paraId="2570975F" w14:textId="77777777" w:rsidR="00C00A53" w:rsidRPr="004A05E7" w:rsidRDefault="00C00A53" w:rsidP="00CE48DD">
            <w:pPr>
              <w:spacing w:before="0"/>
              <w:rPr>
                <w:color w:val="000000"/>
                <w:sz w:val="20"/>
              </w:rPr>
            </w:pPr>
            <w:r w:rsidRPr="004A05E7">
              <w:rPr>
                <w:color w:val="000000"/>
                <w:sz w:val="20"/>
              </w:rPr>
              <w:t>1.5 units</w:t>
            </w:r>
          </w:p>
        </w:tc>
      </w:tr>
      <w:tr w:rsidR="00C00A53" w:rsidRPr="009F2501" w14:paraId="6BF7AE80" w14:textId="77777777" w:rsidTr="00CE48DD">
        <w:trPr>
          <w:trHeight w:val="540"/>
        </w:trPr>
        <w:tc>
          <w:tcPr>
            <w:tcW w:w="5160" w:type="dxa"/>
            <w:tcBorders>
              <w:top w:val="single" w:sz="4" w:space="0" w:color="FFFFFF"/>
              <w:left w:val="nil"/>
              <w:bottom w:val="nil"/>
              <w:right w:val="single" w:sz="4" w:space="0" w:color="FFFFFF"/>
            </w:tcBorders>
            <w:shd w:val="clear" w:color="DBEEF3" w:fill="auto"/>
            <w:hideMark/>
          </w:tcPr>
          <w:p w14:paraId="22541234" w14:textId="77777777" w:rsidR="00C00A53" w:rsidRPr="004A05E7" w:rsidRDefault="00C00A53" w:rsidP="00CE48DD">
            <w:pPr>
              <w:spacing w:before="0"/>
              <w:rPr>
                <w:color w:val="000000"/>
                <w:sz w:val="20"/>
              </w:rPr>
            </w:pPr>
            <w:r w:rsidRPr="004A05E7">
              <w:rPr>
                <w:color w:val="000000"/>
                <w:sz w:val="20"/>
              </w:rPr>
              <w:t>Single small shot of spirits (Gin, rum, vodka, whisky, tequila, sambuca) (40%)</w:t>
            </w:r>
          </w:p>
        </w:tc>
        <w:tc>
          <w:tcPr>
            <w:tcW w:w="1720" w:type="dxa"/>
            <w:tcBorders>
              <w:top w:val="single" w:sz="4" w:space="0" w:color="FFFFFF"/>
              <w:left w:val="nil"/>
              <w:bottom w:val="nil"/>
              <w:right w:val="single" w:sz="4" w:space="0" w:color="FFFFFF"/>
            </w:tcBorders>
            <w:shd w:val="clear" w:color="DBEEF3" w:fill="auto"/>
            <w:hideMark/>
          </w:tcPr>
          <w:p w14:paraId="0E4B1D0D" w14:textId="77777777" w:rsidR="00C00A53" w:rsidRPr="004A05E7" w:rsidRDefault="00C00A53" w:rsidP="00CE48DD">
            <w:pPr>
              <w:spacing w:before="0"/>
              <w:rPr>
                <w:color w:val="000000"/>
                <w:sz w:val="20"/>
              </w:rPr>
            </w:pPr>
            <w:r w:rsidRPr="004A05E7">
              <w:rPr>
                <w:color w:val="000000"/>
                <w:sz w:val="20"/>
              </w:rPr>
              <w:t>25 ml</w:t>
            </w:r>
          </w:p>
        </w:tc>
        <w:tc>
          <w:tcPr>
            <w:tcW w:w="1120" w:type="dxa"/>
            <w:tcBorders>
              <w:top w:val="single" w:sz="4" w:space="0" w:color="FFFFFF"/>
              <w:left w:val="nil"/>
              <w:bottom w:val="nil"/>
              <w:right w:val="nil"/>
            </w:tcBorders>
            <w:shd w:val="clear" w:color="DBEEF3" w:fill="auto"/>
            <w:hideMark/>
          </w:tcPr>
          <w:p w14:paraId="72A62C20" w14:textId="77777777" w:rsidR="00C00A53" w:rsidRPr="004A05E7" w:rsidRDefault="00C00A53" w:rsidP="00CE48DD">
            <w:pPr>
              <w:spacing w:before="0"/>
              <w:rPr>
                <w:color w:val="000000"/>
                <w:sz w:val="20"/>
              </w:rPr>
            </w:pPr>
            <w:r w:rsidRPr="004A05E7">
              <w:rPr>
                <w:color w:val="000000"/>
                <w:sz w:val="20"/>
              </w:rPr>
              <w:t>1 unit</w:t>
            </w:r>
          </w:p>
        </w:tc>
      </w:tr>
    </w:tbl>
    <w:p w14:paraId="17EE4D7A" w14:textId="2E0C0138" w:rsidR="00B72F39" w:rsidRPr="008358CE" w:rsidRDefault="007465D8" w:rsidP="00C32D71">
      <w:pPr>
        <w:tabs>
          <w:tab w:val="left" w:pos="142"/>
        </w:tabs>
        <w:rPr>
          <w:sz w:val="16"/>
          <w:szCs w:val="16"/>
        </w:rPr>
      </w:pPr>
      <w:r>
        <w:rPr>
          <w:noProof/>
          <w:sz w:val="16"/>
          <w:szCs w:val="16"/>
        </w:rPr>
        <mc:AlternateContent>
          <mc:Choice Requires="wps">
            <w:drawing>
              <wp:anchor distT="0" distB="0" distL="114300" distR="114300" simplePos="0" relativeHeight="251719680" behindDoc="0" locked="0" layoutInCell="1" allowOverlap="1" wp14:anchorId="67AA1DEE" wp14:editId="0B35E7D8">
                <wp:simplePos x="0" y="0"/>
                <wp:positionH relativeFrom="column">
                  <wp:posOffset>41910</wp:posOffset>
                </wp:positionH>
                <wp:positionV relativeFrom="paragraph">
                  <wp:posOffset>48895</wp:posOffset>
                </wp:positionV>
                <wp:extent cx="4977765" cy="0"/>
                <wp:effectExtent l="13335" t="15240" r="9525" b="13335"/>
                <wp:wrapNone/>
                <wp:docPr id="306" name="AutoShape 2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77765" cy="0"/>
                        </a:xfrm>
                        <a:prstGeom prst="straightConnector1">
                          <a:avLst/>
                        </a:prstGeom>
                        <a:noFill/>
                        <a:ln w="12700">
                          <a:solidFill>
                            <a:srgbClr val="629FC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46E4A2" id="_x0000_t32" coordsize="21600,21600" o:spt="32" o:oned="t" path="m,l21600,21600e" filled="f">
                <v:path arrowok="t" fillok="f" o:connecttype="none"/>
                <o:lock v:ext="edit" shapetype="t"/>
              </v:shapetype>
              <v:shape id="AutoShape 242" o:spid="_x0000_s1026" type="#_x0000_t32" style="position:absolute;margin-left:3.3pt;margin-top:3.85pt;width:391.95pt;height:0;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" strokecolor="#629fc2" strokeweight="1pt"/>
            </w:pict>
          </mc:Fallback>
        </mc:AlternateContent>
      </w:r>
      <w:r w:rsidR="00B72F39" w:rsidRPr="004676DC">
        <w:rPr>
          <w:sz w:val="16"/>
          <w:szCs w:val="16"/>
        </w:rPr>
        <w:t xml:space="preserve">Source: NHS Live </w:t>
      </w:r>
      <w:r w:rsidR="00E05FDE">
        <w:rPr>
          <w:sz w:val="16"/>
          <w:szCs w:val="16"/>
        </w:rPr>
        <w:t>W</w:t>
      </w:r>
      <w:r w:rsidR="00B72F39" w:rsidRPr="004676DC">
        <w:rPr>
          <w:sz w:val="16"/>
          <w:szCs w:val="16"/>
        </w:rPr>
        <w:t>el</w:t>
      </w:r>
      <w:r w:rsidR="00B72F39">
        <w:rPr>
          <w:sz w:val="16"/>
          <w:szCs w:val="16"/>
        </w:rPr>
        <w:t>l website</w:t>
      </w:r>
      <w:r w:rsidR="00B72F39" w:rsidRPr="00F2205F">
        <w:rPr>
          <w:sz w:val="16"/>
          <w:szCs w:val="16"/>
          <w:vertAlign w:val="superscript"/>
        </w:rPr>
        <w:t xml:space="preserve">6 </w:t>
      </w:r>
    </w:p>
    <w:p w14:paraId="2C1F073B" w14:textId="77777777" w:rsidR="00B72F39" w:rsidRDefault="00B72F39" w:rsidP="00B72F39">
      <w:pPr>
        <w:pStyle w:val="Heading3nonumber"/>
      </w:pPr>
      <w:r w:rsidRPr="00BB1A03">
        <w:t>Drinking guidelines</w:t>
      </w:r>
    </w:p>
    <w:p w14:paraId="3D6527F8" w14:textId="77777777" w:rsidR="00B72F39" w:rsidRDefault="00B72F39" w:rsidP="00B72F39">
      <w:r>
        <w:t>Current NHS guidelines state that men should not regularly drink more than 3 to 4 units per day and women not more than 2 to 3 units per day</w:t>
      </w:r>
      <w:r w:rsidRPr="00F2205F">
        <w:rPr>
          <w:vertAlign w:val="superscript"/>
        </w:rPr>
        <w:t>6</w:t>
      </w:r>
      <w:r>
        <w:t>. ‘Regularly’ is defined as drinking this amount every day or most days of the week. It also recommends taking a break from alcohol for 48 hours after a heavy drinking session</w:t>
      </w:r>
      <w:r w:rsidRPr="00F2205F">
        <w:rPr>
          <w:vertAlign w:val="superscript"/>
        </w:rPr>
        <w:t>6</w:t>
      </w:r>
      <w:r>
        <w:t>.</w:t>
      </w:r>
    </w:p>
    <w:p w14:paraId="6CBB1E25" w14:textId="77777777" w:rsidR="00B72F39" w:rsidRDefault="00B72F39" w:rsidP="00B72F39">
      <w:pPr>
        <w:autoSpaceDE w:val="0"/>
        <w:autoSpaceDN w:val="0"/>
        <w:adjustRightInd w:val="0"/>
        <w:spacing w:before="0"/>
        <w:jc w:val="left"/>
      </w:pPr>
    </w:p>
    <w:p w14:paraId="61807577" w14:textId="77777777" w:rsidR="00B72F39" w:rsidRPr="00EA7325" w:rsidRDefault="00B72F39" w:rsidP="00C355BD">
      <w:pPr>
        <w:autoSpaceDE w:val="0"/>
        <w:autoSpaceDN w:val="0"/>
        <w:adjustRightInd w:val="0"/>
        <w:spacing w:before="0"/>
        <w:rPr>
          <w:rFonts w:cs="Arial"/>
          <w:szCs w:val="24"/>
        </w:rPr>
      </w:pPr>
      <w:r>
        <w:rPr>
          <w:rFonts w:cs="Arial"/>
          <w:szCs w:val="24"/>
        </w:rPr>
        <w:t>Data on drinking patterns comes from surveys which tend to</w:t>
      </w:r>
      <w:r w:rsidRPr="00EA7325">
        <w:rPr>
          <w:rFonts w:cs="Arial"/>
          <w:szCs w:val="24"/>
        </w:rPr>
        <w:t xml:space="preserve"> collect information on the amount drunk on the heaviest drinking day in the </w:t>
      </w:r>
      <w:r>
        <w:rPr>
          <w:rFonts w:cs="Arial"/>
          <w:szCs w:val="24"/>
        </w:rPr>
        <w:t>past</w:t>
      </w:r>
      <w:r w:rsidRPr="00EA7325">
        <w:rPr>
          <w:rFonts w:cs="Arial"/>
          <w:szCs w:val="24"/>
        </w:rPr>
        <w:t xml:space="preserve"> week</w:t>
      </w:r>
      <w:r>
        <w:rPr>
          <w:rFonts w:cs="Arial"/>
          <w:szCs w:val="24"/>
        </w:rPr>
        <w:t xml:space="preserve"> rather than the usual consumption</w:t>
      </w:r>
      <w:r w:rsidRPr="00EA7325">
        <w:rPr>
          <w:rFonts w:cs="Arial"/>
          <w:szCs w:val="24"/>
        </w:rPr>
        <w:t xml:space="preserve">. </w:t>
      </w:r>
      <w:r>
        <w:rPr>
          <w:rFonts w:cs="Arial"/>
          <w:szCs w:val="24"/>
        </w:rPr>
        <w:t xml:space="preserve">This may be very different and so has implications for the interpretation of survey data. </w:t>
      </w:r>
    </w:p>
    <w:p w14:paraId="1827322C" w14:textId="77777777" w:rsidR="00B72F39" w:rsidRPr="00BB1A03" w:rsidRDefault="00B72F39" w:rsidP="00B72F39">
      <w:pPr>
        <w:pStyle w:val="Heading3nonumber"/>
      </w:pPr>
      <w:r w:rsidRPr="00BB1A03">
        <w:lastRenderedPageBreak/>
        <w:t>Drinking above guidelines</w:t>
      </w:r>
    </w:p>
    <w:p w14:paraId="32BC7097" w14:textId="77777777" w:rsidR="00B72F39" w:rsidRPr="00832D00" w:rsidRDefault="00B72F39" w:rsidP="00C355BD">
      <w:pPr>
        <w:pStyle w:val="Caption"/>
        <w:jc w:val="both"/>
        <w:rPr>
          <w:b w:val="0"/>
        </w:rPr>
      </w:pPr>
      <w:r w:rsidRPr="00324613">
        <w:rPr>
          <w:b w:val="0"/>
        </w:rPr>
        <w:t xml:space="preserve">Drinking above guidelines </w:t>
      </w:r>
      <w:r>
        <w:rPr>
          <w:b w:val="0"/>
        </w:rPr>
        <w:t>from surveys</w:t>
      </w:r>
      <w:r w:rsidRPr="00324613">
        <w:rPr>
          <w:b w:val="0"/>
        </w:rPr>
        <w:t xml:space="preserve"> is usually measured as men drinking </w:t>
      </w:r>
      <w:r>
        <w:rPr>
          <w:b w:val="0"/>
        </w:rPr>
        <w:t>more than</w:t>
      </w:r>
      <w:r w:rsidRPr="00324613">
        <w:rPr>
          <w:b w:val="0"/>
        </w:rPr>
        <w:t xml:space="preserve"> 4 units and women drinking </w:t>
      </w:r>
      <w:r>
        <w:rPr>
          <w:b w:val="0"/>
        </w:rPr>
        <w:t>more than</w:t>
      </w:r>
      <w:r w:rsidRPr="00324613">
        <w:rPr>
          <w:b w:val="0"/>
        </w:rPr>
        <w:t xml:space="preserve"> 3 units on their heaviest drinking day in the previous week. </w:t>
      </w:r>
    </w:p>
    <w:p w14:paraId="023829F3" w14:textId="77777777" w:rsidR="00B72F39" w:rsidRPr="000E6C4F" w:rsidRDefault="00B72F39" w:rsidP="00B72F39">
      <w:pPr>
        <w:pStyle w:val="Heading3nonumber"/>
      </w:pPr>
      <w:r w:rsidRPr="000E6C4F">
        <w:t>Heavy (binge) drinking</w:t>
      </w:r>
    </w:p>
    <w:p w14:paraId="3FAE01A1" w14:textId="77777777" w:rsidR="00B72F39" w:rsidRDefault="00B72F39" w:rsidP="00B72F39">
      <w:r>
        <w:t>The term ‘binge drinking’ usually refers to drinking lots of alcohol in a short period of time or drinking to get drunk</w:t>
      </w:r>
      <w:r w:rsidRPr="00F2205F">
        <w:rPr>
          <w:vertAlign w:val="superscript"/>
        </w:rPr>
        <w:t>6</w:t>
      </w:r>
      <w:r>
        <w:t>. In surveys, it is usually measured as drinking more than twice the daily guidelines, which for men is more than 8 units and women more than 6 units on their heaviest drinking day in the previous week. In Welsh Health Survey (WHS) publications this measure has been referred to as either ‘heavy drinking’ or ‘binge drinking’. To avoid any confusion with the new ‘very heavy drinking’ category, both terms ‘heavy (binge) drinking’ are used throughout this report for Wales or Great Britain data (</w:t>
      </w:r>
      <w:r w:rsidRPr="004A05E7">
        <w:t>see Table 2).</w:t>
      </w:r>
    </w:p>
    <w:p w14:paraId="118159BB" w14:textId="77777777" w:rsidR="00B72F39" w:rsidRPr="000E6C4F" w:rsidRDefault="00B72F39" w:rsidP="00B72F39">
      <w:pPr>
        <w:pStyle w:val="Heading3nonumber"/>
      </w:pPr>
      <w:r w:rsidRPr="000E6C4F">
        <w:t xml:space="preserve">Very heavy drinking </w:t>
      </w:r>
    </w:p>
    <w:p w14:paraId="2A5C160E" w14:textId="77777777" w:rsidR="00B72F39" w:rsidRPr="00316690" w:rsidRDefault="00B72F39" w:rsidP="00B72F39">
      <w:r>
        <w:t xml:space="preserve">The new measure ‘very heavy drinking’ has no formal definition, but has recently been used in </w:t>
      </w:r>
      <w:r w:rsidRPr="0052430A">
        <w:rPr>
          <w:szCs w:val="24"/>
        </w:rPr>
        <w:t xml:space="preserve">Office </w:t>
      </w:r>
      <w:r>
        <w:rPr>
          <w:szCs w:val="24"/>
        </w:rPr>
        <w:t>for</w:t>
      </w:r>
      <w:r w:rsidRPr="0052430A">
        <w:rPr>
          <w:szCs w:val="24"/>
        </w:rPr>
        <w:t xml:space="preserve"> National Statistics</w:t>
      </w:r>
      <w:r>
        <w:t xml:space="preserve"> (ONS) publications and referred to as men drinking more than 12 units and women drinking more than 9 units on their heaviest drinking day in the previous week. This definition, listed </w:t>
      </w:r>
      <w:r w:rsidRPr="004A05E7">
        <w:t>in Table 2,</w:t>
      </w:r>
      <w:r>
        <w:t xml:space="preserve"> is used throughout this report where survey results are reported for Wales and Great Britain.   </w:t>
      </w:r>
    </w:p>
    <w:p w14:paraId="29C6D6A0" w14:textId="77777777" w:rsidR="00B72F39" w:rsidRPr="000E6C4F" w:rsidRDefault="00B72F39" w:rsidP="00B72F39">
      <w:pPr>
        <w:pStyle w:val="Heading3nonumber"/>
      </w:pPr>
      <w:r w:rsidRPr="000E6C4F">
        <w:t>Abstainers</w:t>
      </w:r>
      <w:r>
        <w:t xml:space="preserve">  </w:t>
      </w:r>
    </w:p>
    <w:p w14:paraId="4C24932A" w14:textId="77777777" w:rsidR="00B72F39" w:rsidRDefault="00B72F39" w:rsidP="00B72F39">
      <w:r>
        <w:t>Abstainers in this report refer to WHS respondents who report not having drunk alcohol in the past 12 months (Table 2</w:t>
      </w:r>
      <w:r w:rsidRPr="0000586B">
        <w:t xml:space="preserve">). It includes those abstainers who have not consumed alcohol during this fixed period of time </w:t>
      </w:r>
      <w:r w:rsidR="005E416F" w:rsidRPr="0000586B">
        <w:t>regardless of whether they</w:t>
      </w:r>
      <w:r w:rsidRPr="0000586B">
        <w:t xml:space="preserve"> have drunk alcohol before </w:t>
      </w:r>
      <w:r w:rsidR="005E416F" w:rsidRPr="0000586B">
        <w:t>this 12 month</w:t>
      </w:r>
      <w:r w:rsidR="00BD789A" w:rsidRPr="0000586B">
        <w:t xml:space="preserve"> </w:t>
      </w:r>
      <w:r w:rsidR="005E416F" w:rsidRPr="0000586B">
        <w:t xml:space="preserve"> </w:t>
      </w:r>
      <w:r w:rsidRPr="0000586B">
        <w:t xml:space="preserve"> period.</w:t>
      </w:r>
      <w:r>
        <w:t xml:space="preserve">  </w:t>
      </w:r>
    </w:p>
    <w:p w14:paraId="322E8056" w14:textId="77777777" w:rsidR="00B72F39" w:rsidRDefault="006E2F8A" w:rsidP="00B72F39">
      <w:pPr>
        <w:pStyle w:val="Tableheading"/>
        <w:ind w:left="0" w:firstLine="0"/>
      </w:pPr>
      <w:bookmarkStart w:id="13" w:name="_Toc399752264"/>
      <w:bookmarkStart w:id="14" w:name="_Toc400007265"/>
      <w:r>
        <w:t>Table 2</w:t>
      </w:r>
      <w:r w:rsidR="00B72F39">
        <w:t xml:space="preserve"> Overview of definitions used</w:t>
      </w:r>
      <w:bookmarkEnd w:id="13"/>
      <w:bookmarkEnd w:id="14"/>
    </w:p>
    <w:tbl>
      <w:tblPr>
        <w:tblW w:w="10504" w:type="dxa"/>
        <w:tblInd w:w="94" w:type="dxa"/>
        <w:tblLook w:val="04A0" w:firstRow="1" w:lastRow="0" w:firstColumn="1" w:lastColumn="0" w:noHBand="0" w:noVBand="1"/>
      </w:tblPr>
      <w:tblGrid>
        <w:gridCol w:w="3275"/>
        <w:gridCol w:w="3685"/>
        <w:gridCol w:w="3544"/>
      </w:tblGrid>
      <w:tr w:rsidR="00B72F39" w:rsidRPr="009F2501" w14:paraId="29AEA941" w14:textId="77777777" w:rsidTr="00C31DD9">
        <w:trPr>
          <w:trHeight w:val="345"/>
        </w:trPr>
        <w:tc>
          <w:tcPr>
            <w:tcW w:w="3275" w:type="dxa"/>
            <w:tcBorders>
              <w:top w:val="nil"/>
              <w:left w:val="nil"/>
              <w:bottom w:val="single" w:sz="12" w:space="0" w:color="FFFFFF"/>
              <w:right w:val="single" w:sz="4" w:space="0" w:color="FFFFFF"/>
            </w:tcBorders>
            <w:shd w:val="clear" w:color="4BACC6" w:fill="629FC2"/>
            <w:noWrap/>
            <w:vAlign w:val="bottom"/>
            <w:hideMark/>
          </w:tcPr>
          <w:p w14:paraId="3CFE210F" w14:textId="77777777" w:rsidR="00B72F39" w:rsidRPr="009F2501" w:rsidRDefault="00B72F39" w:rsidP="000E415D">
            <w:pPr>
              <w:spacing w:before="0"/>
              <w:jc w:val="left"/>
              <w:rPr>
                <w:b/>
                <w:bCs/>
                <w:color w:val="FFFFFF"/>
                <w:sz w:val="20"/>
              </w:rPr>
            </w:pPr>
            <w:r>
              <w:rPr>
                <w:b/>
                <w:bCs/>
                <w:color w:val="FFFFFF"/>
                <w:sz w:val="20"/>
              </w:rPr>
              <w:t>Category</w:t>
            </w:r>
          </w:p>
        </w:tc>
        <w:tc>
          <w:tcPr>
            <w:tcW w:w="3685" w:type="dxa"/>
            <w:tcBorders>
              <w:top w:val="nil"/>
              <w:left w:val="nil"/>
              <w:bottom w:val="single" w:sz="12" w:space="0" w:color="FFFFFF"/>
              <w:right w:val="single" w:sz="4" w:space="0" w:color="FFFFFF"/>
            </w:tcBorders>
            <w:shd w:val="clear" w:color="4BACC6" w:fill="629FC2"/>
            <w:vAlign w:val="bottom"/>
            <w:hideMark/>
          </w:tcPr>
          <w:p w14:paraId="7C4710AA" w14:textId="77777777" w:rsidR="00B72F39" w:rsidRPr="009F2501" w:rsidRDefault="00B72F39" w:rsidP="000E415D">
            <w:pPr>
              <w:spacing w:before="0"/>
              <w:jc w:val="left"/>
              <w:rPr>
                <w:b/>
                <w:bCs/>
                <w:color w:val="FFFFFF"/>
                <w:sz w:val="20"/>
              </w:rPr>
            </w:pPr>
            <w:r>
              <w:rPr>
                <w:b/>
                <w:bCs/>
                <w:color w:val="FFFFFF"/>
                <w:sz w:val="20"/>
              </w:rPr>
              <w:t>Men</w:t>
            </w:r>
          </w:p>
        </w:tc>
        <w:tc>
          <w:tcPr>
            <w:tcW w:w="3544" w:type="dxa"/>
            <w:tcBorders>
              <w:top w:val="nil"/>
              <w:left w:val="nil"/>
              <w:bottom w:val="single" w:sz="12" w:space="0" w:color="FFFFFF"/>
              <w:right w:val="nil"/>
            </w:tcBorders>
            <w:shd w:val="clear" w:color="4BACC6" w:fill="629FC2"/>
            <w:vAlign w:val="bottom"/>
            <w:hideMark/>
          </w:tcPr>
          <w:p w14:paraId="4D575041" w14:textId="77777777" w:rsidR="00B72F39" w:rsidRPr="009F2501" w:rsidRDefault="00B72F39" w:rsidP="000E415D">
            <w:pPr>
              <w:spacing w:before="0"/>
              <w:jc w:val="left"/>
              <w:rPr>
                <w:b/>
                <w:bCs/>
                <w:color w:val="FFFFFF"/>
                <w:sz w:val="20"/>
              </w:rPr>
            </w:pPr>
            <w:r>
              <w:rPr>
                <w:b/>
                <w:bCs/>
                <w:color w:val="FFFFFF"/>
                <w:sz w:val="20"/>
              </w:rPr>
              <w:t>Women</w:t>
            </w:r>
          </w:p>
        </w:tc>
      </w:tr>
      <w:tr w:rsidR="00B72F39" w:rsidRPr="009F2501" w14:paraId="45747126" w14:textId="77777777" w:rsidTr="000E415D">
        <w:trPr>
          <w:trHeight w:val="314"/>
        </w:trPr>
        <w:tc>
          <w:tcPr>
            <w:tcW w:w="3275" w:type="dxa"/>
            <w:tcBorders>
              <w:top w:val="single" w:sz="12" w:space="0" w:color="FFFFFF"/>
              <w:left w:val="nil"/>
              <w:bottom w:val="single" w:sz="4" w:space="0" w:color="FFFFFF"/>
              <w:right w:val="single" w:sz="4" w:space="0" w:color="FFFFFF"/>
            </w:tcBorders>
            <w:shd w:val="clear" w:color="DBEEF3" w:fill="auto"/>
            <w:hideMark/>
          </w:tcPr>
          <w:p w14:paraId="2C9FDBB6" w14:textId="77777777" w:rsidR="00B72F39" w:rsidRPr="00D92940" w:rsidRDefault="00B72F39" w:rsidP="000E415D">
            <w:pPr>
              <w:spacing w:before="0"/>
              <w:rPr>
                <w:color w:val="000000"/>
                <w:sz w:val="20"/>
              </w:rPr>
            </w:pPr>
            <w:r w:rsidRPr="00D92940">
              <w:rPr>
                <w:color w:val="000000"/>
                <w:sz w:val="20"/>
              </w:rPr>
              <w:t xml:space="preserve">Abstainer </w:t>
            </w:r>
          </w:p>
        </w:tc>
        <w:tc>
          <w:tcPr>
            <w:tcW w:w="3685" w:type="dxa"/>
            <w:tcBorders>
              <w:top w:val="single" w:sz="12" w:space="0" w:color="FFFFFF"/>
              <w:left w:val="nil"/>
              <w:bottom w:val="single" w:sz="4" w:space="0" w:color="FFFFFF"/>
              <w:right w:val="single" w:sz="4" w:space="0" w:color="FFFFFF"/>
            </w:tcBorders>
            <w:shd w:val="clear" w:color="DBEEF3" w:fill="auto"/>
            <w:hideMark/>
          </w:tcPr>
          <w:p w14:paraId="0BBC9855" w14:textId="77777777" w:rsidR="00B72F39" w:rsidRDefault="00B72F39" w:rsidP="000E415D">
            <w:pPr>
              <w:spacing w:before="0"/>
              <w:rPr>
                <w:sz w:val="20"/>
              </w:rPr>
            </w:pPr>
            <w:r w:rsidRPr="00D92940">
              <w:rPr>
                <w:sz w:val="20"/>
              </w:rPr>
              <w:t>Not drinking at all in the previous 12 months</w:t>
            </w:r>
          </w:p>
          <w:p w14:paraId="5D2CA5BB" w14:textId="77777777" w:rsidR="00B72F39" w:rsidRPr="00D92940" w:rsidRDefault="00B72F39" w:rsidP="000E415D">
            <w:pPr>
              <w:spacing w:before="0"/>
              <w:rPr>
                <w:color w:val="000000"/>
                <w:sz w:val="20"/>
              </w:rPr>
            </w:pPr>
          </w:p>
        </w:tc>
        <w:tc>
          <w:tcPr>
            <w:tcW w:w="3544" w:type="dxa"/>
            <w:tcBorders>
              <w:top w:val="single" w:sz="12" w:space="0" w:color="FFFFFF"/>
              <w:left w:val="nil"/>
              <w:bottom w:val="single" w:sz="4" w:space="0" w:color="FFFFFF"/>
              <w:right w:val="nil"/>
            </w:tcBorders>
            <w:shd w:val="clear" w:color="DBEEF3" w:fill="auto"/>
            <w:hideMark/>
          </w:tcPr>
          <w:p w14:paraId="14DEE143" w14:textId="77777777" w:rsidR="00B72F39" w:rsidRPr="009F2501" w:rsidRDefault="00B72F39" w:rsidP="000E415D">
            <w:pPr>
              <w:spacing w:before="0"/>
              <w:rPr>
                <w:color w:val="000000"/>
                <w:sz w:val="20"/>
              </w:rPr>
            </w:pPr>
            <w:r w:rsidRPr="00D92940">
              <w:rPr>
                <w:sz w:val="20"/>
              </w:rPr>
              <w:t>Not drinking at all in the previous 12 months</w:t>
            </w:r>
          </w:p>
        </w:tc>
      </w:tr>
      <w:tr w:rsidR="00B72F39" w:rsidRPr="009F2501" w14:paraId="43E98491" w14:textId="77777777" w:rsidTr="000E415D">
        <w:trPr>
          <w:trHeight w:val="314"/>
        </w:trPr>
        <w:tc>
          <w:tcPr>
            <w:tcW w:w="3275" w:type="dxa"/>
            <w:tcBorders>
              <w:top w:val="single" w:sz="4" w:space="0" w:color="FFFFFF"/>
              <w:left w:val="nil"/>
              <w:bottom w:val="single" w:sz="4" w:space="0" w:color="FFFFFF"/>
              <w:right w:val="single" w:sz="4" w:space="0" w:color="FFFFFF"/>
            </w:tcBorders>
            <w:shd w:val="clear" w:color="DBEEF3" w:fill="auto"/>
            <w:hideMark/>
          </w:tcPr>
          <w:p w14:paraId="1F25A648" w14:textId="77777777" w:rsidR="00B72F39" w:rsidRPr="009F2501" w:rsidRDefault="00B72F39" w:rsidP="000E415D">
            <w:pPr>
              <w:spacing w:before="0"/>
              <w:rPr>
                <w:color w:val="000000"/>
                <w:sz w:val="20"/>
              </w:rPr>
            </w:pPr>
            <w:r>
              <w:rPr>
                <w:color w:val="000000"/>
                <w:sz w:val="20"/>
              </w:rPr>
              <w:t>Drinking above guidelines</w:t>
            </w:r>
          </w:p>
        </w:tc>
        <w:tc>
          <w:tcPr>
            <w:tcW w:w="3685" w:type="dxa"/>
            <w:tcBorders>
              <w:top w:val="single" w:sz="4" w:space="0" w:color="FFFFFF"/>
              <w:left w:val="nil"/>
              <w:bottom w:val="single" w:sz="4" w:space="0" w:color="FFFFFF"/>
              <w:right w:val="single" w:sz="4" w:space="0" w:color="FFFFFF"/>
            </w:tcBorders>
            <w:shd w:val="clear" w:color="DBEEF3" w:fill="auto"/>
            <w:hideMark/>
          </w:tcPr>
          <w:p w14:paraId="0268EC14" w14:textId="77777777" w:rsidR="00B72F39" w:rsidRDefault="00B72F39" w:rsidP="000E415D">
            <w:pPr>
              <w:spacing w:before="0"/>
              <w:rPr>
                <w:color w:val="000000"/>
                <w:sz w:val="20"/>
              </w:rPr>
            </w:pPr>
            <w:r>
              <w:rPr>
                <w:color w:val="000000"/>
                <w:sz w:val="20"/>
              </w:rPr>
              <w:t>Drinking more than 3-4 units on the heaviest drinking day in the previous week</w:t>
            </w:r>
          </w:p>
          <w:p w14:paraId="0E357F87" w14:textId="77777777" w:rsidR="00B72F39" w:rsidRPr="009F2501" w:rsidRDefault="00B72F39" w:rsidP="000E415D">
            <w:pPr>
              <w:spacing w:before="0"/>
              <w:rPr>
                <w:color w:val="000000"/>
                <w:sz w:val="20"/>
              </w:rPr>
            </w:pPr>
          </w:p>
        </w:tc>
        <w:tc>
          <w:tcPr>
            <w:tcW w:w="3544" w:type="dxa"/>
            <w:tcBorders>
              <w:top w:val="single" w:sz="4" w:space="0" w:color="FFFFFF"/>
              <w:left w:val="nil"/>
              <w:bottom w:val="single" w:sz="4" w:space="0" w:color="FFFFFF"/>
              <w:right w:val="nil"/>
            </w:tcBorders>
            <w:shd w:val="clear" w:color="DBEEF3" w:fill="auto"/>
            <w:hideMark/>
          </w:tcPr>
          <w:p w14:paraId="356A23BB" w14:textId="77777777" w:rsidR="00B72F39" w:rsidRPr="009F2501" w:rsidRDefault="00B72F39" w:rsidP="000E415D">
            <w:pPr>
              <w:spacing w:before="0"/>
              <w:rPr>
                <w:color w:val="000000"/>
                <w:sz w:val="20"/>
              </w:rPr>
            </w:pPr>
            <w:r>
              <w:rPr>
                <w:color w:val="000000"/>
                <w:sz w:val="20"/>
              </w:rPr>
              <w:t>Drinking more than 2-3 units on the heaviest drinking day in the previous week</w:t>
            </w:r>
          </w:p>
        </w:tc>
      </w:tr>
      <w:tr w:rsidR="00B72F39" w:rsidRPr="009F2501" w14:paraId="2B6543D4" w14:textId="77777777" w:rsidTr="000E415D">
        <w:trPr>
          <w:trHeight w:val="314"/>
        </w:trPr>
        <w:tc>
          <w:tcPr>
            <w:tcW w:w="3275" w:type="dxa"/>
            <w:tcBorders>
              <w:top w:val="single" w:sz="4" w:space="0" w:color="FFFFFF"/>
              <w:left w:val="nil"/>
              <w:bottom w:val="single" w:sz="4" w:space="0" w:color="FFFFFF"/>
              <w:right w:val="single" w:sz="4" w:space="0" w:color="FFFFFF"/>
            </w:tcBorders>
            <w:shd w:val="clear" w:color="DBEEF3" w:fill="auto"/>
            <w:hideMark/>
          </w:tcPr>
          <w:p w14:paraId="708F7B06" w14:textId="77777777" w:rsidR="00B72F39" w:rsidRPr="009F2501" w:rsidRDefault="00B72F39" w:rsidP="000E415D">
            <w:pPr>
              <w:spacing w:before="0"/>
              <w:rPr>
                <w:color w:val="000000"/>
                <w:sz w:val="20"/>
              </w:rPr>
            </w:pPr>
            <w:r>
              <w:rPr>
                <w:color w:val="000000"/>
                <w:sz w:val="20"/>
              </w:rPr>
              <w:t>Heavy (binge) drinking</w:t>
            </w:r>
          </w:p>
        </w:tc>
        <w:tc>
          <w:tcPr>
            <w:tcW w:w="3685" w:type="dxa"/>
            <w:tcBorders>
              <w:top w:val="single" w:sz="4" w:space="0" w:color="FFFFFF"/>
              <w:left w:val="nil"/>
              <w:bottom w:val="single" w:sz="4" w:space="0" w:color="FFFFFF"/>
              <w:right w:val="single" w:sz="4" w:space="0" w:color="FFFFFF"/>
            </w:tcBorders>
            <w:shd w:val="clear" w:color="DBEEF3" w:fill="auto"/>
            <w:hideMark/>
          </w:tcPr>
          <w:p w14:paraId="4B6F98E7" w14:textId="77777777" w:rsidR="00B72F39" w:rsidRDefault="00B72F39" w:rsidP="000E415D">
            <w:pPr>
              <w:spacing w:before="0"/>
              <w:rPr>
                <w:color w:val="000000"/>
                <w:sz w:val="20"/>
              </w:rPr>
            </w:pPr>
            <w:r>
              <w:rPr>
                <w:color w:val="000000"/>
                <w:sz w:val="20"/>
              </w:rPr>
              <w:t>Drinking more than 8 units on the heaviest drinking day in the previous week</w:t>
            </w:r>
          </w:p>
          <w:p w14:paraId="1349BC59" w14:textId="77777777" w:rsidR="00B72F39" w:rsidRPr="009F2501" w:rsidRDefault="00B72F39" w:rsidP="000E415D">
            <w:pPr>
              <w:spacing w:before="0"/>
              <w:rPr>
                <w:color w:val="000000"/>
                <w:sz w:val="20"/>
              </w:rPr>
            </w:pPr>
          </w:p>
        </w:tc>
        <w:tc>
          <w:tcPr>
            <w:tcW w:w="3544" w:type="dxa"/>
            <w:tcBorders>
              <w:top w:val="single" w:sz="4" w:space="0" w:color="FFFFFF"/>
              <w:left w:val="nil"/>
              <w:bottom w:val="single" w:sz="4" w:space="0" w:color="FFFFFF"/>
              <w:right w:val="nil"/>
            </w:tcBorders>
            <w:shd w:val="clear" w:color="DBEEF3" w:fill="auto"/>
            <w:hideMark/>
          </w:tcPr>
          <w:p w14:paraId="0ECB616D" w14:textId="77777777" w:rsidR="00B72F39" w:rsidRPr="009F2501" w:rsidRDefault="00B72F39" w:rsidP="000E415D">
            <w:pPr>
              <w:spacing w:before="0"/>
              <w:rPr>
                <w:color w:val="000000"/>
                <w:sz w:val="20"/>
              </w:rPr>
            </w:pPr>
            <w:r>
              <w:rPr>
                <w:color w:val="000000"/>
                <w:sz w:val="20"/>
              </w:rPr>
              <w:t>Drinking more than 6 units on the heaviest drinking day in the previous week</w:t>
            </w:r>
          </w:p>
        </w:tc>
      </w:tr>
      <w:tr w:rsidR="00B72F39" w:rsidRPr="009F2501" w14:paraId="1A3AEC24" w14:textId="77777777" w:rsidTr="000E415D">
        <w:trPr>
          <w:trHeight w:val="698"/>
        </w:trPr>
        <w:tc>
          <w:tcPr>
            <w:tcW w:w="3275" w:type="dxa"/>
            <w:tcBorders>
              <w:top w:val="single" w:sz="4" w:space="0" w:color="FFFFFF"/>
              <w:left w:val="nil"/>
              <w:bottom w:val="single" w:sz="4" w:space="0" w:color="FFFFFF"/>
              <w:right w:val="single" w:sz="4" w:space="0" w:color="FFFFFF"/>
            </w:tcBorders>
            <w:shd w:val="clear" w:color="DBEEF3" w:fill="auto"/>
            <w:hideMark/>
          </w:tcPr>
          <w:p w14:paraId="66E7DC74" w14:textId="77777777" w:rsidR="00B72F39" w:rsidRPr="009F2501" w:rsidRDefault="00B72F39" w:rsidP="000E415D">
            <w:pPr>
              <w:spacing w:before="0"/>
              <w:rPr>
                <w:color w:val="000000"/>
                <w:sz w:val="20"/>
              </w:rPr>
            </w:pPr>
            <w:r>
              <w:rPr>
                <w:color w:val="000000"/>
                <w:sz w:val="20"/>
              </w:rPr>
              <w:t xml:space="preserve">Very heavy drinking </w:t>
            </w:r>
          </w:p>
        </w:tc>
        <w:tc>
          <w:tcPr>
            <w:tcW w:w="3685" w:type="dxa"/>
            <w:tcBorders>
              <w:top w:val="single" w:sz="4" w:space="0" w:color="FFFFFF"/>
              <w:left w:val="nil"/>
              <w:bottom w:val="single" w:sz="4" w:space="0" w:color="FFFFFF"/>
              <w:right w:val="single" w:sz="4" w:space="0" w:color="FFFFFF"/>
            </w:tcBorders>
            <w:shd w:val="clear" w:color="DBEEF3" w:fill="auto"/>
            <w:hideMark/>
          </w:tcPr>
          <w:p w14:paraId="68013012" w14:textId="77777777" w:rsidR="00B72F39" w:rsidRPr="009F2501" w:rsidRDefault="00B72F39" w:rsidP="000E415D">
            <w:pPr>
              <w:spacing w:before="0"/>
              <w:rPr>
                <w:color w:val="000000"/>
                <w:sz w:val="20"/>
              </w:rPr>
            </w:pPr>
            <w:r>
              <w:rPr>
                <w:color w:val="000000"/>
                <w:sz w:val="20"/>
              </w:rPr>
              <w:t>Drinking more than 12 units on the heaviest drinking day in the previous week</w:t>
            </w:r>
          </w:p>
        </w:tc>
        <w:tc>
          <w:tcPr>
            <w:tcW w:w="3544" w:type="dxa"/>
            <w:tcBorders>
              <w:top w:val="single" w:sz="4" w:space="0" w:color="FFFFFF"/>
              <w:left w:val="nil"/>
              <w:bottom w:val="single" w:sz="4" w:space="0" w:color="FFFFFF"/>
              <w:right w:val="nil"/>
            </w:tcBorders>
            <w:shd w:val="clear" w:color="DBEEF3" w:fill="auto"/>
            <w:hideMark/>
          </w:tcPr>
          <w:p w14:paraId="109E0BE4" w14:textId="77777777" w:rsidR="00B72F39" w:rsidRPr="009F2501" w:rsidRDefault="00B72F39" w:rsidP="000E415D">
            <w:pPr>
              <w:spacing w:before="0"/>
              <w:rPr>
                <w:color w:val="000000"/>
                <w:sz w:val="20"/>
              </w:rPr>
            </w:pPr>
            <w:r>
              <w:rPr>
                <w:color w:val="000000"/>
                <w:sz w:val="20"/>
              </w:rPr>
              <w:t>Drinking more than 9 units on the heaviest drinking day in the previous week</w:t>
            </w:r>
          </w:p>
        </w:tc>
      </w:tr>
    </w:tbl>
    <w:p w14:paraId="6181F166" w14:textId="0197B20B" w:rsidR="00AB6FA3" w:rsidRDefault="007465D8">
      <w:pPr>
        <w:spacing w:before="0"/>
        <w:jc w:val="left"/>
      </w:pPr>
      <w:r>
        <w:rPr>
          <w:noProof/>
        </w:rPr>
        <mc:AlternateContent>
          <mc:Choice Requires="wps">
            <w:drawing>
              <wp:anchor distT="0" distB="0" distL="114300" distR="114300" simplePos="0" relativeHeight="251720704" behindDoc="0" locked="0" layoutInCell="1" allowOverlap="1" wp14:anchorId="044B16AC" wp14:editId="427E47DD">
                <wp:simplePos x="0" y="0"/>
                <wp:positionH relativeFrom="column">
                  <wp:posOffset>51435</wp:posOffset>
                </wp:positionH>
                <wp:positionV relativeFrom="paragraph">
                  <wp:posOffset>242570</wp:posOffset>
                </wp:positionV>
                <wp:extent cx="6558915" cy="0"/>
                <wp:effectExtent l="13335" t="8890" r="9525" b="10160"/>
                <wp:wrapNone/>
                <wp:docPr id="305" name="AutoShape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8915" cy="0"/>
                        </a:xfrm>
                        <a:prstGeom prst="straightConnector1">
                          <a:avLst/>
                        </a:prstGeom>
                        <a:noFill/>
                        <a:ln w="12700">
                          <a:solidFill>
                            <a:srgbClr val="629FC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8F71FB" id="AutoShape 243" o:spid="_x0000_s1026" type="#_x0000_t32" style="position:absolute;margin-left:4.05pt;margin-top:19.1pt;width:516.45pt;height: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" strokecolor="#629fc2" strokeweight="1pt"/>
            </w:pict>
          </mc:Fallback>
        </mc:AlternateContent>
      </w:r>
      <w:r w:rsidR="00AB6FA3">
        <w:br w:type="page"/>
      </w:r>
    </w:p>
    <w:p w14:paraId="5116CB77" w14:textId="77777777" w:rsidR="00550A22" w:rsidRDefault="002E3483" w:rsidP="00550A22">
      <w:pPr>
        <w:pStyle w:val="Heading1"/>
      </w:pPr>
      <w:bookmarkStart w:id="15" w:name="_Toc400007266"/>
      <w:r>
        <w:lastRenderedPageBreak/>
        <w:t xml:space="preserve"> </w:t>
      </w:r>
      <w:r w:rsidR="00550A22">
        <w:t>Patterns of drinking</w:t>
      </w:r>
      <w:bookmarkEnd w:id="15"/>
      <w:r w:rsidR="00550A22">
        <w:t xml:space="preserve"> </w:t>
      </w:r>
    </w:p>
    <w:p w14:paraId="72888645" w14:textId="77777777" w:rsidR="00550A22" w:rsidRPr="00550A22" w:rsidRDefault="00550A22" w:rsidP="00550A22"/>
    <w:p w14:paraId="7A93F06F" w14:textId="77777777" w:rsidR="00550A22" w:rsidRPr="0052430A" w:rsidRDefault="00550A22" w:rsidP="00550A22">
      <w:pPr>
        <w:rPr>
          <w:szCs w:val="24"/>
        </w:rPr>
      </w:pPr>
      <w:r>
        <w:rPr>
          <w:szCs w:val="24"/>
        </w:rPr>
        <w:t>D</w:t>
      </w:r>
      <w:r w:rsidRPr="0052430A">
        <w:rPr>
          <w:szCs w:val="24"/>
        </w:rPr>
        <w:t>rinking patterns in this report come from surveys which ask a sample of the population about their drinking habits. These results are then used as an estimate of</w:t>
      </w:r>
      <w:r>
        <w:rPr>
          <w:szCs w:val="24"/>
        </w:rPr>
        <w:t xml:space="preserve"> the</w:t>
      </w:r>
      <w:r w:rsidRPr="0052430A">
        <w:rPr>
          <w:szCs w:val="24"/>
        </w:rPr>
        <w:t xml:space="preserve"> drinking patterns </w:t>
      </w:r>
      <w:r>
        <w:rPr>
          <w:szCs w:val="24"/>
        </w:rPr>
        <w:t>of</w:t>
      </w:r>
      <w:r w:rsidRPr="0052430A">
        <w:rPr>
          <w:szCs w:val="24"/>
        </w:rPr>
        <w:t xml:space="preserve"> the population. The main </w:t>
      </w:r>
      <w:r>
        <w:rPr>
          <w:szCs w:val="24"/>
        </w:rPr>
        <w:t xml:space="preserve">source </w:t>
      </w:r>
      <w:r w:rsidRPr="0052430A">
        <w:rPr>
          <w:szCs w:val="24"/>
        </w:rPr>
        <w:t>is the</w:t>
      </w:r>
      <w:r>
        <w:rPr>
          <w:szCs w:val="24"/>
        </w:rPr>
        <w:t xml:space="preserve"> annual</w:t>
      </w:r>
      <w:r w:rsidRPr="0052430A">
        <w:rPr>
          <w:szCs w:val="24"/>
        </w:rPr>
        <w:t xml:space="preserve"> Welsh Health Survey, which asks around 15,000 residents in Wales about their health and lifestyle choices. </w:t>
      </w:r>
    </w:p>
    <w:p w14:paraId="187BDDC5" w14:textId="77777777" w:rsidR="00550A22" w:rsidRPr="0052430A" w:rsidRDefault="00550A22" w:rsidP="00550A22">
      <w:pPr>
        <w:rPr>
          <w:szCs w:val="24"/>
        </w:rPr>
      </w:pPr>
      <w:r w:rsidRPr="0052430A">
        <w:rPr>
          <w:szCs w:val="24"/>
        </w:rPr>
        <w:t>Another survey is the Opinions and Lifestyle Survey (OPN), run by</w:t>
      </w:r>
      <w:r>
        <w:rPr>
          <w:szCs w:val="24"/>
        </w:rPr>
        <w:t xml:space="preserve"> the</w:t>
      </w:r>
      <w:r w:rsidR="00F66AAE">
        <w:rPr>
          <w:szCs w:val="24"/>
        </w:rPr>
        <w:t xml:space="preserve"> </w:t>
      </w:r>
      <w:r w:rsidR="00F66AAE" w:rsidRPr="0000586B">
        <w:rPr>
          <w:szCs w:val="24"/>
        </w:rPr>
        <w:t>ONS (former</w:t>
      </w:r>
      <w:r w:rsidRPr="0000586B">
        <w:rPr>
          <w:szCs w:val="24"/>
        </w:rPr>
        <w:t>ly</w:t>
      </w:r>
      <w:r w:rsidRPr="0052430A">
        <w:rPr>
          <w:szCs w:val="24"/>
        </w:rPr>
        <w:t xml:space="preserve"> called the General Household Survey), which covers adults in England, Scotland and Wales, and allows comparisons across Great Britain.</w:t>
      </w:r>
    </w:p>
    <w:p w14:paraId="62F78364" w14:textId="77777777" w:rsidR="00550A22" w:rsidRPr="0052430A" w:rsidRDefault="00550A22" w:rsidP="00550A22">
      <w:pPr>
        <w:autoSpaceDE w:val="0"/>
        <w:autoSpaceDN w:val="0"/>
        <w:adjustRightInd w:val="0"/>
        <w:spacing w:before="0"/>
        <w:jc w:val="left"/>
        <w:rPr>
          <w:szCs w:val="24"/>
        </w:rPr>
      </w:pPr>
    </w:p>
    <w:p w14:paraId="4C786F57" w14:textId="77777777" w:rsidR="00550A22" w:rsidRPr="002E4F27" w:rsidRDefault="00550A22" w:rsidP="00C355BD">
      <w:pPr>
        <w:autoSpaceDE w:val="0"/>
        <w:autoSpaceDN w:val="0"/>
        <w:adjustRightInd w:val="0"/>
        <w:spacing w:before="0"/>
        <w:rPr>
          <w:szCs w:val="24"/>
        </w:rPr>
      </w:pPr>
      <w:r w:rsidRPr="00FF1F44">
        <w:rPr>
          <w:szCs w:val="24"/>
        </w:rPr>
        <w:t xml:space="preserve">Further information on these surveys can be found in </w:t>
      </w:r>
      <w:r>
        <w:rPr>
          <w:szCs w:val="24"/>
        </w:rPr>
        <w:t>the technical guide that accompan</w:t>
      </w:r>
      <w:r w:rsidR="00165764">
        <w:rPr>
          <w:szCs w:val="24"/>
        </w:rPr>
        <w:t>ies this publication (see inside cover</w:t>
      </w:r>
      <w:r>
        <w:rPr>
          <w:szCs w:val="24"/>
        </w:rPr>
        <w:t>)</w:t>
      </w:r>
      <w:r w:rsidRPr="00FF1F44">
        <w:rPr>
          <w:szCs w:val="24"/>
        </w:rPr>
        <w:t>. Additionally, socio</w:t>
      </w:r>
      <w:r w:rsidR="000C327A">
        <w:rPr>
          <w:szCs w:val="24"/>
        </w:rPr>
        <w:t>-</w:t>
      </w:r>
      <w:r w:rsidRPr="00FF1F44">
        <w:rPr>
          <w:szCs w:val="24"/>
        </w:rPr>
        <w:t>economic patterns of alcohol consumption are discussed in Section 6.</w:t>
      </w:r>
    </w:p>
    <w:p w14:paraId="4354388B" w14:textId="77777777" w:rsidR="00550A22" w:rsidRPr="00AA61A7" w:rsidRDefault="00550A22" w:rsidP="00550A22">
      <w:pPr>
        <w:pStyle w:val="Heading2"/>
      </w:pPr>
      <w:bookmarkStart w:id="16" w:name="_Toc399249125"/>
      <w:bookmarkStart w:id="17" w:name="_Toc399252937"/>
      <w:bookmarkStart w:id="18" w:name="_Toc400007267"/>
      <w:r w:rsidRPr="00AA61A7">
        <w:t>Drinking in children and young people</w:t>
      </w:r>
      <w:bookmarkEnd w:id="16"/>
      <w:bookmarkEnd w:id="17"/>
      <w:bookmarkEnd w:id="18"/>
    </w:p>
    <w:p w14:paraId="110A0178" w14:textId="77777777" w:rsidR="00550A22" w:rsidRDefault="00550A22" w:rsidP="00550A22">
      <w:pPr>
        <w:autoSpaceDE w:val="0"/>
        <w:autoSpaceDN w:val="0"/>
        <w:adjustRightInd w:val="0"/>
        <w:spacing w:before="0"/>
        <w:jc w:val="left"/>
        <w:rPr>
          <w:szCs w:val="24"/>
        </w:rPr>
      </w:pPr>
    </w:p>
    <w:p w14:paraId="47E70B52" w14:textId="77777777" w:rsidR="00550A22" w:rsidRDefault="00550A22" w:rsidP="00C355BD">
      <w:pPr>
        <w:autoSpaceDE w:val="0"/>
        <w:autoSpaceDN w:val="0"/>
        <w:adjustRightInd w:val="0"/>
        <w:spacing w:before="0"/>
        <w:rPr>
          <w:szCs w:val="24"/>
        </w:rPr>
      </w:pPr>
      <w:r>
        <w:rPr>
          <w:szCs w:val="24"/>
        </w:rPr>
        <w:t>Drinking alcohol can damage a child’s health. It is recommend</w:t>
      </w:r>
      <w:r w:rsidR="0021734B">
        <w:rPr>
          <w:szCs w:val="24"/>
        </w:rPr>
        <w:t>ed</w:t>
      </w:r>
      <w:r>
        <w:rPr>
          <w:szCs w:val="24"/>
        </w:rPr>
        <w:t xml:space="preserve"> that children do not drink alcohol, however if children do drink alcohol, they should not do so until they are at least 15 years old</w:t>
      </w:r>
      <w:r w:rsidRPr="00F2205F">
        <w:rPr>
          <w:szCs w:val="24"/>
          <w:vertAlign w:val="superscript"/>
        </w:rPr>
        <w:t>7</w:t>
      </w:r>
      <w:r>
        <w:rPr>
          <w:szCs w:val="24"/>
        </w:rPr>
        <w:t>.</w:t>
      </w:r>
      <w:r w:rsidRPr="00F2205F">
        <w:rPr>
          <w:szCs w:val="24"/>
        </w:rPr>
        <w:t xml:space="preserve"> </w:t>
      </w:r>
    </w:p>
    <w:p w14:paraId="05AA2182" w14:textId="2DC733B9" w:rsidR="00550A22" w:rsidRDefault="007465D8" w:rsidP="00C355BD">
      <w:pPr>
        <w:autoSpaceDE w:val="0"/>
        <w:autoSpaceDN w:val="0"/>
        <w:adjustRightInd w:val="0"/>
        <w:spacing w:before="0"/>
        <w:rPr>
          <w:szCs w:val="24"/>
        </w:rPr>
      </w:pPr>
      <w:r>
        <w:rPr>
          <w:noProof/>
          <w:szCs w:val="24"/>
        </w:rPr>
        <mc:AlternateContent>
          <mc:Choice Requires="wps">
            <w:drawing>
              <wp:anchor distT="0" distB="0" distL="114300" distR="114300" simplePos="0" relativeHeight="251672576" behindDoc="1" locked="0" layoutInCell="1" allowOverlap="1" wp14:anchorId="4FB1647A" wp14:editId="4CF6A93C">
                <wp:simplePos x="0" y="0"/>
                <wp:positionH relativeFrom="column">
                  <wp:posOffset>4943475</wp:posOffset>
                </wp:positionH>
                <wp:positionV relativeFrom="paragraph">
                  <wp:posOffset>154305</wp:posOffset>
                </wp:positionV>
                <wp:extent cx="1676400" cy="2419350"/>
                <wp:effectExtent l="0" t="0" r="0" b="3810"/>
                <wp:wrapSquare wrapText="bothSides"/>
                <wp:docPr id="304"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2419350"/>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35D54A" w14:textId="77777777" w:rsidR="0021734B" w:rsidRDefault="0021734B" w:rsidP="00A81195">
                            <w:pPr>
                              <w:spacing w:before="0"/>
                              <w:rPr>
                                <w:i/>
                                <w:color w:val="5D9D91"/>
                                <w:sz w:val="36"/>
                              </w:rPr>
                            </w:pPr>
                            <w:r>
                              <w:rPr>
                                <w:i/>
                                <w:noProof/>
                                <w:color w:val="5D9D91"/>
                                <w:sz w:val="36"/>
                              </w:rPr>
                              <w:drawing>
                                <wp:inline distT="0" distB="0" distL="0" distR="0" wp14:anchorId="2B0F95A8" wp14:editId="0FED245A">
                                  <wp:extent cx="390525" cy="333375"/>
                                  <wp:effectExtent l="19050" t="0" r="9525" b="0"/>
                                  <wp:docPr id="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4344260A" w14:textId="77777777" w:rsidR="0021734B" w:rsidRPr="001C745D" w:rsidRDefault="0021734B" w:rsidP="00A81195">
                            <w:pPr>
                              <w:spacing w:before="0"/>
                              <w:rPr>
                                <w:i/>
                                <w:color w:val="5D9D91"/>
                                <w:sz w:val="6"/>
                              </w:rPr>
                            </w:pPr>
                          </w:p>
                          <w:p w14:paraId="28742348" w14:textId="77777777" w:rsidR="0021734B" w:rsidRPr="007A1EB4" w:rsidRDefault="0021734B" w:rsidP="00A81195">
                            <w:pPr>
                              <w:spacing w:before="0" w:line="228" w:lineRule="auto"/>
                              <w:ind w:left="142" w:right="28"/>
                              <w:contextualSpacing/>
                              <w:jc w:val="left"/>
                              <w:rPr>
                                <w:rFonts w:ascii="Arial Black" w:hAnsi="Arial Black"/>
                                <w:i/>
                                <w:color w:val="629FC2"/>
                                <w:spacing w:val="-14"/>
                                <w:szCs w:val="20"/>
                              </w:rPr>
                            </w:pPr>
                            <w:r w:rsidRPr="007A1EB4">
                              <w:rPr>
                                <w:i/>
                                <w:color w:val="629FC2"/>
                                <w:spacing w:val="-14"/>
                                <w:szCs w:val="20"/>
                              </w:rPr>
                              <w:t>…</w:t>
                            </w:r>
                            <w:r>
                              <w:rPr>
                                <w:i/>
                                <w:color w:val="629FC2"/>
                                <w:spacing w:val="-14"/>
                                <w:szCs w:val="20"/>
                              </w:rPr>
                              <w:t>Drinking in children and young people remains a concern with 17% of males and 14% of females aged 11-16 in Wales drinking alcohol at least once a week. This is higher than in Scotland, Ireland and England and the survey average</w:t>
                            </w:r>
                            <w:r w:rsidRPr="007A1EB4">
                              <w:rPr>
                                <w:i/>
                                <w:color w:val="629FC2"/>
                                <w:spacing w:val="-14"/>
                                <w:szCs w:val="20"/>
                              </w:rPr>
                              <w:t xml:space="preserve"> ...</w:t>
                            </w:r>
                            <w:r w:rsidRPr="007A1EB4">
                              <w:rPr>
                                <w:rFonts w:ascii="Arial Black" w:hAnsi="Arial Black"/>
                                <w:i/>
                                <w:color w:val="629FC2"/>
                                <w:spacing w:val="-14"/>
                                <w:szCs w:val="20"/>
                              </w:rPr>
                              <w:t>”</w:t>
                            </w:r>
                          </w:p>
                          <w:p w14:paraId="0A7A3CE1" w14:textId="77777777" w:rsidR="0021734B" w:rsidRPr="002D6AA2" w:rsidRDefault="0021734B" w:rsidP="00A81195">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B1647A" id="Text Box 103" o:spid="_x0000_s1028" type="#_x0000_t202" style="position:absolute;left:0;text-align:left;margin-left:389.25pt;margin-top:12.15pt;width:132pt;height:190.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" filled="f" fillcolor="#31849b [2408]" stroked="f">
                <v:textbox>
                  <w:txbxContent>
                    <w:p w14:paraId="0335D54A" w14:textId="77777777" w:rsidR="0021734B" w:rsidRDefault="0021734B" w:rsidP="00A81195">
                      <w:pPr>
                        <w:spacing w:before="0"/>
                        <w:rPr>
                          <w:i/>
                          <w:color w:val="5D9D91"/>
                          <w:sz w:val="36"/>
                        </w:rPr>
                      </w:pPr>
                      <w:r>
                        <w:rPr>
                          <w:i/>
                          <w:noProof/>
                          <w:color w:val="5D9D91"/>
                          <w:sz w:val="36"/>
                        </w:rPr>
                        <w:drawing>
                          <wp:inline distT="0" distB="0" distL="0" distR="0" wp14:anchorId="2B0F95A8" wp14:editId="0FED245A">
                            <wp:extent cx="390525" cy="333375"/>
                            <wp:effectExtent l="19050" t="0" r="9525" b="0"/>
                            <wp:docPr id="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4344260A" w14:textId="77777777" w:rsidR="0021734B" w:rsidRPr="001C745D" w:rsidRDefault="0021734B" w:rsidP="00A81195">
                      <w:pPr>
                        <w:spacing w:before="0"/>
                        <w:rPr>
                          <w:i/>
                          <w:color w:val="5D9D91"/>
                          <w:sz w:val="6"/>
                        </w:rPr>
                      </w:pPr>
                    </w:p>
                    <w:p w14:paraId="28742348" w14:textId="77777777" w:rsidR="0021734B" w:rsidRPr="007A1EB4" w:rsidRDefault="0021734B" w:rsidP="00A81195">
                      <w:pPr>
                        <w:spacing w:before="0" w:line="228" w:lineRule="auto"/>
                        <w:ind w:left="142" w:right="28"/>
                        <w:contextualSpacing/>
                        <w:jc w:val="left"/>
                        <w:rPr>
                          <w:rFonts w:ascii="Arial Black" w:hAnsi="Arial Black"/>
                          <w:i/>
                          <w:color w:val="629FC2"/>
                          <w:spacing w:val="-14"/>
                          <w:szCs w:val="20"/>
                        </w:rPr>
                      </w:pPr>
                      <w:r w:rsidRPr="007A1EB4">
                        <w:rPr>
                          <w:i/>
                          <w:color w:val="629FC2"/>
                          <w:spacing w:val="-14"/>
                          <w:szCs w:val="20"/>
                        </w:rPr>
                        <w:t>…</w:t>
                      </w:r>
                      <w:r>
                        <w:rPr>
                          <w:i/>
                          <w:color w:val="629FC2"/>
                          <w:spacing w:val="-14"/>
                          <w:szCs w:val="20"/>
                        </w:rPr>
                        <w:t>Drinking in children and young people remains a concern with 17% of males and 14% of females aged 11-16 in Wales drinking alcohol at least once a week. This is higher than in Scotland, Ireland and England and the survey average</w:t>
                      </w:r>
                      <w:r w:rsidRPr="007A1EB4">
                        <w:rPr>
                          <w:i/>
                          <w:color w:val="629FC2"/>
                          <w:spacing w:val="-14"/>
                          <w:szCs w:val="20"/>
                        </w:rPr>
                        <w:t xml:space="preserve"> ...</w:t>
                      </w:r>
                      <w:r w:rsidRPr="007A1EB4">
                        <w:rPr>
                          <w:rFonts w:ascii="Arial Black" w:hAnsi="Arial Black"/>
                          <w:i/>
                          <w:color w:val="629FC2"/>
                          <w:spacing w:val="-14"/>
                          <w:szCs w:val="20"/>
                        </w:rPr>
                        <w:t>”</w:t>
                      </w:r>
                    </w:p>
                    <w:p w14:paraId="0A7A3CE1" w14:textId="77777777" w:rsidR="0021734B" w:rsidRPr="002D6AA2" w:rsidRDefault="0021734B" w:rsidP="00A81195">
                      <w:pPr>
                        <w:spacing w:before="0"/>
                        <w:ind w:left="142" w:right="27"/>
                        <w:rPr>
                          <w:i/>
                          <w:color w:val="5D9D91"/>
                          <w:sz w:val="20"/>
                          <w:szCs w:val="20"/>
                        </w:rPr>
                      </w:pPr>
                    </w:p>
                  </w:txbxContent>
                </v:textbox>
                <w10:wrap type="square"/>
              </v:shape>
            </w:pict>
          </mc:Fallback>
        </mc:AlternateContent>
      </w:r>
    </w:p>
    <w:p w14:paraId="6AD42E19" w14:textId="77777777" w:rsidR="00550A22" w:rsidRDefault="00550A22" w:rsidP="00C355BD">
      <w:pPr>
        <w:autoSpaceDE w:val="0"/>
        <w:autoSpaceDN w:val="0"/>
        <w:adjustRightInd w:val="0"/>
        <w:spacing w:before="0"/>
        <w:rPr>
          <w:szCs w:val="24"/>
        </w:rPr>
      </w:pPr>
      <w:r>
        <w:rPr>
          <w:szCs w:val="24"/>
        </w:rPr>
        <w:t xml:space="preserve">Drinking in children and young people remains of concern with </w:t>
      </w:r>
      <w:r w:rsidRPr="00EB4C9B">
        <w:rPr>
          <w:szCs w:val="24"/>
        </w:rPr>
        <w:t xml:space="preserve">17% </w:t>
      </w:r>
      <w:r>
        <w:rPr>
          <w:szCs w:val="24"/>
        </w:rPr>
        <w:t>of</w:t>
      </w:r>
      <w:r w:rsidRPr="00EB4C9B">
        <w:rPr>
          <w:szCs w:val="24"/>
        </w:rPr>
        <w:t xml:space="preserve"> males</w:t>
      </w:r>
      <w:r>
        <w:rPr>
          <w:szCs w:val="24"/>
        </w:rPr>
        <w:t xml:space="preserve"> and 14% of females</w:t>
      </w:r>
      <w:r w:rsidRPr="00EB4C9B">
        <w:rPr>
          <w:szCs w:val="24"/>
        </w:rPr>
        <w:t xml:space="preserve"> </w:t>
      </w:r>
      <w:r>
        <w:rPr>
          <w:szCs w:val="24"/>
        </w:rPr>
        <w:t>aged 11-16 in Wales drinking</w:t>
      </w:r>
      <w:r w:rsidRPr="00EB4C9B">
        <w:rPr>
          <w:szCs w:val="24"/>
        </w:rPr>
        <w:t xml:space="preserve"> alcohol </w:t>
      </w:r>
      <w:r w:rsidRPr="0000586B">
        <w:rPr>
          <w:szCs w:val="24"/>
        </w:rPr>
        <w:t>at least once a week in 2009/10, the most recent data available</w:t>
      </w:r>
      <w:r w:rsidR="00F66AAE" w:rsidRPr="0000586B">
        <w:rPr>
          <w:szCs w:val="24"/>
        </w:rPr>
        <w:t xml:space="preserve"> (Figure 1)</w:t>
      </w:r>
      <w:r w:rsidRPr="0000586B">
        <w:rPr>
          <w:szCs w:val="24"/>
        </w:rPr>
        <w:t xml:space="preserve">. The Health Behaviour in School-aged Children survey (HBSC) is conducted in 40 countries, including Wales, England and Scotland. The percentages </w:t>
      </w:r>
      <w:r w:rsidR="00DC5723" w:rsidRPr="0000586B">
        <w:rPr>
          <w:szCs w:val="24"/>
        </w:rPr>
        <w:t xml:space="preserve">of young people drinking alcohol at least once a week </w:t>
      </w:r>
      <w:r w:rsidRPr="0000586B">
        <w:rPr>
          <w:szCs w:val="24"/>
        </w:rPr>
        <w:t>are higher in Wales than in Scotland, Ireland, England and the survey average</w:t>
      </w:r>
      <w:r w:rsidR="00DC5723" w:rsidRPr="0000586B">
        <w:rPr>
          <w:szCs w:val="24"/>
        </w:rPr>
        <w:t xml:space="preserve"> for both males and females</w:t>
      </w:r>
      <w:r w:rsidRPr="0000586B">
        <w:rPr>
          <w:szCs w:val="24"/>
        </w:rPr>
        <w:t xml:space="preserve">. </w:t>
      </w:r>
      <w:r w:rsidR="00DC5723" w:rsidRPr="0000586B">
        <w:t>Th</w:t>
      </w:r>
      <w:r w:rsidR="00C355BD">
        <w:t>e</w:t>
      </w:r>
      <w:r w:rsidR="00DC5723" w:rsidRPr="0000586B">
        <w:t xml:space="preserve"> percentage in Wales</w:t>
      </w:r>
      <w:r w:rsidRPr="0000586B">
        <w:t xml:space="preserve"> is twice that of Ireland.</w:t>
      </w:r>
      <w:r w:rsidRPr="0000586B">
        <w:rPr>
          <w:szCs w:val="24"/>
        </w:rPr>
        <w:t xml:space="preserve"> At the health board level, the higher percentages of 11-16 year olds are in Cwm Taf UHB (males and females both 18%) and Aneurin Bevan UHB (males 21% and females 20%).  The largest difference between males and females is in Powys with twice the percentage of males (20%) reporting drinking than females (10%), although this may be the result of bias associated</w:t>
      </w:r>
      <w:r>
        <w:rPr>
          <w:szCs w:val="24"/>
        </w:rPr>
        <w:t xml:space="preserve"> with small numbers of survey respondents.   </w:t>
      </w:r>
    </w:p>
    <w:p w14:paraId="68F965EC" w14:textId="77777777" w:rsidR="00202A25" w:rsidRDefault="00202A25" w:rsidP="00550A22">
      <w:pPr>
        <w:pStyle w:val="BodyText1"/>
      </w:pPr>
    </w:p>
    <w:p w14:paraId="42C7FDDA" w14:textId="77777777" w:rsidR="00202A25" w:rsidRDefault="00202A25" w:rsidP="00550A22">
      <w:pPr>
        <w:pStyle w:val="BodyText1"/>
      </w:pPr>
    </w:p>
    <w:p w14:paraId="0D627C59" w14:textId="77777777" w:rsidR="00202A25" w:rsidRDefault="00202A25" w:rsidP="00550A22">
      <w:pPr>
        <w:pStyle w:val="BodyText1"/>
      </w:pPr>
    </w:p>
    <w:p w14:paraId="1649283E" w14:textId="77777777" w:rsidR="00202A25" w:rsidRDefault="00202A25" w:rsidP="00550A22">
      <w:pPr>
        <w:pStyle w:val="BodyText1"/>
      </w:pPr>
    </w:p>
    <w:p w14:paraId="0F99980F" w14:textId="77777777" w:rsidR="00202A25" w:rsidRDefault="00202A25" w:rsidP="00550A22">
      <w:pPr>
        <w:pStyle w:val="BodyText1"/>
      </w:pPr>
    </w:p>
    <w:p w14:paraId="126B4082" w14:textId="77777777" w:rsidR="00202A25" w:rsidRDefault="00202A25" w:rsidP="00550A22">
      <w:pPr>
        <w:pStyle w:val="BodyText1"/>
      </w:pPr>
    </w:p>
    <w:p w14:paraId="37967286" w14:textId="77777777" w:rsidR="00095BBA" w:rsidRDefault="00095BBA" w:rsidP="00550A22">
      <w:pPr>
        <w:pStyle w:val="BodyText1"/>
      </w:pPr>
    </w:p>
    <w:p w14:paraId="21B45A78" w14:textId="0A440F78" w:rsidR="00095BBA" w:rsidRDefault="007465D8" w:rsidP="00550A22">
      <w:pPr>
        <w:pStyle w:val="BodyText1"/>
      </w:pPr>
      <w:r>
        <w:rPr>
          <w:noProof/>
          <w:color w:val="FFFFFF" w:themeColor="background1"/>
        </w:rPr>
        <mc:AlternateContent>
          <mc:Choice Requires="wpg">
            <w:drawing>
              <wp:anchor distT="0" distB="0" distL="114300" distR="114300" simplePos="0" relativeHeight="251701248" behindDoc="0" locked="0" layoutInCell="1" allowOverlap="1" wp14:anchorId="63688BA9" wp14:editId="35835441">
                <wp:simplePos x="0" y="0"/>
                <wp:positionH relativeFrom="column">
                  <wp:posOffset>-12700</wp:posOffset>
                </wp:positionH>
                <wp:positionV relativeFrom="paragraph">
                  <wp:posOffset>83820</wp:posOffset>
                </wp:positionV>
                <wp:extent cx="5251450" cy="5447030"/>
                <wp:effectExtent l="6350" t="7620" r="9525" b="12700"/>
                <wp:wrapNone/>
                <wp:docPr id="301" name="Group 1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1450" cy="5447030"/>
                          <a:chOff x="1855" y="1977"/>
                          <a:chExt cx="8270" cy="8677"/>
                        </a:xfrm>
                      </wpg:grpSpPr>
                      <wps:wsp>
                        <wps:cNvPr id="302" name="Text Box 180"/>
                        <wps:cNvSpPr txBox="1">
                          <a:spLocks noChangeArrowheads="1"/>
                        </wps:cNvSpPr>
                        <wps:spPr bwMode="auto">
                          <a:xfrm>
                            <a:off x="1855" y="1977"/>
                            <a:ext cx="8270" cy="476"/>
                          </a:xfrm>
                          <a:prstGeom prst="rect">
                            <a:avLst/>
                          </a:prstGeom>
                          <a:solidFill>
                            <a:srgbClr val="629FC2"/>
                          </a:solidFill>
                          <a:ln w="12700">
                            <a:solidFill>
                              <a:srgbClr val="629FC2"/>
                            </a:solidFill>
                            <a:miter lim="800000"/>
                            <a:headEnd/>
                            <a:tailEnd/>
                          </a:ln>
                        </wps:spPr>
                        <wps:txbx>
                          <w:txbxContent>
                            <w:p w14:paraId="19C2FA0B" w14:textId="77777777" w:rsidR="0021734B" w:rsidRPr="00B12495" w:rsidRDefault="0021734B" w:rsidP="007F523E">
                              <w:pPr>
                                <w:pStyle w:val="Figureheading"/>
                              </w:pPr>
                              <w:r>
                                <w:t>Figure 1</w:t>
                              </w:r>
                            </w:p>
                          </w:txbxContent>
                        </wps:txbx>
                        <wps:bodyPr rot="0" vert="horz" wrap="square" lIns="91440" tIns="45720" rIns="91440" bIns="45720" anchor="t" anchorCtr="0" upright="1">
                          <a:noAutofit/>
                        </wps:bodyPr>
                      </wps:wsp>
                      <wps:wsp>
                        <wps:cNvPr id="303" name="Rectangle 181"/>
                        <wps:cNvSpPr>
                          <a:spLocks noChangeArrowheads="1"/>
                        </wps:cNvSpPr>
                        <wps:spPr bwMode="auto">
                          <a:xfrm>
                            <a:off x="1855" y="2453"/>
                            <a:ext cx="8270" cy="820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688BA9" id="Group 179" o:spid="_x0000_s1029" style="position:absolute;left:0;text-align:left;margin-left:-1pt;margin-top:6.6pt;width:413.5pt;height:428.9pt;z-index:251701248" coordorigin="1855,1977" coordsize="8270,8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">
                <v:shape id="Text Box 180" o:spid="_x0000_s1030" type="#_x0000_t202" style="position:absolute;left:1855;top:1977;width:827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" fillcolor="#629fc2" strokecolor="#629fc2" strokeweight="1pt">
                  <v:textbox>
                    <w:txbxContent>
                      <w:p w14:paraId="19C2FA0B" w14:textId="77777777" w:rsidR="0021734B" w:rsidRPr="00B12495" w:rsidRDefault="0021734B" w:rsidP="007F523E">
                        <w:pPr>
                          <w:pStyle w:val="Figureheading"/>
                        </w:pPr>
                        <w:r>
                          <w:t>Figure 1</w:t>
                        </w:r>
                      </w:p>
                    </w:txbxContent>
                  </v:textbox>
                </v:shape>
                <v:rect id="Rectangle 181" o:spid="_x0000_s1031" style="position:absolute;left:1855;top:2453;width:8270;height:8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" filled="f" strokecolor="#688fb0" strokeweight="1pt"/>
              </v:group>
            </w:pict>
          </mc:Fallback>
        </mc:AlternateContent>
      </w:r>
    </w:p>
    <w:p w14:paraId="1EFF74A1" w14:textId="77777777" w:rsidR="00095BBA" w:rsidRDefault="007A6EFC" w:rsidP="00550A22">
      <w:pPr>
        <w:pStyle w:val="BodyText1"/>
        <w:rPr>
          <w:color w:val="FFFFFF" w:themeColor="background1"/>
        </w:rPr>
      </w:pPr>
      <w:r w:rsidRPr="007A6EFC">
        <w:rPr>
          <w:noProof/>
        </w:rPr>
        <w:drawing>
          <wp:anchor distT="0" distB="0" distL="114300" distR="114300" simplePos="0" relativeHeight="251804672" behindDoc="0" locked="0" layoutInCell="1" allowOverlap="1" wp14:anchorId="3CC2CF73" wp14:editId="189D4EB0">
            <wp:simplePos x="0" y="0"/>
            <wp:positionH relativeFrom="column">
              <wp:posOffset>0</wp:posOffset>
            </wp:positionH>
            <wp:positionV relativeFrom="paragraph">
              <wp:posOffset>93345</wp:posOffset>
            </wp:positionV>
            <wp:extent cx="5048250" cy="5048250"/>
            <wp:effectExtent l="19050" t="0" r="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5" cstate="print"/>
                    <a:srcRect/>
                    <a:stretch>
                      <a:fillRect/>
                    </a:stretch>
                  </pic:blipFill>
                  <pic:spPr bwMode="auto">
                    <a:xfrm>
                      <a:off x="0" y="0"/>
                      <a:ext cx="5048250" cy="5048250"/>
                    </a:xfrm>
                    <a:prstGeom prst="rect">
                      <a:avLst/>
                    </a:prstGeom>
                    <a:noFill/>
                    <a:ln w="9525">
                      <a:noFill/>
                      <a:miter lim="800000"/>
                      <a:headEnd/>
                      <a:tailEnd/>
                    </a:ln>
                  </pic:spPr>
                </pic:pic>
              </a:graphicData>
            </a:graphic>
          </wp:anchor>
        </w:drawing>
      </w:r>
    </w:p>
    <w:p w14:paraId="4929FF75" w14:textId="77777777" w:rsidR="00095BBA" w:rsidRDefault="00095BBA" w:rsidP="00550A22">
      <w:pPr>
        <w:pStyle w:val="BodyText1"/>
        <w:rPr>
          <w:color w:val="FFFFFF" w:themeColor="background1"/>
        </w:rPr>
      </w:pPr>
    </w:p>
    <w:p w14:paraId="6B3A0378" w14:textId="77777777" w:rsidR="00BE3324" w:rsidRDefault="00BE3324" w:rsidP="00BE3324">
      <w:pPr>
        <w:pStyle w:val="Heading2"/>
        <w:numPr>
          <w:ilvl w:val="0"/>
          <w:numId w:val="0"/>
        </w:numPr>
        <w:ind w:left="1008"/>
      </w:pPr>
      <w:bookmarkStart w:id="19" w:name="_Toc399249126"/>
      <w:bookmarkStart w:id="20" w:name="_Toc399252938"/>
    </w:p>
    <w:p w14:paraId="2BA3F5E0" w14:textId="77777777" w:rsidR="00BE3324" w:rsidRDefault="00BE3324" w:rsidP="00BE3324"/>
    <w:p w14:paraId="4C1C5FC7" w14:textId="77777777" w:rsidR="00BE3324" w:rsidRDefault="00BE3324" w:rsidP="00BE3324"/>
    <w:p w14:paraId="7793211E" w14:textId="77777777" w:rsidR="00BE3324" w:rsidRDefault="00BE3324" w:rsidP="00BE3324"/>
    <w:p w14:paraId="626A7535" w14:textId="77777777" w:rsidR="00BE3324" w:rsidRDefault="00BE3324" w:rsidP="00BE3324"/>
    <w:p w14:paraId="291F4F17" w14:textId="77777777" w:rsidR="00BE3324" w:rsidRDefault="00BE3324" w:rsidP="00BE3324"/>
    <w:p w14:paraId="312A0138" w14:textId="77777777" w:rsidR="00BE3324" w:rsidRDefault="00BE3324" w:rsidP="00BE3324"/>
    <w:p w14:paraId="337D8F58" w14:textId="77777777" w:rsidR="00BE3324" w:rsidRDefault="00BE3324" w:rsidP="00BE3324"/>
    <w:p w14:paraId="72F1002D" w14:textId="77777777" w:rsidR="00BE3324" w:rsidRDefault="00BE3324" w:rsidP="00BE3324"/>
    <w:p w14:paraId="22A0BD0E" w14:textId="77777777" w:rsidR="00BE3324" w:rsidRDefault="00BE3324" w:rsidP="00BE3324"/>
    <w:p w14:paraId="0B817B8F" w14:textId="77777777" w:rsidR="00BE3324" w:rsidRDefault="00BE3324" w:rsidP="00BE3324"/>
    <w:p w14:paraId="016DDCA4" w14:textId="77777777" w:rsidR="00BE3324" w:rsidRDefault="00BE3324" w:rsidP="00BE3324"/>
    <w:p w14:paraId="6EB64230" w14:textId="77777777" w:rsidR="00BE3324" w:rsidRDefault="00BE3324" w:rsidP="00BE3324"/>
    <w:p w14:paraId="611617A2" w14:textId="77777777" w:rsidR="00BE3324" w:rsidRPr="00BE3324" w:rsidRDefault="00BE3324" w:rsidP="00BE3324"/>
    <w:p w14:paraId="27959252" w14:textId="77777777" w:rsidR="00095BBA" w:rsidRPr="00547F18" w:rsidRDefault="00095BBA" w:rsidP="00095BBA">
      <w:pPr>
        <w:pStyle w:val="Heading2"/>
      </w:pPr>
      <w:bookmarkStart w:id="21" w:name="_Toc400007268"/>
      <w:r w:rsidRPr="002B619A">
        <w:t>Consumption in adult</w:t>
      </w:r>
      <w:r>
        <w:t>s in Wales</w:t>
      </w:r>
      <w:bookmarkEnd w:id="19"/>
      <w:bookmarkEnd w:id="20"/>
      <w:bookmarkEnd w:id="21"/>
      <w:r>
        <w:t xml:space="preserve"> </w:t>
      </w:r>
      <w:r w:rsidRPr="002B619A">
        <w:t xml:space="preserve"> </w:t>
      </w:r>
    </w:p>
    <w:p w14:paraId="301B1FEB" w14:textId="77777777" w:rsidR="00095BBA" w:rsidRDefault="00095BBA" w:rsidP="00095BBA">
      <w:pPr>
        <w:autoSpaceDE w:val="0"/>
        <w:autoSpaceDN w:val="0"/>
        <w:adjustRightInd w:val="0"/>
        <w:spacing w:before="0"/>
        <w:jc w:val="left"/>
        <w:rPr>
          <w:b/>
          <w:szCs w:val="24"/>
        </w:rPr>
      </w:pPr>
    </w:p>
    <w:p w14:paraId="1BA442D4" w14:textId="77777777" w:rsidR="00095BBA" w:rsidRDefault="00095BBA" w:rsidP="00C355BD">
      <w:pPr>
        <w:autoSpaceDE w:val="0"/>
        <w:autoSpaceDN w:val="0"/>
        <w:adjustRightInd w:val="0"/>
        <w:spacing w:before="0"/>
        <w:rPr>
          <w:szCs w:val="24"/>
        </w:rPr>
      </w:pPr>
      <w:r w:rsidRPr="002B619A">
        <w:rPr>
          <w:szCs w:val="24"/>
        </w:rPr>
        <w:t>Survey results are essential to identify characteristics of those drinking, and patterns are</w:t>
      </w:r>
      <w:r>
        <w:rPr>
          <w:szCs w:val="24"/>
        </w:rPr>
        <w:t xml:space="preserve"> reported by sex and age-group. WHS respondents were asked questions on their drinking habits including how often they drank, if they are a non-drinker and, if they are a drinker, how much of each type of alcohol they drank on the heaviest day in the last week. The questions changed from 2008 onwards and the data is not comparable to earlier results. Trends or comparisons over time are shown wherever possible.</w:t>
      </w:r>
    </w:p>
    <w:p w14:paraId="07A48B4C" w14:textId="77777777" w:rsidR="00095BBA" w:rsidRDefault="00095BBA" w:rsidP="00C355BD">
      <w:pPr>
        <w:autoSpaceDE w:val="0"/>
        <w:autoSpaceDN w:val="0"/>
        <w:adjustRightInd w:val="0"/>
        <w:spacing w:before="0"/>
        <w:rPr>
          <w:szCs w:val="24"/>
        </w:rPr>
      </w:pPr>
    </w:p>
    <w:p w14:paraId="4E8092A3" w14:textId="77777777" w:rsidR="00095BBA" w:rsidRDefault="00095BBA" w:rsidP="00C355BD">
      <w:pPr>
        <w:autoSpaceDE w:val="0"/>
        <w:autoSpaceDN w:val="0"/>
        <w:adjustRightInd w:val="0"/>
        <w:spacing w:before="0"/>
        <w:rPr>
          <w:rFonts w:cs="Arial"/>
          <w:szCs w:val="24"/>
        </w:rPr>
      </w:pPr>
      <w:r>
        <w:rPr>
          <w:rFonts w:cs="Arial"/>
          <w:szCs w:val="24"/>
        </w:rPr>
        <w:t xml:space="preserve">Please note that surveys are known to underestimate drinking in the population, as shown in comparisons to alcohol sales data, see </w:t>
      </w:r>
      <w:r w:rsidRPr="004A05E7">
        <w:rPr>
          <w:rFonts w:cs="Arial"/>
          <w:szCs w:val="24"/>
        </w:rPr>
        <w:t>section 3.4.</w:t>
      </w:r>
      <w:r>
        <w:rPr>
          <w:rFonts w:cs="Arial"/>
          <w:szCs w:val="24"/>
        </w:rPr>
        <w:t xml:space="preserve"> They are, however, useful measures for comparing areas or groups of people.</w:t>
      </w:r>
    </w:p>
    <w:p w14:paraId="3586619D" w14:textId="77777777" w:rsidR="0091077E" w:rsidRDefault="0091077E" w:rsidP="00095BBA">
      <w:pPr>
        <w:autoSpaceDE w:val="0"/>
        <w:autoSpaceDN w:val="0"/>
        <w:adjustRightInd w:val="0"/>
        <w:spacing w:before="0"/>
        <w:jc w:val="left"/>
        <w:rPr>
          <w:rFonts w:cs="Arial"/>
          <w:szCs w:val="24"/>
        </w:rPr>
      </w:pPr>
    </w:p>
    <w:p w14:paraId="7F5B9B2C" w14:textId="77777777" w:rsidR="0091077E" w:rsidRDefault="0091077E" w:rsidP="00095BBA">
      <w:pPr>
        <w:autoSpaceDE w:val="0"/>
        <w:autoSpaceDN w:val="0"/>
        <w:adjustRightInd w:val="0"/>
        <w:spacing w:before="0"/>
        <w:jc w:val="left"/>
        <w:rPr>
          <w:rFonts w:cs="Arial"/>
          <w:szCs w:val="24"/>
        </w:rPr>
      </w:pPr>
    </w:p>
    <w:p w14:paraId="785CF0B3" w14:textId="77777777" w:rsidR="0091077E" w:rsidRDefault="0091077E" w:rsidP="00095BBA">
      <w:pPr>
        <w:autoSpaceDE w:val="0"/>
        <w:autoSpaceDN w:val="0"/>
        <w:adjustRightInd w:val="0"/>
        <w:spacing w:before="0"/>
        <w:jc w:val="left"/>
        <w:rPr>
          <w:rFonts w:cs="Arial"/>
          <w:szCs w:val="24"/>
        </w:rPr>
      </w:pPr>
    </w:p>
    <w:p w14:paraId="208AFDD6" w14:textId="77777777" w:rsidR="0091077E" w:rsidRDefault="0091077E" w:rsidP="00095BBA">
      <w:pPr>
        <w:autoSpaceDE w:val="0"/>
        <w:autoSpaceDN w:val="0"/>
        <w:adjustRightInd w:val="0"/>
        <w:spacing w:before="0"/>
        <w:jc w:val="left"/>
        <w:rPr>
          <w:szCs w:val="24"/>
        </w:rPr>
      </w:pPr>
    </w:p>
    <w:p w14:paraId="0F38C97F" w14:textId="77777777" w:rsidR="005B2CF8" w:rsidRPr="00547F18" w:rsidRDefault="005B2CF8" w:rsidP="00DD5FFE">
      <w:pPr>
        <w:pStyle w:val="Heading3"/>
        <w:rPr>
          <w:b w:val="0"/>
        </w:rPr>
      </w:pPr>
      <w:bookmarkStart w:id="22" w:name="_Toc399249127"/>
      <w:bookmarkStart w:id="23" w:name="_Toc399252939"/>
      <w:bookmarkStart w:id="24" w:name="_Toc400007269"/>
      <w:r w:rsidRPr="00547F18">
        <w:lastRenderedPageBreak/>
        <w:t xml:space="preserve">Frequency of </w:t>
      </w:r>
      <w:r w:rsidRPr="00DD5FFE">
        <w:t>alcohol</w:t>
      </w:r>
      <w:r w:rsidRPr="00547F18">
        <w:t xml:space="preserve"> consumption in Wales</w:t>
      </w:r>
      <w:bookmarkEnd w:id="22"/>
      <w:bookmarkEnd w:id="23"/>
      <w:bookmarkEnd w:id="24"/>
    </w:p>
    <w:p w14:paraId="1096BCF2" w14:textId="77777777" w:rsidR="005B2CF8" w:rsidRDefault="005B2CF8" w:rsidP="005B2CF8">
      <w:r>
        <w:t xml:space="preserve">Males drink more frequently than females. Around 46% of males reported either drinking once or twice a week or 3 to 4 days a week on average for the past 12 months compared to 35% for females. The percentage of adults who have not drunk alcohol </w:t>
      </w:r>
      <w:r w:rsidRPr="00817510">
        <w:t>in the past 12 months</w:t>
      </w:r>
      <w:r>
        <w:t xml:space="preserve"> is higher for females than males </w:t>
      </w:r>
      <w:r w:rsidRPr="00D90CD1">
        <w:t>(Fi</w:t>
      </w:r>
      <w:r w:rsidR="00F66AAE">
        <w:t>gure 2</w:t>
      </w:r>
      <w:r w:rsidRPr="00D90CD1">
        <w:t>),</w:t>
      </w:r>
      <w:r>
        <w:t xml:space="preserve"> also measured as abstainers </w:t>
      </w:r>
      <w:r w:rsidRPr="004A05E7">
        <w:t>(section 3.2.3).</w:t>
      </w:r>
    </w:p>
    <w:p w14:paraId="01DB3F0C" w14:textId="397825FC" w:rsidR="00095BBA" w:rsidRDefault="00AE143B" w:rsidP="00550A22">
      <w:pPr>
        <w:pStyle w:val="BodyText1"/>
        <w:rPr>
          <w:color w:val="FFFFFF" w:themeColor="background1"/>
        </w:rPr>
      </w:pPr>
      <w:r w:rsidRPr="00AE143B">
        <w:rPr>
          <w:noProof/>
          <w:color w:val="FFFFFF" w:themeColor="background1"/>
        </w:rPr>
        <w:drawing>
          <wp:anchor distT="0" distB="0" distL="114300" distR="114300" simplePos="0" relativeHeight="251660288" behindDoc="0" locked="0" layoutInCell="1" allowOverlap="1" wp14:anchorId="65E07C98" wp14:editId="7018B812">
            <wp:simplePos x="0" y="0"/>
            <wp:positionH relativeFrom="column">
              <wp:posOffset>19050</wp:posOffset>
            </wp:positionH>
            <wp:positionV relativeFrom="paragraph">
              <wp:posOffset>536575</wp:posOffset>
            </wp:positionV>
            <wp:extent cx="5048250" cy="3609975"/>
            <wp:effectExtent l="19050" t="0" r="0" b="0"/>
            <wp:wrapNone/>
            <wp:docPr id="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5048250" cy="3609975"/>
                    </a:xfrm>
                    <a:prstGeom prst="rect">
                      <a:avLst/>
                    </a:prstGeom>
                    <a:noFill/>
                    <a:ln w="9525">
                      <a:noFill/>
                      <a:miter lim="800000"/>
                      <a:headEnd/>
                      <a:tailEnd/>
                    </a:ln>
                  </pic:spPr>
                </pic:pic>
              </a:graphicData>
            </a:graphic>
          </wp:anchor>
        </w:drawing>
      </w:r>
      <w:r w:rsidR="007465D8">
        <w:rPr>
          <w:noProof/>
          <w:color w:val="FFFFFF" w:themeColor="background1"/>
        </w:rPr>
        <mc:AlternateContent>
          <mc:Choice Requires="wpg">
            <w:drawing>
              <wp:inline distT="0" distB="0" distL="0" distR="0" wp14:anchorId="7F5A771B" wp14:editId="09D7DE4F">
                <wp:extent cx="5137150" cy="4049395"/>
                <wp:effectExtent l="9525" t="12065" r="15875" b="15240"/>
                <wp:docPr id="298"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37150" cy="4049395"/>
                          <a:chOff x="753" y="1800"/>
                          <a:chExt cx="9121" cy="9090"/>
                        </a:xfrm>
                      </wpg:grpSpPr>
                      <wps:wsp>
                        <wps:cNvPr id="299" name="Text Box 65"/>
                        <wps:cNvSpPr txBox="1">
                          <a:spLocks noChangeArrowheads="1"/>
                        </wps:cNvSpPr>
                        <wps:spPr bwMode="auto">
                          <a:xfrm>
                            <a:off x="753" y="1800"/>
                            <a:ext cx="9121" cy="680"/>
                          </a:xfrm>
                          <a:prstGeom prst="rect">
                            <a:avLst/>
                          </a:prstGeom>
                          <a:solidFill>
                            <a:srgbClr val="629FC2"/>
                          </a:solidFill>
                          <a:ln w="12700">
                            <a:solidFill>
                              <a:srgbClr val="629FC2"/>
                            </a:solidFill>
                            <a:miter lim="800000"/>
                            <a:headEnd/>
                            <a:tailEnd/>
                          </a:ln>
                        </wps:spPr>
                        <wps:txbx>
                          <w:txbxContent>
                            <w:p w14:paraId="47A2FF8C" w14:textId="77777777" w:rsidR="0021734B" w:rsidRPr="00B12495" w:rsidRDefault="0021734B" w:rsidP="00AE143B">
                              <w:pPr>
                                <w:pStyle w:val="Figureheading"/>
                              </w:pPr>
                              <w:r>
                                <w:t>Figure 2</w:t>
                              </w:r>
                            </w:p>
                          </w:txbxContent>
                        </wps:txbx>
                        <wps:bodyPr rot="0" vert="horz" wrap="square" lIns="91440" tIns="45720" rIns="91440" bIns="45720" anchor="t" anchorCtr="0" upright="1">
                          <a:noAutofit/>
                        </wps:bodyPr>
                      </wps:wsp>
                      <wps:wsp>
                        <wps:cNvPr id="300" name="Rectangle 66"/>
                        <wps:cNvSpPr>
                          <a:spLocks noChangeArrowheads="1"/>
                        </wps:cNvSpPr>
                        <wps:spPr bwMode="auto">
                          <a:xfrm>
                            <a:off x="753" y="2480"/>
                            <a:ext cx="9121" cy="841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F5A771B" id="Group 64" o:spid="_x0000_s1032" style="width:404.5pt;height:318.85pt;mso-position-horizontal-relative:char;mso-position-vertical-relative:line" coordorigin="753,1800" coordsize="9121,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">
                <v:shape id="Text Box 65" o:spid="_x0000_s1033" type="#_x0000_t202" style="position:absolute;left:753;top:1800;width:9121;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" fillcolor="#629fc2" strokecolor="#629fc2" strokeweight="1pt">
                  <v:textbox>
                    <w:txbxContent>
                      <w:p w14:paraId="47A2FF8C" w14:textId="77777777" w:rsidR="0021734B" w:rsidRPr="00B12495" w:rsidRDefault="0021734B" w:rsidP="00AE143B">
                        <w:pPr>
                          <w:pStyle w:val="Figureheading"/>
                        </w:pPr>
                        <w:r>
                          <w:t>Figure 2</w:t>
                        </w:r>
                      </w:p>
                    </w:txbxContent>
                  </v:textbox>
                </v:shape>
                <v:rect id="Rectangle 66" o:spid="_x0000_s1034" style="position:absolute;left:753;top:2480;width:9121;height:8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" filled="f" strokecolor="#688fb0" strokeweight="1pt"/>
                <w10:anchorlock/>
              </v:group>
            </w:pict>
          </mc:Fallback>
        </mc:AlternateContent>
      </w:r>
    </w:p>
    <w:p w14:paraId="530E6C80" w14:textId="610858F0" w:rsidR="00BE3324" w:rsidRDefault="007465D8" w:rsidP="00BE3324">
      <w:pPr>
        <w:pStyle w:val="Heading3"/>
        <w:numPr>
          <w:ilvl w:val="0"/>
          <w:numId w:val="0"/>
        </w:numPr>
        <w:ind w:left="1008"/>
      </w:pPr>
      <w:bookmarkStart w:id="25" w:name="_Toc399249128"/>
      <w:bookmarkStart w:id="26" w:name="_Toc399252940"/>
      <w:r>
        <w:rPr>
          <w:noProof/>
        </w:rPr>
        <mc:AlternateContent>
          <mc:Choice Requires="wps">
            <w:drawing>
              <wp:anchor distT="0" distB="0" distL="114300" distR="114300" simplePos="0" relativeHeight="251792384" behindDoc="1" locked="0" layoutInCell="1" allowOverlap="1" wp14:anchorId="0A0E42A6" wp14:editId="72F2A09B">
                <wp:simplePos x="0" y="0"/>
                <wp:positionH relativeFrom="column">
                  <wp:posOffset>5038725</wp:posOffset>
                </wp:positionH>
                <wp:positionV relativeFrom="paragraph">
                  <wp:posOffset>236220</wp:posOffset>
                </wp:positionV>
                <wp:extent cx="1676400" cy="2419350"/>
                <wp:effectExtent l="0" t="635" r="0" b="0"/>
                <wp:wrapSquare wrapText="bothSides"/>
                <wp:docPr id="297" name="Text Box 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2419350"/>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9A5D0E" w14:textId="77777777" w:rsidR="0021734B" w:rsidRDefault="0021734B" w:rsidP="00842D2E">
                            <w:pPr>
                              <w:spacing w:before="0"/>
                              <w:rPr>
                                <w:i/>
                                <w:color w:val="5D9D91"/>
                                <w:sz w:val="36"/>
                              </w:rPr>
                            </w:pPr>
                            <w:r>
                              <w:rPr>
                                <w:i/>
                                <w:noProof/>
                                <w:color w:val="5D9D91"/>
                                <w:sz w:val="36"/>
                              </w:rPr>
                              <w:drawing>
                                <wp:inline distT="0" distB="0" distL="0" distR="0" wp14:anchorId="17984DC4" wp14:editId="48EC0D1A">
                                  <wp:extent cx="390525" cy="333375"/>
                                  <wp:effectExtent l="19050" t="0" r="9525" b="0"/>
                                  <wp:docPr id="28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6FF0CA3C" w14:textId="77777777" w:rsidR="0021734B" w:rsidRPr="001C745D" w:rsidRDefault="0021734B" w:rsidP="00842D2E">
                            <w:pPr>
                              <w:spacing w:before="0"/>
                              <w:rPr>
                                <w:i/>
                                <w:color w:val="5D9D91"/>
                                <w:sz w:val="6"/>
                              </w:rPr>
                            </w:pPr>
                          </w:p>
                          <w:p w14:paraId="038B4C13" w14:textId="77777777" w:rsidR="0021734B" w:rsidRPr="007A1EB4" w:rsidRDefault="0021734B" w:rsidP="00842D2E">
                            <w:pPr>
                              <w:spacing w:before="0" w:line="228" w:lineRule="auto"/>
                              <w:ind w:left="142" w:right="28"/>
                              <w:contextualSpacing/>
                              <w:jc w:val="left"/>
                              <w:rPr>
                                <w:rFonts w:ascii="Arial Black" w:hAnsi="Arial Black"/>
                                <w:i/>
                                <w:color w:val="629FC2"/>
                                <w:spacing w:val="-14"/>
                                <w:szCs w:val="20"/>
                              </w:rPr>
                            </w:pPr>
                            <w:r w:rsidRPr="007A1EB4">
                              <w:rPr>
                                <w:i/>
                                <w:color w:val="629FC2"/>
                                <w:spacing w:val="-14"/>
                                <w:szCs w:val="20"/>
                              </w:rPr>
                              <w:t>…</w:t>
                            </w:r>
                            <w:r>
                              <w:rPr>
                                <w:i/>
                                <w:color w:val="629FC2"/>
                                <w:spacing w:val="-14"/>
                                <w:szCs w:val="20"/>
                              </w:rPr>
                              <w:t>Adult consumption has fallen slightly across Wales since 2008 for all three measures. This mirrors UK sales data which has fallen since its peak in 2004</w:t>
                            </w:r>
                            <w:r w:rsidRPr="007A1EB4">
                              <w:rPr>
                                <w:i/>
                                <w:color w:val="629FC2"/>
                                <w:spacing w:val="-14"/>
                                <w:szCs w:val="20"/>
                              </w:rPr>
                              <w:t xml:space="preserve"> ...</w:t>
                            </w:r>
                            <w:r w:rsidRPr="007A1EB4">
                              <w:rPr>
                                <w:rFonts w:ascii="Arial Black" w:hAnsi="Arial Black"/>
                                <w:i/>
                                <w:color w:val="629FC2"/>
                                <w:spacing w:val="-14"/>
                                <w:szCs w:val="20"/>
                              </w:rPr>
                              <w:t>”</w:t>
                            </w:r>
                          </w:p>
                          <w:p w14:paraId="11F21427" w14:textId="77777777" w:rsidR="0021734B" w:rsidRPr="002D6AA2" w:rsidRDefault="0021734B" w:rsidP="00842D2E">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0E42A6" id="Text Box 318" o:spid="_x0000_s1035" type="#_x0000_t202" style="position:absolute;left:0;text-align:left;margin-left:396.75pt;margin-top:18.6pt;width:132pt;height:190.5pt;z-index:-25152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" filled="f" fillcolor="#31849b [2408]" stroked="f">
                <v:textbox>
                  <w:txbxContent>
                    <w:p w14:paraId="4F9A5D0E" w14:textId="77777777" w:rsidR="0021734B" w:rsidRDefault="0021734B" w:rsidP="00842D2E">
                      <w:pPr>
                        <w:spacing w:before="0"/>
                        <w:rPr>
                          <w:i/>
                          <w:color w:val="5D9D91"/>
                          <w:sz w:val="36"/>
                        </w:rPr>
                      </w:pPr>
                      <w:r>
                        <w:rPr>
                          <w:i/>
                          <w:noProof/>
                          <w:color w:val="5D9D91"/>
                          <w:sz w:val="36"/>
                        </w:rPr>
                        <w:drawing>
                          <wp:inline distT="0" distB="0" distL="0" distR="0" wp14:anchorId="17984DC4" wp14:editId="48EC0D1A">
                            <wp:extent cx="390525" cy="333375"/>
                            <wp:effectExtent l="19050" t="0" r="9525" b="0"/>
                            <wp:docPr id="28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6FF0CA3C" w14:textId="77777777" w:rsidR="0021734B" w:rsidRPr="001C745D" w:rsidRDefault="0021734B" w:rsidP="00842D2E">
                      <w:pPr>
                        <w:spacing w:before="0"/>
                        <w:rPr>
                          <w:i/>
                          <w:color w:val="5D9D91"/>
                          <w:sz w:val="6"/>
                        </w:rPr>
                      </w:pPr>
                    </w:p>
                    <w:p w14:paraId="038B4C13" w14:textId="77777777" w:rsidR="0021734B" w:rsidRPr="007A1EB4" w:rsidRDefault="0021734B" w:rsidP="00842D2E">
                      <w:pPr>
                        <w:spacing w:before="0" w:line="228" w:lineRule="auto"/>
                        <w:ind w:left="142" w:right="28"/>
                        <w:contextualSpacing/>
                        <w:jc w:val="left"/>
                        <w:rPr>
                          <w:rFonts w:ascii="Arial Black" w:hAnsi="Arial Black"/>
                          <w:i/>
                          <w:color w:val="629FC2"/>
                          <w:spacing w:val="-14"/>
                          <w:szCs w:val="20"/>
                        </w:rPr>
                      </w:pPr>
                      <w:r w:rsidRPr="007A1EB4">
                        <w:rPr>
                          <w:i/>
                          <w:color w:val="629FC2"/>
                          <w:spacing w:val="-14"/>
                          <w:szCs w:val="20"/>
                        </w:rPr>
                        <w:t>…</w:t>
                      </w:r>
                      <w:r>
                        <w:rPr>
                          <w:i/>
                          <w:color w:val="629FC2"/>
                          <w:spacing w:val="-14"/>
                          <w:szCs w:val="20"/>
                        </w:rPr>
                        <w:t>Adult consumption has fallen slightly across Wales since 2008 for all three measures. This mirrors UK sales data which has fallen since its peak in 2004</w:t>
                      </w:r>
                      <w:r w:rsidRPr="007A1EB4">
                        <w:rPr>
                          <w:i/>
                          <w:color w:val="629FC2"/>
                          <w:spacing w:val="-14"/>
                          <w:szCs w:val="20"/>
                        </w:rPr>
                        <w:t xml:space="preserve"> ...</w:t>
                      </w:r>
                      <w:r w:rsidRPr="007A1EB4">
                        <w:rPr>
                          <w:rFonts w:ascii="Arial Black" w:hAnsi="Arial Black"/>
                          <w:i/>
                          <w:color w:val="629FC2"/>
                          <w:spacing w:val="-14"/>
                          <w:szCs w:val="20"/>
                        </w:rPr>
                        <w:t>”</w:t>
                      </w:r>
                    </w:p>
                    <w:p w14:paraId="11F21427" w14:textId="77777777" w:rsidR="0021734B" w:rsidRPr="002D6AA2" w:rsidRDefault="0021734B" w:rsidP="00842D2E">
                      <w:pPr>
                        <w:spacing w:before="0"/>
                        <w:ind w:left="142" w:right="27"/>
                        <w:rPr>
                          <w:i/>
                          <w:color w:val="5D9D91"/>
                          <w:sz w:val="20"/>
                          <w:szCs w:val="20"/>
                        </w:rPr>
                      </w:pPr>
                    </w:p>
                  </w:txbxContent>
                </v:textbox>
                <w10:wrap type="square"/>
              </v:shape>
            </w:pict>
          </mc:Fallback>
        </mc:AlternateContent>
      </w:r>
    </w:p>
    <w:p w14:paraId="6B654CBB" w14:textId="77777777" w:rsidR="00FF2330" w:rsidRDefault="00FF2330" w:rsidP="00FF2330">
      <w:pPr>
        <w:pStyle w:val="Heading3"/>
        <w:tabs>
          <w:tab w:val="clear" w:pos="1292"/>
          <w:tab w:val="num" w:pos="1008"/>
        </w:tabs>
        <w:ind w:left="1008"/>
      </w:pPr>
      <w:bookmarkStart w:id="27" w:name="_Toc400007270"/>
      <w:r w:rsidRPr="00547F18">
        <w:t>Alcohol consumption trend in Wales</w:t>
      </w:r>
      <w:bookmarkEnd w:id="25"/>
      <w:bookmarkEnd w:id="26"/>
      <w:bookmarkEnd w:id="27"/>
    </w:p>
    <w:p w14:paraId="283D97CC" w14:textId="77777777" w:rsidR="00FF2330" w:rsidRDefault="00FF2330" w:rsidP="00FF2330">
      <w:r>
        <w:t>More males than females report drinking above guidelines, heavy (binge) drinking or very heavy drinking (see Table 2 for definitions</w:t>
      </w:r>
      <w:r w:rsidRPr="0000586B">
        <w:t xml:space="preserve">). The percentages </w:t>
      </w:r>
      <w:r w:rsidR="006A136B" w:rsidRPr="0000586B">
        <w:t xml:space="preserve">of adults </w:t>
      </w:r>
      <w:r w:rsidRPr="0000586B">
        <w:t>have</w:t>
      </w:r>
      <w:r>
        <w:t xml:space="preserve"> slightly decreased over time for all three measures although the differences between the earliest and most recent period are unlikely to be statistically significant </w:t>
      </w:r>
      <w:r w:rsidR="00F66AAE">
        <w:t>(Figure 3</w:t>
      </w:r>
      <w:r w:rsidRPr="00D90CD1">
        <w:t>)</w:t>
      </w:r>
      <w:r>
        <w:t>.</w:t>
      </w:r>
    </w:p>
    <w:p w14:paraId="5DF53C4F" w14:textId="77777777" w:rsidR="00FF2330" w:rsidRDefault="00FF2330" w:rsidP="00550A22">
      <w:pPr>
        <w:pStyle w:val="BodyText1"/>
        <w:rPr>
          <w:color w:val="FFFFFF" w:themeColor="background1"/>
        </w:rPr>
      </w:pPr>
    </w:p>
    <w:p w14:paraId="24177C51" w14:textId="77777777" w:rsidR="00FF2330" w:rsidRDefault="00FF2330">
      <w:pPr>
        <w:spacing w:before="0"/>
        <w:jc w:val="left"/>
        <w:rPr>
          <w:color w:val="FFFFFF" w:themeColor="background1"/>
        </w:rPr>
      </w:pPr>
      <w:r>
        <w:rPr>
          <w:color w:val="FFFFFF" w:themeColor="background1"/>
        </w:rPr>
        <w:br w:type="page"/>
      </w:r>
    </w:p>
    <w:p w14:paraId="3408EC32" w14:textId="77777777" w:rsidR="00FF2330" w:rsidRDefault="00FF2330" w:rsidP="00550A22">
      <w:pPr>
        <w:pStyle w:val="BodyText1"/>
        <w:rPr>
          <w:color w:val="FFFFFF" w:themeColor="background1"/>
        </w:rPr>
      </w:pPr>
    </w:p>
    <w:p w14:paraId="5559F98D" w14:textId="4946769A" w:rsidR="00FF2330" w:rsidRDefault="001842C8" w:rsidP="00550A22">
      <w:pPr>
        <w:pStyle w:val="BodyText1"/>
        <w:rPr>
          <w:color w:val="FFFFFF" w:themeColor="background1"/>
        </w:rPr>
      </w:pPr>
      <w:r>
        <w:rPr>
          <w:noProof/>
          <w:color w:val="FFFFFF" w:themeColor="background1"/>
        </w:rPr>
        <w:drawing>
          <wp:anchor distT="0" distB="0" distL="114300" distR="114300" simplePos="0" relativeHeight="251703296" behindDoc="0" locked="0" layoutInCell="1" allowOverlap="1" wp14:anchorId="601F95F2" wp14:editId="36C8553C">
            <wp:simplePos x="0" y="0"/>
            <wp:positionH relativeFrom="column">
              <wp:posOffset>19050</wp:posOffset>
            </wp:positionH>
            <wp:positionV relativeFrom="paragraph">
              <wp:posOffset>466725</wp:posOffset>
            </wp:positionV>
            <wp:extent cx="5048250" cy="5048250"/>
            <wp:effectExtent l="19050" t="0" r="0" b="0"/>
            <wp:wrapNone/>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5048250" cy="5048250"/>
                    </a:xfrm>
                    <a:prstGeom prst="rect">
                      <a:avLst/>
                    </a:prstGeom>
                    <a:noFill/>
                    <a:ln w="9525">
                      <a:noFill/>
                      <a:miter lim="800000"/>
                      <a:headEnd/>
                      <a:tailEnd/>
                    </a:ln>
                  </pic:spPr>
                </pic:pic>
              </a:graphicData>
            </a:graphic>
          </wp:anchor>
        </w:drawing>
      </w:r>
      <w:r w:rsidR="007465D8">
        <w:rPr>
          <w:noProof/>
          <w:color w:val="FFFFFF" w:themeColor="background1"/>
        </w:rPr>
        <mc:AlternateContent>
          <mc:Choice Requires="wpg">
            <w:drawing>
              <wp:inline distT="0" distB="0" distL="0" distR="0" wp14:anchorId="3E7A9CFD" wp14:editId="602D69F3">
                <wp:extent cx="5251450" cy="5509895"/>
                <wp:effectExtent l="9525" t="9525" r="6350" b="14605"/>
                <wp:docPr id="294"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1450" cy="5509895"/>
                          <a:chOff x="1855" y="1977"/>
                          <a:chExt cx="8270" cy="8677"/>
                        </a:xfrm>
                      </wpg:grpSpPr>
                      <wps:wsp>
                        <wps:cNvPr id="295" name="Text Box 187"/>
                        <wps:cNvSpPr txBox="1">
                          <a:spLocks noChangeArrowheads="1"/>
                        </wps:cNvSpPr>
                        <wps:spPr bwMode="auto">
                          <a:xfrm>
                            <a:off x="1855" y="1977"/>
                            <a:ext cx="8270" cy="476"/>
                          </a:xfrm>
                          <a:prstGeom prst="rect">
                            <a:avLst/>
                          </a:prstGeom>
                          <a:solidFill>
                            <a:srgbClr val="629FC2"/>
                          </a:solidFill>
                          <a:ln w="12700">
                            <a:solidFill>
                              <a:srgbClr val="629FC2"/>
                            </a:solidFill>
                            <a:miter lim="800000"/>
                            <a:headEnd/>
                            <a:tailEnd/>
                          </a:ln>
                        </wps:spPr>
                        <wps:txbx>
                          <w:txbxContent>
                            <w:p w14:paraId="6BE12F8D" w14:textId="77777777" w:rsidR="0021734B" w:rsidRPr="00B12495" w:rsidRDefault="0021734B" w:rsidP="001842C8">
                              <w:pPr>
                                <w:pStyle w:val="Figureheading"/>
                              </w:pPr>
                              <w:r>
                                <w:t>Figure 3</w:t>
                              </w:r>
                            </w:p>
                          </w:txbxContent>
                        </wps:txbx>
                        <wps:bodyPr rot="0" vert="horz" wrap="square" lIns="91440" tIns="45720" rIns="91440" bIns="45720" anchor="t" anchorCtr="0" upright="1">
                          <a:noAutofit/>
                        </wps:bodyPr>
                      </wps:wsp>
                      <wps:wsp>
                        <wps:cNvPr id="296" name="Rectangle 188"/>
                        <wps:cNvSpPr>
                          <a:spLocks noChangeArrowheads="1"/>
                        </wps:cNvSpPr>
                        <wps:spPr bwMode="auto">
                          <a:xfrm>
                            <a:off x="1855" y="2453"/>
                            <a:ext cx="8270" cy="820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E7A9CFD" id="Group 186" o:spid="_x0000_s1036" style="width:413.5pt;height:433.85pt;mso-position-horizontal-relative:char;mso-position-vertical-relative:line" coordorigin="1855,1977" coordsize="8270,8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">
                <v:shape id="Text Box 187" o:spid="_x0000_s1037" type="#_x0000_t202" style="position:absolute;left:1855;top:1977;width:827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" fillcolor="#629fc2" strokecolor="#629fc2" strokeweight="1pt">
                  <v:textbox>
                    <w:txbxContent>
                      <w:p w14:paraId="6BE12F8D" w14:textId="77777777" w:rsidR="0021734B" w:rsidRPr="00B12495" w:rsidRDefault="0021734B" w:rsidP="001842C8">
                        <w:pPr>
                          <w:pStyle w:val="Figureheading"/>
                        </w:pPr>
                        <w:r>
                          <w:t>Figure 3</w:t>
                        </w:r>
                      </w:p>
                    </w:txbxContent>
                  </v:textbox>
                </v:shape>
                <v:rect id="Rectangle 188" o:spid="_x0000_s1038" style="position:absolute;left:1855;top:2453;width:8270;height:8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" filled="f" strokecolor="#688fb0" strokeweight="1pt"/>
                <w10:anchorlock/>
              </v:group>
            </w:pict>
          </mc:Fallback>
        </mc:AlternateContent>
      </w:r>
    </w:p>
    <w:p w14:paraId="77C789AF" w14:textId="56255150" w:rsidR="00FF2330" w:rsidRPr="00547F18" w:rsidRDefault="007465D8" w:rsidP="00FF2330">
      <w:pPr>
        <w:pStyle w:val="Heading3"/>
        <w:tabs>
          <w:tab w:val="clear" w:pos="1292"/>
          <w:tab w:val="num" w:pos="1008"/>
        </w:tabs>
        <w:ind w:left="1008"/>
        <w:rPr>
          <w:b w:val="0"/>
        </w:rPr>
      </w:pPr>
      <w:bookmarkStart w:id="28" w:name="_Toc399249129"/>
      <w:bookmarkStart w:id="29" w:name="_Toc399252941"/>
      <w:r>
        <w:rPr>
          <w:noProof/>
        </w:rPr>
        <mc:AlternateContent>
          <mc:Choice Requires="wps">
            <w:drawing>
              <wp:anchor distT="0" distB="0" distL="114300" distR="114300" simplePos="0" relativeHeight="251727872" behindDoc="1" locked="0" layoutInCell="1" allowOverlap="1" wp14:anchorId="7B9E3A32" wp14:editId="4F0D8E9F">
                <wp:simplePos x="0" y="0"/>
                <wp:positionH relativeFrom="column">
                  <wp:posOffset>4772025</wp:posOffset>
                </wp:positionH>
                <wp:positionV relativeFrom="paragraph">
                  <wp:posOffset>312420</wp:posOffset>
                </wp:positionV>
                <wp:extent cx="1800225" cy="2581275"/>
                <wp:effectExtent l="0" t="0" r="0" b="1905"/>
                <wp:wrapSquare wrapText="bothSides"/>
                <wp:docPr id="293" name="Text Box 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2581275"/>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43276A" w14:textId="77777777" w:rsidR="0021734B" w:rsidRDefault="0021734B" w:rsidP="00747184">
                            <w:pPr>
                              <w:spacing w:before="0"/>
                              <w:rPr>
                                <w:i/>
                                <w:color w:val="5D9D91"/>
                                <w:sz w:val="36"/>
                              </w:rPr>
                            </w:pPr>
                            <w:r>
                              <w:rPr>
                                <w:i/>
                                <w:noProof/>
                                <w:color w:val="5D9D91"/>
                                <w:sz w:val="36"/>
                              </w:rPr>
                              <w:drawing>
                                <wp:inline distT="0" distB="0" distL="0" distR="0" wp14:anchorId="22BF816D" wp14:editId="27D50A6A">
                                  <wp:extent cx="390525" cy="333375"/>
                                  <wp:effectExtent l="19050" t="0" r="9525"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074BC1D0" w14:textId="77777777" w:rsidR="0021734B" w:rsidRPr="001C745D" w:rsidRDefault="0021734B" w:rsidP="00747184">
                            <w:pPr>
                              <w:spacing w:before="0"/>
                              <w:rPr>
                                <w:i/>
                                <w:color w:val="5D9D91"/>
                                <w:sz w:val="6"/>
                              </w:rPr>
                            </w:pPr>
                          </w:p>
                          <w:p w14:paraId="0056F3CD" w14:textId="77777777" w:rsidR="0021734B" w:rsidRPr="0091077E" w:rsidRDefault="0021734B" w:rsidP="00747184">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 xml:space="preserve"> More young males aged 16-24 and more older females aged 75+ have abstained from alcohol in the past year, whilst percentage in the other groups has largely remained the same ...</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22D3AB88" w14:textId="77777777" w:rsidR="0021734B" w:rsidRPr="002D6AA2" w:rsidRDefault="0021734B" w:rsidP="00747184">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E3A32" id="Text Box 265" o:spid="_x0000_s1039" type="#_x0000_t202" style="position:absolute;left:0;text-align:left;margin-left:375.75pt;margin-top:24.6pt;width:141.75pt;height:203.25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" filled="f" fillcolor="#31849b [2408]" stroked="f">
                <v:textbox>
                  <w:txbxContent>
                    <w:p w14:paraId="0C43276A" w14:textId="77777777" w:rsidR="0021734B" w:rsidRDefault="0021734B" w:rsidP="00747184">
                      <w:pPr>
                        <w:spacing w:before="0"/>
                        <w:rPr>
                          <w:i/>
                          <w:color w:val="5D9D91"/>
                          <w:sz w:val="36"/>
                        </w:rPr>
                      </w:pPr>
                      <w:r>
                        <w:rPr>
                          <w:i/>
                          <w:noProof/>
                          <w:color w:val="5D9D91"/>
                          <w:sz w:val="36"/>
                        </w:rPr>
                        <w:drawing>
                          <wp:inline distT="0" distB="0" distL="0" distR="0" wp14:anchorId="22BF816D" wp14:editId="27D50A6A">
                            <wp:extent cx="390525" cy="333375"/>
                            <wp:effectExtent l="19050" t="0" r="9525" b="0"/>
                            <wp:docPr id="1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074BC1D0" w14:textId="77777777" w:rsidR="0021734B" w:rsidRPr="001C745D" w:rsidRDefault="0021734B" w:rsidP="00747184">
                      <w:pPr>
                        <w:spacing w:before="0"/>
                        <w:rPr>
                          <w:i/>
                          <w:color w:val="5D9D91"/>
                          <w:sz w:val="6"/>
                        </w:rPr>
                      </w:pPr>
                    </w:p>
                    <w:p w14:paraId="0056F3CD" w14:textId="77777777" w:rsidR="0021734B" w:rsidRPr="0091077E" w:rsidRDefault="0021734B" w:rsidP="00747184">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 xml:space="preserve"> More young males aged 16-24 and more older females aged 75+ have abstained from alcohol in the past year, whilst percentage in the other groups has largely remained the same ...</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22D3AB88" w14:textId="77777777" w:rsidR="0021734B" w:rsidRPr="002D6AA2" w:rsidRDefault="0021734B" w:rsidP="00747184">
                      <w:pPr>
                        <w:spacing w:before="0"/>
                        <w:ind w:left="142" w:right="27"/>
                        <w:rPr>
                          <w:i/>
                          <w:color w:val="5D9D91"/>
                          <w:sz w:val="20"/>
                          <w:szCs w:val="20"/>
                        </w:rPr>
                      </w:pPr>
                    </w:p>
                  </w:txbxContent>
                </v:textbox>
                <w10:wrap type="square"/>
              </v:shape>
            </w:pict>
          </mc:Fallback>
        </mc:AlternateContent>
      </w:r>
      <w:bookmarkStart w:id="30" w:name="_Toc400007271"/>
      <w:r w:rsidR="00FF2330" w:rsidRPr="00547F18">
        <w:t>Abstainers</w:t>
      </w:r>
      <w:bookmarkEnd w:id="28"/>
      <w:bookmarkEnd w:id="29"/>
      <w:bookmarkEnd w:id="30"/>
    </w:p>
    <w:p w14:paraId="3CF9FB41" w14:textId="77777777" w:rsidR="00FF2330" w:rsidRDefault="00FF2330" w:rsidP="00FF2330">
      <w:pPr>
        <w:rPr>
          <w:szCs w:val="24"/>
        </w:rPr>
      </w:pPr>
      <w:r>
        <w:rPr>
          <w:szCs w:val="24"/>
        </w:rPr>
        <w:t xml:space="preserve">The percentage of adults who report not having drunk alcohol in the past 12 months differs between age groups </w:t>
      </w:r>
      <w:r w:rsidR="00F66AAE">
        <w:rPr>
          <w:szCs w:val="24"/>
        </w:rPr>
        <w:t>(Figure 4</w:t>
      </w:r>
      <w:r w:rsidRPr="00D90CD1">
        <w:rPr>
          <w:szCs w:val="24"/>
        </w:rPr>
        <w:t>).</w:t>
      </w:r>
      <w:r>
        <w:rPr>
          <w:szCs w:val="24"/>
        </w:rPr>
        <w:t xml:space="preserve"> The percentage of abstainers is generally higher in females compared to males and is lowest in the 25-64 age range. The percentages have largely remained the same or increased slightly across the age groups between 2008-09 and 2011-12. The greatest increases are in females aged 75+ years</w:t>
      </w:r>
      <w:r w:rsidR="006A136B" w:rsidRPr="0000586B">
        <w:rPr>
          <w:szCs w:val="24"/>
        </w:rPr>
        <w:t>,</w:t>
      </w:r>
      <w:r w:rsidRPr="0000586B">
        <w:rPr>
          <w:szCs w:val="24"/>
        </w:rPr>
        <w:t xml:space="preserve"> and </w:t>
      </w:r>
      <w:r w:rsidR="00F66AAE" w:rsidRPr="0000586B">
        <w:rPr>
          <w:szCs w:val="24"/>
        </w:rPr>
        <w:t xml:space="preserve">males aged 16-24 years </w:t>
      </w:r>
      <w:r w:rsidR="006A136B" w:rsidRPr="0000586B">
        <w:rPr>
          <w:szCs w:val="24"/>
        </w:rPr>
        <w:t xml:space="preserve">where the percentage has </w:t>
      </w:r>
      <w:r w:rsidR="002145C9">
        <w:rPr>
          <w:szCs w:val="24"/>
        </w:rPr>
        <w:t>increased from 11% in 2008-09 to 14</w:t>
      </w:r>
      <w:r w:rsidR="006A136B" w:rsidRPr="0000586B">
        <w:rPr>
          <w:szCs w:val="24"/>
        </w:rPr>
        <w:t xml:space="preserve">% in 2011-12 </w:t>
      </w:r>
      <w:r w:rsidR="00F66AAE" w:rsidRPr="0000586B">
        <w:rPr>
          <w:szCs w:val="24"/>
        </w:rPr>
        <w:t>(Figure 4</w:t>
      </w:r>
      <w:r w:rsidRPr="0000586B">
        <w:rPr>
          <w:szCs w:val="24"/>
        </w:rPr>
        <w:t>).</w:t>
      </w:r>
    </w:p>
    <w:p w14:paraId="5D28D00B" w14:textId="77777777" w:rsidR="00FF2330" w:rsidRDefault="00FF2330">
      <w:pPr>
        <w:spacing w:before="0"/>
        <w:jc w:val="left"/>
        <w:rPr>
          <w:szCs w:val="24"/>
        </w:rPr>
      </w:pPr>
      <w:r>
        <w:rPr>
          <w:szCs w:val="24"/>
        </w:rPr>
        <w:br w:type="page"/>
      </w:r>
    </w:p>
    <w:p w14:paraId="01C21143" w14:textId="77777777" w:rsidR="00FF2330" w:rsidRDefault="00FF2330" w:rsidP="00FF2330">
      <w:pPr>
        <w:rPr>
          <w:szCs w:val="24"/>
        </w:rPr>
      </w:pPr>
    </w:p>
    <w:p w14:paraId="0D1CF3F6" w14:textId="375108C2" w:rsidR="00FF2330" w:rsidRDefault="00FF2330" w:rsidP="00550A22">
      <w:pPr>
        <w:pStyle w:val="BodyText1"/>
        <w:rPr>
          <w:color w:val="FFFFFF" w:themeColor="background1"/>
        </w:rPr>
      </w:pPr>
      <w:r>
        <w:rPr>
          <w:noProof/>
          <w:color w:val="FFFFFF" w:themeColor="background1"/>
        </w:rPr>
        <w:drawing>
          <wp:anchor distT="0" distB="0" distL="114300" distR="114300" simplePos="0" relativeHeight="251662336" behindDoc="0" locked="0" layoutInCell="1" allowOverlap="1" wp14:anchorId="002B93F8" wp14:editId="22D83D3B">
            <wp:simplePos x="0" y="0"/>
            <wp:positionH relativeFrom="column">
              <wp:posOffset>19050</wp:posOffset>
            </wp:positionH>
            <wp:positionV relativeFrom="paragraph">
              <wp:posOffset>514350</wp:posOffset>
            </wp:positionV>
            <wp:extent cx="5772150" cy="3609975"/>
            <wp:effectExtent l="19050" t="0" r="0" b="0"/>
            <wp:wrapNone/>
            <wp:docPr id="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srcRect/>
                    <a:stretch>
                      <a:fillRect/>
                    </a:stretch>
                  </pic:blipFill>
                  <pic:spPr bwMode="auto">
                    <a:xfrm>
                      <a:off x="0" y="0"/>
                      <a:ext cx="5772150" cy="3609975"/>
                    </a:xfrm>
                    <a:prstGeom prst="rect">
                      <a:avLst/>
                    </a:prstGeom>
                    <a:noFill/>
                    <a:ln w="9525">
                      <a:noFill/>
                      <a:miter lim="800000"/>
                      <a:headEnd/>
                      <a:tailEnd/>
                    </a:ln>
                  </pic:spPr>
                </pic:pic>
              </a:graphicData>
            </a:graphic>
          </wp:anchor>
        </w:drawing>
      </w:r>
      <w:r w:rsidR="007465D8">
        <w:rPr>
          <w:noProof/>
          <w:color w:val="FFFFFF" w:themeColor="background1"/>
        </w:rPr>
        <mc:AlternateContent>
          <mc:Choice Requires="wpg">
            <w:drawing>
              <wp:inline distT="0" distB="0" distL="0" distR="0" wp14:anchorId="5CB1B363" wp14:editId="3C5C2DAD">
                <wp:extent cx="5803900" cy="4010025"/>
                <wp:effectExtent l="9525" t="9525" r="6350" b="9525"/>
                <wp:docPr id="289"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03900" cy="4010025"/>
                          <a:chOff x="753" y="1800"/>
                          <a:chExt cx="9121" cy="9090"/>
                        </a:xfrm>
                      </wpg:grpSpPr>
                      <wps:wsp>
                        <wps:cNvPr id="290" name="Text Box 71"/>
                        <wps:cNvSpPr txBox="1">
                          <a:spLocks noChangeArrowheads="1"/>
                        </wps:cNvSpPr>
                        <wps:spPr bwMode="auto">
                          <a:xfrm>
                            <a:off x="753" y="1800"/>
                            <a:ext cx="9121" cy="680"/>
                          </a:xfrm>
                          <a:prstGeom prst="rect">
                            <a:avLst/>
                          </a:prstGeom>
                          <a:solidFill>
                            <a:srgbClr val="629FC2"/>
                          </a:solidFill>
                          <a:ln w="12700">
                            <a:solidFill>
                              <a:srgbClr val="629FC2"/>
                            </a:solidFill>
                            <a:miter lim="800000"/>
                            <a:headEnd/>
                            <a:tailEnd/>
                          </a:ln>
                        </wps:spPr>
                        <wps:txbx>
                          <w:txbxContent>
                            <w:p w14:paraId="163B8FE1" w14:textId="77777777" w:rsidR="0021734B" w:rsidRPr="00B12495" w:rsidRDefault="0021734B" w:rsidP="00FF2330">
                              <w:pPr>
                                <w:pStyle w:val="Figureheading"/>
                              </w:pPr>
                              <w:r>
                                <w:t>Figure 4</w:t>
                              </w:r>
                            </w:p>
                          </w:txbxContent>
                        </wps:txbx>
                        <wps:bodyPr rot="0" vert="horz" wrap="square" lIns="91440" tIns="45720" rIns="91440" bIns="45720" anchor="t" anchorCtr="0" upright="1">
                          <a:noAutofit/>
                        </wps:bodyPr>
                      </wps:wsp>
                      <wps:wsp>
                        <wps:cNvPr id="292" name="Rectangle 72"/>
                        <wps:cNvSpPr>
                          <a:spLocks noChangeArrowheads="1"/>
                        </wps:cNvSpPr>
                        <wps:spPr bwMode="auto">
                          <a:xfrm>
                            <a:off x="753" y="2480"/>
                            <a:ext cx="9121" cy="841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CB1B363" id="Group 70" o:spid="_x0000_s1040" style="width:457pt;height:315.75pt;mso-position-horizontal-relative:char;mso-position-vertical-relative:line" coordorigin="753,1800" coordsize="9121,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">
                <v:shape id="Text Box 71" o:spid="_x0000_s1041" type="#_x0000_t202" style="position:absolute;left:753;top:1800;width:9121;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" fillcolor="#629fc2" strokecolor="#629fc2" strokeweight="1pt">
                  <v:textbox>
                    <w:txbxContent>
                      <w:p w14:paraId="163B8FE1" w14:textId="77777777" w:rsidR="0021734B" w:rsidRPr="00B12495" w:rsidRDefault="0021734B" w:rsidP="00FF2330">
                        <w:pPr>
                          <w:pStyle w:val="Figureheading"/>
                        </w:pPr>
                        <w:r>
                          <w:t>Figure 4</w:t>
                        </w:r>
                      </w:p>
                    </w:txbxContent>
                  </v:textbox>
                </v:shape>
                <v:rect id="Rectangle 72" o:spid="_x0000_s1042" style="position:absolute;left:753;top:2480;width:9121;height:8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" filled="f" strokecolor="#688fb0" strokeweight="1pt"/>
                <w10:anchorlock/>
              </v:group>
            </w:pict>
          </mc:Fallback>
        </mc:AlternateContent>
      </w:r>
    </w:p>
    <w:p w14:paraId="2AC7D5D3" w14:textId="293F7F2A" w:rsidR="00BE0F2A" w:rsidRPr="00547F18" w:rsidRDefault="007465D8" w:rsidP="00BE0F2A">
      <w:pPr>
        <w:pStyle w:val="Heading3"/>
        <w:tabs>
          <w:tab w:val="clear" w:pos="1292"/>
          <w:tab w:val="num" w:pos="1008"/>
        </w:tabs>
        <w:ind w:left="1008"/>
        <w:rPr>
          <w:b w:val="0"/>
        </w:rPr>
      </w:pPr>
      <w:bookmarkStart w:id="31" w:name="_Toc399249130"/>
      <w:bookmarkStart w:id="32" w:name="_Toc399252942"/>
      <w:bookmarkStart w:id="33" w:name="_Toc400007272"/>
      <w:r>
        <w:rPr>
          <w:noProof/>
        </w:rPr>
        <mc:AlternateContent>
          <mc:Choice Requires="wps">
            <w:drawing>
              <wp:anchor distT="0" distB="0" distL="114300" distR="114300" simplePos="0" relativeHeight="251744256" behindDoc="1" locked="0" layoutInCell="1" allowOverlap="1" wp14:anchorId="153FD5C1" wp14:editId="646C4928">
                <wp:simplePos x="0" y="0"/>
                <wp:positionH relativeFrom="column">
                  <wp:posOffset>4876800</wp:posOffset>
                </wp:positionH>
                <wp:positionV relativeFrom="paragraph">
                  <wp:posOffset>307340</wp:posOffset>
                </wp:positionV>
                <wp:extent cx="2000250" cy="2581275"/>
                <wp:effectExtent l="0" t="2540" r="0" b="0"/>
                <wp:wrapSquare wrapText="bothSides"/>
                <wp:docPr id="288" name="Text Box 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2581275"/>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54D91" w14:textId="77777777" w:rsidR="0021734B" w:rsidRDefault="0021734B" w:rsidP="00D5725E">
                            <w:pPr>
                              <w:spacing w:before="0"/>
                              <w:rPr>
                                <w:i/>
                                <w:color w:val="5D9D91"/>
                                <w:sz w:val="36"/>
                              </w:rPr>
                            </w:pPr>
                            <w:r>
                              <w:rPr>
                                <w:i/>
                                <w:noProof/>
                                <w:color w:val="5D9D91"/>
                                <w:sz w:val="36"/>
                              </w:rPr>
                              <w:drawing>
                                <wp:inline distT="0" distB="0" distL="0" distR="0" wp14:anchorId="32FD59DA" wp14:editId="3C6CD5C4">
                                  <wp:extent cx="390525" cy="333375"/>
                                  <wp:effectExtent l="19050" t="0" r="9525" b="0"/>
                                  <wp:docPr id="22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609D5B29" w14:textId="77777777" w:rsidR="0021734B" w:rsidRPr="001C745D" w:rsidRDefault="0021734B" w:rsidP="00D5725E">
                            <w:pPr>
                              <w:spacing w:before="0"/>
                              <w:rPr>
                                <w:i/>
                                <w:color w:val="5D9D91"/>
                                <w:sz w:val="6"/>
                              </w:rPr>
                            </w:pPr>
                          </w:p>
                          <w:p w14:paraId="0FBF2989" w14:textId="77777777" w:rsidR="0021734B" w:rsidRPr="0091077E" w:rsidRDefault="0021734B" w:rsidP="00D5725E">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 xml:space="preserve"> Adults under 45 now drink less. Drinking above guidelines, heavy and very heavy drinking have decreased in adults aged under 45, particularly in males and the youngest females, and increased or stayed the same for adults aged 45 or over ...</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33A93274" w14:textId="77777777" w:rsidR="0021734B" w:rsidRPr="002D6AA2" w:rsidRDefault="0021734B" w:rsidP="00D5725E">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3FD5C1" id="Text Box 276" o:spid="_x0000_s1043" type="#_x0000_t202" style="position:absolute;left:0;text-align:left;margin-left:384pt;margin-top:24.2pt;width:157.5pt;height:203.25pt;z-index:-251572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" filled="f" fillcolor="#31849b [2408]" stroked="f">
                <v:textbox>
                  <w:txbxContent>
                    <w:p w14:paraId="00A54D91" w14:textId="77777777" w:rsidR="0021734B" w:rsidRDefault="0021734B" w:rsidP="00D5725E">
                      <w:pPr>
                        <w:spacing w:before="0"/>
                        <w:rPr>
                          <w:i/>
                          <w:color w:val="5D9D91"/>
                          <w:sz w:val="36"/>
                        </w:rPr>
                      </w:pPr>
                      <w:r>
                        <w:rPr>
                          <w:i/>
                          <w:noProof/>
                          <w:color w:val="5D9D91"/>
                          <w:sz w:val="36"/>
                        </w:rPr>
                        <w:drawing>
                          <wp:inline distT="0" distB="0" distL="0" distR="0" wp14:anchorId="32FD59DA" wp14:editId="3C6CD5C4">
                            <wp:extent cx="390525" cy="333375"/>
                            <wp:effectExtent l="19050" t="0" r="9525" b="0"/>
                            <wp:docPr id="22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609D5B29" w14:textId="77777777" w:rsidR="0021734B" w:rsidRPr="001C745D" w:rsidRDefault="0021734B" w:rsidP="00D5725E">
                      <w:pPr>
                        <w:spacing w:before="0"/>
                        <w:rPr>
                          <w:i/>
                          <w:color w:val="5D9D91"/>
                          <w:sz w:val="6"/>
                        </w:rPr>
                      </w:pPr>
                    </w:p>
                    <w:p w14:paraId="0FBF2989" w14:textId="77777777" w:rsidR="0021734B" w:rsidRPr="0091077E" w:rsidRDefault="0021734B" w:rsidP="00D5725E">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 xml:space="preserve"> Adults under 45 now drink less. Drinking above guidelines, heavy and very heavy drinking have decreased in adults aged under 45, particularly in males and the youngest females, and increased or stayed the same for adults aged 45 or over ...</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33A93274" w14:textId="77777777" w:rsidR="0021734B" w:rsidRPr="002D6AA2" w:rsidRDefault="0021734B" w:rsidP="00D5725E">
                      <w:pPr>
                        <w:spacing w:before="0"/>
                        <w:ind w:left="142" w:right="27"/>
                        <w:rPr>
                          <w:i/>
                          <w:color w:val="5D9D91"/>
                          <w:sz w:val="20"/>
                          <w:szCs w:val="20"/>
                        </w:rPr>
                      </w:pPr>
                    </w:p>
                  </w:txbxContent>
                </v:textbox>
                <w10:wrap type="square"/>
              </v:shape>
            </w:pict>
          </mc:Fallback>
        </mc:AlternateContent>
      </w:r>
      <w:r w:rsidR="00BE0F2A" w:rsidRPr="00547F18">
        <w:t>Drinking patterns by age group and over time</w:t>
      </w:r>
      <w:bookmarkEnd w:id="31"/>
      <w:bookmarkEnd w:id="32"/>
      <w:bookmarkEnd w:id="33"/>
    </w:p>
    <w:p w14:paraId="4F62C5A0" w14:textId="77777777" w:rsidR="00BE0F2A" w:rsidRDefault="00BE0F2A" w:rsidP="00BE0F2A">
      <w:pPr>
        <w:autoSpaceDE w:val="0"/>
        <w:autoSpaceDN w:val="0"/>
        <w:adjustRightInd w:val="0"/>
        <w:spacing w:before="0"/>
        <w:jc w:val="left"/>
        <w:rPr>
          <w:szCs w:val="24"/>
        </w:rPr>
      </w:pPr>
    </w:p>
    <w:p w14:paraId="1B446EBF" w14:textId="77777777" w:rsidR="00BE0F2A" w:rsidRDefault="00BE0F2A" w:rsidP="00943E7A">
      <w:pPr>
        <w:autoSpaceDE w:val="0"/>
        <w:autoSpaceDN w:val="0"/>
        <w:adjustRightInd w:val="0"/>
        <w:spacing w:before="0"/>
        <w:rPr>
          <w:szCs w:val="24"/>
        </w:rPr>
      </w:pPr>
      <w:r>
        <w:rPr>
          <w:szCs w:val="24"/>
        </w:rPr>
        <w:t>Drinking patterns and the change over time vary by</w:t>
      </w:r>
      <w:r w:rsidR="00F66AAE">
        <w:rPr>
          <w:szCs w:val="24"/>
        </w:rPr>
        <w:t xml:space="preserve"> age group and measure (Figure 5, 6, 7</w:t>
      </w:r>
      <w:r>
        <w:rPr>
          <w:szCs w:val="24"/>
        </w:rPr>
        <w:t xml:space="preserve">). </w:t>
      </w:r>
    </w:p>
    <w:p w14:paraId="2B59487D" w14:textId="77777777" w:rsidR="00BE0F2A" w:rsidRDefault="00BE0F2A" w:rsidP="00BE0F2A">
      <w:pPr>
        <w:autoSpaceDE w:val="0"/>
        <w:autoSpaceDN w:val="0"/>
        <w:adjustRightInd w:val="0"/>
        <w:spacing w:before="0"/>
        <w:jc w:val="left"/>
        <w:rPr>
          <w:szCs w:val="24"/>
        </w:rPr>
      </w:pPr>
    </w:p>
    <w:p w14:paraId="1B3EB89B" w14:textId="77777777" w:rsidR="00BE0F2A" w:rsidRPr="00776A6E" w:rsidRDefault="00BE0F2A" w:rsidP="00BE0F2A">
      <w:pPr>
        <w:pStyle w:val="Heading3nonumber"/>
      </w:pPr>
      <w:bookmarkStart w:id="34" w:name="_Toc399249131"/>
      <w:r w:rsidRPr="00776A6E">
        <w:t>Drinking above guidelines</w:t>
      </w:r>
      <w:bookmarkEnd w:id="34"/>
    </w:p>
    <w:p w14:paraId="503CD9F0" w14:textId="77777777" w:rsidR="00BE0F2A" w:rsidRDefault="00BE0F2A" w:rsidP="00BE0F2A">
      <w:pPr>
        <w:autoSpaceDE w:val="0"/>
        <w:autoSpaceDN w:val="0"/>
        <w:adjustRightInd w:val="0"/>
        <w:spacing w:before="0"/>
        <w:jc w:val="left"/>
        <w:rPr>
          <w:szCs w:val="24"/>
        </w:rPr>
      </w:pPr>
    </w:p>
    <w:p w14:paraId="4981BEE7" w14:textId="77777777" w:rsidR="00BE0F2A" w:rsidRDefault="00BE0F2A" w:rsidP="00943E7A">
      <w:pPr>
        <w:autoSpaceDE w:val="0"/>
        <w:autoSpaceDN w:val="0"/>
        <w:adjustRightInd w:val="0"/>
        <w:spacing w:before="0"/>
        <w:rPr>
          <w:szCs w:val="24"/>
        </w:rPr>
      </w:pPr>
      <w:r>
        <w:rPr>
          <w:szCs w:val="24"/>
        </w:rPr>
        <w:t>Drinking above guidelines has decreased substantially in the younger age groups (16-24, 25-34 and 35-44), most notably in m</w:t>
      </w:r>
      <w:r w:rsidR="00F66AAE">
        <w:rPr>
          <w:szCs w:val="24"/>
        </w:rPr>
        <w:t>ales (Figure 5</w:t>
      </w:r>
      <w:r>
        <w:rPr>
          <w:szCs w:val="24"/>
        </w:rPr>
        <w:t xml:space="preserve">), however, there was no change for females aged 25-34. For example, the percentage in young males aged 16-24 has fallen from 51% to 42% and in young females from 46% to 39%. In those aged 45 and above the percentages have either remained the same or have slightly increased between the time periods, with the 45-54 year old age group having the highest percentages </w:t>
      </w:r>
      <w:r w:rsidR="00F66AAE">
        <w:rPr>
          <w:szCs w:val="24"/>
        </w:rPr>
        <w:t>(Figure 5</w:t>
      </w:r>
      <w:r w:rsidRPr="00D90CD1">
        <w:rPr>
          <w:szCs w:val="24"/>
        </w:rPr>
        <w:t>).</w:t>
      </w:r>
    </w:p>
    <w:p w14:paraId="11858148" w14:textId="77777777" w:rsidR="00BE0F2A" w:rsidRDefault="00BE0F2A" w:rsidP="00550A22">
      <w:pPr>
        <w:pStyle w:val="BodyText1"/>
        <w:rPr>
          <w:color w:val="FFFFFF" w:themeColor="background1"/>
        </w:rPr>
      </w:pPr>
    </w:p>
    <w:p w14:paraId="49BD6712" w14:textId="77777777" w:rsidR="00BE0F2A" w:rsidRDefault="00BE0F2A">
      <w:pPr>
        <w:spacing w:before="0"/>
        <w:jc w:val="left"/>
        <w:rPr>
          <w:color w:val="FFFFFF" w:themeColor="background1"/>
        </w:rPr>
      </w:pPr>
      <w:r>
        <w:rPr>
          <w:color w:val="FFFFFF" w:themeColor="background1"/>
        </w:rPr>
        <w:br w:type="page"/>
      </w:r>
    </w:p>
    <w:p w14:paraId="0227F50F" w14:textId="1488F35E" w:rsidR="00BE0F2A" w:rsidRDefault="00BE0F2A" w:rsidP="00550A22">
      <w:pPr>
        <w:pStyle w:val="BodyText1"/>
        <w:rPr>
          <w:color w:val="FFFFFF" w:themeColor="background1"/>
        </w:rPr>
      </w:pPr>
      <w:r w:rsidRPr="00BE0F2A">
        <w:rPr>
          <w:noProof/>
          <w:color w:val="FFFFFF" w:themeColor="background1"/>
        </w:rPr>
        <w:lastRenderedPageBreak/>
        <w:drawing>
          <wp:anchor distT="0" distB="0" distL="114300" distR="114300" simplePos="0" relativeHeight="251663360" behindDoc="0" locked="0" layoutInCell="1" allowOverlap="1" wp14:anchorId="4CF800BD" wp14:editId="61413244">
            <wp:simplePos x="0" y="0"/>
            <wp:positionH relativeFrom="column">
              <wp:posOffset>19050</wp:posOffset>
            </wp:positionH>
            <wp:positionV relativeFrom="paragraph">
              <wp:posOffset>636270</wp:posOffset>
            </wp:positionV>
            <wp:extent cx="5772150" cy="3609975"/>
            <wp:effectExtent l="19050" t="0" r="0" b="0"/>
            <wp:wrapNone/>
            <wp:docPr id="4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srcRect/>
                    <a:stretch>
                      <a:fillRect/>
                    </a:stretch>
                  </pic:blipFill>
                  <pic:spPr bwMode="auto">
                    <a:xfrm>
                      <a:off x="0" y="0"/>
                      <a:ext cx="5772150" cy="3609975"/>
                    </a:xfrm>
                    <a:prstGeom prst="rect">
                      <a:avLst/>
                    </a:prstGeom>
                    <a:noFill/>
                    <a:ln w="9525">
                      <a:noFill/>
                      <a:miter lim="800000"/>
                      <a:headEnd/>
                      <a:tailEnd/>
                    </a:ln>
                  </pic:spPr>
                </pic:pic>
              </a:graphicData>
            </a:graphic>
          </wp:anchor>
        </w:drawing>
      </w:r>
      <w:r w:rsidR="007465D8">
        <w:rPr>
          <w:noProof/>
          <w:color w:val="FFFFFF" w:themeColor="background1"/>
        </w:rPr>
        <mc:AlternateContent>
          <mc:Choice Requires="wpg">
            <w:drawing>
              <wp:inline distT="0" distB="0" distL="0" distR="0" wp14:anchorId="1D325237" wp14:editId="7791196A">
                <wp:extent cx="5803900" cy="4010025"/>
                <wp:effectExtent l="9525" t="11430" r="6350" b="7620"/>
                <wp:docPr id="92"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03900" cy="4010025"/>
                          <a:chOff x="753" y="1800"/>
                          <a:chExt cx="9121" cy="9090"/>
                        </a:xfrm>
                      </wpg:grpSpPr>
                      <wps:wsp>
                        <wps:cNvPr id="93" name="Text Box 74"/>
                        <wps:cNvSpPr txBox="1">
                          <a:spLocks noChangeArrowheads="1"/>
                        </wps:cNvSpPr>
                        <wps:spPr bwMode="auto">
                          <a:xfrm>
                            <a:off x="753" y="1800"/>
                            <a:ext cx="9121" cy="680"/>
                          </a:xfrm>
                          <a:prstGeom prst="rect">
                            <a:avLst/>
                          </a:prstGeom>
                          <a:solidFill>
                            <a:srgbClr val="629FC2"/>
                          </a:solidFill>
                          <a:ln w="12700">
                            <a:solidFill>
                              <a:srgbClr val="629FC2"/>
                            </a:solidFill>
                            <a:miter lim="800000"/>
                            <a:headEnd/>
                            <a:tailEnd/>
                          </a:ln>
                        </wps:spPr>
                        <wps:txbx>
                          <w:txbxContent>
                            <w:p w14:paraId="3944E4C5" w14:textId="77777777" w:rsidR="0021734B" w:rsidRPr="00B12495" w:rsidRDefault="0021734B" w:rsidP="00BE0F2A">
                              <w:pPr>
                                <w:pStyle w:val="Figureheading"/>
                              </w:pPr>
                              <w:r>
                                <w:t>Figure 5</w:t>
                              </w:r>
                            </w:p>
                          </w:txbxContent>
                        </wps:txbx>
                        <wps:bodyPr rot="0" vert="horz" wrap="square" lIns="91440" tIns="45720" rIns="91440" bIns="45720" anchor="t" anchorCtr="0" upright="1">
                          <a:noAutofit/>
                        </wps:bodyPr>
                      </wps:wsp>
                      <wps:wsp>
                        <wps:cNvPr id="94" name="Rectangle 75"/>
                        <wps:cNvSpPr>
                          <a:spLocks noChangeArrowheads="1"/>
                        </wps:cNvSpPr>
                        <wps:spPr bwMode="auto">
                          <a:xfrm>
                            <a:off x="753" y="2480"/>
                            <a:ext cx="9121" cy="841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D325237" id="Group 73" o:spid="_x0000_s1044" style="width:457pt;height:315.75pt;mso-position-horizontal-relative:char;mso-position-vertical-relative:line" coordorigin="753,1800" coordsize="9121,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">
                <v:shape id="Text Box 74" o:spid="_x0000_s1045" type="#_x0000_t202" style="position:absolute;left:753;top:1800;width:9121;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" fillcolor="#629fc2" strokecolor="#629fc2" strokeweight="1pt">
                  <v:textbox>
                    <w:txbxContent>
                      <w:p w14:paraId="3944E4C5" w14:textId="77777777" w:rsidR="0021734B" w:rsidRPr="00B12495" w:rsidRDefault="0021734B" w:rsidP="00BE0F2A">
                        <w:pPr>
                          <w:pStyle w:val="Figureheading"/>
                        </w:pPr>
                        <w:r>
                          <w:t>Figure 5</w:t>
                        </w:r>
                      </w:p>
                    </w:txbxContent>
                  </v:textbox>
                </v:shape>
                <v:rect id="Rectangle 75" o:spid="_x0000_s1046" style="position:absolute;left:753;top:2480;width:9121;height:8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" filled="f" strokecolor="#688fb0" strokeweight="1pt"/>
                <w10:anchorlock/>
              </v:group>
            </w:pict>
          </mc:Fallback>
        </mc:AlternateContent>
      </w:r>
    </w:p>
    <w:p w14:paraId="51F0F9EB" w14:textId="77777777" w:rsidR="00BE0F2A" w:rsidRDefault="00BE0F2A" w:rsidP="00550A22">
      <w:pPr>
        <w:pStyle w:val="BodyText1"/>
        <w:rPr>
          <w:color w:val="FFFFFF" w:themeColor="background1"/>
        </w:rPr>
      </w:pPr>
    </w:p>
    <w:p w14:paraId="24B0926E" w14:textId="77777777" w:rsidR="00BE0F2A" w:rsidRPr="00547F18" w:rsidRDefault="00BE0F2A" w:rsidP="00BE0F2A">
      <w:pPr>
        <w:pStyle w:val="Heading3nonumber"/>
      </w:pPr>
      <w:bookmarkStart w:id="35" w:name="_Toc399249132"/>
      <w:r w:rsidRPr="00547F18">
        <w:t>Heavy (binge) drinking</w:t>
      </w:r>
      <w:bookmarkEnd w:id="35"/>
    </w:p>
    <w:p w14:paraId="24EE3937" w14:textId="77777777" w:rsidR="00BE0F2A" w:rsidRDefault="00BE0F2A" w:rsidP="00BE0F2A">
      <w:pPr>
        <w:autoSpaceDE w:val="0"/>
        <w:autoSpaceDN w:val="0"/>
        <w:adjustRightInd w:val="0"/>
        <w:spacing w:before="0"/>
        <w:jc w:val="left"/>
        <w:rPr>
          <w:szCs w:val="24"/>
          <w:highlight w:val="yellow"/>
        </w:rPr>
      </w:pPr>
    </w:p>
    <w:p w14:paraId="6215AFBF" w14:textId="77777777" w:rsidR="00BE0F2A" w:rsidRDefault="00BE0F2A" w:rsidP="00943E7A">
      <w:pPr>
        <w:autoSpaceDE w:val="0"/>
        <w:autoSpaceDN w:val="0"/>
        <w:adjustRightInd w:val="0"/>
        <w:spacing w:before="0"/>
        <w:rPr>
          <w:szCs w:val="24"/>
        </w:rPr>
      </w:pPr>
      <w:r>
        <w:rPr>
          <w:szCs w:val="24"/>
        </w:rPr>
        <w:t xml:space="preserve">The pattern of change in heavy (binge) drinking is similar to that of drinking above guidelines. Percentages have significantly decreased in males aged under 45 and females aged 16-24, and increased or stayed the same for those aged 45 and over </w:t>
      </w:r>
      <w:r w:rsidR="00F66AAE">
        <w:rPr>
          <w:szCs w:val="24"/>
        </w:rPr>
        <w:t>(Figure 6</w:t>
      </w:r>
      <w:r w:rsidRPr="005B5290">
        <w:rPr>
          <w:szCs w:val="24"/>
        </w:rPr>
        <w:t>).</w:t>
      </w:r>
      <w:r>
        <w:rPr>
          <w:szCs w:val="24"/>
        </w:rPr>
        <w:t xml:space="preserve"> Most notably, the percentage in females aged 55-64 has increased from 14% to 18% and in males aged 65-74 from 18% to 21%. </w:t>
      </w:r>
    </w:p>
    <w:p w14:paraId="75041823" w14:textId="77777777" w:rsidR="00D064B4" w:rsidRPr="00B552C1" w:rsidRDefault="00D064B4" w:rsidP="00D064B4">
      <w:pPr>
        <w:pStyle w:val="Heading3nonumber"/>
      </w:pPr>
      <w:bookmarkStart w:id="36" w:name="_Toc399249133"/>
      <w:r w:rsidRPr="00B552C1">
        <w:t>Very heavy drinking</w:t>
      </w:r>
      <w:bookmarkEnd w:id="36"/>
    </w:p>
    <w:p w14:paraId="391EEA2E" w14:textId="77777777" w:rsidR="00D064B4" w:rsidRDefault="00D064B4" w:rsidP="00D064B4">
      <w:pPr>
        <w:autoSpaceDE w:val="0"/>
        <w:autoSpaceDN w:val="0"/>
        <w:adjustRightInd w:val="0"/>
        <w:spacing w:before="0"/>
        <w:jc w:val="left"/>
      </w:pPr>
    </w:p>
    <w:p w14:paraId="720ABD1A" w14:textId="77777777" w:rsidR="00D064B4" w:rsidRDefault="00D064B4" w:rsidP="00943E7A">
      <w:pPr>
        <w:autoSpaceDE w:val="0"/>
        <w:autoSpaceDN w:val="0"/>
        <w:adjustRightInd w:val="0"/>
        <w:spacing w:before="0"/>
        <w:rPr>
          <w:szCs w:val="24"/>
        </w:rPr>
      </w:pPr>
      <w:r>
        <w:rPr>
          <w:szCs w:val="24"/>
        </w:rPr>
        <w:t xml:space="preserve">The decrease in very heavy drinking for males aged under 45 and females aged 16-24 is very similar to heavy (binge) drinking. Very heavy drinking has slightly increased or stayed the same for males and females aged 45 and over </w:t>
      </w:r>
      <w:r w:rsidR="00F66AAE">
        <w:rPr>
          <w:szCs w:val="24"/>
        </w:rPr>
        <w:t>(Figure 7</w:t>
      </w:r>
      <w:r w:rsidRPr="005B5290">
        <w:rPr>
          <w:szCs w:val="24"/>
        </w:rPr>
        <w:t>).</w:t>
      </w:r>
      <w:r>
        <w:rPr>
          <w:szCs w:val="24"/>
        </w:rPr>
        <w:t xml:space="preserve"> Males aged 25-34 and females aged 16-24 still report the highest percentages but the differences between the age groups are becoming smaller. Whilst the reduction in average drinking in Wales is good news, it is not uniform across the age groups and </w:t>
      </w:r>
      <w:r w:rsidRPr="00232DC6">
        <w:rPr>
          <w:szCs w:val="24"/>
        </w:rPr>
        <w:t>masks persistent or increased drinking</w:t>
      </w:r>
      <w:r>
        <w:rPr>
          <w:szCs w:val="24"/>
        </w:rPr>
        <w:t xml:space="preserve"> in males and females over 45</w:t>
      </w:r>
      <w:r w:rsidRPr="00232DC6">
        <w:rPr>
          <w:szCs w:val="24"/>
        </w:rPr>
        <w:t>.</w:t>
      </w:r>
    </w:p>
    <w:p w14:paraId="210578D8" w14:textId="77777777" w:rsidR="00BE0F2A" w:rsidRDefault="00BE0F2A">
      <w:pPr>
        <w:spacing w:before="0"/>
        <w:jc w:val="left"/>
        <w:rPr>
          <w:color w:val="FFFFFF" w:themeColor="background1"/>
        </w:rPr>
      </w:pPr>
      <w:r>
        <w:rPr>
          <w:color w:val="FFFFFF" w:themeColor="background1"/>
        </w:rPr>
        <w:br w:type="page"/>
      </w:r>
    </w:p>
    <w:p w14:paraId="69F9CD9C" w14:textId="7BF7E886" w:rsidR="00BE0F2A" w:rsidRDefault="00646A7F" w:rsidP="00550A22">
      <w:pPr>
        <w:pStyle w:val="BodyText1"/>
        <w:rPr>
          <w:color w:val="FFFFFF" w:themeColor="background1"/>
        </w:rPr>
      </w:pPr>
      <w:r w:rsidRPr="00646A7F">
        <w:rPr>
          <w:noProof/>
          <w:color w:val="FFFFFF" w:themeColor="background1"/>
        </w:rPr>
        <w:lastRenderedPageBreak/>
        <w:drawing>
          <wp:anchor distT="0" distB="0" distL="114300" distR="114300" simplePos="0" relativeHeight="251664384" behindDoc="0" locked="0" layoutInCell="1" allowOverlap="1" wp14:anchorId="52AB39B6" wp14:editId="0DD1EA9D">
            <wp:simplePos x="0" y="0"/>
            <wp:positionH relativeFrom="column">
              <wp:posOffset>19050</wp:posOffset>
            </wp:positionH>
            <wp:positionV relativeFrom="paragraph">
              <wp:posOffset>614045</wp:posOffset>
            </wp:positionV>
            <wp:extent cx="5772150" cy="3609975"/>
            <wp:effectExtent l="19050" t="0" r="0" b="0"/>
            <wp:wrapNone/>
            <wp:docPr id="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srcRect/>
                    <a:stretch>
                      <a:fillRect/>
                    </a:stretch>
                  </pic:blipFill>
                  <pic:spPr bwMode="auto">
                    <a:xfrm>
                      <a:off x="0" y="0"/>
                      <a:ext cx="5772150" cy="3609975"/>
                    </a:xfrm>
                    <a:prstGeom prst="rect">
                      <a:avLst/>
                    </a:prstGeom>
                    <a:noFill/>
                    <a:ln w="9525">
                      <a:noFill/>
                      <a:miter lim="800000"/>
                      <a:headEnd/>
                      <a:tailEnd/>
                    </a:ln>
                  </pic:spPr>
                </pic:pic>
              </a:graphicData>
            </a:graphic>
          </wp:anchor>
        </w:drawing>
      </w:r>
      <w:r w:rsidR="007465D8">
        <w:rPr>
          <w:noProof/>
          <w:color w:val="FFFFFF" w:themeColor="background1"/>
        </w:rPr>
        <mc:AlternateContent>
          <mc:Choice Requires="wpg">
            <w:drawing>
              <wp:inline distT="0" distB="0" distL="0" distR="0" wp14:anchorId="4922474D" wp14:editId="0FFD1AC0">
                <wp:extent cx="5899150" cy="4010025"/>
                <wp:effectExtent l="9525" t="11430" r="6350" b="7620"/>
                <wp:docPr id="89"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9150" cy="4010025"/>
                          <a:chOff x="753" y="1800"/>
                          <a:chExt cx="9121" cy="9090"/>
                        </a:xfrm>
                      </wpg:grpSpPr>
                      <wps:wsp>
                        <wps:cNvPr id="90" name="Text Box 77"/>
                        <wps:cNvSpPr txBox="1">
                          <a:spLocks noChangeArrowheads="1"/>
                        </wps:cNvSpPr>
                        <wps:spPr bwMode="auto">
                          <a:xfrm>
                            <a:off x="753" y="1800"/>
                            <a:ext cx="9121" cy="680"/>
                          </a:xfrm>
                          <a:prstGeom prst="rect">
                            <a:avLst/>
                          </a:prstGeom>
                          <a:solidFill>
                            <a:srgbClr val="629FC2"/>
                          </a:solidFill>
                          <a:ln w="12700">
                            <a:solidFill>
                              <a:srgbClr val="629FC2"/>
                            </a:solidFill>
                            <a:miter lim="800000"/>
                            <a:headEnd/>
                            <a:tailEnd/>
                          </a:ln>
                        </wps:spPr>
                        <wps:txbx>
                          <w:txbxContent>
                            <w:p w14:paraId="336D69CC" w14:textId="77777777" w:rsidR="0021734B" w:rsidRPr="00B12495" w:rsidRDefault="0021734B" w:rsidP="00646A7F">
                              <w:pPr>
                                <w:pStyle w:val="Figureheading"/>
                              </w:pPr>
                              <w:r>
                                <w:t>Figure 6</w:t>
                              </w:r>
                            </w:p>
                          </w:txbxContent>
                        </wps:txbx>
                        <wps:bodyPr rot="0" vert="horz" wrap="square" lIns="91440" tIns="45720" rIns="91440" bIns="45720" anchor="t" anchorCtr="0" upright="1">
                          <a:noAutofit/>
                        </wps:bodyPr>
                      </wps:wsp>
                      <wps:wsp>
                        <wps:cNvPr id="91" name="Rectangle 78"/>
                        <wps:cNvSpPr>
                          <a:spLocks noChangeArrowheads="1"/>
                        </wps:cNvSpPr>
                        <wps:spPr bwMode="auto">
                          <a:xfrm>
                            <a:off x="753" y="2480"/>
                            <a:ext cx="9121" cy="841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922474D" id="Group 76" o:spid="_x0000_s1047" style="width:464.5pt;height:315.75pt;mso-position-horizontal-relative:char;mso-position-vertical-relative:line" coordorigin="753,1800" coordsize="9121,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">
                <v:shape id="Text Box 77" o:spid="_x0000_s1048" type="#_x0000_t202" style="position:absolute;left:753;top:1800;width:9121;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" fillcolor="#629fc2" strokecolor="#629fc2" strokeweight="1pt">
                  <v:textbox>
                    <w:txbxContent>
                      <w:p w14:paraId="336D69CC" w14:textId="77777777" w:rsidR="0021734B" w:rsidRPr="00B12495" w:rsidRDefault="0021734B" w:rsidP="00646A7F">
                        <w:pPr>
                          <w:pStyle w:val="Figureheading"/>
                        </w:pPr>
                        <w:r>
                          <w:t>Figure 6</w:t>
                        </w:r>
                      </w:p>
                    </w:txbxContent>
                  </v:textbox>
                </v:shape>
                <v:rect id="Rectangle 78" o:spid="_x0000_s1049" style="position:absolute;left:753;top:2480;width:9121;height:8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" filled="f" strokecolor="#688fb0" strokeweight="1pt"/>
                <w10:anchorlock/>
              </v:group>
            </w:pict>
          </mc:Fallback>
        </mc:AlternateContent>
      </w:r>
    </w:p>
    <w:p w14:paraId="2F51BD07" w14:textId="77777777" w:rsidR="00646A7F" w:rsidRDefault="00646A7F" w:rsidP="00550A22">
      <w:pPr>
        <w:pStyle w:val="BodyText1"/>
        <w:rPr>
          <w:color w:val="FFFFFF" w:themeColor="background1"/>
        </w:rPr>
      </w:pPr>
    </w:p>
    <w:p w14:paraId="6DCD89D6" w14:textId="03198D08" w:rsidR="00646A7F" w:rsidRDefault="00646A7F" w:rsidP="00550A22">
      <w:pPr>
        <w:pStyle w:val="BodyText1"/>
        <w:rPr>
          <w:color w:val="FFFFFF" w:themeColor="background1"/>
        </w:rPr>
      </w:pPr>
      <w:r w:rsidRPr="00646A7F">
        <w:rPr>
          <w:noProof/>
          <w:color w:val="FFFFFF" w:themeColor="background1"/>
        </w:rPr>
        <w:drawing>
          <wp:anchor distT="0" distB="0" distL="114300" distR="114300" simplePos="0" relativeHeight="251665408" behindDoc="0" locked="0" layoutInCell="1" allowOverlap="1" wp14:anchorId="44BB56FC" wp14:editId="6204DF5B">
            <wp:simplePos x="0" y="0"/>
            <wp:positionH relativeFrom="column">
              <wp:posOffset>19050</wp:posOffset>
            </wp:positionH>
            <wp:positionV relativeFrom="paragraph">
              <wp:posOffset>477520</wp:posOffset>
            </wp:positionV>
            <wp:extent cx="5772150" cy="3609975"/>
            <wp:effectExtent l="19050" t="0" r="0" b="0"/>
            <wp:wrapNone/>
            <wp:docPr id="4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5772150" cy="3609975"/>
                    </a:xfrm>
                    <a:prstGeom prst="rect">
                      <a:avLst/>
                    </a:prstGeom>
                    <a:noFill/>
                    <a:ln w="9525">
                      <a:noFill/>
                      <a:miter lim="800000"/>
                      <a:headEnd/>
                      <a:tailEnd/>
                    </a:ln>
                  </pic:spPr>
                </pic:pic>
              </a:graphicData>
            </a:graphic>
          </wp:anchor>
        </w:drawing>
      </w:r>
      <w:r w:rsidR="007465D8">
        <w:rPr>
          <w:noProof/>
          <w:color w:val="FFFFFF" w:themeColor="background1"/>
        </w:rPr>
        <mc:AlternateContent>
          <mc:Choice Requires="wpg">
            <w:drawing>
              <wp:inline distT="0" distB="0" distL="0" distR="0" wp14:anchorId="6FF98FC8" wp14:editId="40868142">
                <wp:extent cx="5899150" cy="4010025"/>
                <wp:effectExtent l="9525" t="9525" r="6350" b="9525"/>
                <wp:docPr id="86"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99150" cy="4010025"/>
                          <a:chOff x="753" y="1800"/>
                          <a:chExt cx="9121" cy="9090"/>
                        </a:xfrm>
                      </wpg:grpSpPr>
                      <wps:wsp>
                        <wps:cNvPr id="87" name="Text Box 80"/>
                        <wps:cNvSpPr txBox="1">
                          <a:spLocks noChangeArrowheads="1"/>
                        </wps:cNvSpPr>
                        <wps:spPr bwMode="auto">
                          <a:xfrm>
                            <a:off x="753" y="1800"/>
                            <a:ext cx="9121" cy="680"/>
                          </a:xfrm>
                          <a:prstGeom prst="rect">
                            <a:avLst/>
                          </a:prstGeom>
                          <a:solidFill>
                            <a:srgbClr val="629FC2"/>
                          </a:solidFill>
                          <a:ln w="12700">
                            <a:solidFill>
                              <a:srgbClr val="629FC2"/>
                            </a:solidFill>
                            <a:miter lim="800000"/>
                            <a:headEnd/>
                            <a:tailEnd/>
                          </a:ln>
                        </wps:spPr>
                        <wps:txbx>
                          <w:txbxContent>
                            <w:p w14:paraId="6AF7C3EE" w14:textId="77777777" w:rsidR="0021734B" w:rsidRPr="00B12495" w:rsidRDefault="0021734B" w:rsidP="00646A7F">
                              <w:pPr>
                                <w:pStyle w:val="Figureheading"/>
                              </w:pPr>
                              <w:r>
                                <w:t>Figure 7</w:t>
                              </w:r>
                            </w:p>
                          </w:txbxContent>
                        </wps:txbx>
                        <wps:bodyPr rot="0" vert="horz" wrap="square" lIns="91440" tIns="45720" rIns="91440" bIns="45720" anchor="t" anchorCtr="0" upright="1">
                          <a:noAutofit/>
                        </wps:bodyPr>
                      </wps:wsp>
                      <wps:wsp>
                        <wps:cNvPr id="88" name="Rectangle 81"/>
                        <wps:cNvSpPr>
                          <a:spLocks noChangeArrowheads="1"/>
                        </wps:cNvSpPr>
                        <wps:spPr bwMode="auto">
                          <a:xfrm>
                            <a:off x="753" y="2480"/>
                            <a:ext cx="9121" cy="841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FF98FC8" id="Group 79" o:spid="_x0000_s1050" style="width:464.5pt;height:315.75pt;mso-position-horizontal-relative:char;mso-position-vertical-relative:line" coordorigin="753,1800" coordsize="9121,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">
                <v:shape id="Text Box 80" o:spid="_x0000_s1051" type="#_x0000_t202" style="position:absolute;left:753;top:1800;width:9121;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" fillcolor="#629fc2" strokecolor="#629fc2" strokeweight="1pt">
                  <v:textbox>
                    <w:txbxContent>
                      <w:p w14:paraId="6AF7C3EE" w14:textId="77777777" w:rsidR="0021734B" w:rsidRPr="00B12495" w:rsidRDefault="0021734B" w:rsidP="00646A7F">
                        <w:pPr>
                          <w:pStyle w:val="Figureheading"/>
                        </w:pPr>
                        <w:r>
                          <w:t>Figure 7</w:t>
                        </w:r>
                      </w:p>
                    </w:txbxContent>
                  </v:textbox>
                </v:shape>
                <v:rect id="Rectangle 81" o:spid="_x0000_s1052" style="position:absolute;left:753;top:2480;width:9121;height:8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" filled="f" strokecolor="#688fb0" strokeweight="1pt"/>
                <w10:anchorlock/>
              </v:group>
            </w:pict>
          </mc:Fallback>
        </mc:AlternateContent>
      </w:r>
    </w:p>
    <w:p w14:paraId="012DBDD9" w14:textId="77777777" w:rsidR="00646A7F" w:rsidRDefault="00646A7F" w:rsidP="00550A22">
      <w:pPr>
        <w:pStyle w:val="BodyText1"/>
        <w:rPr>
          <w:color w:val="FFFFFF" w:themeColor="background1"/>
        </w:rPr>
      </w:pPr>
    </w:p>
    <w:p w14:paraId="52D8DEE9" w14:textId="77777777" w:rsidR="00FA4FCD" w:rsidRDefault="00FA4FCD" w:rsidP="00FA4FCD">
      <w:pPr>
        <w:rPr>
          <w:color w:val="629FC2"/>
          <w:szCs w:val="24"/>
        </w:rPr>
      </w:pPr>
      <w:bookmarkStart w:id="37" w:name="_Toc399249134"/>
      <w:bookmarkStart w:id="38" w:name="_Toc399252943"/>
    </w:p>
    <w:p w14:paraId="64EC6982" w14:textId="77777777" w:rsidR="00646A7F" w:rsidRPr="00547F18" w:rsidRDefault="00646A7F" w:rsidP="00646A7F">
      <w:pPr>
        <w:pStyle w:val="Heading3"/>
        <w:tabs>
          <w:tab w:val="clear" w:pos="1292"/>
          <w:tab w:val="num" w:pos="1008"/>
        </w:tabs>
        <w:ind w:left="1008"/>
        <w:rPr>
          <w:b w:val="0"/>
        </w:rPr>
      </w:pPr>
      <w:bookmarkStart w:id="39" w:name="_Toc400007273"/>
      <w:r w:rsidRPr="00547F18">
        <w:lastRenderedPageBreak/>
        <w:t>Geographical variation in very heavy drinking</w:t>
      </w:r>
      <w:bookmarkEnd w:id="37"/>
      <w:bookmarkEnd w:id="38"/>
      <w:bookmarkEnd w:id="39"/>
      <w:r w:rsidRPr="00547F18">
        <w:t xml:space="preserve"> </w:t>
      </w:r>
    </w:p>
    <w:p w14:paraId="5C9895DD" w14:textId="77777777" w:rsidR="00646A7F" w:rsidRPr="00F01EB8" w:rsidRDefault="00646A7F" w:rsidP="00646A7F">
      <w:pPr>
        <w:rPr>
          <w:szCs w:val="24"/>
        </w:rPr>
      </w:pPr>
      <w:r>
        <w:rPr>
          <w:szCs w:val="24"/>
        </w:rPr>
        <w:t xml:space="preserve">The percentage of adults aged 16 and over who report very heavy drinking varies between health boards. The percentage for </w:t>
      </w:r>
      <w:r w:rsidR="00AE1D8F">
        <w:rPr>
          <w:szCs w:val="24"/>
        </w:rPr>
        <w:t>persons</w:t>
      </w:r>
      <w:r w:rsidR="0024549E">
        <w:rPr>
          <w:szCs w:val="24"/>
        </w:rPr>
        <w:t xml:space="preserve"> </w:t>
      </w:r>
      <w:r>
        <w:rPr>
          <w:szCs w:val="24"/>
        </w:rPr>
        <w:t xml:space="preserve">in Powys tHB (12.6%) and Hywel Dda UHB (13.3%) is statistically significantly lower than Wales, whilst Cwm Taf UHB (17.6%) is statistically significantly higher </w:t>
      </w:r>
      <w:r w:rsidR="00F66AAE">
        <w:rPr>
          <w:szCs w:val="24"/>
        </w:rPr>
        <w:t>(Figure 8</w:t>
      </w:r>
      <w:r w:rsidRPr="005B5290">
        <w:rPr>
          <w:szCs w:val="24"/>
        </w:rPr>
        <w:t>).</w:t>
      </w:r>
      <w:r>
        <w:rPr>
          <w:szCs w:val="24"/>
        </w:rPr>
        <w:t xml:space="preserve"> </w:t>
      </w:r>
    </w:p>
    <w:p w14:paraId="64BA1FDE" w14:textId="0C17330A" w:rsidR="00646A7F" w:rsidRDefault="00AE0697" w:rsidP="00550A22">
      <w:pPr>
        <w:pStyle w:val="BodyText1"/>
        <w:rPr>
          <w:color w:val="FFFFFF" w:themeColor="background1"/>
        </w:rPr>
      </w:pPr>
      <w:r w:rsidRPr="00AE0697">
        <w:rPr>
          <w:noProof/>
          <w:color w:val="FFFFFF" w:themeColor="background1"/>
        </w:rPr>
        <w:drawing>
          <wp:anchor distT="0" distB="0" distL="114300" distR="114300" simplePos="0" relativeHeight="251754496" behindDoc="0" locked="0" layoutInCell="1" allowOverlap="1" wp14:anchorId="3110776E" wp14:editId="5FC295D2">
            <wp:simplePos x="0" y="0"/>
            <wp:positionH relativeFrom="column">
              <wp:posOffset>38100</wp:posOffset>
            </wp:positionH>
            <wp:positionV relativeFrom="paragraph">
              <wp:posOffset>508000</wp:posOffset>
            </wp:positionV>
            <wp:extent cx="5153025" cy="3248025"/>
            <wp:effectExtent l="19050" t="0" r="9525" b="0"/>
            <wp:wrapNone/>
            <wp:docPr id="234"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32" cstate="print"/>
                    <a:srcRect/>
                    <a:stretch>
                      <a:fillRect/>
                    </a:stretch>
                  </pic:blipFill>
                  <pic:spPr bwMode="auto">
                    <a:xfrm>
                      <a:off x="0" y="0"/>
                      <a:ext cx="5153025" cy="3248025"/>
                    </a:xfrm>
                    <a:prstGeom prst="rect">
                      <a:avLst/>
                    </a:prstGeom>
                    <a:noFill/>
                    <a:ln w="9525">
                      <a:noFill/>
                      <a:miter lim="800000"/>
                      <a:headEnd/>
                      <a:tailEnd/>
                    </a:ln>
                  </pic:spPr>
                </pic:pic>
              </a:graphicData>
            </a:graphic>
          </wp:anchor>
        </w:drawing>
      </w:r>
      <w:r w:rsidR="007465D8">
        <w:rPr>
          <w:noProof/>
          <w:color w:val="FFFFFF" w:themeColor="background1"/>
        </w:rPr>
        <mc:AlternateContent>
          <mc:Choice Requires="wpg">
            <w:drawing>
              <wp:inline distT="0" distB="0" distL="0" distR="0" wp14:anchorId="46FA717B" wp14:editId="0059B23B">
                <wp:extent cx="5241925" cy="3721100"/>
                <wp:effectExtent l="9525" t="12065" r="6350" b="10160"/>
                <wp:docPr id="83" name="Group 2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1925" cy="3721100"/>
                          <a:chOff x="730" y="3020"/>
                          <a:chExt cx="8165" cy="5875"/>
                        </a:xfrm>
                      </wpg:grpSpPr>
                      <wps:wsp>
                        <wps:cNvPr id="84" name="Text Box 83"/>
                        <wps:cNvSpPr txBox="1">
                          <a:spLocks noChangeArrowheads="1"/>
                        </wps:cNvSpPr>
                        <wps:spPr bwMode="auto">
                          <a:xfrm>
                            <a:off x="730" y="3020"/>
                            <a:ext cx="8165" cy="476"/>
                          </a:xfrm>
                          <a:prstGeom prst="rect">
                            <a:avLst/>
                          </a:prstGeom>
                          <a:solidFill>
                            <a:srgbClr val="629FC2"/>
                          </a:solidFill>
                          <a:ln w="12700">
                            <a:solidFill>
                              <a:srgbClr val="629FC2"/>
                            </a:solidFill>
                            <a:miter lim="800000"/>
                            <a:headEnd/>
                            <a:tailEnd/>
                          </a:ln>
                        </wps:spPr>
                        <wps:txbx>
                          <w:txbxContent>
                            <w:p w14:paraId="15B254FF" w14:textId="77777777" w:rsidR="0021734B" w:rsidRPr="00B12495" w:rsidRDefault="0021734B" w:rsidP="00646A7F">
                              <w:pPr>
                                <w:pStyle w:val="Figureheading"/>
                              </w:pPr>
                              <w:r>
                                <w:t>Figure 8</w:t>
                              </w:r>
                            </w:p>
                          </w:txbxContent>
                        </wps:txbx>
                        <wps:bodyPr rot="0" vert="horz" wrap="square" lIns="91440" tIns="45720" rIns="91440" bIns="45720" anchor="t" anchorCtr="0" upright="1">
                          <a:noAutofit/>
                        </wps:bodyPr>
                      </wps:wsp>
                      <wps:wsp>
                        <wps:cNvPr id="85" name="Rectangle 84"/>
                        <wps:cNvSpPr>
                          <a:spLocks noChangeArrowheads="1"/>
                        </wps:cNvSpPr>
                        <wps:spPr bwMode="auto">
                          <a:xfrm>
                            <a:off x="730" y="3515"/>
                            <a:ext cx="8165" cy="538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6FA717B" id="Group 280" o:spid="_x0000_s1053" style="width:412.75pt;height:293pt;mso-position-horizontal-relative:char;mso-position-vertical-relative:line" coordorigin="730,3020" coordsize="8165,5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">
                <v:shape id="Text Box 83" o:spid="_x0000_s1054" type="#_x0000_t202" style="position:absolute;left:730;top:3020;width:816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" fillcolor="#629fc2" strokecolor="#629fc2" strokeweight="1pt">
                  <v:textbox>
                    <w:txbxContent>
                      <w:p w14:paraId="15B254FF" w14:textId="77777777" w:rsidR="0021734B" w:rsidRPr="00B12495" w:rsidRDefault="0021734B" w:rsidP="00646A7F">
                        <w:pPr>
                          <w:pStyle w:val="Figureheading"/>
                        </w:pPr>
                        <w:r>
                          <w:t>Figure 8</w:t>
                        </w:r>
                      </w:p>
                    </w:txbxContent>
                  </v:textbox>
                </v:shape>
                <v:rect id="Rectangle 84" o:spid="_x0000_s1055" style="position:absolute;left:730;top:3515;width:8165;height:5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" filled="f" strokecolor="#688fb0" strokeweight="1pt"/>
                <w10:anchorlock/>
              </v:group>
            </w:pict>
          </mc:Fallback>
        </mc:AlternateContent>
      </w:r>
    </w:p>
    <w:p w14:paraId="536566A8" w14:textId="77777777" w:rsidR="00646A7F" w:rsidRDefault="00646A7F" w:rsidP="00550A22">
      <w:pPr>
        <w:pStyle w:val="BodyText1"/>
        <w:rPr>
          <w:color w:val="FFFFFF" w:themeColor="background1"/>
        </w:rPr>
      </w:pPr>
    </w:p>
    <w:p w14:paraId="74202128" w14:textId="77777777" w:rsidR="00646A7F" w:rsidRDefault="00646A7F" w:rsidP="00646A7F">
      <w:pPr>
        <w:rPr>
          <w:szCs w:val="24"/>
        </w:rPr>
      </w:pPr>
      <w:r>
        <w:rPr>
          <w:szCs w:val="24"/>
        </w:rPr>
        <w:t>The percentages vary considerably at sub-local authority level (</w:t>
      </w:r>
      <w:r w:rsidR="009649F4">
        <w:rPr>
          <w:szCs w:val="24"/>
        </w:rPr>
        <w:t>u</w:t>
      </w:r>
      <w:r>
        <w:rPr>
          <w:szCs w:val="24"/>
        </w:rPr>
        <w:t xml:space="preserve">pper </w:t>
      </w:r>
      <w:r w:rsidR="009649F4">
        <w:rPr>
          <w:szCs w:val="24"/>
        </w:rPr>
        <w:t>s</w:t>
      </w:r>
      <w:r>
        <w:rPr>
          <w:szCs w:val="24"/>
        </w:rPr>
        <w:t xml:space="preserve">uper </w:t>
      </w:r>
      <w:r w:rsidR="009649F4">
        <w:rPr>
          <w:szCs w:val="24"/>
        </w:rPr>
        <w:t>o</w:t>
      </w:r>
      <w:r>
        <w:rPr>
          <w:szCs w:val="24"/>
        </w:rPr>
        <w:t xml:space="preserve">utput areas) ranging from 8.4 to 21.8 (see map) </w:t>
      </w:r>
      <w:r w:rsidR="009649F4">
        <w:rPr>
          <w:szCs w:val="24"/>
        </w:rPr>
        <w:t>(F</w:t>
      </w:r>
      <w:r w:rsidR="00F66AAE">
        <w:rPr>
          <w:szCs w:val="24"/>
        </w:rPr>
        <w:t>igure 9</w:t>
      </w:r>
      <w:r w:rsidRPr="005B5290">
        <w:rPr>
          <w:szCs w:val="24"/>
        </w:rPr>
        <w:t xml:space="preserve">). The map for each health board separately is included in the Health Board summary document (see </w:t>
      </w:r>
      <w:r w:rsidR="00D7012F">
        <w:rPr>
          <w:szCs w:val="24"/>
        </w:rPr>
        <w:t>inside cover</w:t>
      </w:r>
      <w:r>
        <w:rPr>
          <w:szCs w:val="24"/>
        </w:rPr>
        <w:t xml:space="preserve">). The highest percentages of adults reporting very heavy drinking are in USOAs within Rhondda Cynon Taf, Caerphilly, Bridgend and Blaenau Gwent. </w:t>
      </w:r>
    </w:p>
    <w:p w14:paraId="0FA4EB7A" w14:textId="77777777" w:rsidR="00646A7F" w:rsidRDefault="00646A7F" w:rsidP="00550A22">
      <w:pPr>
        <w:pStyle w:val="BodyText1"/>
        <w:rPr>
          <w:color w:val="FFFFFF" w:themeColor="background1"/>
        </w:rPr>
      </w:pPr>
    </w:p>
    <w:p w14:paraId="44EA692F" w14:textId="77777777" w:rsidR="00646A7F" w:rsidRDefault="00646A7F">
      <w:pPr>
        <w:spacing w:before="0"/>
        <w:jc w:val="left"/>
        <w:rPr>
          <w:color w:val="FFFFFF" w:themeColor="background1"/>
        </w:rPr>
      </w:pPr>
      <w:r>
        <w:rPr>
          <w:color w:val="FFFFFF" w:themeColor="background1"/>
        </w:rPr>
        <w:br w:type="page"/>
      </w:r>
    </w:p>
    <w:p w14:paraId="6FD1FCF3" w14:textId="77777777" w:rsidR="00E24296" w:rsidRDefault="00E24296" w:rsidP="00550A22">
      <w:pPr>
        <w:pStyle w:val="BodyText1"/>
        <w:rPr>
          <w:color w:val="FFFFFF" w:themeColor="background1"/>
        </w:rPr>
      </w:pPr>
    </w:p>
    <w:p w14:paraId="65E1DE0D" w14:textId="7441DC46" w:rsidR="00E24296" w:rsidRDefault="00233504">
      <w:pPr>
        <w:spacing w:before="0"/>
        <w:jc w:val="left"/>
        <w:rPr>
          <w:color w:val="FFFFFF" w:themeColor="background1"/>
        </w:rPr>
      </w:pPr>
      <w:r w:rsidRPr="00233504">
        <w:rPr>
          <w:noProof/>
          <w:color w:val="FFFFFF" w:themeColor="background1"/>
        </w:rPr>
        <w:drawing>
          <wp:anchor distT="0" distB="0" distL="114300" distR="114300" simplePos="0" relativeHeight="251756544" behindDoc="0" locked="0" layoutInCell="1" allowOverlap="1" wp14:anchorId="080A3531" wp14:editId="0AA75ECA">
            <wp:simplePos x="0" y="0"/>
            <wp:positionH relativeFrom="column">
              <wp:posOffset>47625</wp:posOffset>
            </wp:positionH>
            <wp:positionV relativeFrom="paragraph">
              <wp:posOffset>339725</wp:posOffset>
            </wp:positionV>
            <wp:extent cx="5381625" cy="5572125"/>
            <wp:effectExtent l="19050" t="0" r="9525" b="0"/>
            <wp:wrapNone/>
            <wp:docPr id="235" name="Picture 49" descr="20140617_WHS_HeavyDrinking_USOA_200812_Wales_JA_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617_WHS_HeavyDrinking_USOA_200812_Wales_JA_1b.jpg"/>
                    <pic:cNvPicPr/>
                  </pic:nvPicPr>
                  <pic:blipFill>
                    <a:blip r:embed="rId33" cstate="print"/>
                    <a:srcRect l="3333" t="1716" r="11061" b="35542"/>
                    <a:stretch>
                      <a:fillRect/>
                    </a:stretch>
                  </pic:blipFill>
                  <pic:spPr>
                    <a:xfrm>
                      <a:off x="0" y="0"/>
                      <a:ext cx="5381625" cy="5572125"/>
                    </a:xfrm>
                    <a:prstGeom prst="rect">
                      <a:avLst/>
                    </a:prstGeom>
                  </pic:spPr>
                </pic:pic>
              </a:graphicData>
            </a:graphic>
          </wp:anchor>
        </w:drawing>
      </w:r>
      <w:r w:rsidR="007465D8">
        <w:rPr>
          <w:noProof/>
          <w:color w:val="FFFFFF" w:themeColor="background1"/>
        </w:rPr>
        <mc:AlternateContent>
          <mc:Choice Requires="wpg">
            <w:drawing>
              <wp:inline distT="0" distB="0" distL="0" distR="0" wp14:anchorId="51EC1185" wp14:editId="712003E2">
                <wp:extent cx="5508625" cy="6021070"/>
                <wp:effectExtent l="9525" t="9525" r="6350" b="8255"/>
                <wp:docPr id="79" name="Group 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8625" cy="6021070"/>
                          <a:chOff x="730" y="1684"/>
                          <a:chExt cx="8765" cy="9482"/>
                        </a:xfrm>
                      </wpg:grpSpPr>
                      <wps:wsp>
                        <wps:cNvPr id="80" name="Text Box 190"/>
                        <wps:cNvSpPr txBox="1">
                          <a:spLocks noChangeArrowheads="1"/>
                        </wps:cNvSpPr>
                        <wps:spPr bwMode="auto">
                          <a:xfrm>
                            <a:off x="730" y="1684"/>
                            <a:ext cx="8765" cy="476"/>
                          </a:xfrm>
                          <a:prstGeom prst="rect">
                            <a:avLst/>
                          </a:prstGeom>
                          <a:solidFill>
                            <a:srgbClr val="629FC2"/>
                          </a:solidFill>
                          <a:ln w="12700">
                            <a:solidFill>
                              <a:srgbClr val="629FC2"/>
                            </a:solidFill>
                            <a:miter lim="800000"/>
                            <a:headEnd/>
                            <a:tailEnd/>
                          </a:ln>
                        </wps:spPr>
                        <wps:txbx>
                          <w:txbxContent>
                            <w:p w14:paraId="6909380F" w14:textId="77777777" w:rsidR="0021734B" w:rsidRPr="00B12495" w:rsidRDefault="0021734B" w:rsidP="00436F0C">
                              <w:pPr>
                                <w:pStyle w:val="Figureheading"/>
                              </w:pPr>
                              <w:r>
                                <w:t>Figure 9</w:t>
                              </w:r>
                            </w:p>
                          </w:txbxContent>
                        </wps:txbx>
                        <wps:bodyPr rot="0" vert="horz" wrap="square" lIns="91440" tIns="45720" rIns="91440" bIns="45720" anchor="t" anchorCtr="0" upright="1">
                          <a:noAutofit/>
                        </wps:bodyPr>
                      </wps:wsp>
                      <wps:wsp>
                        <wps:cNvPr id="81" name="Rectangle 191"/>
                        <wps:cNvSpPr>
                          <a:spLocks noChangeArrowheads="1"/>
                        </wps:cNvSpPr>
                        <wps:spPr bwMode="auto">
                          <a:xfrm>
                            <a:off x="730" y="2176"/>
                            <a:ext cx="8765" cy="899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1EC1185" id="Group 281" o:spid="_x0000_s1056" style="width:433.75pt;height:474.1pt;mso-position-horizontal-relative:char;mso-position-vertical-relative:line" coordorigin="730,1684" coordsize="8765,94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">
                <v:shape id="Text Box 190" o:spid="_x0000_s1057" type="#_x0000_t202" style="position:absolute;left:730;top:1684;width:876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" fillcolor="#629fc2" strokecolor="#629fc2" strokeweight="1pt">
                  <v:textbox>
                    <w:txbxContent>
                      <w:p w14:paraId="6909380F" w14:textId="77777777" w:rsidR="0021734B" w:rsidRPr="00B12495" w:rsidRDefault="0021734B" w:rsidP="00436F0C">
                        <w:pPr>
                          <w:pStyle w:val="Figureheading"/>
                        </w:pPr>
                        <w:r>
                          <w:t>Figure 9</w:t>
                        </w:r>
                      </w:p>
                    </w:txbxContent>
                  </v:textbox>
                </v:shape>
                <v:rect id="Rectangle 191" o:spid="_x0000_s1058" style="position:absolute;left:730;top:2176;width:8765;height:8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" filled="f" strokecolor="#688fb0" strokeweight="1pt"/>
                <w10:anchorlock/>
              </v:group>
            </w:pict>
          </mc:Fallback>
        </mc:AlternateContent>
      </w:r>
      <w:r w:rsidR="00E24296">
        <w:rPr>
          <w:color w:val="FFFFFF" w:themeColor="background1"/>
        </w:rPr>
        <w:br w:type="page"/>
      </w:r>
    </w:p>
    <w:p w14:paraId="25108898" w14:textId="77777777" w:rsidR="00E24296" w:rsidRDefault="00E24296" w:rsidP="009908C6">
      <w:pPr>
        <w:pStyle w:val="Heading2"/>
        <w:ind w:left="1009" w:hanging="1009"/>
      </w:pPr>
      <w:bookmarkStart w:id="40" w:name="_Toc399249135"/>
      <w:bookmarkStart w:id="41" w:name="_Toc399252944"/>
      <w:bookmarkStart w:id="42" w:name="_Toc400007274"/>
      <w:r>
        <w:lastRenderedPageBreak/>
        <w:t>Drinking patterns and trends in Great Britain</w:t>
      </w:r>
      <w:bookmarkEnd w:id="40"/>
      <w:bookmarkEnd w:id="41"/>
      <w:bookmarkEnd w:id="42"/>
    </w:p>
    <w:p w14:paraId="0654E9F7" w14:textId="77777777" w:rsidR="00E24296" w:rsidRDefault="00E24296" w:rsidP="009908C6">
      <w:r>
        <w:t xml:space="preserve">The percentages of drinking for the three definitions in Wales are higher than in England, but lower than in Scotland </w:t>
      </w:r>
      <w:r w:rsidR="00F66AAE">
        <w:t>(Figure 10</w:t>
      </w:r>
      <w:r w:rsidRPr="005B5290">
        <w:t>).</w:t>
      </w:r>
      <w:r>
        <w:t xml:space="preserve"> According to the Opinions and Lifestyle Survey (OPN), 27% of adults in Wales reported heavy (binge) drinking on the heaviest drinking day in the past week, higher than in England with 25% and lower than in Scotland with 33%. In Wales, 16% reported very heavy drinking compared to 13% in England and 19% in Scotland.</w:t>
      </w:r>
    </w:p>
    <w:p w14:paraId="02A06BCC" w14:textId="77777777" w:rsidR="00E24296" w:rsidRDefault="00E24296" w:rsidP="00E24296">
      <w:r>
        <w:t xml:space="preserve">The data can differ between surveys. The OPN reports that 55% of adults drink above guidelines in Wales whereas the WHS reports 42% for 2012. This is likely to be due to a relatively small sample size for Wales in the OPN (unweighted sample of 370 adults) and a different survey design. The WHS percentages of those reporting heavy (binge) drinking (26%) or very heavy drinking (14%) are much closer. </w:t>
      </w:r>
    </w:p>
    <w:p w14:paraId="5F541406" w14:textId="634F4C22" w:rsidR="009908C6" w:rsidRDefault="00361961" w:rsidP="00550A22">
      <w:pPr>
        <w:pStyle w:val="BodyText1"/>
        <w:rPr>
          <w:color w:val="FFFFFF" w:themeColor="background1"/>
        </w:rPr>
      </w:pPr>
      <w:r>
        <w:rPr>
          <w:noProof/>
          <w:color w:val="FFFFFF" w:themeColor="background1"/>
        </w:rPr>
        <w:drawing>
          <wp:anchor distT="0" distB="0" distL="114300" distR="114300" simplePos="0" relativeHeight="251805696" behindDoc="0" locked="0" layoutInCell="1" allowOverlap="1" wp14:anchorId="202F9313" wp14:editId="5C29F1CE">
            <wp:simplePos x="0" y="0"/>
            <wp:positionH relativeFrom="column">
              <wp:posOffset>19050</wp:posOffset>
            </wp:positionH>
            <wp:positionV relativeFrom="paragraph">
              <wp:posOffset>541020</wp:posOffset>
            </wp:positionV>
            <wp:extent cx="5048250" cy="3609975"/>
            <wp:effectExtent l="19050" t="0" r="0" b="0"/>
            <wp:wrapNone/>
            <wp:docPr id="7"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4" cstate="print"/>
                    <a:srcRect/>
                    <a:stretch>
                      <a:fillRect/>
                    </a:stretch>
                  </pic:blipFill>
                  <pic:spPr bwMode="auto">
                    <a:xfrm>
                      <a:off x="0" y="0"/>
                      <a:ext cx="5048250" cy="3609975"/>
                    </a:xfrm>
                    <a:prstGeom prst="rect">
                      <a:avLst/>
                    </a:prstGeom>
                    <a:noFill/>
                    <a:ln w="9525">
                      <a:noFill/>
                      <a:miter lim="800000"/>
                      <a:headEnd/>
                      <a:tailEnd/>
                    </a:ln>
                  </pic:spPr>
                </pic:pic>
              </a:graphicData>
            </a:graphic>
          </wp:anchor>
        </w:drawing>
      </w:r>
      <w:r w:rsidR="007465D8">
        <w:rPr>
          <w:noProof/>
          <w:color w:val="FFFFFF" w:themeColor="background1"/>
        </w:rPr>
        <mc:AlternateContent>
          <mc:Choice Requires="wpg">
            <w:drawing>
              <wp:inline distT="0" distB="0" distL="0" distR="0" wp14:anchorId="502E44A0" wp14:editId="407F00D2">
                <wp:extent cx="5203825" cy="4154170"/>
                <wp:effectExtent l="9525" t="8255" r="15875" b="9525"/>
                <wp:docPr id="76"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3825" cy="4154170"/>
                          <a:chOff x="730" y="4888"/>
                          <a:chExt cx="8195" cy="6542"/>
                        </a:xfrm>
                      </wpg:grpSpPr>
                      <wps:wsp>
                        <wps:cNvPr id="77" name="Text Box 89"/>
                        <wps:cNvSpPr txBox="1">
                          <a:spLocks noChangeArrowheads="1"/>
                        </wps:cNvSpPr>
                        <wps:spPr bwMode="auto">
                          <a:xfrm>
                            <a:off x="730" y="4888"/>
                            <a:ext cx="8195" cy="476"/>
                          </a:xfrm>
                          <a:prstGeom prst="rect">
                            <a:avLst/>
                          </a:prstGeom>
                          <a:solidFill>
                            <a:srgbClr val="629FC2"/>
                          </a:solidFill>
                          <a:ln w="12700">
                            <a:solidFill>
                              <a:srgbClr val="629FC2"/>
                            </a:solidFill>
                            <a:miter lim="800000"/>
                            <a:headEnd/>
                            <a:tailEnd/>
                          </a:ln>
                        </wps:spPr>
                        <wps:txbx>
                          <w:txbxContent>
                            <w:p w14:paraId="3D26A6D0" w14:textId="77777777" w:rsidR="0021734B" w:rsidRPr="00B12495" w:rsidRDefault="0021734B" w:rsidP="00E24296">
                              <w:pPr>
                                <w:pStyle w:val="Figureheading"/>
                              </w:pPr>
                              <w:r>
                                <w:t>Figure 10</w:t>
                              </w:r>
                            </w:p>
                          </w:txbxContent>
                        </wps:txbx>
                        <wps:bodyPr rot="0" vert="horz" wrap="square" lIns="91440" tIns="45720" rIns="91440" bIns="45720" anchor="t" anchorCtr="0" upright="1">
                          <a:noAutofit/>
                        </wps:bodyPr>
                      </wps:wsp>
                      <wps:wsp>
                        <wps:cNvPr id="78" name="Rectangle 90"/>
                        <wps:cNvSpPr>
                          <a:spLocks noChangeArrowheads="1"/>
                        </wps:cNvSpPr>
                        <wps:spPr bwMode="auto">
                          <a:xfrm>
                            <a:off x="730" y="5377"/>
                            <a:ext cx="8195" cy="6053"/>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02E44A0" id="Group 282" o:spid="_x0000_s1059" style="width:409.75pt;height:327.1pt;mso-position-horizontal-relative:char;mso-position-vertical-relative:line" coordorigin="730,4888" coordsize="8195,65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">
                <v:shape id="Text Box 89" o:spid="_x0000_s1060" type="#_x0000_t202" style="position:absolute;left:730;top:4888;width:819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" fillcolor="#629fc2" strokecolor="#629fc2" strokeweight="1pt">
                  <v:textbox>
                    <w:txbxContent>
                      <w:p w14:paraId="3D26A6D0" w14:textId="77777777" w:rsidR="0021734B" w:rsidRPr="00B12495" w:rsidRDefault="0021734B" w:rsidP="00E24296">
                        <w:pPr>
                          <w:pStyle w:val="Figureheading"/>
                        </w:pPr>
                        <w:r>
                          <w:t>Figure 10</w:t>
                        </w:r>
                      </w:p>
                    </w:txbxContent>
                  </v:textbox>
                </v:shape>
                <v:rect id="Rectangle 90" o:spid="_x0000_s1061" style="position:absolute;left:730;top:5377;width:8195;height:6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" filled="f" strokecolor="#688fb0" strokeweight="1pt"/>
                <w10:anchorlock/>
              </v:group>
            </w:pict>
          </mc:Fallback>
        </mc:AlternateContent>
      </w:r>
    </w:p>
    <w:p w14:paraId="37911CC0" w14:textId="609A1515" w:rsidR="009908C6" w:rsidRPr="009908C6" w:rsidRDefault="007465D8" w:rsidP="009908C6">
      <w:pPr>
        <w:pStyle w:val="Heading2"/>
      </w:pPr>
      <w:bookmarkStart w:id="43" w:name="_Toc399249136"/>
      <w:bookmarkStart w:id="44" w:name="_Toc399252945"/>
      <w:bookmarkStart w:id="45" w:name="_Toc400007275"/>
      <w:r>
        <w:rPr>
          <w:szCs w:val="24"/>
        </w:rPr>
        <mc:AlternateContent>
          <mc:Choice Requires="wps">
            <w:drawing>
              <wp:anchor distT="0" distB="0" distL="114300" distR="114300" simplePos="0" relativeHeight="251729920" behindDoc="1" locked="0" layoutInCell="1" allowOverlap="1" wp14:anchorId="48D3303D" wp14:editId="40D5AEA7">
                <wp:simplePos x="0" y="0"/>
                <wp:positionH relativeFrom="column">
                  <wp:posOffset>5048250</wp:posOffset>
                </wp:positionH>
                <wp:positionV relativeFrom="paragraph">
                  <wp:posOffset>393700</wp:posOffset>
                </wp:positionV>
                <wp:extent cx="1800225" cy="2200275"/>
                <wp:effectExtent l="0" t="1905" r="0" b="0"/>
                <wp:wrapSquare wrapText="bothSides"/>
                <wp:docPr id="73" name="Text Box 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2200275"/>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42F929" w14:textId="77777777" w:rsidR="0021734B" w:rsidRDefault="0021734B" w:rsidP="00113C16">
                            <w:pPr>
                              <w:spacing w:before="0"/>
                              <w:rPr>
                                <w:i/>
                                <w:color w:val="5D9D91"/>
                                <w:sz w:val="36"/>
                              </w:rPr>
                            </w:pPr>
                            <w:r>
                              <w:rPr>
                                <w:i/>
                                <w:noProof/>
                                <w:color w:val="5D9D91"/>
                                <w:sz w:val="36"/>
                              </w:rPr>
                              <w:drawing>
                                <wp:inline distT="0" distB="0" distL="0" distR="0" wp14:anchorId="36518450" wp14:editId="704DCF2B">
                                  <wp:extent cx="390525" cy="333375"/>
                                  <wp:effectExtent l="1905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0F5D7A2E" w14:textId="77777777" w:rsidR="0021734B" w:rsidRPr="001C745D" w:rsidRDefault="0021734B" w:rsidP="00113C16">
                            <w:pPr>
                              <w:spacing w:before="0"/>
                              <w:rPr>
                                <w:i/>
                                <w:color w:val="5D9D91"/>
                                <w:sz w:val="6"/>
                              </w:rPr>
                            </w:pPr>
                          </w:p>
                          <w:p w14:paraId="1024F9DA" w14:textId="77777777" w:rsidR="0021734B" w:rsidRPr="0091077E" w:rsidRDefault="0021734B" w:rsidP="00113C16">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 xml:space="preserve"> The comparison with UK alcohol sales data suggests that surveys including the Welsh Health Survey underestimate alcohol consumption, and may still only represent 60% of the alcohol sold  ...</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7591CA14" w14:textId="77777777" w:rsidR="0021734B" w:rsidRPr="002D6AA2" w:rsidRDefault="0021734B" w:rsidP="00113C16">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D3303D" id="Text Box 270" o:spid="_x0000_s1062" type="#_x0000_t202" style="position:absolute;left:0;text-align:left;margin-left:397.5pt;margin-top:31pt;width:141.75pt;height:173.25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" filled="f" fillcolor="#31849b [2408]" stroked="f">
                <v:textbox>
                  <w:txbxContent>
                    <w:p w14:paraId="6742F929" w14:textId="77777777" w:rsidR="0021734B" w:rsidRDefault="0021734B" w:rsidP="00113C16">
                      <w:pPr>
                        <w:spacing w:before="0"/>
                        <w:rPr>
                          <w:i/>
                          <w:color w:val="5D9D91"/>
                          <w:sz w:val="36"/>
                        </w:rPr>
                      </w:pPr>
                      <w:r>
                        <w:rPr>
                          <w:i/>
                          <w:noProof/>
                          <w:color w:val="5D9D91"/>
                          <w:sz w:val="36"/>
                        </w:rPr>
                        <w:drawing>
                          <wp:inline distT="0" distB="0" distL="0" distR="0" wp14:anchorId="36518450" wp14:editId="704DCF2B">
                            <wp:extent cx="390525" cy="333375"/>
                            <wp:effectExtent l="1905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0F5D7A2E" w14:textId="77777777" w:rsidR="0021734B" w:rsidRPr="001C745D" w:rsidRDefault="0021734B" w:rsidP="00113C16">
                      <w:pPr>
                        <w:spacing w:before="0"/>
                        <w:rPr>
                          <w:i/>
                          <w:color w:val="5D9D91"/>
                          <w:sz w:val="6"/>
                        </w:rPr>
                      </w:pPr>
                    </w:p>
                    <w:p w14:paraId="1024F9DA" w14:textId="77777777" w:rsidR="0021734B" w:rsidRPr="0091077E" w:rsidRDefault="0021734B" w:rsidP="00113C16">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 xml:space="preserve"> The comparison with UK alcohol sales data suggests that surveys including the Welsh Health Survey underestimate alcohol consumption, and may still only represent 60% of the alcohol sold  ...</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7591CA14" w14:textId="77777777" w:rsidR="0021734B" w:rsidRPr="002D6AA2" w:rsidRDefault="0021734B" w:rsidP="00113C16">
                      <w:pPr>
                        <w:spacing w:before="0"/>
                        <w:ind w:left="142" w:right="27"/>
                        <w:rPr>
                          <w:i/>
                          <w:color w:val="5D9D91"/>
                          <w:sz w:val="20"/>
                          <w:szCs w:val="20"/>
                        </w:rPr>
                      </w:pPr>
                    </w:p>
                  </w:txbxContent>
                </v:textbox>
                <w10:wrap type="square"/>
              </v:shape>
            </w:pict>
          </mc:Fallback>
        </mc:AlternateContent>
      </w:r>
      <w:r w:rsidR="009908C6" w:rsidRPr="009908C6">
        <w:t>Comparison of survey results and sales data</w:t>
      </w:r>
      <w:bookmarkEnd w:id="43"/>
      <w:bookmarkEnd w:id="44"/>
      <w:bookmarkEnd w:id="45"/>
      <w:r w:rsidR="009908C6" w:rsidRPr="009908C6">
        <w:t xml:space="preserve"> </w:t>
      </w:r>
    </w:p>
    <w:p w14:paraId="5508B1D0" w14:textId="77777777" w:rsidR="009908C6" w:rsidRPr="00297EB6" w:rsidRDefault="009908C6" w:rsidP="009649F4">
      <w:pPr>
        <w:pStyle w:val="PlainText"/>
        <w:spacing w:before="240"/>
        <w:jc w:val="both"/>
        <w:rPr>
          <w:rFonts w:ascii="Verdana" w:hAnsi="Verdana"/>
          <w:sz w:val="22"/>
          <w:szCs w:val="22"/>
        </w:rPr>
      </w:pPr>
      <w:r w:rsidRPr="00297EB6">
        <w:rPr>
          <w:rFonts w:ascii="Verdana" w:hAnsi="Verdana"/>
          <w:sz w:val="22"/>
          <w:szCs w:val="22"/>
        </w:rPr>
        <w:t xml:space="preserve">The average sale of alcohol per week per person in the UK has fallen from 22.3 units of </w:t>
      </w:r>
      <w:r w:rsidRPr="0000586B">
        <w:rPr>
          <w:rFonts w:ascii="Verdana" w:hAnsi="Verdana"/>
          <w:sz w:val="22"/>
          <w:szCs w:val="22"/>
        </w:rPr>
        <w:t>alcohol</w:t>
      </w:r>
      <w:r w:rsidR="007818ED" w:rsidRPr="0000586B">
        <w:rPr>
          <w:rFonts w:ascii="Verdana" w:hAnsi="Verdana"/>
          <w:sz w:val="22"/>
          <w:szCs w:val="22"/>
        </w:rPr>
        <w:t xml:space="preserve"> at its peak</w:t>
      </w:r>
      <w:r w:rsidRPr="0000586B">
        <w:rPr>
          <w:rFonts w:ascii="Verdana" w:hAnsi="Verdana"/>
          <w:sz w:val="22"/>
          <w:szCs w:val="22"/>
        </w:rPr>
        <w:t xml:space="preserve"> in 2004</w:t>
      </w:r>
      <w:r w:rsidRPr="00297EB6">
        <w:rPr>
          <w:rFonts w:ascii="Verdana" w:hAnsi="Verdana"/>
          <w:sz w:val="22"/>
          <w:szCs w:val="22"/>
        </w:rPr>
        <w:t xml:space="preserve"> </w:t>
      </w:r>
      <w:r w:rsidR="00F66AAE">
        <w:rPr>
          <w:rFonts w:ascii="Verdana" w:hAnsi="Verdana"/>
          <w:sz w:val="22"/>
          <w:szCs w:val="22"/>
        </w:rPr>
        <w:t>to 18.6 units in 2012 (Figure 11</w:t>
      </w:r>
      <w:r w:rsidRPr="00297EB6">
        <w:rPr>
          <w:rFonts w:ascii="Verdana" w:hAnsi="Verdana"/>
          <w:sz w:val="22"/>
          <w:szCs w:val="22"/>
        </w:rPr>
        <w:t>). Sales data are derived from HM Revenue and Customs duty charged on alcohol produced or processed in the UK, or brought into the UK for consumption but not necessarily consumed. Sales figures are not available for Wales separately as it is not possible to identify where in the UK the product was manufactured or released for consumption.</w:t>
      </w:r>
    </w:p>
    <w:p w14:paraId="499A5E04" w14:textId="77777777" w:rsidR="009908C6" w:rsidRDefault="009908C6" w:rsidP="009908C6">
      <w:pPr>
        <w:rPr>
          <w:szCs w:val="24"/>
        </w:rPr>
      </w:pPr>
      <w:r>
        <w:rPr>
          <w:szCs w:val="24"/>
        </w:rPr>
        <w:t>Survey data is known to underestimate consumption in the population and only capture around 60% of the true figures</w:t>
      </w:r>
      <w:r w:rsidRPr="00F2205F">
        <w:rPr>
          <w:szCs w:val="24"/>
          <w:vertAlign w:val="superscript"/>
        </w:rPr>
        <w:t>8</w:t>
      </w:r>
      <w:r>
        <w:rPr>
          <w:szCs w:val="24"/>
          <w:vertAlign w:val="superscript"/>
        </w:rPr>
        <w:t>,9</w:t>
      </w:r>
      <w:r w:rsidR="00F66AAE">
        <w:rPr>
          <w:szCs w:val="24"/>
        </w:rPr>
        <w:t xml:space="preserve">. </w:t>
      </w:r>
      <w:r>
        <w:rPr>
          <w:szCs w:val="24"/>
        </w:rPr>
        <w:t>In 2010, t</w:t>
      </w:r>
      <w:r w:rsidRPr="005B1534">
        <w:rPr>
          <w:szCs w:val="24"/>
        </w:rPr>
        <w:t>he average weekly alcohol consumption per adult in Great Britain (</w:t>
      </w:r>
      <w:r>
        <w:rPr>
          <w:szCs w:val="24"/>
        </w:rPr>
        <w:t>General Lifestyle Survey (</w:t>
      </w:r>
      <w:r w:rsidRPr="005B1534">
        <w:rPr>
          <w:szCs w:val="24"/>
        </w:rPr>
        <w:t>GLF</w:t>
      </w:r>
      <w:r>
        <w:rPr>
          <w:szCs w:val="24"/>
        </w:rPr>
        <w:t>)</w:t>
      </w:r>
      <w:r w:rsidRPr="005B1534">
        <w:rPr>
          <w:szCs w:val="24"/>
        </w:rPr>
        <w:t xml:space="preserve"> survey data) </w:t>
      </w:r>
      <w:r>
        <w:rPr>
          <w:szCs w:val="24"/>
        </w:rPr>
        <w:t xml:space="preserve">was </w:t>
      </w:r>
      <w:r w:rsidRPr="005B1534">
        <w:rPr>
          <w:szCs w:val="24"/>
        </w:rPr>
        <w:t>11.5 units</w:t>
      </w:r>
      <w:r>
        <w:rPr>
          <w:szCs w:val="24"/>
        </w:rPr>
        <w:t>, much lower than</w:t>
      </w:r>
      <w:r w:rsidRPr="005B1534">
        <w:rPr>
          <w:szCs w:val="24"/>
        </w:rPr>
        <w:t xml:space="preserve"> UK sales data </w:t>
      </w:r>
      <w:r>
        <w:rPr>
          <w:szCs w:val="24"/>
        </w:rPr>
        <w:t>of</w:t>
      </w:r>
      <w:r w:rsidRPr="005B1534">
        <w:rPr>
          <w:szCs w:val="24"/>
        </w:rPr>
        <w:t xml:space="preserve"> 19.6 units</w:t>
      </w:r>
      <w:r>
        <w:rPr>
          <w:szCs w:val="24"/>
        </w:rPr>
        <w:t xml:space="preserve"> in 2010</w:t>
      </w:r>
      <w:r w:rsidRPr="005B1534">
        <w:rPr>
          <w:szCs w:val="24"/>
        </w:rPr>
        <w:t xml:space="preserve">. </w:t>
      </w:r>
    </w:p>
    <w:p w14:paraId="4215970B" w14:textId="77777777" w:rsidR="009908C6" w:rsidRDefault="009908C6" w:rsidP="00D1475C">
      <w:pPr>
        <w:rPr>
          <w:szCs w:val="24"/>
        </w:rPr>
      </w:pPr>
      <w:r>
        <w:rPr>
          <w:szCs w:val="24"/>
        </w:rPr>
        <w:lastRenderedPageBreak/>
        <w:t xml:space="preserve">The estimated weekly consumption for adults in Wales from the </w:t>
      </w:r>
      <w:r w:rsidR="0021734B">
        <w:rPr>
          <w:szCs w:val="24"/>
        </w:rPr>
        <w:t>WHS</w:t>
      </w:r>
      <w:r>
        <w:rPr>
          <w:szCs w:val="24"/>
        </w:rPr>
        <w:t xml:space="preserve"> was 10.7 units in 2007 showing a similar gap to sales data (21.5 units). More recent figures for Wales cannot be produced robustly because of question changes in 2008. Additionally, the estimates since 2008 are higher as they take into account the increasing strength of drinks. The WHS sales data gap is therefore now expected to be more similar to the GLF.</w:t>
      </w:r>
    </w:p>
    <w:p w14:paraId="515067CC" w14:textId="77777777" w:rsidR="009908C6" w:rsidRDefault="009908C6" w:rsidP="00D1475C">
      <w:pPr>
        <w:rPr>
          <w:szCs w:val="24"/>
        </w:rPr>
      </w:pPr>
      <w:r>
        <w:rPr>
          <w:szCs w:val="24"/>
        </w:rPr>
        <w:t xml:space="preserve">The GLF survey data does not include Northern Ireland and includes persons aged 16+ whereas the </w:t>
      </w:r>
      <w:r w:rsidRPr="005B1534">
        <w:rPr>
          <w:szCs w:val="24"/>
        </w:rPr>
        <w:t xml:space="preserve">sales figures </w:t>
      </w:r>
      <w:r>
        <w:rPr>
          <w:szCs w:val="24"/>
        </w:rPr>
        <w:t xml:space="preserve">are for persons aged 15+ and it is unclear how accurate sales figures are as an estimate of consumption. </w:t>
      </w:r>
      <w:r>
        <w:t>People tend to understate the amount they drink, partly unintentionally, as they genuinely forget some of the drinking or because it is difficult to estimate units due to different strengths and serving sizes</w:t>
      </w:r>
      <w:r w:rsidRPr="00F2205F">
        <w:rPr>
          <w:vertAlign w:val="superscript"/>
        </w:rPr>
        <w:t>8</w:t>
      </w:r>
      <w:r w:rsidRPr="00D25717">
        <w:t>.</w:t>
      </w:r>
      <w:r>
        <w:t xml:space="preserve"> Some may deliberately understate the amount drunk, because they feel that it is not socially acceptable, and very heavy drinkers are underrepresented in surveys</w:t>
      </w:r>
      <w:r w:rsidRPr="00F2205F">
        <w:rPr>
          <w:vertAlign w:val="superscript"/>
        </w:rPr>
        <w:t>8</w:t>
      </w:r>
      <w:r w:rsidR="00F66AAE">
        <w:t xml:space="preserve">. </w:t>
      </w:r>
      <w:r>
        <w:t>Drinking reported for the previous week may also not represent usual drinking patterns or include special events. While there may be underestimation in the survey results, survey data is still essential to identify characteristics of those drinking, for example comparisons between age groups, males and females, or frequency of drinking which sales data cannot provide.</w:t>
      </w:r>
    </w:p>
    <w:p w14:paraId="14AADF0B" w14:textId="77777777" w:rsidR="009908C6" w:rsidRPr="005B1534" w:rsidRDefault="009908C6" w:rsidP="009908C6">
      <w:pPr>
        <w:rPr>
          <w:szCs w:val="24"/>
        </w:rPr>
      </w:pPr>
    </w:p>
    <w:p w14:paraId="7A3B6BFB" w14:textId="174FA507" w:rsidR="00F435C1" w:rsidRDefault="00CB401F" w:rsidP="009908C6">
      <w:r w:rsidRPr="00CB401F">
        <w:rPr>
          <w:noProof/>
        </w:rPr>
        <w:drawing>
          <wp:anchor distT="0" distB="0" distL="114300" distR="114300" simplePos="0" relativeHeight="251760640" behindDoc="0" locked="0" layoutInCell="1" allowOverlap="1" wp14:anchorId="68EE5D23" wp14:editId="1B7804C6">
            <wp:simplePos x="0" y="0"/>
            <wp:positionH relativeFrom="column">
              <wp:posOffset>28575</wp:posOffset>
            </wp:positionH>
            <wp:positionV relativeFrom="paragraph">
              <wp:posOffset>461645</wp:posOffset>
            </wp:positionV>
            <wp:extent cx="5048250" cy="3609975"/>
            <wp:effectExtent l="0" t="0" r="0" b="0"/>
            <wp:wrapNone/>
            <wp:docPr id="2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5048250" cy="360997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665BD979" wp14:editId="43044ECB">
                <wp:extent cx="5175250" cy="4055745"/>
                <wp:effectExtent l="9525" t="11430" r="6350" b="9525"/>
                <wp:docPr id="69"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75250" cy="4055745"/>
                          <a:chOff x="753" y="1800"/>
                          <a:chExt cx="9121" cy="9090"/>
                        </a:xfrm>
                      </wpg:grpSpPr>
                      <wps:wsp>
                        <wps:cNvPr id="70" name="Text Box 92"/>
                        <wps:cNvSpPr txBox="1">
                          <a:spLocks noChangeArrowheads="1"/>
                        </wps:cNvSpPr>
                        <wps:spPr bwMode="auto">
                          <a:xfrm>
                            <a:off x="753" y="1800"/>
                            <a:ext cx="9121" cy="680"/>
                          </a:xfrm>
                          <a:prstGeom prst="rect">
                            <a:avLst/>
                          </a:prstGeom>
                          <a:solidFill>
                            <a:srgbClr val="629FC2"/>
                          </a:solidFill>
                          <a:ln w="12700">
                            <a:solidFill>
                              <a:srgbClr val="629FC2"/>
                            </a:solidFill>
                            <a:miter lim="800000"/>
                            <a:headEnd/>
                            <a:tailEnd/>
                          </a:ln>
                        </wps:spPr>
                        <wps:txbx>
                          <w:txbxContent>
                            <w:p w14:paraId="74B8C910" w14:textId="77777777" w:rsidR="0021734B" w:rsidRPr="00B12495" w:rsidRDefault="0021734B" w:rsidP="00F435C1">
                              <w:pPr>
                                <w:pStyle w:val="Figureheading"/>
                              </w:pPr>
                              <w:r>
                                <w:t>Figure 11</w:t>
                              </w:r>
                            </w:p>
                          </w:txbxContent>
                        </wps:txbx>
                        <wps:bodyPr rot="0" vert="horz" wrap="square" lIns="91440" tIns="45720" rIns="91440" bIns="45720" anchor="t" anchorCtr="0" upright="1">
                          <a:noAutofit/>
                        </wps:bodyPr>
                      </wps:wsp>
                      <wps:wsp>
                        <wps:cNvPr id="72" name="Rectangle 93"/>
                        <wps:cNvSpPr>
                          <a:spLocks noChangeArrowheads="1"/>
                        </wps:cNvSpPr>
                        <wps:spPr bwMode="auto">
                          <a:xfrm>
                            <a:off x="753" y="2480"/>
                            <a:ext cx="9121" cy="841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65BD979" id="Group 91" o:spid="_x0000_s1063" style="width:407.5pt;height:319.35pt;mso-position-horizontal-relative:char;mso-position-vertical-relative:line" coordorigin="753,1800" coordsize="9121,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">
                <v:shape id="Text Box 92" o:spid="_x0000_s1064" type="#_x0000_t202" style="position:absolute;left:753;top:1800;width:9121;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" fillcolor="#629fc2" strokecolor="#629fc2" strokeweight="1pt">
                  <v:textbox>
                    <w:txbxContent>
                      <w:p w14:paraId="74B8C910" w14:textId="77777777" w:rsidR="0021734B" w:rsidRPr="00B12495" w:rsidRDefault="0021734B" w:rsidP="00F435C1">
                        <w:pPr>
                          <w:pStyle w:val="Figureheading"/>
                        </w:pPr>
                        <w:r>
                          <w:t>Figure 11</w:t>
                        </w:r>
                      </w:p>
                    </w:txbxContent>
                  </v:textbox>
                </v:shape>
                <v:rect id="Rectangle 93" o:spid="_x0000_s1065" style="position:absolute;left:753;top:2480;width:9121;height:8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" filled="f" strokecolor="#688fb0" strokeweight="1pt"/>
                <w10:anchorlock/>
              </v:group>
            </w:pict>
          </mc:Fallback>
        </mc:AlternateContent>
      </w:r>
    </w:p>
    <w:p w14:paraId="54AA64DC" w14:textId="77777777" w:rsidR="00F435C1" w:rsidRDefault="00F435C1">
      <w:pPr>
        <w:spacing w:before="0"/>
        <w:jc w:val="left"/>
      </w:pPr>
      <w:r>
        <w:br w:type="page"/>
      </w:r>
    </w:p>
    <w:p w14:paraId="27EC1C52" w14:textId="77777777" w:rsidR="00F435C1" w:rsidRDefault="00F435C1" w:rsidP="00F435C1">
      <w:pPr>
        <w:pStyle w:val="Heading2"/>
      </w:pPr>
      <w:bookmarkStart w:id="46" w:name="_Toc399249137"/>
      <w:bookmarkStart w:id="47" w:name="_Toc399252946"/>
      <w:bookmarkStart w:id="48" w:name="_Toc400007276"/>
      <w:r>
        <w:lastRenderedPageBreak/>
        <w:t>International comparison of consumption</w:t>
      </w:r>
      <w:bookmarkEnd w:id="46"/>
      <w:bookmarkEnd w:id="47"/>
      <w:bookmarkEnd w:id="48"/>
      <w:r>
        <w:t xml:space="preserve"> </w:t>
      </w:r>
    </w:p>
    <w:p w14:paraId="28074BCF" w14:textId="77777777" w:rsidR="00A24CC8" w:rsidRDefault="00F435C1" w:rsidP="00F435C1">
      <w:r w:rsidRPr="0000586B">
        <w:t xml:space="preserve">Drinking patterns can vary considerably from country to country. </w:t>
      </w:r>
      <w:r w:rsidR="00C54C96" w:rsidRPr="0000586B">
        <w:t>The recent report by the World Health Organisation</w:t>
      </w:r>
      <w:r w:rsidR="00C54C96" w:rsidRPr="0000586B">
        <w:rPr>
          <w:vertAlign w:val="superscript"/>
        </w:rPr>
        <w:t>1</w:t>
      </w:r>
      <w:r w:rsidR="00C54C96" w:rsidRPr="0000586B">
        <w:t xml:space="preserve"> shows that globally people aged 15 and over drink on average 6.2 litres of pure alcohol per year. </w:t>
      </w:r>
      <w:r w:rsidR="00A24CC8" w:rsidRPr="0000586B">
        <w:t xml:space="preserve">In the UK </w:t>
      </w:r>
      <w:r w:rsidR="007818ED" w:rsidRPr="0000586B">
        <w:t>the consumption per</w:t>
      </w:r>
      <w:r w:rsidR="00A24CC8" w:rsidRPr="0000586B">
        <w:t xml:space="preserve"> person aged 15 and over </w:t>
      </w:r>
      <w:r w:rsidR="007818ED" w:rsidRPr="0000586B">
        <w:t xml:space="preserve">was </w:t>
      </w:r>
      <w:r w:rsidR="00A24CC8" w:rsidRPr="0000586B">
        <w:t>an estimated 11.6 litr</w:t>
      </w:r>
      <w:r w:rsidR="00CF1A0B" w:rsidRPr="0000586B">
        <w:t>es of pure alcohol in 2010</w:t>
      </w:r>
      <w:r w:rsidR="00A24CC8" w:rsidRPr="0000586B">
        <w:rPr>
          <w:vertAlign w:val="superscript"/>
        </w:rPr>
        <w:t>1</w:t>
      </w:r>
      <w:r w:rsidR="00A24CC8" w:rsidRPr="0000586B">
        <w:t xml:space="preserve"> (Figure 12). </w:t>
      </w:r>
      <w:r w:rsidR="001050D8" w:rsidRPr="0000586B">
        <w:t>This</w:t>
      </w:r>
      <w:r w:rsidR="00CF1A0B" w:rsidRPr="0000586B">
        <w:t xml:space="preserve"> </w:t>
      </w:r>
      <w:r w:rsidR="00C54C96" w:rsidRPr="0000586B">
        <w:t xml:space="preserve">was compared to other selected Western countries and </w:t>
      </w:r>
      <w:r w:rsidR="00CF1A0B" w:rsidRPr="0000586B">
        <w:t>is lower</w:t>
      </w:r>
      <w:r w:rsidR="00C54C96" w:rsidRPr="0000586B">
        <w:t xml:space="preserve"> in the UK</w:t>
      </w:r>
      <w:r w:rsidR="00CF1A0B" w:rsidRPr="0000586B">
        <w:t xml:space="preserve"> than in Australia or France with 12.2 litres, but higher than </w:t>
      </w:r>
      <w:r w:rsidR="00C54C96" w:rsidRPr="0000586B">
        <w:t>the Netherlands with 9.9</w:t>
      </w:r>
      <w:r w:rsidR="00CF1A0B" w:rsidRPr="0000586B">
        <w:t xml:space="preserve"> litres or Italy with 6.7 litres of alcohol</w:t>
      </w:r>
      <w:r w:rsidR="00C54C96" w:rsidRPr="0000586B">
        <w:t xml:space="preserve"> (Figure 12)</w:t>
      </w:r>
      <w:r w:rsidR="00CF1A0B" w:rsidRPr="0000586B">
        <w:t>.</w:t>
      </w:r>
      <w:r w:rsidR="00C54C96" w:rsidRPr="0000586B">
        <w:t xml:space="preserve"> The sources for the data shown differ between countries but mostly use official data sources such as tax or sales rather than survey data</w:t>
      </w:r>
      <w:r w:rsidR="00C54C96" w:rsidRPr="0000586B">
        <w:rPr>
          <w:vertAlign w:val="superscript"/>
        </w:rPr>
        <w:t>1</w:t>
      </w:r>
      <w:r w:rsidR="00C54C96" w:rsidRPr="0000586B">
        <w:t>. These have been adjusted to exclude tourists and also include an estimate of unrecorded consumption.</w:t>
      </w:r>
    </w:p>
    <w:p w14:paraId="3AF40BC2" w14:textId="77777777" w:rsidR="00CF1A0B" w:rsidRDefault="00CF1A0B" w:rsidP="00F435C1"/>
    <w:p w14:paraId="3F73D6DC" w14:textId="0B56057D" w:rsidR="00A81195" w:rsidRDefault="00FE3D7A" w:rsidP="009908C6">
      <w:r>
        <w:rPr>
          <w:noProof/>
        </w:rPr>
        <w:drawing>
          <wp:anchor distT="0" distB="0" distL="114300" distR="114300" simplePos="0" relativeHeight="251735040" behindDoc="0" locked="0" layoutInCell="1" allowOverlap="1" wp14:anchorId="25E0D2AD" wp14:editId="3CFEFD35">
            <wp:simplePos x="0" y="0"/>
            <wp:positionH relativeFrom="column">
              <wp:posOffset>57150</wp:posOffset>
            </wp:positionH>
            <wp:positionV relativeFrom="paragraph">
              <wp:posOffset>546735</wp:posOffset>
            </wp:positionV>
            <wp:extent cx="4333875" cy="5048250"/>
            <wp:effectExtent l="19050" t="0" r="9525" b="0"/>
            <wp:wrapNone/>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36" cstate="print"/>
                    <a:srcRect/>
                    <a:stretch>
                      <a:fillRect/>
                    </a:stretch>
                  </pic:blipFill>
                  <pic:spPr bwMode="auto">
                    <a:xfrm>
                      <a:off x="0" y="0"/>
                      <a:ext cx="4333875" cy="504825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1D44A33D" wp14:editId="1D135FFC">
                <wp:extent cx="4641850" cy="5509895"/>
                <wp:effectExtent l="9525" t="8255" r="15875" b="15875"/>
                <wp:docPr id="66" name="Group 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1850" cy="5509895"/>
                          <a:chOff x="1855" y="1977"/>
                          <a:chExt cx="8270" cy="8677"/>
                        </a:xfrm>
                      </wpg:grpSpPr>
                      <wps:wsp>
                        <wps:cNvPr id="67" name="Text Box 193"/>
                        <wps:cNvSpPr txBox="1">
                          <a:spLocks noChangeArrowheads="1"/>
                        </wps:cNvSpPr>
                        <wps:spPr bwMode="auto">
                          <a:xfrm>
                            <a:off x="1855" y="1977"/>
                            <a:ext cx="8270" cy="476"/>
                          </a:xfrm>
                          <a:prstGeom prst="rect">
                            <a:avLst/>
                          </a:prstGeom>
                          <a:solidFill>
                            <a:srgbClr val="629FC2"/>
                          </a:solidFill>
                          <a:ln w="12700">
                            <a:solidFill>
                              <a:srgbClr val="629FC2"/>
                            </a:solidFill>
                            <a:miter lim="800000"/>
                            <a:headEnd/>
                            <a:tailEnd/>
                          </a:ln>
                        </wps:spPr>
                        <wps:txbx>
                          <w:txbxContent>
                            <w:p w14:paraId="4030569E" w14:textId="77777777" w:rsidR="0021734B" w:rsidRPr="00B12495" w:rsidRDefault="0021734B" w:rsidP="00A35D92">
                              <w:pPr>
                                <w:pStyle w:val="Figureheading"/>
                              </w:pPr>
                              <w:r>
                                <w:t>Figure 12</w:t>
                              </w:r>
                            </w:p>
                          </w:txbxContent>
                        </wps:txbx>
                        <wps:bodyPr rot="0" vert="horz" wrap="square" lIns="91440" tIns="45720" rIns="91440" bIns="45720" anchor="t" anchorCtr="0" upright="1">
                          <a:noAutofit/>
                        </wps:bodyPr>
                      </wps:wsp>
                      <wps:wsp>
                        <wps:cNvPr id="68" name="Rectangle 194"/>
                        <wps:cNvSpPr>
                          <a:spLocks noChangeArrowheads="1"/>
                        </wps:cNvSpPr>
                        <wps:spPr bwMode="auto">
                          <a:xfrm>
                            <a:off x="1855" y="2453"/>
                            <a:ext cx="8270" cy="820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D44A33D" id="Group 192" o:spid="_x0000_s1066" style="width:365.5pt;height:433.85pt;mso-position-horizontal-relative:char;mso-position-vertical-relative:line" coordorigin="1855,1977" coordsize="8270,8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">
                <v:shape id="Text Box 193" o:spid="_x0000_s1067" type="#_x0000_t202" style="position:absolute;left:1855;top:1977;width:827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" fillcolor="#629fc2" strokecolor="#629fc2" strokeweight="1pt">
                  <v:textbox>
                    <w:txbxContent>
                      <w:p w14:paraId="4030569E" w14:textId="77777777" w:rsidR="0021734B" w:rsidRPr="00B12495" w:rsidRDefault="0021734B" w:rsidP="00A35D92">
                        <w:pPr>
                          <w:pStyle w:val="Figureheading"/>
                        </w:pPr>
                        <w:r>
                          <w:t>Figure 12</w:t>
                        </w:r>
                      </w:p>
                    </w:txbxContent>
                  </v:textbox>
                </v:shape>
                <v:rect id="Rectangle 194" o:spid="_x0000_s1068" style="position:absolute;left:1855;top:2453;width:8270;height:8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" filled="f" strokecolor="#688fb0" strokeweight="1pt"/>
                <w10:anchorlock/>
              </v:group>
            </w:pict>
          </mc:Fallback>
        </mc:AlternateContent>
      </w:r>
    </w:p>
    <w:p w14:paraId="5A069767" w14:textId="77777777" w:rsidR="00A81195" w:rsidRDefault="00A81195" w:rsidP="009908C6"/>
    <w:p w14:paraId="49EB3052" w14:textId="77777777" w:rsidR="00A81195" w:rsidRDefault="00A81195">
      <w:pPr>
        <w:spacing w:before="0"/>
        <w:jc w:val="left"/>
      </w:pPr>
      <w:r>
        <w:br w:type="page"/>
      </w:r>
    </w:p>
    <w:p w14:paraId="5EA994D3" w14:textId="77777777" w:rsidR="00A81195" w:rsidRDefault="004B62DB" w:rsidP="00A81195">
      <w:pPr>
        <w:pStyle w:val="Heading1"/>
      </w:pPr>
      <w:bookmarkStart w:id="49" w:name="_Toc399249138"/>
      <w:bookmarkStart w:id="50" w:name="_Toc399252947"/>
      <w:bookmarkStart w:id="51" w:name="_Toc400007277"/>
      <w:r>
        <w:lastRenderedPageBreak/>
        <w:t xml:space="preserve"> </w:t>
      </w:r>
      <w:r w:rsidR="00A81195">
        <w:t xml:space="preserve">Hospital </w:t>
      </w:r>
      <w:r w:rsidR="00A81195" w:rsidRPr="00B552C1">
        <w:t>admissions</w:t>
      </w:r>
      <w:bookmarkEnd w:id="49"/>
      <w:bookmarkEnd w:id="50"/>
      <w:bookmarkEnd w:id="51"/>
    </w:p>
    <w:p w14:paraId="2ABF5718" w14:textId="77777777" w:rsidR="00A81195" w:rsidRDefault="00A81195" w:rsidP="00A81195">
      <w:pPr>
        <w:rPr>
          <w:noProof/>
          <w:szCs w:val="24"/>
        </w:rPr>
      </w:pPr>
      <w:r>
        <w:rPr>
          <w:noProof/>
          <w:szCs w:val="24"/>
        </w:rPr>
        <w:t>Hospital admission relating to alcohol is an important indicator of morbidity and the effect of alcohol misuse on the health of the population. In this report we focus on indicators measuring individuals admitted to hospital at least once a year (person-based) for three different definitions, following revised methods used in England</w:t>
      </w:r>
      <w:r w:rsidR="00D30AF4" w:rsidRPr="00D30AF4">
        <w:rPr>
          <w:noProof/>
          <w:szCs w:val="24"/>
          <w:vertAlign w:val="superscript"/>
        </w:rPr>
        <w:t>5</w:t>
      </w:r>
      <w:r w:rsidRPr="00742FC2">
        <w:rPr>
          <w:noProof/>
          <w:szCs w:val="24"/>
        </w:rPr>
        <w:t>.</w:t>
      </w:r>
      <w:r>
        <w:rPr>
          <w:noProof/>
          <w:szCs w:val="24"/>
        </w:rPr>
        <w:t xml:space="preserve"> These are very briefly explained in table 3, but for further details please see the technical guide. </w:t>
      </w:r>
    </w:p>
    <w:p w14:paraId="097CF18A" w14:textId="77777777" w:rsidR="00A81195" w:rsidRDefault="00A81195" w:rsidP="00A81195">
      <w:pPr>
        <w:pStyle w:val="Tableheading"/>
      </w:pPr>
      <w:bookmarkStart w:id="52" w:name="_Toc399752277"/>
      <w:bookmarkStart w:id="53" w:name="_Toc399929150"/>
      <w:bookmarkStart w:id="54" w:name="_Toc400007278"/>
      <w:r>
        <w:t>Table 3 Overview of definitions for person-based hospital admission indicators</w:t>
      </w:r>
      <w:bookmarkEnd w:id="52"/>
      <w:bookmarkEnd w:id="53"/>
      <w:bookmarkEnd w:id="54"/>
    </w:p>
    <w:tbl>
      <w:tblPr>
        <w:tblW w:w="10348" w:type="dxa"/>
        <w:tblInd w:w="94" w:type="dxa"/>
        <w:tblLook w:val="04A0" w:firstRow="1" w:lastRow="0" w:firstColumn="1" w:lastColumn="0" w:noHBand="0" w:noVBand="1"/>
      </w:tblPr>
      <w:tblGrid>
        <w:gridCol w:w="4267"/>
        <w:gridCol w:w="6081"/>
      </w:tblGrid>
      <w:tr w:rsidR="00A81195" w:rsidRPr="009F2501" w14:paraId="47960B8F" w14:textId="77777777" w:rsidTr="00C31DD9">
        <w:trPr>
          <w:trHeight w:val="393"/>
        </w:trPr>
        <w:tc>
          <w:tcPr>
            <w:tcW w:w="4267" w:type="dxa"/>
            <w:tcBorders>
              <w:top w:val="nil"/>
              <w:left w:val="nil"/>
              <w:bottom w:val="single" w:sz="12" w:space="0" w:color="FFFFFF"/>
              <w:right w:val="single" w:sz="4" w:space="0" w:color="FFFFFF"/>
            </w:tcBorders>
            <w:shd w:val="clear" w:color="4BACC6" w:fill="629FC2"/>
            <w:noWrap/>
            <w:vAlign w:val="center"/>
            <w:hideMark/>
          </w:tcPr>
          <w:p w14:paraId="194AE8FE" w14:textId="77777777" w:rsidR="00A81195" w:rsidRPr="009F2501" w:rsidRDefault="00A81195" w:rsidP="00A81195">
            <w:pPr>
              <w:spacing w:before="0"/>
              <w:jc w:val="left"/>
              <w:rPr>
                <w:b/>
                <w:bCs/>
                <w:color w:val="FFFFFF"/>
                <w:sz w:val="20"/>
              </w:rPr>
            </w:pPr>
            <w:r>
              <w:rPr>
                <w:b/>
                <w:bCs/>
                <w:color w:val="FFFFFF"/>
                <w:sz w:val="20"/>
              </w:rPr>
              <w:t>Admissions indicator</w:t>
            </w:r>
          </w:p>
        </w:tc>
        <w:tc>
          <w:tcPr>
            <w:tcW w:w="6081" w:type="dxa"/>
            <w:tcBorders>
              <w:top w:val="nil"/>
              <w:left w:val="nil"/>
              <w:bottom w:val="single" w:sz="12" w:space="0" w:color="FFFFFF"/>
              <w:right w:val="single" w:sz="4" w:space="0" w:color="FFFFFF"/>
            </w:tcBorders>
            <w:shd w:val="clear" w:color="4BACC6" w:fill="629FC2"/>
            <w:vAlign w:val="center"/>
            <w:hideMark/>
          </w:tcPr>
          <w:p w14:paraId="69D9120A" w14:textId="77777777" w:rsidR="00A81195" w:rsidRPr="009F2501" w:rsidRDefault="00A81195" w:rsidP="002E3483">
            <w:pPr>
              <w:spacing w:before="0"/>
              <w:jc w:val="left"/>
              <w:rPr>
                <w:b/>
                <w:bCs/>
                <w:color w:val="FFFFFF"/>
                <w:sz w:val="20"/>
              </w:rPr>
            </w:pPr>
            <w:r>
              <w:rPr>
                <w:b/>
                <w:bCs/>
                <w:color w:val="FFFFFF"/>
                <w:sz w:val="20"/>
              </w:rPr>
              <w:t xml:space="preserve">Brief </w:t>
            </w:r>
            <w:r w:rsidR="002E3483">
              <w:rPr>
                <w:b/>
                <w:bCs/>
                <w:color w:val="FFFFFF"/>
                <w:sz w:val="20"/>
              </w:rPr>
              <w:t>definition</w:t>
            </w:r>
          </w:p>
        </w:tc>
      </w:tr>
      <w:tr w:rsidR="00A81195" w:rsidRPr="009F2501" w14:paraId="59203AF8" w14:textId="77777777" w:rsidTr="00A81195">
        <w:trPr>
          <w:trHeight w:val="357"/>
        </w:trPr>
        <w:tc>
          <w:tcPr>
            <w:tcW w:w="4267" w:type="dxa"/>
            <w:tcBorders>
              <w:top w:val="single" w:sz="12" w:space="0" w:color="FFFFFF"/>
              <w:left w:val="nil"/>
              <w:bottom w:val="single" w:sz="4" w:space="0" w:color="FFFFFF"/>
              <w:right w:val="single" w:sz="4" w:space="0" w:color="FFFFFF"/>
            </w:tcBorders>
            <w:shd w:val="clear" w:color="DBEEF3" w:fill="auto"/>
            <w:hideMark/>
          </w:tcPr>
          <w:p w14:paraId="62464570" w14:textId="77777777" w:rsidR="00A81195" w:rsidRPr="003F29C3" w:rsidRDefault="00A81195" w:rsidP="00A81195">
            <w:pPr>
              <w:spacing w:before="0"/>
              <w:jc w:val="left"/>
              <w:rPr>
                <w:noProof/>
                <w:sz w:val="20"/>
                <w:szCs w:val="20"/>
              </w:rPr>
            </w:pPr>
            <w:r w:rsidRPr="003F29C3">
              <w:rPr>
                <w:noProof/>
                <w:sz w:val="20"/>
                <w:szCs w:val="20"/>
              </w:rPr>
              <w:t>Alcohol-specific hospital admissions</w:t>
            </w:r>
          </w:p>
          <w:p w14:paraId="3CE2C762" w14:textId="77777777" w:rsidR="00A81195" w:rsidRPr="003F29C3" w:rsidRDefault="00A81195" w:rsidP="00A81195">
            <w:pPr>
              <w:spacing w:before="0"/>
              <w:jc w:val="left"/>
              <w:rPr>
                <w:color w:val="000000"/>
                <w:sz w:val="20"/>
                <w:szCs w:val="20"/>
              </w:rPr>
            </w:pPr>
          </w:p>
        </w:tc>
        <w:tc>
          <w:tcPr>
            <w:tcW w:w="6081" w:type="dxa"/>
            <w:tcBorders>
              <w:top w:val="single" w:sz="12" w:space="0" w:color="FFFFFF"/>
              <w:left w:val="nil"/>
              <w:bottom w:val="single" w:sz="4" w:space="0" w:color="FFFFFF"/>
              <w:right w:val="single" w:sz="4" w:space="0" w:color="FFFFFF"/>
            </w:tcBorders>
            <w:shd w:val="clear" w:color="DBEEF3" w:fill="auto"/>
            <w:hideMark/>
          </w:tcPr>
          <w:p w14:paraId="6307D171" w14:textId="77777777" w:rsidR="00A81195" w:rsidRPr="003F29C3" w:rsidRDefault="00A81195" w:rsidP="004B62DB">
            <w:pPr>
              <w:spacing w:before="0"/>
              <w:rPr>
                <w:noProof/>
                <w:sz w:val="20"/>
                <w:szCs w:val="20"/>
              </w:rPr>
            </w:pPr>
            <w:r w:rsidRPr="003F29C3">
              <w:rPr>
                <w:noProof/>
                <w:sz w:val="20"/>
                <w:szCs w:val="20"/>
              </w:rPr>
              <w:t xml:space="preserve">Measures individuals admitted with alcohol-specific (wholly attributable) conditions, either in the primary diagnosis (main reason) or in secondary diagnoses. This list of conditions has been revised. </w:t>
            </w:r>
          </w:p>
          <w:p w14:paraId="3DFAC9E5" w14:textId="77777777" w:rsidR="00A81195" w:rsidRPr="003F29C3" w:rsidRDefault="00A81195" w:rsidP="00A81195">
            <w:pPr>
              <w:spacing w:before="0"/>
              <w:jc w:val="left"/>
              <w:rPr>
                <w:color w:val="000000"/>
                <w:sz w:val="20"/>
                <w:szCs w:val="20"/>
              </w:rPr>
            </w:pPr>
          </w:p>
        </w:tc>
      </w:tr>
      <w:tr w:rsidR="00A81195" w:rsidRPr="009F2501" w14:paraId="63A99140" w14:textId="77777777" w:rsidTr="00A81195">
        <w:trPr>
          <w:trHeight w:val="357"/>
        </w:trPr>
        <w:tc>
          <w:tcPr>
            <w:tcW w:w="4267" w:type="dxa"/>
            <w:tcBorders>
              <w:top w:val="single" w:sz="4" w:space="0" w:color="FFFFFF"/>
              <w:left w:val="nil"/>
              <w:bottom w:val="single" w:sz="4" w:space="0" w:color="FFFFFF"/>
              <w:right w:val="single" w:sz="4" w:space="0" w:color="FFFFFF"/>
            </w:tcBorders>
            <w:shd w:val="clear" w:color="DBEEF3" w:fill="auto"/>
            <w:hideMark/>
          </w:tcPr>
          <w:p w14:paraId="448321B2" w14:textId="77777777" w:rsidR="00A81195" w:rsidRPr="003F29C3" w:rsidRDefault="00A81195" w:rsidP="00A81195">
            <w:pPr>
              <w:spacing w:before="0"/>
              <w:jc w:val="left"/>
              <w:rPr>
                <w:color w:val="000000"/>
                <w:sz w:val="20"/>
                <w:szCs w:val="20"/>
              </w:rPr>
            </w:pPr>
            <w:r w:rsidRPr="003F29C3">
              <w:rPr>
                <w:noProof/>
                <w:sz w:val="20"/>
                <w:szCs w:val="20"/>
              </w:rPr>
              <w:t>Alcohol-attributable hospital admissions (person-based, narrow)</w:t>
            </w:r>
            <w:r w:rsidRPr="003F29C3">
              <w:rPr>
                <w:color w:val="000000"/>
                <w:sz w:val="20"/>
                <w:szCs w:val="20"/>
              </w:rPr>
              <w:t xml:space="preserve"> </w:t>
            </w:r>
          </w:p>
        </w:tc>
        <w:tc>
          <w:tcPr>
            <w:tcW w:w="6081" w:type="dxa"/>
            <w:tcBorders>
              <w:top w:val="single" w:sz="4" w:space="0" w:color="FFFFFF"/>
              <w:left w:val="nil"/>
              <w:bottom w:val="single" w:sz="4" w:space="0" w:color="FFFFFF"/>
              <w:right w:val="single" w:sz="4" w:space="0" w:color="FFFFFF"/>
            </w:tcBorders>
            <w:shd w:val="clear" w:color="DBEEF3" w:fill="auto"/>
            <w:hideMark/>
          </w:tcPr>
          <w:p w14:paraId="75B08F30" w14:textId="77777777" w:rsidR="00A81195" w:rsidRPr="003F29C3" w:rsidRDefault="00A81195" w:rsidP="004B62DB">
            <w:pPr>
              <w:spacing w:before="0"/>
              <w:rPr>
                <w:noProof/>
                <w:sz w:val="20"/>
                <w:szCs w:val="20"/>
              </w:rPr>
            </w:pPr>
            <w:r w:rsidRPr="003F29C3">
              <w:rPr>
                <w:noProof/>
                <w:sz w:val="20"/>
                <w:szCs w:val="20"/>
              </w:rPr>
              <w:t>Measures individuals admitted with alcohol-attributable conditions (either wholly or partly attributable to alcohol) at least once a year, either as the primary diagnosis (main reason) or an external cause (e.g. injuries) as a secondary diagnosis, whichever is most linked to alcohol (highest fraction). This is a new measure.</w:t>
            </w:r>
          </w:p>
          <w:p w14:paraId="1172295D" w14:textId="77777777" w:rsidR="00A81195" w:rsidRPr="003F29C3" w:rsidRDefault="00A81195" w:rsidP="00A81195">
            <w:pPr>
              <w:spacing w:before="0"/>
              <w:jc w:val="left"/>
              <w:rPr>
                <w:color w:val="000000"/>
                <w:sz w:val="20"/>
                <w:szCs w:val="20"/>
              </w:rPr>
            </w:pPr>
          </w:p>
        </w:tc>
      </w:tr>
      <w:tr w:rsidR="00A81195" w:rsidRPr="009F2501" w14:paraId="39EFD551" w14:textId="77777777" w:rsidTr="00A81195">
        <w:trPr>
          <w:trHeight w:val="357"/>
        </w:trPr>
        <w:tc>
          <w:tcPr>
            <w:tcW w:w="4267" w:type="dxa"/>
            <w:tcBorders>
              <w:top w:val="single" w:sz="4" w:space="0" w:color="FFFFFF"/>
              <w:left w:val="nil"/>
              <w:bottom w:val="single" w:sz="4" w:space="0" w:color="FFFFFF"/>
              <w:right w:val="single" w:sz="4" w:space="0" w:color="FFFFFF"/>
            </w:tcBorders>
            <w:shd w:val="clear" w:color="DBEEF3" w:fill="auto"/>
            <w:hideMark/>
          </w:tcPr>
          <w:p w14:paraId="7B36347D" w14:textId="77777777" w:rsidR="00A81195" w:rsidRPr="003F29C3" w:rsidRDefault="00A81195" w:rsidP="00A81195">
            <w:pPr>
              <w:spacing w:before="0"/>
              <w:jc w:val="left"/>
              <w:rPr>
                <w:color w:val="000000"/>
                <w:sz w:val="20"/>
                <w:szCs w:val="20"/>
              </w:rPr>
            </w:pPr>
            <w:r w:rsidRPr="003F29C3">
              <w:rPr>
                <w:noProof/>
                <w:sz w:val="20"/>
                <w:szCs w:val="20"/>
              </w:rPr>
              <w:t>Alcohol-attributable hospital admissions (person-based, broad)</w:t>
            </w:r>
          </w:p>
        </w:tc>
        <w:tc>
          <w:tcPr>
            <w:tcW w:w="6081" w:type="dxa"/>
            <w:tcBorders>
              <w:top w:val="single" w:sz="4" w:space="0" w:color="FFFFFF"/>
              <w:left w:val="nil"/>
              <w:bottom w:val="single" w:sz="4" w:space="0" w:color="FFFFFF"/>
              <w:right w:val="single" w:sz="4" w:space="0" w:color="FFFFFF"/>
            </w:tcBorders>
            <w:shd w:val="clear" w:color="DBEEF3" w:fill="auto"/>
            <w:hideMark/>
          </w:tcPr>
          <w:p w14:paraId="6988A35B" w14:textId="77777777" w:rsidR="00A81195" w:rsidRPr="003F29C3" w:rsidRDefault="00A81195" w:rsidP="004B62DB">
            <w:pPr>
              <w:spacing w:before="0"/>
              <w:rPr>
                <w:noProof/>
                <w:sz w:val="20"/>
                <w:szCs w:val="20"/>
              </w:rPr>
            </w:pPr>
            <w:r w:rsidRPr="003F29C3">
              <w:rPr>
                <w:noProof/>
                <w:sz w:val="20"/>
                <w:szCs w:val="20"/>
              </w:rPr>
              <w:t>Measures individuals admitted with alcohol-attributable conditions (either wholly or in part attributable to alcohol) at least once a year, either as the primary diagnosis (main reason) or a secondary diagnosis, whichever is most linked to alcohol (highest fraction). This measure has been revised.</w:t>
            </w:r>
          </w:p>
        </w:tc>
      </w:tr>
    </w:tbl>
    <w:p w14:paraId="40D7568C" w14:textId="128D4762" w:rsidR="00A30776" w:rsidRDefault="007465D8" w:rsidP="00A30776">
      <w:pPr>
        <w:rPr>
          <w:noProof/>
          <w:szCs w:val="24"/>
        </w:rPr>
      </w:pPr>
      <w:r>
        <w:rPr>
          <w:noProof/>
          <w:szCs w:val="24"/>
        </w:rPr>
        <mc:AlternateContent>
          <mc:Choice Requires="wps">
            <w:drawing>
              <wp:anchor distT="0" distB="0" distL="114300" distR="114300" simplePos="0" relativeHeight="251721728" behindDoc="0" locked="0" layoutInCell="1" allowOverlap="1" wp14:anchorId="73C09A51" wp14:editId="33EC7D3C">
                <wp:simplePos x="0" y="0"/>
                <wp:positionH relativeFrom="column">
                  <wp:posOffset>13335</wp:posOffset>
                </wp:positionH>
                <wp:positionV relativeFrom="paragraph">
                  <wp:posOffset>13970</wp:posOffset>
                </wp:positionV>
                <wp:extent cx="6558915" cy="0"/>
                <wp:effectExtent l="13335" t="10160" r="9525" b="8890"/>
                <wp:wrapNone/>
                <wp:docPr id="65" name="AutoShape 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8915" cy="0"/>
                        </a:xfrm>
                        <a:prstGeom prst="straightConnector1">
                          <a:avLst/>
                        </a:prstGeom>
                        <a:noFill/>
                        <a:ln w="12700">
                          <a:solidFill>
                            <a:srgbClr val="629FC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68DB85" id="AutoShape 244" o:spid="_x0000_s1026" type="#_x0000_t32" style="position:absolute;margin-left:1.05pt;margin-top:1.1pt;width:516.45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" strokecolor="#629fc2" strokeweight="1pt"/>
            </w:pict>
          </mc:Fallback>
        </mc:AlternateContent>
      </w:r>
      <w:r w:rsidR="00A30776">
        <w:rPr>
          <w:noProof/>
          <w:szCs w:val="24"/>
        </w:rPr>
        <w:t xml:space="preserve">The alcohol-attributable admissions use attributable fractions for each condition, which is based on evidence in academic literature for a relationship between alcohol and the condition well as the prevalence of drinking. We use the same fractions produced for England in our calculation of the indicator data and assumptions are made that these equally apply to Wales and, for example, each local authority in Wales. They are therefore considered estimates and need to be interpreted with care. </w:t>
      </w:r>
    </w:p>
    <w:p w14:paraId="202015B3" w14:textId="77777777" w:rsidR="00A30776" w:rsidRDefault="00A30776" w:rsidP="00A30776">
      <w:pPr>
        <w:rPr>
          <w:noProof/>
          <w:szCs w:val="24"/>
        </w:rPr>
      </w:pPr>
      <w:r>
        <w:rPr>
          <w:noProof/>
          <w:szCs w:val="24"/>
        </w:rPr>
        <w:t xml:space="preserve">Episode-based alcohol-attributable indicators have also been produced and are published in interactive data files </w:t>
      </w:r>
      <w:r w:rsidR="00165764">
        <w:rPr>
          <w:noProof/>
          <w:szCs w:val="24"/>
        </w:rPr>
        <w:t>(see inside cover</w:t>
      </w:r>
      <w:r>
        <w:rPr>
          <w:noProof/>
          <w:szCs w:val="24"/>
        </w:rPr>
        <w:t xml:space="preserve">), but not included in this report. </w:t>
      </w:r>
      <w:r w:rsidRPr="004F4A5B">
        <w:rPr>
          <w:noProof/>
          <w:szCs w:val="24"/>
        </w:rPr>
        <w:t>They measure admitting episodes where each individual could be counted more than once a year.</w:t>
      </w:r>
      <w:r>
        <w:rPr>
          <w:noProof/>
          <w:szCs w:val="24"/>
        </w:rPr>
        <w:t xml:space="preserve"> These relate more to the burden on the health service whilst this report focusses on the effect of alcohol on the population and therefore on person-based analyses.</w:t>
      </w:r>
    </w:p>
    <w:p w14:paraId="09ED2988" w14:textId="77777777" w:rsidR="00A30776" w:rsidRDefault="00A30776" w:rsidP="00A30776">
      <w:pPr>
        <w:rPr>
          <w:noProof/>
          <w:szCs w:val="24"/>
        </w:rPr>
      </w:pPr>
      <w:r>
        <w:rPr>
          <w:noProof/>
          <w:szCs w:val="24"/>
        </w:rPr>
        <w:t>Socio-economic patterns in hospital admissions are examined in section 6. Further details on the indicators and methods are contained in</w:t>
      </w:r>
      <w:r w:rsidR="00165764">
        <w:rPr>
          <w:noProof/>
          <w:szCs w:val="24"/>
        </w:rPr>
        <w:t xml:space="preserve"> the te</w:t>
      </w:r>
      <w:r w:rsidR="008F5714">
        <w:rPr>
          <w:noProof/>
          <w:szCs w:val="24"/>
        </w:rPr>
        <w:t>chnical guide (see inside cover</w:t>
      </w:r>
      <w:r>
        <w:rPr>
          <w:noProof/>
          <w:szCs w:val="24"/>
        </w:rPr>
        <w:t>).</w:t>
      </w:r>
    </w:p>
    <w:p w14:paraId="6A5EEE0B" w14:textId="77777777" w:rsidR="00406D46" w:rsidRDefault="00406D46" w:rsidP="00A30776">
      <w:pPr>
        <w:rPr>
          <w:noProof/>
          <w:szCs w:val="24"/>
        </w:rPr>
      </w:pPr>
    </w:p>
    <w:p w14:paraId="56DEF935" w14:textId="77777777" w:rsidR="00406D46" w:rsidRDefault="00406D46" w:rsidP="00A30776">
      <w:pPr>
        <w:rPr>
          <w:noProof/>
          <w:szCs w:val="24"/>
        </w:rPr>
      </w:pPr>
    </w:p>
    <w:p w14:paraId="430B3E98" w14:textId="77777777" w:rsidR="00A30776" w:rsidRPr="004A4FA2" w:rsidRDefault="00A30776" w:rsidP="00A30776">
      <w:pPr>
        <w:pStyle w:val="Heading2"/>
      </w:pPr>
      <w:bookmarkStart w:id="55" w:name="_Toc399249139"/>
      <w:bookmarkStart w:id="56" w:name="_Toc399252948"/>
      <w:bookmarkStart w:id="57" w:name="_Toc400007279"/>
      <w:r>
        <w:lastRenderedPageBreak/>
        <w:t>The scale and breakdown by condition</w:t>
      </w:r>
      <w:bookmarkEnd w:id="55"/>
      <w:bookmarkEnd w:id="56"/>
      <w:bookmarkEnd w:id="57"/>
    </w:p>
    <w:p w14:paraId="216D2CFB" w14:textId="77777777" w:rsidR="00A30776" w:rsidRPr="00464E30" w:rsidRDefault="00A30776" w:rsidP="00A30776">
      <w:pPr>
        <w:pStyle w:val="NoNumberheading"/>
      </w:pPr>
      <w:bookmarkStart w:id="58" w:name="_Toc399249140"/>
      <w:r w:rsidRPr="00464E30">
        <w:t>Alcohol-specific hospital admissions</w:t>
      </w:r>
      <w:bookmarkEnd w:id="58"/>
    </w:p>
    <w:p w14:paraId="746351E7" w14:textId="77777777" w:rsidR="00A30776" w:rsidRDefault="00A30776" w:rsidP="00A30776">
      <w:pPr>
        <w:rPr>
          <w:szCs w:val="24"/>
        </w:rPr>
      </w:pPr>
      <w:r w:rsidRPr="0059478D">
        <w:rPr>
          <w:szCs w:val="24"/>
        </w:rPr>
        <w:t>Around 6,700 males and 3,500</w:t>
      </w:r>
      <w:r>
        <w:rPr>
          <w:szCs w:val="24"/>
        </w:rPr>
        <w:t xml:space="preserve"> females have been admitted to hospital with an alco</w:t>
      </w:r>
      <w:r w:rsidR="00D30AF4">
        <w:rPr>
          <w:szCs w:val="24"/>
        </w:rPr>
        <w:t>hol-specific condition (Figure 13</w:t>
      </w:r>
      <w:r>
        <w:rPr>
          <w:szCs w:val="24"/>
        </w:rPr>
        <w:t>). Each individual is only counted once in this definition for one alco</w:t>
      </w:r>
      <w:r w:rsidR="00D30AF4">
        <w:rPr>
          <w:szCs w:val="24"/>
        </w:rPr>
        <w:t>hol-specific condition (Figure 13</w:t>
      </w:r>
      <w:r>
        <w:rPr>
          <w:szCs w:val="24"/>
        </w:rPr>
        <w:t xml:space="preserve">) </w:t>
      </w:r>
      <w:r w:rsidRPr="00D13FF5">
        <w:rPr>
          <w:szCs w:val="24"/>
        </w:rPr>
        <w:t>but this may not be the only alcohol-specific condition noted or the main reason for admission.</w:t>
      </w:r>
      <w:r>
        <w:rPr>
          <w:szCs w:val="24"/>
        </w:rPr>
        <w:t xml:space="preserve"> Nevertheless, it gives an indication of the contribution of each condition </w:t>
      </w:r>
      <w:r w:rsidRPr="004F4A5B">
        <w:rPr>
          <w:szCs w:val="24"/>
        </w:rPr>
        <w:t>to the measure</w:t>
      </w:r>
      <w:r>
        <w:rPr>
          <w:szCs w:val="24"/>
        </w:rPr>
        <w:t xml:space="preserve">. Over half of females and over two thirds of males had a diagnosis of mental and behavioural disorder, including </w:t>
      </w:r>
      <w:r w:rsidRPr="00A34CC7">
        <w:rPr>
          <w:szCs w:val="24"/>
        </w:rPr>
        <w:t>for example</w:t>
      </w:r>
      <w:r>
        <w:rPr>
          <w:szCs w:val="24"/>
        </w:rPr>
        <w:t xml:space="preserve"> acute intoxication. Just over 1 in 5 females had a diagnosis of ethanol poisoning, twice the proportion in </w:t>
      </w:r>
      <w:r w:rsidRPr="0000586B">
        <w:rPr>
          <w:szCs w:val="24"/>
        </w:rPr>
        <w:t xml:space="preserve">males. </w:t>
      </w:r>
      <w:r w:rsidR="006E0237" w:rsidRPr="0000586B">
        <w:rPr>
          <w:szCs w:val="24"/>
        </w:rPr>
        <w:t>This measure underestimates admissions due to alcohol as only those entirely down to alcohol are included.</w:t>
      </w:r>
    </w:p>
    <w:p w14:paraId="2149F804" w14:textId="79D616BC" w:rsidR="00B6543A" w:rsidRDefault="002B49B3" w:rsidP="00B6543A">
      <w:r w:rsidRPr="002B49B3">
        <w:rPr>
          <w:noProof/>
          <w:szCs w:val="24"/>
        </w:rPr>
        <w:drawing>
          <wp:anchor distT="0" distB="0" distL="114300" distR="114300" simplePos="0" relativeHeight="251813888" behindDoc="0" locked="0" layoutInCell="1" allowOverlap="1" wp14:anchorId="3EED0272" wp14:editId="2583B458">
            <wp:simplePos x="0" y="0"/>
            <wp:positionH relativeFrom="column">
              <wp:posOffset>180975</wp:posOffset>
            </wp:positionH>
            <wp:positionV relativeFrom="paragraph">
              <wp:posOffset>744220</wp:posOffset>
            </wp:positionV>
            <wp:extent cx="6353175" cy="2724150"/>
            <wp:effectExtent l="19050" t="0" r="9525" b="0"/>
            <wp:wrapNone/>
            <wp:docPr id="11"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7" cstate="print"/>
                    <a:srcRect l="1574" t="5611" r="3004"/>
                    <a:stretch>
                      <a:fillRect/>
                    </a:stretch>
                  </pic:blipFill>
                  <pic:spPr bwMode="auto">
                    <a:xfrm>
                      <a:off x="0" y="0"/>
                      <a:ext cx="6353175" cy="2724150"/>
                    </a:xfrm>
                    <a:prstGeom prst="rect">
                      <a:avLst/>
                    </a:prstGeom>
                    <a:noFill/>
                    <a:ln w="9525">
                      <a:noFill/>
                      <a:miter lim="800000"/>
                      <a:headEnd/>
                      <a:tailEnd/>
                    </a:ln>
                  </pic:spPr>
                </pic:pic>
              </a:graphicData>
            </a:graphic>
          </wp:anchor>
        </w:drawing>
      </w:r>
      <w:r w:rsidR="00A30776">
        <w:rPr>
          <w:szCs w:val="24"/>
        </w:rPr>
        <w:t xml:space="preserve"> </w:t>
      </w:r>
      <w:bookmarkStart w:id="59" w:name="_Toc399249141"/>
      <w:r w:rsidR="007465D8">
        <w:rPr>
          <w:noProof/>
        </w:rPr>
        <mc:AlternateContent>
          <mc:Choice Requires="wpg">
            <w:drawing>
              <wp:inline distT="0" distB="0" distL="0" distR="0" wp14:anchorId="48AA6125" wp14:editId="33CA7ACF">
                <wp:extent cx="6680200" cy="3279140"/>
                <wp:effectExtent l="9525" t="6350" r="6350" b="10160"/>
                <wp:docPr id="286" name="Group 2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0200" cy="3279140"/>
                          <a:chOff x="730" y="5156"/>
                          <a:chExt cx="10520" cy="5164"/>
                        </a:xfrm>
                      </wpg:grpSpPr>
                      <wps:wsp>
                        <wps:cNvPr id="287" name="Text Box 261"/>
                        <wps:cNvSpPr txBox="1">
                          <a:spLocks noChangeArrowheads="1"/>
                        </wps:cNvSpPr>
                        <wps:spPr bwMode="auto">
                          <a:xfrm>
                            <a:off x="730" y="5156"/>
                            <a:ext cx="10520" cy="476"/>
                          </a:xfrm>
                          <a:prstGeom prst="rect">
                            <a:avLst/>
                          </a:prstGeom>
                          <a:solidFill>
                            <a:srgbClr val="629FC2"/>
                          </a:solidFill>
                          <a:ln w="12700">
                            <a:solidFill>
                              <a:srgbClr val="629FC2"/>
                            </a:solidFill>
                            <a:miter lim="800000"/>
                            <a:headEnd/>
                            <a:tailEnd/>
                          </a:ln>
                        </wps:spPr>
                        <wps:txbx>
                          <w:txbxContent>
                            <w:p w14:paraId="1FDFA8FA" w14:textId="77777777" w:rsidR="0021734B" w:rsidRPr="00B12495" w:rsidRDefault="0021734B" w:rsidP="003C4FD2">
                              <w:pPr>
                                <w:pStyle w:val="Figureheading"/>
                              </w:pPr>
                              <w:r>
                                <w:t>Figure 13</w:t>
                              </w:r>
                            </w:p>
                          </w:txbxContent>
                        </wps:txbx>
                        <wps:bodyPr rot="0" vert="horz" wrap="square" lIns="91440" tIns="45720" rIns="91440" bIns="45720" anchor="t" anchorCtr="0" upright="1">
                          <a:noAutofit/>
                        </wps:bodyPr>
                      </wps:wsp>
                      <wps:wsp>
                        <wps:cNvPr id="64" name="Rectangle 262"/>
                        <wps:cNvSpPr>
                          <a:spLocks noChangeArrowheads="1"/>
                        </wps:cNvSpPr>
                        <wps:spPr bwMode="auto">
                          <a:xfrm>
                            <a:off x="730" y="5646"/>
                            <a:ext cx="10520" cy="4674"/>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8AA6125" id="Group 283" o:spid="_x0000_s1069" style="width:526pt;height:258.2pt;mso-position-horizontal-relative:char;mso-position-vertical-relative:line" coordorigin="730,5156" coordsize="10520,5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">
                <v:shape id="Text Box 261" o:spid="_x0000_s1070" type="#_x0000_t202" style="position:absolute;left:730;top:5156;width:1052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" fillcolor="#629fc2" strokecolor="#629fc2" strokeweight="1pt">
                  <v:textbox>
                    <w:txbxContent>
                      <w:p w14:paraId="1FDFA8FA" w14:textId="77777777" w:rsidR="0021734B" w:rsidRPr="00B12495" w:rsidRDefault="0021734B" w:rsidP="003C4FD2">
                        <w:pPr>
                          <w:pStyle w:val="Figureheading"/>
                        </w:pPr>
                        <w:r>
                          <w:t>Figure 13</w:t>
                        </w:r>
                      </w:p>
                    </w:txbxContent>
                  </v:textbox>
                </v:shape>
                <v:rect id="Rectangle 262" o:spid="_x0000_s1071" style="position:absolute;left:730;top:5646;width:10520;height:4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" filled="f" strokecolor="#688fb0" strokeweight="1pt"/>
                <w10:anchorlock/>
              </v:group>
            </w:pict>
          </mc:Fallback>
        </mc:AlternateContent>
      </w:r>
    </w:p>
    <w:p w14:paraId="2DBC76EA" w14:textId="77777777" w:rsidR="00A30776" w:rsidRPr="00464E30" w:rsidRDefault="00A30776" w:rsidP="00B6543A">
      <w:pPr>
        <w:pStyle w:val="Heading3nonumber"/>
      </w:pPr>
      <w:r w:rsidRPr="00464E30">
        <w:t>Alcohol-attributable hospital admissions (narrow)</w:t>
      </w:r>
      <w:bookmarkEnd w:id="59"/>
    </w:p>
    <w:p w14:paraId="322AB119" w14:textId="77777777" w:rsidR="006E0237" w:rsidRPr="0000586B" w:rsidRDefault="00A30776" w:rsidP="00A30776">
      <w:pPr>
        <w:rPr>
          <w:noProof/>
          <w:szCs w:val="24"/>
        </w:rPr>
      </w:pPr>
      <w:r>
        <w:rPr>
          <w:noProof/>
          <w:szCs w:val="24"/>
        </w:rPr>
        <w:t xml:space="preserve">An </w:t>
      </w:r>
      <w:r w:rsidRPr="0059478D">
        <w:rPr>
          <w:noProof/>
          <w:szCs w:val="24"/>
        </w:rPr>
        <w:t>estimated 8,100</w:t>
      </w:r>
      <w:r>
        <w:rPr>
          <w:noProof/>
          <w:szCs w:val="24"/>
        </w:rPr>
        <w:t xml:space="preserve"> males and 4,600 females were admitted to hospital </w:t>
      </w:r>
      <w:r w:rsidRPr="00970905">
        <w:rPr>
          <w:szCs w:val="24"/>
        </w:rPr>
        <w:t xml:space="preserve">with </w:t>
      </w:r>
      <w:r w:rsidRPr="00970905">
        <w:rPr>
          <w:noProof/>
          <w:szCs w:val="24"/>
        </w:rPr>
        <w:t>an</w:t>
      </w:r>
      <w:r>
        <w:rPr>
          <w:noProof/>
          <w:szCs w:val="24"/>
        </w:rPr>
        <w:t xml:space="preserve"> alcohol-attributable condition using</w:t>
      </w:r>
      <w:r w:rsidR="00D30AF4">
        <w:rPr>
          <w:noProof/>
          <w:szCs w:val="24"/>
        </w:rPr>
        <w:t xml:space="preserve"> the narrow definition (Figure 14</w:t>
      </w:r>
      <w:r>
        <w:rPr>
          <w:noProof/>
          <w:szCs w:val="24"/>
        </w:rPr>
        <w:t xml:space="preserve">). This includes individuals with an alcohol-attributable </w:t>
      </w:r>
      <w:r w:rsidRPr="00A34CC7">
        <w:rPr>
          <w:noProof/>
          <w:szCs w:val="24"/>
        </w:rPr>
        <w:t>condition</w:t>
      </w:r>
      <w:r>
        <w:rPr>
          <w:noProof/>
          <w:szCs w:val="24"/>
        </w:rPr>
        <w:t xml:space="preserve"> as </w:t>
      </w:r>
      <w:r w:rsidRPr="00970905">
        <w:rPr>
          <w:noProof/>
          <w:szCs w:val="24"/>
        </w:rPr>
        <w:t>the</w:t>
      </w:r>
      <w:r>
        <w:rPr>
          <w:noProof/>
          <w:szCs w:val="24"/>
        </w:rPr>
        <w:t xml:space="preserve"> main </w:t>
      </w:r>
      <w:r w:rsidRPr="0000586B">
        <w:rPr>
          <w:noProof/>
          <w:szCs w:val="24"/>
        </w:rPr>
        <w:t xml:space="preserve">reason for admission (primary diagnosis) or an external cause (e.g. injury) as a secondary diagnosis. </w:t>
      </w:r>
      <w:r w:rsidR="006E0237" w:rsidRPr="0000586B">
        <w:rPr>
          <w:noProof/>
          <w:szCs w:val="24"/>
        </w:rPr>
        <w:t>Thi</w:t>
      </w:r>
      <w:r w:rsidR="00230AE2" w:rsidRPr="0000586B">
        <w:rPr>
          <w:noProof/>
          <w:szCs w:val="24"/>
        </w:rPr>
        <w:t>s measure may also understimate</w:t>
      </w:r>
      <w:r w:rsidR="006E0237" w:rsidRPr="0000586B">
        <w:rPr>
          <w:noProof/>
          <w:szCs w:val="24"/>
        </w:rPr>
        <w:t xml:space="preserve"> admissions due to alcohol as it is not considering all secondary diagnoses, but it is likely to be more comparable over time.</w:t>
      </w:r>
    </w:p>
    <w:p w14:paraId="2AD8C780" w14:textId="77777777" w:rsidR="00A30776" w:rsidRDefault="00A30776" w:rsidP="00A30776">
      <w:pPr>
        <w:rPr>
          <w:noProof/>
          <w:szCs w:val="24"/>
        </w:rPr>
      </w:pPr>
      <w:r w:rsidRPr="0000586B">
        <w:rPr>
          <w:noProof/>
          <w:szCs w:val="24"/>
        </w:rPr>
        <w:t>Around a third of these hospital admissions were</w:t>
      </w:r>
      <w:r>
        <w:rPr>
          <w:noProof/>
          <w:szCs w:val="24"/>
        </w:rPr>
        <w:t xml:space="preserve"> for conditions that are wholly attributable to alcohol (32.1% in males and 38.7% in females) </w:t>
      </w:r>
      <w:r w:rsidRPr="00970905">
        <w:rPr>
          <w:noProof/>
          <w:szCs w:val="24"/>
        </w:rPr>
        <w:t>and</w:t>
      </w:r>
      <w:r>
        <w:rPr>
          <w:noProof/>
          <w:szCs w:val="24"/>
        </w:rPr>
        <w:t xml:space="preserve"> the main reason (primary diagnosis) for admission. These therefore include some of the individuals in the other definition of alcohol-specific admissions but not all, as those with only an alcohol-specific secondary diagnosis are not included in this narrow defin</w:t>
      </w:r>
      <w:r w:rsidR="00D7012F">
        <w:rPr>
          <w:noProof/>
          <w:szCs w:val="24"/>
        </w:rPr>
        <w:t xml:space="preserve">ition. Almost a third of males and 1 </w:t>
      </w:r>
      <w:r>
        <w:rPr>
          <w:noProof/>
          <w:szCs w:val="24"/>
        </w:rPr>
        <w:t>in 5 females were admitted for unintentional injuries. Please note that cardiovascular disease accounted for 9.6% of narrow hospital admissions in males (8.5% of females).</w:t>
      </w:r>
      <w:r w:rsidR="006E0237">
        <w:rPr>
          <w:noProof/>
          <w:szCs w:val="24"/>
        </w:rPr>
        <w:t xml:space="preserve"> </w:t>
      </w:r>
    </w:p>
    <w:p w14:paraId="596A54E9" w14:textId="77777777" w:rsidR="00A30776" w:rsidRDefault="00A30776" w:rsidP="00A81195"/>
    <w:p w14:paraId="5F485F8F" w14:textId="77777777" w:rsidR="00A30776" w:rsidRDefault="00A30776">
      <w:pPr>
        <w:spacing w:before="0"/>
        <w:jc w:val="left"/>
      </w:pPr>
      <w:r>
        <w:br w:type="page"/>
      </w:r>
    </w:p>
    <w:p w14:paraId="7686E6E2" w14:textId="77777777" w:rsidR="00A30776" w:rsidRDefault="00A30776" w:rsidP="00A81195"/>
    <w:p w14:paraId="3054688F" w14:textId="62933A08" w:rsidR="00A30776" w:rsidRDefault="002B49B3" w:rsidP="00A81195">
      <w:r>
        <w:rPr>
          <w:noProof/>
        </w:rPr>
        <w:drawing>
          <wp:anchor distT="0" distB="0" distL="114300" distR="114300" simplePos="0" relativeHeight="251814912" behindDoc="0" locked="0" layoutInCell="1" allowOverlap="1" wp14:anchorId="62ABAFE1" wp14:editId="6F87265F">
            <wp:simplePos x="0" y="0"/>
            <wp:positionH relativeFrom="column">
              <wp:posOffset>114300</wp:posOffset>
            </wp:positionH>
            <wp:positionV relativeFrom="paragraph">
              <wp:posOffset>609600</wp:posOffset>
            </wp:positionV>
            <wp:extent cx="6448425" cy="2533650"/>
            <wp:effectExtent l="19050" t="0" r="9525" b="0"/>
            <wp:wrapNone/>
            <wp:docPr id="16"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8" cstate="print"/>
                    <a:srcRect l="1001" t="8882" r="2146" b="3619"/>
                    <a:stretch>
                      <a:fillRect/>
                    </a:stretch>
                  </pic:blipFill>
                  <pic:spPr bwMode="auto">
                    <a:xfrm>
                      <a:off x="0" y="0"/>
                      <a:ext cx="6448425" cy="253365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2ED81056" wp14:editId="2E17CFFF">
                <wp:extent cx="6680200" cy="3279140"/>
                <wp:effectExtent l="9525" t="9525" r="6350" b="6985"/>
                <wp:docPr id="283" name="Group 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0200" cy="3279140"/>
                          <a:chOff x="730" y="1710"/>
                          <a:chExt cx="10520" cy="5164"/>
                        </a:xfrm>
                      </wpg:grpSpPr>
                      <wps:wsp>
                        <wps:cNvPr id="284" name="Text Box 252"/>
                        <wps:cNvSpPr txBox="1">
                          <a:spLocks noChangeArrowheads="1"/>
                        </wps:cNvSpPr>
                        <wps:spPr bwMode="auto">
                          <a:xfrm>
                            <a:off x="730" y="1710"/>
                            <a:ext cx="10520" cy="476"/>
                          </a:xfrm>
                          <a:prstGeom prst="rect">
                            <a:avLst/>
                          </a:prstGeom>
                          <a:solidFill>
                            <a:srgbClr val="629FC2"/>
                          </a:solidFill>
                          <a:ln w="12700">
                            <a:solidFill>
                              <a:srgbClr val="629FC2"/>
                            </a:solidFill>
                            <a:miter lim="800000"/>
                            <a:headEnd/>
                            <a:tailEnd/>
                          </a:ln>
                        </wps:spPr>
                        <wps:txbx>
                          <w:txbxContent>
                            <w:p w14:paraId="6E300842" w14:textId="77777777" w:rsidR="0021734B" w:rsidRPr="00B12495" w:rsidRDefault="0021734B" w:rsidP="00924B26">
                              <w:pPr>
                                <w:pStyle w:val="Figureheading"/>
                              </w:pPr>
                              <w:r>
                                <w:t>Figure 14</w:t>
                              </w:r>
                            </w:p>
                          </w:txbxContent>
                        </wps:txbx>
                        <wps:bodyPr rot="0" vert="horz" wrap="square" lIns="91440" tIns="45720" rIns="91440" bIns="45720" anchor="t" anchorCtr="0" upright="1">
                          <a:noAutofit/>
                        </wps:bodyPr>
                      </wps:wsp>
                      <wps:wsp>
                        <wps:cNvPr id="285" name="Rectangle 253"/>
                        <wps:cNvSpPr>
                          <a:spLocks noChangeArrowheads="1"/>
                        </wps:cNvSpPr>
                        <wps:spPr bwMode="auto">
                          <a:xfrm>
                            <a:off x="730" y="2200"/>
                            <a:ext cx="10520" cy="4674"/>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ED81056" id="Group 284" o:spid="_x0000_s1072" style="width:526pt;height:258.2pt;mso-position-horizontal-relative:char;mso-position-vertical-relative:line" coordorigin="730,1710" coordsize="10520,5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">
                <v:shape id="Text Box 252" o:spid="_x0000_s1073" type="#_x0000_t202" style="position:absolute;left:730;top:1710;width:1052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" fillcolor="#629fc2" strokecolor="#629fc2" strokeweight="1pt">
                  <v:textbox>
                    <w:txbxContent>
                      <w:p w14:paraId="6E300842" w14:textId="77777777" w:rsidR="0021734B" w:rsidRPr="00B12495" w:rsidRDefault="0021734B" w:rsidP="00924B26">
                        <w:pPr>
                          <w:pStyle w:val="Figureheading"/>
                        </w:pPr>
                        <w:r>
                          <w:t>Figure 14</w:t>
                        </w:r>
                      </w:p>
                    </w:txbxContent>
                  </v:textbox>
                </v:shape>
                <v:rect id="Rectangle 253" o:spid="_x0000_s1074" style="position:absolute;left:730;top:2200;width:10520;height:4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" filled="f" strokecolor="#688fb0" strokeweight="1pt"/>
                <w10:anchorlock/>
              </v:group>
            </w:pict>
          </mc:Fallback>
        </mc:AlternateContent>
      </w:r>
    </w:p>
    <w:p w14:paraId="313C048D" w14:textId="77777777" w:rsidR="00A30776" w:rsidRPr="00464E30" w:rsidRDefault="00A30776" w:rsidP="00A30776">
      <w:pPr>
        <w:pStyle w:val="Heading3nonumber"/>
      </w:pPr>
      <w:bookmarkStart w:id="60" w:name="_Toc399249142"/>
      <w:r w:rsidRPr="00464E30">
        <w:t>Alcohol-attributable hospital admissions (broad)</w:t>
      </w:r>
      <w:bookmarkEnd w:id="60"/>
    </w:p>
    <w:p w14:paraId="66875D74" w14:textId="77777777" w:rsidR="006E0237" w:rsidRPr="0000586B" w:rsidRDefault="00A30776" w:rsidP="00A30776">
      <w:pPr>
        <w:rPr>
          <w:noProof/>
          <w:szCs w:val="24"/>
        </w:rPr>
      </w:pPr>
      <w:r>
        <w:rPr>
          <w:noProof/>
          <w:szCs w:val="24"/>
        </w:rPr>
        <w:t xml:space="preserve">An estimated </w:t>
      </w:r>
      <w:r w:rsidRPr="00375339">
        <w:rPr>
          <w:noProof/>
          <w:szCs w:val="24"/>
        </w:rPr>
        <w:t xml:space="preserve"> 21,</w:t>
      </w:r>
      <w:r>
        <w:rPr>
          <w:noProof/>
          <w:szCs w:val="24"/>
        </w:rPr>
        <w:t xml:space="preserve">700 males and 12,300 females were admitted to </w:t>
      </w:r>
      <w:r w:rsidRPr="00B03D09">
        <w:rPr>
          <w:noProof/>
          <w:szCs w:val="24"/>
        </w:rPr>
        <w:t>hospital with</w:t>
      </w:r>
      <w:r>
        <w:rPr>
          <w:noProof/>
          <w:szCs w:val="24"/>
        </w:rPr>
        <w:t xml:space="preserve"> an alcohol-attributable condition usin</w:t>
      </w:r>
      <w:r w:rsidR="00D30AF4">
        <w:rPr>
          <w:noProof/>
          <w:szCs w:val="24"/>
        </w:rPr>
        <w:t>g the broad definition (Figure 15</w:t>
      </w:r>
      <w:r>
        <w:rPr>
          <w:noProof/>
          <w:szCs w:val="24"/>
        </w:rPr>
        <w:t xml:space="preserve">). This includes individuals with at least one diagnosis that relates to an alcohol-attributable condition, but not necessarily the main reason for attendance. It </w:t>
      </w:r>
      <w:r w:rsidRPr="00D96703">
        <w:rPr>
          <w:noProof/>
          <w:szCs w:val="24"/>
        </w:rPr>
        <w:t>considers</w:t>
      </w:r>
      <w:r>
        <w:rPr>
          <w:noProof/>
          <w:szCs w:val="24"/>
        </w:rPr>
        <w:t xml:space="preserve"> the admission with the condition with the strongest link to alcohol i.e. the largest </w:t>
      </w:r>
      <w:r w:rsidRPr="0000586B">
        <w:rPr>
          <w:noProof/>
          <w:szCs w:val="24"/>
        </w:rPr>
        <w:t xml:space="preserve">fraction. </w:t>
      </w:r>
      <w:r w:rsidR="006E0237" w:rsidRPr="0000586B">
        <w:rPr>
          <w:noProof/>
          <w:szCs w:val="24"/>
        </w:rPr>
        <w:t>Coding of secondary diagnoses may vary locally and so this measure may vary in its ability of picking up all individuals with an admission related to alcohol.</w:t>
      </w:r>
    </w:p>
    <w:p w14:paraId="721908E0" w14:textId="77777777" w:rsidR="00A30776" w:rsidRDefault="00A30776" w:rsidP="00A30776">
      <w:pPr>
        <w:rPr>
          <w:noProof/>
          <w:szCs w:val="24"/>
        </w:rPr>
      </w:pPr>
      <w:r w:rsidRPr="0000586B">
        <w:rPr>
          <w:noProof/>
          <w:szCs w:val="24"/>
        </w:rPr>
        <w:t>Almost half of the admissions had</w:t>
      </w:r>
      <w:r>
        <w:rPr>
          <w:noProof/>
          <w:szCs w:val="24"/>
        </w:rPr>
        <w:t xml:space="preserve"> a diagnosis of cardiovascular disease, where a relatively high proportion are linked to alcohol and which is a common diagnosis. Any change to hospital admissions for cardiovascular </w:t>
      </w:r>
      <w:r w:rsidRPr="00942C3F">
        <w:rPr>
          <w:noProof/>
          <w:szCs w:val="24"/>
        </w:rPr>
        <w:t>disease with a link to alcohol is therefore strongly reflected in the pattern of alcohol-attributable hospital admission</w:t>
      </w:r>
      <w:r w:rsidR="002B2C83">
        <w:rPr>
          <w:noProof/>
          <w:szCs w:val="24"/>
        </w:rPr>
        <w:t>s</w:t>
      </w:r>
      <w:r w:rsidRPr="00942C3F">
        <w:rPr>
          <w:noProof/>
          <w:szCs w:val="24"/>
        </w:rPr>
        <w:t xml:space="preserve"> using the broad definition. </w:t>
      </w:r>
      <w:r w:rsidRPr="00942C3F">
        <w:rPr>
          <w:szCs w:val="24"/>
        </w:rPr>
        <w:t>Please note that these groups only contain certain conditions that are linked to alcohol, for example, only some cardiovascular diseases. For a list of these please see the technical guide.</w:t>
      </w:r>
      <w:r w:rsidRPr="00942C3F">
        <w:rPr>
          <w:noProof/>
          <w:szCs w:val="24"/>
        </w:rPr>
        <w:t xml:space="preserve"> Risk factors for cardiovascular disease are wide ranging, and any pattern in cardiovascular</w:t>
      </w:r>
      <w:r w:rsidRPr="004A4972">
        <w:rPr>
          <w:noProof/>
          <w:szCs w:val="24"/>
        </w:rPr>
        <w:t xml:space="preserve"> disease</w:t>
      </w:r>
      <w:r>
        <w:rPr>
          <w:noProof/>
          <w:szCs w:val="24"/>
        </w:rPr>
        <w:t xml:space="preserve"> </w:t>
      </w:r>
      <w:r w:rsidRPr="004A4972">
        <w:rPr>
          <w:noProof/>
          <w:szCs w:val="24"/>
        </w:rPr>
        <w:t>could be the result of risk factors other than alcohol consumption.</w:t>
      </w:r>
      <w:r>
        <w:rPr>
          <w:noProof/>
          <w:szCs w:val="24"/>
        </w:rPr>
        <w:t xml:space="preserve"> For these reasons this measure needs to be interpreted with caution, particularly when considering a trend (see Section 4.2). Please also see the technical guide for further details. Just under a third of individuals were admitted with conditions that are wholly attributable to alcohol consumption</w:t>
      </w:r>
      <w:r w:rsidRPr="002A17A0">
        <w:rPr>
          <w:noProof/>
          <w:szCs w:val="24"/>
        </w:rPr>
        <w:t>. This measure</w:t>
      </w:r>
      <w:r>
        <w:rPr>
          <w:noProof/>
          <w:szCs w:val="24"/>
        </w:rPr>
        <w:t xml:space="preserve"> contains all the individuals in the definition of alcohol-specific hospital admission.</w:t>
      </w:r>
    </w:p>
    <w:p w14:paraId="45765C21" w14:textId="77777777" w:rsidR="00A30776" w:rsidRDefault="00A30776" w:rsidP="00A81195"/>
    <w:p w14:paraId="68B94769" w14:textId="77777777" w:rsidR="00A30776" w:rsidRDefault="00A30776">
      <w:pPr>
        <w:spacing w:before="0"/>
        <w:jc w:val="left"/>
      </w:pPr>
      <w:r>
        <w:br w:type="page"/>
      </w:r>
    </w:p>
    <w:p w14:paraId="26F576CA" w14:textId="77777777" w:rsidR="00A30776" w:rsidRDefault="00A30776" w:rsidP="005C29A8">
      <w:pPr>
        <w:tabs>
          <w:tab w:val="left" w:pos="3828"/>
        </w:tabs>
      </w:pPr>
    </w:p>
    <w:p w14:paraId="31DAEF96" w14:textId="4FD6AD67" w:rsidR="00A30776" w:rsidRDefault="002B49B3" w:rsidP="00A81195">
      <w:r w:rsidRPr="002B49B3">
        <w:rPr>
          <w:noProof/>
        </w:rPr>
        <w:drawing>
          <wp:anchor distT="0" distB="0" distL="114300" distR="114300" simplePos="0" relativeHeight="251815936" behindDoc="0" locked="0" layoutInCell="1" allowOverlap="1" wp14:anchorId="7D8DD718" wp14:editId="4581BC2A">
            <wp:simplePos x="0" y="0"/>
            <wp:positionH relativeFrom="column">
              <wp:posOffset>104775</wp:posOffset>
            </wp:positionH>
            <wp:positionV relativeFrom="paragraph">
              <wp:posOffset>552450</wp:posOffset>
            </wp:positionV>
            <wp:extent cx="6562725" cy="2600325"/>
            <wp:effectExtent l="19050" t="0" r="9525" b="0"/>
            <wp:wrapNone/>
            <wp:docPr id="18"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9" cstate="print"/>
                    <a:srcRect l="1431" t="7641" b="1661"/>
                    <a:stretch>
                      <a:fillRect/>
                    </a:stretch>
                  </pic:blipFill>
                  <pic:spPr bwMode="auto">
                    <a:xfrm>
                      <a:off x="0" y="0"/>
                      <a:ext cx="6562725" cy="260032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1D1C6842" wp14:editId="2FA45ED4">
                <wp:extent cx="6680200" cy="3184525"/>
                <wp:effectExtent l="9525" t="9525" r="6350" b="6350"/>
                <wp:docPr id="279" name="Group 2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0200" cy="3184525"/>
                          <a:chOff x="730" y="1675"/>
                          <a:chExt cx="10520" cy="5015"/>
                        </a:xfrm>
                      </wpg:grpSpPr>
                      <wps:wsp>
                        <wps:cNvPr id="280" name="Text Box 247"/>
                        <wps:cNvSpPr txBox="1">
                          <a:spLocks noChangeArrowheads="1"/>
                        </wps:cNvSpPr>
                        <wps:spPr bwMode="auto">
                          <a:xfrm>
                            <a:off x="730" y="1675"/>
                            <a:ext cx="10520" cy="476"/>
                          </a:xfrm>
                          <a:prstGeom prst="rect">
                            <a:avLst/>
                          </a:prstGeom>
                          <a:solidFill>
                            <a:srgbClr val="629FC2"/>
                          </a:solidFill>
                          <a:ln w="12700">
                            <a:solidFill>
                              <a:srgbClr val="629FC2"/>
                            </a:solidFill>
                            <a:miter lim="800000"/>
                            <a:headEnd/>
                            <a:tailEnd/>
                          </a:ln>
                        </wps:spPr>
                        <wps:txbx>
                          <w:txbxContent>
                            <w:p w14:paraId="49175B40" w14:textId="77777777" w:rsidR="0021734B" w:rsidRPr="00B12495" w:rsidRDefault="0021734B" w:rsidP="005C29A8">
                              <w:pPr>
                                <w:pStyle w:val="Figureheading"/>
                              </w:pPr>
                              <w:r>
                                <w:t>Figure 15</w:t>
                              </w:r>
                            </w:p>
                          </w:txbxContent>
                        </wps:txbx>
                        <wps:bodyPr rot="0" vert="horz" wrap="square" lIns="91440" tIns="45720" rIns="91440" bIns="45720" anchor="t" anchorCtr="0" upright="1">
                          <a:noAutofit/>
                        </wps:bodyPr>
                      </wps:wsp>
                      <wps:wsp>
                        <wps:cNvPr id="282" name="Rectangle 248"/>
                        <wps:cNvSpPr>
                          <a:spLocks noChangeArrowheads="1"/>
                        </wps:cNvSpPr>
                        <wps:spPr bwMode="auto">
                          <a:xfrm>
                            <a:off x="730" y="2151"/>
                            <a:ext cx="10520" cy="4539"/>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D1C6842" id="Group 250" o:spid="_x0000_s1075" style="width:526pt;height:250.75pt;mso-position-horizontal-relative:char;mso-position-vertical-relative:line" coordorigin="730,1675" coordsize="10520,5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">
                <v:shape id="Text Box 247" o:spid="_x0000_s1076" type="#_x0000_t202" style="position:absolute;left:730;top:1675;width:1052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" fillcolor="#629fc2" strokecolor="#629fc2" strokeweight="1pt">
                  <v:textbox>
                    <w:txbxContent>
                      <w:p w14:paraId="49175B40" w14:textId="77777777" w:rsidR="0021734B" w:rsidRPr="00B12495" w:rsidRDefault="0021734B" w:rsidP="005C29A8">
                        <w:pPr>
                          <w:pStyle w:val="Figureheading"/>
                        </w:pPr>
                        <w:r>
                          <w:t>Figure 15</w:t>
                        </w:r>
                      </w:p>
                    </w:txbxContent>
                  </v:textbox>
                </v:shape>
                <v:rect id="Rectangle 248" o:spid="_x0000_s1077" style="position:absolute;left:730;top:2151;width:10520;height:4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" filled="f" strokecolor="#688fb0" strokeweight="1pt"/>
                <w10:anchorlock/>
              </v:group>
            </w:pict>
          </mc:Fallback>
        </mc:AlternateContent>
      </w:r>
    </w:p>
    <w:p w14:paraId="37261CEB" w14:textId="77777777" w:rsidR="00A30776" w:rsidRDefault="00A30776" w:rsidP="00A30776">
      <w:pPr>
        <w:pStyle w:val="Heading2"/>
      </w:pPr>
      <w:bookmarkStart w:id="61" w:name="_Toc399249143"/>
      <w:bookmarkStart w:id="62" w:name="_Toc399252949"/>
      <w:bookmarkStart w:id="63" w:name="_Toc400007280"/>
      <w:r w:rsidRPr="004A4FA2">
        <w:t>Hospital admission trends</w:t>
      </w:r>
      <w:r>
        <w:t xml:space="preserve"> over time</w:t>
      </w:r>
      <w:bookmarkEnd w:id="61"/>
      <w:bookmarkEnd w:id="62"/>
      <w:bookmarkEnd w:id="63"/>
    </w:p>
    <w:p w14:paraId="4C302B87" w14:textId="548FB304" w:rsidR="00A30776" w:rsidRDefault="007465D8" w:rsidP="00A30776">
      <w:pPr>
        <w:rPr>
          <w:szCs w:val="24"/>
        </w:rPr>
      </w:pPr>
      <w:r>
        <w:rPr>
          <w:noProof/>
          <w:szCs w:val="24"/>
        </w:rPr>
        <mc:AlternateContent>
          <mc:Choice Requires="wps">
            <w:drawing>
              <wp:anchor distT="0" distB="0" distL="114300" distR="114300" simplePos="0" relativeHeight="251730944" behindDoc="1" locked="0" layoutInCell="1" allowOverlap="1" wp14:anchorId="3ADAFF68" wp14:editId="362C1789">
                <wp:simplePos x="0" y="0"/>
                <wp:positionH relativeFrom="column">
                  <wp:posOffset>4962525</wp:posOffset>
                </wp:positionH>
                <wp:positionV relativeFrom="paragraph">
                  <wp:posOffset>118745</wp:posOffset>
                </wp:positionV>
                <wp:extent cx="1800225" cy="2057400"/>
                <wp:effectExtent l="0" t="0" r="0" b="635"/>
                <wp:wrapSquare wrapText="bothSides"/>
                <wp:docPr id="278" name="Text Box 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2057400"/>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3D449A" w14:textId="77777777" w:rsidR="0021734B" w:rsidRDefault="0021734B" w:rsidP="00206926">
                            <w:pPr>
                              <w:spacing w:before="0"/>
                              <w:rPr>
                                <w:i/>
                                <w:color w:val="5D9D91"/>
                                <w:sz w:val="36"/>
                              </w:rPr>
                            </w:pPr>
                            <w:r>
                              <w:rPr>
                                <w:i/>
                                <w:noProof/>
                                <w:color w:val="5D9D91"/>
                                <w:sz w:val="36"/>
                              </w:rPr>
                              <w:drawing>
                                <wp:inline distT="0" distB="0" distL="0" distR="0" wp14:anchorId="7411AA37" wp14:editId="64BBFB16">
                                  <wp:extent cx="390525" cy="333375"/>
                                  <wp:effectExtent l="19050" t="0" r="9525" b="0"/>
                                  <wp:docPr id="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597D9D5D" w14:textId="77777777" w:rsidR="0021734B" w:rsidRPr="001C745D" w:rsidRDefault="0021734B" w:rsidP="00206926">
                            <w:pPr>
                              <w:spacing w:before="0"/>
                              <w:rPr>
                                <w:i/>
                                <w:color w:val="5D9D91"/>
                                <w:sz w:val="6"/>
                              </w:rPr>
                            </w:pPr>
                          </w:p>
                          <w:p w14:paraId="430AD552" w14:textId="77777777" w:rsidR="0021734B" w:rsidRPr="0091077E" w:rsidRDefault="0021734B" w:rsidP="00206926">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 xml:space="preserve"> The rate of individuals admitted to hospital for alcohol specific -conditions has remained static since 2006/07, but in contrast the rate for the broad measure has increased steadily over time ...</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11A69125" w14:textId="77777777" w:rsidR="0021734B" w:rsidRPr="002D6AA2" w:rsidRDefault="0021734B" w:rsidP="00206926">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DAFF68" id="Text Box 271" o:spid="_x0000_s1078" type="#_x0000_t202" style="position:absolute;left:0;text-align:left;margin-left:390.75pt;margin-top:9.35pt;width:141.75pt;height:162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" filled="f" fillcolor="#31849b [2408]" stroked="f">
                <v:textbox>
                  <w:txbxContent>
                    <w:p w14:paraId="503D449A" w14:textId="77777777" w:rsidR="0021734B" w:rsidRDefault="0021734B" w:rsidP="00206926">
                      <w:pPr>
                        <w:spacing w:before="0"/>
                        <w:rPr>
                          <w:i/>
                          <w:color w:val="5D9D91"/>
                          <w:sz w:val="36"/>
                        </w:rPr>
                      </w:pPr>
                      <w:r>
                        <w:rPr>
                          <w:i/>
                          <w:noProof/>
                          <w:color w:val="5D9D91"/>
                          <w:sz w:val="36"/>
                        </w:rPr>
                        <w:drawing>
                          <wp:inline distT="0" distB="0" distL="0" distR="0" wp14:anchorId="7411AA37" wp14:editId="64BBFB16">
                            <wp:extent cx="390525" cy="333375"/>
                            <wp:effectExtent l="19050" t="0" r="9525" b="0"/>
                            <wp:docPr id="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597D9D5D" w14:textId="77777777" w:rsidR="0021734B" w:rsidRPr="001C745D" w:rsidRDefault="0021734B" w:rsidP="00206926">
                      <w:pPr>
                        <w:spacing w:before="0"/>
                        <w:rPr>
                          <w:i/>
                          <w:color w:val="5D9D91"/>
                          <w:sz w:val="6"/>
                        </w:rPr>
                      </w:pPr>
                    </w:p>
                    <w:p w14:paraId="430AD552" w14:textId="77777777" w:rsidR="0021734B" w:rsidRPr="0091077E" w:rsidRDefault="0021734B" w:rsidP="00206926">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 xml:space="preserve"> The rate of individuals admitted to hospital for alcohol specific -conditions has remained static since 2006/07, but in contrast the rate for the broad measure has increased steadily over time ...</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11A69125" w14:textId="77777777" w:rsidR="0021734B" w:rsidRPr="002D6AA2" w:rsidRDefault="0021734B" w:rsidP="00206926">
                      <w:pPr>
                        <w:spacing w:before="0"/>
                        <w:ind w:left="142" w:right="27"/>
                        <w:rPr>
                          <w:i/>
                          <w:color w:val="5D9D91"/>
                          <w:sz w:val="20"/>
                          <w:szCs w:val="20"/>
                        </w:rPr>
                      </w:pPr>
                    </w:p>
                  </w:txbxContent>
                </v:textbox>
                <w10:wrap type="square"/>
              </v:shape>
            </w:pict>
          </mc:Fallback>
        </mc:AlternateContent>
      </w:r>
      <w:r w:rsidR="00A30776">
        <w:rPr>
          <w:szCs w:val="24"/>
        </w:rPr>
        <w:t xml:space="preserve">The rate of individuals admitted to hospital for alcohol-specific (wholly attributable) conditions increased during the early years of the period shown but has remained stable since 2006/07. In our previous publication </w:t>
      </w:r>
      <w:r w:rsidR="00A30776" w:rsidRPr="009A51E6">
        <w:rPr>
          <w:i/>
          <w:szCs w:val="24"/>
        </w:rPr>
        <w:t>A profile of alcohol and health in Wales</w:t>
      </w:r>
      <w:r w:rsidR="00D30AF4" w:rsidRPr="00D30AF4">
        <w:rPr>
          <w:i/>
          <w:szCs w:val="24"/>
          <w:vertAlign w:val="superscript"/>
        </w:rPr>
        <w:t>3</w:t>
      </w:r>
      <w:r w:rsidR="00A30776">
        <w:rPr>
          <w:szCs w:val="24"/>
        </w:rPr>
        <w:t xml:space="preserve"> we</w:t>
      </w:r>
      <w:r w:rsidR="00A30776" w:rsidRPr="004A4972">
        <w:rPr>
          <w:szCs w:val="24"/>
        </w:rPr>
        <w:t xml:space="preserve"> recommended that the alcohol-attributable trend</w:t>
      </w:r>
      <w:r w:rsidR="00A30776">
        <w:rPr>
          <w:szCs w:val="24"/>
        </w:rPr>
        <w:t xml:space="preserve"> (now called broad)</w:t>
      </w:r>
      <w:r w:rsidR="00A30776" w:rsidRPr="004A4972">
        <w:rPr>
          <w:szCs w:val="24"/>
        </w:rPr>
        <w:t xml:space="preserve"> </w:t>
      </w:r>
      <w:r w:rsidR="00A30776">
        <w:rPr>
          <w:szCs w:val="24"/>
        </w:rPr>
        <w:t>should be</w:t>
      </w:r>
      <w:r w:rsidR="00A30776" w:rsidRPr="004A4972">
        <w:rPr>
          <w:szCs w:val="24"/>
        </w:rPr>
        <w:t xml:space="preserve"> considered alongside the alcohol-specific measure to ensure that a trend over time is not merely reflecting a change in</w:t>
      </w:r>
      <w:r w:rsidR="00A30776">
        <w:rPr>
          <w:szCs w:val="24"/>
        </w:rPr>
        <w:t xml:space="preserve"> trend in one of the attributable conditions, rather than the impact of alcohol in general over time. This is more complex with two alcohol-attributable definitions showing different trends. The rate of alcohol-attributable admissions (narrow) has slowly decreased since 2006/07. This is in contrast to the broad measure which has steadi</w:t>
      </w:r>
      <w:r w:rsidR="00D30AF4">
        <w:rPr>
          <w:szCs w:val="24"/>
        </w:rPr>
        <w:t>ly increased over time (Figure 16</w:t>
      </w:r>
      <w:r w:rsidR="00A30776">
        <w:rPr>
          <w:szCs w:val="24"/>
        </w:rPr>
        <w:t xml:space="preserve">). </w:t>
      </w:r>
    </w:p>
    <w:p w14:paraId="6F02B0CF" w14:textId="77777777" w:rsidR="00A30776" w:rsidRDefault="00A30776" w:rsidP="00A30776">
      <w:pPr>
        <w:rPr>
          <w:szCs w:val="24"/>
        </w:rPr>
      </w:pPr>
      <w:r>
        <w:rPr>
          <w:szCs w:val="24"/>
        </w:rPr>
        <w:t xml:space="preserve">The </w:t>
      </w:r>
      <w:r w:rsidRPr="00942C3F">
        <w:rPr>
          <w:szCs w:val="24"/>
        </w:rPr>
        <w:t xml:space="preserve">broad admission indicator is heavily influenced by patterns in cardiovascular </w:t>
      </w:r>
      <w:r w:rsidRPr="0000586B">
        <w:rPr>
          <w:szCs w:val="24"/>
        </w:rPr>
        <w:t>disease linked to alcohol (Section 4.3) with half of the individuals cou</w:t>
      </w:r>
      <w:r w:rsidR="0020491B" w:rsidRPr="0000586B">
        <w:rPr>
          <w:szCs w:val="24"/>
        </w:rPr>
        <w:t xml:space="preserve">nted with </w:t>
      </w:r>
      <w:r w:rsidRPr="0000586B">
        <w:rPr>
          <w:szCs w:val="24"/>
        </w:rPr>
        <w:t>cardiovas</w:t>
      </w:r>
      <w:r w:rsidR="0020491B" w:rsidRPr="0000586B">
        <w:rPr>
          <w:szCs w:val="24"/>
        </w:rPr>
        <w:t>cular disease in either the primary or secondary diagnosis</w:t>
      </w:r>
      <w:r w:rsidRPr="0000586B">
        <w:rPr>
          <w:szCs w:val="24"/>
        </w:rPr>
        <w:t xml:space="preserve">. Although not shown here, the trend in admissions with cardiovascular disease linked to alcohol has been rising over time and so this is reflected in the trend in the broad alcohol-attributable admissions. It may not, however, reflect the impact of alcohol on cardiovascular disease as there are many risk factors other than alcohol and treatment may change over time. </w:t>
      </w:r>
      <w:r w:rsidR="0020491B" w:rsidRPr="0000586B">
        <w:rPr>
          <w:szCs w:val="24"/>
        </w:rPr>
        <w:t>Also, coding of secondary diagnosis may vary over time as well as between areas which needs to be taken into account when interpreting t</w:t>
      </w:r>
      <w:r w:rsidRPr="0000586B">
        <w:rPr>
          <w:szCs w:val="24"/>
        </w:rPr>
        <w:t xml:space="preserve">he broad alcohol-attributable admission measure. The narrow admissions measure is not affected in the same way and is therefore a more </w:t>
      </w:r>
      <w:r w:rsidR="006E0237" w:rsidRPr="0000586B">
        <w:rPr>
          <w:szCs w:val="24"/>
        </w:rPr>
        <w:t>suitable</w:t>
      </w:r>
      <w:r w:rsidRPr="0000586B">
        <w:rPr>
          <w:szCs w:val="24"/>
        </w:rPr>
        <w:t xml:space="preserve"> measure for tracking trends over time instead of the broad admission indicator. It is still</w:t>
      </w:r>
      <w:r>
        <w:rPr>
          <w:szCs w:val="24"/>
        </w:rPr>
        <w:t xml:space="preserve"> advisable, however, to consider the alcohol-specific trend alongside the narrow measure.</w:t>
      </w:r>
    </w:p>
    <w:p w14:paraId="5545DC13" w14:textId="77777777" w:rsidR="00A30776" w:rsidRDefault="00A30776" w:rsidP="00A30776">
      <w:pPr>
        <w:rPr>
          <w:szCs w:val="24"/>
        </w:rPr>
      </w:pPr>
      <w:r>
        <w:rPr>
          <w:szCs w:val="24"/>
        </w:rPr>
        <w:t>The rate in males is consistently higher than the female rate, for all measures.</w:t>
      </w:r>
    </w:p>
    <w:p w14:paraId="7418ADE0" w14:textId="77777777" w:rsidR="00095454" w:rsidRDefault="00095454" w:rsidP="00A30776">
      <w:pPr>
        <w:rPr>
          <w:szCs w:val="24"/>
        </w:rPr>
      </w:pPr>
    </w:p>
    <w:p w14:paraId="71D35692" w14:textId="77777777" w:rsidR="00095454" w:rsidRDefault="00095454" w:rsidP="00A30776">
      <w:pPr>
        <w:rPr>
          <w:szCs w:val="24"/>
        </w:rPr>
      </w:pPr>
    </w:p>
    <w:p w14:paraId="53AD03F7" w14:textId="77777777" w:rsidR="00095454" w:rsidRDefault="00095454" w:rsidP="00A30776">
      <w:pPr>
        <w:rPr>
          <w:szCs w:val="24"/>
        </w:rPr>
      </w:pPr>
    </w:p>
    <w:p w14:paraId="2F7E0E59" w14:textId="442FE742" w:rsidR="00A30776" w:rsidRDefault="00361961" w:rsidP="00A81195">
      <w:r>
        <w:rPr>
          <w:noProof/>
        </w:rPr>
        <w:drawing>
          <wp:anchor distT="0" distB="0" distL="114300" distR="114300" simplePos="0" relativeHeight="251806720" behindDoc="0" locked="0" layoutInCell="1" allowOverlap="1" wp14:anchorId="7E850129" wp14:editId="4F8A6D91">
            <wp:simplePos x="0" y="0"/>
            <wp:positionH relativeFrom="column">
              <wp:posOffset>47625</wp:posOffset>
            </wp:positionH>
            <wp:positionV relativeFrom="paragraph">
              <wp:posOffset>504825</wp:posOffset>
            </wp:positionV>
            <wp:extent cx="5048250" cy="6486525"/>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0" cstate="print"/>
                    <a:srcRect/>
                    <a:stretch>
                      <a:fillRect/>
                    </a:stretch>
                  </pic:blipFill>
                  <pic:spPr bwMode="auto">
                    <a:xfrm>
                      <a:off x="0" y="0"/>
                      <a:ext cx="5048250" cy="648652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0C9A2E44" wp14:editId="14957180">
                <wp:extent cx="5184775" cy="6901815"/>
                <wp:effectExtent l="9525" t="9525" r="6350" b="13335"/>
                <wp:docPr id="275" name="Group 2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4775" cy="6901815"/>
                          <a:chOff x="730" y="1811"/>
                          <a:chExt cx="8315" cy="10869"/>
                        </a:xfrm>
                      </wpg:grpSpPr>
                      <wps:wsp>
                        <wps:cNvPr id="276" name="Text Box 208"/>
                        <wps:cNvSpPr txBox="1">
                          <a:spLocks noChangeArrowheads="1"/>
                        </wps:cNvSpPr>
                        <wps:spPr bwMode="auto">
                          <a:xfrm>
                            <a:off x="730" y="1811"/>
                            <a:ext cx="8315" cy="476"/>
                          </a:xfrm>
                          <a:prstGeom prst="rect">
                            <a:avLst/>
                          </a:prstGeom>
                          <a:solidFill>
                            <a:srgbClr val="629FC2"/>
                          </a:solidFill>
                          <a:ln w="12700">
                            <a:solidFill>
                              <a:srgbClr val="629FC2"/>
                            </a:solidFill>
                            <a:miter lim="800000"/>
                            <a:headEnd/>
                            <a:tailEnd/>
                          </a:ln>
                        </wps:spPr>
                        <wps:txbx>
                          <w:txbxContent>
                            <w:p w14:paraId="2A8BA007" w14:textId="77777777" w:rsidR="0021734B" w:rsidRPr="00B12495" w:rsidRDefault="0021734B" w:rsidP="00095454">
                              <w:pPr>
                                <w:pStyle w:val="Figureheading"/>
                              </w:pPr>
                              <w:r>
                                <w:t>Figure 16</w:t>
                              </w:r>
                            </w:p>
                          </w:txbxContent>
                        </wps:txbx>
                        <wps:bodyPr rot="0" vert="horz" wrap="square" lIns="91440" tIns="45720" rIns="91440" bIns="45720" anchor="t" anchorCtr="0" upright="1">
                          <a:noAutofit/>
                        </wps:bodyPr>
                      </wps:wsp>
                      <wps:wsp>
                        <wps:cNvPr id="277" name="Rectangle 209"/>
                        <wps:cNvSpPr>
                          <a:spLocks noChangeArrowheads="1"/>
                        </wps:cNvSpPr>
                        <wps:spPr bwMode="auto">
                          <a:xfrm>
                            <a:off x="730" y="2287"/>
                            <a:ext cx="8315" cy="10393"/>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C9A2E44" id="Group 241" o:spid="_x0000_s1079" style="width:408.25pt;height:543.45pt;mso-position-horizontal-relative:char;mso-position-vertical-relative:line" coordorigin="730,1811" coordsize="8315,108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">
                <v:shape id="Text Box 208" o:spid="_x0000_s1080" type="#_x0000_t202" style="position:absolute;left:730;top:1811;width:831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" fillcolor="#629fc2" strokecolor="#629fc2" strokeweight="1pt">
                  <v:textbox>
                    <w:txbxContent>
                      <w:p w14:paraId="2A8BA007" w14:textId="77777777" w:rsidR="0021734B" w:rsidRPr="00B12495" w:rsidRDefault="0021734B" w:rsidP="00095454">
                        <w:pPr>
                          <w:pStyle w:val="Figureheading"/>
                        </w:pPr>
                        <w:r>
                          <w:t>Figure 16</w:t>
                        </w:r>
                      </w:p>
                    </w:txbxContent>
                  </v:textbox>
                </v:shape>
                <v:rect id="Rectangle 209" o:spid="_x0000_s1081" style="position:absolute;left:730;top:2287;width:8315;height:103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" filled="f" strokecolor="#688fb0" strokeweight="1pt"/>
                <w10:anchorlock/>
              </v:group>
            </w:pict>
          </mc:Fallback>
        </mc:AlternateContent>
      </w:r>
    </w:p>
    <w:p w14:paraId="11F92A3A" w14:textId="5207BD0C" w:rsidR="00323C55" w:rsidRPr="00464E30" w:rsidRDefault="007465D8" w:rsidP="00323C55">
      <w:pPr>
        <w:pStyle w:val="Heading3nonumber"/>
      </w:pPr>
      <w:bookmarkStart w:id="64" w:name="_Toc399249144"/>
      <w:r>
        <w:rPr>
          <w:noProof/>
        </w:rPr>
        <mc:AlternateContent>
          <mc:Choice Requires="wps">
            <w:drawing>
              <wp:anchor distT="0" distB="0" distL="114300" distR="114300" simplePos="0" relativeHeight="251731968" behindDoc="1" locked="0" layoutInCell="1" allowOverlap="1" wp14:anchorId="66B8E06B" wp14:editId="31EFA7DE">
                <wp:simplePos x="0" y="0"/>
                <wp:positionH relativeFrom="column">
                  <wp:posOffset>4914900</wp:posOffset>
                </wp:positionH>
                <wp:positionV relativeFrom="paragraph">
                  <wp:posOffset>-6350</wp:posOffset>
                </wp:positionV>
                <wp:extent cx="1943100" cy="2165350"/>
                <wp:effectExtent l="0" t="3175" r="0" b="3175"/>
                <wp:wrapSquare wrapText="bothSides"/>
                <wp:docPr id="274"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2165350"/>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FDBC3" w14:textId="77777777" w:rsidR="0021734B" w:rsidRDefault="0021734B" w:rsidP="00206926">
                            <w:pPr>
                              <w:spacing w:before="0"/>
                              <w:rPr>
                                <w:i/>
                                <w:color w:val="5D9D91"/>
                                <w:sz w:val="36"/>
                              </w:rPr>
                            </w:pPr>
                            <w:r>
                              <w:rPr>
                                <w:i/>
                                <w:noProof/>
                                <w:color w:val="5D9D91"/>
                                <w:sz w:val="36"/>
                              </w:rPr>
                              <w:drawing>
                                <wp:inline distT="0" distB="0" distL="0" distR="0" wp14:anchorId="1A9C659E" wp14:editId="7CF32414">
                                  <wp:extent cx="390525" cy="333375"/>
                                  <wp:effectExtent l="19050" t="0" r="9525" b="0"/>
                                  <wp:docPr id="2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3F0E9F6E" w14:textId="77777777" w:rsidR="0021734B" w:rsidRPr="001C745D" w:rsidRDefault="0021734B" w:rsidP="00206926">
                            <w:pPr>
                              <w:spacing w:before="0"/>
                              <w:rPr>
                                <w:i/>
                                <w:color w:val="5D9D91"/>
                                <w:sz w:val="6"/>
                              </w:rPr>
                            </w:pPr>
                          </w:p>
                          <w:p w14:paraId="2F0725C4" w14:textId="77777777" w:rsidR="0021734B" w:rsidRPr="0091077E" w:rsidRDefault="0021734B" w:rsidP="00206926">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The hospital admission rate in children and young people under 18 for alcohol- specific conditions has been decreasing steadily for several years, but around 410 young people are still admitted per year in the most recent period...</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40408BC5" w14:textId="77777777" w:rsidR="0021734B" w:rsidRPr="002D6AA2" w:rsidRDefault="0021734B" w:rsidP="00206926">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B8E06B" id="Text Box 272" o:spid="_x0000_s1082" type="#_x0000_t202" style="position:absolute;left:0;text-align:left;margin-left:387pt;margin-top:-.5pt;width:153pt;height:170.5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" filled="f" fillcolor="#31849b [2408]" stroked="f">
                <v:textbox>
                  <w:txbxContent>
                    <w:p w14:paraId="582FDBC3" w14:textId="77777777" w:rsidR="0021734B" w:rsidRDefault="0021734B" w:rsidP="00206926">
                      <w:pPr>
                        <w:spacing w:before="0"/>
                        <w:rPr>
                          <w:i/>
                          <w:color w:val="5D9D91"/>
                          <w:sz w:val="36"/>
                        </w:rPr>
                      </w:pPr>
                      <w:r>
                        <w:rPr>
                          <w:i/>
                          <w:noProof/>
                          <w:color w:val="5D9D91"/>
                          <w:sz w:val="36"/>
                        </w:rPr>
                        <w:drawing>
                          <wp:inline distT="0" distB="0" distL="0" distR="0" wp14:anchorId="1A9C659E" wp14:editId="7CF32414">
                            <wp:extent cx="390525" cy="333375"/>
                            <wp:effectExtent l="19050" t="0" r="9525" b="0"/>
                            <wp:docPr id="2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3F0E9F6E" w14:textId="77777777" w:rsidR="0021734B" w:rsidRPr="001C745D" w:rsidRDefault="0021734B" w:rsidP="00206926">
                      <w:pPr>
                        <w:spacing w:before="0"/>
                        <w:rPr>
                          <w:i/>
                          <w:color w:val="5D9D91"/>
                          <w:sz w:val="6"/>
                        </w:rPr>
                      </w:pPr>
                    </w:p>
                    <w:p w14:paraId="2F0725C4" w14:textId="77777777" w:rsidR="0021734B" w:rsidRPr="0091077E" w:rsidRDefault="0021734B" w:rsidP="00206926">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The hospital admission rate in children and young people under 18 for alcohol- specific conditions has been decreasing steadily for several years, but around 410 young people are still admitted per year in the most recent period...</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40408BC5" w14:textId="77777777" w:rsidR="0021734B" w:rsidRPr="002D6AA2" w:rsidRDefault="0021734B" w:rsidP="00206926">
                      <w:pPr>
                        <w:spacing w:before="0"/>
                        <w:ind w:left="142" w:right="27"/>
                        <w:rPr>
                          <w:i/>
                          <w:color w:val="5D9D91"/>
                          <w:sz w:val="20"/>
                          <w:szCs w:val="20"/>
                        </w:rPr>
                      </w:pPr>
                    </w:p>
                  </w:txbxContent>
                </v:textbox>
                <w10:wrap type="square"/>
              </v:shape>
            </w:pict>
          </mc:Fallback>
        </mc:AlternateContent>
      </w:r>
      <w:r w:rsidR="00323C55" w:rsidRPr="00464E30">
        <w:t>Hospital admissions aged under 18</w:t>
      </w:r>
      <w:bookmarkEnd w:id="64"/>
    </w:p>
    <w:p w14:paraId="1ED5A7E6" w14:textId="77777777" w:rsidR="00323C55" w:rsidRDefault="00323C55" w:rsidP="00323C55">
      <w:pPr>
        <w:rPr>
          <w:szCs w:val="24"/>
        </w:rPr>
      </w:pPr>
      <w:r>
        <w:rPr>
          <w:szCs w:val="24"/>
        </w:rPr>
        <w:t xml:space="preserve">The rate for children and young people aged under 18 admitted for alcohol-specific (wholly attributable) conditions has statistically significantly decreased since the period 2005-07 in </w:t>
      </w:r>
      <w:r w:rsidR="00D30AF4">
        <w:rPr>
          <w:szCs w:val="24"/>
        </w:rPr>
        <w:t>both males and females (Figure 17</w:t>
      </w:r>
      <w:r>
        <w:rPr>
          <w:szCs w:val="24"/>
        </w:rPr>
        <w:t>). This downward trend is good news, but around 410 young people were still admitted per year in the most recent period. People aged under 18 are the only group with a higher rate in females than in males. This rate in all young people under 18 in Wales is consistently higher than in England although the difference is slight</w:t>
      </w:r>
      <w:r w:rsidR="00D30AF4">
        <w:rPr>
          <w:szCs w:val="24"/>
        </w:rPr>
        <w:t>ly narrowing over time (Figure 22</w:t>
      </w:r>
      <w:r>
        <w:rPr>
          <w:szCs w:val="24"/>
        </w:rPr>
        <w:t xml:space="preserve"> in Section 4.4).  </w:t>
      </w:r>
    </w:p>
    <w:p w14:paraId="0596D835" w14:textId="77777777" w:rsidR="00323C55" w:rsidRDefault="00323C55" w:rsidP="00A81195"/>
    <w:p w14:paraId="06F11ED5" w14:textId="49FD4BBE" w:rsidR="00323C55" w:rsidRDefault="0049422B" w:rsidP="00323C55">
      <w:pPr>
        <w:tabs>
          <w:tab w:val="left" w:pos="8222"/>
          <w:tab w:val="left" w:pos="8364"/>
        </w:tabs>
        <w:spacing w:before="0"/>
        <w:jc w:val="left"/>
      </w:pPr>
      <w:r>
        <w:rPr>
          <w:noProof/>
        </w:rPr>
        <w:drawing>
          <wp:anchor distT="0" distB="0" distL="114300" distR="114300" simplePos="0" relativeHeight="251809792" behindDoc="0" locked="0" layoutInCell="1" allowOverlap="1" wp14:anchorId="5D866134" wp14:editId="074BFD28">
            <wp:simplePos x="0" y="0"/>
            <wp:positionH relativeFrom="column">
              <wp:posOffset>38100</wp:posOffset>
            </wp:positionH>
            <wp:positionV relativeFrom="paragraph">
              <wp:posOffset>330200</wp:posOffset>
            </wp:positionV>
            <wp:extent cx="5057775" cy="3248025"/>
            <wp:effectExtent l="19050" t="0" r="9525"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1" cstate="print"/>
                    <a:srcRect/>
                    <a:stretch>
                      <a:fillRect/>
                    </a:stretch>
                  </pic:blipFill>
                  <pic:spPr bwMode="auto">
                    <a:xfrm>
                      <a:off x="0" y="0"/>
                      <a:ext cx="5057775" cy="324802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093BA547" wp14:editId="632CD53C">
                <wp:extent cx="5251450" cy="3610610"/>
                <wp:effectExtent l="9525" t="9525" r="6350" b="8890"/>
                <wp:docPr id="269"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1450" cy="3610610"/>
                          <a:chOff x="730" y="1470"/>
                          <a:chExt cx="8270" cy="5686"/>
                        </a:xfrm>
                      </wpg:grpSpPr>
                      <wps:wsp>
                        <wps:cNvPr id="272" name="Text Box 117"/>
                        <wps:cNvSpPr txBox="1">
                          <a:spLocks noChangeArrowheads="1"/>
                        </wps:cNvSpPr>
                        <wps:spPr bwMode="auto">
                          <a:xfrm>
                            <a:off x="730" y="1470"/>
                            <a:ext cx="8270" cy="476"/>
                          </a:xfrm>
                          <a:prstGeom prst="rect">
                            <a:avLst/>
                          </a:prstGeom>
                          <a:solidFill>
                            <a:srgbClr val="629FC2"/>
                          </a:solidFill>
                          <a:ln w="12700">
                            <a:solidFill>
                              <a:srgbClr val="629FC2"/>
                            </a:solidFill>
                            <a:miter lim="800000"/>
                            <a:headEnd/>
                            <a:tailEnd/>
                          </a:ln>
                        </wps:spPr>
                        <wps:txbx>
                          <w:txbxContent>
                            <w:p w14:paraId="143A12B0" w14:textId="77777777" w:rsidR="0021734B" w:rsidRPr="00B12495" w:rsidRDefault="0021734B" w:rsidP="00323C55">
                              <w:pPr>
                                <w:pStyle w:val="Figureheading"/>
                              </w:pPr>
                              <w:r>
                                <w:t>Figure 17</w:t>
                              </w:r>
                            </w:p>
                          </w:txbxContent>
                        </wps:txbx>
                        <wps:bodyPr rot="0" vert="horz" wrap="square" lIns="91440" tIns="45720" rIns="91440" bIns="45720" anchor="t" anchorCtr="0" upright="1">
                          <a:noAutofit/>
                        </wps:bodyPr>
                      </wps:wsp>
                      <wps:wsp>
                        <wps:cNvPr id="273" name="Rectangle 118"/>
                        <wps:cNvSpPr>
                          <a:spLocks noChangeArrowheads="1"/>
                        </wps:cNvSpPr>
                        <wps:spPr bwMode="auto">
                          <a:xfrm>
                            <a:off x="730" y="1895"/>
                            <a:ext cx="8270" cy="526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93BA547" id="Group 285" o:spid="_x0000_s1083" style="width:413.5pt;height:284.3pt;mso-position-horizontal-relative:char;mso-position-vertical-relative:line" coordorigin="730,1470" coordsize="8270,56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">
                <v:shape id="Text Box 117" o:spid="_x0000_s1084" type="#_x0000_t202" style="position:absolute;left:730;top:1470;width:827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" fillcolor="#629fc2" strokecolor="#629fc2" strokeweight="1pt">
                  <v:textbox>
                    <w:txbxContent>
                      <w:p w14:paraId="143A12B0" w14:textId="77777777" w:rsidR="0021734B" w:rsidRPr="00B12495" w:rsidRDefault="0021734B" w:rsidP="00323C55">
                        <w:pPr>
                          <w:pStyle w:val="Figureheading"/>
                        </w:pPr>
                        <w:r>
                          <w:t>Figure 17</w:t>
                        </w:r>
                      </w:p>
                    </w:txbxContent>
                  </v:textbox>
                </v:shape>
                <v:rect id="Rectangle 118" o:spid="_x0000_s1085" style="position:absolute;left:730;top:1895;width:8270;height:5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" filled="f" strokecolor="#688fb0" strokeweight="1pt"/>
                <w10:anchorlock/>
              </v:group>
            </w:pict>
          </mc:Fallback>
        </mc:AlternateContent>
      </w:r>
    </w:p>
    <w:p w14:paraId="6B387FFB" w14:textId="77777777" w:rsidR="00323C55" w:rsidRDefault="00323C55">
      <w:pPr>
        <w:spacing w:before="0"/>
        <w:jc w:val="left"/>
      </w:pPr>
    </w:p>
    <w:p w14:paraId="7192BFA2" w14:textId="77777777" w:rsidR="00323C55" w:rsidRDefault="00323C55" w:rsidP="00323C55">
      <w:pPr>
        <w:pStyle w:val="Heading2"/>
      </w:pPr>
      <w:bookmarkStart w:id="65" w:name="_Toc399249145"/>
      <w:bookmarkStart w:id="66" w:name="_Toc399252950"/>
      <w:bookmarkStart w:id="67" w:name="_Toc400007281"/>
      <w:r w:rsidRPr="00F63343">
        <w:t>Geographical variation in hospital admissions</w:t>
      </w:r>
      <w:bookmarkEnd w:id="65"/>
      <w:bookmarkEnd w:id="66"/>
      <w:bookmarkEnd w:id="67"/>
    </w:p>
    <w:p w14:paraId="25CEA902" w14:textId="77777777" w:rsidR="00323C55" w:rsidRDefault="00323C55" w:rsidP="00323C55">
      <w:pPr>
        <w:rPr>
          <w:szCs w:val="24"/>
        </w:rPr>
      </w:pPr>
      <w:r>
        <w:rPr>
          <w:szCs w:val="24"/>
        </w:rPr>
        <w:t>Alcohol-specific hospital admission rates vary locally, amongst health board areas and upper super output areas. The rate for males in Powys tHB and Hywel Dda UHB is statistically significantly lower than for Wales, and statistically significantly higher in Aneurin Bevan UHB and Cwm Taf UHB</w:t>
      </w:r>
      <w:r w:rsidR="00D24DB8">
        <w:rPr>
          <w:szCs w:val="24"/>
        </w:rPr>
        <w:t xml:space="preserve"> (Figure 18)</w:t>
      </w:r>
      <w:r>
        <w:rPr>
          <w:szCs w:val="24"/>
        </w:rPr>
        <w:t xml:space="preserve">. The rates for females are statistically significantly lower in Powys tHB and in Cardiff and Vale UHB </w:t>
      </w:r>
      <w:r w:rsidRPr="0000586B">
        <w:rPr>
          <w:szCs w:val="24"/>
        </w:rPr>
        <w:t>than for Wales, and statistically significantly higher in Betsi Cadwaladr UHB and Aneurin Bevan UHB</w:t>
      </w:r>
      <w:r w:rsidR="00853E8D">
        <w:rPr>
          <w:szCs w:val="24"/>
        </w:rPr>
        <w:t xml:space="preserve"> (Figure 19)</w:t>
      </w:r>
      <w:r w:rsidRPr="0000586B">
        <w:rPr>
          <w:szCs w:val="24"/>
        </w:rPr>
        <w:t>.</w:t>
      </w:r>
      <w:r w:rsidR="007C04EA" w:rsidRPr="0000586B">
        <w:rPr>
          <w:szCs w:val="24"/>
        </w:rPr>
        <w:t xml:space="preserve"> Other indicators, although not shown here, are included in the heal</w:t>
      </w:r>
      <w:r w:rsidR="00853E8D">
        <w:rPr>
          <w:szCs w:val="24"/>
        </w:rPr>
        <w:t>th board summary documents (see inside cover</w:t>
      </w:r>
      <w:r w:rsidR="007C04EA" w:rsidRPr="0000586B">
        <w:rPr>
          <w:szCs w:val="24"/>
        </w:rPr>
        <w:t>).</w:t>
      </w:r>
    </w:p>
    <w:p w14:paraId="04366EA6" w14:textId="77777777" w:rsidR="00323C55" w:rsidRDefault="00323C55">
      <w:pPr>
        <w:spacing w:before="0"/>
        <w:jc w:val="left"/>
      </w:pPr>
    </w:p>
    <w:p w14:paraId="373F7D45" w14:textId="77777777" w:rsidR="00620D34" w:rsidRDefault="00620D34">
      <w:pPr>
        <w:spacing w:before="0"/>
        <w:jc w:val="left"/>
      </w:pPr>
    </w:p>
    <w:p w14:paraId="19B584EE" w14:textId="77777777" w:rsidR="00620D34" w:rsidRDefault="00620D34">
      <w:pPr>
        <w:spacing w:before="0"/>
        <w:jc w:val="left"/>
      </w:pPr>
    </w:p>
    <w:p w14:paraId="63B94F2A" w14:textId="77777777" w:rsidR="006C1F5F" w:rsidRPr="00C77401" w:rsidRDefault="006C1F5F" w:rsidP="00A81195">
      <w:pPr>
        <w:rPr>
          <w:b/>
        </w:rPr>
      </w:pPr>
    </w:p>
    <w:p w14:paraId="571EDAA5" w14:textId="77777777" w:rsidR="006C1F5F" w:rsidRDefault="006C1F5F" w:rsidP="006C1F5F"/>
    <w:p w14:paraId="55B6C45B" w14:textId="698ED21C" w:rsidR="00C77401" w:rsidRDefault="00C77401" w:rsidP="00620D34">
      <w:pPr>
        <w:spacing w:before="0"/>
        <w:jc w:val="left"/>
      </w:pPr>
      <w:r w:rsidRPr="00C77401">
        <w:rPr>
          <w:noProof/>
        </w:rPr>
        <w:lastRenderedPageBreak/>
        <w:drawing>
          <wp:anchor distT="0" distB="0" distL="114300" distR="114300" simplePos="0" relativeHeight="251768832" behindDoc="0" locked="0" layoutInCell="1" allowOverlap="1" wp14:anchorId="4B3E6677" wp14:editId="33EDBE6B">
            <wp:simplePos x="0" y="0"/>
            <wp:positionH relativeFrom="column">
              <wp:posOffset>47625</wp:posOffset>
            </wp:positionH>
            <wp:positionV relativeFrom="paragraph">
              <wp:posOffset>328295</wp:posOffset>
            </wp:positionV>
            <wp:extent cx="5153025" cy="3248025"/>
            <wp:effectExtent l="19050" t="0" r="9525" b="0"/>
            <wp:wrapNone/>
            <wp:docPr id="44"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2" cstate="print"/>
                    <a:srcRect/>
                    <a:stretch>
                      <a:fillRect/>
                    </a:stretch>
                  </pic:blipFill>
                  <pic:spPr bwMode="auto">
                    <a:xfrm>
                      <a:off x="0" y="0"/>
                      <a:ext cx="5153025" cy="324802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42AEEAE2" wp14:editId="45D3CDE6">
                <wp:extent cx="5299075" cy="3642995"/>
                <wp:effectExtent l="9525" t="11430" r="6350" b="12700"/>
                <wp:docPr id="266" name="Group 2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99075" cy="3642995"/>
                          <a:chOff x="1060" y="14060"/>
                          <a:chExt cx="8345" cy="5737"/>
                        </a:xfrm>
                      </wpg:grpSpPr>
                      <wps:wsp>
                        <wps:cNvPr id="267" name="Text Box 120"/>
                        <wps:cNvSpPr txBox="1">
                          <a:spLocks noChangeArrowheads="1"/>
                        </wps:cNvSpPr>
                        <wps:spPr bwMode="auto">
                          <a:xfrm>
                            <a:off x="1060" y="14060"/>
                            <a:ext cx="8345" cy="476"/>
                          </a:xfrm>
                          <a:prstGeom prst="rect">
                            <a:avLst/>
                          </a:prstGeom>
                          <a:solidFill>
                            <a:srgbClr val="629FC2"/>
                          </a:solidFill>
                          <a:ln w="12700">
                            <a:solidFill>
                              <a:srgbClr val="629FC2"/>
                            </a:solidFill>
                            <a:miter lim="800000"/>
                            <a:headEnd/>
                            <a:tailEnd/>
                          </a:ln>
                        </wps:spPr>
                        <wps:txbx>
                          <w:txbxContent>
                            <w:p w14:paraId="7295AD9A" w14:textId="77777777" w:rsidR="0021734B" w:rsidRPr="00B12495" w:rsidRDefault="0021734B" w:rsidP="00323C55">
                              <w:pPr>
                                <w:pStyle w:val="Figureheading"/>
                              </w:pPr>
                              <w:r>
                                <w:t>Figure 18</w:t>
                              </w:r>
                            </w:p>
                          </w:txbxContent>
                        </wps:txbx>
                        <wps:bodyPr rot="0" vert="horz" wrap="square" lIns="91440" tIns="45720" rIns="91440" bIns="45720" anchor="t" anchorCtr="0" upright="1">
                          <a:noAutofit/>
                        </wps:bodyPr>
                      </wps:wsp>
                      <wps:wsp>
                        <wps:cNvPr id="268" name="Rectangle 121"/>
                        <wps:cNvSpPr>
                          <a:spLocks noChangeArrowheads="1"/>
                        </wps:cNvSpPr>
                        <wps:spPr bwMode="auto">
                          <a:xfrm>
                            <a:off x="1060" y="14536"/>
                            <a:ext cx="8345" cy="526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2AEEAE2" id="Group 286" o:spid="_x0000_s1086" style="width:417.25pt;height:286.85pt;mso-position-horizontal-relative:char;mso-position-vertical-relative:line" coordorigin="1060,14060" coordsize="8345,5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">
                <v:shape id="Text Box 120" o:spid="_x0000_s1087" type="#_x0000_t202" style="position:absolute;left:1060;top:14060;width:834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" fillcolor="#629fc2" strokecolor="#629fc2" strokeweight="1pt">
                  <v:textbox>
                    <w:txbxContent>
                      <w:p w14:paraId="7295AD9A" w14:textId="77777777" w:rsidR="0021734B" w:rsidRPr="00B12495" w:rsidRDefault="0021734B" w:rsidP="00323C55">
                        <w:pPr>
                          <w:pStyle w:val="Figureheading"/>
                        </w:pPr>
                        <w:r>
                          <w:t>Figure 18</w:t>
                        </w:r>
                      </w:p>
                    </w:txbxContent>
                  </v:textbox>
                </v:shape>
                <v:rect id="Rectangle 121" o:spid="_x0000_s1088" style="position:absolute;left:1060;top:14536;width:8345;height:5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" filled="f" strokecolor="#688fb0" strokeweight="1pt"/>
                <w10:anchorlock/>
              </v:group>
            </w:pict>
          </mc:Fallback>
        </mc:AlternateContent>
      </w:r>
    </w:p>
    <w:p w14:paraId="5F97BDC9" w14:textId="77777777" w:rsidR="00C77401" w:rsidRDefault="00C77401" w:rsidP="00620D34">
      <w:pPr>
        <w:spacing w:before="0"/>
        <w:jc w:val="left"/>
      </w:pPr>
    </w:p>
    <w:p w14:paraId="5B58A2FB" w14:textId="47E3388C" w:rsidR="00620D34" w:rsidRDefault="00C77401" w:rsidP="00620D34">
      <w:pPr>
        <w:spacing w:before="0"/>
        <w:jc w:val="left"/>
      </w:pPr>
      <w:r>
        <w:rPr>
          <w:noProof/>
        </w:rPr>
        <w:drawing>
          <wp:anchor distT="0" distB="0" distL="114300" distR="114300" simplePos="0" relativeHeight="251770880" behindDoc="0" locked="0" layoutInCell="1" allowOverlap="1" wp14:anchorId="7EBBA099" wp14:editId="7F0D0D08">
            <wp:simplePos x="0" y="0"/>
            <wp:positionH relativeFrom="column">
              <wp:posOffset>47625</wp:posOffset>
            </wp:positionH>
            <wp:positionV relativeFrom="paragraph">
              <wp:posOffset>334645</wp:posOffset>
            </wp:positionV>
            <wp:extent cx="5153025" cy="3248025"/>
            <wp:effectExtent l="19050" t="0" r="9525" b="0"/>
            <wp:wrapNone/>
            <wp:docPr id="5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3" cstate="print"/>
                    <a:srcRect/>
                    <a:stretch>
                      <a:fillRect/>
                    </a:stretch>
                  </pic:blipFill>
                  <pic:spPr bwMode="auto">
                    <a:xfrm>
                      <a:off x="0" y="0"/>
                      <a:ext cx="5153025" cy="324802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32B9EB10" wp14:editId="4B9901B4">
                <wp:extent cx="5299075" cy="3642995"/>
                <wp:effectExtent l="9525" t="9525" r="6350" b="14605"/>
                <wp:docPr id="263" name="Group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99075" cy="3642995"/>
                          <a:chOff x="1060" y="14060"/>
                          <a:chExt cx="8345" cy="5737"/>
                        </a:xfrm>
                      </wpg:grpSpPr>
                      <wps:wsp>
                        <wps:cNvPr id="264" name="Text Box 288"/>
                        <wps:cNvSpPr txBox="1">
                          <a:spLocks noChangeArrowheads="1"/>
                        </wps:cNvSpPr>
                        <wps:spPr bwMode="auto">
                          <a:xfrm>
                            <a:off x="1060" y="14060"/>
                            <a:ext cx="8345" cy="476"/>
                          </a:xfrm>
                          <a:prstGeom prst="rect">
                            <a:avLst/>
                          </a:prstGeom>
                          <a:solidFill>
                            <a:srgbClr val="629FC2"/>
                          </a:solidFill>
                          <a:ln w="12700">
                            <a:solidFill>
                              <a:srgbClr val="629FC2"/>
                            </a:solidFill>
                            <a:miter lim="800000"/>
                            <a:headEnd/>
                            <a:tailEnd/>
                          </a:ln>
                        </wps:spPr>
                        <wps:txbx>
                          <w:txbxContent>
                            <w:p w14:paraId="5B445511" w14:textId="77777777" w:rsidR="0021734B" w:rsidRPr="00B12495" w:rsidRDefault="0021734B" w:rsidP="00C77401">
                              <w:pPr>
                                <w:pStyle w:val="Figureheading"/>
                              </w:pPr>
                              <w:r>
                                <w:t>Figure 19</w:t>
                              </w:r>
                            </w:p>
                          </w:txbxContent>
                        </wps:txbx>
                        <wps:bodyPr rot="0" vert="horz" wrap="square" lIns="91440" tIns="45720" rIns="91440" bIns="45720" anchor="t" anchorCtr="0" upright="1">
                          <a:noAutofit/>
                        </wps:bodyPr>
                      </wps:wsp>
                      <wps:wsp>
                        <wps:cNvPr id="265" name="Rectangle 289"/>
                        <wps:cNvSpPr>
                          <a:spLocks noChangeArrowheads="1"/>
                        </wps:cNvSpPr>
                        <wps:spPr bwMode="auto">
                          <a:xfrm>
                            <a:off x="1060" y="14536"/>
                            <a:ext cx="8345" cy="526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2B9EB10" id="Group 287" o:spid="_x0000_s1089" style="width:417.25pt;height:286.85pt;mso-position-horizontal-relative:char;mso-position-vertical-relative:line" coordorigin="1060,14060" coordsize="8345,5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">
                <v:shape id="Text Box 288" o:spid="_x0000_s1090" type="#_x0000_t202" style="position:absolute;left:1060;top:14060;width:834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" fillcolor="#629fc2" strokecolor="#629fc2" strokeweight="1pt">
                  <v:textbox>
                    <w:txbxContent>
                      <w:p w14:paraId="5B445511" w14:textId="77777777" w:rsidR="0021734B" w:rsidRPr="00B12495" w:rsidRDefault="0021734B" w:rsidP="00C77401">
                        <w:pPr>
                          <w:pStyle w:val="Figureheading"/>
                        </w:pPr>
                        <w:r>
                          <w:t>Figure 19</w:t>
                        </w:r>
                      </w:p>
                    </w:txbxContent>
                  </v:textbox>
                </v:shape>
                <v:rect id="Rectangle 289" o:spid="_x0000_s1091" style="position:absolute;left:1060;top:14536;width:8345;height:5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" filled="f" strokecolor="#688fb0" strokeweight="1pt"/>
                <w10:anchorlock/>
              </v:group>
            </w:pict>
          </mc:Fallback>
        </mc:AlternateContent>
      </w:r>
    </w:p>
    <w:p w14:paraId="727164A7" w14:textId="77777777" w:rsidR="00C77401" w:rsidRDefault="00C77401" w:rsidP="006C1F5F">
      <w:pPr>
        <w:rPr>
          <w:szCs w:val="24"/>
        </w:rPr>
      </w:pPr>
    </w:p>
    <w:p w14:paraId="032F42F9" w14:textId="77777777" w:rsidR="00C77401" w:rsidRDefault="00C77401" w:rsidP="006C1F5F">
      <w:pPr>
        <w:rPr>
          <w:szCs w:val="24"/>
        </w:rPr>
      </w:pPr>
    </w:p>
    <w:p w14:paraId="4728F7F0" w14:textId="77777777" w:rsidR="00C77401" w:rsidRDefault="00C77401" w:rsidP="006C1F5F">
      <w:pPr>
        <w:rPr>
          <w:szCs w:val="24"/>
        </w:rPr>
      </w:pPr>
    </w:p>
    <w:p w14:paraId="09BC95D9" w14:textId="77777777" w:rsidR="00C77401" w:rsidRDefault="00C77401" w:rsidP="006C1F5F">
      <w:pPr>
        <w:rPr>
          <w:szCs w:val="24"/>
        </w:rPr>
      </w:pPr>
    </w:p>
    <w:p w14:paraId="22CD6047" w14:textId="77777777" w:rsidR="00C77401" w:rsidRDefault="00C77401" w:rsidP="006C1F5F">
      <w:pPr>
        <w:rPr>
          <w:szCs w:val="24"/>
        </w:rPr>
      </w:pPr>
    </w:p>
    <w:p w14:paraId="3BF35158" w14:textId="77777777" w:rsidR="006C1F5F" w:rsidRDefault="006C1F5F" w:rsidP="006C1F5F">
      <w:pPr>
        <w:rPr>
          <w:szCs w:val="24"/>
        </w:rPr>
      </w:pPr>
      <w:r>
        <w:rPr>
          <w:szCs w:val="24"/>
        </w:rPr>
        <w:lastRenderedPageBreak/>
        <w:t>Rates for alcohol-specific hospital admissions vary considerably in smaller areas of Wales (</w:t>
      </w:r>
      <w:r w:rsidR="00104B33">
        <w:rPr>
          <w:szCs w:val="24"/>
        </w:rPr>
        <w:t>u</w:t>
      </w:r>
      <w:r>
        <w:rPr>
          <w:szCs w:val="24"/>
        </w:rPr>
        <w:t xml:space="preserve">pper </w:t>
      </w:r>
      <w:r w:rsidR="00104B33">
        <w:rPr>
          <w:szCs w:val="24"/>
        </w:rPr>
        <w:t>s</w:t>
      </w:r>
      <w:r>
        <w:rPr>
          <w:szCs w:val="24"/>
        </w:rPr>
        <w:t xml:space="preserve">uper </w:t>
      </w:r>
      <w:r w:rsidR="00104B33">
        <w:rPr>
          <w:szCs w:val="24"/>
        </w:rPr>
        <w:t>o</w:t>
      </w:r>
      <w:r>
        <w:rPr>
          <w:szCs w:val="24"/>
        </w:rPr>
        <w:t>utput areas) and range fr</w:t>
      </w:r>
      <w:r w:rsidR="0049422B">
        <w:rPr>
          <w:szCs w:val="24"/>
        </w:rPr>
        <w:t>om 165 to 613, see map (F</w:t>
      </w:r>
      <w:r w:rsidR="00D24DB8">
        <w:rPr>
          <w:szCs w:val="24"/>
        </w:rPr>
        <w:t>igure 20</w:t>
      </w:r>
      <w:r>
        <w:rPr>
          <w:szCs w:val="24"/>
        </w:rPr>
        <w:t xml:space="preserve">). A separate map for each health board is included in the health board summary document (see </w:t>
      </w:r>
      <w:r w:rsidR="00D7012F">
        <w:rPr>
          <w:szCs w:val="24"/>
        </w:rPr>
        <w:t>inside cover</w:t>
      </w:r>
      <w:r>
        <w:rPr>
          <w:szCs w:val="24"/>
        </w:rPr>
        <w:t>).</w:t>
      </w:r>
    </w:p>
    <w:p w14:paraId="008476BD" w14:textId="5434960D" w:rsidR="006C1F5F" w:rsidRDefault="00C77401" w:rsidP="006C1F5F">
      <w:r w:rsidRPr="00C77401">
        <w:rPr>
          <w:noProof/>
        </w:rPr>
        <w:drawing>
          <wp:anchor distT="0" distB="0" distL="114300" distR="114300" simplePos="0" relativeHeight="251772928" behindDoc="0" locked="0" layoutInCell="1" allowOverlap="1" wp14:anchorId="1A2CB043" wp14:editId="3F72BF33">
            <wp:simplePos x="0" y="0"/>
            <wp:positionH relativeFrom="column">
              <wp:posOffset>28575</wp:posOffset>
            </wp:positionH>
            <wp:positionV relativeFrom="paragraph">
              <wp:posOffset>519430</wp:posOffset>
            </wp:positionV>
            <wp:extent cx="5557520" cy="5381625"/>
            <wp:effectExtent l="19050" t="0" r="5080" b="0"/>
            <wp:wrapNone/>
            <wp:docPr id="82" name="Picture 3" descr="20140519_Alc_Specific_Admissions_SubLA_WALESMap_LM_v1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519_Alc_Specific_Admissions_SubLA_WALESMap_LM_v1c.jpg"/>
                    <pic:cNvPicPr/>
                  </pic:nvPicPr>
                  <pic:blipFill>
                    <a:blip r:embed="rId44" cstate="print"/>
                    <a:srcRect l="1818" t="2789" r="9782" b="36614"/>
                    <a:stretch>
                      <a:fillRect/>
                    </a:stretch>
                  </pic:blipFill>
                  <pic:spPr>
                    <a:xfrm>
                      <a:off x="0" y="0"/>
                      <a:ext cx="5557520" cy="5381625"/>
                    </a:xfrm>
                    <a:prstGeom prst="rect">
                      <a:avLst/>
                    </a:prstGeom>
                  </pic:spPr>
                </pic:pic>
              </a:graphicData>
            </a:graphic>
          </wp:anchor>
        </w:drawing>
      </w:r>
      <w:r w:rsidR="007465D8">
        <w:rPr>
          <w:noProof/>
        </w:rPr>
        <mc:AlternateContent>
          <mc:Choice Requires="wpg">
            <w:drawing>
              <wp:inline distT="0" distB="0" distL="0" distR="0" wp14:anchorId="301DDE98" wp14:editId="3F69AD92">
                <wp:extent cx="5661025" cy="5782945"/>
                <wp:effectExtent l="9525" t="6350" r="6350" b="11430"/>
                <wp:docPr id="260" name="Group 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61025" cy="5782945"/>
                          <a:chOff x="730" y="1663"/>
                          <a:chExt cx="8915" cy="9107"/>
                        </a:xfrm>
                      </wpg:grpSpPr>
                      <wps:wsp>
                        <wps:cNvPr id="261" name="Text Box 292"/>
                        <wps:cNvSpPr txBox="1">
                          <a:spLocks noChangeArrowheads="1"/>
                        </wps:cNvSpPr>
                        <wps:spPr bwMode="auto">
                          <a:xfrm>
                            <a:off x="730" y="1663"/>
                            <a:ext cx="8915" cy="476"/>
                          </a:xfrm>
                          <a:prstGeom prst="rect">
                            <a:avLst/>
                          </a:prstGeom>
                          <a:solidFill>
                            <a:srgbClr val="629FC2"/>
                          </a:solidFill>
                          <a:ln w="12700">
                            <a:solidFill>
                              <a:srgbClr val="629FC2"/>
                            </a:solidFill>
                            <a:miter lim="800000"/>
                            <a:headEnd/>
                            <a:tailEnd/>
                          </a:ln>
                        </wps:spPr>
                        <wps:txbx>
                          <w:txbxContent>
                            <w:p w14:paraId="42F70AAC" w14:textId="77777777" w:rsidR="0021734B" w:rsidRPr="00B12495" w:rsidRDefault="0021734B" w:rsidP="00C77401">
                              <w:pPr>
                                <w:pStyle w:val="Figureheading"/>
                              </w:pPr>
                              <w:r>
                                <w:t>Figure 20</w:t>
                              </w:r>
                            </w:p>
                          </w:txbxContent>
                        </wps:txbx>
                        <wps:bodyPr rot="0" vert="horz" wrap="square" lIns="91440" tIns="45720" rIns="91440" bIns="45720" anchor="t" anchorCtr="0" upright="1">
                          <a:noAutofit/>
                        </wps:bodyPr>
                      </wps:wsp>
                      <wps:wsp>
                        <wps:cNvPr id="262" name="Rectangle 293"/>
                        <wps:cNvSpPr>
                          <a:spLocks noChangeArrowheads="1"/>
                        </wps:cNvSpPr>
                        <wps:spPr bwMode="auto">
                          <a:xfrm>
                            <a:off x="730" y="2148"/>
                            <a:ext cx="8915" cy="8622"/>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01DDE98" id="Group 291" o:spid="_x0000_s1092" style="width:445.75pt;height:455.35pt;mso-position-horizontal-relative:char;mso-position-vertical-relative:line" coordorigin="730,1663" coordsize="8915,91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">
                <v:shape id="Text Box 292" o:spid="_x0000_s1093" type="#_x0000_t202" style="position:absolute;left:730;top:1663;width:891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" fillcolor="#629fc2" strokecolor="#629fc2" strokeweight="1pt">
                  <v:textbox>
                    <w:txbxContent>
                      <w:p w14:paraId="42F70AAC" w14:textId="77777777" w:rsidR="0021734B" w:rsidRPr="00B12495" w:rsidRDefault="0021734B" w:rsidP="00C77401">
                        <w:pPr>
                          <w:pStyle w:val="Figureheading"/>
                        </w:pPr>
                        <w:r>
                          <w:t>Figure 20</w:t>
                        </w:r>
                      </w:p>
                    </w:txbxContent>
                  </v:textbox>
                </v:shape>
                <v:rect id="Rectangle 293" o:spid="_x0000_s1094" style="position:absolute;left:730;top:2148;width:8915;height:8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" filled="f" strokecolor="#688fb0" strokeweight="1pt"/>
                <w10:anchorlock/>
              </v:group>
            </w:pict>
          </mc:Fallback>
        </mc:AlternateContent>
      </w:r>
    </w:p>
    <w:p w14:paraId="74CBD4FF" w14:textId="77777777" w:rsidR="006C1F5F" w:rsidRDefault="006C1F5F" w:rsidP="006C1F5F">
      <w:pPr>
        <w:pStyle w:val="Heading2"/>
      </w:pPr>
      <w:bookmarkStart w:id="68" w:name="_Toc399249146"/>
      <w:bookmarkStart w:id="69" w:name="_Toc399252951"/>
      <w:bookmarkStart w:id="70" w:name="_Toc400007282"/>
      <w:r w:rsidRPr="009B451B">
        <w:t>Comparison to England and English regions</w:t>
      </w:r>
      <w:bookmarkEnd w:id="68"/>
      <w:bookmarkEnd w:id="69"/>
      <w:bookmarkEnd w:id="70"/>
    </w:p>
    <w:p w14:paraId="4AB73E83" w14:textId="77777777" w:rsidR="006C1F5F" w:rsidRPr="0000586B" w:rsidRDefault="006C1F5F" w:rsidP="006C1F5F">
      <w:pPr>
        <w:rPr>
          <w:szCs w:val="24"/>
        </w:rPr>
      </w:pPr>
      <w:r w:rsidRPr="0000586B">
        <w:rPr>
          <w:szCs w:val="24"/>
        </w:rPr>
        <w:t xml:space="preserve">Both the alcohol-specific hospital admission rates and alcohol-attributable admission rates for all ages in males are lower in Wales than in England but </w:t>
      </w:r>
      <w:r w:rsidR="00D24DB8" w:rsidRPr="0000586B">
        <w:rPr>
          <w:szCs w:val="24"/>
        </w:rPr>
        <w:t xml:space="preserve">more </w:t>
      </w:r>
      <w:r w:rsidRPr="0000586B">
        <w:rPr>
          <w:szCs w:val="24"/>
        </w:rPr>
        <w:t>sim</w:t>
      </w:r>
      <w:r w:rsidR="00D24DB8" w:rsidRPr="0000586B">
        <w:rPr>
          <w:szCs w:val="24"/>
        </w:rPr>
        <w:t>ilar for females (Figure 21, 23 and 24</w:t>
      </w:r>
      <w:r w:rsidRPr="0000586B">
        <w:rPr>
          <w:szCs w:val="24"/>
        </w:rPr>
        <w:t xml:space="preserve">). However, rates amongst the English regions vary considerably. </w:t>
      </w:r>
    </w:p>
    <w:p w14:paraId="72E600FA" w14:textId="77777777" w:rsidR="006C1F5F" w:rsidRPr="0000586B" w:rsidRDefault="006C1F5F" w:rsidP="006C1F5F">
      <w:pPr>
        <w:rPr>
          <w:szCs w:val="24"/>
        </w:rPr>
      </w:pPr>
      <w:r w:rsidRPr="0000586B">
        <w:rPr>
          <w:szCs w:val="24"/>
        </w:rPr>
        <w:t xml:space="preserve">Alcohol-specific admission rates range from 344 per 100,000 in the East of England to 740 in the North West for males (from 172 to 364 respectively for females). The range is narrower for Wales health board areas, where rates vary from 297 to 526 for males and 188 to 258 for females </w:t>
      </w:r>
      <w:r w:rsidR="00640448" w:rsidRPr="0000586B">
        <w:rPr>
          <w:szCs w:val="24"/>
        </w:rPr>
        <w:t>(Figure 18 and Figure 19</w:t>
      </w:r>
      <w:r w:rsidRPr="0000586B">
        <w:rPr>
          <w:szCs w:val="24"/>
        </w:rPr>
        <w:t xml:space="preserve"> in Section 4.3). </w:t>
      </w:r>
    </w:p>
    <w:p w14:paraId="7CC06B68" w14:textId="77777777" w:rsidR="006C1F5F" w:rsidRDefault="006C1F5F" w:rsidP="006C1F5F">
      <w:pPr>
        <w:rPr>
          <w:szCs w:val="24"/>
        </w:rPr>
      </w:pPr>
      <w:r w:rsidRPr="0000586B">
        <w:rPr>
          <w:szCs w:val="24"/>
        </w:rPr>
        <w:t>The patterns are similar for alcohol-attributable admissions although the Wales rate</w:t>
      </w:r>
      <w:r w:rsidR="00E95981" w:rsidRPr="0000586B">
        <w:rPr>
          <w:szCs w:val="24"/>
        </w:rPr>
        <w:t xml:space="preserve"> for alcohol-attributable admissions (narrow)</w:t>
      </w:r>
      <w:r w:rsidRPr="0000586B">
        <w:rPr>
          <w:szCs w:val="24"/>
        </w:rPr>
        <w:t xml:space="preserve"> is only slightly lower than England. There are small differences in the method or data between the England and Wales rates. For example</w:t>
      </w:r>
      <w:r>
        <w:rPr>
          <w:szCs w:val="24"/>
        </w:rPr>
        <w:t xml:space="preserve">, English rates only consider patients in English hospitals, whereas the Wales rates include patients resident in Wales but treated in English hospitals.  Also, there are some coding issues where </w:t>
      </w:r>
      <w:r>
        <w:rPr>
          <w:szCs w:val="24"/>
        </w:rPr>
        <w:lastRenderedPageBreak/>
        <w:t xml:space="preserve">around 2% of hospital spells in Wales in the most recent year do not have a diagnosis coded. It is not clear how this affects the person-based analysis but it is unlikely </w:t>
      </w:r>
      <w:r w:rsidRPr="00E53517">
        <w:rPr>
          <w:szCs w:val="24"/>
        </w:rPr>
        <w:t>to affect the interpretation of the differences greatly.</w:t>
      </w:r>
      <w:r w:rsidRPr="00645D23">
        <w:rPr>
          <w:szCs w:val="24"/>
        </w:rPr>
        <w:t xml:space="preserve"> </w:t>
      </w:r>
      <w:r>
        <w:rPr>
          <w:szCs w:val="24"/>
        </w:rPr>
        <w:t>Please see the technical guide for further details of the methods.</w:t>
      </w:r>
    </w:p>
    <w:p w14:paraId="7CE566E5" w14:textId="77777777" w:rsidR="006C1F5F" w:rsidRDefault="006C1F5F" w:rsidP="006C1F5F">
      <w:pPr>
        <w:rPr>
          <w:szCs w:val="24"/>
        </w:rPr>
      </w:pPr>
      <w:r>
        <w:rPr>
          <w:szCs w:val="24"/>
        </w:rPr>
        <w:t xml:space="preserve">In contrast to rates for all ages, rates in young people aged under 18 in Wales are consistently </w:t>
      </w:r>
      <w:r w:rsidR="007C04EA">
        <w:rPr>
          <w:szCs w:val="24"/>
        </w:rPr>
        <w:t>higher than in England (Figure 22</w:t>
      </w:r>
      <w:r>
        <w:rPr>
          <w:szCs w:val="24"/>
        </w:rPr>
        <w:t xml:space="preserve">), although all are decreasing. The differences between them have been narrowing but are still substantial in the most recent period of 2010-12 with a crude rate of 65 per 100,000 in Wales compared to 45 per 100,000 in England. </w:t>
      </w:r>
    </w:p>
    <w:p w14:paraId="07A9519C" w14:textId="77777777" w:rsidR="000B0F70" w:rsidRDefault="000B0F70" w:rsidP="006C1F5F">
      <w:pPr>
        <w:rPr>
          <w:szCs w:val="24"/>
        </w:rPr>
      </w:pPr>
    </w:p>
    <w:p w14:paraId="05AC8F3D" w14:textId="65251A9E" w:rsidR="006C1F5F" w:rsidRDefault="0021734B">
      <w:pPr>
        <w:spacing w:before="0"/>
        <w:jc w:val="left"/>
      </w:pPr>
      <w:r>
        <w:rPr>
          <w:noProof/>
        </w:rPr>
        <w:drawing>
          <wp:anchor distT="0" distB="0" distL="114300" distR="114300" simplePos="0" relativeHeight="251819008" behindDoc="0" locked="0" layoutInCell="1" allowOverlap="1" wp14:anchorId="37A197BA" wp14:editId="4D467AEF">
            <wp:simplePos x="0" y="0"/>
            <wp:positionH relativeFrom="column">
              <wp:posOffset>57150</wp:posOffset>
            </wp:positionH>
            <wp:positionV relativeFrom="paragraph">
              <wp:posOffset>327660</wp:posOffset>
            </wp:positionV>
            <wp:extent cx="4333875" cy="5048250"/>
            <wp:effectExtent l="19050" t="0" r="9525" b="0"/>
            <wp:wrapNone/>
            <wp:docPr id="6"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5" cstate="print"/>
                    <a:srcRect/>
                    <a:stretch>
                      <a:fillRect/>
                    </a:stretch>
                  </pic:blipFill>
                  <pic:spPr bwMode="auto">
                    <a:xfrm>
                      <a:off x="0" y="0"/>
                      <a:ext cx="4333875" cy="504825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23E6FDCA" wp14:editId="17564F18">
                <wp:extent cx="4603750" cy="5414645"/>
                <wp:effectExtent l="9525" t="13335" r="6350" b="10795"/>
                <wp:docPr id="257" name="Group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03750" cy="5414645"/>
                          <a:chOff x="1855" y="1977"/>
                          <a:chExt cx="8270" cy="8677"/>
                        </a:xfrm>
                      </wpg:grpSpPr>
                      <wps:wsp>
                        <wps:cNvPr id="258" name="Text Box 214"/>
                        <wps:cNvSpPr txBox="1">
                          <a:spLocks noChangeArrowheads="1"/>
                        </wps:cNvSpPr>
                        <wps:spPr bwMode="auto">
                          <a:xfrm>
                            <a:off x="1855" y="1977"/>
                            <a:ext cx="8270" cy="476"/>
                          </a:xfrm>
                          <a:prstGeom prst="rect">
                            <a:avLst/>
                          </a:prstGeom>
                          <a:solidFill>
                            <a:srgbClr val="629FC2"/>
                          </a:solidFill>
                          <a:ln w="12700">
                            <a:solidFill>
                              <a:srgbClr val="629FC2"/>
                            </a:solidFill>
                            <a:miter lim="800000"/>
                            <a:headEnd/>
                            <a:tailEnd/>
                          </a:ln>
                        </wps:spPr>
                        <wps:txbx>
                          <w:txbxContent>
                            <w:p w14:paraId="1F9F02CF" w14:textId="77777777" w:rsidR="0021734B" w:rsidRPr="00B12495" w:rsidRDefault="0021734B" w:rsidP="002272DE">
                              <w:pPr>
                                <w:pStyle w:val="Figureheading"/>
                              </w:pPr>
                              <w:r>
                                <w:t>Figure 21</w:t>
                              </w:r>
                            </w:p>
                          </w:txbxContent>
                        </wps:txbx>
                        <wps:bodyPr rot="0" vert="horz" wrap="square" lIns="91440" tIns="45720" rIns="91440" bIns="45720" anchor="t" anchorCtr="0" upright="1">
                          <a:noAutofit/>
                        </wps:bodyPr>
                      </wps:wsp>
                      <wps:wsp>
                        <wps:cNvPr id="259" name="Rectangle 215"/>
                        <wps:cNvSpPr>
                          <a:spLocks noChangeArrowheads="1"/>
                        </wps:cNvSpPr>
                        <wps:spPr bwMode="auto">
                          <a:xfrm>
                            <a:off x="1855" y="2453"/>
                            <a:ext cx="8270" cy="820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3E6FDCA" id="Group 213" o:spid="_x0000_s1095" style="width:362.5pt;height:426.35pt;mso-position-horizontal-relative:char;mso-position-vertical-relative:line" coordorigin="1855,1977" coordsize="8270,8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">
                <v:shape id="Text Box 214" o:spid="_x0000_s1096" type="#_x0000_t202" style="position:absolute;left:1855;top:1977;width:827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" fillcolor="#629fc2" strokecolor="#629fc2" strokeweight="1pt">
                  <v:textbox>
                    <w:txbxContent>
                      <w:p w14:paraId="1F9F02CF" w14:textId="77777777" w:rsidR="0021734B" w:rsidRPr="00B12495" w:rsidRDefault="0021734B" w:rsidP="002272DE">
                        <w:pPr>
                          <w:pStyle w:val="Figureheading"/>
                        </w:pPr>
                        <w:r>
                          <w:t>Figure 21</w:t>
                        </w:r>
                      </w:p>
                    </w:txbxContent>
                  </v:textbox>
                </v:shape>
                <v:rect id="Rectangle 215" o:spid="_x0000_s1097" style="position:absolute;left:1855;top:2453;width:8270;height:8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" filled="f" strokecolor="#688fb0" strokeweight="1pt"/>
                <w10:anchorlock/>
              </v:group>
            </w:pict>
          </mc:Fallback>
        </mc:AlternateContent>
      </w:r>
    </w:p>
    <w:p w14:paraId="47FFC82A" w14:textId="5744C904" w:rsidR="006C1F5F" w:rsidRDefault="0049422B" w:rsidP="006C1F5F">
      <w:r w:rsidRPr="0049422B">
        <w:rPr>
          <w:noProof/>
        </w:rPr>
        <w:lastRenderedPageBreak/>
        <w:drawing>
          <wp:anchor distT="0" distB="0" distL="114300" distR="114300" simplePos="0" relativeHeight="251808768" behindDoc="0" locked="0" layoutInCell="1" allowOverlap="1" wp14:anchorId="59B0A4B6" wp14:editId="68ABADF6">
            <wp:simplePos x="0" y="0"/>
            <wp:positionH relativeFrom="column">
              <wp:posOffset>57150</wp:posOffset>
            </wp:positionH>
            <wp:positionV relativeFrom="paragraph">
              <wp:posOffset>652145</wp:posOffset>
            </wp:positionV>
            <wp:extent cx="5057775" cy="3248025"/>
            <wp:effectExtent l="19050" t="0" r="9525" b="0"/>
            <wp:wrapNone/>
            <wp:docPr id="8"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6" cstate="print"/>
                    <a:srcRect/>
                    <a:stretch>
                      <a:fillRect/>
                    </a:stretch>
                  </pic:blipFill>
                  <pic:spPr bwMode="auto">
                    <a:xfrm>
                      <a:off x="0" y="0"/>
                      <a:ext cx="5057775" cy="324802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1D3D9A06" wp14:editId="6DE3CD38">
                <wp:extent cx="5232400" cy="3629660"/>
                <wp:effectExtent l="9525" t="11430" r="6350" b="6985"/>
                <wp:docPr id="62" name="Group 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2400" cy="3629660"/>
                          <a:chOff x="730" y="1649"/>
                          <a:chExt cx="8240" cy="5716"/>
                        </a:xfrm>
                      </wpg:grpSpPr>
                      <wps:wsp>
                        <wps:cNvPr id="63" name="Text Box 132"/>
                        <wps:cNvSpPr txBox="1">
                          <a:spLocks noChangeArrowheads="1"/>
                        </wps:cNvSpPr>
                        <wps:spPr bwMode="auto">
                          <a:xfrm>
                            <a:off x="730" y="1649"/>
                            <a:ext cx="8240" cy="476"/>
                          </a:xfrm>
                          <a:prstGeom prst="rect">
                            <a:avLst/>
                          </a:prstGeom>
                          <a:solidFill>
                            <a:srgbClr val="629FC2"/>
                          </a:solidFill>
                          <a:ln w="12700">
                            <a:solidFill>
                              <a:srgbClr val="629FC2"/>
                            </a:solidFill>
                            <a:miter lim="800000"/>
                            <a:headEnd/>
                            <a:tailEnd/>
                          </a:ln>
                        </wps:spPr>
                        <wps:txbx>
                          <w:txbxContent>
                            <w:p w14:paraId="32347446" w14:textId="77777777" w:rsidR="0021734B" w:rsidRPr="00B12495" w:rsidRDefault="0021734B" w:rsidP="006C1F5F">
                              <w:pPr>
                                <w:pStyle w:val="Figureheading"/>
                              </w:pPr>
                              <w:r>
                                <w:t>Figure 22</w:t>
                              </w:r>
                            </w:p>
                          </w:txbxContent>
                        </wps:txbx>
                        <wps:bodyPr rot="0" vert="horz" wrap="square" lIns="91440" tIns="45720" rIns="91440" bIns="45720" anchor="t" anchorCtr="0" upright="1">
                          <a:noAutofit/>
                        </wps:bodyPr>
                      </wps:wsp>
                      <wps:wsp>
                        <wps:cNvPr id="256" name="Rectangle 133"/>
                        <wps:cNvSpPr>
                          <a:spLocks noChangeArrowheads="1"/>
                        </wps:cNvSpPr>
                        <wps:spPr bwMode="auto">
                          <a:xfrm>
                            <a:off x="730" y="2132"/>
                            <a:ext cx="8240" cy="5233"/>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D3D9A06" id="Group 294" o:spid="_x0000_s1098" style="width:412pt;height:285.8pt;mso-position-horizontal-relative:char;mso-position-vertical-relative:line" coordorigin="730,1649" coordsize="8240,5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">
                <v:shape id="Text Box 132" o:spid="_x0000_s1099" type="#_x0000_t202" style="position:absolute;left:730;top:1649;width:824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" fillcolor="#629fc2" strokecolor="#629fc2" strokeweight="1pt">
                  <v:textbox>
                    <w:txbxContent>
                      <w:p w14:paraId="32347446" w14:textId="77777777" w:rsidR="0021734B" w:rsidRPr="00B12495" w:rsidRDefault="0021734B" w:rsidP="006C1F5F">
                        <w:pPr>
                          <w:pStyle w:val="Figureheading"/>
                        </w:pPr>
                        <w:r>
                          <w:t>Figure 22</w:t>
                        </w:r>
                      </w:p>
                    </w:txbxContent>
                  </v:textbox>
                </v:shape>
                <v:rect id="Rectangle 133" o:spid="_x0000_s1100" style="position:absolute;left:730;top:2132;width:8240;height:5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" filled="f" strokecolor="#688fb0" strokeweight="1pt"/>
                <w10:anchorlock/>
              </v:group>
            </w:pict>
          </mc:Fallback>
        </mc:AlternateContent>
      </w:r>
    </w:p>
    <w:p w14:paraId="3AAEC528" w14:textId="77777777" w:rsidR="00674C24" w:rsidRDefault="00674C24" w:rsidP="006C1F5F"/>
    <w:p w14:paraId="5DCE5776" w14:textId="7EBF00DB" w:rsidR="00674C24" w:rsidRDefault="00C51BE0" w:rsidP="006C1F5F">
      <w:r>
        <w:rPr>
          <w:noProof/>
        </w:rPr>
        <w:drawing>
          <wp:anchor distT="0" distB="0" distL="114300" distR="114300" simplePos="0" relativeHeight="251820032" behindDoc="0" locked="0" layoutInCell="1" allowOverlap="1" wp14:anchorId="4D35172A" wp14:editId="08C67F34">
            <wp:simplePos x="0" y="0"/>
            <wp:positionH relativeFrom="column">
              <wp:posOffset>19050</wp:posOffset>
            </wp:positionH>
            <wp:positionV relativeFrom="paragraph">
              <wp:posOffset>472440</wp:posOffset>
            </wp:positionV>
            <wp:extent cx="4260281" cy="4962525"/>
            <wp:effectExtent l="19050" t="0" r="6919" b="0"/>
            <wp:wrapNone/>
            <wp:docPr id="19"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 cstate="print"/>
                    <a:srcRect/>
                    <a:stretch>
                      <a:fillRect/>
                    </a:stretch>
                  </pic:blipFill>
                  <pic:spPr bwMode="auto">
                    <a:xfrm>
                      <a:off x="0" y="0"/>
                      <a:ext cx="4260281" cy="496252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420A924E" wp14:editId="23EAB8C4">
                <wp:extent cx="4489450" cy="5293995"/>
                <wp:effectExtent l="9525" t="9525" r="15875" b="11430"/>
                <wp:docPr id="5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89450" cy="5293995"/>
                          <a:chOff x="1435" y="7965"/>
                          <a:chExt cx="7460" cy="8519"/>
                        </a:xfrm>
                      </wpg:grpSpPr>
                      <wps:wsp>
                        <wps:cNvPr id="60" name="Text Box 297"/>
                        <wps:cNvSpPr txBox="1">
                          <a:spLocks noChangeArrowheads="1"/>
                        </wps:cNvSpPr>
                        <wps:spPr bwMode="auto">
                          <a:xfrm>
                            <a:off x="1435" y="7965"/>
                            <a:ext cx="7460" cy="476"/>
                          </a:xfrm>
                          <a:prstGeom prst="rect">
                            <a:avLst/>
                          </a:prstGeom>
                          <a:solidFill>
                            <a:srgbClr val="629FC2"/>
                          </a:solidFill>
                          <a:ln w="12700">
                            <a:solidFill>
                              <a:srgbClr val="629FC2"/>
                            </a:solidFill>
                            <a:miter lim="800000"/>
                            <a:headEnd/>
                            <a:tailEnd/>
                          </a:ln>
                        </wps:spPr>
                        <wps:txbx>
                          <w:txbxContent>
                            <w:p w14:paraId="17F332E6" w14:textId="77777777" w:rsidR="0021734B" w:rsidRPr="00B12495" w:rsidRDefault="0021734B" w:rsidP="00674C24">
                              <w:pPr>
                                <w:pStyle w:val="Figureheading"/>
                              </w:pPr>
                              <w:r>
                                <w:t>Figure 23</w:t>
                              </w:r>
                            </w:p>
                          </w:txbxContent>
                        </wps:txbx>
                        <wps:bodyPr rot="0" vert="horz" wrap="square" lIns="91440" tIns="45720" rIns="91440" bIns="45720" anchor="t" anchorCtr="0" upright="1">
                          <a:noAutofit/>
                        </wps:bodyPr>
                      </wps:wsp>
                      <wps:wsp>
                        <wps:cNvPr id="61" name="Rectangle 298"/>
                        <wps:cNvSpPr>
                          <a:spLocks noChangeArrowheads="1"/>
                        </wps:cNvSpPr>
                        <wps:spPr bwMode="auto">
                          <a:xfrm>
                            <a:off x="1435" y="8446"/>
                            <a:ext cx="7460" cy="8038"/>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20A924E" id="Group 296" o:spid="_x0000_s1101" style="width:353.5pt;height:416.85pt;mso-position-horizontal-relative:char;mso-position-vertical-relative:line" coordorigin="1435,7965" coordsize="7460,8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">
                <v:shape id="Text Box 297" o:spid="_x0000_s1102" type="#_x0000_t202" style="position:absolute;left:1435;top:7965;width:746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" fillcolor="#629fc2" strokecolor="#629fc2" strokeweight="1pt">
                  <v:textbox>
                    <w:txbxContent>
                      <w:p w14:paraId="17F332E6" w14:textId="77777777" w:rsidR="0021734B" w:rsidRPr="00B12495" w:rsidRDefault="0021734B" w:rsidP="00674C24">
                        <w:pPr>
                          <w:pStyle w:val="Figureheading"/>
                        </w:pPr>
                        <w:r>
                          <w:t>Figure 23</w:t>
                        </w:r>
                      </w:p>
                    </w:txbxContent>
                  </v:textbox>
                </v:shape>
                <v:rect id="Rectangle 298" o:spid="_x0000_s1103" style="position:absolute;left:1435;top:8446;width:7460;height:8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" filled="f" strokecolor="#688fb0" strokeweight="1pt"/>
                <w10:anchorlock/>
              </v:group>
            </w:pict>
          </mc:Fallback>
        </mc:AlternateContent>
      </w:r>
    </w:p>
    <w:p w14:paraId="4FFE3217" w14:textId="088E584C" w:rsidR="002A0ECD" w:rsidRDefault="00A83E2E" w:rsidP="006C1F5F">
      <w:r w:rsidRPr="00A83E2E">
        <w:rPr>
          <w:noProof/>
        </w:rPr>
        <w:lastRenderedPageBreak/>
        <w:drawing>
          <wp:anchor distT="0" distB="0" distL="114300" distR="114300" simplePos="0" relativeHeight="251816960" behindDoc="0" locked="0" layoutInCell="1" allowOverlap="1" wp14:anchorId="2F2881A8" wp14:editId="4002D9AE">
            <wp:simplePos x="0" y="0"/>
            <wp:positionH relativeFrom="column">
              <wp:posOffset>57150</wp:posOffset>
            </wp:positionH>
            <wp:positionV relativeFrom="paragraph">
              <wp:posOffset>633095</wp:posOffset>
            </wp:positionV>
            <wp:extent cx="4333875" cy="5048250"/>
            <wp:effectExtent l="19050" t="0" r="9525" b="0"/>
            <wp:wrapNone/>
            <wp:docPr id="15"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8" cstate="print"/>
                    <a:srcRect/>
                    <a:stretch>
                      <a:fillRect/>
                    </a:stretch>
                  </pic:blipFill>
                  <pic:spPr bwMode="auto">
                    <a:xfrm>
                      <a:off x="0" y="0"/>
                      <a:ext cx="4333875" cy="504825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4865C546" wp14:editId="1D19F9BC">
                <wp:extent cx="4641850" cy="5509895"/>
                <wp:effectExtent l="9525" t="11430" r="15875" b="12700"/>
                <wp:docPr id="55" name="Group 2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1850" cy="5509895"/>
                          <a:chOff x="1855" y="1977"/>
                          <a:chExt cx="8270" cy="8677"/>
                        </a:xfrm>
                      </wpg:grpSpPr>
                      <wps:wsp>
                        <wps:cNvPr id="56" name="Text Box 268"/>
                        <wps:cNvSpPr txBox="1">
                          <a:spLocks noChangeArrowheads="1"/>
                        </wps:cNvSpPr>
                        <wps:spPr bwMode="auto">
                          <a:xfrm>
                            <a:off x="1855" y="1977"/>
                            <a:ext cx="8270" cy="476"/>
                          </a:xfrm>
                          <a:prstGeom prst="rect">
                            <a:avLst/>
                          </a:prstGeom>
                          <a:solidFill>
                            <a:srgbClr val="629FC2"/>
                          </a:solidFill>
                          <a:ln w="12700">
                            <a:solidFill>
                              <a:srgbClr val="629FC2"/>
                            </a:solidFill>
                            <a:miter lim="800000"/>
                            <a:headEnd/>
                            <a:tailEnd/>
                          </a:ln>
                        </wps:spPr>
                        <wps:txbx>
                          <w:txbxContent>
                            <w:p w14:paraId="2693C15E" w14:textId="77777777" w:rsidR="0021734B" w:rsidRPr="00B12495" w:rsidRDefault="0021734B" w:rsidP="002A0ECD">
                              <w:pPr>
                                <w:pStyle w:val="Figureheading"/>
                              </w:pPr>
                              <w:r>
                                <w:t>Figure 24</w:t>
                              </w:r>
                            </w:p>
                          </w:txbxContent>
                        </wps:txbx>
                        <wps:bodyPr rot="0" vert="horz" wrap="square" lIns="91440" tIns="45720" rIns="91440" bIns="45720" anchor="t" anchorCtr="0" upright="1">
                          <a:noAutofit/>
                        </wps:bodyPr>
                      </wps:wsp>
                      <wps:wsp>
                        <wps:cNvPr id="57" name="Rectangle 269"/>
                        <wps:cNvSpPr>
                          <a:spLocks noChangeArrowheads="1"/>
                        </wps:cNvSpPr>
                        <wps:spPr bwMode="auto">
                          <a:xfrm>
                            <a:off x="1855" y="2453"/>
                            <a:ext cx="8270" cy="820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865C546" id="Group 267" o:spid="_x0000_s1104" style="width:365.5pt;height:433.85pt;mso-position-horizontal-relative:char;mso-position-vertical-relative:line" coordorigin="1855,1977" coordsize="8270,8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">
                <v:shape id="Text Box 268" o:spid="_x0000_s1105" type="#_x0000_t202" style="position:absolute;left:1855;top:1977;width:827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" fillcolor="#629fc2" strokecolor="#629fc2" strokeweight="1pt">
                  <v:textbox>
                    <w:txbxContent>
                      <w:p w14:paraId="2693C15E" w14:textId="77777777" w:rsidR="0021734B" w:rsidRPr="00B12495" w:rsidRDefault="0021734B" w:rsidP="002A0ECD">
                        <w:pPr>
                          <w:pStyle w:val="Figureheading"/>
                        </w:pPr>
                        <w:r>
                          <w:t>Figure 24</w:t>
                        </w:r>
                      </w:p>
                    </w:txbxContent>
                  </v:textbox>
                </v:shape>
                <v:rect id="Rectangle 269" o:spid="_x0000_s1106" style="position:absolute;left:1855;top:2453;width:8270;height:8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" filled="f" strokecolor="#688fb0" strokeweight="1pt"/>
                <w10:anchorlock/>
              </v:group>
            </w:pict>
          </mc:Fallback>
        </mc:AlternateContent>
      </w:r>
    </w:p>
    <w:p w14:paraId="65D48F98" w14:textId="77777777" w:rsidR="002A0ECD" w:rsidRDefault="002A0ECD" w:rsidP="006C1F5F"/>
    <w:p w14:paraId="2695A1FF" w14:textId="77777777" w:rsidR="002A0ECD" w:rsidRDefault="002A0ECD" w:rsidP="006C1F5F"/>
    <w:p w14:paraId="55747D11" w14:textId="77777777" w:rsidR="002A0ECD" w:rsidRDefault="002A0ECD">
      <w:pPr>
        <w:spacing w:before="0"/>
        <w:jc w:val="left"/>
      </w:pPr>
      <w:r>
        <w:br w:type="page"/>
      </w:r>
    </w:p>
    <w:p w14:paraId="70EECF50" w14:textId="77777777" w:rsidR="006C1F5F" w:rsidRDefault="00611584" w:rsidP="006C1F5F">
      <w:pPr>
        <w:pStyle w:val="Heading1"/>
      </w:pPr>
      <w:bookmarkStart w:id="71" w:name="_Toc399249147"/>
      <w:bookmarkStart w:id="72" w:name="_Toc399252952"/>
      <w:bookmarkStart w:id="73" w:name="_Toc400007283"/>
      <w:r>
        <w:lastRenderedPageBreak/>
        <w:t xml:space="preserve"> </w:t>
      </w:r>
      <w:r w:rsidR="006C1F5F">
        <w:t>Mortality</w:t>
      </w:r>
      <w:bookmarkEnd w:id="71"/>
      <w:bookmarkEnd w:id="72"/>
      <w:bookmarkEnd w:id="73"/>
    </w:p>
    <w:p w14:paraId="14941D9C" w14:textId="77777777" w:rsidR="006C1F5F" w:rsidRPr="002E401E" w:rsidRDefault="006C1F5F" w:rsidP="006C1F5F">
      <w:pPr>
        <w:pStyle w:val="Heading2"/>
      </w:pPr>
      <w:bookmarkStart w:id="74" w:name="_Toc399249148"/>
      <w:bookmarkStart w:id="75" w:name="_Toc399252953"/>
      <w:bookmarkStart w:id="76" w:name="_Toc400007284"/>
      <w:r>
        <w:t>Alcohol-specific and alcohol-attributable mortality</w:t>
      </w:r>
      <w:bookmarkEnd w:id="74"/>
      <w:bookmarkEnd w:id="75"/>
      <w:bookmarkEnd w:id="76"/>
    </w:p>
    <w:p w14:paraId="1140B2BB" w14:textId="77777777" w:rsidR="006C1F5F" w:rsidRDefault="006C1F5F" w:rsidP="006C1F5F">
      <w:pPr>
        <w:rPr>
          <w:noProof/>
          <w:szCs w:val="24"/>
        </w:rPr>
      </w:pPr>
      <w:r>
        <w:rPr>
          <w:noProof/>
          <w:szCs w:val="24"/>
        </w:rPr>
        <w:t xml:space="preserve">Mortality linked to alcohol can be measured using different definitions. In this report we show alcohol-specific mortality and alcohol-attributable mortality. These are very briefly explained in table 4, but for further details please see the technical guide. </w:t>
      </w:r>
    </w:p>
    <w:p w14:paraId="7A15673A" w14:textId="77777777" w:rsidR="006C1F5F" w:rsidRDefault="006C1F5F" w:rsidP="006C1F5F">
      <w:pPr>
        <w:pStyle w:val="Tableheading"/>
      </w:pPr>
      <w:bookmarkStart w:id="77" w:name="_Toc399752284"/>
      <w:bookmarkStart w:id="78" w:name="_Toc400007285"/>
      <w:r>
        <w:t>Table 4 Overview of definitions for mortality indicators</w:t>
      </w:r>
      <w:bookmarkEnd w:id="77"/>
      <w:bookmarkEnd w:id="78"/>
    </w:p>
    <w:tbl>
      <w:tblPr>
        <w:tblW w:w="10348" w:type="dxa"/>
        <w:tblInd w:w="94" w:type="dxa"/>
        <w:tblLook w:val="04A0" w:firstRow="1" w:lastRow="0" w:firstColumn="1" w:lastColumn="0" w:noHBand="0" w:noVBand="1"/>
      </w:tblPr>
      <w:tblGrid>
        <w:gridCol w:w="3842"/>
        <w:gridCol w:w="6506"/>
      </w:tblGrid>
      <w:tr w:rsidR="006C1F5F" w:rsidRPr="009F2501" w14:paraId="72040EDC" w14:textId="77777777" w:rsidTr="00C31DD9">
        <w:trPr>
          <w:trHeight w:val="393"/>
        </w:trPr>
        <w:tc>
          <w:tcPr>
            <w:tcW w:w="3842" w:type="dxa"/>
            <w:tcBorders>
              <w:top w:val="nil"/>
              <w:left w:val="nil"/>
              <w:bottom w:val="single" w:sz="12" w:space="0" w:color="FFFFFF"/>
              <w:right w:val="single" w:sz="4" w:space="0" w:color="FFFFFF"/>
            </w:tcBorders>
            <w:shd w:val="clear" w:color="4BACC6" w:fill="629FC2"/>
            <w:noWrap/>
            <w:vAlign w:val="center"/>
            <w:hideMark/>
          </w:tcPr>
          <w:p w14:paraId="22261E39" w14:textId="77777777" w:rsidR="006C1F5F" w:rsidRPr="009F2501" w:rsidRDefault="006C1F5F" w:rsidP="006C1F5F">
            <w:pPr>
              <w:spacing w:before="0"/>
              <w:jc w:val="left"/>
              <w:rPr>
                <w:b/>
                <w:bCs/>
                <w:color w:val="FFFFFF"/>
                <w:sz w:val="20"/>
              </w:rPr>
            </w:pPr>
            <w:r>
              <w:rPr>
                <w:b/>
                <w:bCs/>
                <w:color w:val="FFFFFF"/>
                <w:sz w:val="20"/>
              </w:rPr>
              <w:t>Mortality indicator</w:t>
            </w:r>
          </w:p>
        </w:tc>
        <w:tc>
          <w:tcPr>
            <w:tcW w:w="6506" w:type="dxa"/>
            <w:tcBorders>
              <w:top w:val="nil"/>
              <w:left w:val="nil"/>
              <w:bottom w:val="single" w:sz="12" w:space="0" w:color="FFFFFF"/>
              <w:right w:val="single" w:sz="4" w:space="0" w:color="FFFFFF"/>
            </w:tcBorders>
            <w:shd w:val="clear" w:color="4BACC6" w:fill="629FC2"/>
            <w:vAlign w:val="center"/>
            <w:hideMark/>
          </w:tcPr>
          <w:p w14:paraId="2B6237D1" w14:textId="77777777" w:rsidR="006C1F5F" w:rsidRPr="009F2501" w:rsidRDefault="006C1F5F" w:rsidP="002E3483">
            <w:pPr>
              <w:spacing w:before="0"/>
              <w:jc w:val="left"/>
              <w:rPr>
                <w:b/>
                <w:bCs/>
                <w:color w:val="FFFFFF"/>
                <w:sz w:val="20"/>
              </w:rPr>
            </w:pPr>
            <w:r>
              <w:rPr>
                <w:b/>
                <w:bCs/>
                <w:color w:val="FFFFFF"/>
                <w:sz w:val="20"/>
              </w:rPr>
              <w:t xml:space="preserve">Brief </w:t>
            </w:r>
            <w:r w:rsidR="002E3483">
              <w:rPr>
                <w:b/>
                <w:bCs/>
                <w:color w:val="FFFFFF"/>
                <w:sz w:val="20"/>
              </w:rPr>
              <w:t>definition</w:t>
            </w:r>
          </w:p>
        </w:tc>
      </w:tr>
      <w:tr w:rsidR="006C1F5F" w:rsidRPr="009F2501" w14:paraId="60C2B981" w14:textId="77777777" w:rsidTr="006C1F5F">
        <w:trPr>
          <w:trHeight w:val="357"/>
        </w:trPr>
        <w:tc>
          <w:tcPr>
            <w:tcW w:w="3842" w:type="dxa"/>
            <w:tcBorders>
              <w:top w:val="single" w:sz="12" w:space="0" w:color="FFFFFF"/>
              <w:left w:val="nil"/>
              <w:bottom w:val="single" w:sz="4" w:space="0" w:color="FFFFFF"/>
              <w:right w:val="single" w:sz="4" w:space="0" w:color="FFFFFF"/>
            </w:tcBorders>
            <w:shd w:val="clear" w:color="DBEEF3" w:fill="auto"/>
            <w:hideMark/>
          </w:tcPr>
          <w:p w14:paraId="20BB0822" w14:textId="77777777" w:rsidR="006C1F5F" w:rsidRPr="003F29C3" w:rsidRDefault="006C1F5F" w:rsidP="006C1F5F">
            <w:pPr>
              <w:spacing w:before="0"/>
              <w:jc w:val="left"/>
              <w:rPr>
                <w:noProof/>
                <w:sz w:val="20"/>
                <w:szCs w:val="20"/>
              </w:rPr>
            </w:pPr>
            <w:r w:rsidRPr="003F29C3">
              <w:rPr>
                <w:noProof/>
                <w:sz w:val="20"/>
                <w:szCs w:val="20"/>
              </w:rPr>
              <w:t>Alcohol-specific mortality</w:t>
            </w:r>
          </w:p>
          <w:p w14:paraId="4233BDB8" w14:textId="77777777" w:rsidR="006C1F5F" w:rsidRPr="003F29C3" w:rsidRDefault="006C1F5F" w:rsidP="006C1F5F">
            <w:pPr>
              <w:spacing w:before="0"/>
              <w:jc w:val="left"/>
              <w:rPr>
                <w:color w:val="000000"/>
                <w:sz w:val="20"/>
                <w:szCs w:val="20"/>
              </w:rPr>
            </w:pPr>
          </w:p>
        </w:tc>
        <w:tc>
          <w:tcPr>
            <w:tcW w:w="6506" w:type="dxa"/>
            <w:tcBorders>
              <w:top w:val="single" w:sz="12" w:space="0" w:color="FFFFFF"/>
              <w:left w:val="nil"/>
              <w:bottom w:val="single" w:sz="4" w:space="0" w:color="FFFFFF"/>
              <w:right w:val="single" w:sz="4" w:space="0" w:color="FFFFFF"/>
            </w:tcBorders>
            <w:shd w:val="clear" w:color="DBEEF3" w:fill="auto"/>
            <w:hideMark/>
          </w:tcPr>
          <w:p w14:paraId="56020C9E" w14:textId="77777777" w:rsidR="006C1F5F" w:rsidRPr="003F29C3" w:rsidRDefault="006C1F5F" w:rsidP="00611584">
            <w:pPr>
              <w:spacing w:before="0"/>
              <w:rPr>
                <w:noProof/>
                <w:sz w:val="20"/>
                <w:szCs w:val="20"/>
              </w:rPr>
            </w:pPr>
            <w:r w:rsidRPr="003F29C3">
              <w:rPr>
                <w:noProof/>
                <w:sz w:val="20"/>
                <w:szCs w:val="20"/>
              </w:rPr>
              <w:t>Includes deaths with an underlying cause of death that is wholly attributable to alcohol e.g. alcoholic liver disease. Additional causes of death were added in the revision of methods.</w:t>
            </w:r>
          </w:p>
          <w:p w14:paraId="27AADBE5" w14:textId="77777777" w:rsidR="006C1F5F" w:rsidRPr="003F29C3" w:rsidRDefault="006C1F5F" w:rsidP="006C1F5F">
            <w:pPr>
              <w:spacing w:before="0"/>
              <w:jc w:val="left"/>
              <w:rPr>
                <w:color w:val="000000"/>
                <w:sz w:val="20"/>
                <w:szCs w:val="20"/>
              </w:rPr>
            </w:pPr>
          </w:p>
        </w:tc>
      </w:tr>
      <w:tr w:rsidR="006C1F5F" w:rsidRPr="009F2501" w14:paraId="78D2EC55" w14:textId="77777777" w:rsidTr="006C1F5F">
        <w:trPr>
          <w:trHeight w:val="357"/>
        </w:trPr>
        <w:tc>
          <w:tcPr>
            <w:tcW w:w="3842" w:type="dxa"/>
            <w:tcBorders>
              <w:top w:val="single" w:sz="4" w:space="0" w:color="FFFFFF"/>
              <w:left w:val="nil"/>
              <w:bottom w:val="single" w:sz="4" w:space="0" w:color="FFFFFF"/>
              <w:right w:val="single" w:sz="4" w:space="0" w:color="FFFFFF"/>
            </w:tcBorders>
            <w:shd w:val="clear" w:color="DBEEF3" w:fill="auto"/>
            <w:hideMark/>
          </w:tcPr>
          <w:p w14:paraId="2953777C" w14:textId="77777777" w:rsidR="006C1F5F" w:rsidRPr="003F29C3" w:rsidRDefault="006C1F5F" w:rsidP="006C1F5F">
            <w:pPr>
              <w:spacing w:before="0"/>
              <w:jc w:val="left"/>
              <w:rPr>
                <w:color w:val="000000"/>
                <w:sz w:val="20"/>
                <w:szCs w:val="20"/>
              </w:rPr>
            </w:pPr>
            <w:r w:rsidRPr="003F29C3">
              <w:rPr>
                <w:noProof/>
                <w:sz w:val="20"/>
                <w:szCs w:val="20"/>
              </w:rPr>
              <w:t>Alcohol-attributable mortality</w:t>
            </w:r>
          </w:p>
        </w:tc>
        <w:tc>
          <w:tcPr>
            <w:tcW w:w="6506" w:type="dxa"/>
            <w:tcBorders>
              <w:top w:val="single" w:sz="4" w:space="0" w:color="FFFFFF"/>
              <w:left w:val="nil"/>
              <w:bottom w:val="single" w:sz="4" w:space="0" w:color="FFFFFF"/>
              <w:right w:val="single" w:sz="4" w:space="0" w:color="FFFFFF"/>
            </w:tcBorders>
            <w:shd w:val="clear" w:color="DBEEF3" w:fill="auto"/>
            <w:hideMark/>
          </w:tcPr>
          <w:p w14:paraId="021B9FED" w14:textId="77777777" w:rsidR="006C1F5F" w:rsidRPr="003F29C3" w:rsidRDefault="006C1F5F" w:rsidP="00611584">
            <w:pPr>
              <w:spacing w:before="0"/>
              <w:rPr>
                <w:color w:val="000000"/>
                <w:sz w:val="20"/>
                <w:szCs w:val="20"/>
              </w:rPr>
            </w:pPr>
            <w:r w:rsidRPr="003F29C3">
              <w:rPr>
                <w:noProof/>
                <w:sz w:val="20"/>
                <w:szCs w:val="20"/>
              </w:rPr>
              <w:t>Includes deaths with an underlying cause of death that is either wholly or partly attributable to alcohol. Revised attributable fractions for each cause of death are applied in the calculation. This wider definition is an estimate</w:t>
            </w:r>
            <w:r w:rsidR="00200624" w:rsidRPr="003F29C3">
              <w:rPr>
                <w:noProof/>
                <w:sz w:val="20"/>
                <w:szCs w:val="20"/>
              </w:rPr>
              <w:t xml:space="preserve"> </w:t>
            </w:r>
            <w:r w:rsidRPr="003F29C3">
              <w:rPr>
                <w:noProof/>
                <w:sz w:val="20"/>
                <w:szCs w:val="20"/>
              </w:rPr>
              <w:t xml:space="preserve"> </w:t>
            </w:r>
            <w:r w:rsidR="00062D4C" w:rsidRPr="003F29C3">
              <w:rPr>
                <w:noProof/>
                <w:sz w:val="20"/>
                <w:szCs w:val="20"/>
              </w:rPr>
              <w:t>based on fractions</w:t>
            </w:r>
            <w:r w:rsidR="0051011D" w:rsidRPr="003F29C3">
              <w:rPr>
                <w:noProof/>
                <w:sz w:val="20"/>
                <w:szCs w:val="20"/>
              </w:rPr>
              <w:t xml:space="preserve"> </w:t>
            </w:r>
            <w:r w:rsidR="00062D4C" w:rsidRPr="003F29C3">
              <w:rPr>
                <w:noProof/>
                <w:sz w:val="20"/>
                <w:szCs w:val="20"/>
              </w:rPr>
              <w:t>assuming they</w:t>
            </w:r>
            <w:r w:rsidR="0051011D" w:rsidRPr="003F29C3">
              <w:rPr>
                <w:noProof/>
                <w:sz w:val="20"/>
                <w:szCs w:val="20"/>
              </w:rPr>
              <w:t xml:space="preserve"> apply equally</w:t>
            </w:r>
            <w:r w:rsidR="00062D4C" w:rsidRPr="003F29C3">
              <w:rPr>
                <w:noProof/>
                <w:sz w:val="20"/>
                <w:szCs w:val="20"/>
              </w:rPr>
              <w:t xml:space="preserve"> to Wales.</w:t>
            </w:r>
          </w:p>
        </w:tc>
      </w:tr>
    </w:tbl>
    <w:p w14:paraId="4EC183A6" w14:textId="4EA4838D" w:rsidR="006C1F5F" w:rsidRDefault="007465D8" w:rsidP="006C1F5F">
      <w:pPr>
        <w:rPr>
          <w:noProof/>
          <w:szCs w:val="24"/>
        </w:rPr>
      </w:pPr>
      <w:r>
        <w:rPr>
          <w:noProof/>
          <w:szCs w:val="24"/>
        </w:rPr>
        <mc:AlternateContent>
          <mc:Choice Requires="wps">
            <w:drawing>
              <wp:anchor distT="0" distB="0" distL="114300" distR="114300" simplePos="0" relativeHeight="251722752" behindDoc="0" locked="0" layoutInCell="1" allowOverlap="1" wp14:anchorId="5C844B61" wp14:editId="445D697C">
                <wp:simplePos x="0" y="0"/>
                <wp:positionH relativeFrom="column">
                  <wp:posOffset>32385</wp:posOffset>
                </wp:positionH>
                <wp:positionV relativeFrom="paragraph">
                  <wp:posOffset>56515</wp:posOffset>
                </wp:positionV>
                <wp:extent cx="6558915" cy="0"/>
                <wp:effectExtent l="13335" t="9525" r="9525" b="9525"/>
                <wp:wrapNone/>
                <wp:docPr id="54" name="AutoShape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58915" cy="0"/>
                        </a:xfrm>
                        <a:prstGeom prst="straightConnector1">
                          <a:avLst/>
                        </a:prstGeom>
                        <a:noFill/>
                        <a:ln w="12700">
                          <a:solidFill>
                            <a:srgbClr val="629FC2"/>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2980F5" id="AutoShape 245" o:spid="_x0000_s1026" type="#_x0000_t32" style="position:absolute;margin-left:2.55pt;margin-top:4.45pt;width:516.45pt;height: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" strokecolor="#629fc2" strokeweight="1pt"/>
            </w:pict>
          </mc:Fallback>
        </mc:AlternateContent>
      </w:r>
      <w:r w:rsidR="006C1F5F">
        <w:rPr>
          <w:noProof/>
          <w:szCs w:val="24"/>
        </w:rPr>
        <w:t>Public Health England have recently published revised methods for these</w:t>
      </w:r>
      <w:r w:rsidR="00AF0D35" w:rsidRPr="00AF0D35">
        <w:rPr>
          <w:noProof/>
          <w:szCs w:val="24"/>
          <w:vertAlign w:val="superscript"/>
        </w:rPr>
        <w:t>4</w:t>
      </w:r>
      <w:r w:rsidR="006C1F5F" w:rsidRPr="007E1048">
        <w:rPr>
          <w:noProof/>
          <w:szCs w:val="24"/>
        </w:rPr>
        <w:t>. Data using the revised method is not comparable to previously published</w:t>
      </w:r>
      <w:r w:rsidR="006C1F5F">
        <w:rPr>
          <w:noProof/>
          <w:szCs w:val="24"/>
        </w:rPr>
        <w:t xml:space="preserve"> data. A</w:t>
      </w:r>
      <w:r w:rsidR="006C1F5F" w:rsidRPr="00E22102">
        <w:rPr>
          <w:noProof/>
          <w:szCs w:val="24"/>
        </w:rPr>
        <w:t>lcohol-specific mortality has been produced instead of alcohol-related mortality (ONS definition) in this updated report as it is easily comparable to England and English regions.</w:t>
      </w:r>
      <w:r w:rsidR="006C1F5F">
        <w:rPr>
          <w:noProof/>
          <w:szCs w:val="24"/>
        </w:rPr>
        <w:t xml:space="preserve"> </w:t>
      </w:r>
      <w:r w:rsidR="006C1F5F">
        <w:rPr>
          <w:szCs w:val="24"/>
        </w:rPr>
        <w:t>Socio-economic inequalities in mortality are examined in S</w:t>
      </w:r>
      <w:r w:rsidR="006C1F5F" w:rsidRPr="00B30C11">
        <w:rPr>
          <w:szCs w:val="24"/>
        </w:rPr>
        <w:t>ection 6.</w:t>
      </w:r>
    </w:p>
    <w:p w14:paraId="70E45124" w14:textId="77777777" w:rsidR="006C1F5F" w:rsidRPr="00D304E6" w:rsidRDefault="006C1F5F" w:rsidP="006C1F5F">
      <w:pPr>
        <w:rPr>
          <w:noProof/>
          <w:szCs w:val="24"/>
        </w:rPr>
      </w:pPr>
      <w:r>
        <w:rPr>
          <w:noProof/>
          <w:szCs w:val="24"/>
        </w:rPr>
        <w:t>Around 250 males and 140 females die from an alcohol-specific condition per year in Wales, based</w:t>
      </w:r>
      <w:r w:rsidR="00204D8A">
        <w:rPr>
          <w:noProof/>
          <w:szCs w:val="24"/>
        </w:rPr>
        <w:t xml:space="preserve"> on the period 2010-12 (Figure 25</w:t>
      </w:r>
      <w:r>
        <w:rPr>
          <w:noProof/>
          <w:szCs w:val="24"/>
        </w:rPr>
        <w:t>). Alcoholic liver disease accounts for the majority of these deaths (82% for m</w:t>
      </w:r>
      <w:r w:rsidR="00204D8A">
        <w:rPr>
          <w:noProof/>
          <w:szCs w:val="24"/>
        </w:rPr>
        <w:t>ales, 86% for females) (Figure 25</w:t>
      </w:r>
      <w:r>
        <w:rPr>
          <w:noProof/>
          <w:szCs w:val="24"/>
        </w:rPr>
        <w:t>). Alcohol-specific mortality only includes deaths entirely caused by alcohol, which underestimates the impact of alcohol on mortality in the population.</w:t>
      </w:r>
    </w:p>
    <w:p w14:paraId="0209CA1E" w14:textId="77777777" w:rsidR="006C1F5F" w:rsidRDefault="006C1F5F" w:rsidP="006C1F5F"/>
    <w:p w14:paraId="4C9B9413" w14:textId="77777777" w:rsidR="006C1F5F" w:rsidRDefault="006C1F5F">
      <w:pPr>
        <w:spacing w:before="0"/>
        <w:jc w:val="left"/>
      </w:pPr>
      <w:r>
        <w:br w:type="page"/>
      </w:r>
    </w:p>
    <w:p w14:paraId="078C7912" w14:textId="77777777" w:rsidR="006C1F5F" w:rsidRDefault="006C1F5F" w:rsidP="006C1F5F"/>
    <w:p w14:paraId="330D5BB1" w14:textId="333AE7D1" w:rsidR="00A91201" w:rsidRDefault="001C7898" w:rsidP="006C1F5F">
      <w:r>
        <w:rPr>
          <w:noProof/>
        </w:rPr>
        <w:drawing>
          <wp:anchor distT="0" distB="0" distL="114300" distR="114300" simplePos="0" relativeHeight="251752448" behindDoc="0" locked="0" layoutInCell="1" allowOverlap="1" wp14:anchorId="5A4CA693" wp14:editId="499F3A2E">
            <wp:simplePos x="0" y="0"/>
            <wp:positionH relativeFrom="column">
              <wp:posOffset>28575</wp:posOffset>
            </wp:positionH>
            <wp:positionV relativeFrom="paragraph">
              <wp:posOffset>3549650</wp:posOffset>
            </wp:positionV>
            <wp:extent cx="6626225" cy="2867025"/>
            <wp:effectExtent l="19050" t="0" r="3175" b="0"/>
            <wp:wrapNone/>
            <wp:docPr id="2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srcRect/>
                    <a:stretch>
                      <a:fillRect/>
                    </a:stretch>
                  </pic:blipFill>
                  <pic:spPr bwMode="auto">
                    <a:xfrm>
                      <a:off x="0" y="0"/>
                      <a:ext cx="6626225" cy="2867025"/>
                    </a:xfrm>
                    <a:prstGeom prst="rect">
                      <a:avLst/>
                    </a:prstGeom>
                    <a:noFill/>
                    <a:ln w="9525">
                      <a:noFill/>
                      <a:miter lim="800000"/>
                      <a:headEnd/>
                      <a:tailEnd/>
                    </a:ln>
                  </pic:spPr>
                </pic:pic>
              </a:graphicData>
            </a:graphic>
          </wp:anchor>
        </w:drawing>
      </w:r>
      <w:r w:rsidRPr="001C7898">
        <w:rPr>
          <w:noProof/>
        </w:rPr>
        <w:drawing>
          <wp:anchor distT="0" distB="0" distL="114300" distR="114300" simplePos="0" relativeHeight="251750400" behindDoc="0" locked="0" layoutInCell="1" allowOverlap="1" wp14:anchorId="7C87DC4F" wp14:editId="031BCE98">
            <wp:simplePos x="0" y="0"/>
            <wp:positionH relativeFrom="column">
              <wp:posOffset>95250</wp:posOffset>
            </wp:positionH>
            <wp:positionV relativeFrom="paragraph">
              <wp:posOffset>558800</wp:posOffset>
            </wp:positionV>
            <wp:extent cx="6626225" cy="2857500"/>
            <wp:effectExtent l="19050" t="0" r="3175" b="0"/>
            <wp:wrapNone/>
            <wp:docPr id="23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cstate="print"/>
                    <a:srcRect/>
                    <a:stretch>
                      <a:fillRect/>
                    </a:stretch>
                  </pic:blipFill>
                  <pic:spPr bwMode="auto">
                    <a:xfrm>
                      <a:off x="0" y="0"/>
                      <a:ext cx="6626225" cy="285750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5CD1557D" wp14:editId="08E423B7">
                <wp:extent cx="6727825" cy="6337300"/>
                <wp:effectExtent l="9525" t="9525" r="6350" b="6350"/>
                <wp:docPr id="51" name="Group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27825" cy="6337300"/>
                          <a:chOff x="730" y="1710"/>
                          <a:chExt cx="10595" cy="9980"/>
                        </a:xfrm>
                      </wpg:grpSpPr>
                      <wps:wsp>
                        <wps:cNvPr id="52" name="Text Box 220"/>
                        <wps:cNvSpPr txBox="1">
                          <a:spLocks noChangeArrowheads="1"/>
                        </wps:cNvSpPr>
                        <wps:spPr bwMode="auto">
                          <a:xfrm>
                            <a:off x="730" y="1710"/>
                            <a:ext cx="10595" cy="476"/>
                          </a:xfrm>
                          <a:prstGeom prst="rect">
                            <a:avLst/>
                          </a:prstGeom>
                          <a:solidFill>
                            <a:srgbClr val="629FC2"/>
                          </a:solidFill>
                          <a:ln w="12700">
                            <a:solidFill>
                              <a:srgbClr val="629FC2"/>
                            </a:solidFill>
                            <a:miter lim="800000"/>
                            <a:headEnd/>
                            <a:tailEnd/>
                          </a:ln>
                        </wps:spPr>
                        <wps:txbx>
                          <w:txbxContent>
                            <w:p w14:paraId="5170DD88" w14:textId="77777777" w:rsidR="0021734B" w:rsidRPr="00B12495" w:rsidRDefault="0021734B" w:rsidP="00593174">
                              <w:pPr>
                                <w:pStyle w:val="Figureheading"/>
                              </w:pPr>
                              <w:r>
                                <w:t>Figure 25</w:t>
                              </w:r>
                            </w:p>
                          </w:txbxContent>
                        </wps:txbx>
                        <wps:bodyPr rot="0" vert="horz" wrap="square" lIns="91440" tIns="45720" rIns="91440" bIns="45720" anchor="t" anchorCtr="0" upright="1">
                          <a:noAutofit/>
                        </wps:bodyPr>
                      </wps:wsp>
                      <wps:wsp>
                        <wps:cNvPr id="53" name="Rectangle 221"/>
                        <wps:cNvSpPr>
                          <a:spLocks noChangeArrowheads="1"/>
                        </wps:cNvSpPr>
                        <wps:spPr bwMode="auto">
                          <a:xfrm>
                            <a:off x="730" y="2201"/>
                            <a:ext cx="10595" cy="9489"/>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CD1557D" id="Group 279" o:spid="_x0000_s1107" style="width:529.75pt;height:499pt;mso-position-horizontal-relative:char;mso-position-vertical-relative:line" coordorigin="730,1710" coordsize="10595,9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">
                <v:shape id="Text Box 220" o:spid="_x0000_s1108" type="#_x0000_t202" style="position:absolute;left:730;top:1710;width:1059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" fillcolor="#629fc2" strokecolor="#629fc2" strokeweight="1pt">
                  <v:textbox>
                    <w:txbxContent>
                      <w:p w14:paraId="5170DD88" w14:textId="77777777" w:rsidR="0021734B" w:rsidRPr="00B12495" w:rsidRDefault="0021734B" w:rsidP="00593174">
                        <w:pPr>
                          <w:pStyle w:val="Figureheading"/>
                        </w:pPr>
                        <w:r>
                          <w:t>Figure 25</w:t>
                        </w:r>
                      </w:p>
                    </w:txbxContent>
                  </v:textbox>
                </v:shape>
                <v:rect id="Rectangle 221" o:spid="_x0000_s1109" style="position:absolute;left:730;top:2201;width:10595;height:9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" filled="f" strokecolor="#688fb0" strokeweight="1pt"/>
                <w10:anchorlock/>
              </v:group>
            </w:pict>
          </mc:Fallback>
        </mc:AlternateContent>
      </w:r>
    </w:p>
    <w:p w14:paraId="228358F7" w14:textId="77777777" w:rsidR="00A91201" w:rsidRPr="00404223" w:rsidRDefault="00A91201" w:rsidP="00A91201">
      <w:pPr>
        <w:rPr>
          <w:b/>
          <w:noProof/>
          <w:szCs w:val="24"/>
        </w:rPr>
      </w:pPr>
      <w:r>
        <w:rPr>
          <w:noProof/>
          <w:szCs w:val="24"/>
        </w:rPr>
        <w:t>Using the wider definition of alcohol-attributable mortality there were around four times as many deaths as for alcohol-specific mortality, with 990 male and 530 female deaths per year in Wales, based</w:t>
      </w:r>
      <w:r w:rsidR="00AF1853">
        <w:rPr>
          <w:noProof/>
          <w:szCs w:val="24"/>
        </w:rPr>
        <w:t xml:space="preserve"> on the period 2010-12 (Figure 25</w:t>
      </w:r>
      <w:r>
        <w:rPr>
          <w:noProof/>
          <w:szCs w:val="24"/>
        </w:rPr>
        <w:t>). These avoidable deaths are a sizeable proportion of overall de</w:t>
      </w:r>
      <w:r w:rsidR="00554834">
        <w:rPr>
          <w:noProof/>
          <w:szCs w:val="24"/>
        </w:rPr>
        <w:t>aths in Wales accounting for 6.6</w:t>
      </w:r>
      <w:r>
        <w:rPr>
          <w:noProof/>
          <w:szCs w:val="24"/>
        </w:rPr>
        <w:t xml:space="preserve">% of all male deaths, and 3.3% of all female deaths. </w:t>
      </w:r>
    </w:p>
    <w:p w14:paraId="23F8B008" w14:textId="77777777" w:rsidR="00A91201" w:rsidRDefault="00A91201" w:rsidP="00A91201">
      <w:pPr>
        <w:rPr>
          <w:noProof/>
          <w:szCs w:val="24"/>
        </w:rPr>
      </w:pPr>
      <w:r>
        <w:rPr>
          <w:noProof/>
          <w:szCs w:val="24"/>
        </w:rPr>
        <w:t xml:space="preserve">Wholly attributable causes account for around one in four of these deaths (26%) in both males and females. Cancer accounts for 31% of the alcohol-attributable deaths in males and 38% for females shown in the purple </w:t>
      </w:r>
      <w:r w:rsidRPr="00226070">
        <w:rPr>
          <w:noProof/>
          <w:szCs w:val="24"/>
        </w:rPr>
        <w:t>colour</w:t>
      </w:r>
      <w:r>
        <w:rPr>
          <w:noProof/>
          <w:szCs w:val="24"/>
        </w:rPr>
        <w:t xml:space="preserve"> on the chart</w:t>
      </w:r>
      <w:r w:rsidRPr="00226070">
        <w:rPr>
          <w:noProof/>
          <w:szCs w:val="24"/>
        </w:rPr>
        <w:t>.</w:t>
      </w:r>
      <w:r>
        <w:rPr>
          <w:noProof/>
          <w:szCs w:val="24"/>
        </w:rPr>
        <w:t xml:space="preserve"> Cardiovascular disease (shown in darker blue) accounts for over 7% of male and 13% of female deaths. </w:t>
      </w:r>
    </w:p>
    <w:p w14:paraId="1685F482" w14:textId="77777777" w:rsidR="00A91201" w:rsidRDefault="00A91201" w:rsidP="00A91201">
      <w:pPr>
        <w:rPr>
          <w:b/>
        </w:rPr>
      </w:pPr>
      <w:bookmarkStart w:id="79" w:name="_Toc399249149"/>
    </w:p>
    <w:p w14:paraId="2C01CB49" w14:textId="77777777" w:rsidR="00A91201" w:rsidRDefault="00A91201" w:rsidP="00A91201">
      <w:pPr>
        <w:rPr>
          <w:b/>
        </w:rPr>
      </w:pPr>
    </w:p>
    <w:p w14:paraId="5BE081DD" w14:textId="77777777" w:rsidR="0098046A" w:rsidRDefault="0098046A" w:rsidP="00A91201">
      <w:pPr>
        <w:pStyle w:val="Heading3nonumber"/>
      </w:pPr>
    </w:p>
    <w:p w14:paraId="4EE2ED07" w14:textId="77777777" w:rsidR="00A91201" w:rsidRPr="0014794B" w:rsidRDefault="00A91201" w:rsidP="00A91201">
      <w:pPr>
        <w:pStyle w:val="Heading3nonumber"/>
      </w:pPr>
      <w:r w:rsidRPr="0014794B">
        <w:lastRenderedPageBreak/>
        <w:t>Trends over time</w:t>
      </w:r>
      <w:bookmarkEnd w:id="79"/>
    </w:p>
    <w:p w14:paraId="72ABF50A" w14:textId="77777777" w:rsidR="00A91201" w:rsidRDefault="00A91201" w:rsidP="00A91201">
      <w:pPr>
        <w:rPr>
          <w:szCs w:val="24"/>
        </w:rPr>
      </w:pPr>
      <w:r>
        <w:rPr>
          <w:szCs w:val="24"/>
        </w:rPr>
        <w:t>Rates v</w:t>
      </w:r>
      <w:r w:rsidR="001B509F">
        <w:rPr>
          <w:szCs w:val="24"/>
        </w:rPr>
        <w:t>ary slightly over time (Figure 26</w:t>
      </w:r>
      <w:r>
        <w:rPr>
          <w:szCs w:val="24"/>
        </w:rPr>
        <w:t>). Alcohol-specific mortality rates for males were rising slowly with the peak in 2007-09. The rates have since declined but overall are still higher in the most recent period of 2010-12 compared to the earliest in 2003-05. The trend for females shows rates having risen slightly over time. Alcohol-attributable rates also vary a little over time with a slight decrease in recent years. The alcohol-attributable rates in 2010-12 are slightly lower than in 2003-05 but this small difference is not statistically significant. Mortality rates for males are around t</w:t>
      </w:r>
      <w:r w:rsidR="001B509F">
        <w:rPr>
          <w:szCs w:val="24"/>
        </w:rPr>
        <w:t>wice those for females (Figure 26</w:t>
      </w:r>
      <w:r>
        <w:rPr>
          <w:szCs w:val="24"/>
        </w:rPr>
        <w:t>).</w:t>
      </w:r>
    </w:p>
    <w:p w14:paraId="49E4761F" w14:textId="4DC66097" w:rsidR="00A91201" w:rsidRDefault="0049422B" w:rsidP="006C1F5F">
      <w:r>
        <w:rPr>
          <w:noProof/>
        </w:rPr>
        <w:drawing>
          <wp:anchor distT="0" distB="0" distL="114300" distR="114300" simplePos="0" relativeHeight="251810816" behindDoc="0" locked="0" layoutInCell="1" allowOverlap="1" wp14:anchorId="7F28E2A2" wp14:editId="5E8B6459">
            <wp:simplePos x="0" y="0"/>
            <wp:positionH relativeFrom="column">
              <wp:posOffset>0</wp:posOffset>
            </wp:positionH>
            <wp:positionV relativeFrom="paragraph">
              <wp:posOffset>494030</wp:posOffset>
            </wp:positionV>
            <wp:extent cx="5048250" cy="4333875"/>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1" cstate="print"/>
                    <a:srcRect/>
                    <a:stretch>
                      <a:fillRect/>
                    </a:stretch>
                  </pic:blipFill>
                  <pic:spPr bwMode="auto">
                    <a:xfrm>
                      <a:off x="0" y="0"/>
                      <a:ext cx="5048250" cy="433387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2495A225" wp14:editId="259E87A4">
                <wp:extent cx="5146675" cy="4791710"/>
                <wp:effectExtent l="9525" t="7620" r="6350" b="10795"/>
                <wp:docPr id="41"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46675" cy="4791710"/>
                          <a:chOff x="730" y="3918"/>
                          <a:chExt cx="8105" cy="7546"/>
                        </a:xfrm>
                      </wpg:grpSpPr>
                      <wps:wsp>
                        <wps:cNvPr id="49" name="Text Box 141"/>
                        <wps:cNvSpPr txBox="1">
                          <a:spLocks noChangeArrowheads="1"/>
                        </wps:cNvSpPr>
                        <wps:spPr bwMode="auto">
                          <a:xfrm>
                            <a:off x="730" y="3918"/>
                            <a:ext cx="8105" cy="476"/>
                          </a:xfrm>
                          <a:prstGeom prst="rect">
                            <a:avLst/>
                          </a:prstGeom>
                          <a:solidFill>
                            <a:srgbClr val="629FC2"/>
                          </a:solidFill>
                          <a:ln w="12700">
                            <a:solidFill>
                              <a:srgbClr val="629FC2"/>
                            </a:solidFill>
                            <a:miter lim="800000"/>
                            <a:headEnd/>
                            <a:tailEnd/>
                          </a:ln>
                        </wps:spPr>
                        <wps:txbx>
                          <w:txbxContent>
                            <w:p w14:paraId="0C49BB38" w14:textId="77777777" w:rsidR="0021734B" w:rsidRPr="00B12495" w:rsidRDefault="0021734B" w:rsidP="00A91201">
                              <w:pPr>
                                <w:pStyle w:val="Figureheading"/>
                              </w:pPr>
                              <w:r>
                                <w:t>Figure 26</w:t>
                              </w:r>
                            </w:p>
                          </w:txbxContent>
                        </wps:txbx>
                        <wps:bodyPr rot="0" vert="horz" wrap="square" lIns="91440" tIns="45720" rIns="91440" bIns="45720" anchor="t" anchorCtr="0" upright="1">
                          <a:noAutofit/>
                        </wps:bodyPr>
                      </wps:wsp>
                      <wps:wsp>
                        <wps:cNvPr id="50" name="Rectangle 142"/>
                        <wps:cNvSpPr>
                          <a:spLocks noChangeArrowheads="1"/>
                        </wps:cNvSpPr>
                        <wps:spPr bwMode="auto">
                          <a:xfrm>
                            <a:off x="730" y="4394"/>
                            <a:ext cx="8105" cy="707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495A225" id="Group 278" o:spid="_x0000_s1110" style="width:405.25pt;height:377.3pt;mso-position-horizontal-relative:char;mso-position-vertical-relative:line" coordorigin="730,3918" coordsize="8105,75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">
                <v:shape id="Text Box 141" o:spid="_x0000_s1111" type="#_x0000_t202" style="position:absolute;left:730;top:3918;width:810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" fillcolor="#629fc2" strokecolor="#629fc2" strokeweight="1pt">
                  <v:textbox>
                    <w:txbxContent>
                      <w:p w14:paraId="0C49BB38" w14:textId="77777777" w:rsidR="0021734B" w:rsidRPr="00B12495" w:rsidRDefault="0021734B" w:rsidP="00A91201">
                        <w:pPr>
                          <w:pStyle w:val="Figureheading"/>
                        </w:pPr>
                        <w:r>
                          <w:t>Figure 26</w:t>
                        </w:r>
                      </w:p>
                    </w:txbxContent>
                  </v:textbox>
                </v:shape>
                <v:rect id="Rectangle 142" o:spid="_x0000_s1112" style="position:absolute;left:730;top:4394;width:8105;height:7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" filled="f" strokecolor="#688fb0" strokeweight="1pt"/>
                <w10:anchorlock/>
              </v:group>
            </w:pict>
          </mc:Fallback>
        </mc:AlternateContent>
      </w:r>
    </w:p>
    <w:p w14:paraId="5C9455E8" w14:textId="77777777" w:rsidR="00A91201" w:rsidRDefault="00A91201" w:rsidP="00A91201">
      <w:pPr>
        <w:pStyle w:val="Heading2"/>
      </w:pPr>
      <w:bookmarkStart w:id="80" w:name="_Toc399249150"/>
      <w:bookmarkStart w:id="81" w:name="_Toc399252954"/>
      <w:bookmarkStart w:id="82" w:name="_Toc400007286"/>
      <w:r>
        <w:t>Chronic l</w:t>
      </w:r>
      <w:r w:rsidRPr="00FA6DFB">
        <w:t>iver disease</w:t>
      </w:r>
      <w:r>
        <w:t xml:space="preserve"> and cirrhosis</w:t>
      </w:r>
      <w:bookmarkEnd w:id="80"/>
      <w:bookmarkEnd w:id="81"/>
      <w:bookmarkEnd w:id="82"/>
    </w:p>
    <w:p w14:paraId="41B08C88" w14:textId="77777777" w:rsidR="00A91201" w:rsidRDefault="00A91201" w:rsidP="00A91201">
      <w:pPr>
        <w:rPr>
          <w:szCs w:val="24"/>
        </w:rPr>
      </w:pPr>
      <w:r>
        <w:rPr>
          <w:szCs w:val="24"/>
        </w:rPr>
        <w:t xml:space="preserve">Around 260 males and 170 females die from chronic liver disease in Wales per year (based on 2010-12). The majority of these, just over 200 males and 120 females, died from alcoholic liver disease. The remainder have a cause of death of chronic hepatitis (not elsewhere specified) or fibrosis and cirrhosis of the liver which in the large part of cases is due to alcohol but can also have other causes. </w:t>
      </w:r>
      <w:r w:rsidRPr="006B627D">
        <w:rPr>
          <w:szCs w:val="24"/>
        </w:rPr>
        <w:t>There is</w:t>
      </w:r>
      <w:r>
        <w:rPr>
          <w:szCs w:val="24"/>
        </w:rPr>
        <w:t xml:space="preserve"> only</w:t>
      </w:r>
      <w:r w:rsidRPr="006B627D">
        <w:rPr>
          <w:szCs w:val="24"/>
        </w:rPr>
        <w:t xml:space="preserve"> </w:t>
      </w:r>
      <w:r>
        <w:rPr>
          <w:szCs w:val="24"/>
        </w:rPr>
        <w:t xml:space="preserve">slight </w:t>
      </w:r>
      <w:r w:rsidRPr="006B627D">
        <w:rPr>
          <w:szCs w:val="24"/>
        </w:rPr>
        <w:t xml:space="preserve">variation </w:t>
      </w:r>
      <w:r>
        <w:rPr>
          <w:szCs w:val="24"/>
        </w:rPr>
        <w:t xml:space="preserve">in rates </w:t>
      </w:r>
      <w:r w:rsidRPr="006B627D">
        <w:rPr>
          <w:szCs w:val="24"/>
        </w:rPr>
        <w:t>over time</w:t>
      </w:r>
      <w:r>
        <w:rPr>
          <w:szCs w:val="24"/>
        </w:rPr>
        <w:t xml:space="preserve"> and differences are not sta</w:t>
      </w:r>
      <w:r w:rsidR="001B509F">
        <w:rPr>
          <w:szCs w:val="24"/>
        </w:rPr>
        <w:t>tistically significant (Figure 27</w:t>
      </w:r>
      <w:r>
        <w:rPr>
          <w:szCs w:val="24"/>
        </w:rPr>
        <w:t>).</w:t>
      </w:r>
    </w:p>
    <w:p w14:paraId="2D0C22C9" w14:textId="77777777" w:rsidR="00A91201" w:rsidRDefault="00A91201" w:rsidP="006C1F5F"/>
    <w:p w14:paraId="459F49A4" w14:textId="77777777" w:rsidR="00A91201" w:rsidRDefault="00A91201">
      <w:pPr>
        <w:spacing w:before="0"/>
        <w:jc w:val="left"/>
      </w:pPr>
      <w:r>
        <w:br w:type="page"/>
      </w:r>
    </w:p>
    <w:p w14:paraId="0AD90381" w14:textId="77777777" w:rsidR="00A91201" w:rsidRDefault="00A91201" w:rsidP="006C1F5F"/>
    <w:p w14:paraId="4268270F" w14:textId="3C48CA8A" w:rsidR="00A91201" w:rsidRDefault="00072BC7" w:rsidP="006C1F5F">
      <w:r w:rsidRPr="00072BC7">
        <w:rPr>
          <w:noProof/>
        </w:rPr>
        <w:drawing>
          <wp:anchor distT="0" distB="0" distL="114300" distR="114300" simplePos="0" relativeHeight="251779072" behindDoc="0" locked="0" layoutInCell="1" allowOverlap="1" wp14:anchorId="38A743B0" wp14:editId="03DC8192">
            <wp:simplePos x="0" y="0"/>
            <wp:positionH relativeFrom="column">
              <wp:posOffset>19050</wp:posOffset>
            </wp:positionH>
            <wp:positionV relativeFrom="paragraph">
              <wp:posOffset>492125</wp:posOffset>
            </wp:positionV>
            <wp:extent cx="5048250" cy="3248025"/>
            <wp:effectExtent l="19050" t="0" r="0" b="0"/>
            <wp:wrapNone/>
            <wp:docPr id="10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print"/>
                    <a:srcRect/>
                    <a:stretch>
                      <a:fillRect/>
                    </a:stretch>
                  </pic:blipFill>
                  <pic:spPr bwMode="auto">
                    <a:xfrm>
                      <a:off x="0" y="0"/>
                      <a:ext cx="5048250" cy="324802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3D636E38" wp14:editId="6E25D427">
                <wp:extent cx="5118100" cy="3629660"/>
                <wp:effectExtent l="9525" t="9525" r="6350" b="8890"/>
                <wp:docPr id="35" name="Group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18100" cy="3629660"/>
                          <a:chOff x="730" y="1623"/>
                          <a:chExt cx="8060" cy="5716"/>
                        </a:xfrm>
                      </wpg:grpSpPr>
                      <wps:wsp>
                        <wps:cNvPr id="36" name="Text Box 144"/>
                        <wps:cNvSpPr txBox="1">
                          <a:spLocks noChangeArrowheads="1"/>
                        </wps:cNvSpPr>
                        <wps:spPr bwMode="auto">
                          <a:xfrm>
                            <a:off x="730" y="1623"/>
                            <a:ext cx="8060" cy="476"/>
                          </a:xfrm>
                          <a:prstGeom prst="rect">
                            <a:avLst/>
                          </a:prstGeom>
                          <a:solidFill>
                            <a:srgbClr val="629FC2"/>
                          </a:solidFill>
                          <a:ln w="12700">
                            <a:solidFill>
                              <a:srgbClr val="629FC2"/>
                            </a:solidFill>
                            <a:miter lim="800000"/>
                            <a:headEnd/>
                            <a:tailEnd/>
                          </a:ln>
                        </wps:spPr>
                        <wps:txbx>
                          <w:txbxContent>
                            <w:p w14:paraId="2C638146" w14:textId="77777777" w:rsidR="0021734B" w:rsidRPr="00B12495" w:rsidRDefault="0021734B" w:rsidP="00A91201">
                              <w:pPr>
                                <w:pStyle w:val="Figureheading"/>
                              </w:pPr>
                              <w:r>
                                <w:t>Figure 27</w:t>
                              </w:r>
                            </w:p>
                          </w:txbxContent>
                        </wps:txbx>
                        <wps:bodyPr rot="0" vert="horz" wrap="square" lIns="91440" tIns="45720" rIns="91440" bIns="45720" anchor="t" anchorCtr="0" upright="1">
                          <a:noAutofit/>
                        </wps:bodyPr>
                      </wps:wsp>
                      <wps:wsp>
                        <wps:cNvPr id="37" name="Rectangle 145"/>
                        <wps:cNvSpPr>
                          <a:spLocks noChangeArrowheads="1"/>
                        </wps:cNvSpPr>
                        <wps:spPr bwMode="auto">
                          <a:xfrm>
                            <a:off x="730" y="2106"/>
                            <a:ext cx="8060" cy="5233"/>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D636E38" id="Group 299" o:spid="_x0000_s1113" style="width:403pt;height:285.8pt;mso-position-horizontal-relative:char;mso-position-vertical-relative:line" coordorigin="730,1623" coordsize="8060,5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">
                <v:shape id="Text Box 144" o:spid="_x0000_s1114" type="#_x0000_t202" style="position:absolute;left:730;top:1623;width:806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" fillcolor="#629fc2" strokecolor="#629fc2" strokeweight="1pt">
                  <v:textbox>
                    <w:txbxContent>
                      <w:p w14:paraId="2C638146" w14:textId="77777777" w:rsidR="0021734B" w:rsidRPr="00B12495" w:rsidRDefault="0021734B" w:rsidP="00A91201">
                        <w:pPr>
                          <w:pStyle w:val="Figureheading"/>
                        </w:pPr>
                        <w:r>
                          <w:t>Figure 27</w:t>
                        </w:r>
                      </w:p>
                    </w:txbxContent>
                  </v:textbox>
                </v:shape>
                <v:rect id="Rectangle 145" o:spid="_x0000_s1115" style="position:absolute;left:730;top:2106;width:8060;height:5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" filled="f" strokecolor="#688fb0" strokeweight="1pt"/>
                <w10:anchorlock/>
              </v:group>
            </w:pict>
          </mc:Fallback>
        </mc:AlternateContent>
      </w:r>
    </w:p>
    <w:p w14:paraId="30AF30F5" w14:textId="77777777" w:rsidR="00A91201" w:rsidRPr="00613979" w:rsidRDefault="00A91201" w:rsidP="00A91201">
      <w:pPr>
        <w:pStyle w:val="Heading2"/>
      </w:pPr>
      <w:bookmarkStart w:id="83" w:name="_Toc399249151"/>
      <w:bookmarkStart w:id="84" w:name="_Toc399252955"/>
      <w:bookmarkStart w:id="85" w:name="_Toc400007287"/>
      <w:r w:rsidRPr="00613979">
        <w:t>Months of life lost</w:t>
      </w:r>
      <w:bookmarkEnd w:id="83"/>
      <w:bookmarkEnd w:id="84"/>
      <w:bookmarkEnd w:id="85"/>
    </w:p>
    <w:p w14:paraId="4BF5FDEC" w14:textId="3F18B87D" w:rsidR="00A91201" w:rsidRDefault="007465D8" w:rsidP="00A91201">
      <w:pPr>
        <w:rPr>
          <w:szCs w:val="24"/>
        </w:rPr>
      </w:pPr>
      <w:r>
        <w:rPr>
          <w:noProof/>
          <w:szCs w:val="24"/>
        </w:rPr>
        <mc:AlternateContent>
          <mc:Choice Requires="wps">
            <w:drawing>
              <wp:anchor distT="0" distB="0" distL="114300" distR="114300" simplePos="0" relativeHeight="251732992" behindDoc="1" locked="0" layoutInCell="1" allowOverlap="1" wp14:anchorId="4518EE53" wp14:editId="55587F4E">
                <wp:simplePos x="0" y="0"/>
                <wp:positionH relativeFrom="column">
                  <wp:posOffset>4762500</wp:posOffset>
                </wp:positionH>
                <wp:positionV relativeFrom="paragraph">
                  <wp:posOffset>7620</wp:posOffset>
                </wp:positionV>
                <wp:extent cx="1943100" cy="1752600"/>
                <wp:effectExtent l="0" t="2540" r="0" b="0"/>
                <wp:wrapSquare wrapText="bothSides"/>
                <wp:docPr id="34" name="Text Box 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752600"/>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0DF19" w14:textId="77777777" w:rsidR="0021734B" w:rsidRDefault="0021734B" w:rsidP="00181BB5">
                            <w:pPr>
                              <w:spacing w:before="0"/>
                              <w:rPr>
                                <w:i/>
                                <w:color w:val="5D9D91"/>
                                <w:sz w:val="36"/>
                              </w:rPr>
                            </w:pPr>
                            <w:r>
                              <w:rPr>
                                <w:i/>
                                <w:noProof/>
                                <w:color w:val="5D9D91"/>
                                <w:sz w:val="36"/>
                              </w:rPr>
                              <w:drawing>
                                <wp:inline distT="0" distB="0" distL="0" distR="0" wp14:anchorId="16BC10A0" wp14:editId="47D67941">
                                  <wp:extent cx="390525" cy="333375"/>
                                  <wp:effectExtent l="19050" t="0" r="9525" b="0"/>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0EBBCB95" w14:textId="77777777" w:rsidR="0021734B" w:rsidRPr="001C745D" w:rsidRDefault="0021734B" w:rsidP="00181BB5">
                            <w:pPr>
                              <w:spacing w:before="0"/>
                              <w:rPr>
                                <w:i/>
                                <w:color w:val="5D9D91"/>
                                <w:sz w:val="6"/>
                              </w:rPr>
                            </w:pPr>
                          </w:p>
                          <w:p w14:paraId="557DBA9D" w14:textId="77777777" w:rsidR="0021734B" w:rsidRPr="0091077E" w:rsidRDefault="0021734B" w:rsidP="00181BB5">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The months of life lost in Wales with 13.5 months for males and 6.5 months for females was higher than in England with 11.5 months for males and 5.4 months for females...</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536D0EAC" w14:textId="77777777" w:rsidR="0021734B" w:rsidRPr="002D6AA2" w:rsidRDefault="0021734B" w:rsidP="00181BB5">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18EE53" id="Text Box 273" o:spid="_x0000_s1116" type="#_x0000_t202" style="position:absolute;left:0;text-align:left;margin-left:375pt;margin-top:.6pt;width:153pt;height:138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" filled="f" fillcolor="#31849b [2408]" stroked="f">
                <v:textbox>
                  <w:txbxContent>
                    <w:p w14:paraId="7740DF19" w14:textId="77777777" w:rsidR="0021734B" w:rsidRDefault="0021734B" w:rsidP="00181BB5">
                      <w:pPr>
                        <w:spacing w:before="0"/>
                        <w:rPr>
                          <w:i/>
                          <w:color w:val="5D9D91"/>
                          <w:sz w:val="36"/>
                        </w:rPr>
                      </w:pPr>
                      <w:r>
                        <w:rPr>
                          <w:i/>
                          <w:noProof/>
                          <w:color w:val="5D9D91"/>
                          <w:sz w:val="36"/>
                        </w:rPr>
                        <w:drawing>
                          <wp:inline distT="0" distB="0" distL="0" distR="0" wp14:anchorId="16BC10A0" wp14:editId="47D67941">
                            <wp:extent cx="390525" cy="333375"/>
                            <wp:effectExtent l="19050" t="0" r="9525" b="0"/>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0EBBCB95" w14:textId="77777777" w:rsidR="0021734B" w:rsidRPr="001C745D" w:rsidRDefault="0021734B" w:rsidP="00181BB5">
                      <w:pPr>
                        <w:spacing w:before="0"/>
                        <w:rPr>
                          <w:i/>
                          <w:color w:val="5D9D91"/>
                          <w:sz w:val="6"/>
                        </w:rPr>
                      </w:pPr>
                    </w:p>
                    <w:p w14:paraId="557DBA9D" w14:textId="77777777" w:rsidR="0021734B" w:rsidRPr="0091077E" w:rsidRDefault="0021734B" w:rsidP="00181BB5">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The months of life lost in Wales with 13.5 months for males and 6.5 months for females was higher than in England with 11.5 months for males and 5.4 months for females...</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536D0EAC" w14:textId="77777777" w:rsidR="0021734B" w:rsidRPr="002D6AA2" w:rsidRDefault="0021734B" w:rsidP="00181BB5">
                      <w:pPr>
                        <w:spacing w:before="0"/>
                        <w:ind w:left="142" w:right="27"/>
                        <w:rPr>
                          <w:i/>
                          <w:color w:val="5D9D91"/>
                          <w:sz w:val="20"/>
                          <w:szCs w:val="20"/>
                        </w:rPr>
                      </w:pPr>
                    </w:p>
                  </w:txbxContent>
                </v:textbox>
                <w10:wrap type="square"/>
              </v:shape>
            </w:pict>
          </mc:Fallback>
        </mc:AlternateContent>
      </w:r>
      <w:r w:rsidR="00A91201">
        <w:rPr>
          <w:szCs w:val="24"/>
        </w:rPr>
        <w:t>The months of life lost due to alcohol is a</w:t>
      </w:r>
      <w:r w:rsidR="00A91201" w:rsidRPr="002B45B9">
        <w:rPr>
          <w:szCs w:val="24"/>
        </w:rPr>
        <w:t>n estimate of the increase in life expectancy at birth that would be expected if all alcohol-attributable deaths among persons aged under 75 years were prevented</w:t>
      </w:r>
      <w:r w:rsidR="00A91201">
        <w:rPr>
          <w:szCs w:val="24"/>
        </w:rPr>
        <w:t xml:space="preserve">. It was produced using the English method and unfortunately does not include confidence intervals. This measure is related to alcohol-attributable mortality including the use of the same fractions, but includes only the alcohol-attributable deaths in those aged under 75. As with the alcohol-attributable mortality this indicator needs to be interpreted with </w:t>
      </w:r>
      <w:r w:rsidR="009B3BEB">
        <w:rPr>
          <w:szCs w:val="24"/>
        </w:rPr>
        <w:t>care</w:t>
      </w:r>
      <w:r w:rsidR="00A91201">
        <w:rPr>
          <w:szCs w:val="24"/>
        </w:rPr>
        <w:t>. For further details please see the technical guide.</w:t>
      </w:r>
    </w:p>
    <w:p w14:paraId="371B152F" w14:textId="77777777" w:rsidR="00AF1853" w:rsidRDefault="008F56DB" w:rsidP="00A91201">
      <w:pPr>
        <w:rPr>
          <w:noProof/>
          <w:szCs w:val="24"/>
        </w:rPr>
      </w:pPr>
      <w:r w:rsidRPr="00A146D1">
        <w:rPr>
          <w:szCs w:val="24"/>
        </w:rPr>
        <w:t>The</w:t>
      </w:r>
      <w:r w:rsidR="00D25909" w:rsidRPr="00A146D1">
        <w:rPr>
          <w:szCs w:val="24"/>
        </w:rPr>
        <w:t xml:space="preserve"> number of</w:t>
      </w:r>
      <w:r w:rsidRPr="00A146D1">
        <w:rPr>
          <w:szCs w:val="24"/>
        </w:rPr>
        <w:t xml:space="preserve"> months of life lost due to alcohol in Wales was 13.5 months for males and 6.5 months for females in 2010-12</w:t>
      </w:r>
      <w:r w:rsidR="00AF1853" w:rsidRPr="00A146D1">
        <w:rPr>
          <w:szCs w:val="24"/>
        </w:rPr>
        <w:t xml:space="preserve"> (Figure</w:t>
      </w:r>
      <w:r w:rsidR="002B2C83">
        <w:rPr>
          <w:szCs w:val="24"/>
        </w:rPr>
        <w:t>s</w:t>
      </w:r>
      <w:r w:rsidR="00AF1853" w:rsidRPr="00A146D1">
        <w:rPr>
          <w:szCs w:val="24"/>
        </w:rPr>
        <w:t xml:space="preserve"> 28 and 29)</w:t>
      </w:r>
      <w:r w:rsidR="00670991">
        <w:rPr>
          <w:szCs w:val="24"/>
        </w:rPr>
        <w:t xml:space="preserve">. </w:t>
      </w:r>
      <w:r w:rsidR="00AF1853">
        <w:rPr>
          <w:noProof/>
          <w:szCs w:val="24"/>
        </w:rPr>
        <w:t xml:space="preserve">The months of life lost in Wales was higher than in England with 11.5 months for males and 5.4 months for females. </w:t>
      </w:r>
    </w:p>
    <w:p w14:paraId="25088CBC" w14:textId="77777777" w:rsidR="00A91201" w:rsidRDefault="00AF1853" w:rsidP="00A91201">
      <w:pPr>
        <w:rPr>
          <w:noProof/>
          <w:szCs w:val="24"/>
        </w:rPr>
      </w:pPr>
      <w:r>
        <w:rPr>
          <w:szCs w:val="24"/>
        </w:rPr>
        <w:t>T</w:t>
      </w:r>
      <w:r w:rsidR="00A91201">
        <w:rPr>
          <w:szCs w:val="24"/>
        </w:rPr>
        <w:t>he months of life lost due to alcohol in males was lowest in Powys tHB and Hywel Dda UHB with nearly 12 months and highest in Cwm Taf UHB wi</w:t>
      </w:r>
      <w:r w:rsidR="00A146D1">
        <w:rPr>
          <w:szCs w:val="24"/>
        </w:rPr>
        <w:t>th just over 18 months (Figure 28</w:t>
      </w:r>
      <w:r w:rsidR="00A91201">
        <w:rPr>
          <w:szCs w:val="24"/>
        </w:rPr>
        <w:t xml:space="preserve">). For females this ranged from around </w:t>
      </w:r>
      <w:r w:rsidR="00A91201">
        <w:rPr>
          <w:noProof/>
          <w:szCs w:val="24"/>
        </w:rPr>
        <w:t xml:space="preserve">6 months in Hywel Dda UHB and Cardiff and Vale UHB to just over 8 months in Cwm Taf UHB. </w:t>
      </w:r>
    </w:p>
    <w:p w14:paraId="540BC7E9" w14:textId="77777777" w:rsidR="00A91201" w:rsidRDefault="00A91201" w:rsidP="006C1F5F"/>
    <w:p w14:paraId="630117A6" w14:textId="77777777" w:rsidR="00A91201" w:rsidRDefault="00A91201">
      <w:pPr>
        <w:spacing w:before="0"/>
        <w:jc w:val="left"/>
      </w:pPr>
      <w:r>
        <w:br w:type="page"/>
      </w:r>
    </w:p>
    <w:p w14:paraId="3BF52B9F" w14:textId="77777777" w:rsidR="00A91201" w:rsidRDefault="00A91201" w:rsidP="006C1F5F"/>
    <w:p w14:paraId="47975751" w14:textId="6B7F9503" w:rsidR="00A91201" w:rsidRDefault="00133AE3" w:rsidP="006C1F5F">
      <w:r w:rsidRPr="00133AE3">
        <w:rPr>
          <w:noProof/>
        </w:rPr>
        <w:drawing>
          <wp:anchor distT="0" distB="0" distL="114300" distR="114300" simplePos="0" relativeHeight="251781120" behindDoc="0" locked="0" layoutInCell="1" allowOverlap="1" wp14:anchorId="687BCA41" wp14:editId="700B133A">
            <wp:simplePos x="0" y="0"/>
            <wp:positionH relativeFrom="column">
              <wp:posOffset>19050</wp:posOffset>
            </wp:positionH>
            <wp:positionV relativeFrom="paragraph">
              <wp:posOffset>495300</wp:posOffset>
            </wp:positionV>
            <wp:extent cx="5095875" cy="3257550"/>
            <wp:effectExtent l="19050" t="0" r="9525" b="0"/>
            <wp:wrapNone/>
            <wp:docPr id="128"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3" cstate="print"/>
                    <a:srcRect r="1473" b="3933"/>
                    <a:stretch>
                      <a:fillRect/>
                    </a:stretch>
                  </pic:blipFill>
                  <pic:spPr bwMode="auto">
                    <a:xfrm>
                      <a:off x="0" y="0"/>
                      <a:ext cx="5095875" cy="325755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73ED7C52" wp14:editId="7FAEAF14">
                <wp:extent cx="5318125" cy="3706495"/>
                <wp:effectExtent l="9525" t="9525" r="6350" b="8255"/>
                <wp:docPr id="255" name="Group 3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8125" cy="3706495"/>
                          <a:chOff x="730" y="1683"/>
                          <a:chExt cx="8375" cy="5837"/>
                        </a:xfrm>
                      </wpg:grpSpPr>
                      <wps:wsp>
                        <wps:cNvPr id="32" name="Text Box 147"/>
                        <wps:cNvSpPr txBox="1">
                          <a:spLocks noChangeArrowheads="1"/>
                        </wps:cNvSpPr>
                        <wps:spPr bwMode="auto">
                          <a:xfrm>
                            <a:off x="730" y="1683"/>
                            <a:ext cx="8375" cy="476"/>
                          </a:xfrm>
                          <a:prstGeom prst="rect">
                            <a:avLst/>
                          </a:prstGeom>
                          <a:solidFill>
                            <a:srgbClr val="629FC2"/>
                          </a:solidFill>
                          <a:ln w="12700">
                            <a:solidFill>
                              <a:srgbClr val="629FC2"/>
                            </a:solidFill>
                            <a:miter lim="800000"/>
                            <a:headEnd/>
                            <a:tailEnd/>
                          </a:ln>
                        </wps:spPr>
                        <wps:txbx>
                          <w:txbxContent>
                            <w:p w14:paraId="2ADA1430" w14:textId="77777777" w:rsidR="0021734B" w:rsidRPr="00B12495" w:rsidRDefault="0021734B" w:rsidP="00A91201">
                              <w:pPr>
                                <w:pStyle w:val="Figureheading"/>
                              </w:pPr>
                              <w:r>
                                <w:t>Figure 28</w:t>
                              </w:r>
                            </w:p>
                          </w:txbxContent>
                        </wps:txbx>
                        <wps:bodyPr rot="0" vert="horz" wrap="square" lIns="91440" tIns="45720" rIns="91440" bIns="45720" anchor="t" anchorCtr="0" upright="1">
                          <a:noAutofit/>
                        </wps:bodyPr>
                      </wps:wsp>
                      <wps:wsp>
                        <wps:cNvPr id="33" name="Rectangle 148"/>
                        <wps:cNvSpPr>
                          <a:spLocks noChangeArrowheads="1"/>
                        </wps:cNvSpPr>
                        <wps:spPr bwMode="auto">
                          <a:xfrm>
                            <a:off x="730" y="2161"/>
                            <a:ext cx="8375" cy="5359"/>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3ED7C52" id="Group 300" o:spid="_x0000_s1117" style="width:418.75pt;height:291.85pt;mso-position-horizontal-relative:char;mso-position-vertical-relative:line" coordorigin="730,1683" coordsize="8375,5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">
                <v:shape id="Text Box 147" o:spid="_x0000_s1118" type="#_x0000_t202" style="position:absolute;left:730;top:1683;width:837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" fillcolor="#629fc2" strokecolor="#629fc2" strokeweight="1pt">
                  <v:textbox>
                    <w:txbxContent>
                      <w:p w14:paraId="2ADA1430" w14:textId="77777777" w:rsidR="0021734B" w:rsidRPr="00B12495" w:rsidRDefault="0021734B" w:rsidP="00A91201">
                        <w:pPr>
                          <w:pStyle w:val="Figureheading"/>
                        </w:pPr>
                        <w:r>
                          <w:t>Figure 28</w:t>
                        </w:r>
                      </w:p>
                    </w:txbxContent>
                  </v:textbox>
                </v:shape>
                <v:rect id="Rectangle 148" o:spid="_x0000_s1119" style="position:absolute;left:730;top:2161;width:8375;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" filled="f" strokecolor="#688fb0" strokeweight="1pt"/>
                <w10:anchorlock/>
              </v:group>
            </w:pict>
          </mc:Fallback>
        </mc:AlternateContent>
      </w:r>
    </w:p>
    <w:p w14:paraId="13FD8F20" w14:textId="77777777" w:rsidR="00A91201" w:rsidRDefault="00A91201" w:rsidP="006C1F5F"/>
    <w:p w14:paraId="01688A28" w14:textId="7252E196" w:rsidR="00620D34" w:rsidRDefault="00133AE3" w:rsidP="00620D34">
      <w:pPr>
        <w:spacing w:before="0"/>
        <w:jc w:val="left"/>
      </w:pPr>
      <w:bookmarkStart w:id="86" w:name="_Toc399249152"/>
      <w:bookmarkStart w:id="87" w:name="_Toc399252956"/>
      <w:r w:rsidRPr="00133AE3">
        <w:rPr>
          <w:noProof/>
        </w:rPr>
        <w:drawing>
          <wp:anchor distT="0" distB="0" distL="114300" distR="114300" simplePos="0" relativeHeight="251783168" behindDoc="0" locked="0" layoutInCell="1" allowOverlap="1" wp14:anchorId="12744070" wp14:editId="10D8BD11">
            <wp:simplePos x="0" y="0"/>
            <wp:positionH relativeFrom="column">
              <wp:posOffset>38100</wp:posOffset>
            </wp:positionH>
            <wp:positionV relativeFrom="paragraph">
              <wp:posOffset>349250</wp:posOffset>
            </wp:positionV>
            <wp:extent cx="5114925" cy="3190875"/>
            <wp:effectExtent l="19050" t="0" r="9525" b="0"/>
            <wp:wrapNone/>
            <wp:docPr id="139"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4" cstate="print"/>
                    <a:srcRect r="739" b="5899"/>
                    <a:stretch>
                      <a:fillRect/>
                    </a:stretch>
                  </pic:blipFill>
                  <pic:spPr bwMode="auto">
                    <a:xfrm>
                      <a:off x="0" y="0"/>
                      <a:ext cx="5114925" cy="319087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65D9E760" wp14:editId="6F9CED92">
                <wp:extent cx="5318125" cy="3706495"/>
                <wp:effectExtent l="9525" t="7620" r="6350" b="10160"/>
                <wp:docPr id="252" name="Group 3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8125" cy="3706495"/>
                          <a:chOff x="730" y="1683"/>
                          <a:chExt cx="8375" cy="5837"/>
                        </a:xfrm>
                      </wpg:grpSpPr>
                      <wps:wsp>
                        <wps:cNvPr id="253" name="Text Box 305"/>
                        <wps:cNvSpPr txBox="1">
                          <a:spLocks noChangeArrowheads="1"/>
                        </wps:cNvSpPr>
                        <wps:spPr bwMode="auto">
                          <a:xfrm>
                            <a:off x="730" y="1683"/>
                            <a:ext cx="8375" cy="476"/>
                          </a:xfrm>
                          <a:prstGeom prst="rect">
                            <a:avLst/>
                          </a:prstGeom>
                          <a:solidFill>
                            <a:srgbClr val="629FC2"/>
                          </a:solidFill>
                          <a:ln w="12700">
                            <a:solidFill>
                              <a:srgbClr val="629FC2"/>
                            </a:solidFill>
                            <a:miter lim="800000"/>
                            <a:headEnd/>
                            <a:tailEnd/>
                          </a:ln>
                        </wps:spPr>
                        <wps:txbx>
                          <w:txbxContent>
                            <w:p w14:paraId="7916D578" w14:textId="77777777" w:rsidR="0021734B" w:rsidRPr="00B12495" w:rsidRDefault="0021734B" w:rsidP="00133AE3">
                              <w:pPr>
                                <w:pStyle w:val="Figureheading"/>
                              </w:pPr>
                              <w:r>
                                <w:t>Figure 29</w:t>
                              </w:r>
                            </w:p>
                          </w:txbxContent>
                        </wps:txbx>
                        <wps:bodyPr rot="0" vert="horz" wrap="square" lIns="91440" tIns="45720" rIns="91440" bIns="45720" anchor="t" anchorCtr="0" upright="1">
                          <a:noAutofit/>
                        </wps:bodyPr>
                      </wps:wsp>
                      <wps:wsp>
                        <wps:cNvPr id="254" name="Rectangle 306"/>
                        <wps:cNvSpPr>
                          <a:spLocks noChangeArrowheads="1"/>
                        </wps:cNvSpPr>
                        <wps:spPr bwMode="auto">
                          <a:xfrm>
                            <a:off x="730" y="2161"/>
                            <a:ext cx="8375" cy="5359"/>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5D9E760" id="Group 304" o:spid="_x0000_s1120" style="width:418.75pt;height:291.85pt;mso-position-horizontal-relative:char;mso-position-vertical-relative:line" coordorigin="730,1683" coordsize="8375,5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">
                <v:shape id="Text Box 305" o:spid="_x0000_s1121" type="#_x0000_t202" style="position:absolute;left:730;top:1683;width:837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" fillcolor="#629fc2" strokecolor="#629fc2" strokeweight="1pt">
                  <v:textbox>
                    <w:txbxContent>
                      <w:p w14:paraId="7916D578" w14:textId="77777777" w:rsidR="0021734B" w:rsidRPr="00B12495" w:rsidRDefault="0021734B" w:rsidP="00133AE3">
                        <w:pPr>
                          <w:pStyle w:val="Figureheading"/>
                        </w:pPr>
                        <w:r>
                          <w:t>Figure 29</w:t>
                        </w:r>
                      </w:p>
                    </w:txbxContent>
                  </v:textbox>
                </v:shape>
                <v:rect id="Rectangle 306" o:spid="_x0000_s1122" style="position:absolute;left:730;top:2161;width:8375;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" filled="f" strokecolor="#688fb0" strokeweight="1pt"/>
                <w10:anchorlock/>
              </v:group>
            </w:pict>
          </mc:Fallback>
        </mc:AlternateContent>
      </w:r>
      <w:r w:rsidR="00620D34">
        <w:br w:type="page"/>
      </w:r>
    </w:p>
    <w:p w14:paraId="2288D79B" w14:textId="77777777" w:rsidR="00A91201" w:rsidRPr="00C53FC9" w:rsidRDefault="00A91201" w:rsidP="00A91201">
      <w:pPr>
        <w:pStyle w:val="Heading2"/>
      </w:pPr>
      <w:bookmarkStart w:id="88" w:name="_Toc400007288"/>
      <w:r w:rsidRPr="00C53FC9">
        <w:lastRenderedPageBreak/>
        <w:t xml:space="preserve">Geographical variation </w:t>
      </w:r>
      <w:r>
        <w:t>in mortality</w:t>
      </w:r>
      <w:bookmarkEnd w:id="86"/>
      <w:bookmarkEnd w:id="87"/>
      <w:bookmarkEnd w:id="88"/>
    </w:p>
    <w:p w14:paraId="76C41C30" w14:textId="77777777" w:rsidR="00A91201" w:rsidRDefault="00A91201" w:rsidP="00A91201">
      <w:pPr>
        <w:rPr>
          <w:szCs w:val="24"/>
        </w:rPr>
      </w:pPr>
      <w:r>
        <w:rPr>
          <w:szCs w:val="24"/>
        </w:rPr>
        <w:t>Alcohol-specific mortality rates vary locally, amongst health boards and small areas. The rate for males in Powys tHB is statistically significantly lower than Wales with 11 per 100,000, and statistically significantly higher in Cardiff and Vale UHB and Cwm Taf UHB with around 22 per 100,000. The rate for females is statistically significantly higher than Wales in Cwm Taf UHB.</w:t>
      </w:r>
    </w:p>
    <w:p w14:paraId="5C7A62B2" w14:textId="5B825A0A" w:rsidR="00A91201" w:rsidRDefault="00C150B7" w:rsidP="006C1F5F">
      <w:r w:rsidRPr="00C150B7">
        <w:rPr>
          <w:noProof/>
        </w:rPr>
        <w:drawing>
          <wp:anchor distT="0" distB="0" distL="114300" distR="114300" simplePos="0" relativeHeight="251785216" behindDoc="0" locked="0" layoutInCell="1" allowOverlap="1" wp14:anchorId="339B7ADB" wp14:editId="6EC4EB6A">
            <wp:simplePos x="0" y="0"/>
            <wp:positionH relativeFrom="column">
              <wp:posOffset>95250</wp:posOffset>
            </wp:positionH>
            <wp:positionV relativeFrom="paragraph">
              <wp:posOffset>526415</wp:posOffset>
            </wp:positionV>
            <wp:extent cx="5048250" cy="3086100"/>
            <wp:effectExtent l="19050" t="0" r="0" b="0"/>
            <wp:wrapNone/>
            <wp:docPr id="157"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5" cstate="print"/>
                    <a:srcRect t="4985" r="2033"/>
                    <a:stretch>
                      <a:fillRect/>
                    </a:stretch>
                  </pic:blipFill>
                  <pic:spPr bwMode="auto">
                    <a:xfrm>
                      <a:off x="0" y="0"/>
                      <a:ext cx="5048250" cy="308610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138822C5" wp14:editId="384C205D">
                <wp:extent cx="5318125" cy="3706495"/>
                <wp:effectExtent l="9525" t="8890" r="6350" b="8890"/>
                <wp:docPr id="249"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8125" cy="3706495"/>
                          <a:chOff x="730" y="1683"/>
                          <a:chExt cx="8375" cy="5837"/>
                        </a:xfrm>
                      </wpg:grpSpPr>
                      <wps:wsp>
                        <wps:cNvPr id="250" name="Text Box 308"/>
                        <wps:cNvSpPr txBox="1">
                          <a:spLocks noChangeArrowheads="1"/>
                        </wps:cNvSpPr>
                        <wps:spPr bwMode="auto">
                          <a:xfrm>
                            <a:off x="730" y="1683"/>
                            <a:ext cx="8375" cy="476"/>
                          </a:xfrm>
                          <a:prstGeom prst="rect">
                            <a:avLst/>
                          </a:prstGeom>
                          <a:solidFill>
                            <a:srgbClr val="629FC2"/>
                          </a:solidFill>
                          <a:ln w="12700">
                            <a:solidFill>
                              <a:srgbClr val="629FC2"/>
                            </a:solidFill>
                            <a:miter lim="800000"/>
                            <a:headEnd/>
                            <a:tailEnd/>
                          </a:ln>
                        </wps:spPr>
                        <wps:txbx>
                          <w:txbxContent>
                            <w:p w14:paraId="643F397F" w14:textId="77777777" w:rsidR="0021734B" w:rsidRPr="00B12495" w:rsidRDefault="0021734B" w:rsidP="00C150B7">
                              <w:pPr>
                                <w:pStyle w:val="Figureheading"/>
                              </w:pPr>
                              <w:r>
                                <w:t>Figure 30</w:t>
                              </w:r>
                            </w:p>
                          </w:txbxContent>
                        </wps:txbx>
                        <wps:bodyPr rot="0" vert="horz" wrap="square" lIns="91440" tIns="45720" rIns="91440" bIns="45720" anchor="t" anchorCtr="0" upright="1">
                          <a:noAutofit/>
                        </wps:bodyPr>
                      </wps:wsp>
                      <wps:wsp>
                        <wps:cNvPr id="251" name="Rectangle 309"/>
                        <wps:cNvSpPr>
                          <a:spLocks noChangeArrowheads="1"/>
                        </wps:cNvSpPr>
                        <wps:spPr bwMode="auto">
                          <a:xfrm>
                            <a:off x="730" y="2161"/>
                            <a:ext cx="8375" cy="5359"/>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38822C5" id="Group 307" o:spid="_x0000_s1123" style="width:418.75pt;height:291.85pt;mso-position-horizontal-relative:char;mso-position-vertical-relative:line" coordorigin="730,1683" coordsize="8375,5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">
                <v:shape id="Text Box 308" o:spid="_x0000_s1124" type="#_x0000_t202" style="position:absolute;left:730;top:1683;width:837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" fillcolor="#629fc2" strokecolor="#629fc2" strokeweight="1pt">
                  <v:textbox>
                    <w:txbxContent>
                      <w:p w14:paraId="643F397F" w14:textId="77777777" w:rsidR="0021734B" w:rsidRPr="00B12495" w:rsidRDefault="0021734B" w:rsidP="00C150B7">
                        <w:pPr>
                          <w:pStyle w:val="Figureheading"/>
                        </w:pPr>
                        <w:r>
                          <w:t>Figure 30</w:t>
                        </w:r>
                      </w:p>
                    </w:txbxContent>
                  </v:textbox>
                </v:shape>
                <v:rect id="Rectangle 309" o:spid="_x0000_s1125" style="position:absolute;left:730;top:2161;width:8375;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" filled="f" strokecolor="#688fb0" strokeweight="1pt"/>
                <w10:anchorlock/>
              </v:group>
            </w:pict>
          </mc:Fallback>
        </mc:AlternateContent>
      </w:r>
    </w:p>
    <w:p w14:paraId="5E2935A2" w14:textId="77777777" w:rsidR="001E5D5D" w:rsidRDefault="001E5D5D" w:rsidP="00726CF3">
      <w:pPr>
        <w:spacing w:before="0"/>
      </w:pPr>
    </w:p>
    <w:p w14:paraId="6DFB6210" w14:textId="5F384564" w:rsidR="00C150B7" w:rsidRDefault="00C150B7" w:rsidP="00A91201">
      <w:pPr>
        <w:rPr>
          <w:szCs w:val="24"/>
        </w:rPr>
      </w:pPr>
      <w:r w:rsidRPr="00C150B7">
        <w:rPr>
          <w:noProof/>
          <w:szCs w:val="24"/>
        </w:rPr>
        <w:drawing>
          <wp:anchor distT="0" distB="0" distL="114300" distR="114300" simplePos="0" relativeHeight="251787264" behindDoc="0" locked="0" layoutInCell="1" allowOverlap="1" wp14:anchorId="718A6DAB" wp14:editId="669E2431">
            <wp:simplePos x="0" y="0"/>
            <wp:positionH relativeFrom="column">
              <wp:posOffset>57150</wp:posOffset>
            </wp:positionH>
            <wp:positionV relativeFrom="paragraph">
              <wp:posOffset>505460</wp:posOffset>
            </wp:positionV>
            <wp:extent cx="5153025" cy="3057525"/>
            <wp:effectExtent l="19050" t="0" r="9525" b="0"/>
            <wp:wrapNone/>
            <wp:docPr id="27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6" cstate="print"/>
                    <a:srcRect t="5865"/>
                    <a:stretch>
                      <a:fillRect/>
                    </a:stretch>
                  </pic:blipFill>
                  <pic:spPr bwMode="auto">
                    <a:xfrm>
                      <a:off x="0" y="0"/>
                      <a:ext cx="5153025" cy="3057525"/>
                    </a:xfrm>
                    <a:prstGeom prst="rect">
                      <a:avLst/>
                    </a:prstGeom>
                    <a:noFill/>
                    <a:ln w="9525">
                      <a:noFill/>
                      <a:miter lim="800000"/>
                      <a:headEnd/>
                      <a:tailEnd/>
                    </a:ln>
                  </pic:spPr>
                </pic:pic>
              </a:graphicData>
            </a:graphic>
          </wp:anchor>
        </w:drawing>
      </w:r>
      <w:r w:rsidR="007465D8">
        <w:rPr>
          <w:noProof/>
          <w:szCs w:val="24"/>
        </w:rPr>
        <mc:AlternateContent>
          <mc:Choice Requires="wpg">
            <w:drawing>
              <wp:inline distT="0" distB="0" distL="0" distR="0" wp14:anchorId="5BDF5B5E" wp14:editId="7B64A5C4">
                <wp:extent cx="5318125" cy="3706495"/>
                <wp:effectExtent l="9525" t="6985" r="6350" b="10795"/>
                <wp:docPr id="246" name="Group 3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8125" cy="3706495"/>
                          <a:chOff x="730" y="1683"/>
                          <a:chExt cx="8375" cy="5837"/>
                        </a:xfrm>
                      </wpg:grpSpPr>
                      <wps:wsp>
                        <wps:cNvPr id="247" name="Text Box 311"/>
                        <wps:cNvSpPr txBox="1">
                          <a:spLocks noChangeArrowheads="1"/>
                        </wps:cNvSpPr>
                        <wps:spPr bwMode="auto">
                          <a:xfrm>
                            <a:off x="730" y="1683"/>
                            <a:ext cx="8375" cy="476"/>
                          </a:xfrm>
                          <a:prstGeom prst="rect">
                            <a:avLst/>
                          </a:prstGeom>
                          <a:solidFill>
                            <a:srgbClr val="629FC2"/>
                          </a:solidFill>
                          <a:ln w="12700">
                            <a:solidFill>
                              <a:srgbClr val="629FC2"/>
                            </a:solidFill>
                            <a:miter lim="800000"/>
                            <a:headEnd/>
                            <a:tailEnd/>
                          </a:ln>
                        </wps:spPr>
                        <wps:txbx>
                          <w:txbxContent>
                            <w:p w14:paraId="1F46D40F" w14:textId="77777777" w:rsidR="0021734B" w:rsidRPr="00B12495" w:rsidRDefault="0021734B" w:rsidP="00C150B7">
                              <w:pPr>
                                <w:pStyle w:val="Figureheading"/>
                              </w:pPr>
                              <w:r>
                                <w:t>Figure 31</w:t>
                              </w:r>
                            </w:p>
                          </w:txbxContent>
                        </wps:txbx>
                        <wps:bodyPr rot="0" vert="horz" wrap="square" lIns="91440" tIns="45720" rIns="91440" bIns="45720" anchor="t" anchorCtr="0" upright="1">
                          <a:noAutofit/>
                        </wps:bodyPr>
                      </wps:wsp>
                      <wps:wsp>
                        <wps:cNvPr id="248" name="Rectangle 312"/>
                        <wps:cNvSpPr>
                          <a:spLocks noChangeArrowheads="1"/>
                        </wps:cNvSpPr>
                        <wps:spPr bwMode="auto">
                          <a:xfrm>
                            <a:off x="730" y="2161"/>
                            <a:ext cx="8375" cy="5359"/>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BDF5B5E" id="Group 310" o:spid="_x0000_s1126" style="width:418.75pt;height:291.85pt;mso-position-horizontal-relative:char;mso-position-vertical-relative:line" coordorigin="730,1683" coordsize="8375,58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">
                <v:shape id="Text Box 311" o:spid="_x0000_s1127" type="#_x0000_t202" style="position:absolute;left:730;top:1683;width:837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" fillcolor="#629fc2" strokecolor="#629fc2" strokeweight="1pt">
                  <v:textbox>
                    <w:txbxContent>
                      <w:p w14:paraId="1F46D40F" w14:textId="77777777" w:rsidR="0021734B" w:rsidRPr="00B12495" w:rsidRDefault="0021734B" w:rsidP="00C150B7">
                        <w:pPr>
                          <w:pStyle w:val="Figureheading"/>
                        </w:pPr>
                        <w:r>
                          <w:t>Figure 31</w:t>
                        </w:r>
                      </w:p>
                    </w:txbxContent>
                  </v:textbox>
                </v:shape>
                <v:rect id="Rectangle 312" o:spid="_x0000_s1128" style="position:absolute;left:730;top:2161;width:8375;height:5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" filled="f" strokecolor="#688fb0" strokeweight="1pt"/>
                <w10:anchorlock/>
              </v:group>
            </w:pict>
          </mc:Fallback>
        </mc:AlternateContent>
      </w:r>
    </w:p>
    <w:p w14:paraId="5FEDF453" w14:textId="77777777" w:rsidR="005F20F8" w:rsidRDefault="005F20F8" w:rsidP="00A91201">
      <w:pPr>
        <w:rPr>
          <w:szCs w:val="24"/>
        </w:rPr>
      </w:pPr>
    </w:p>
    <w:p w14:paraId="46C2FF60" w14:textId="77777777" w:rsidR="00A91201" w:rsidRPr="005F20F8" w:rsidRDefault="005F20F8" w:rsidP="006C1F5F">
      <w:pPr>
        <w:rPr>
          <w:szCs w:val="24"/>
        </w:rPr>
      </w:pPr>
      <w:r>
        <w:rPr>
          <w:szCs w:val="24"/>
        </w:rPr>
        <w:lastRenderedPageBreak/>
        <w:t>Rates for alcohol-specific mortality vary considerably at upper super output area level ranging from 5 to nearly 30 per 100,000, see map (Figure 32). A separate map for each health board is included in the health board summary document (see inside cover).</w:t>
      </w:r>
    </w:p>
    <w:p w14:paraId="41CBDCF1" w14:textId="4BF69B78" w:rsidR="00C150B7" w:rsidRDefault="009E7417" w:rsidP="006C1F5F">
      <w:r w:rsidRPr="009E7417">
        <w:rPr>
          <w:noProof/>
        </w:rPr>
        <w:drawing>
          <wp:anchor distT="0" distB="0" distL="114300" distR="114300" simplePos="0" relativeHeight="251789312" behindDoc="0" locked="0" layoutInCell="1" allowOverlap="1" wp14:anchorId="63AC42EE" wp14:editId="6290929B">
            <wp:simplePos x="0" y="0"/>
            <wp:positionH relativeFrom="column">
              <wp:posOffset>28575</wp:posOffset>
            </wp:positionH>
            <wp:positionV relativeFrom="paragraph">
              <wp:posOffset>495300</wp:posOffset>
            </wp:positionV>
            <wp:extent cx="4533900" cy="5553075"/>
            <wp:effectExtent l="19050" t="0" r="0" b="0"/>
            <wp:wrapNone/>
            <wp:docPr id="271" name="Picture 2" descr="20140605_Alcohol_Specific_Mort_LM_V1d_JA_MapsW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605_Alcohol_Specific_Mort_LM_V1d_JA_MapsWALES.jpg"/>
                    <pic:cNvPicPr/>
                  </pic:nvPicPr>
                  <pic:blipFill>
                    <a:blip r:embed="rId57" cstate="print"/>
                    <a:srcRect l="4545" t="3003" r="23333" b="34470"/>
                    <a:stretch>
                      <a:fillRect/>
                    </a:stretch>
                  </pic:blipFill>
                  <pic:spPr>
                    <a:xfrm>
                      <a:off x="0" y="0"/>
                      <a:ext cx="4533900" cy="5553075"/>
                    </a:xfrm>
                    <a:prstGeom prst="rect">
                      <a:avLst/>
                    </a:prstGeom>
                  </pic:spPr>
                </pic:pic>
              </a:graphicData>
            </a:graphic>
          </wp:anchor>
        </w:drawing>
      </w:r>
      <w:r w:rsidR="007465D8">
        <w:rPr>
          <w:noProof/>
        </w:rPr>
        <mc:AlternateContent>
          <mc:Choice Requires="wpg">
            <w:drawing>
              <wp:inline distT="0" distB="0" distL="0" distR="0" wp14:anchorId="5F551E98" wp14:editId="44C81C68">
                <wp:extent cx="4718050" cy="5959475"/>
                <wp:effectExtent l="9525" t="6350" r="6350" b="6350"/>
                <wp:docPr id="243"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18050" cy="5959475"/>
                          <a:chOff x="730" y="1649"/>
                          <a:chExt cx="7565" cy="9385"/>
                        </a:xfrm>
                      </wpg:grpSpPr>
                      <wps:wsp>
                        <wps:cNvPr id="244" name="Text Box 223"/>
                        <wps:cNvSpPr txBox="1">
                          <a:spLocks noChangeArrowheads="1"/>
                        </wps:cNvSpPr>
                        <wps:spPr bwMode="auto">
                          <a:xfrm>
                            <a:off x="730" y="1649"/>
                            <a:ext cx="7565" cy="476"/>
                          </a:xfrm>
                          <a:prstGeom prst="rect">
                            <a:avLst/>
                          </a:prstGeom>
                          <a:solidFill>
                            <a:srgbClr val="629FC2"/>
                          </a:solidFill>
                          <a:ln w="12700">
                            <a:solidFill>
                              <a:srgbClr val="629FC2"/>
                            </a:solidFill>
                            <a:miter lim="800000"/>
                            <a:headEnd/>
                            <a:tailEnd/>
                          </a:ln>
                        </wps:spPr>
                        <wps:txbx>
                          <w:txbxContent>
                            <w:p w14:paraId="2D34AD90" w14:textId="77777777" w:rsidR="0021734B" w:rsidRPr="00B12495" w:rsidRDefault="0021734B" w:rsidP="006273A2">
                              <w:pPr>
                                <w:pStyle w:val="Figureheading"/>
                              </w:pPr>
                              <w:r>
                                <w:t>Figure 32</w:t>
                              </w:r>
                            </w:p>
                          </w:txbxContent>
                        </wps:txbx>
                        <wps:bodyPr rot="0" vert="horz" wrap="square" lIns="91440" tIns="45720" rIns="91440" bIns="45720" anchor="t" anchorCtr="0" upright="1">
                          <a:noAutofit/>
                        </wps:bodyPr>
                      </wps:wsp>
                      <wps:wsp>
                        <wps:cNvPr id="245" name="Rectangle 224"/>
                        <wps:cNvSpPr>
                          <a:spLocks noChangeArrowheads="1"/>
                        </wps:cNvSpPr>
                        <wps:spPr bwMode="auto">
                          <a:xfrm>
                            <a:off x="730" y="2135"/>
                            <a:ext cx="7565" cy="8899"/>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F551E98" id="Group 316" o:spid="_x0000_s1129" style="width:371.5pt;height:469.25pt;mso-position-horizontal-relative:char;mso-position-vertical-relative:line" coordorigin="730,1649" coordsize="7565,9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">
                <v:shape id="Text Box 223" o:spid="_x0000_s1130" type="#_x0000_t202" style="position:absolute;left:730;top:1649;width:756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" fillcolor="#629fc2" strokecolor="#629fc2" strokeweight="1pt">
                  <v:textbox>
                    <w:txbxContent>
                      <w:p w14:paraId="2D34AD90" w14:textId="77777777" w:rsidR="0021734B" w:rsidRPr="00B12495" w:rsidRDefault="0021734B" w:rsidP="006273A2">
                        <w:pPr>
                          <w:pStyle w:val="Figureheading"/>
                        </w:pPr>
                        <w:r>
                          <w:t>Figure 32</w:t>
                        </w:r>
                      </w:p>
                    </w:txbxContent>
                  </v:textbox>
                </v:shape>
                <v:rect id="Rectangle 224" o:spid="_x0000_s1131" style="position:absolute;left:730;top:2135;width:7565;height:8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" filled="f" strokecolor="#688fb0" strokeweight="1pt"/>
                <w10:anchorlock/>
              </v:group>
            </w:pict>
          </mc:Fallback>
        </mc:AlternateContent>
      </w:r>
    </w:p>
    <w:p w14:paraId="44E7E5F0" w14:textId="77777777" w:rsidR="00F65D3B" w:rsidRPr="009B451B" w:rsidRDefault="00F65D3B" w:rsidP="00F65D3B">
      <w:pPr>
        <w:pStyle w:val="Heading2"/>
      </w:pPr>
      <w:bookmarkStart w:id="89" w:name="_Toc399249153"/>
      <w:bookmarkStart w:id="90" w:name="_Toc399252957"/>
      <w:bookmarkStart w:id="91" w:name="_Toc400007289"/>
      <w:r w:rsidRPr="009B451B">
        <w:t>Comparison to England and English regions</w:t>
      </w:r>
      <w:bookmarkEnd w:id="89"/>
      <w:bookmarkEnd w:id="90"/>
      <w:bookmarkEnd w:id="91"/>
    </w:p>
    <w:p w14:paraId="0F6D009B" w14:textId="77777777" w:rsidR="00F65D3B" w:rsidRDefault="00F65D3B" w:rsidP="00F65D3B">
      <w:pPr>
        <w:rPr>
          <w:szCs w:val="24"/>
        </w:rPr>
      </w:pPr>
      <w:r>
        <w:rPr>
          <w:szCs w:val="24"/>
        </w:rPr>
        <w:t>Mortality rates for both definitions are higher in Wales than in England (Figure</w:t>
      </w:r>
      <w:r w:rsidR="002B2C83">
        <w:rPr>
          <w:szCs w:val="24"/>
        </w:rPr>
        <w:t>s</w:t>
      </w:r>
      <w:r>
        <w:rPr>
          <w:szCs w:val="24"/>
        </w:rPr>
        <w:t xml:space="preserve"> </w:t>
      </w:r>
      <w:r w:rsidR="00D954C2">
        <w:rPr>
          <w:szCs w:val="24"/>
        </w:rPr>
        <w:t>33 and 34</w:t>
      </w:r>
      <w:r>
        <w:rPr>
          <w:szCs w:val="24"/>
        </w:rPr>
        <w:t xml:space="preserve">) but mortality rates amongst the English regions vary considerably. Alcohol-specific mortality rates range from 10.3 per 100,000 in the East of England to 20.2 in the North West for males (from 4.4 in London to 10.6 in the East of England for females). The range amongst English regions is similar for Wales health board areas, where rates vary from 11 to 22 for males and 7 to 13 for females </w:t>
      </w:r>
      <w:r w:rsidR="0000586B">
        <w:rPr>
          <w:szCs w:val="24"/>
        </w:rPr>
        <w:t>(Figure</w:t>
      </w:r>
      <w:r w:rsidR="002B2C83">
        <w:rPr>
          <w:szCs w:val="24"/>
        </w:rPr>
        <w:t>s</w:t>
      </w:r>
      <w:r w:rsidR="0000586B">
        <w:rPr>
          <w:szCs w:val="24"/>
        </w:rPr>
        <w:t xml:space="preserve"> 30 and 31</w:t>
      </w:r>
      <w:r w:rsidRPr="004267AC">
        <w:rPr>
          <w:szCs w:val="24"/>
        </w:rPr>
        <w:t>).</w:t>
      </w:r>
      <w:r>
        <w:rPr>
          <w:szCs w:val="24"/>
        </w:rPr>
        <w:t xml:space="preserve"> The Wales rate at 17.3 is most similar to the rate for the West Midlands at 17.7.</w:t>
      </w:r>
    </w:p>
    <w:p w14:paraId="63BCFAAC" w14:textId="77777777" w:rsidR="00F65D3B" w:rsidRDefault="00F65D3B" w:rsidP="00F65D3B">
      <w:pPr>
        <w:rPr>
          <w:szCs w:val="24"/>
        </w:rPr>
      </w:pPr>
      <w:r>
        <w:rPr>
          <w:szCs w:val="24"/>
        </w:rPr>
        <w:t>The patterns are similar for alcohol-attributable mortality and the Wales rate appears most similar to the North East of England. There are minor method differences between the England and Wales rates but these are unlikely to affect the interpretation of the differences much. Please see the technical guide for more details.</w:t>
      </w:r>
    </w:p>
    <w:p w14:paraId="63E97372" w14:textId="1B75393E" w:rsidR="00F65D3B" w:rsidRDefault="00630639" w:rsidP="006C1F5F">
      <w:r w:rsidRPr="00630639">
        <w:rPr>
          <w:noProof/>
        </w:rPr>
        <w:lastRenderedPageBreak/>
        <w:drawing>
          <wp:anchor distT="0" distB="0" distL="114300" distR="114300" simplePos="0" relativeHeight="251714560" behindDoc="0" locked="0" layoutInCell="1" allowOverlap="1" wp14:anchorId="58EBC20D" wp14:editId="6780638F">
            <wp:simplePos x="0" y="0"/>
            <wp:positionH relativeFrom="column">
              <wp:posOffset>19050</wp:posOffset>
            </wp:positionH>
            <wp:positionV relativeFrom="paragraph">
              <wp:posOffset>636270</wp:posOffset>
            </wp:positionV>
            <wp:extent cx="4333875" cy="5048250"/>
            <wp:effectExtent l="19050" t="0" r="9525" b="0"/>
            <wp:wrapNone/>
            <wp:docPr id="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cstate="print"/>
                    <a:srcRect/>
                    <a:stretch>
                      <a:fillRect/>
                    </a:stretch>
                  </pic:blipFill>
                  <pic:spPr bwMode="auto">
                    <a:xfrm>
                      <a:off x="0" y="0"/>
                      <a:ext cx="4333875" cy="504825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437841EF" wp14:editId="75460D32">
                <wp:extent cx="4375150" cy="5509895"/>
                <wp:effectExtent l="9525" t="11430" r="6350" b="12700"/>
                <wp:docPr id="240" name="Group 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0" cy="5509895"/>
                          <a:chOff x="1855" y="1977"/>
                          <a:chExt cx="8270" cy="8677"/>
                        </a:xfrm>
                      </wpg:grpSpPr>
                      <wps:wsp>
                        <wps:cNvPr id="241" name="Text Box 226"/>
                        <wps:cNvSpPr txBox="1">
                          <a:spLocks noChangeArrowheads="1"/>
                        </wps:cNvSpPr>
                        <wps:spPr bwMode="auto">
                          <a:xfrm>
                            <a:off x="1855" y="1977"/>
                            <a:ext cx="8270" cy="476"/>
                          </a:xfrm>
                          <a:prstGeom prst="rect">
                            <a:avLst/>
                          </a:prstGeom>
                          <a:solidFill>
                            <a:srgbClr val="629FC2"/>
                          </a:solidFill>
                          <a:ln w="12700">
                            <a:solidFill>
                              <a:srgbClr val="629FC2"/>
                            </a:solidFill>
                            <a:miter lim="800000"/>
                            <a:headEnd/>
                            <a:tailEnd/>
                          </a:ln>
                        </wps:spPr>
                        <wps:txbx>
                          <w:txbxContent>
                            <w:p w14:paraId="070BFFB5" w14:textId="77777777" w:rsidR="0021734B" w:rsidRDefault="0021734B" w:rsidP="00630639">
                              <w:pPr>
                                <w:pStyle w:val="Figureheading"/>
                              </w:pPr>
                              <w:r>
                                <w:t>Figure 33</w:t>
                              </w:r>
                            </w:p>
                            <w:p w14:paraId="725D76AD" w14:textId="77777777" w:rsidR="0021734B" w:rsidRPr="00B12495" w:rsidRDefault="0021734B" w:rsidP="00630639">
                              <w:pPr>
                                <w:pStyle w:val="Figureheading"/>
                              </w:pPr>
                              <w:r>
                                <w:t>3</w:t>
                              </w:r>
                            </w:p>
                          </w:txbxContent>
                        </wps:txbx>
                        <wps:bodyPr rot="0" vert="horz" wrap="square" lIns="91440" tIns="45720" rIns="91440" bIns="45720" anchor="t" anchorCtr="0" upright="1">
                          <a:noAutofit/>
                        </wps:bodyPr>
                      </wps:wsp>
                      <wps:wsp>
                        <wps:cNvPr id="242" name="Rectangle 227"/>
                        <wps:cNvSpPr>
                          <a:spLocks noChangeArrowheads="1"/>
                        </wps:cNvSpPr>
                        <wps:spPr bwMode="auto">
                          <a:xfrm>
                            <a:off x="1855" y="2453"/>
                            <a:ext cx="8270" cy="820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37841EF" id="Group 225" o:spid="_x0000_s1132" style="width:344.5pt;height:433.85pt;mso-position-horizontal-relative:char;mso-position-vertical-relative:line" coordorigin="1855,1977" coordsize="8270,8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">
                <v:shape id="Text Box 226" o:spid="_x0000_s1133" type="#_x0000_t202" style="position:absolute;left:1855;top:1977;width:827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" fillcolor="#629fc2" strokecolor="#629fc2" strokeweight="1pt">
                  <v:textbox>
                    <w:txbxContent>
                      <w:p w14:paraId="070BFFB5" w14:textId="77777777" w:rsidR="0021734B" w:rsidRDefault="0021734B" w:rsidP="00630639">
                        <w:pPr>
                          <w:pStyle w:val="Figureheading"/>
                        </w:pPr>
                        <w:r>
                          <w:t>Figure 33</w:t>
                        </w:r>
                      </w:p>
                      <w:p w14:paraId="725D76AD" w14:textId="77777777" w:rsidR="0021734B" w:rsidRPr="00B12495" w:rsidRDefault="0021734B" w:rsidP="00630639">
                        <w:pPr>
                          <w:pStyle w:val="Figureheading"/>
                        </w:pPr>
                        <w:r>
                          <w:t>3</w:t>
                        </w:r>
                      </w:p>
                    </w:txbxContent>
                  </v:textbox>
                </v:shape>
                <v:rect id="Rectangle 227" o:spid="_x0000_s1134" style="position:absolute;left:1855;top:2453;width:8270;height:8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" filled="f" strokecolor="#688fb0" strokeweight="1pt"/>
                <w10:anchorlock/>
              </v:group>
            </w:pict>
          </mc:Fallback>
        </mc:AlternateContent>
      </w:r>
    </w:p>
    <w:p w14:paraId="0DFEC9E3" w14:textId="77777777" w:rsidR="00F65D3B" w:rsidRDefault="00F65D3B" w:rsidP="006C1F5F"/>
    <w:p w14:paraId="0293CB68" w14:textId="77777777" w:rsidR="00F65D3B" w:rsidRDefault="00F65D3B" w:rsidP="006C1F5F"/>
    <w:p w14:paraId="7AEF0242" w14:textId="77777777" w:rsidR="00F65D3B" w:rsidRDefault="00F65D3B" w:rsidP="006C1F5F"/>
    <w:p w14:paraId="3E36A7FF" w14:textId="7C7652CC" w:rsidR="00F65D3B" w:rsidRDefault="00D5725E" w:rsidP="006C1F5F">
      <w:r w:rsidRPr="00D5725E">
        <w:rPr>
          <w:noProof/>
        </w:rPr>
        <w:lastRenderedPageBreak/>
        <w:drawing>
          <wp:anchor distT="0" distB="0" distL="114300" distR="114300" simplePos="0" relativeHeight="251746304" behindDoc="0" locked="0" layoutInCell="1" allowOverlap="1" wp14:anchorId="77DC5AE1" wp14:editId="5B976E23">
            <wp:simplePos x="0" y="0"/>
            <wp:positionH relativeFrom="column">
              <wp:posOffset>19050</wp:posOffset>
            </wp:positionH>
            <wp:positionV relativeFrom="paragraph">
              <wp:posOffset>633095</wp:posOffset>
            </wp:positionV>
            <wp:extent cx="4333875" cy="5048250"/>
            <wp:effectExtent l="19050" t="0" r="9525" b="0"/>
            <wp:wrapNone/>
            <wp:docPr id="23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9" cstate="print"/>
                    <a:srcRect/>
                    <a:stretch>
                      <a:fillRect/>
                    </a:stretch>
                  </pic:blipFill>
                  <pic:spPr bwMode="auto">
                    <a:xfrm>
                      <a:off x="0" y="0"/>
                      <a:ext cx="4333875" cy="504825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5B690D0E" wp14:editId="37C4301B">
                <wp:extent cx="4451350" cy="5455920"/>
                <wp:effectExtent l="9525" t="11430" r="6350" b="9525"/>
                <wp:docPr id="236" name="Group 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1350" cy="5455920"/>
                          <a:chOff x="1810" y="11595"/>
                          <a:chExt cx="7145" cy="8677"/>
                        </a:xfrm>
                      </wpg:grpSpPr>
                      <wps:wsp>
                        <wps:cNvPr id="238" name="Text Box 229"/>
                        <wps:cNvSpPr txBox="1">
                          <a:spLocks noChangeArrowheads="1"/>
                        </wps:cNvSpPr>
                        <wps:spPr bwMode="auto">
                          <a:xfrm>
                            <a:off x="1810" y="11595"/>
                            <a:ext cx="7145" cy="476"/>
                          </a:xfrm>
                          <a:prstGeom prst="rect">
                            <a:avLst/>
                          </a:prstGeom>
                          <a:solidFill>
                            <a:srgbClr val="629FC2"/>
                          </a:solidFill>
                          <a:ln w="12700">
                            <a:solidFill>
                              <a:srgbClr val="629FC2"/>
                            </a:solidFill>
                            <a:miter lim="800000"/>
                            <a:headEnd/>
                            <a:tailEnd/>
                          </a:ln>
                        </wps:spPr>
                        <wps:txbx>
                          <w:txbxContent>
                            <w:p w14:paraId="142B6B8C" w14:textId="77777777" w:rsidR="0021734B" w:rsidRPr="00B12495" w:rsidRDefault="0021734B" w:rsidP="00630639">
                              <w:pPr>
                                <w:pStyle w:val="Figureheading"/>
                              </w:pPr>
                              <w:r>
                                <w:t>Figure 34</w:t>
                              </w:r>
                            </w:p>
                          </w:txbxContent>
                        </wps:txbx>
                        <wps:bodyPr rot="0" vert="horz" wrap="square" lIns="91440" tIns="45720" rIns="91440" bIns="45720" anchor="t" anchorCtr="0" upright="1">
                          <a:noAutofit/>
                        </wps:bodyPr>
                      </wps:wsp>
                      <wps:wsp>
                        <wps:cNvPr id="239" name="Rectangle 230"/>
                        <wps:cNvSpPr>
                          <a:spLocks noChangeArrowheads="1"/>
                        </wps:cNvSpPr>
                        <wps:spPr bwMode="auto">
                          <a:xfrm>
                            <a:off x="1810" y="12071"/>
                            <a:ext cx="7145" cy="8201"/>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B690D0E" id="Group 277" o:spid="_x0000_s1135" style="width:350.5pt;height:429.6pt;mso-position-horizontal-relative:char;mso-position-vertical-relative:line" coordorigin="1810,11595" coordsize="7145,8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">
                <v:shape id="Text Box 229" o:spid="_x0000_s1136" type="#_x0000_t202" style="position:absolute;left:1810;top:11595;width:714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" fillcolor="#629fc2" strokecolor="#629fc2" strokeweight="1pt">
                  <v:textbox>
                    <w:txbxContent>
                      <w:p w14:paraId="142B6B8C" w14:textId="77777777" w:rsidR="0021734B" w:rsidRPr="00B12495" w:rsidRDefault="0021734B" w:rsidP="00630639">
                        <w:pPr>
                          <w:pStyle w:val="Figureheading"/>
                        </w:pPr>
                        <w:r>
                          <w:t>Figure 34</w:t>
                        </w:r>
                      </w:p>
                    </w:txbxContent>
                  </v:textbox>
                </v:shape>
                <v:rect id="Rectangle 230" o:spid="_x0000_s1137" style="position:absolute;left:1810;top:12071;width:7145;height:82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" filled="f" strokecolor="#688fb0" strokeweight="1pt"/>
                <w10:anchorlock/>
              </v:group>
            </w:pict>
          </mc:Fallback>
        </mc:AlternateContent>
      </w:r>
    </w:p>
    <w:p w14:paraId="51D7C285" w14:textId="77777777" w:rsidR="00F65D3B" w:rsidRDefault="00F65D3B">
      <w:pPr>
        <w:spacing w:before="0"/>
        <w:jc w:val="left"/>
      </w:pPr>
      <w:r>
        <w:br w:type="page"/>
      </w:r>
    </w:p>
    <w:p w14:paraId="5D4E3CD6" w14:textId="77777777" w:rsidR="00F65D3B" w:rsidRDefault="00F65D3B" w:rsidP="00C91BAF">
      <w:pPr>
        <w:pStyle w:val="Heading1"/>
        <w:tabs>
          <w:tab w:val="clear" w:pos="1008"/>
          <w:tab w:val="num" w:pos="0"/>
        </w:tabs>
        <w:ind w:left="0" w:firstLine="0"/>
      </w:pPr>
      <w:bookmarkStart w:id="92" w:name="_Toc400007290"/>
      <w:bookmarkStart w:id="93" w:name="_Toc399249154"/>
      <w:bookmarkStart w:id="94" w:name="_Toc399252958"/>
      <w:r>
        <w:lastRenderedPageBreak/>
        <w:t>Socio-economic patterns</w:t>
      </w:r>
      <w:bookmarkEnd w:id="92"/>
      <w:r>
        <w:t xml:space="preserve"> </w:t>
      </w:r>
      <w:bookmarkEnd w:id="93"/>
      <w:bookmarkEnd w:id="94"/>
    </w:p>
    <w:p w14:paraId="1D80B363" w14:textId="77777777" w:rsidR="00F65D3B" w:rsidRDefault="00F65D3B" w:rsidP="00F65D3B">
      <w:pPr>
        <w:rPr>
          <w:noProof/>
          <w:szCs w:val="24"/>
        </w:rPr>
      </w:pPr>
      <w:r w:rsidRPr="00755ACC">
        <w:rPr>
          <w:noProof/>
          <w:szCs w:val="24"/>
        </w:rPr>
        <w:t>Alcohol is a source of socio-economic inequalit</w:t>
      </w:r>
      <w:r w:rsidR="002B2C83">
        <w:rPr>
          <w:noProof/>
          <w:szCs w:val="24"/>
        </w:rPr>
        <w:t>i</w:t>
      </w:r>
      <w:r w:rsidRPr="00755ACC">
        <w:rPr>
          <w:noProof/>
          <w:szCs w:val="24"/>
        </w:rPr>
        <w:t>es in health as shown in our previous publication on inequalities</w:t>
      </w:r>
      <w:r w:rsidR="00E20E53" w:rsidRPr="00E20E53">
        <w:rPr>
          <w:noProof/>
          <w:szCs w:val="24"/>
          <w:vertAlign w:val="superscript"/>
        </w:rPr>
        <w:t>10</w:t>
      </w:r>
      <w:r w:rsidRPr="00755ACC">
        <w:rPr>
          <w:noProof/>
          <w:szCs w:val="24"/>
        </w:rPr>
        <w:t xml:space="preserve">. This section looks at some key alcohol indicators and their relationship to area deprivation </w:t>
      </w:r>
      <w:r w:rsidRPr="00755ACC">
        <w:t>i</w:t>
      </w:r>
      <w:r w:rsidRPr="00755ACC">
        <w:rPr>
          <w:rFonts w:eastAsia="+mn-ea"/>
        </w:rPr>
        <w:t>n the absence of suitable individual level socio-economic data</w:t>
      </w:r>
      <w:r w:rsidRPr="00755ACC">
        <w:rPr>
          <w:noProof/>
          <w:szCs w:val="24"/>
        </w:rPr>
        <w:t xml:space="preserve">. We use the Welsh Index of Multiple Deprivation 2011 (WIMD) to identify ‘fifths’ of deprivation. The most deprived fifth contains the most deprived 20% of areas and the least deprived fifth the least deprived 20% of areas. As with all area-based deprivation measures, not everyone living in a deprived area is necessarily living in deprived circumstances and </w:t>
      </w:r>
      <w:r w:rsidRPr="00755ACC">
        <w:t>equally, some people living in an area classed as least deprived may experience deprivation</w:t>
      </w:r>
      <w:r w:rsidRPr="00755ACC">
        <w:rPr>
          <w:noProof/>
          <w:szCs w:val="24"/>
        </w:rPr>
        <w:t>.</w:t>
      </w:r>
    </w:p>
    <w:p w14:paraId="6D6EA80A" w14:textId="77777777" w:rsidR="00F65D3B" w:rsidRPr="0000586B" w:rsidRDefault="00F65D3B" w:rsidP="00F65D3B">
      <w:pPr>
        <w:rPr>
          <w:noProof/>
          <w:szCs w:val="24"/>
        </w:rPr>
      </w:pPr>
      <w:r>
        <w:rPr>
          <w:noProof/>
          <w:szCs w:val="24"/>
        </w:rPr>
        <w:t xml:space="preserve">Generally, we found little difference in alcohol consumption between the deprivation fifths for heavy (more than 8 units for males, 6 units </w:t>
      </w:r>
      <w:r w:rsidRPr="0000586B">
        <w:rPr>
          <w:noProof/>
          <w:szCs w:val="24"/>
        </w:rPr>
        <w:t>for females) and very heavy drinking (more than 12 units for males</w:t>
      </w:r>
      <w:r w:rsidR="00E20E53" w:rsidRPr="0000586B">
        <w:rPr>
          <w:noProof/>
          <w:szCs w:val="24"/>
        </w:rPr>
        <w:t>, 9 units for females) (Figure</w:t>
      </w:r>
      <w:r w:rsidR="002B2C83">
        <w:rPr>
          <w:noProof/>
          <w:szCs w:val="24"/>
        </w:rPr>
        <w:t>s</w:t>
      </w:r>
      <w:r w:rsidR="00E20E53" w:rsidRPr="0000586B">
        <w:rPr>
          <w:noProof/>
          <w:szCs w:val="24"/>
        </w:rPr>
        <w:t xml:space="preserve"> 35 and 36</w:t>
      </w:r>
      <w:r w:rsidRPr="0000586B">
        <w:rPr>
          <w:noProof/>
          <w:szCs w:val="24"/>
        </w:rPr>
        <w:t>). The exception is  heavy drinking in females which is slightly higher in the least deprived areas (25%) compared to all other deprivation fifths (20%-21%), although this is unlikely to be statistically significant. For heavy drinking and very heavy drinking we therefore found no apparent relationship to deprivation.</w:t>
      </w:r>
    </w:p>
    <w:p w14:paraId="493187FC" w14:textId="77777777" w:rsidR="00F65D3B" w:rsidRPr="0000586B" w:rsidRDefault="00F65D3B" w:rsidP="00F65D3B">
      <w:pPr>
        <w:rPr>
          <w:noProof/>
          <w:szCs w:val="24"/>
        </w:rPr>
      </w:pPr>
      <w:r w:rsidRPr="0000586B">
        <w:rPr>
          <w:noProof/>
          <w:szCs w:val="24"/>
        </w:rPr>
        <w:t>There is an inverse relationship for drinking above guidelines (more than 4 units for males, 3 units for females) where the proportion is higher in the least deprived areas (52% in males) than in the most deprived areas (45% in males). This is slightly stronger in females with 44% in the least deprived areas compared to 32% in the most deprived.</w:t>
      </w:r>
    </w:p>
    <w:p w14:paraId="0C3AAE3C" w14:textId="77777777" w:rsidR="00F65D3B" w:rsidRDefault="00F65D3B" w:rsidP="00F65D3B">
      <w:pPr>
        <w:rPr>
          <w:noProof/>
          <w:szCs w:val="24"/>
        </w:rPr>
      </w:pPr>
      <w:r w:rsidRPr="0000586B">
        <w:rPr>
          <w:szCs w:val="24"/>
        </w:rPr>
        <w:t>A recent academic study using WHS data (2003/04-2007) found that deprivation acted differently on the risk of binge drinking between males and females at different age groups</w:t>
      </w:r>
      <w:r w:rsidR="00E20E53" w:rsidRPr="0000586B">
        <w:rPr>
          <w:szCs w:val="24"/>
          <w:vertAlign w:val="superscript"/>
        </w:rPr>
        <w:t>11</w:t>
      </w:r>
      <w:r w:rsidRPr="0000586B">
        <w:rPr>
          <w:szCs w:val="24"/>
        </w:rPr>
        <w:t>. The proportion of respondents drinking above guidelines showed the same inverse relationship as i</w:t>
      </w:r>
      <w:r w:rsidR="00E20E53" w:rsidRPr="0000586B">
        <w:rPr>
          <w:szCs w:val="24"/>
        </w:rPr>
        <w:t>n our analysis shown in Figures 35 and 36</w:t>
      </w:r>
      <w:r w:rsidRPr="0000586B">
        <w:rPr>
          <w:szCs w:val="24"/>
        </w:rPr>
        <w:t>. In contrast to our results, the study found that binge drinking increased with increasing deprivation</w:t>
      </w:r>
      <w:r w:rsidR="00E20E53" w:rsidRPr="0000586B">
        <w:rPr>
          <w:szCs w:val="24"/>
          <w:vertAlign w:val="superscript"/>
        </w:rPr>
        <w:t>11</w:t>
      </w:r>
      <w:r w:rsidRPr="00755ACC">
        <w:rPr>
          <w:szCs w:val="24"/>
        </w:rPr>
        <w:t>. Our broad analysis looks at all WHS respondents aged 16 and over combined for 2011-2012 and so may mask different relationships for some age groups, but also covers newer WHS data after the question change and adjustment for strength of drinks from 2008 onwards. The deprivation measure may also have changed between the WIMD 2005 and the WIMD 2011. These patterns should therefore be interpreted with caution and further analysis would be needed to investigate the differing results.</w:t>
      </w:r>
    </w:p>
    <w:p w14:paraId="423AE58D" w14:textId="77777777" w:rsidR="00F65D3B" w:rsidRDefault="00F65D3B" w:rsidP="006C1F5F"/>
    <w:p w14:paraId="68851D13" w14:textId="77777777" w:rsidR="00F65D3B" w:rsidRDefault="00F65D3B">
      <w:pPr>
        <w:spacing w:before="0"/>
        <w:jc w:val="left"/>
      </w:pPr>
      <w:r>
        <w:br w:type="page"/>
      </w:r>
    </w:p>
    <w:p w14:paraId="55B94D59" w14:textId="3CBE80B7" w:rsidR="00F65D3B" w:rsidRDefault="00F65D3B" w:rsidP="006C1F5F">
      <w:r w:rsidRPr="00F65D3B">
        <w:rPr>
          <w:noProof/>
        </w:rPr>
        <w:lastRenderedPageBreak/>
        <w:drawing>
          <wp:anchor distT="0" distB="0" distL="114300" distR="114300" simplePos="0" relativeHeight="251697152" behindDoc="0" locked="0" layoutInCell="1" allowOverlap="1" wp14:anchorId="2F818A8E" wp14:editId="17AD3052">
            <wp:simplePos x="0" y="0"/>
            <wp:positionH relativeFrom="column">
              <wp:posOffset>28575</wp:posOffset>
            </wp:positionH>
            <wp:positionV relativeFrom="paragraph">
              <wp:posOffset>645795</wp:posOffset>
            </wp:positionV>
            <wp:extent cx="5772150" cy="3609975"/>
            <wp:effectExtent l="19050" t="0" r="0" b="0"/>
            <wp:wrapNone/>
            <wp:docPr id="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srcRect/>
                    <a:stretch>
                      <a:fillRect/>
                    </a:stretch>
                  </pic:blipFill>
                  <pic:spPr bwMode="auto">
                    <a:xfrm>
                      <a:off x="0" y="0"/>
                      <a:ext cx="5772150" cy="360997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6A237F3F" wp14:editId="5FA0F406">
                <wp:extent cx="5889625" cy="4106545"/>
                <wp:effectExtent l="9525" t="11430" r="6350" b="6350"/>
                <wp:docPr id="227"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9625" cy="4106545"/>
                          <a:chOff x="753" y="1800"/>
                          <a:chExt cx="9121" cy="9090"/>
                        </a:xfrm>
                      </wpg:grpSpPr>
                      <wps:wsp>
                        <wps:cNvPr id="228" name="Text Box 168"/>
                        <wps:cNvSpPr txBox="1">
                          <a:spLocks noChangeArrowheads="1"/>
                        </wps:cNvSpPr>
                        <wps:spPr bwMode="auto">
                          <a:xfrm>
                            <a:off x="753" y="1800"/>
                            <a:ext cx="9121" cy="680"/>
                          </a:xfrm>
                          <a:prstGeom prst="rect">
                            <a:avLst/>
                          </a:prstGeom>
                          <a:solidFill>
                            <a:srgbClr val="629FC2"/>
                          </a:solidFill>
                          <a:ln w="12700">
                            <a:solidFill>
                              <a:srgbClr val="629FC2"/>
                            </a:solidFill>
                            <a:miter lim="800000"/>
                            <a:headEnd/>
                            <a:tailEnd/>
                          </a:ln>
                        </wps:spPr>
                        <wps:txbx>
                          <w:txbxContent>
                            <w:p w14:paraId="2DD89E15" w14:textId="77777777" w:rsidR="0021734B" w:rsidRPr="00B12495" w:rsidRDefault="0021734B" w:rsidP="00F65D3B">
                              <w:pPr>
                                <w:pStyle w:val="Figureheading"/>
                              </w:pPr>
                              <w:r>
                                <w:t>Figure 35</w:t>
                              </w:r>
                            </w:p>
                          </w:txbxContent>
                        </wps:txbx>
                        <wps:bodyPr rot="0" vert="horz" wrap="square" lIns="91440" tIns="45720" rIns="91440" bIns="45720" anchor="t" anchorCtr="0" upright="1">
                          <a:noAutofit/>
                        </wps:bodyPr>
                      </wps:wsp>
                      <wps:wsp>
                        <wps:cNvPr id="231" name="Rectangle 169"/>
                        <wps:cNvSpPr>
                          <a:spLocks noChangeArrowheads="1"/>
                        </wps:cNvSpPr>
                        <wps:spPr bwMode="auto">
                          <a:xfrm>
                            <a:off x="753" y="2480"/>
                            <a:ext cx="9121" cy="841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A237F3F" id="Group 167" o:spid="_x0000_s1138" style="width:463.75pt;height:323.35pt;mso-position-horizontal-relative:char;mso-position-vertical-relative:line" coordorigin="753,1800" coordsize="9121,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">
                <v:shape id="Text Box 168" o:spid="_x0000_s1139" type="#_x0000_t202" style="position:absolute;left:753;top:1800;width:9121;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" fillcolor="#629fc2" strokecolor="#629fc2" strokeweight="1pt">
                  <v:textbox>
                    <w:txbxContent>
                      <w:p w14:paraId="2DD89E15" w14:textId="77777777" w:rsidR="0021734B" w:rsidRPr="00B12495" w:rsidRDefault="0021734B" w:rsidP="00F65D3B">
                        <w:pPr>
                          <w:pStyle w:val="Figureheading"/>
                        </w:pPr>
                        <w:r>
                          <w:t>Figure 35</w:t>
                        </w:r>
                      </w:p>
                    </w:txbxContent>
                  </v:textbox>
                </v:shape>
                <v:rect id="Rectangle 169" o:spid="_x0000_s1140" style="position:absolute;left:753;top:2480;width:9121;height:8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" filled="f" strokecolor="#688fb0" strokeweight="1pt"/>
                <w10:anchorlock/>
              </v:group>
            </w:pict>
          </mc:Fallback>
        </mc:AlternateContent>
      </w:r>
    </w:p>
    <w:p w14:paraId="40D93B4E" w14:textId="77777777" w:rsidR="00F65D3B" w:rsidRDefault="00F65D3B" w:rsidP="006C1F5F"/>
    <w:p w14:paraId="68C4EF5B" w14:textId="5E1395F5" w:rsidR="00F65D3B" w:rsidRDefault="00F65D3B" w:rsidP="006C1F5F">
      <w:r w:rsidRPr="00F65D3B">
        <w:rPr>
          <w:noProof/>
        </w:rPr>
        <w:drawing>
          <wp:anchor distT="0" distB="0" distL="114300" distR="114300" simplePos="0" relativeHeight="251698176" behindDoc="0" locked="0" layoutInCell="1" allowOverlap="1" wp14:anchorId="0F0FD107" wp14:editId="6CD2AEAA">
            <wp:simplePos x="0" y="0"/>
            <wp:positionH relativeFrom="column">
              <wp:posOffset>19050</wp:posOffset>
            </wp:positionH>
            <wp:positionV relativeFrom="paragraph">
              <wp:posOffset>480695</wp:posOffset>
            </wp:positionV>
            <wp:extent cx="5772150" cy="3609975"/>
            <wp:effectExtent l="19050" t="0" r="0" b="0"/>
            <wp:wrapNone/>
            <wp:docPr id="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srcRect/>
                    <a:stretch>
                      <a:fillRect/>
                    </a:stretch>
                  </pic:blipFill>
                  <pic:spPr bwMode="auto">
                    <a:xfrm>
                      <a:off x="0" y="0"/>
                      <a:ext cx="5772150" cy="3609975"/>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6983A7A4" wp14:editId="4C5B1A7A">
                <wp:extent cx="5889625" cy="4106545"/>
                <wp:effectExtent l="9525" t="9525" r="6350" b="8255"/>
                <wp:docPr id="224" name="Group 1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9625" cy="4106545"/>
                          <a:chOff x="753" y="1800"/>
                          <a:chExt cx="9121" cy="9090"/>
                        </a:xfrm>
                      </wpg:grpSpPr>
                      <wps:wsp>
                        <wps:cNvPr id="225" name="Text Box 171"/>
                        <wps:cNvSpPr txBox="1">
                          <a:spLocks noChangeArrowheads="1"/>
                        </wps:cNvSpPr>
                        <wps:spPr bwMode="auto">
                          <a:xfrm>
                            <a:off x="753" y="1800"/>
                            <a:ext cx="9121" cy="680"/>
                          </a:xfrm>
                          <a:prstGeom prst="rect">
                            <a:avLst/>
                          </a:prstGeom>
                          <a:solidFill>
                            <a:srgbClr val="629FC2"/>
                          </a:solidFill>
                          <a:ln w="12700">
                            <a:solidFill>
                              <a:srgbClr val="629FC2"/>
                            </a:solidFill>
                            <a:miter lim="800000"/>
                            <a:headEnd/>
                            <a:tailEnd/>
                          </a:ln>
                        </wps:spPr>
                        <wps:txbx>
                          <w:txbxContent>
                            <w:p w14:paraId="1A2704F0" w14:textId="77777777" w:rsidR="0021734B" w:rsidRPr="00B12495" w:rsidRDefault="0021734B" w:rsidP="00F65D3B">
                              <w:pPr>
                                <w:pStyle w:val="Figureheading"/>
                              </w:pPr>
                              <w:r>
                                <w:t>Figure 36</w:t>
                              </w:r>
                            </w:p>
                          </w:txbxContent>
                        </wps:txbx>
                        <wps:bodyPr rot="0" vert="horz" wrap="square" lIns="91440" tIns="45720" rIns="91440" bIns="45720" anchor="t" anchorCtr="0" upright="1">
                          <a:noAutofit/>
                        </wps:bodyPr>
                      </wps:wsp>
                      <wps:wsp>
                        <wps:cNvPr id="226" name="Rectangle 172"/>
                        <wps:cNvSpPr>
                          <a:spLocks noChangeArrowheads="1"/>
                        </wps:cNvSpPr>
                        <wps:spPr bwMode="auto">
                          <a:xfrm>
                            <a:off x="753" y="2480"/>
                            <a:ext cx="9121" cy="8410"/>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983A7A4" id="Group 170" o:spid="_x0000_s1141" style="width:463.75pt;height:323.35pt;mso-position-horizontal-relative:char;mso-position-vertical-relative:line" coordorigin="753,1800" coordsize="9121,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">
                <v:shape id="Text Box 171" o:spid="_x0000_s1142" type="#_x0000_t202" style="position:absolute;left:753;top:1800;width:9121;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" fillcolor="#629fc2" strokecolor="#629fc2" strokeweight="1pt">
                  <v:textbox>
                    <w:txbxContent>
                      <w:p w14:paraId="1A2704F0" w14:textId="77777777" w:rsidR="0021734B" w:rsidRPr="00B12495" w:rsidRDefault="0021734B" w:rsidP="00F65D3B">
                        <w:pPr>
                          <w:pStyle w:val="Figureheading"/>
                        </w:pPr>
                        <w:r>
                          <w:t>Figure 36</w:t>
                        </w:r>
                      </w:p>
                    </w:txbxContent>
                  </v:textbox>
                </v:shape>
                <v:rect id="Rectangle 172" o:spid="_x0000_s1143" style="position:absolute;left:753;top:2480;width:9121;height:8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" filled="f" strokecolor="#688fb0" strokeweight="1pt"/>
                <w10:anchorlock/>
              </v:group>
            </w:pict>
          </mc:Fallback>
        </mc:AlternateContent>
      </w:r>
    </w:p>
    <w:p w14:paraId="661F75F6" w14:textId="77777777" w:rsidR="00D5725E" w:rsidRDefault="00D5725E" w:rsidP="00F65D3B">
      <w:pPr>
        <w:rPr>
          <w:szCs w:val="24"/>
        </w:rPr>
      </w:pPr>
    </w:p>
    <w:p w14:paraId="5FFD3A87" w14:textId="5305D2BB" w:rsidR="00F65D3B" w:rsidRDefault="007465D8" w:rsidP="00F65D3B">
      <w:pPr>
        <w:rPr>
          <w:szCs w:val="24"/>
        </w:rPr>
      </w:pPr>
      <w:r>
        <w:rPr>
          <w:noProof/>
          <w:szCs w:val="24"/>
        </w:rPr>
        <w:lastRenderedPageBreak/>
        <mc:AlternateContent>
          <mc:Choice Requires="wps">
            <w:drawing>
              <wp:anchor distT="0" distB="0" distL="114300" distR="114300" simplePos="0" relativeHeight="251793408" behindDoc="1" locked="0" layoutInCell="1" allowOverlap="1" wp14:anchorId="2D246929" wp14:editId="79A1E61D">
                <wp:simplePos x="0" y="0"/>
                <wp:positionH relativeFrom="column">
                  <wp:posOffset>5191125</wp:posOffset>
                </wp:positionH>
                <wp:positionV relativeFrom="paragraph">
                  <wp:posOffset>-43180</wp:posOffset>
                </wp:positionV>
                <wp:extent cx="1676400" cy="2047875"/>
                <wp:effectExtent l="0" t="0" r="0" b="3175"/>
                <wp:wrapSquare wrapText="bothSides"/>
                <wp:docPr id="31" name="Text Box 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2047875"/>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444A52" w14:textId="77777777" w:rsidR="0021734B" w:rsidRDefault="0021734B" w:rsidP="004C3261">
                            <w:pPr>
                              <w:spacing w:before="0"/>
                              <w:rPr>
                                <w:i/>
                                <w:color w:val="5D9D91"/>
                                <w:sz w:val="36"/>
                              </w:rPr>
                            </w:pPr>
                            <w:r>
                              <w:rPr>
                                <w:i/>
                                <w:noProof/>
                                <w:color w:val="5D9D91"/>
                                <w:sz w:val="36"/>
                              </w:rPr>
                              <w:drawing>
                                <wp:inline distT="0" distB="0" distL="0" distR="0" wp14:anchorId="09F6961F" wp14:editId="53E9DF21">
                                  <wp:extent cx="390525" cy="333375"/>
                                  <wp:effectExtent l="19050" t="0" r="9525" b="0"/>
                                  <wp:docPr id="29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3EE3E256" w14:textId="77777777" w:rsidR="0021734B" w:rsidRPr="001C745D" w:rsidRDefault="0021734B" w:rsidP="004C3261">
                            <w:pPr>
                              <w:spacing w:before="0"/>
                              <w:rPr>
                                <w:i/>
                                <w:color w:val="5D9D91"/>
                                <w:sz w:val="6"/>
                              </w:rPr>
                            </w:pPr>
                          </w:p>
                          <w:p w14:paraId="476EE013" w14:textId="77777777" w:rsidR="0021734B" w:rsidRPr="007A1EB4" w:rsidRDefault="0021734B" w:rsidP="004C3261">
                            <w:pPr>
                              <w:spacing w:before="0" w:line="228" w:lineRule="auto"/>
                              <w:ind w:left="142" w:right="28"/>
                              <w:contextualSpacing/>
                              <w:jc w:val="left"/>
                              <w:rPr>
                                <w:rFonts w:ascii="Arial Black" w:hAnsi="Arial Black"/>
                                <w:i/>
                                <w:color w:val="629FC2"/>
                                <w:spacing w:val="-14"/>
                                <w:szCs w:val="20"/>
                              </w:rPr>
                            </w:pPr>
                            <w:r w:rsidRPr="007A1EB4">
                              <w:rPr>
                                <w:i/>
                                <w:color w:val="629FC2"/>
                                <w:spacing w:val="-14"/>
                                <w:szCs w:val="20"/>
                              </w:rPr>
                              <w:t>…</w:t>
                            </w:r>
                            <w:r>
                              <w:rPr>
                                <w:i/>
                                <w:color w:val="629FC2"/>
                                <w:spacing w:val="-14"/>
                                <w:szCs w:val="20"/>
                              </w:rPr>
                              <w:t>Mortality and hospital admissions are strongly related to deprivation. In contrast self-reported heavy and very heavy drinking is similar between the deprivation fifths</w:t>
                            </w:r>
                            <w:r w:rsidRPr="007A1EB4">
                              <w:rPr>
                                <w:i/>
                                <w:color w:val="629FC2"/>
                                <w:spacing w:val="-14"/>
                                <w:szCs w:val="20"/>
                              </w:rPr>
                              <w:t xml:space="preserve"> ...</w:t>
                            </w:r>
                            <w:r w:rsidRPr="007A1EB4">
                              <w:rPr>
                                <w:rFonts w:ascii="Arial Black" w:hAnsi="Arial Black"/>
                                <w:i/>
                                <w:color w:val="629FC2"/>
                                <w:spacing w:val="-14"/>
                                <w:szCs w:val="20"/>
                              </w:rPr>
                              <w:t>”</w:t>
                            </w:r>
                          </w:p>
                          <w:p w14:paraId="039702C9" w14:textId="77777777" w:rsidR="0021734B" w:rsidRPr="002D6AA2" w:rsidRDefault="0021734B" w:rsidP="004C3261">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246929" id="Text Box 319" o:spid="_x0000_s1144" type="#_x0000_t202" style="position:absolute;left:0;text-align:left;margin-left:408.75pt;margin-top:-3.4pt;width:132pt;height:161.25pt;z-index:-25152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" filled="f" fillcolor="#31849b [2408]" stroked="f">
                <v:textbox>
                  <w:txbxContent>
                    <w:p w14:paraId="08444A52" w14:textId="77777777" w:rsidR="0021734B" w:rsidRDefault="0021734B" w:rsidP="004C3261">
                      <w:pPr>
                        <w:spacing w:before="0"/>
                        <w:rPr>
                          <w:i/>
                          <w:color w:val="5D9D91"/>
                          <w:sz w:val="36"/>
                        </w:rPr>
                      </w:pPr>
                      <w:r>
                        <w:rPr>
                          <w:i/>
                          <w:noProof/>
                          <w:color w:val="5D9D91"/>
                          <w:sz w:val="36"/>
                        </w:rPr>
                        <w:drawing>
                          <wp:inline distT="0" distB="0" distL="0" distR="0" wp14:anchorId="09F6961F" wp14:editId="53E9DF21">
                            <wp:extent cx="390525" cy="333375"/>
                            <wp:effectExtent l="19050" t="0" r="9525" b="0"/>
                            <wp:docPr id="29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3EE3E256" w14:textId="77777777" w:rsidR="0021734B" w:rsidRPr="001C745D" w:rsidRDefault="0021734B" w:rsidP="004C3261">
                      <w:pPr>
                        <w:spacing w:before="0"/>
                        <w:rPr>
                          <w:i/>
                          <w:color w:val="5D9D91"/>
                          <w:sz w:val="6"/>
                        </w:rPr>
                      </w:pPr>
                    </w:p>
                    <w:p w14:paraId="476EE013" w14:textId="77777777" w:rsidR="0021734B" w:rsidRPr="007A1EB4" w:rsidRDefault="0021734B" w:rsidP="004C3261">
                      <w:pPr>
                        <w:spacing w:before="0" w:line="228" w:lineRule="auto"/>
                        <w:ind w:left="142" w:right="28"/>
                        <w:contextualSpacing/>
                        <w:jc w:val="left"/>
                        <w:rPr>
                          <w:rFonts w:ascii="Arial Black" w:hAnsi="Arial Black"/>
                          <w:i/>
                          <w:color w:val="629FC2"/>
                          <w:spacing w:val="-14"/>
                          <w:szCs w:val="20"/>
                        </w:rPr>
                      </w:pPr>
                      <w:r w:rsidRPr="007A1EB4">
                        <w:rPr>
                          <w:i/>
                          <w:color w:val="629FC2"/>
                          <w:spacing w:val="-14"/>
                          <w:szCs w:val="20"/>
                        </w:rPr>
                        <w:t>…</w:t>
                      </w:r>
                      <w:r>
                        <w:rPr>
                          <w:i/>
                          <w:color w:val="629FC2"/>
                          <w:spacing w:val="-14"/>
                          <w:szCs w:val="20"/>
                        </w:rPr>
                        <w:t>Mortality and hospital admissions are strongly related to deprivation. In contrast self-reported heavy and very heavy drinking is similar between the deprivation fifths</w:t>
                      </w:r>
                      <w:r w:rsidRPr="007A1EB4">
                        <w:rPr>
                          <w:i/>
                          <w:color w:val="629FC2"/>
                          <w:spacing w:val="-14"/>
                          <w:szCs w:val="20"/>
                        </w:rPr>
                        <w:t xml:space="preserve"> ...</w:t>
                      </w:r>
                      <w:r w:rsidRPr="007A1EB4">
                        <w:rPr>
                          <w:rFonts w:ascii="Arial Black" w:hAnsi="Arial Black"/>
                          <w:i/>
                          <w:color w:val="629FC2"/>
                          <w:spacing w:val="-14"/>
                          <w:szCs w:val="20"/>
                        </w:rPr>
                        <w:t>”</w:t>
                      </w:r>
                    </w:p>
                    <w:p w14:paraId="039702C9" w14:textId="77777777" w:rsidR="0021734B" w:rsidRPr="002D6AA2" w:rsidRDefault="0021734B" w:rsidP="004C3261">
                      <w:pPr>
                        <w:spacing w:before="0"/>
                        <w:ind w:left="142" w:right="27"/>
                        <w:rPr>
                          <w:i/>
                          <w:color w:val="5D9D91"/>
                          <w:sz w:val="20"/>
                          <w:szCs w:val="20"/>
                        </w:rPr>
                      </w:pPr>
                    </w:p>
                  </w:txbxContent>
                </v:textbox>
                <w10:wrap type="square"/>
              </v:shape>
            </w:pict>
          </mc:Fallback>
        </mc:AlternateContent>
      </w:r>
      <w:r w:rsidR="00F65D3B">
        <w:rPr>
          <w:szCs w:val="24"/>
        </w:rPr>
        <w:t xml:space="preserve">The pattern in alcohol consumption is in stark contrast to outcomes in both mortality and hospital admissions which show a </w:t>
      </w:r>
      <w:r w:rsidR="00F65D3B" w:rsidRPr="00D8551B">
        <w:rPr>
          <w:szCs w:val="24"/>
        </w:rPr>
        <w:t>strong</w:t>
      </w:r>
      <w:r w:rsidR="00F65D3B">
        <w:rPr>
          <w:szCs w:val="24"/>
        </w:rPr>
        <w:t xml:space="preserve"> relationship to deprivation where rates in the most deprived areas are much higher than in least deprived areas. </w:t>
      </w:r>
    </w:p>
    <w:p w14:paraId="10BB36EB" w14:textId="77777777" w:rsidR="00F65D3B" w:rsidRDefault="00F65D3B" w:rsidP="00F65D3B">
      <w:pPr>
        <w:rPr>
          <w:szCs w:val="24"/>
        </w:rPr>
      </w:pPr>
      <w:r>
        <w:rPr>
          <w:szCs w:val="24"/>
        </w:rPr>
        <w:t xml:space="preserve">This report focuses on the rate ratio, a measure of relative inequality, as it can be compared between causes and between males and females independent of scale. It is produced by dividing the rate for the most deprived areas by the rate in the least deprived areas. </w:t>
      </w:r>
      <w:r w:rsidRPr="0034389E">
        <w:rPr>
          <w:szCs w:val="24"/>
        </w:rPr>
        <w:t>For comparisons over time the absolute difference between the rates was also considered to ensure consistent interpretation of patterns.</w:t>
      </w:r>
    </w:p>
    <w:p w14:paraId="7936A218" w14:textId="77777777" w:rsidR="00F65D3B" w:rsidRDefault="00F65D3B" w:rsidP="00F65D3B">
      <w:pPr>
        <w:rPr>
          <w:szCs w:val="24"/>
        </w:rPr>
      </w:pPr>
      <w:r>
        <w:rPr>
          <w:szCs w:val="24"/>
        </w:rPr>
        <w:t>Alcohol-specific indicators are more strongly related to deprivation than alcohol-attributable indicators. Alcohol-specific mortality and hospital admissions have the largest rate ratios, with the rates in the most deprived areas for males between 3.3 and 4.6 times higher than the rates in the least deprived areas (between 2.5 and 3.1 tim</w:t>
      </w:r>
      <w:r w:rsidR="00E20E53">
        <w:rPr>
          <w:szCs w:val="24"/>
        </w:rPr>
        <w:t>es higher for females) (Figure</w:t>
      </w:r>
      <w:r w:rsidR="002B2C83">
        <w:rPr>
          <w:szCs w:val="24"/>
        </w:rPr>
        <w:t>s</w:t>
      </w:r>
      <w:r w:rsidR="00E20E53">
        <w:rPr>
          <w:szCs w:val="24"/>
        </w:rPr>
        <w:t xml:space="preserve"> 37</w:t>
      </w:r>
      <w:r w:rsidR="002B2C83">
        <w:rPr>
          <w:szCs w:val="24"/>
        </w:rPr>
        <w:t xml:space="preserve"> and 38</w:t>
      </w:r>
      <w:r>
        <w:rPr>
          <w:szCs w:val="24"/>
        </w:rPr>
        <w:t xml:space="preserve">). </w:t>
      </w:r>
    </w:p>
    <w:p w14:paraId="3FF572EC" w14:textId="77777777" w:rsidR="00F65D3B" w:rsidRDefault="00F65D3B" w:rsidP="00F65D3B">
      <w:pPr>
        <w:rPr>
          <w:szCs w:val="24"/>
        </w:rPr>
      </w:pPr>
      <w:r>
        <w:rPr>
          <w:szCs w:val="24"/>
        </w:rPr>
        <w:t>The rate ratios were lower for alcohol-attributable mortality where the rates for males in the most deprived areas were around twice those in least deprived areas (around 1.7 tim</w:t>
      </w:r>
      <w:r w:rsidR="0051011D">
        <w:rPr>
          <w:szCs w:val="24"/>
        </w:rPr>
        <w:t>es higher for females) (Figure 37</w:t>
      </w:r>
      <w:r>
        <w:rPr>
          <w:szCs w:val="24"/>
        </w:rPr>
        <w:t>). The rate ratio is also higher for males than for females, and mortality for both definitions is more strongly related to deprivation for males than females.</w:t>
      </w:r>
    </w:p>
    <w:p w14:paraId="4646997B" w14:textId="77777777" w:rsidR="00F65D3B" w:rsidRPr="004932DE" w:rsidRDefault="00F65D3B" w:rsidP="00F65D3B">
      <w:pPr>
        <w:rPr>
          <w:szCs w:val="24"/>
        </w:rPr>
      </w:pPr>
      <w:r>
        <w:rPr>
          <w:szCs w:val="24"/>
        </w:rPr>
        <w:t xml:space="preserve">Inequalities in mortality have not changed significantly since 2003/05. Although there is variation in rates </w:t>
      </w:r>
      <w:r w:rsidRPr="00612438">
        <w:rPr>
          <w:szCs w:val="24"/>
        </w:rPr>
        <w:t>over time</w:t>
      </w:r>
      <w:r>
        <w:rPr>
          <w:szCs w:val="24"/>
        </w:rPr>
        <w:t xml:space="preserve">, mortality rates have increased </w:t>
      </w:r>
      <w:r w:rsidR="00F02A94">
        <w:rPr>
          <w:szCs w:val="24"/>
        </w:rPr>
        <w:t xml:space="preserve">overall </w:t>
      </w:r>
      <w:r>
        <w:rPr>
          <w:szCs w:val="24"/>
        </w:rPr>
        <w:t>with only a slight drop in rates for males in</w:t>
      </w:r>
      <w:r w:rsidR="00E20E53">
        <w:rPr>
          <w:szCs w:val="24"/>
        </w:rPr>
        <w:t xml:space="preserve"> the most recent years (Figure 37</w:t>
      </w:r>
      <w:r>
        <w:rPr>
          <w:szCs w:val="24"/>
        </w:rPr>
        <w:t>)</w:t>
      </w:r>
      <w:r w:rsidRPr="00567B79">
        <w:rPr>
          <w:szCs w:val="24"/>
        </w:rPr>
        <w:t>.</w:t>
      </w:r>
      <w:r w:rsidRPr="000421C2">
        <w:rPr>
          <w:szCs w:val="24"/>
        </w:rPr>
        <w:t xml:space="preserve"> They have increased more in the most deprived compared to the least deprived.</w:t>
      </w:r>
      <w:r>
        <w:rPr>
          <w:szCs w:val="24"/>
        </w:rPr>
        <w:t xml:space="preserve"> The gap has therefore slightly widened, although due to relatively small numbers of deaths and large confidence intervals this difference is not statistically significant. Changes in the gap for alcohol-attributable mortality are much smaller and similarly not statistically significant.</w:t>
      </w:r>
    </w:p>
    <w:p w14:paraId="1D7AE40B" w14:textId="77777777" w:rsidR="00F65D3B" w:rsidRDefault="00F65D3B">
      <w:pPr>
        <w:spacing w:before="0"/>
        <w:jc w:val="left"/>
      </w:pPr>
      <w:r>
        <w:br w:type="page"/>
      </w:r>
    </w:p>
    <w:p w14:paraId="0E8B441B" w14:textId="77777777" w:rsidR="00F65D3B" w:rsidRDefault="00F65D3B" w:rsidP="006C1F5F"/>
    <w:p w14:paraId="0FC06593" w14:textId="71B05D8A" w:rsidR="00D22F01" w:rsidRDefault="00670991" w:rsidP="00F65D3B">
      <w:pPr>
        <w:rPr>
          <w:szCs w:val="24"/>
        </w:rPr>
      </w:pPr>
      <w:r>
        <w:rPr>
          <w:noProof/>
          <w:szCs w:val="24"/>
        </w:rPr>
        <w:drawing>
          <wp:anchor distT="0" distB="0" distL="114300" distR="114300" simplePos="0" relativeHeight="251811840" behindDoc="0" locked="0" layoutInCell="1" allowOverlap="1" wp14:anchorId="68E3150C" wp14:editId="6AAB4E50">
            <wp:simplePos x="0" y="0"/>
            <wp:positionH relativeFrom="column">
              <wp:posOffset>19050</wp:posOffset>
            </wp:positionH>
            <wp:positionV relativeFrom="paragraph">
              <wp:posOffset>549275</wp:posOffset>
            </wp:positionV>
            <wp:extent cx="6657975" cy="4924425"/>
            <wp:effectExtent l="19050" t="0" r="0" b="0"/>
            <wp:wrapNone/>
            <wp:docPr id="9"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2" cstate="print"/>
                    <a:srcRect/>
                    <a:stretch>
                      <a:fillRect/>
                    </a:stretch>
                  </pic:blipFill>
                  <pic:spPr bwMode="auto">
                    <a:xfrm>
                      <a:off x="0" y="0"/>
                      <a:ext cx="6657975" cy="4924425"/>
                    </a:xfrm>
                    <a:prstGeom prst="rect">
                      <a:avLst/>
                    </a:prstGeom>
                    <a:noFill/>
                    <a:ln w="9525">
                      <a:noFill/>
                      <a:miter lim="800000"/>
                      <a:headEnd/>
                      <a:tailEnd/>
                    </a:ln>
                  </pic:spPr>
                </pic:pic>
              </a:graphicData>
            </a:graphic>
          </wp:anchor>
        </w:drawing>
      </w:r>
      <w:r w:rsidR="007465D8">
        <w:rPr>
          <w:noProof/>
          <w:szCs w:val="24"/>
        </w:rPr>
        <mc:AlternateContent>
          <mc:Choice Requires="wpg">
            <w:drawing>
              <wp:inline distT="0" distB="0" distL="0" distR="0" wp14:anchorId="48E854EA" wp14:editId="69F83259">
                <wp:extent cx="6699250" cy="5379720"/>
                <wp:effectExtent l="9525" t="9525" r="6350" b="11430"/>
                <wp:docPr id="27" name="Group 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9250" cy="5379720"/>
                          <a:chOff x="730" y="1684"/>
                          <a:chExt cx="10550" cy="8472"/>
                        </a:xfrm>
                      </wpg:grpSpPr>
                      <wps:wsp>
                        <wps:cNvPr id="29" name="Text Box 232"/>
                        <wps:cNvSpPr txBox="1">
                          <a:spLocks noChangeArrowheads="1"/>
                        </wps:cNvSpPr>
                        <wps:spPr bwMode="auto">
                          <a:xfrm>
                            <a:off x="730" y="1684"/>
                            <a:ext cx="10550" cy="476"/>
                          </a:xfrm>
                          <a:prstGeom prst="rect">
                            <a:avLst/>
                          </a:prstGeom>
                          <a:solidFill>
                            <a:srgbClr val="629FC2"/>
                          </a:solidFill>
                          <a:ln w="12700">
                            <a:solidFill>
                              <a:srgbClr val="629FC2"/>
                            </a:solidFill>
                            <a:miter lim="800000"/>
                            <a:headEnd/>
                            <a:tailEnd/>
                          </a:ln>
                        </wps:spPr>
                        <wps:txbx>
                          <w:txbxContent>
                            <w:p w14:paraId="21746F58" w14:textId="77777777" w:rsidR="0021734B" w:rsidRPr="00B12495" w:rsidRDefault="0021734B" w:rsidP="00986663">
                              <w:pPr>
                                <w:pStyle w:val="Figureheading"/>
                              </w:pPr>
                              <w:r>
                                <w:t>Figure 37</w:t>
                              </w:r>
                            </w:p>
                          </w:txbxContent>
                        </wps:txbx>
                        <wps:bodyPr rot="0" vert="horz" wrap="square" lIns="91440" tIns="45720" rIns="91440" bIns="45720" anchor="t" anchorCtr="0" upright="1">
                          <a:noAutofit/>
                        </wps:bodyPr>
                      </wps:wsp>
                      <wps:wsp>
                        <wps:cNvPr id="30" name="Rectangle 233"/>
                        <wps:cNvSpPr>
                          <a:spLocks noChangeArrowheads="1"/>
                        </wps:cNvSpPr>
                        <wps:spPr bwMode="auto">
                          <a:xfrm>
                            <a:off x="730" y="2178"/>
                            <a:ext cx="10550" cy="7978"/>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8E854EA" id="Group 317" o:spid="_x0000_s1145" style="width:527.5pt;height:423.6pt;mso-position-horizontal-relative:char;mso-position-vertical-relative:line" coordorigin="730,1684" coordsize="10550,8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">
                <v:shape id="Text Box 232" o:spid="_x0000_s1146" type="#_x0000_t202" style="position:absolute;left:730;top:1684;width:10550;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" fillcolor="#629fc2" strokecolor="#629fc2" strokeweight="1pt">
                  <v:textbox>
                    <w:txbxContent>
                      <w:p w14:paraId="21746F58" w14:textId="77777777" w:rsidR="0021734B" w:rsidRPr="00B12495" w:rsidRDefault="0021734B" w:rsidP="00986663">
                        <w:pPr>
                          <w:pStyle w:val="Figureheading"/>
                        </w:pPr>
                        <w:r>
                          <w:t>Figure 37</w:t>
                        </w:r>
                      </w:p>
                    </w:txbxContent>
                  </v:textbox>
                </v:shape>
                <v:rect id="Rectangle 233" o:spid="_x0000_s1147" style="position:absolute;left:730;top:2178;width:10550;height:79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" filled="f" strokecolor="#688fb0" strokeweight="1pt"/>
                <w10:anchorlock/>
              </v:group>
            </w:pict>
          </mc:Fallback>
        </mc:AlternateContent>
      </w:r>
    </w:p>
    <w:p w14:paraId="630580DB" w14:textId="7978B460" w:rsidR="00F65D3B" w:rsidRDefault="007465D8" w:rsidP="00F65D3B">
      <w:pPr>
        <w:rPr>
          <w:szCs w:val="24"/>
        </w:rPr>
      </w:pPr>
      <w:r>
        <w:rPr>
          <w:noProof/>
          <w:szCs w:val="24"/>
        </w:rPr>
        <mc:AlternateContent>
          <mc:Choice Requires="wps">
            <w:drawing>
              <wp:anchor distT="0" distB="0" distL="114300" distR="114300" simplePos="0" relativeHeight="251795456" behindDoc="1" locked="0" layoutInCell="1" allowOverlap="1" wp14:anchorId="07803ADD" wp14:editId="22C1A236">
                <wp:simplePos x="0" y="0"/>
                <wp:positionH relativeFrom="column">
                  <wp:posOffset>4714875</wp:posOffset>
                </wp:positionH>
                <wp:positionV relativeFrom="paragraph">
                  <wp:posOffset>128905</wp:posOffset>
                </wp:positionV>
                <wp:extent cx="1943100" cy="1495425"/>
                <wp:effectExtent l="0" t="0" r="0" b="4445"/>
                <wp:wrapSquare wrapText="bothSides"/>
                <wp:docPr id="26" name="Text Box 3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495425"/>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21DC38" w14:textId="77777777" w:rsidR="0021734B" w:rsidRDefault="0021734B" w:rsidP="004C3261">
                            <w:pPr>
                              <w:spacing w:before="0"/>
                              <w:rPr>
                                <w:i/>
                                <w:color w:val="5D9D91"/>
                                <w:sz w:val="36"/>
                              </w:rPr>
                            </w:pPr>
                            <w:r>
                              <w:rPr>
                                <w:i/>
                                <w:noProof/>
                                <w:color w:val="5D9D91"/>
                                <w:sz w:val="36"/>
                              </w:rPr>
                              <w:drawing>
                                <wp:inline distT="0" distB="0" distL="0" distR="0" wp14:anchorId="4E21D3D9" wp14:editId="02C90407">
                                  <wp:extent cx="390525" cy="333375"/>
                                  <wp:effectExtent l="19050" t="0" r="9525" b="0"/>
                                  <wp:docPr id="32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600A2BD4" w14:textId="77777777" w:rsidR="0021734B" w:rsidRPr="001C745D" w:rsidRDefault="0021734B" w:rsidP="004C3261">
                            <w:pPr>
                              <w:spacing w:before="0"/>
                              <w:rPr>
                                <w:i/>
                                <w:color w:val="5D9D91"/>
                                <w:sz w:val="6"/>
                              </w:rPr>
                            </w:pPr>
                          </w:p>
                          <w:p w14:paraId="01405BE8" w14:textId="77777777" w:rsidR="0021734B" w:rsidRPr="0091077E" w:rsidRDefault="0021734B" w:rsidP="004C3261">
                            <w:pPr>
                              <w:spacing w:before="0" w:line="228" w:lineRule="auto"/>
                              <w:ind w:left="142" w:right="28"/>
                              <w:contextualSpacing/>
                              <w:jc w:val="left"/>
                              <w:rPr>
                                <w:i/>
                                <w:color w:val="629FC2"/>
                                <w:spacing w:val="-14"/>
                                <w:szCs w:val="20"/>
                              </w:rPr>
                            </w:pPr>
                            <w:r w:rsidRPr="007A1EB4">
                              <w:rPr>
                                <w:i/>
                                <w:color w:val="629FC2"/>
                                <w:spacing w:val="-14"/>
                                <w:szCs w:val="20"/>
                              </w:rPr>
                              <w:t>…</w:t>
                            </w:r>
                            <w:r w:rsidRPr="003D6BB8">
                              <w:t xml:space="preserve"> </w:t>
                            </w:r>
                            <w:r w:rsidRPr="003D6BB8">
                              <w:rPr>
                                <w:i/>
                                <w:color w:val="629FC2"/>
                                <w:spacing w:val="-14"/>
                                <w:szCs w:val="20"/>
                              </w:rPr>
                              <w:t>There is no sign of improvement in the gap in mortality between the most deprived and the least deprived areas over time</w:t>
                            </w:r>
                            <w:r>
                              <w:rPr>
                                <w:i/>
                                <w:color w:val="629FC2"/>
                                <w:spacing w:val="-14"/>
                                <w:szCs w:val="20"/>
                              </w:rPr>
                              <w:t>...</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1D127860" w14:textId="77777777" w:rsidR="0021734B" w:rsidRPr="002D6AA2" w:rsidRDefault="0021734B" w:rsidP="004C3261">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803ADD" id="Text Box 321" o:spid="_x0000_s1148" type="#_x0000_t202" style="position:absolute;left:0;text-align:left;margin-left:371.25pt;margin-top:10.15pt;width:153pt;height:117.75pt;z-index:-251521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" filled="f" fillcolor="#31849b [2408]" stroked="f">
                <v:textbox>
                  <w:txbxContent>
                    <w:p w14:paraId="5A21DC38" w14:textId="77777777" w:rsidR="0021734B" w:rsidRDefault="0021734B" w:rsidP="004C3261">
                      <w:pPr>
                        <w:spacing w:before="0"/>
                        <w:rPr>
                          <w:i/>
                          <w:color w:val="5D9D91"/>
                          <w:sz w:val="36"/>
                        </w:rPr>
                      </w:pPr>
                      <w:r>
                        <w:rPr>
                          <w:i/>
                          <w:noProof/>
                          <w:color w:val="5D9D91"/>
                          <w:sz w:val="36"/>
                        </w:rPr>
                        <w:drawing>
                          <wp:inline distT="0" distB="0" distL="0" distR="0" wp14:anchorId="4E21D3D9" wp14:editId="02C90407">
                            <wp:extent cx="390525" cy="333375"/>
                            <wp:effectExtent l="19050" t="0" r="9525" b="0"/>
                            <wp:docPr id="32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600A2BD4" w14:textId="77777777" w:rsidR="0021734B" w:rsidRPr="001C745D" w:rsidRDefault="0021734B" w:rsidP="004C3261">
                      <w:pPr>
                        <w:spacing w:before="0"/>
                        <w:rPr>
                          <w:i/>
                          <w:color w:val="5D9D91"/>
                          <w:sz w:val="6"/>
                        </w:rPr>
                      </w:pPr>
                    </w:p>
                    <w:p w14:paraId="01405BE8" w14:textId="77777777" w:rsidR="0021734B" w:rsidRPr="0091077E" w:rsidRDefault="0021734B" w:rsidP="004C3261">
                      <w:pPr>
                        <w:spacing w:before="0" w:line="228" w:lineRule="auto"/>
                        <w:ind w:left="142" w:right="28"/>
                        <w:contextualSpacing/>
                        <w:jc w:val="left"/>
                        <w:rPr>
                          <w:i/>
                          <w:color w:val="629FC2"/>
                          <w:spacing w:val="-14"/>
                          <w:szCs w:val="20"/>
                        </w:rPr>
                      </w:pPr>
                      <w:r w:rsidRPr="007A1EB4">
                        <w:rPr>
                          <w:i/>
                          <w:color w:val="629FC2"/>
                          <w:spacing w:val="-14"/>
                          <w:szCs w:val="20"/>
                        </w:rPr>
                        <w:t>…</w:t>
                      </w:r>
                      <w:r w:rsidRPr="003D6BB8">
                        <w:t xml:space="preserve"> </w:t>
                      </w:r>
                      <w:r w:rsidRPr="003D6BB8">
                        <w:rPr>
                          <w:i/>
                          <w:color w:val="629FC2"/>
                          <w:spacing w:val="-14"/>
                          <w:szCs w:val="20"/>
                        </w:rPr>
                        <w:t>There is no sign of improvement in the gap in mortality between the most deprived and the least deprived areas over time</w:t>
                      </w:r>
                      <w:r>
                        <w:rPr>
                          <w:i/>
                          <w:color w:val="629FC2"/>
                          <w:spacing w:val="-14"/>
                          <w:szCs w:val="20"/>
                        </w:rPr>
                        <w:t>...</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1D127860" w14:textId="77777777" w:rsidR="0021734B" w:rsidRPr="002D6AA2" w:rsidRDefault="0021734B" w:rsidP="004C3261">
                      <w:pPr>
                        <w:spacing w:before="0"/>
                        <w:ind w:left="142" w:right="27"/>
                        <w:rPr>
                          <w:i/>
                          <w:color w:val="5D9D91"/>
                          <w:sz w:val="20"/>
                          <w:szCs w:val="20"/>
                        </w:rPr>
                      </w:pPr>
                    </w:p>
                  </w:txbxContent>
                </v:textbox>
                <w10:wrap type="square"/>
              </v:shape>
            </w:pict>
          </mc:Fallback>
        </mc:AlternateContent>
      </w:r>
      <w:r w:rsidR="00F65D3B">
        <w:rPr>
          <w:szCs w:val="24"/>
        </w:rPr>
        <w:t>Interpreting inequalities trends in hospital admissions is more complex due to the nature of the three different definitions used. Please see Section 4.1 for a discussion on the definitions or the technical guide for further details</w:t>
      </w:r>
      <w:r w:rsidR="00F65D3B" w:rsidRPr="00965CA6">
        <w:rPr>
          <w:szCs w:val="24"/>
        </w:rPr>
        <w:t>. Our analysis covers the financial years 2003/04 to 2012/13.</w:t>
      </w:r>
    </w:p>
    <w:p w14:paraId="652D4432" w14:textId="77777777" w:rsidR="00F65D3B" w:rsidRDefault="00F65D3B" w:rsidP="00F65D3B">
      <w:pPr>
        <w:rPr>
          <w:szCs w:val="24"/>
        </w:rPr>
      </w:pPr>
      <w:r>
        <w:rPr>
          <w:szCs w:val="24"/>
        </w:rPr>
        <w:t>The rates of individuals being admitted to hospital with alcohol-specific conditions varies over time, but rates have overall been rising in both the most and th</w:t>
      </w:r>
      <w:r w:rsidR="0051011D">
        <w:rPr>
          <w:szCs w:val="24"/>
        </w:rPr>
        <w:t>e least deprived areas (Figure 38</w:t>
      </w:r>
      <w:r>
        <w:rPr>
          <w:szCs w:val="24"/>
        </w:rPr>
        <w:t>). The rates had increased relatively more in the most deprived in the first few years and so the absolute rate difference had been rising. This difference narrowed again in the most recent years to a similar level to the first year. The rate ratio, the relative measure of inequalities, also fluctuated over time, but has dropped in the more recent years. The rate in the most deprived areas for males has dropped from 4.4 times in the first period to 3.4 times the rate in the least deprived in the most recent period (3.4 to 2.8 in females). Relative inequalities have therefore narrowed over time, although due to large confidence intervals this difference is not statistically significant in females. This suggests that a decrease in the most deprived areas in recent years may have contributed to a slight narrowing of inequalities in alcohol-specific hospital admissions.</w:t>
      </w:r>
    </w:p>
    <w:p w14:paraId="149E2EEC" w14:textId="77777777" w:rsidR="00D5725E" w:rsidRDefault="00D5725E" w:rsidP="00F65D3B">
      <w:pPr>
        <w:rPr>
          <w:szCs w:val="24"/>
        </w:rPr>
      </w:pPr>
    </w:p>
    <w:p w14:paraId="137AD7C6" w14:textId="6A242311" w:rsidR="00F65D3B" w:rsidRDefault="007465D8" w:rsidP="00F65D3B">
      <w:pPr>
        <w:rPr>
          <w:szCs w:val="24"/>
        </w:rPr>
      </w:pPr>
      <w:r>
        <w:rPr>
          <w:noProof/>
          <w:szCs w:val="24"/>
        </w:rPr>
        <w:lastRenderedPageBreak/>
        <mc:AlternateContent>
          <mc:Choice Requires="wps">
            <w:drawing>
              <wp:anchor distT="0" distB="0" distL="114300" distR="114300" simplePos="0" relativeHeight="251794432" behindDoc="1" locked="0" layoutInCell="1" allowOverlap="1" wp14:anchorId="5D5EE063" wp14:editId="319632B5">
                <wp:simplePos x="0" y="0"/>
                <wp:positionH relativeFrom="column">
                  <wp:posOffset>4733925</wp:posOffset>
                </wp:positionH>
                <wp:positionV relativeFrom="paragraph">
                  <wp:posOffset>-24130</wp:posOffset>
                </wp:positionV>
                <wp:extent cx="1990725" cy="1790700"/>
                <wp:effectExtent l="0" t="0" r="0" b="3175"/>
                <wp:wrapSquare wrapText="bothSides"/>
                <wp:docPr id="25" name="Text Box 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1790700"/>
                        </a:xfrm>
                        <a:prstGeom prst="rect">
                          <a:avLst/>
                        </a:prstGeom>
                        <a:noFill/>
                        <a:ln>
                          <a:noFill/>
                        </a:ln>
                        <a:extLst>
                          <a:ext uri="{909E8E84-426E-40DD-AFC4-6F175D3DCCD1}">
                            <a14:hiddenFill xmlns:a14="http://schemas.microsoft.com/office/drawing/2010/main">
                              <a:solidFill>
                                <a:schemeClr val="accent5">
                                  <a:lumMod val="7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C35AF" w14:textId="77777777" w:rsidR="0021734B" w:rsidRDefault="0021734B" w:rsidP="004C3261">
                            <w:pPr>
                              <w:spacing w:before="0"/>
                              <w:rPr>
                                <w:i/>
                                <w:color w:val="5D9D91"/>
                                <w:sz w:val="36"/>
                              </w:rPr>
                            </w:pPr>
                            <w:r>
                              <w:rPr>
                                <w:i/>
                                <w:noProof/>
                                <w:color w:val="5D9D91"/>
                                <w:sz w:val="36"/>
                              </w:rPr>
                              <w:drawing>
                                <wp:inline distT="0" distB="0" distL="0" distR="0" wp14:anchorId="74AC2C00" wp14:editId="0C20E355">
                                  <wp:extent cx="390525" cy="333375"/>
                                  <wp:effectExtent l="19050" t="0" r="9525" b="0"/>
                                  <wp:docPr id="31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133482A6" w14:textId="77777777" w:rsidR="0021734B" w:rsidRPr="001C745D" w:rsidRDefault="0021734B" w:rsidP="004C3261">
                            <w:pPr>
                              <w:spacing w:before="0"/>
                              <w:rPr>
                                <w:i/>
                                <w:color w:val="5D9D91"/>
                                <w:sz w:val="6"/>
                              </w:rPr>
                            </w:pPr>
                          </w:p>
                          <w:p w14:paraId="6084C862" w14:textId="77777777" w:rsidR="0021734B" w:rsidRPr="0091077E" w:rsidRDefault="0021734B" w:rsidP="004C3261">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Inequalities in alcohol-specific and alcohol-attributable (narrow) hospital admissions have slightly narrowed over time, but slightly widened for the alcohol-attributable (broad) admissions...</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61084CA3" w14:textId="77777777" w:rsidR="0021734B" w:rsidRPr="002D6AA2" w:rsidRDefault="0021734B" w:rsidP="004C3261">
                            <w:pPr>
                              <w:spacing w:before="0"/>
                              <w:ind w:left="142" w:right="27"/>
                              <w:rPr>
                                <w:i/>
                                <w:color w:val="5D9D91"/>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5EE063" id="Text Box 320" o:spid="_x0000_s1149" type="#_x0000_t202" style="position:absolute;left:0;text-align:left;margin-left:372.75pt;margin-top:-1.9pt;width:156.75pt;height:141pt;z-index:-25152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" filled="f" fillcolor="#31849b [2408]" stroked="f">
                <v:textbox>
                  <w:txbxContent>
                    <w:p w14:paraId="76CC35AF" w14:textId="77777777" w:rsidR="0021734B" w:rsidRDefault="0021734B" w:rsidP="004C3261">
                      <w:pPr>
                        <w:spacing w:before="0"/>
                        <w:rPr>
                          <w:i/>
                          <w:color w:val="5D9D91"/>
                          <w:sz w:val="36"/>
                        </w:rPr>
                      </w:pPr>
                      <w:r>
                        <w:rPr>
                          <w:i/>
                          <w:noProof/>
                          <w:color w:val="5D9D91"/>
                          <w:sz w:val="36"/>
                        </w:rPr>
                        <w:drawing>
                          <wp:inline distT="0" distB="0" distL="0" distR="0" wp14:anchorId="74AC2C00" wp14:editId="0C20E355">
                            <wp:extent cx="390525" cy="333375"/>
                            <wp:effectExtent l="19050" t="0" r="9525" b="0"/>
                            <wp:docPr id="31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a:stretch>
                                      <a:fillRect/>
                                    </a:stretch>
                                  </pic:blipFill>
                                  <pic:spPr bwMode="auto">
                                    <a:xfrm>
                                      <a:off x="0" y="0"/>
                                      <a:ext cx="390525" cy="333375"/>
                                    </a:xfrm>
                                    <a:prstGeom prst="rect">
                                      <a:avLst/>
                                    </a:prstGeom>
                                    <a:noFill/>
                                    <a:ln w="9525">
                                      <a:noFill/>
                                      <a:miter lim="800000"/>
                                      <a:headEnd/>
                                      <a:tailEnd/>
                                    </a:ln>
                                  </pic:spPr>
                                </pic:pic>
                              </a:graphicData>
                            </a:graphic>
                          </wp:inline>
                        </w:drawing>
                      </w:r>
                    </w:p>
                    <w:p w14:paraId="133482A6" w14:textId="77777777" w:rsidR="0021734B" w:rsidRPr="001C745D" w:rsidRDefault="0021734B" w:rsidP="004C3261">
                      <w:pPr>
                        <w:spacing w:before="0"/>
                        <w:rPr>
                          <w:i/>
                          <w:color w:val="5D9D91"/>
                          <w:sz w:val="6"/>
                        </w:rPr>
                      </w:pPr>
                    </w:p>
                    <w:p w14:paraId="6084C862" w14:textId="77777777" w:rsidR="0021734B" w:rsidRPr="0091077E" w:rsidRDefault="0021734B" w:rsidP="004C3261">
                      <w:pPr>
                        <w:spacing w:before="0" w:line="228" w:lineRule="auto"/>
                        <w:ind w:left="142" w:right="28"/>
                        <w:contextualSpacing/>
                        <w:jc w:val="left"/>
                        <w:rPr>
                          <w:i/>
                          <w:color w:val="629FC2"/>
                          <w:spacing w:val="-14"/>
                          <w:szCs w:val="20"/>
                        </w:rPr>
                      </w:pPr>
                      <w:r w:rsidRPr="007A1EB4">
                        <w:rPr>
                          <w:i/>
                          <w:color w:val="629FC2"/>
                          <w:spacing w:val="-14"/>
                          <w:szCs w:val="20"/>
                        </w:rPr>
                        <w:t>…</w:t>
                      </w:r>
                      <w:r>
                        <w:rPr>
                          <w:i/>
                          <w:color w:val="629FC2"/>
                          <w:spacing w:val="-14"/>
                          <w:szCs w:val="20"/>
                        </w:rPr>
                        <w:t>Inequalities in alcohol-specific and alcohol-attributable (narrow) hospital admissions have slightly narrowed over time, but slightly widened for the alcohol-attributable (broad) admissions...</w:t>
                      </w:r>
                      <w:r w:rsidRPr="0091077E">
                        <w:rPr>
                          <w:rFonts w:ascii="Arial Black" w:hAnsi="Arial Black"/>
                          <w:i/>
                          <w:color w:val="629FC2"/>
                          <w:spacing w:val="-14"/>
                          <w:szCs w:val="20"/>
                        </w:rPr>
                        <w:t xml:space="preserve"> </w:t>
                      </w:r>
                      <w:r w:rsidRPr="007A1EB4">
                        <w:rPr>
                          <w:rFonts w:ascii="Arial Black" w:hAnsi="Arial Black"/>
                          <w:i/>
                          <w:color w:val="629FC2"/>
                          <w:spacing w:val="-14"/>
                          <w:szCs w:val="20"/>
                        </w:rPr>
                        <w:t>”</w:t>
                      </w:r>
                    </w:p>
                    <w:p w14:paraId="61084CA3" w14:textId="77777777" w:rsidR="0021734B" w:rsidRPr="002D6AA2" w:rsidRDefault="0021734B" w:rsidP="004C3261">
                      <w:pPr>
                        <w:spacing w:before="0"/>
                        <w:ind w:left="142" w:right="27"/>
                        <w:rPr>
                          <w:i/>
                          <w:color w:val="5D9D91"/>
                          <w:sz w:val="20"/>
                          <w:szCs w:val="20"/>
                        </w:rPr>
                      </w:pPr>
                    </w:p>
                  </w:txbxContent>
                </v:textbox>
                <w10:wrap type="square"/>
              </v:shape>
            </w:pict>
          </mc:Fallback>
        </mc:AlternateContent>
      </w:r>
      <w:r w:rsidR="00F65D3B">
        <w:rPr>
          <w:szCs w:val="24"/>
        </w:rPr>
        <w:t>The pattern for individuals admitted with alcohol-attributable conditions using the narrow definition appears similar but far less pronounced with only a very slight narrowing in inequalities that is not sta</w:t>
      </w:r>
      <w:r w:rsidR="0051011D">
        <w:rPr>
          <w:szCs w:val="24"/>
        </w:rPr>
        <w:t>tistically significant (Figure 38</w:t>
      </w:r>
      <w:r w:rsidR="00F65D3B">
        <w:rPr>
          <w:szCs w:val="24"/>
        </w:rPr>
        <w:t>). The absolute rate difference and the rate ratio have slightly decreased over time, again due to a larger decrease in rates in the most deprived areas than in the least deprived</w:t>
      </w:r>
      <w:r w:rsidR="00F65D3B" w:rsidRPr="009E035F">
        <w:rPr>
          <w:szCs w:val="24"/>
        </w:rPr>
        <w:t xml:space="preserve"> </w:t>
      </w:r>
      <w:r w:rsidR="00F65D3B">
        <w:rPr>
          <w:szCs w:val="24"/>
        </w:rPr>
        <w:t xml:space="preserve">most recently.  </w:t>
      </w:r>
    </w:p>
    <w:p w14:paraId="6AB477B5" w14:textId="77777777" w:rsidR="00F65D3B" w:rsidRDefault="00F65D3B" w:rsidP="00F65D3B">
      <w:pPr>
        <w:rPr>
          <w:szCs w:val="24"/>
        </w:rPr>
      </w:pPr>
      <w:r w:rsidRPr="00690D9C">
        <w:rPr>
          <w:szCs w:val="24"/>
        </w:rPr>
        <w:t xml:space="preserve">Some conditions are more linked to deprivation than others and are more prevalent and therefore contribute differently to inequalities. Although the data is not shown here, wholly attributable conditions made the biggest contribution to inequalities in the narrow admissions, with mental and behavioural disorders making up the majority of these. Cancer, cardiovascular disease and unintentional injuries had the opposite effect, where the proportions of individuals admitted with these conditions </w:t>
      </w:r>
      <w:r>
        <w:rPr>
          <w:szCs w:val="24"/>
        </w:rPr>
        <w:t>were</w:t>
      </w:r>
      <w:r w:rsidRPr="00690D9C">
        <w:rPr>
          <w:szCs w:val="24"/>
        </w:rPr>
        <w:t xml:space="preserve"> </w:t>
      </w:r>
      <w:r>
        <w:rPr>
          <w:szCs w:val="24"/>
        </w:rPr>
        <w:t>higher</w:t>
      </w:r>
      <w:r w:rsidRPr="00690D9C">
        <w:rPr>
          <w:szCs w:val="24"/>
        </w:rPr>
        <w:t xml:space="preserve"> in least deprived areas and so were causing the inequalities to narrow. </w:t>
      </w:r>
      <w:r w:rsidRPr="00154EE5">
        <w:rPr>
          <w:szCs w:val="24"/>
        </w:rPr>
        <w:t>Please note that these condition groups only contain certain conditions that are linked to alcohol, for example, only some cardiovascular diseases. For a list of these please see the technical guide.</w:t>
      </w:r>
    </w:p>
    <w:p w14:paraId="28613E1C" w14:textId="77777777" w:rsidR="00F65D3B" w:rsidRDefault="00F65D3B" w:rsidP="00F65D3B">
      <w:pPr>
        <w:rPr>
          <w:szCs w:val="24"/>
        </w:rPr>
      </w:pPr>
      <w:r>
        <w:rPr>
          <w:szCs w:val="24"/>
        </w:rPr>
        <w:t xml:space="preserve">The pattern of inequalities is slightly different for individuals admitted with alcohol-attributable conditions using the broad definition. The rates in most deprived and least deprived areas have consistently risen over time with only slight variation. The rate ratios have fallen slightly from 2.2 to 1.9 for males and females, but the difference in females is not statistically significant. The absolute rate difference has widened slightly over time, and the reduction in rate ratio is largely down to the rise in rates and the relatively larger rise in the least deprived areas. </w:t>
      </w:r>
    </w:p>
    <w:p w14:paraId="35988C78" w14:textId="77777777" w:rsidR="00F65D3B" w:rsidRDefault="00F65D3B" w:rsidP="00F65D3B">
      <w:pPr>
        <w:rPr>
          <w:szCs w:val="24"/>
        </w:rPr>
      </w:pPr>
      <w:r w:rsidRPr="00C23392">
        <w:rPr>
          <w:szCs w:val="24"/>
        </w:rPr>
        <w:t xml:space="preserve">As with the narrow definition discussed earlier, the conditions have different effects on inequalities. Although the data is not shown here, wholly attributable conditions also make the biggest contribution to inequalities in the broad admissions, with mental and behavioural disorders making up the majority of these. </w:t>
      </w:r>
      <w:r>
        <w:rPr>
          <w:szCs w:val="24"/>
        </w:rPr>
        <w:t>As discussed in S</w:t>
      </w:r>
      <w:r w:rsidRPr="00C23392">
        <w:rPr>
          <w:szCs w:val="24"/>
        </w:rPr>
        <w:t xml:space="preserve">ection </w:t>
      </w:r>
      <w:r>
        <w:rPr>
          <w:szCs w:val="24"/>
        </w:rPr>
        <w:t>4</w:t>
      </w:r>
      <w:r w:rsidRPr="00C23392">
        <w:rPr>
          <w:szCs w:val="24"/>
        </w:rPr>
        <w:t xml:space="preserve"> admissions with cardiovascular disease as a diagnosis (primary or secondary) make up a large proportion of these admissions, but have a narrowing effect on inequalities. The proportion of individuals admitted with a cardiovascular </w:t>
      </w:r>
      <w:r w:rsidRPr="00154EE5">
        <w:rPr>
          <w:szCs w:val="24"/>
        </w:rPr>
        <w:t>disease linked to alcohol is</w:t>
      </w:r>
      <w:r w:rsidRPr="00C23392">
        <w:rPr>
          <w:szCs w:val="24"/>
        </w:rPr>
        <w:t xml:space="preserve"> actually higher in the least deprived areas than the most deprived</w:t>
      </w:r>
      <w:r>
        <w:rPr>
          <w:szCs w:val="24"/>
        </w:rPr>
        <w:t xml:space="preserve">. </w:t>
      </w:r>
      <w:r w:rsidRPr="00C23392">
        <w:rPr>
          <w:szCs w:val="24"/>
        </w:rPr>
        <w:t>Please note that the diagnosis may not be the main reason for admission in this definition.</w:t>
      </w:r>
    </w:p>
    <w:p w14:paraId="38519855" w14:textId="77777777" w:rsidR="00F65D3B" w:rsidRDefault="00F65D3B" w:rsidP="00F65D3B">
      <w:pPr>
        <w:rPr>
          <w:szCs w:val="24"/>
        </w:rPr>
      </w:pPr>
      <w:r>
        <w:rPr>
          <w:szCs w:val="24"/>
        </w:rPr>
        <w:t>The reasons why the outcomes measures are strongly related to deprivation but not to consumption indicators are unclear. There may be differences in individuals’ drinking patterns in the least and most deprived areas, for example there may be differences in the regularity of heavy drinking episodes or the actual units consumed above the limit. It may also be that underestimation of consumption in surveys is proportionally greater in deprived areas, or heavier drinkers are underrepresented in the survey. As discussed earlier our broad analysis may also mask relationships to deprivation by age groups. In addition the pattern in outcome</w:t>
      </w:r>
      <w:r w:rsidR="002B2C83">
        <w:rPr>
          <w:szCs w:val="24"/>
        </w:rPr>
        <w:t>s</w:t>
      </w:r>
      <w:r>
        <w:rPr>
          <w:szCs w:val="24"/>
        </w:rPr>
        <w:t xml:space="preserve"> due to alcohol may be influenced by other factors such as poorer general health and differences in individuals seeking treatment or help.</w:t>
      </w:r>
    </w:p>
    <w:p w14:paraId="2D4DCC52" w14:textId="77777777" w:rsidR="00636EB1" w:rsidRDefault="00636EB1" w:rsidP="006C1F5F"/>
    <w:p w14:paraId="1CA43EA8" w14:textId="77777777" w:rsidR="00F65D3B" w:rsidRDefault="00636EB1" w:rsidP="00E03235">
      <w:pPr>
        <w:spacing w:before="0"/>
        <w:jc w:val="left"/>
      </w:pPr>
      <w:r>
        <w:br w:type="page"/>
      </w:r>
    </w:p>
    <w:p w14:paraId="640476D7" w14:textId="46216D9C" w:rsidR="00F65D3B" w:rsidRDefault="00B84949">
      <w:pPr>
        <w:spacing w:before="0"/>
        <w:jc w:val="left"/>
      </w:pPr>
      <w:r>
        <w:rPr>
          <w:noProof/>
        </w:rPr>
        <w:lastRenderedPageBreak/>
        <w:drawing>
          <wp:anchor distT="0" distB="0" distL="114300" distR="114300" simplePos="0" relativeHeight="251812864" behindDoc="0" locked="0" layoutInCell="1" allowOverlap="1" wp14:anchorId="1BD32755" wp14:editId="0E98BAE7">
            <wp:simplePos x="0" y="0"/>
            <wp:positionH relativeFrom="column">
              <wp:posOffset>19050</wp:posOffset>
            </wp:positionH>
            <wp:positionV relativeFrom="paragraph">
              <wp:posOffset>356870</wp:posOffset>
            </wp:positionV>
            <wp:extent cx="6657975" cy="7524750"/>
            <wp:effectExtent l="19050" t="0" r="9525" b="0"/>
            <wp:wrapNone/>
            <wp:docPr id="10"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3" cstate="print"/>
                    <a:srcRect/>
                    <a:stretch>
                      <a:fillRect/>
                    </a:stretch>
                  </pic:blipFill>
                  <pic:spPr bwMode="auto">
                    <a:xfrm>
                      <a:off x="0" y="0"/>
                      <a:ext cx="6657975" cy="7524750"/>
                    </a:xfrm>
                    <a:prstGeom prst="rect">
                      <a:avLst/>
                    </a:prstGeom>
                    <a:noFill/>
                    <a:ln w="9525">
                      <a:noFill/>
                      <a:miter lim="800000"/>
                      <a:headEnd/>
                      <a:tailEnd/>
                    </a:ln>
                  </pic:spPr>
                </pic:pic>
              </a:graphicData>
            </a:graphic>
          </wp:anchor>
        </w:drawing>
      </w:r>
      <w:r w:rsidR="007465D8">
        <w:rPr>
          <w:noProof/>
        </w:rPr>
        <mc:AlternateContent>
          <mc:Choice Requires="wpg">
            <w:drawing>
              <wp:inline distT="0" distB="0" distL="0" distR="0" wp14:anchorId="1446ED4A" wp14:editId="365A6D57">
                <wp:extent cx="6689725" cy="7886065"/>
                <wp:effectExtent l="9525" t="11430" r="15875" b="8255"/>
                <wp:docPr id="22" name="Group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9725" cy="7886065"/>
                          <a:chOff x="595" y="994"/>
                          <a:chExt cx="10715" cy="12419"/>
                        </a:xfrm>
                      </wpg:grpSpPr>
                      <wps:wsp>
                        <wps:cNvPr id="23" name="Text Box 238"/>
                        <wps:cNvSpPr txBox="1">
                          <a:spLocks noChangeArrowheads="1"/>
                        </wps:cNvSpPr>
                        <wps:spPr bwMode="auto">
                          <a:xfrm>
                            <a:off x="595" y="994"/>
                            <a:ext cx="10715" cy="476"/>
                          </a:xfrm>
                          <a:prstGeom prst="rect">
                            <a:avLst/>
                          </a:prstGeom>
                          <a:solidFill>
                            <a:srgbClr val="629FC2"/>
                          </a:solidFill>
                          <a:ln w="12700">
                            <a:solidFill>
                              <a:srgbClr val="629FC2"/>
                            </a:solidFill>
                            <a:miter lim="800000"/>
                            <a:headEnd/>
                            <a:tailEnd/>
                          </a:ln>
                        </wps:spPr>
                        <wps:txbx>
                          <w:txbxContent>
                            <w:p w14:paraId="07EAF1E9" w14:textId="77777777" w:rsidR="0021734B" w:rsidRPr="00B12495" w:rsidRDefault="0021734B" w:rsidP="00636EB1">
                              <w:pPr>
                                <w:pStyle w:val="Figureheading"/>
                              </w:pPr>
                              <w:r>
                                <w:t>Figure 38</w:t>
                              </w:r>
                            </w:p>
                          </w:txbxContent>
                        </wps:txbx>
                        <wps:bodyPr rot="0" vert="horz" wrap="square" lIns="91440" tIns="45720" rIns="91440" bIns="45720" anchor="t" anchorCtr="0" upright="1">
                          <a:noAutofit/>
                        </wps:bodyPr>
                      </wps:wsp>
                      <wps:wsp>
                        <wps:cNvPr id="24" name="Rectangle 239"/>
                        <wps:cNvSpPr>
                          <a:spLocks noChangeArrowheads="1"/>
                        </wps:cNvSpPr>
                        <wps:spPr bwMode="auto">
                          <a:xfrm>
                            <a:off x="595" y="1470"/>
                            <a:ext cx="10715" cy="11943"/>
                          </a:xfrm>
                          <a:prstGeom prst="rect">
                            <a:avLst/>
                          </a:prstGeom>
                          <a:noFill/>
                          <a:ln w="12700">
                            <a:solidFill>
                              <a:srgbClr val="688FB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446ED4A" id="Group 240" o:spid="_x0000_s1150" style="width:526.75pt;height:620.95pt;mso-position-horizontal-relative:char;mso-position-vertical-relative:line" coordorigin="595,994" coordsize="10715,124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">
                <v:shape id="Text Box 238" o:spid="_x0000_s1151" type="#_x0000_t202" style="position:absolute;left:595;top:994;width:10715;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" fillcolor="#629fc2" strokecolor="#629fc2" strokeweight="1pt">
                  <v:textbox>
                    <w:txbxContent>
                      <w:p w14:paraId="07EAF1E9" w14:textId="77777777" w:rsidR="0021734B" w:rsidRPr="00B12495" w:rsidRDefault="0021734B" w:rsidP="00636EB1">
                        <w:pPr>
                          <w:pStyle w:val="Figureheading"/>
                        </w:pPr>
                        <w:r>
                          <w:t>Figure 38</w:t>
                        </w:r>
                      </w:p>
                    </w:txbxContent>
                  </v:textbox>
                </v:shape>
                <v:rect id="Rectangle 239" o:spid="_x0000_s1152" style="position:absolute;left:595;top:1470;width:10715;height:1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" filled="f" strokecolor="#688fb0" strokeweight="1pt"/>
                <w10:anchorlock/>
              </v:group>
            </w:pict>
          </mc:Fallback>
        </mc:AlternateContent>
      </w:r>
      <w:r w:rsidR="00F65D3B">
        <w:br w:type="page"/>
      </w:r>
    </w:p>
    <w:p w14:paraId="1A4FFEB5" w14:textId="77777777" w:rsidR="00F65D3B" w:rsidRPr="001B3B1B" w:rsidRDefault="00F65D3B" w:rsidP="00F65D3B">
      <w:pPr>
        <w:pStyle w:val="Heading1"/>
      </w:pPr>
      <w:bookmarkStart w:id="95" w:name="_Toc399249156"/>
      <w:bookmarkStart w:id="96" w:name="_Toc399252959"/>
      <w:bookmarkStart w:id="97" w:name="_Toc400007291"/>
      <w:r w:rsidRPr="00864E07">
        <w:lastRenderedPageBreak/>
        <w:t>References</w:t>
      </w:r>
      <w:bookmarkEnd w:id="95"/>
      <w:bookmarkEnd w:id="96"/>
      <w:bookmarkEnd w:id="97"/>
    </w:p>
    <w:p w14:paraId="09EB2F1D" w14:textId="77777777" w:rsidR="00F65D3B" w:rsidRDefault="00F65D3B" w:rsidP="00F65D3B">
      <w:pPr>
        <w:rPr>
          <w:szCs w:val="24"/>
        </w:rPr>
      </w:pPr>
    </w:p>
    <w:p w14:paraId="1E7B1858" w14:textId="77777777" w:rsidR="007A7BB2" w:rsidRDefault="007A7BB2" w:rsidP="007A7BB2">
      <w:pPr>
        <w:pStyle w:val="ListParagraph"/>
        <w:numPr>
          <w:ilvl w:val="0"/>
          <w:numId w:val="43"/>
        </w:numPr>
        <w:jc w:val="left"/>
      </w:pPr>
      <w:r>
        <w:rPr>
          <w:szCs w:val="24"/>
        </w:rPr>
        <w:t xml:space="preserve">World Health Organisation. </w:t>
      </w:r>
      <w:r>
        <w:rPr>
          <w:i/>
          <w:szCs w:val="24"/>
        </w:rPr>
        <w:t>Global status report on alcohol and health</w:t>
      </w:r>
      <w:r>
        <w:rPr>
          <w:szCs w:val="24"/>
        </w:rPr>
        <w:t xml:space="preserve"> </w:t>
      </w:r>
      <w:r w:rsidRPr="002B24D9">
        <w:rPr>
          <w:i/>
          <w:szCs w:val="24"/>
        </w:rPr>
        <w:t>2014</w:t>
      </w:r>
      <w:r>
        <w:rPr>
          <w:szCs w:val="24"/>
        </w:rPr>
        <w:t>. Geneva: WHO</w:t>
      </w:r>
      <w:r>
        <w:t xml:space="preserve">; 2014.  Available at: </w:t>
      </w:r>
      <w:hyperlink r:id="rId64" w:history="1">
        <w:r>
          <w:rPr>
            <w:rStyle w:val="Hyperlink"/>
          </w:rPr>
          <w:t>http://www.who.int/substance_abuse/publications/global_alcohol_report/en/</w:t>
        </w:r>
      </w:hyperlink>
      <w:r>
        <w:t xml:space="preserve"> [Accessed: 23</w:t>
      </w:r>
      <w:r w:rsidRPr="00293661">
        <w:rPr>
          <w:vertAlign w:val="superscript"/>
        </w:rPr>
        <w:t>rd</w:t>
      </w:r>
      <w:r>
        <w:t xml:space="preserve">  Sep 2014]</w:t>
      </w:r>
    </w:p>
    <w:p w14:paraId="7361B345" w14:textId="77777777" w:rsidR="007A7BB2" w:rsidRDefault="007A7BB2" w:rsidP="007A7BB2">
      <w:pPr>
        <w:pStyle w:val="ListParagraph"/>
        <w:numPr>
          <w:ilvl w:val="0"/>
          <w:numId w:val="43"/>
        </w:numPr>
        <w:jc w:val="left"/>
      </w:pPr>
      <w:r>
        <w:t xml:space="preserve">Welsh Assembly Government.  </w:t>
      </w:r>
      <w:r w:rsidRPr="00146BEE">
        <w:rPr>
          <w:i/>
        </w:rPr>
        <w:t>Working together to reduce harm. The substance misuse strategy for Wales 2008-2018</w:t>
      </w:r>
      <w:r>
        <w:t xml:space="preserve">.  Cardiff: WAG; 2008. Available at:  </w:t>
      </w:r>
      <w:hyperlink r:id="rId65" w:history="1">
        <w:r>
          <w:rPr>
            <w:rStyle w:val="Hyperlink"/>
          </w:rPr>
          <w:t>http://wales.gov.uk/topics/people-and-communities/safety/substancemisuse/publications/strategy0818/?skip=1&amp;lang=en</w:t>
        </w:r>
      </w:hyperlink>
      <w:r>
        <w:t xml:space="preserve">  [Accessed: 23</w:t>
      </w:r>
      <w:r w:rsidRPr="00293661">
        <w:rPr>
          <w:vertAlign w:val="superscript"/>
        </w:rPr>
        <w:t>rd</w:t>
      </w:r>
      <w:r>
        <w:t xml:space="preserve">  Sep 2014)</w:t>
      </w:r>
    </w:p>
    <w:p w14:paraId="06274CF7" w14:textId="77777777" w:rsidR="007A7BB2" w:rsidRDefault="007A7BB2" w:rsidP="007A7BB2">
      <w:pPr>
        <w:pStyle w:val="ListParagraph"/>
        <w:numPr>
          <w:ilvl w:val="0"/>
          <w:numId w:val="43"/>
        </w:numPr>
        <w:jc w:val="left"/>
      </w:pPr>
      <w:r>
        <w:rPr>
          <w:szCs w:val="24"/>
        </w:rPr>
        <w:t xml:space="preserve">Gartner A et al. </w:t>
      </w:r>
      <w:r>
        <w:rPr>
          <w:i/>
          <w:szCs w:val="24"/>
        </w:rPr>
        <w:t xml:space="preserve">A profile of alcohol and health in Wales. </w:t>
      </w:r>
      <w:r>
        <w:rPr>
          <w:szCs w:val="24"/>
        </w:rPr>
        <w:t xml:space="preserve">Cardiff: Wales Centre for Health; 2009. Available at: </w:t>
      </w:r>
      <w:hyperlink r:id="rId66" w:history="1">
        <w:r w:rsidRPr="00600C26">
          <w:rPr>
            <w:rStyle w:val="Hyperlink"/>
            <w:szCs w:val="24"/>
          </w:rPr>
          <w:t>http://www.wales.nhs.uk/sites3/Documents/749/Alcohol%20Profile%20for%20Wales%20(E).pdf</w:t>
        </w:r>
      </w:hyperlink>
      <w:r>
        <w:rPr>
          <w:szCs w:val="24"/>
        </w:rPr>
        <w:t xml:space="preserve">  [Accessed: 23</w:t>
      </w:r>
      <w:r w:rsidRPr="00293661">
        <w:rPr>
          <w:szCs w:val="24"/>
          <w:vertAlign w:val="superscript"/>
        </w:rPr>
        <w:t>rd</w:t>
      </w:r>
      <w:r>
        <w:rPr>
          <w:szCs w:val="24"/>
        </w:rPr>
        <w:t xml:space="preserve">  Sep 2014]</w:t>
      </w:r>
    </w:p>
    <w:p w14:paraId="2CC04C9D" w14:textId="77777777" w:rsidR="007A7BB2" w:rsidRDefault="007A7BB2" w:rsidP="007A7BB2">
      <w:pPr>
        <w:pStyle w:val="ListParagraph"/>
        <w:numPr>
          <w:ilvl w:val="0"/>
          <w:numId w:val="43"/>
        </w:numPr>
        <w:jc w:val="left"/>
      </w:pPr>
      <w:r>
        <w:rPr>
          <w:szCs w:val="24"/>
        </w:rPr>
        <w:t xml:space="preserve">Public Health England. </w:t>
      </w:r>
      <w:r w:rsidRPr="005A41FF">
        <w:rPr>
          <w:i/>
          <w:szCs w:val="24"/>
        </w:rPr>
        <w:t>User guide: Local alcohol profiles for England</w:t>
      </w:r>
      <w:r>
        <w:rPr>
          <w:szCs w:val="24"/>
        </w:rPr>
        <w:t xml:space="preserve">. [Online]. 2014. Available at: </w:t>
      </w:r>
      <w:hyperlink r:id="rId67" w:history="1">
        <w:r>
          <w:rPr>
            <w:rStyle w:val="Hyperlink"/>
            <w:szCs w:val="24"/>
          </w:rPr>
          <w:t>http://www.lape.org.uk/downloads/LAPE%20User%20Guide_Final.pdf</w:t>
        </w:r>
      </w:hyperlink>
      <w:r>
        <w:rPr>
          <w:szCs w:val="24"/>
        </w:rPr>
        <w:t xml:space="preserve"> </w:t>
      </w:r>
      <w:r>
        <w:t>[Accessed: 23</w:t>
      </w:r>
      <w:r w:rsidRPr="00293661">
        <w:rPr>
          <w:vertAlign w:val="superscript"/>
        </w:rPr>
        <w:t>rd</w:t>
      </w:r>
      <w:r>
        <w:t xml:space="preserve">  Sep 2014)</w:t>
      </w:r>
    </w:p>
    <w:p w14:paraId="6847F54E" w14:textId="77777777" w:rsidR="007A7BB2" w:rsidRDefault="007A7BB2" w:rsidP="007A7BB2">
      <w:pPr>
        <w:pStyle w:val="ListParagraph"/>
        <w:numPr>
          <w:ilvl w:val="0"/>
          <w:numId w:val="43"/>
        </w:numPr>
        <w:jc w:val="left"/>
      </w:pPr>
      <w:r>
        <w:rPr>
          <w:szCs w:val="24"/>
        </w:rPr>
        <w:t xml:space="preserve">Jones L, Bellis MA, </w:t>
      </w:r>
      <w:r>
        <w:rPr>
          <w:i/>
          <w:szCs w:val="24"/>
        </w:rPr>
        <w:t>Updating England-specific alcohol-attributable fractions</w:t>
      </w:r>
      <w:r>
        <w:rPr>
          <w:szCs w:val="24"/>
        </w:rPr>
        <w:t xml:space="preserve">. Liverpool: John Moores University; 2014. Available at: </w:t>
      </w:r>
      <w:hyperlink r:id="rId68" w:history="1">
        <w:r>
          <w:rPr>
            <w:rStyle w:val="Hyperlink"/>
            <w:szCs w:val="24"/>
          </w:rPr>
          <w:t>http://www.cph.org.uk/wp-content/uploads/2014/03/24892-ALCOHOL-FRACTIONS-REPORT-A4-singles-24.3.14.pdf</w:t>
        </w:r>
      </w:hyperlink>
      <w:r>
        <w:rPr>
          <w:szCs w:val="24"/>
        </w:rPr>
        <w:t xml:space="preserve"> </w:t>
      </w:r>
      <w:r>
        <w:t xml:space="preserve"> [Accessed: 23</w:t>
      </w:r>
      <w:r w:rsidRPr="00293661">
        <w:rPr>
          <w:vertAlign w:val="superscript"/>
        </w:rPr>
        <w:t>rd</w:t>
      </w:r>
      <w:r>
        <w:t xml:space="preserve">  Sep 2014)</w:t>
      </w:r>
    </w:p>
    <w:p w14:paraId="2B9A9C1C" w14:textId="77777777" w:rsidR="007A7BB2" w:rsidRDefault="007A7BB2" w:rsidP="007A7BB2">
      <w:pPr>
        <w:pStyle w:val="ListParagraph"/>
        <w:numPr>
          <w:ilvl w:val="0"/>
          <w:numId w:val="43"/>
        </w:numPr>
        <w:jc w:val="left"/>
      </w:pPr>
      <w:r>
        <w:rPr>
          <w:szCs w:val="24"/>
        </w:rPr>
        <w:t xml:space="preserve">NHS Choices. </w:t>
      </w:r>
      <w:r w:rsidRPr="00611653">
        <w:rPr>
          <w:i/>
          <w:szCs w:val="24"/>
        </w:rPr>
        <w:t>Alcohol units</w:t>
      </w:r>
      <w:r>
        <w:rPr>
          <w:szCs w:val="24"/>
        </w:rPr>
        <w:t xml:space="preserve">. [Online]. 2013. Available at: </w:t>
      </w:r>
      <w:hyperlink r:id="rId69" w:history="1">
        <w:r>
          <w:rPr>
            <w:rStyle w:val="Hyperlink"/>
            <w:szCs w:val="24"/>
          </w:rPr>
          <w:t>http://www.nhs.uk/Livewell/alcohol/Pages/alcohol-units.aspx</w:t>
        </w:r>
      </w:hyperlink>
      <w:r>
        <w:rPr>
          <w:szCs w:val="24"/>
        </w:rPr>
        <w:t xml:space="preserve"> </w:t>
      </w:r>
      <w:r>
        <w:t>[Accessed: 23 Sep 2014]</w:t>
      </w:r>
    </w:p>
    <w:p w14:paraId="6563B1CA" w14:textId="77777777" w:rsidR="007A7BB2" w:rsidRDefault="007A7BB2" w:rsidP="007A7BB2">
      <w:pPr>
        <w:pStyle w:val="ListParagraph"/>
        <w:numPr>
          <w:ilvl w:val="0"/>
          <w:numId w:val="43"/>
        </w:numPr>
        <w:jc w:val="left"/>
      </w:pPr>
      <w:r>
        <w:rPr>
          <w:szCs w:val="24"/>
        </w:rPr>
        <w:t xml:space="preserve">NHS Choices. </w:t>
      </w:r>
      <w:r w:rsidRPr="00611653">
        <w:rPr>
          <w:i/>
          <w:szCs w:val="24"/>
        </w:rPr>
        <w:t>Should my child drink alcohol?</w:t>
      </w:r>
      <w:r>
        <w:rPr>
          <w:szCs w:val="24"/>
        </w:rPr>
        <w:t xml:space="preserve"> [Online]. 2013. Available at: </w:t>
      </w:r>
      <w:hyperlink r:id="rId70" w:history="1">
        <w:r>
          <w:rPr>
            <w:rStyle w:val="Hyperlink"/>
            <w:szCs w:val="24"/>
          </w:rPr>
          <w:t>http://www.nhs.uk/chq/pages/2595.aspx?categoryid=62</w:t>
        </w:r>
      </w:hyperlink>
      <w:r>
        <w:rPr>
          <w:szCs w:val="24"/>
        </w:rPr>
        <w:t xml:space="preserve"> </w:t>
      </w:r>
      <w:r>
        <w:t xml:space="preserve"> [Accessed: 23</w:t>
      </w:r>
      <w:r w:rsidRPr="00293661">
        <w:rPr>
          <w:vertAlign w:val="superscript"/>
        </w:rPr>
        <w:t>rd</w:t>
      </w:r>
      <w:r>
        <w:t xml:space="preserve">  Sept 2014)</w:t>
      </w:r>
    </w:p>
    <w:p w14:paraId="3CA8877F" w14:textId="77777777" w:rsidR="007A7BB2" w:rsidRDefault="007A7BB2" w:rsidP="007A7BB2">
      <w:pPr>
        <w:pStyle w:val="ListParagraph"/>
        <w:numPr>
          <w:ilvl w:val="0"/>
          <w:numId w:val="43"/>
        </w:numPr>
        <w:jc w:val="left"/>
      </w:pPr>
      <w:r>
        <w:rPr>
          <w:szCs w:val="24"/>
        </w:rPr>
        <w:t xml:space="preserve">Goddard E. </w:t>
      </w:r>
      <w:r>
        <w:rPr>
          <w:i/>
          <w:szCs w:val="24"/>
        </w:rPr>
        <w:t>Obtaining information about drinking through surveys of the general population</w:t>
      </w:r>
      <w:r>
        <w:rPr>
          <w:szCs w:val="24"/>
        </w:rPr>
        <w:t xml:space="preserve">. National Statistics Methodology Series No. 24. [Online]. 2001. </w:t>
      </w:r>
      <w:hyperlink r:id="rId71" w:history="1">
        <w:r w:rsidRPr="00600C26">
          <w:rPr>
            <w:rStyle w:val="Hyperlink"/>
            <w:szCs w:val="24"/>
          </w:rPr>
          <w:t>http://www.ons.gov.uk/ons/guide-method/method-quality/specific/gss-methodology-series/gss-methodology-series--24--obtaining-information-about-drinking-through-surveys-of-the-general-population.pdf</w:t>
        </w:r>
      </w:hyperlink>
      <w:r w:rsidRPr="00611653">
        <w:rPr>
          <w:szCs w:val="24"/>
        </w:rPr>
        <w:t>.</w:t>
      </w:r>
      <w:r>
        <w:rPr>
          <w:szCs w:val="24"/>
        </w:rPr>
        <w:t xml:space="preserve"> [Accessed: 23</w:t>
      </w:r>
      <w:r w:rsidRPr="00293661">
        <w:rPr>
          <w:szCs w:val="24"/>
          <w:vertAlign w:val="superscript"/>
        </w:rPr>
        <w:t xml:space="preserve">rd </w:t>
      </w:r>
      <w:r w:rsidRPr="00293661">
        <w:rPr>
          <w:szCs w:val="24"/>
        </w:rPr>
        <w:t>Sep 2014]</w:t>
      </w:r>
    </w:p>
    <w:p w14:paraId="2862E94E" w14:textId="77777777" w:rsidR="007A7BB2" w:rsidRDefault="007A7BB2" w:rsidP="007A7BB2">
      <w:pPr>
        <w:pStyle w:val="ListParagraph"/>
        <w:numPr>
          <w:ilvl w:val="0"/>
          <w:numId w:val="43"/>
        </w:numPr>
        <w:jc w:val="left"/>
      </w:pPr>
      <w:r>
        <w:rPr>
          <w:szCs w:val="24"/>
        </w:rPr>
        <w:t xml:space="preserve">Catto S, Gibbs D.  </w:t>
      </w:r>
      <w:r>
        <w:rPr>
          <w:i/>
          <w:szCs w:val="24"/>
        </w:rPr>
        <w:t>How much are people in Scotland really drinking?</w:t>
      </w:r>
      <w:r>
        <w:rPr>
          <w:szCs w:val="24"/>
        </w:rPr>
        <w:t xml:space="preserve"> Edinburgh: NHS Health Scotland, ScotPHO; 2008. Available at: </w:t>
      </w:r>
      <w:hyperlink r:id="rId72" w:history="1">
        <w:r w:rsidRPr="00600C26">
          <w:rPr>
            <w:rStyle w:val="Hyperlink"/>
            <w:szCs w:val="24"/>
          </w:rPr>
          <w:t>http://www.scotpho.org.uk/publications/reports-and-papers/491-how-much-are-people-in-scotland-really-drinking-a-review-of-data-from-scotlands-routine-national-surveys-</w:t>
        </w:r>
      </w:hyperlink>
      <w:r>
        <w:rPr>
          <w:szCs w:val="24"/>
        </w:rPr>
        <w:t xml:space="preserve"> [Accessed: 23</w:t>
      </w:r>
      <w:r w:rsidRPr="00293661">
        <w:rPr>
          <w:szCs w:val="24"/>
          <w:vertAlign w:val="superscript"/>
        </w:rPr>
        <w:t>rd</w:t>
      </w:r>
      <w:r>
        <w:rPr>
          <w:szCs w:val="24"/>
        </w:rPr>
        <w:t xml:space="preserve"> Sep 2014]</w:t>
      </w:r>
    </w:p>
    <w:p w14:paraId="759D2AD4" w14:textId="77777777" w:rsidR="007A7BB2" w:rsidRDefault="007A7BB2" w:rsidP="007A7BB2">
      <w:pPr>
        <w:pStyle w:val="ListParagraph"/>
        <w:numPr>
          <w:ilvl w:val="0"/>
          <w:numId w:val="43"/>
        </w:numPr>
        <w:jc w:val="left"/>
        <w:rPr>
          <w:szCs w:val="24"/>
        </w:rPr>
      </w:pPr>
      <w:r>
        <w:rPr>
          <w:szCs w:val="24"/>
        </w:rPr>
        <w:t xml:space="preserve">Public Health Wales Observatory, 2011, </w:t>
      </w:r>
      <w:r>
        <w:rPr>
          <w:i/>
          <w:szCs w:val="24"/>
        </w:rPr>
        <w:t>Measuring inequalities 2011. Trends in mortality and life expectancy in Wales</w:t>
      </w:r>
      <w:r>
        <w:rPr>
          <w:szCs w:val="24"/>
        </w:rPr>
        <w:t xml:space="preserve">. Public Health Wales NHS Trust; 2011. Available at: </w:t>
      </w:r>
      <w:hyperlink r:id="rId73" w:history="1">
        <w:r>
          <w:rPr>
            <w:rStyle w:val="Hyperlink"/>
            <w:szCs w:val="24"/>
          </w:rPr>
          <w:t>http://www.wales.nhs.uk/sitesplus/922/page/58379</w:t>
        </w:r>
      </w:hyperlink>
      <w:r>
        <w:rPr>
          <w:szCs w:val="24"/>
        </w:rPr>
        <w:t xml:space="preserve">  [Accessed: 1</w:t>
      </w:r>
      <w:r w:rsidRPr="00293661">
        <w:rPr>
          <w:szCs w:val="24"/>
          <w:vertAlign w:val="superscript"/>
        </w:rPr>
        <w:t>st</w:t>
      </w:r>
      <w:r>
        <w:rPr>
          <w:szCs w:val="24"/>
        </w:rPr>
        <w:t xml:space="preserve"> Oct 2014]</w:t>
      </w:r>
    </w:p>
    <w:p w14:paraId="2980EA86" w14:textId="77777777" w:rsidR="007A7BB2" w:rsidRPr="00D972DE" w:rsidRDefault="007A7BB2" w:rsidP="007A7BB2">
      <w:pPr>
        <w:pStyle w:val="ListParagraph"/>
        <w:numPr>
          <w:ilvl w:val="0"/>
          <w:numId w:val="43"/>
        </w:numPr>
        <w:jc w:val="left"/>
        <w:rPr>
          <w:szCs w:val="24"/>
        </w:rPr>
      </w:pPr>
      <w:r>
        <w:rPr>
          <w:szCs w:val="24"/>
        </w:rPr>
        <w:t>Fone D et al.</w:t>
      </w:r>
      <w:r w:rsidRPr="00D972DE">
        <w:rPr>
          <w:szCs w:val="24"/>
        </w:rPr>
        <w:t xml:space="preserve"> Socioeconomic patterning of excess alcohol consumption and binge drinking: a cross-sectional study of multilevel associations with neighbourhood deprivation. </w:t>
      </w:r>
      <w:r w:rsidRPr="00D972DE">
        <w:rPr>
          <w:i/>
          <w:szCs w:val="24"/>
        </w:rPr>
        <w:t>BMJ Open</w:t>
      </w:r>
      <w:r w:rsidRPr="00D972DE">
        <w:rPr>
          <w:szCs w:val="24"/>
        </w:rPr>
        <w:t xml:space="preserve"> 2013:3:e002337. doi:10.1136/bmjopen-2012-002337</w:t>
      </w:r>
      <w:r>
        <w:rPr>
          <w:szCs w:val="24"/>
        </w:rPr>
        <w:t xml:space="preserve">. Available at: </w:t>
      </w:r>
      <w:hyperlink r:id="rId74" w:history="1">
        <w:r w:rsidRPr="00600C26">
          <w:rPr>
            <w:rStyle w:val="Hyperlink"/>
            <w:szCs w:val="24"/>
          </w:rPr>
          <w:t>http://bmjopen.bmj.com/content/3/4/e002337.full.pdf+html</w:t>
        </w:r>
      </w:hyperlink>
      <w:r>
        <w:rPr>
          <w:szCs w:val="24"/>
        </w:rPr>
        <w:t xml:space="preserve"> [Accessed: 23</w:t>
      </w:r>
      <w:r w:rsidRPr="00293661">
        <w:rPr>
          <w:szCs w:val="24"/>
          <w:vertAlign w:val="superscript"/>
        </w:rPr>
        <w:t>rd</w:t>
      </w:r>
      <w:r>
        <w:rPr>
          <w:szCs w:val="24"/>
        </w:rPr>
        <w:t xml:space="preserve"> Sep 2014]</w:t>
      </w:r>
      <w:r w:rsidRPr="00D972DE">
        <w:rPr>
          <w:szCs w:val="24"/>
        </w:rPr>
        <w:t xml:space="preserve"> </w:t>
      </w:r>
    </w:p>
    <w:p w14:paraId="51B1D28C" w14:textId="77777777" w:rsidR="00F65D3B" w:rsidRPr="000B599C" w:rsidRDefault="00F65D3B" w:rsidP="00F65D3B">
      <w:pPr>
        <w:rPr>
          <w:szCs w:val="24"/>
        </w:rPr>
      </w:pPr>
    </w:p>
    <w:p w14:paraId="2DE723B8" w14:textId="77777777" w:rsidR="00582541" w:rsidRDefault="00582541" w:rsidP="00F93E67"/>
    <w:sectPr w:rsidR="00582541" w:rsidSect="00512EC3">
      <w:footerReference w:type="default" r:id="rId75"/>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917BCE" w14:textId="77777777" w:rsidR="0021734B" w:rsidRDefault="0021734B" w:rsidP="006E7D29">
      <w:r>
        <w:separator/>
      </w:r>
    </w:p>
  </w:endnote>
  <w:endnote w:type="continuationSeparator" w:id="0">
    <w:p w14:paraId="0D925E58" w14:textId="77777777" w:rsidR="0021734B" w:rsidRDefault="0021734B"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56AC6" w14:textId="77777777" w:rsidR="00EA5947" w:rsidRDefault="00EA59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10C30DCF" w14:textId="24432BD5" w:rsidR="0021734B" w:rsidRDefault="007465D8"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4C88E9D8" wp14:editId="4A972A6B">
                  <wp:simplePos x="0" y="0"/>
                  <wp:positionH relativeFrom="column">
                    <wp:posOffset>-457835</wp:posOffset>
                  </wp:positionH>
                  <wp:positionV relativeFrom="paragraph">
                    <wp:posOffset>-40005</wp:posOffset>
                  </wp:positionV>
                  <wp:extent cx="7561580" cy="206375"/>
                  <wp:effectExtent l="0" t="0" r="1905" b="0"/>
                  <wp:wrapNone/>
                  <wp:docPr id="1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DE6D31"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N9+9Dl/&#10;AgAA/AQAAA4AAAAAAAAAAAAAAAAALgIAAGRycy9lMm9Eb2MueG1sUEsBAi0AFAAGAAgAAAAhAB8K&#10;xZXgAAAACgEAAA8AAAAAAAAAAAAAAAAA2QQAAGRycy9kb3ducmV2LnhtbFBLBQYAAAAABAAEAPMA&#10;AADmBQAAAAA=&#10;" fillcolor="#629fc2" stroked="f"/>
              </w:pict>
            </mc:Fallback>
          </mc:AlternateContent>
        </w:r>
        <w:r w:rsidR="006C3227" w:rsidRPr="00CE5A4B">
          <w:rPr>
            <w:rFonts w:ascii="Verdana" w:hAnsi="Verdana"/>
            <w:b/>
            <w:color w:val="FFFFFF" w:themeColor="background1"/>
            <w:sz w:val="16"/>
          </w:rPr>
          <w:fldChar w:fldCharType="begin"/>
        </w:r>
        <w:r w:rsidR="0021734B" w:rsidRPr="00CE5A4B">
          <w:rPr>
            <w:rFonts w:ascii="Verdana" w:hAnsi="Verdana"/>
            <w:b/>
            <w:color w:val="FFFFFF" w:themeColor="background1"/>
            <w:sz w:val="16"/>
          </w:rPr>
          <w:instrText xml:space="preserve"> PAGE   \* MERGEFORMAT </w:instrText>
        </w:r>
        <w:r w:rsidR="006C3227" w:rsidRPr="00CE5A4B">
          <w:rPr>
            <w:rFonts w:ascii="Verdana" w:hAnsi="Verdana"/>
            <w:b/>
            <w:color w:val="FFFFFF" w:themeColor="background1"/>
            <w:sz w:val="16"/>
          </w:rPr>
          <w:fldChar w:fldCharType="separate"/>
        </w:r>
        <w:r w:rsidR="0021734B">
          <w:rPr>
            <w:rFonts w:ascii="Verdana" w:hAnsi="Verdana"/>
            <w:b/>
            <w:noProof/>
            <w:color w:val="FFFFFF" w:themeColor="background1"/>
            <w:sz w:val="16"/>
          </w:rPr>
          <w:t>2</w:t>
        </w:r>
        <w:r w:rsidR="006C3227" w:rsidRPr="00CE5A4B">
          <w:rPr>
            <w:rFonts w:ascii="Verdana" w:hAnsi="Verdana"/>
            <w:b/>
            <w:color w:val="FFFFFF" w:themeColor="background1"/>
            <w:sz w:val="16"/>
          </w:rPr>
          <w:fldChar w:fldCharType="end"/>
        </w:r>
      </w:p>
    </w:sdtContent>
  </w:sdt>
  <w:p w14:paraId="25F57247" w14:textId="77777777" w:rsidR="0021734B" w:rsidRPr="008410BD" w:rsidRDefault="0021734B" w:rsidP="006E7D2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972E3" w14:textId="77777777" w:rsidR="00EA5947" w:rsidRDefault="00EA594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61"/>
      <w:docPartObj>
        <w:docPartGallery w:val="Page Numbers (Bottom of Page)"/>
        <w:docPartUnique/>
      </w:docPartObj>
    </w:sdtPr>
    <w:sdtEndPr/>
    <w:sdtContent>
      <w:p w14:paraId="10AEB361" w14:textId="288718F2" w:rsidR="0021734B" w:rsidRDefault="007465D8" w:rsidP="00B369F5">
        <w:pPr>
          <w:pStyle w:val="Footer"/>
          <w:jc w:val="center"/>
        </w:pPr>
        <w:r>
          <w:rPr>
            <w:rFonts w:ascii="Verdana" w:hAnsi="Verdana"/>
            <w:b/>
            <w:noProof/>
            <w:color w:val="B5C9D9"/>
            <w:sz w:val="16"/>
          </w:rPr>
          <mc:AlternateContent>
            <mc:Choice Requires="wps">
              <w:drawing>
                <wp:anchor distT="0" distB="0" distL="114300" distR="114300" simplePos="0" relativeHeight="251658240" behindDoc="1" locked="0" layoutInCell="1" allowOverlap="1" wp14:anchorId="3B7FD2E5" wp14:editId="52B2F252">
                  <wp:simplePos x="0" y="0"/>
                  <wp:positionH relativeFrom="column">
                    <wp:posOffset>-457835</wp:posOffset>
                  </wp:positionH>
                  <wp:positionV relativeFrom="paragraph">
                    <wp:posOffset>-40005</wp:posOffset>
                  </wp:positionV>
                  <wp:extent cx="7561580" cy="206375"/>
                  <wp:effectExtent l="0" t="1905" r="1905" b="1270"/>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1164E" id="Rectangle 7" o:spid="_x0000_s1026" style="position:absolute;margin-left:-36.05pt;margin-top:-3.15pt;width:595.4pt;height:1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LuHUXt/&#10;AgAA+wQAAA4AAAAAAAAAAAAAAAAALgIAAGRycy9lMm9Eb2MueG1sUEsBAi0AFAAGAAgAAAAhAB8K&#10;xZXgAAAACgEAAA8AAAAAAAAAAAAAAAAA2QQAAGRycy9kb3ducmV2LnhtbFBLBQYAAAAABAAEAPMA&#10;AADmBQAAAAA=&#10;" fillcolor="#629fc2" stroked="f"/>
              </w:pict>
            </mc:Fallback>
          </mc:AlternateContent>
        </w:r>
        <w:r w:rsidR="006C3227" w:rsidRPr="00CE5A4B">
          <w:rPr>
            <w:rFonts w:ascii="Verdana" w:hAnsi="Verdana"/>
            <w:b/>
            <w:color w:val="FFFFFF" w:themeColor="background1"/>
            <w:sz w:val="16"/>
          </w:rPr>
          <w:fldChar w:fldCharType="begin"/>
        </w:r>
        <w:r w:rsidR="0021734B" w:rsidRPr="00CE5A4B">
          <w:rPr>
            <w:rFonts w:ascii="Verdana" w:hAnsi="Verdana"/>
            <w:b/>
            <w:color w:val="FFFFFF" w:themeColor="background1"/>
            <w:sz w:val="16"/>
          </w:rPr>
          <w:instrText xml:space="preserve"> PAGE   \* MERGEFORMAT </w:instrText>
        </w:r>
        <w:r w:rsidR="006C3227"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6C3227" w:rsidRPr="00CE5A4B">
          <w:rPr>
            <w:rFonts w:ascii="Verdana" w:hAnsi="Verdana"/>
            <w:b/>
            <w:color w:val="FFFFFF" w:themeColor="background1"/>
            <w:sz w:val="16"/>
          </w:rPr>
          <w:fldChar w:fldCharType="end"/>
        </w:r>
      </w:p>
    </w:sdtContent>
  </w:sdt>
  <w:p w14:paraId="19244AFC" w14:textId="77777777" w:rsidR="0021734B" w:rsidRPr="008410BD" w:rsidRDefault="0021734B"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CEEF56" w14:textId="77777777" w:rsidR="0021734B" w:rsidRDefault="0021734B" w:rsidP="006E7D29">
      <w:r>
        <w:separator/>
      </w:r>
    </w:p>
  </w:footnote>
  <w:footnote w:type="continuationSeparator" w:id="0">
    <w:p w14:paraId="3C6705B9" w14:textId="77777777" w:rsidR="0021734B" w:rsidRDefault="0021734B"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9F956" w14:textId="77777777" w:rsidR="00EA5947" w:rsidRDefault="00EA59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FE839" w14:textId="77777777" w:rsidR="0021734B" w:rsidRPr="0094738B" w:rsidRDefault="0021734B" w:rsidP="006E7D29">
    <w:pPr>
      <w:pStyle w:val="Header"/>
      <w:jc w:val="right"/>
      <w:rPr>
        <w:rFonts w:ascii="Verdana" w:hAnsi="Verdana"/>
        <w:color w:val="2D5B75"/>
        <w:sz w:val="16"/>
        <w:szCs w:val="20"/>
      </w:rPr>
    </w:pPr>
    <w:r w:rsidRPr="0094738B">
      <w:rPr>
        <w:rFonts w:ascii="Verdana" w:hAnsi="Verdana"/>
        <w:color w:val="2D5B75"/>
        <w:sz w:val="16"/>
        <w:szCs w:val="20"/>
      </w:rPr>
      <w:t>Alcohol and health in Wales 2014: Wales profile</w:t>
    </w:r>
  </w:p>
  <w:p w14:paraId="34DCDF46" w14:textId="77777777" w:rsidR="0021734B" w:rsidRPr="006E7D29" w:rsidRDefault="0021734B" w:rsidP="006E7D29">
    <w:pPr>
      <w:pStyle w:val="Header"/>
      <w:jc w:val="right"/>
      <w:rPr>
        <w:rFonts w:ascii="Verdana" w:hAnsi="Verdana"/>
        <w:b/>
        <w:color w:val="FFFFFF" w:themeColor="background1"/>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DD5D4" w14:textId="77777777" w:rsidR="00EA5947" w:rsidRDefault="00EA59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4"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7"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8"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20" w15:restartNumberingAfterBreak="0">
    <w:nsid w:val="727549FF"/>
    <w:multiLevelType w:val="multilevel"/>
    <w:tmpl w:val="B0287974"/>
    <w:lvl w:ilvl="0">
      <w:start w:val="1"/>
      <w:numFmt w:val="decimal"/>
      <w:pStyle w:val="Heading1"/>
      <w:lvlText w:val="%1"/>
      <w:lvlJc w:val="left"/>
      <w:pPr>
        <w:tabs>
          <w:tab w:val="num" w:pos="1008"/>
        </w:tabs>
        <w:ind w:left="1008" w:hanging="1008"/>
      </w:pPr>
      <w:rPr>
        <w:b w:val="0"/>
        <w:bCs w:val="0"/>
        <w:i w:val="0"/>
        <w:iCs w:val="0"/>
        <w:caps w:val="0"/>
        <w:smallCaps w:val="0"/>
        <w:strike w:val="0"/>
        <w:dstrike w:val="0"/>
        <w:noProof w:val="0"/>
        <w:vanish w:val="0"/>
        <w:color w:val="B1D0E1"/>
        <w:spacing w:val="0"/>
        <w:kern w:val="0"/>
        <w:position w:val="0"/>
        <w:sz w:val="144"/>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Heading3"/>
      <w:lvlText w:val="%1.%2.%3"/>
      <w:lvlJc w:val="left"/>
      <w:pPr>
        <w:tabs>
          <w:tab w:val="num" w:pos="1292"/>
        </w:tabs>
        <w:ind w:left="1292"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num w:numId="1">
    <w:abstractNumId w:val="5"/>
  </w:num>
  <w:num w:numId="2">
    <w:abstractNumId w:val="0"/>
  </w:num>
  <w:num w:numId="3">
    <w:abstractNumId w:val="20"/>
  </w:num>
  <w:num w:numId="4">
    <w:abstractNumId w:val="6"/>
  </w:num>
  <w:num w:numId="5">
    <w:abstractNumId w:val="8"/>
  </w:num>
  <w:num w:numId="6">
    <w:abstractNumId w:val="20"/>
  </w:num>
  <w:num w:numId="7">
    <w:abstractNumId w:val="16"/>
  </w:num>
  <w:num w:numId="8">
    <w:abstractNumId w:val="20"/>
  </w:num>
  <w:num w:numId="9">
    <w:abstractNumId w:val="20"/>
  </w:num>
  <w:num w:numId="10">
    <w:abstractNumId w:val="3"/>
  </w:num>
  <w:num w:numId="11">
    <w:abstractNumId w:val="2"/>
  </w:num>
  <w:num w:numId="12">
    <w:abstractNumId w:val="13"/>
  </w:num>
  <w:num w:numId="13">
    <w:abstractNumId w:val="17"/>
  </w:num>
  <w:num w:numId="14">
    <w:abstractNumId w:val="20"/>
    <w:lvlOverride w:ilvl="0">
      <w:startOverride w:val="4"/>
    </w:lvlOverride>
    <w:lvlOverride w:ilvl="1">
      <w:startOverride w:val="3"/>
    </w:lvlOverride>
    <w:lvlOverride w:ilvl="2">
      <w:startOverride w:val="2"/>
    </w:lvlOverride>
  </w:num>
  <w:num w:numId="15">
    <w:abstractNumId w:val="20"/>
  </w:num>
  <w:num w:numId="16">
    <w:abstractNumId w:val="20"/>
  </w:num>
  <w:num w:numId="17">
    <w:abstractNumId w:val="20"/>
  </w:num>
  <w:num w:numId="18">
    <w:abstractNumId w:val="20"/>
  </w:num>
  <w:num w:numId="19">
    <w:abstractNumId w:val="20"/>
  </w:num>
  <w:num w:numId="20">
    <w:abstractNumId w:val="20"/>
  </w:num>
  <w:num w:numId="21">
    <w:abstractNumId w:val="20"/>
  </w:num>
  <w:num w:numId="22">
    <w:abstractNumId w:val="20"/>
  </w:num>
  <w:num w:numId="23">
    <w:abstractNumId w:val="20"/>
  </w:num>
  <w:num w:numId="24">
    <w:abstractNumId w:val="18"/>
  </w:num>
  <w:num w:numId="25">
    <w:abstractNumId w:val="9"/>
  </w:num>
  <w:num w:numId="26">
    <w:abstractNumId w:val="4"/>
  </w:num>
  <w:num w:numId="27">
    <w:abstractNumId w:val="14"/>
  </w:num>
  <w:num w:numId="28">
    <w:abstractNumId w:val="1"/>
  </w:num>
  <w:num w:numId="29">
    <w:abstractNumId w:val="15"/>
  </w:num>
  <w:num w:numId="30">
    <w:abstractNumId w:val="12"/>
  </w:num>
  <w:num w:numId="31">
    <w:abstractNumId w:val="11"/>
  </w:num>
  <w:num w:numId="32">
    <w:abstractNumId w:val="10"/>
  </w:num>
  <w:num w:numId="33">
    <w:abstractNumId w:val="20"/>
  </w:num>
  <w:num w:numId="34">
    <w:abstractNumId w:val="20"/>
  </w:num>
  <w:num w:numId="35">
    <w:abstractNumId w:val="20"/>
  </w:num>
  <w:num w:numId="36">
    <w:abstractNumId w:val="20"/>
  </w:num>
  <w:num w:numId="37">
    <w:abstractNumId w:val="20"/>
  </w:num>
  <w:num w:numId="38">
    <w:abstractNumId w:val="7"/>
  </w:num>
  <w:num w:numId="39">
    <w:abstractNumId w:val="20"/>
  </w:num>
  <w:num w:numId="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19"/>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4">
      <v:stroke weight="1pt"/>
      <o:colormenu v:ext="edit" fillcolor="#5d9d91" strokecolor="#5d9d9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B4B"/>
    <w:rsid w:val="00004FCB"/>
    <w:rsid w:val="000056EF"/>
    <w:rsid w:val="0000586B"/>
    <w:rsid w:val="00007DE7"/>
    <w:rsid w:val="000125F0"/>
    <w:rsid w:val="0001370E"/>
    <w:rsid w:val="00013ABB"/>
    <w:rsid w:val="00013C2E"/>
    <w:rsid w:val="00015246"/>
    <w:rsid w:val="000160AF"/>
    <w:rsid w:val="00020B4F"/>
    <w:rsid w:val="00021517"/>
    <w:rsid w:val="000218DC"/>
    <w:rsid w:val="00021DCA"/>
    <w:rsid w:val="00022318"/>
    <w:rsid w:val="00023578"/>
    <w:rsid w:val="0002509A"/>
    <w:rsid w:val="00025105"/>
    <w:rsid w:val="000337F8"/>
    <w:rsid w:val="00034378"/>
    <w:rsid w:val="0003601F"/>
    <w:rsid w:val="000406E2"/>
    <w:rsid w:val="00041D44"/>
    <w:rsid w:val="00042514"/>
    <w:rsid w:val="00047082"/>
    <w:rsid w:val="00047584"/>
    <w:rsid w:val="000514DE"/>
    <w:rsid w:val="00052876"/>
    <w:rsid w:val="0005467A"/>
    <w:rsid w:val="000566F2"/>
    <w:rsid w:val="000573BF"/>
    <w:rsid w:val="00057B43"/>
    <w:rsid w:val="00061117"/>
    <w:rsid w:val="00061B36"/>
    <w:rsid w:val="000620ED"/>
    <w:rsid w:val="00062D4C"/>
    <w:rsid w:val="00063382"/>
    <w:rsid w:val="000637C5"/>
    <w:rsid w:val="00063EDD"/>
    <w:rsid w:val="00065A16"/>
    <w:rsid w:val="00066692"/>
    <w:rsid w:val="00067BB3"/>
    <w:rsid w:val="000701FE"/>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F13"/>
    <w:rsid w:val="00095454"/>
    <w:rsid w:val="00095BBA"/>
    <w:rsid w:val="000A1F26"/>
    <w:rsid w:val="000A6091"/>
    <w:rsid w:val="000A74AC"/>
    <w:rsid w:val="000A7711"/>
    <w:rsid w:val="000B0335"/>
    <w:rsid w:val="000B0F70"/>
    <w:rsid w:val="000B11F5"/>
    <w:rsid w:val="000B1436"/>
    <w:rsid w:val="000B1A7A"/>
    <w:rsid w:val="000B1F34"/>
    <w:rsid w:val="000B383D"/>
    <w:rsid w:val="000B5AF2"/>
    <w:rsid w:val="000B7286"/>
    <w:rsid w:val="000B795B"/>
    <w:rsid w:val="000C1848"/>
    <w:rsid w:val="000C1E88"/>
    <w:rsid w:val="000C2B43"/>
    <w:rsid w:val="000C3095"/>
    <w:rsid w:val="000C327A"/>
    <w:rsid w:val="000C4B18"/>
    <w:rsid w:val="000C52E4"/>
    <w:rsid w:val="000C65E4"/>
    <w:rsid w:val="000C6673"/>
    <w:rsid w:val="000D555D"/>
    <w:rsid w:val="000D594F"/>
    <w:rsid w:val="000E2795"/>
    <w:rsid w:val="000E3AD5"/>
    <w:rsid w:val="000E415D"/>
    <w:rsid w:val="000E4881"/>
    <w:rsid w:val="000E59FC"/>
    <w:rsid w:val="000F22E0"/>
    <w:rsid w:val="000F5319"/>
    <w:rsid w:val="000F63CE"/>
    <w:rsid w:val="000F7FE8"/>
    <w:rsid w:val="00100EF4"/>
    <w:rsid w:val="0010120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214F4"/>
    <w:rsid w:val="00124396"/>
    <w:rsid w:val="00124F74"/>
    <w:rsid w:val="00125927"/>
    <w:rsid w:val="001262C0"/>
    <w:rsid w:val="00127574"/>
    <w:rsid w:val="00131306"/>
    <w:rsid w:val="00131B05"/>
    <w:rsid w:val="00133AE3"/>
    <w:rsid w:val="00135BE6"/>
    <w:rsid w:val="0013770B"/>
    <w:rsid w:val="00140F0A"/>
    <w:rsid w:val="00141EDB"/>
    <w:rsid w:val="0014264E"/>
    <w:rsid w:val="00142B22"/>
    <w:rsid w:val="00143266"/>
    <w:rsid w:val="001433E1"/>
    <w:rsid w:val="0014616D"/>
    <w:rsid w:val="00147ED3"/>
    <w:rsid w:val="001503B8"/>
    <w:rsid w:val="00153485"/>
    <w:rsid w:val="0015395B"/>
    <w:rsid w:val="00154554"/>
    <w:rsid w:val="00160248"/>
    <w:rsid w:val="00161895"/>
    <w:rsid w:val="00162A3F"/>
    <w:rsid w:val="0016379E"/>
    <w:rsid w:val="001639F0"/>
    <w:rsid w:val="00165034"/>
    <w:rsid w:val="00165764"/>
    <w:rsid w:val="00165970"/>
    <w:rsid w:val="00167575"/>
    <w:rsid w:val="00167F87"/>
    <w:rsid w:val="001714D9"/>
    <w:rsid w:val="001728CA"/>
    <w:rsid w:val="00173F33"/>
    <w:rsid w:val="00174B54"/>
    <w:rsid w:val="00176635"/>
    <w:rsid w:val="001813AE"/>
    <w:rsid w:val="0018154F"/>
    <w:rsid w:val="00181BB5"/>
    <w:rsid w:val="00182345"/>
    <w:rsid w:val="00183155"/>
    <w:rsid w:val="001842C8"/>
    <w:rsid w:val="00186B40"/>
    <w:rsid w:val="00190191"/>
    <w:rsid w:val="001907C0"/>
    <w:rsid w:val="00196EA4"/>
    <w:rsid w:val="00197DFF"/>
    <w:rsid w:val="001A29A1"/>
    <w:rsid w:val="001A61BC"/>
    <w:rsid w:val="001A7273"/>
    <w:rsid w:val="001B1190"/>
    <w:rsid w:val="001B2015"/>
    <w:rsid w:val="001B2FB2"/>
    <w:rsid w:val="001B392E"/>
    <w:rsid w:val="001B4741"/>
    <w:rsid w:val="001B509F"/>
    <w:rsid w:val="001B722D"/>
    <w:rsid w:val="001C26D9"/>
    <w:rsid w:val="001C363A"/>
    <w:rsid w:val="001C6674"/>
    <w:rsid w:val="001C745D"/>
    <w:rsid w:val="001C7898"/>
    <w:rsid w:val="001C7BA1"/>
    <w:rsid w:val="001C7F26"/>
    <w:rsid w:val="001C7FB9"/>
    <w:rsid w:val="001D0ED4"/>
    <w:rsid w:val="001D4792"/>
    <w:rsid w:val="001D792A"/>
    <w:rsid w:val="001E0340"/>
    <w:rsid w:val="001E2544"/>
    <w:rsid w:val="001E36E4"/>
    <w:rsid w:val="001E400C"/>
    <w:rsid w:val="001E5463"/>
    <w:rsid w:val="001E5A12"/>
    <w:rsid w:val="001E5D5D"/>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BBD"/>
    <w:rsid w:val="00200D1D"/>
    <w:rsid w:val="00201664"/>
    <w:rsid w:val="002021E2"/>
    <w:rsid w:val="00202A25"/>
    <w:rsid w:val="00202B40"/>
    <w:rsid w:val="00203016"/>
    <w:rsid w:val="00204158"/>
    <w:rsid w:val="0020491B"/>
    <w:rsid w:val="00204D8A"/>
    <w:rsid w:val="00204DB9"/>
    <w:rsid w:val="00205B85"/>
    <w:rsid w:val="00206926"/>
    <w:rsid w:val="0021020F"/>
    <w:rsid w:val="00212436"/>
    <w:rsid w:val="002145C9"/>
    <w:rsid w:val="002145ED"/>
    <w:rsid w:val="002157A7"/>
    <w:rsid w:val="0021734B"/>
    <w:rsid w:val="00217483"/>
    <w:rsid w:val="00223199"/>
    <w:rsid w:val="00223A6D"/>
    <w:rsid w:val="00225423"/>
    <w:rsid w:val="002272DE"/>
    <w:rsid w:val="002273EB"/>
    <w:rsid w:val="00230AE2"/>
    <w:rsid w:val="00232719"/>
    <w:rsid w:val="00232DC6"/>
    <w:rsid w:val="00232E44"/>
    <w:rsid w:val="00233504"/>
    <w:rsid w:val="00233616"/>
    <w:rsid w:val="00235850"/>
    <w:rsid w:val="00235C7A"/>
    <w:rsid w:val="00236F84"/>
    <w:rsid w:val="002400AF"/>
    <w:rsid w:val="0024291A"/>
    <w:rsid w:val="00244E40"/>
    <w:rsid w:val="0024549E"/>
    <w:rsid w:val="00246132"/>
    <w:rsid w:val="00246221"/>
    <w:rsid w:val="00250CD1"/>
    <w:rsid w:val="00251739"/>
    <w:rsid w:val="002523CC"/>
    <w:rsid w:val="00253BDA"/>
    <w:rsid w:val="002547DA"/>
    <w:rsid w:val="00260A29"/>
    <w:rsid w:val="00260C49"/>
    <w:rsid w:val="0026401E"/>
    <w:rsid w:val="002714A5"/>
    <w:rsid w:val="00272750"/>
    <w:rsid w:val="00272789"/>
    <w:rsid w:val="0027297E"/>
    <w:rsid w:val="00272D9B"/>
    <w:rsid w:val="00273D07"/>
    <w:rsid w:val="00274C4C"/>
    <w:rsid w:val="002804CC"/>
    <w:rsid w:val="00280EAD"/>
    <w:rsid w:val="0028129B"/>
    <w:rsid w:val="00282A7D"/>
    <w:rsid w:val="0028770C"/>
    <w:rsid w:val="00287B30"/>
    <w:rsid w:val="002908E6"/>
    <w:rsid w:val="00290E28"/>
    <w:rsid w:val="00290EBF"/>
    <w:rsid w:val="00291EFE"/>
    <w:rsid w:val="002921C6"/>
    <w:rsid w:val="00293280"/>
    <w:rsid w:val="00296408"/>
    <w:rsid w:val="0029666D"/>
    <w:rsid w:val="00297EB6"/>
    <w:rsid w:val="002A0ECD"/>
    <w:rsid w:val="002A37BF"/>
    <w:rsid w:val="002A3B83"/>
    <w:rsid w:val="002B2C83"/>
    <w:rsid w:val="002B357B"/>
    <w:rsid w:val="002B4312"/>
    <w:rsid w:val="002B49B3"/>
    <w:rsid w:val="002B5480"/>
    <w:rsid w:val="002B5BCE"/>
    <w:rsid w:val="002B5F9A"/>
    <w:rsid w:val="002B619A"/>
    <w:rsid w:val="002B7FE7"/>
    <w:rsid w:val="002C392B"/>
    <w:rsid w:val="002C3EB1"/>
    <w:rsid w:val="002C3F26"/>
    <w:rsid w:val="002D0E06"/>
    <w:rsid w:val="002D624F"/>
    <w:rsid w:val="002D6AA2"/>
    <w:rsid w:val="002D7FEF"/>
    <w:rsid w:val="002E106A"/>
    <w:rsid w:val="002E3483"/>
    <w:rsid w:val="002E5AB3"/>
    <w:rsid w:val="002E5DB8"/>
    <w:rsid w:val="002E639C"/>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1244D"/>
    <w:rsid w:val="003131B3"/>
    <w:rsid w:val="003135E0"/>
    <w:rsid w:val="00316690"/>
    <w:rsid w:val="00323C55"/>
    <w:rsid w:val="00324613"/>
    <w:rsid w:val="00324AB9"/>
    <w:rsid w:val="00325351"/>
    <w:rsid w:val="00326E0C"/>
    <w:rsid w:val="00330E10"/>
    <w:rsid w:val="0033287A"/>
    <w:rsid w:val="00335949"/>
    <w:rsid w:val="00335E3A"/>
    <w:rsid w:val="0033606E"/>
    <w:rsid w:val="00336A06"/>
    <w:rsid w:val="00347C8F"/>
    <w:rsid w:val="00351245"/>
    <w:rsid w:val="00353414"/>
    <w:rsid w:val="003559D4"/>
    <w:rsid w:val="00355EE0"/>
    <w:rsid w:val="003578F1"/>
    <w:rsid w:val="00361961"/>
    <w:rsid w:val="00361C6B"/>
    <w:rsid w:val="00363852"/>
    <w:rsid w:val="00364011"/>
    <w:rsid w:val="003642EE"/>
    <w:rsid w:val="00365CB2"/>
    <w:rsid w:val="00370C16"/>
    <w:rsid w:val="003713E3"/>
    <w:rsid w:val="00372915"/>
    <w:rsid w:val="00372F1E"/>
    <w:rsid w:val="00373B06"/>
    <w:rsid w:val="00374043"/>
    <w:rsid w:val="00385CE6"/>
    <w:rsid w:val="00386B7A"/>
    <w:rsid w:val="00387267"/>
    <w:rsid w:val="00390943"/>
    <w:rsid w:val="0039236D"/>
    <w:rsid w:val="00392A95"/>
    <w:rsid w:val="00392BBB"/>
    <w:rsid w:val="003940E5"/>
    <w:rsid w:val="003945CA"/>
    <w:rsid w:val="00394BA2"/>
    <w:rsid w:val="00395F80"/>
    <w:rsid w:val="00396807"/>
    <w:rsid w:val="00396C66"/>
    <w:rsid w:val="003A036A"/>
    <w:rsid w:val="003A4ED1"/>
    <w:rsid w:val="003A51E6"/>
    <w:rsid w:val="003A58B2"/>
    <w:rsid w:val="003A5C71"/>
    <w:rsid w:val="003B11DE"/>
    <w:rsid w:val="003B28A4"/>
    <w:rsid w:val="003B41D9"/>
    <w:rsid w:val="003B45F5"/>
    <w:rsid w:val="003B62B1"/>
    <w:rsid w:val="003C0550"/>
    <w:rsid w:val="003C0AB7"/>
    <w:rsid w:val="003C1AF6"/>
    <w:rsid w:val="003C4FD2"/>
    <w:rsid w:val="003C65B7"/>
    <w:rsid w:val="003C7DAB"/>
    <w:rsid w:val="003D55E3"/>
    <w:rsid w:val="003D5C9E"/>
    <w:rsid w:val="003D6BB8"/>
    <w:rsid w:val="003D7D4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205E"/>
    <w:rsid w:val="00402604"/>
    <w:rsid w:val="00402F09"/>
    <w:rsid w:val="00403614"/>
    <w:rsid w:val="0040375E"/>
    <w:rsid w:val="00403A15"/>
    <w:rsid w:val="00404D0D"/>
    <w:rsid w:val="00406D46"/>
    <w:rsid w:val="00407E15"/>
    <w:rsid w:val="0041169E"/>
    <w:rsid w:val="0041173A"/>
    <w:rsid w:val="00412D86"/>
    <w:rsid w:val="004139EF"/>
    <w:rsid w:val="00414FD1"/>
    <w:rsid w:val="004150C3"/>
    <w:rsid w:val="0041739B"/>
    <w:rsid w:val="00417F5F"/>
    <w:rsid w:val="00423447"/>
    <w:rsid w:val="00424E94"/>
    <w:rsid w:val="00430B01"/>
    <w:rsid w:val="00433D04"/>
    <w:rsid w:val="00434F1A"/>
    <w:rsid w:val="00436D68"/>
    <w:rsid w:val="00436E3B"/>
    <w:rsid w:val="00436F0C"/>
    <w:rsid w:val="00440158"/>
    <w:rsid w:val="00442251"/>
    <w:rsid w:val="00443140"/>
    <w:rsid w:val="00444880"/>
    <w:rsid w:val="00444C6E"/>
    <w:rsid w:val="00445E81"/>
    <w:rsid w:val="004469DB"/>
    <w:rsid w:val="004508F3"/>
    <w:rsid w:val="00454961"/>
    <w:rsid w:val="004550E6"/>
    <w:rsid w:val="00455B30"/>
    <w:rsid w:val="00455E79"/>
    <w:rsid w:val="00456A05"/>
    <w:rsid w:val="00456B01"/>
    <w:rsid w:val="00456C49"/>
    <w:rsid w:val="004618AD"/>
    <w:rsid w:val="004618FD"/>
    <w:rsid w:val="00462291"/>
    <w:rsid w:val="00463421"/>
    <w:rsid w:val="004634A5"/>
    <w:rsid w:val="00465902"/>
    <w:rsid w:val="00465C96"/>
    <w:rsid w:val="004674E6"/>
    <w:rsid w:val="004676DC"/>
    <w:rsid w:val="0047179D"/>
    <w:rsid w:val="00472306"/>
    <w:rsid w:val="00474429"/>
    <w:rsid w:val="004758F8"/>
    <w:rsid w:val="00477E6B"/>
    <w:rsid w:val="00481C9E"/>
    <w:rsid w:val="00482504"/>
    <w:rsid w:val="00483252"/>
    <w:rsid w:val="004834A6"/>
    <w:rsid w:val="004844E8"/>
    <w:rsid w:val="004907DB"/>
    <w:rsid w:val="004909BC"/>
    <w:rsid w:val="00490FB8"/>
    <w:rsid w:val="00492201"/>
    <w:rsid w:val="004932B0"/>
    <w:rsid w:val="0049422B"/>
    <w:rsid w:val="00495E79"/>
    <w:rsid w:val="004A05B5"/>
    <w:rsid w:val="004A1B7C"/>
    <w:rsid w:val="004A3715"/>
    <w:rsid w:val="004A413B"/>
    <w:rsid w:val="004A4940"/>
    <w:rsid w:val="004A5740"/>
    <w:rsid w:val="004A7068"/>
    <w:rsid w:val="004A7DE1"/>
    <w:rsid w:val="004B2EBE"/>
    <w:rsid w:val="004B5DC5"/>
    <w:rsid w:val="004B62DB"/>
    <w:rsid w:val="004B6E31"/>
    <w:rsid w:val="004B7D8C"/>
    <w:rsid w:val="004C0D13"/>
    <w:rsid w:val="004C0EBC"/>
    <w:rsid w:val="004C3261"/>
    <w:rsid w:val="004C3CDE"/>
    <w:rsid w:val="004C787D"/>
    <w:rsid w:val="004C7E40"/>
    <w:rsid w:val="004D074C"/>
    <w:rsid w:val="004D16D4"/>
    <w:rsid w:val="004D2A1E"/>
    <w:rsid w:val="004E1109"/>
    <w:rsid w:val="004E3A03"/>
    <w:rsid w:val="004E479F"/>
    <w:rsid w:val="004E4CB5"/>
    <w:rsid w:val="004E5961"/>
    <w:rsid w:val="004E7D84"/>
    <w:rsid w:val="004F1316"/>
    <w:rsid w:val="004F33DB"/>
    <w:rsid w:val="004F3FED"/>
    <w:rsid w:val="004F44A2"/>
    <w:rsid w:val="004F5204"/>
    <w:rsid w:val="004F639F"/>
    <w:rsid w:val="00502372"/>
    <w:rsid w:val="0050630B"/>
    <w:rsid w:val="00506F77"/>
    <w:rsid w:val="005072D3"/>
    <w:rsid w:val="0051011D"/>
    <w:rsid w:val="00510E54"/>
    <w:rsid w:val="00512EC3"/>
    <w:rsid w:val="005140B9"/>
    <w:rsid w:val="00515C2A"/>
    <w:rsid w:val="00515EDF"/>
    <w:rsid w:val="0051647C"/>
    <w:rsid w:val="005164C2"/>
    <w:rsid w:val="005179DA"/>
    <w:rsid w:val="0052430A"/>
    <w:rsid w:val="0052504B"/>
    <w:rsid w:val="00530221"/>
    <w:rsid w:val="00531585"/>
    <w:rsid w:val="0053235C"/>
    <w:rsid w:val="0053252B"/>
    <w:rsid w:val="005325E2"/>
    <w:rsid w:val="00533E22"/>
    <w:rsid w:val="005344BF"/>
    <w:rsid w:val="00536E3A"/>
    <w:rsid w:val="00540D31"/>
    <w:rsid w:val="00542A22"/>
    <w:rsid w:val="00542A99"/>
    <w:rsid w:val="005434D5"/>
    <w:rsid w:val="005440C6"/>
    <w:rsid w:val="0054499C"/>
    <w:rsid w:val="005454BA"/>
    <w:rsid w:val="0055072D"/>
    <w:rsid w:val="00550A22"/>
    <w:rsid w:val="00554834"/>
    <w:rsid w:val="00554D7D"/>
    <w:rsid w:val="00554F96"/>
    <w:rsid w:val="00556453"/>
    <w:rsid w:val="005572BC"/>
    <w:rsid w:val="00560936"/>
    <w:rsid w:val="00560DCF"/>
    <w:rsid w:val="00561365"/>
    <w:rsid w:val="00561F39"/>
    <w:rsid w:val="00561FB3"/>
    <w:rsid w:val="00562F8A"/>
    <w:rsid w:val="0056349D"/>
    <w:rsid w:val="00564564"/>
    <w:rsid w:val="00567259"/>
    <w:rsid w:val="00570538"/>
    <w:rsid w:val="00570626"/>
    <w:rsid w:val="00570785"/>
    <w:rsid w:val="00570DBD"/>
    <w:rsid w:val="00574EB5"/>
    <w:rsid w:val="00574F81"/>
    <w:rsid w:val="00576EE0"/>
    <w:rsid w:val="005777E7"/>
    <w:rsid w:val="00582233"/>
    <w:rsid w:val="00582541"/>
    <w:rsid w:val="00583447"/>
    <w:rsid w:val="005838C5"/>
    <w:rsid w:val="00584086"/>
    <w:rsid w:val="005847B7"/>
    <w:rsid w:val="00586156"/>
    <w:rsid w:val="00586362"/>
    <w:rsid w:val="0058735C"/>
    <w:rsid w:val="0059056E"/>
    <w:rsid w:val="00593088"/>
    <w:rsid w:val="00593174"/>
    <w:rsid w:val="00594C44"/>
    <w:rsid w:val="005950BF"/>
    <w:rsid w:val="00595419"/>
    <w:rsid w:val="00595B05"/>
    <w:rsid w:val="00597955"/>
    <w:rsid w:val="00597FD9"/>
    <w:rsid w:val="005A2838"/>
    <w:rsid w:val="005A3725"/>
    <w:rsid w:val="005A5A09"/>
    <w:rsid w:val="005A5F64"/>
    <w:rsid w:val="005A6850"/>
    <w:rsid w:val="005B148A"/>
    <w:rsid w:val="005B1534"/>
    <w:rsid w:val="005B2CF8"/>
    <w:rsid w:val="005B5350"/>
    <w:rsid w:val="005C03FB"/>
    <w:rsid w:val="005C1242"/>
    <w:rsid w:val="005C1A61"/>
    <w:rsid w:val="005C23E8"/>
    <w:rsid w:val="005C29A8"/>
    <w:rsid w:val="005C2D41"/>
    <w:rsid w:val="005C46F8"/>
    <w:rsid w:val="005C51BF"/>
    <w:rsid w:val="005C74C0"/>
    <w:rsid w:val="005C7F93"/>
    <w:rsid w:val="005D02A3"/>
    <w:rsid w:val="005D2543"/>
    <w:rsid w:val="005D347E"/>
    <w:rsid w:val="005D4CD0"/>
    <w:rsid w:val="005D50DA"/>
    <w:rsid w:val="005E0823"/>
    <w:rsid w:val="005E1A88"/>
    <w:rsid w:val="005E384B"/>
    <w:rsid w:val="005E3FBF"/>
    <w:rsid w:val="005E416F"/>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1247"/>
    <w:rsid w:val="00611584"/>
    <w:rsid w:val="00611B0C"/>
    <w:rsid w:val="00613966"/>
    <w:rsid w:val="00614138"/>
    <w:rsid w:val="0061422B"/>
    <w:rsid w:val="00614CC9"/>
    <w:rsid w:val="00620284"/>
    <w:rsid w:val="0062088C"/>
    <w:rsid w:val="00620D34"/>
    <w:rsid w:val="0062147E"/>
    <w:rsid w:val="00622030"/>
    <w:rsid w:val="00623E39"/>
    <w:rsid w:val="006248C3"/>
    <w:rsid w:val="00626CBF"/>
    <w:rsid w:val="006273A2"/>
    <w:rsid w:val="00627A2A"/>
    <w:rsid w:val="00630639"/>
    <w:rsid w:val="00630AFD"/>
    <w:rsid w:val="00636EB1"/>
    <w:rsid w:val="00640448"/>
    <w:rsid w:val="00640A1C"/>
    <w:rsid w:val="00641328"/>
    <w:rsid w:val="00641EA1"/>
    <w:rsid w:val="00643753"/>
    <w:rsid w:val="00646A7F"/>
    <w:rsid w:val="006471D5"/>
    <w:rsid w:val="00647335"/>
    <w:rsid w:val="00650B43"/>
    <w:rsid w:val="0065184D"/>
    <w:rsid w:val="00653182"/>
    <w:rsid w:val="0065427C"/>
    <w:rsid w:val="0066000E"/>
    <w:rsid w:val="006607A5"/>
    <w:rsid w:val="00661A59"/>
    <w:rsid w:val="006669BC"/>
    <w:rsid w:val="006675AD"/>
    <w:rsid w:val="006704A0"/>
    <w:rsid w:val="00670991"/>
    <w:rsid w:val="00672042"/>
    <w:rsid w:val="00672564"/>
    <w:rsid w:val="006737EB"/>
    <w:rsid w:val="00674C24"/>
    <w:rsid w:val="00677A58"/>
    <w:rsid w:val="0068047C"/>
    <w:rsid w:val="00691DA0"/>
    <w:rsid w:val="0069223F"/>
    <w:rsid w:val="006928D2"/>
    <w:rsid w:val="006937EA"/>
    <w:rsid w:val="00694323"/>
    <w:rsid w:val="006A136B"/>
    <w:rsid w:val="006A13B1"/>
    <w:rsid w:val="006A2245"/>
    <w:rsid w:val="006A25A2"/>
    <w:rsid w:val="006A3382"/>
    <w:rsid w:val="006A3384"/>
    <w:rsid w:val="006A5007"/>
    <w:rsid w:val="006A5BFD"/>
    <w:rsid w:val="006A7F0B"/>
    <w:rsid w:val="006B0B42"/>
    <w:rsid w:val="006B2B85"/>
    <w:rsid w:val="006B30B3"/>
    <w:rsid w:val="006B4316"/>
    <w:rsid w:val="006B5B1A"/>
    <w:rsid w:val="006C03F6"/>
    <w:rsid w:val="006C0525"/>
    <w:rsid w:val="006C1789"/>
    <w:rsid w:val="006C1F5F"/>
    <w:rsid w:val="006C3227"/>
    <w:rsid w:val="006D0C30"/>
    <w:rsid w:val="006D1843"/>
    <w:rsid w:val="006D2B72"/>
    <w:rsid w:val="006D3283"/>
    <w:rsid w:val="006D43EE"/>
    <w:rsid w:val="006D78C8"/>
    <w:rsid w:val="006E0237"/>
    <w:rsid w:val="006E1BDE"/>
    <w:rsid w:val="006E2F8A"/>
    <w:rsid w:val="006E30E5"/>
    <w:rsid w:val="006E3C18"/>
    <w:rsid w:val="006E7549"/>
    <w:rsid w:val="006E78EA"/>
    <w:rsid w:val="006E7D29"/>
    <w:rsid w:val="006F3495"/>
    <w:rsid w:val="006F690A"/>
    <w:rsid w:val="006F75C3"/>
    <w:rsid w:val="00700110"/>
    <w:rsid w:val="00701EAF"/>
    <w:rsid w:val="00701FCD"/>
    <w:rsid w:val="0070250C"/>
    <w:rsid w:val="00702B27"/>
    <w:rsid w:val="007062B9"/>
    <w:rsid w:val="00707B9E"/>
    <w:rsid w:val="00707C9B"/>
    <w:rsid w:val="007111CA"/>
    <w:rsid w:val="00712B72"/>
    <w:rsid w:val="00712FF1"/>
    <w:rsid w:val="007138BD"/>
    <w:rsid w:val="007217A7"/>
    <w:rsid w:val="00721EC5"/>
    <w:rsid w:val="0072404F"/>
    <w:rsid w:val="00724B3C"/>
    <w:rsid w:val="00724D19"/>
    <w:rsid w:val="00726CF3"/>
    <w:rsid w:val="0072797C"/>
    <w:rsid w:val="007304DF"/>
    <w:rsid w:val="00740A03"/>
    <w:rsid w:val="00741752"/>
    <w:rsid w:val="007417A5"/>
    <w:rsid w:val="00742800"/>
    <w:rsid w:val="00743C1A"/>
    <w:rsid w:val="00743EB9"/>
    <w:rsid w:val="0074447B"/>
    <w:rsid w:val="007459E0"/>
    <w:rsid w:val="007465D8"/>
    <w:rsid w:val="00746880"/>
    <w:rsid w:val="00746A64"/>
    <w:rsid w:val="00747184"/>
    <w:rsid w:val="00750E7A"/>
    <w:rsid w:val="00751E2E"/>
    <w:rsid w:val="0075527C"/>
    <w:rsid w:val="00755A6C"/>
    <w:rsid w:val="00756C71"/>
    <w:rsid w:val="00761AB4"/>
    <w:rsid w:val="00761B4A"/>
    <w:rsid w:val="00762294"/>
    <w:rsid w:val="0076269D"/>
    <w:rsid w:val="007657B4"/>
    <w:rsid w:val="00765BC7"/>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6E72"/>
    <w:rsid w:val="007A05F8"/>
    <w:rsid w:val="007A0E4D"/>
    <w:rsid w:val="007A1C39"/>
    <w:rsid w:val="007A1D5F"/>
    <w:rsid w:val="007A1EB4"/>
    <w:rsid w:val="007A3CDF"/>
    <w:rsid w:val="007A416A"/>
    <w:rsid w:val="007A4BB5"/>
    <w:rsid w:val="007A5216"/>
    <w:rsid w:val="007A6EFC"/>
    <w:rsid w:val="007A72F8"/>
    <w:rsid w:val="007A7BB2"/>
    <w:rsid w:val="007B01AE"/>
    <w:rsid w:val="007B38B7"/>
    <w:rsid w:val="007B4937"/>
    <w:rsid w:val="007B50AE"/>
    <w:rsid w:val="007B6169"/>
    <w:rsid w:val="007B7146"/>
    <w:rsid w:val="007C04EA"/>
    <w:rsid w:val="007C108F"/>
    <w:rsid w:val="007C16A0"/>
    <w:rsid w:val="007C1870"/>
    <w:rsid w:val="007C6076"/>
    <w:rsid w:val="007C6B51"/>
    <w:rsid w:val="007C71BC"/>
    <w:rsid w:val="007C7D0C"/>
    <w:rsid w:val="007D04D4"/>
    <w:rsid w:val="007D09BC"/>
    <w:rsid w:val="007D199F"/>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84E"/>
    <w:rsid w:val="00803B6E"/>
    <w:rsid w:val="008060F7"/>
    <w:rsid w:val="00807876"/>
    <w:rsid w:val="008102EA"/>
    <w:rsid w:val="008127E7"/>
    <w:rsid w:val="00817510"/>
    <w:rsid w:val="00817AD9"/>
    <w:rsid w:val="00820D5F"/>
    <w:rsid w:val="00821DD7"/>
    <w:rsid w:val="00823182"/>
    <w:rsid w:val="0082527C"/>
    <w:rsid w:val="00827C8B"/>
    <w:rsid w:val="00831885"/>
    <w:rsid w:val="00831FB9"/>
    <w:rsid w:val="00832049"/>
    <w:rsid w:val="008358CE"/>
    <w:rsid w:val="00836EDE"/>
    <w:rsid w:val="008410BD"/>
    <w:rsid w:val="00842B6B"/>
    <w:rsid w:val="00842D2E"/>
    <w:rsid w:val="00842DEC"/>
    <w:rsid w:val="00843114"/>
    <w:rsid w:val="00844FBF"/>
    <w:rsid w:val="00845BCC"/>
    <w:rsid w:val="008465DC"/>
    <w:rsid w:val="008469C2"/>
    <w:rsid w:val="00852FBF"/>
    <w:rsid w:val="0085359E"/>
    <w:rsid w:val="00853B08"/>
    <w:rsid w:val="00853E8D"/>
    <w:rsid w:val="008543CF"/>
    <w:rsid w:val="00854869"/>
    <w:rsid w:val="0085619A"/>
    <w:rsid w:val="00856C4A"/>
    <w:rsid w:val="00860667"/>
    <w:rsid w:val="00860810"/>
    <w:rsid w:val="00861710"/>
    <w:rsid w:val="00861730"/>
    <w:rsid w:val="00861D44"/>
    <w:rsid w:val="00862683"/>
    <w:rsid w:val="0086730C"/>
    <w:rsid w:val="00867E9F"/>
    <w:rsid w:val="00870469"/>
    <w:rsid w:val="008704BA"/>
    <w:rsid w:val="00871437"/>
    <w:rsid w:val="0087297B"/>
    <w:rsid w:val="00873467"/>
    <w:rsid w:val="00874A3A"/>
    <w:rsid w:val="00874CB6"/>
    <w:rsid w:val="00875715"/>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302B"/>
    <w:rsid w:val="00893AAC"/>
    <w:rsid w:val="00895A5B"/>
    <w:rsid w:val="008A02EE"/>
    <w:rsid w:val="008A0F1F"/>
    <w:rsid w:val="008A145F"/>
    <w:rsid w:val="008A2A8A"/>
    <w:rsid w:val="008A2ADD"/>
    <w:rsid w:val="008A2FA6"/>
    <w:rsid w:val="008A3147"/>
    <w:rsid w:val="008A647E"/>
    <w:rsid w:val="008A6CA7"/>
    <w:rsid w:val="008A6D6D"/>
    <w:rsid w:val="008B08D3"/>
    <w:rsid w:val="008C3E9C"/>
    <w:rsid w:val="008C5EA2"/>
    <w:rsid w:val="008C5EE2"/>
    <w:rsid w:val="008D0175"/>
    <w:rsid w:val="008D0294"/>
    <w:rsid w:val="008D04A7"/>
    <w:rsid w:val="008D2065"/>
    <w:rsid w:val="008D3688"/>
    <w:rsid w:val="008D36E3"/>
    <w:rsid w:val="008D57A0"/>
    <w:rsid w:val="008D6259"/>
    <w:rsid w:val="008E039A"/>
    <w:rsid w:val="008E1255"/>
    <w:rsid w:val="008E18A1"/>
    <w:rsid w:val="008E1E53"/>
    <w:rsid w:val="008E3D5C"/>
    <w:rsid w:val="008E41C0"/>
    <w:rsid w:val="008E6549"/>
    <w:rsid w:val="008E716C"/>
    <w:rsid w:val="008F035F"/>
    <w:rsid w:val="008F0CA6"/>
    <w:rsid w:val="008F1303"/>
    <w:rsid w:val="008F2FB3"/>
    <w:rsid w:val="008F44D2"/>
    <w:rsid w:val="008F56DB"/>
    <w:rsid w:val="008F5714"/>
    <w:rsid w:val="008F6A00"/>
    <w:rsid w:val="00901E1A"/>
    <w:rsid w:val="00902F98"/>
    <w:rsid w:val="009060C7"/>
    <w:rsid w:val="009076BD"/>
    <w:rsid w:val="0091077E"/>
    <w:rsid w:val="00910E90"/>
    <w:rsid w:val="00912AFC"/>
    <w:rsid w:val="00913AAB"/>
    <w:rsid w:val="00914418"/>
    <w:rsid w:val="00915776"/>
    <w:rsid w:val="0091681D"/>
    <w:rsid w:val="009202D7"/>
    <w:rsid w:val="00923895"/>
    <w:rsid w:val="00924B26"/>
    <w:rsid w:val="00924C7F"/>
    <w:rsid w:val="0092596C"/>
    <w:rsid w:val="00927C92"/>
    <w:rsid w:val="0093157C"/>
    <w:rsid w:val="00932623"/>
    <w:rsid w:val="00932DBB"/>
    <w:rsid w:val="00933A8C"/>
    <w:rsid w:val="00937839"/>
    <w:rsid w:val="00937C6C"/>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3329"/>
    <w:rsid w:val="009733A9"/>
    <w:rsid w:val="00974D02"/>
    <w:rsid w:val="00977AF1"/>
    <w:rsid w:val="0098046A"/>
    <w:rsid w:val="00983E52"/>
    <w:rsid w:val="00984646"/>
    <w:rsid w:val="009849FE"/>
    <w:rsid w:val="00985919"/>
    <w:rsid w:val="00985B16"/>
    <w:rsid w:val="00986663"/>
    <w:rsid w:val="009908C6"/>
    <w:rsid w:val="00993FF4"/>
    <w:rsid w:val="00997334"/>
    <w:rsid w:val="00997B1E"/>
    <w:rsid w:val="009A00AC"/>
    <w:rsid w:val="009A08BE"/>
    <w:rsid w:val="009A160C"/>
    <w:rsid w:val="009A36D4"/>
    <w:rsid w:val="009A3A7D"/>
    <w:rsid w:val="009A68F4"/>
    <w:rsid w:val="009B0521"/>
    <w:rsid w:val="009B0798"/>
    <w:rsid w:val="009B09C7"/>
    <w:rsid w:val="009B2653"/>
    <w:rsid w:val="009B3BEB"/>
    <w:rsid w:val="009B6F34"/>
    <w:rsid w:val="009C145B"/>
    <w:rsid w:val="009C17EB"/>
    <w:rsid w:val="009C2AF5"/>
    <w:rsid w:val="009C2D0D"/>
    <w:rsid w:val="009C2FF5"/>
    <w:rsid w:val="009C5280"/>
    <w:rsid w:val="009C6EF2"/>
    <w:rsid w:val="009D0679"/>
    <w:rsid w:val="009D1D31"/>
    <w:rsid w:val="009D25F5"/>
    <w:rsid w:val="009D5C54"/>
    <w:rsid w:val="009D7CEC"/>
    <w:rsid w:val="009E180C"/>
    <w:rsid w:val="009E1B08"/>
    <w:rsid w:val="009E1D40"/>
    <w:rsid w:val="009E2A6D"/>
    <w:rsid w:val="009E5B89"/>
    <w:rsid w:val="009E6443"/>
    <w:rsid w:val="009E7417"/>
    <w:rsid w:val="009E74B5"/>
    <w:rsid w:val="009F07D2"/>
    <w:rsid w:val="009F2501"/>
    <w:rsid w:val="009F433C"/>
    <w:rsid w:val="009F4B97"/>
    <w:rsid w:val="009F54B5"/>
    <w:rsid w:val="009F5A24"/>
    <w:rsid w:val="00A01A6E"/>
    <w:rsid w:val="00A05845"/>
    <w:rsid w:val="00A0592F"/>
    <w:rsid w:val="00A06289"/>
    <w:rsid w:val="00A066A0"/>
    <w:rsid w:val="00A06B2A"/>
    <w:rsid w:val="00A108A6"/>
    <w:rsid w:val="00A109FD"/>
    <w:rsid w:val="00A10C3E"/>
    <w:rsid w:val="00A12EA5"/>
    <w:rsid w:val="00A1351D"/>
    <w:rsid w:val="00A146D1"/>
    <w:rsid w:val="00A165B0"/>
    <w:rsid w:val="00A1678E"/>
    <w:rsid w:val="00A2017A"/>
    <w:rsid w:val="00A20982"/>
    <w:rsid w:val="00A20E44"/>
    <w:rsid w:val="00A22BD9"/>
    <w:rsid w:val="00A234CC"/>
    <w:rsid w:val="00A24CC8"/>
    <w:rsid w:val="00A30776"/>
    <w:rsid w:val="00A30F34"/>
    <w:rsid w:val="00A310AE"/>
    <w:rsid w:val="00A322AB"/>
    <w:rsid w:val="00A33883"/>
    <w:rsid w:val="00A33B1A"/>
    <w:rsid w:val="00A35D92"/>
    <w:rsid w:val="00A367EB"/>
    <w:rsid w:val="00A37683"/>
    <w:rsid w:val="00A40DB8"/>
    <w:rsid w:val="00A41480"/>
    <w:rsid w:val="00A42385"/>
    <w:rsid w:val="00A44C30"/>
    <w:rsid w:val="00A468F9"/>
    <w:rsid w:val="00A52430"/>
    <w:rsid w:val="00A54172"/>
    <w:rsid w:val="00A6009F"/>
    <w:rsid w:val="00A60521"/>
    <w:rsid w:val="00A60545"/>
    <w:rsid w:val="00A60929"/>
    <w:rsid w:val="00A61038"/>
    <w:rsid w:val="00A6281E"/>
    <w:rsid w:val="00A62D3E"/>
    <w:rsid w:val="00A62EC5"/>
    <w:rsid w:val="00A64D34"/>
    <w:rsid w:val="00A672CC"/>
    <w:rsid w:val="00A7065E"/>
    <w:rsid w:val="00A70DE9"/>
    <w:rsid w:val="00A70EC0"/>
    <w:rsid w:val="00A7138C"/>
    <w:rsid w:val="00A733EA"/>
    <w:rsid w:val="00A742FD"/>
    <w:rsid w:val="00A7516C"/>
    <w:rsid w:val="00A80A7D"/>
    <w:rsid w:val="00A80D31"/>
    <w:rsid w:val="00A81195"/>
    <w:rsid w:val="00A835CB"/>
    <w:rsid w:val="00A83D61"/>
    <w:rsid w:val="00A83E2E"/>
    <w:rsid w:val="00A86215"/>
    <w:rsid w:val="00A86D13"/>
    <w:rsid w:val="00A86E63"/>
    <w:rsid w:val="00A90EDC"/>
    <w:rsid w:val="00A91201"/>
    <w:rsid w:val="00A92D6F"/>
    <w:rsid w:val="00A93403"/>
    <w:rsid w:val="00A9569F"/>
    <w:rsid w:val="00A95E22"/>
    <w:rsid w:val="00A95EE1"/>
    <w:rsid w:val="00A964D5"/>
    <w:rsid w:val="00A96AA4"/>
    <w:rsid w:val="00AA13D3"/>
    <w:rsid w:val="00AA3016"/>
    <w:rsid w:val="00AA3198"/>
    <w:rsid w:val="00AA3777"/>
    <w:rsid w:val="00AA5D69"/>
    <w:rsid w:val="00AA5FE4"/>
    <w:rsid w:val="00AA61A7"/>
    <w:rsid w:val="00AA7259"/>
    <w:rsid w:val="00AA7521"/>
    <w:rsid w:val="00AA7DC3"/>
    <w:rsid w:val="00AB41BB"/>
    <w:rsid w:val="00AB483B"/>
    <w:rsid w:val="00AB5DB6"/>
    <w:rsid w:val="00AB6F70"/>
    <w:rsid w:val="00AB6FA3"/>
    <w:rsid w:val="00AC050E"/>
    <w:rsid w:val="00AC12F8"/>
    <w:rsid w:val="00AC13C0"/>
    <w:rsid w:val="00AC221F"/>
    <w:rsid w:val="00AC3BBC"/>
    <w:rsid w:val="00AC6874"/>
    <w:rsid w:val="00AD0FCC"/>
    <w:rsid w:val="00AD42F0"/>
    <w:rsid w:val="00AD4D26"/>
    <w:rsid w:val="00AD4F0D"/>
    <w:rsid w:val="00AD575C"/>
    <w:rsid w:val="00AD66DA"/>
    <w:rsid w:val="00AD6D97"/>
    <w:rsid w:val="00AD7186"/>
    <w:rsid w:val="00AE0697"/>
    <w:rsid w:val="00AE143B"/>
    <w:rsid w:val="00AE1D8F"/>
    <w:rsid w:val="00AE5B27"/>
    <w:rsid w:val="00AF08E9"/>
    <w:rsid w:val="00AF0D35"/>
    <w:rsid w:val="00AF1853"/>
    <w:rsid w:val="00AF1D44"/>
    <w:rsid w:val="00AF4408"/>
    <w:rsid w:val="00AF4628"/>
    <w:rsid w:val="00AF4AEC"/>
    <w:rsid w:val="00AF6580"/>
    <w:rsid w:val="00AF66C9"/>
    <w:rsid w:val="00B002A5"/>
    <w:rsid w:val="00B00F37"/>
    <w:rsid w:val="00B019BC"/>
    <w:rsid w:val="00B02C8D"/>
    <w:rsid w:val="00B02E71"/>
    <w:rsid w:val="00B02F34"/>
    <w:rsid w:val="00B0321C"/>
    <w:rsid w:val="00B067A2"/>
    <w:rsid w:val="00B06A0D"/>
    <w:rsid w:val="00B07ED3"/>
    <w:rsid w:val="00B10330"/>
    <w:rsid w:val="00B10340"/>
    <w:rsid w:val="00B104E5"/>
    <w:rsid w:val="00B12495"/>
    <w:rsid w:val="00B12D2A"/>
    <w:rsid w:val="00B14F68"/>
    <w:rsid w:val="00B15277"/>
    <w:rsid w:val="00B16BE6"/>
    <w:rsid w:val="00B17296"/>
    <w:rsid w:val="00B17E3C"/>
    <w:rsid w:val="00B2109A"/>
    <w:rsid w:val="00B220F6"/>
    <w:rsid w:val="00B24534"/>
    <w:rsid w:val="00B24D0D"/>
    <w:rsid w:val="00B2691F"/>
    <w:rsid w:val="00B269B6"/>
    <w:rsid w:val="00B31417"/>
    <w:rsid w:val="00B32E8E"/>
    <w:rsid w:val="00B35017"/>
    <w:rsid w:val="00B3508E"/>
    <w:rsid w:val="00B350A1"/>
    <w:rsid w:val="00B35DA5"/>
    <w:rsid w:val="00B3684D"/>
    <w:rsid w:val="00B369F5"/>
    <w:rsid w:val="00B40362"/>
    <w:rsid w:val="00B40873"/>
    <w:rsid w:val="00B43BE8"/>
    <w:rsid w:val="00B43D1C"/>
    <w:rsid w:val="00B43ECD"/>
    <w:rsid w:val="00B446B6"/>
    <w:rsid w:val="00B45811"/>
    <w:rsid w:val="00B57BB8"/>
    <w:rsid w:val="00B60E06"/>
    <w:rsid w:val="00B62E35"/>
    <w:rsid w:val="00B63A68"/>
    <w:rsid w:val="00B6471E"/>
    <w:rsid w:val="00B6475F"/>
    <w:rsid w:val="00B6533E"/>
    <w:rsid w:val="00B6543A"/>
    <w:rsid w:val="00B70132"/>
    <w:rsid w:val="00B72804"/>
    <w:rsid w:val="00B728A9"/>
    <w:rsid w:val="00B72D8B"/>
    <w:rsid w:val="00B72F39"/>
    <w:rsid w:val="00B754A4"/>
    <w:rsid w:val="00B75748"/>
    <w:rsid w:val="00B75FB1"/>
    <w:rsid w:val="00B80B1B"/>
    <w:rsid w:val="00B83D99"/>
    <w:rsid w:val="00B844E4"/>
    <w:rsid w:val="00B84896"/>
    <w:rsid w:val="00B84949"/>
    <w:rsid w:val="00B8518C"/>
    <w:rsid w:val="00B861EB"/>
    <w:rsid w:val="00B900F6"/>
    <w:rsid w:val="00B90A5B"/>
    <w:rsid w:val="00B92322"/>
    <w:rsid w:val="00B92EFF"/>
    <w:rsid w:val="00B93DB1"/>
    <w:rsid w:val="00B9539A"/>
    <w:rsid w:val="00B9542E"/>
    <w:rsid w:val="00B96E4D"/>
    <w:rsid w:val="00BA1B04"/>
    <w:rsid w:val="00BA4346"/>
    <w:rsid w:val="00BA6E79"/>
    <w:rsid w:val="00BA7D8B"/>
    <w:rsid w:val="00BB12B1"/>
    <w:rsid w:val="00BB3641"/>
    <w:rsid w:val="00BB551A"/>
    <w:rsid w:val="00BB6923"/>
    <w:rsid w:val="00BB6A03"/>
    <w:rsid w:val="00BB7F30"/>
    <w:rsid w:val="00BC16C8"/>
    <w:rsid w:val="00BC18AC"/>
    <w:rsid w:val="00BC18C3"/>
    <w:rsid w:val="00BC2175"/>
    <w:rsid w:val="00BC295C"/>
    <w:rsid w:val="00BC2BEC"/>
    <w:rsid w:val="00BC4617"/>
    <w:rsid w:val="00BC4EE5"/>
    <w:rsid w:val="00BD0B00"/>
    <w:rsid w:val="00BD61C5"/>
    <w:rsid w:val="00BD698D"/>
    <w:rsid w:val="00BD789A"/>
    <w:rsid w:val="00BD7A52"/>
    <w:rsid w:val="00BE0F2A"/>
    <w:rsid w:val="00BE2AE2"/>
    <w:rsid w:val="00BE3324"/>
    <w:rsid w:val="00BE7100"/>
    <w:rsid w:val="00BF0BC1"/>
    <w:rsid w:val="00BF3C27"/>
    <w:rsid w:val="00BF3C2C"/>
    <w:rsid w:val="00BF4B29"/>
    <w:rsid w:val="00BF4BF1"/>
    <w:rsid w:val="00BF6943"/>
    <w:rsid w:val="00C00A53"/>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5FF"/>
    <w:rsid w:val="00C34347"/>
    <w:rsid w:val="00C35330"/>
    <w:rsid w:val="00C355BD"/>
    <w:rsid w:val="00C3688E"/>
    <w:rsid w:val="00C41594"/>
    <w:rsid w:val="00C4356C"/>
    <w:rsid w:val="00C437F1"/>
    <w:rsid w:val="00C44D6C"/>
    <w:rsid w:val="00C46A43"/>
    <w:rsid w:val="00C47A61"/>
    <w:rsid w:val="00C50AFA"/>
    <w:rsid w:val="00C51BE0"/>
    <w:rsid w:val="00C52D57"/>
    <w:rsid w:val="00C53BD7"/>
    <w:rsid w:val="00C54A86"/>
    <w:rsid w:val="00C54C96"/>
    <w:rsid w:val="00C607CF"/>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BD1"/>
    <w:rsid w:val="00C91BAF"/>
    <w:rsid w:val="00C920B0"/>
    <w:rsid w:val="00C92EB4"/>
    <w:rsid w:val="00C94A39"/>
    <w:rsid w:val="00C95174"/>
    <w:rsid w:val="00C96BB7"/>
    <w:rsid w:val="00CA04EC"/>
    <w:rsid w:val="00CA3016"/>
    <w:rsid w:val="00CA4263"/>
    <w:rsid w:val="00CA6655"/>
    <w:rsid w:val="00CA70A3"/>
    <w:rsid w:val="00CB2C0E"/>
    <w:rsid w:val="00CB3386"/>
    <w:rsid w:val="00CB401F"/>
    <w:rsid w:val="00CB425B"/>
    <w:rsid w:val="00CB4762"/>
    <w:rsid w:val="00CB5FEA"/>
    <w:rsid w:val="00CC2206"/>
    <w:rsid w:val="00CC27CF"/>
    <w:rsid w:val="00CC364A"/>
    <w:rsid w:val="00CC5ECA"/>
    <w:rsid w:val="00CC77D4"/>
    <w:rsid w:val="00CD07B7"/>
    <w:rsid w:val="00CD0E7B"/>
    <w:rsid w:val="00CD1BD0"/>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A"/>
    <w:rsid w:val="00CF3797"/>
    <w:rsid w:val="00CF3FC7"/>
    <w:rsid w:val="00CF776C"/>
    <w:rsid w:val="00D0189E"/>
    <w:rsid w:val="00D04C9B"/>
    <w:rsid w:val="00D05579"/>
    <w:rsid w:val="00D0580D"/>
    <w:rsid w:val="00D064B4"/>
    <w:rsid w:val="00D0678C"/>
    <w:rsid w:val="00D074B8"/>
    <w:rsid w:val="00D12107"/>
    <w:rsid w:val="00D123CA"/>
    <w:rsid w:val="00D129B1"/>
    <w:rsid w:val="00D13A9F"/>
    <w:rsid w:val="00D1475C"/>
    <w:rsid w:val="00D148A5"/>
    <w:rsid w:val="00D17D4E"/>
    <w:rsid w:val="00D20633"/>
    <w:rsid w:val="00D22F01"/>
    <w:rsid w:val="00D22FDA"/>
    <w:rsid w:val="00D249C1"/>
    <w:rsid w:val="00D24DB8"/>
    <w:rsid w:val="00D25909"/>
    <w:rsid w:val="00D25AFC"/>
    <w:rsid w:val="00D27BBC"/>
    <w:rsid w:val="00D30AF4"/>
    <w:rsid w:val="00D313C7"/>
    <w:rsid w:val="00D320EE"/>
    <w:rsid w:val="00D32CDF"/>
    <w:rsid w:val="00D33DC6"/>
    <w:rsid w:val="00D35FB3"/>
    <w:rsid w:val="00D36B10"/>
    <w:rsid w:val="00D36E60"/>
    <w:rsid w:val="00D37330"/>
    <w:rsid w:val="00D373FD"/>
    <w:rsid w:val="00D37CBA"/>
    <w:rsid w:val="00D4043E"/>
    <w:rsid w:val="00D4123D"/>
    <w:rsid w:val="00D45AB2"/>
    <w:rsid w:val="00D46EC3"/>
    <w:rsid w:val="00D5099F"/>
    <w:rsid w:val="00D512D5"/>
    <w:rsid w:val="00D51630"/>
    <w:rsid w:val="00D51A90"/>
    <w:rsid w:val="00D527C2"/>
    <w:rsid w:val="00D52D23"/>
    <w:rsid w:val="00D551A4"/>
    <w:rsid w:val="00D557ED"/>
    <w:rsid w:val="00D570E4"/>
    <w:rsid w:val="00D5725E"/>
    <w:rsid w:val="00D60531"/>
    <w:rsid w:val="00D6104F"/>
    <w:rsid w:val="00D61690"/>
    <w:rsid w:val="00D6204B"/>
    <w:rsid w:val="00D642CB"/>
    <w:rsid w:val="00D6522B"/>
    <w:rsid w:val="00D659D4"/>
    <w:rsid w:val="00D66056"/>
    <w:rsid w:val="00D7012F"/>
    <w:rsid w:val="00D70DBB"/>
    <w:rsid w:val="00D71F7B"/>
    <w:rsid w:val="00D73430"/>
    <w:rsid w:val="00D7344B"/>
    <w:rsid w:val="00D80438"/>
    <w:rsid w:val="00D80541"/>
    <w:rsid w:val="00D83BA7"/>
    <w:rsid w:val="00D8565A"/>
    <w:rsid w:val="00D85775"/>
    <w:rsid w:val="00D85A6F"/>
    <w:rsid w:val="00D86012"/>
    <w:rsid w:val="00D87AB7"/>
    <w:rsid w:val="00D87D1F"/>
    <w:rsid w:val="00D9197B"/>
    <w:rsid w:val="00D92940"/>
    <w:rsid w:val="00D954C2"/>
    <w:rsid w:val="00D95F5B"/>
    <w:rsid w:val="00DA221B"/>
    <w:rsid w:val="00DA22DC"/>
    <w:rsid w:val="00DA5605"/>
    <w:rsid w:val="00DA65BF"/>
    <w:rsid w:val="00DB0CB4"/>
    <w:rsid w:val="00DB1624"/>
    <w:rsid w:val="00DB5E4D"/>
    <w:rsid w:val="00DB5F97"/>
    <w:rsid w:val="00DB687E"/>
    <w:rsid w:val="00DB7141"/>
    <w:rsid w:val="00DB76B0"/>
    <w:rsid w:val="00DC039A"/>
    <w:rsid w:val="00DC2230"/>
    <w:rsid w:val="00DC31CB"/>
    <w:rsid w:val="00DC5723"/>
    <w:rsid w:val="00DD0083"/>
    <w:rsid w:val="00DD0F5D"/>
    <w:rsid w:val="00DD12AC"/>
    <w:rsid w:val="00DD12F0"/>
    <w:rsid w:val="00DD3929"/>
    <w:rsid w:val="00DD3BCC"/>
    <w:rsid w:val="00DD4881"/>
    <w:rsid w:val="00DD509F"/>
    <w:rsid w:val="00DD5BB6"/>
    <w:rsid w:val="00DD5FFE"/>
    <w:rsid w:val="00DE162A"/>
    <w:rsid w:val="00DE73E0"/>
    <w:rsid w:val="00DE7E54"/>
    <w:rsid w:val="00DF2DAC"/>
    <w:rsid w:val="00DF456C"/>
    <w:rsid w:val="00DF45CB"/>
    <w:rsid w:val="00DF53DF"/>
    <w:rsid w:val="00DF5F69"/>
    <w:rsid w:val="00E02C5A"/>
    <w:rsid w:val="00E03235"/>
    <w:rsid w:val="00E05FDE"/>
    <w:rsid w:val="00E06818"/>
    <w:rsid w:val="00E11F67"/>
    <w:rsid w:val="00E1243C"/>
    <w:rsid w:val="00E1336B"/>
    <w:rsid w:val="00E17916"/>
    <w:rsid w:val="00E20E53"/>
    <w:rsid w:val="00E20E5D"/>
    <w:rsid w:val="00E235B5"/>
    <w:rsid w:val="00E24296"/>
    <w:rsid w:val="00E24AB5"/>
    <w:rsid w:val="00E3042A"/>
    <w:rsid w:val="00E32DAA"/>
    <w:rsid w:val="00E358D6"/>
    <w:rsid w:val="00E3761B"/>
    <w:rsid w:val="00E41A72"/>
    <w:rsid w:val="00E429E3"/>
    <w:rsid w:val="00E42B91"/>
    <w:rsid w:val="00E475DF"/>
    <w:rsid w:val="00E477C7"/>
    <w:rsid w:val="00E47CDB"/>
    <w:rsid w:val="00E47F4D"/>
    <w:rsid w:val="00E503CE"/>
    <w:rsid w:val="00E50748"/>
    <w:rsid w:val="00E50805"/>
    <w:rsid w:val="00E521B7"/>
    <w:rsid w:val="00E52D51"/>
    <w:rsid w:val="00E542B1"/>
    <w:rsid w:val="00E5457D"/>
    <w:rsid w:val="00E54F46"/>
    <w:rsid w:val="00E54F53"/>
    <w:rsid w:val="00E56553"/>
    <w:rsid w:val="00E56B30"/>
    <w:rsid w:val="00E56F40"/>
    <w:rsid w:val="00E60891"/>
    <w:rsid w:val="00E608BD"/>
    <w:rsid w:val="00E612ED"/>
    <w:rsid w:val="00E617D6"/>
    <w:rsid w:val="00E62F2A"/>
    <w:rsid w:val="00E63E17"/>
    <w:rsid w:val="00E63F6C"/>
    <w:rsid w:val="00E64207"/>
    <w:rsid w:val="00E643BD"/>
    <w:rsid w:val="00E659E8"/>
    <w:rsid w:val="00E66FBD"/>
    <w:rsid w:val="00E67197"/>
    <w:rsid w:val="00E676D7"/>
    <w:rsid w:val="00E67AD8"/>
    <w:rsid w:val="00E70AAA"/>
    <w:rsid w:val="00E722D8"/>
    <w:rsid w:val="00E7249E"/>
    <w:rsid w:val="00E730A1"/>
    <w:rsid w:val="00E73B40"/>
    <w:rsid w:val="00E74420"/>
    <w:rsid w:val="00E75BB2"/>
    <w:rsid w:val="00E769A2"/>
    <w:rsid w:val="00E81137"/>
    <w:rsid w:val="00E82068"/>
    <w:rsid w:val="00E825C8"/>
    <w:rsid w:val="00E85619"/>
    <w:rsid w:val="00E861E7"/>
    <w:rsid w:val="00E872B1"/>
    <w:rsid w:val="00E87982"/>
    <w:rsid w:val="00E87ABD"/>
    <w:rsid w:val="00E91674"/>
    <w:rsid w:val="00E91834"/>
    <w:rsid w:val="00E94D3F"/>
    <w:rsid w:val="00E95981"/>
    <w:rsid w:val="00E95DD8"/>
    <w:rsid w:val="00E96B97"/>
    <w:rsid w:val="00EA2488"/>
    <w:rsid w:val="00EA5947"/>
    <w:rsid w:val="00EA7325"/>
    <w:rsid w:val="00EA733D"/>
    <w:rsid w:val="00EA76CE"/>
    <w:rsid w:val="00EB2098"/>
    <w:rsid w:val="00EB24C6"/>
    <w:rsid w:val="00EB276F"/>
    <w:rsid w:val="00EB4C9B"/>
    <w:rsid w:val="00EB56F9"/>
    <w:rsid w:val="00EB6053"/>
    <w:rsid w:val="00EB7506"/>
    <w:rsid w:val="00EC1475"/>
    <w:rsid w:val="00EC2D34"/>
    <w:rsid w:val="00EC5359"/>
    <w:rsid w:val="00EC6834"/>
    <w:rsid w:val="00ED0624"/>
    <w:rsid w:val="00ED32E0"/>
    <w:rsid w:val="00ED3986"/>
    <w:rsid w:val="00ED4067"/>
    <w:rsid w:val="00ED53CC"/>
    <w:rsid w:val="00ED5FC4"/>
    <w:rsid w:val="00ED73B7"/>
    <w:rsid w:val="00ED7792"/>
    <w:rsid w:val="00EE1927"/>
    <w:rsid w:val="00EE3920"/>
    <w:rsid w:val="00EE3C98"/>
    <w:rsid w:val="00EE6014"/>
    <w:rsid w:val="00EE684D"/>
    <w:rsid w:val="00EE728C"/>
    <w:rsid w:val="00EE74DF"/>
    <w:rsid w:val="00EF0EC4"/>
    <w:rsid w:val="00EF112D"/>
    <w:rsid w:val="00EF1BCF"/>
    <w:rsid w:val="00EF7922"/>
    <w:rsid w:val="00F0069E"/>
    <w:rsid w:val="00F019ED"/>
    <w:rsid w:val="00F01EB8"/>
    <w:rsid w:val="00F028DC"/>
    <w:rsid w:val="00F02A94"/>
    <w:rsid w:val="00F033F8"/>
    <w:rsid w:val="00F048AC"/>
    <w:rsid w:val="00F05315"/>
    <w:rsid w:val="00F05A50"/>
    <w:rsid w:val="00F067E8"/>
    <w:rsid w:val="00F13974"/>
    <w:rsid w:val="00F15DC9"/>
    <w:rsid w:val="00F15EA7"/>
    <w:rsid w:val="00F1731B"/>
    <w:rsid w:val="00F22475"/>
    <w:rsid w:val="00F24ABF"/>
    <w:rsid w:val="00F25C67"/>
    <w:rsid w:val="00F25E7A"/>
    <w:rsid w:val="00F26928"/>
    <w:rsid w:val="00F308CC"/>
    <w:rsid w:val="00F3244A"/>
    <w:rsid w:val="00F33753"/>
    <w:rsid w:val="00F34CB4"/>
    <w:rsid w:val="00F40371"/>
    <w:rsid w:val="00F4286E"/>
    <w:rsid w:val="00F435C1"/>
    <w:rsid w:val="00F44B92"/>
    <w:rsid w:val="00F46297"/>
    <w:rsid w:val="00F552AE"/>
    <w:rsid w:val="00F55A7A"/>
    <w:rsid w:val="00F565ED"/>
    <w:rsid w:val="00F62BCD"/>
    <w:rsid w:val="00F62DED"/>
    <w:rsid w:val="00F62E82"/>
    <w:rsid w:val="00F6342E"/>
    <w:rsid w:val="00F63B2D"/>
    <w:rsid w:val="00F64025"/>
    <w:rsid w:val="00F65D3B"/>
    <w:rsid w:val="00F668AD"/>
    <w:rsid w:val="00F66AAE"/>
    <w:rsid w:val="00F67EB7"/>
    <w:rsid w:val="00F708DB"/>
    <w:rsid w:val="00F74C2A"/>
    <w:rsid w:val="00F75974"/>
    <w:rsid w:val="00F82132"/>
    <w:rsid w:val="00F83481"/>
    <w:rsid w:val="00F9110E"/>
    <w:rsid w:val="00F9295E"/>
    <w:rsid w:val="00F93539"/>
    <w:rsid w:val="00F93E67"/>
    <w:rsid w:val="00F9494D"/>
    <w:rsid w:val="00F97578"/>
    <w:rsid w:val="00FA0576"/>
    <w:rsid w:val="00FA4948"/>
    <w:rsid w:val="00FA4FCD"/>
    <w:rsid w:val="00FA71CA"/>
    <w:rsid w:val="00FA77B6"/>
    <w:rsid w:val="00FB0A4B"/>
    <w:rsid w:val="00FB35B3"/>
    <w:rsid w:val="00FB6D05"/>
    <w:rsid w:val="00FC0C3F"/>
    <w:rsid w:val="00FC1DCB"/>
    <w:rsid w:val="00FC22CE"/>
    <w:rsid w:val="00FC2B1A"/>
    <w:rsid w:val="00FC2E03"/>
    <w:rsid w:val="00FD0EF9"/>
    <w:rsid w:val="00FD0FA7"/>
    <w:rsid w:val="00FD230A"/>
    <w:rsid w:val="00FD471D"/>
    <w:rsid w:val="00FD668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4">
      <v:stroke weight="1pt"/>
      <o:colormenu v:ext="edit" fillcolor="#5d9d91" strokecolor="#5d9d91"/>
    </o:shapedefaults>
    <o:shapelayout v:ext="edit">
      <o:idmap v:ext="edit" data="1"/>
      <o:rules v:ext="edit">
        <o:r id="V:Rule5" type="connector" idref="#_x0000_s1267"/>
        <o:r id="V:Rule6" type="connector" idref="#_x0000_s1268"/>
        <o:r id="V:Rule7" type="connector" idref="#_x0000_s1266"/>
        <o:r id="V:Rule8" type="connector" idref="#_x0000_s1269"/>
      </o:rules>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64DA1A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autoRedefine/>
    <w:qFormat/>
    <w:rsid w:val="00DD5FFE"/>
    <w:pPr>
      <w:keepNext/>
      <w:numPr>
        <w:ilvl w:val="2"/>
        <w:numId w:val="3"/>
      </w:numPr>
      <w:spacing w:before="360"/>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F15EA7"/>
    <w:pPr>
      <w:tabs>
        <w:tab w:val="left" w:pos="540"/>
        <w:tab w:val="right" w:leader="dot" w:pos="9072"/>
      </w:tabs>
      <w:ind w:left="547" w:hanging="547"/>
      <w:jc w:val="left"/>
    </w:pPr>
    <w:rPr>
      <w:b/>
      <w:caps/>
      <w:noProof/>
    </w:rPr>
  </w:style>
  <w:style w:type="paragraph" w:styleId="TOC2">
    <w:name w:val="toc 2"/>
    <w:basedOn w:val="Normal"/>
    <w:next w:val="Normal"/>
    <w:autoRedefine/>
    <w:uiPriority w:val="39"/>
    <w:qFormat/>
    <w:rsid w:val="00F15EA7"/>
    <w:pPr>
      <w:tabs>
        <w:tab w:val="left" w:pos="1276"/>
        <w:tab w:val="right" w:leader="dot" w:pos="9072"/>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F15EA7"/>
    <w:pPr>
      <w:tabs>
        <w:tab w:val="left" w:pos="1320"/>
        <w:tab w:val="right" w:leader="dot" w:pos="9072"/>
      </w:tabs>
      <w:spacing w:after="100"/>
      <w:ind w:left="480"/>
    </w:p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wales.nhs.uk/sitesplus/922/page/75228" TargetMode="External"/><Relationship Id="rId26" Type="http://schemas.openxmlformats.org/officeDocument/2006/relationships/image" Target="media/image6.emf"/><Relationship Id="rId39" Type="http://schemas.openxmlformats.org/officeDocument/2006/relationships/image" Target="media/image19.emf"/><Relationship Id="rId21" Type="http://schemas.openxmlformats.org/officeDocument/2006/relationships/image" Target="media/image2.jpeg"/><Relationship Id="rId34" Type="http://schemas.openxmlformats.org/officeDocument/2006/relationships/image" Target="media/image14.emf"/><Relationship Id="rId42" Type="http://schemas.openxmlformats.org/officeDocument/2006/relationships/image" Target="media/image22.emf"/><Relationship Id="rId47" Type="http://schemas.openxmlformats.org/officeDocument/2006/relationships/image" Target="media/image27.emf"/><Relationship Id="rId50" Type="http://schemas.openxmlformats.org/officeDocument/2006/relationships/image" Target="media/image30.emf"/><Relationship Id="rId55" Type="http://schemas.openxmlformats.org/officeDocument/2006/relationships/image" Target="media/image35.emf"/><Relationship Id="rId63" Type="http://schemas.openxmlformats.org/officeDocument/2006/relationships/image" Target="media/image43.emf"/><Relationship Id="rId68" Type="http://schemas.openxmlformats.org/officeDocument/2006/relationships/hyperlink" Target="http://www.cph.org.uk/wp-content/uploads/2014/03/24892-ALCOHOL-FRACTIONS-REPORT-A4-singles-24.3.14.pdf" TargetMode="External"/><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www.ons.gov.uk/ons/guide-method/method-quality/specific/gss-methodology-series/gss-methodology-series--24--obtaining-information-about-drinking-through-surveys-of-the-general-population.pdf" TargetMode="Externa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image" Target="media/image9.emf"/><Relationship Id="rId11" Type="http://schemas.openxmlformats.org/officeDocument/2006/relationships/image" Target="media/image1.jpeg"/><Relationship Id="rId24" Type="http://schemas.openxmlformats.org/officeDocument/2006/relationships/image" Target="media/image4.emf"/><Relationship Id="rId32" Type="http://schemas.openxmlformats.org/officeDocument/2006/relationships/image" Target="media/image12.emf"/><Relationship Id="rId37" Type="http://schemas.openxmlformats.org/officeDocument/2006/relationships/image" Target="media/image17.emf"/><Relationship Id="rId40" Type="http://schemas.openxmlformats.org/officeDocument/2006/relationships/image" Target="media/image20.emf"/><Relationship Id="rId45" Type="http://schemas.openxmlformats.org/officeDocument/2006/relationships/image" Target="media/image25.emf"/><Relationship Id="rId53" Type="http://schemas.openxmlformats.org/officeDocument/2006/relationships/image" Target="media/image33.emf"/><Relationship Id="rId58" Type="http://schemas.openxmlformats.org/officeDocument/2006/relationships/image" Target="media/image38.emf"/><Relationship Id="rId66" Type="http://schemas.openxmlformats.org/officeDocument/2006/relationships/hyperlink" Target="http://www.wales.nhs.uk/sites3/Documents/749/Alcohol%20Profile%20for%20Wales%20(E).pdf" TargetMode="External"/><Relationship Id="rId74" Type="http://schemas.openxmlformats.org/officeDocument/2006/relationships/hyperlink" Target="http://bmjopen.bmj.com/content/3/4/e002337.full.pdf+html"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www.nhs.uk/Livewell/alcohol/Pages/alcohol-units.aspx" TargetMode="External"/><Relationship Id="rId28" Type="http://schemas.openxmlformats.org/officeDocument/2006/relationships/image" Target="media/image8.emf"/><Relationship Id="rId36" Type="http://schemas.openxmlformats.org/officeDocument/2006/relationships/image" Target="media/image16.emf"/><Relationship Id="rId49" Type="http://schemas.openxmlformats.org/officeDocument/2006/relationships/image" Target="media/image29.emf"/><Relationship Id="rId57" Type="http://schemas.openxmlformats.org/officeDocument/2006/relationships/image" Target="media/image37.jpeg"/><Relationship Id="rId61" Type="http://schemas.openxmlformats.org/officeDocument/2006/relationships/image" Target="media/image41.emf"/><Relationship Id="rId10" Type="http://schemas.openxmlformats.org/officeDocument/2006/relationships/endnotes" Target="endnotes.xml"/><Relationship Id="rId19" Type="http://schemas.openxmlformats.org/officeDocument/2006/relationships/hyperlink" Target="mailto:publichealthwalesobservatory@wales.nhs.uk" TargetMode="External"/><Relationship Id="rId31" Type="http://schemas.openxmlformats.org/officeDocument/2006/relationships/image" Target="media/image11.emf"/><Relationship Id="rId44" Type="http://schemas.openxmlformats.org/officeDocument/2006/relationships/image" Target="media/image24.jpeg"/><Relationship Id="rId52" Type="http://schemas.openxmlformats.org/officeDocument/2006/relationships/image" Target="media/image32.emf"/><Relationship Id="rId60" Type="http://schemas.openxmlformats.org/officeDocument/2006/relationships/image" Target="media/image40.emf"/><Relationship Id="rId65" Type="http://schemas.openxmlformats.org/officeDocument/2006/relationships/hyperlink" Target="http://wales.gov.uk/topics/people-and-communities/safety/substancemisuse/publications/strategy0818/?skip=1&amp;lang=en" TargetMode="External"/><Relationship Id="rId73" Type="http://schemas.openxmlformats.org/officeDocument/2006/relationships/hyperlink" Target="http://www.wales.nhs.uk/sitesplus/922/page/58379"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3.jpeg"/><Relationship Id="rId27" Type="http://schemas.openxmlformats.org/officeDocument/2006/relationships/image" Target="media/image7.emf"/><Relationship Id="rId30" Type="http://schemas.openxmlformats.org/officeDocument/2006/relationships/image" Target="media/image10.emf"/><Relationship Id="rId35" Type="http://schemas.openxmlformats.org/officeDocument/2006/relationships/image" Target="media/image15.emf"/><Relationship Id="rId43" Type="http://schemas.openxmlformats.org/officeDocument/2006/relationships/image" Target="media/image23.emf"/><Relationship Id="rId48" Type="http://schemas.openxmlformats.org/officeDocument/2006/relationships/image" Target="media/image28.emf"/><Relationship Id="rId56" Type="http://schemas.openxmlformats.org/officeDocument/2006/relationships/image" Target="media/image36.emf"/><Relationship Id="rId64" Type="http://schemas.openxmlformats.org/officeDocument/2006/relationships/hyperlink" Target="http://www.who.int/substance_abuse/publications/global_alcohol_report/en/" TargetMode="External"/><Relationship Id="rId69" Type="http://schemas.openxmlformats.org/officeDocument/2006/relationships/hyperlink" Target="http://www.nhs.uk/Livewell/alcohol/Pages/alcohol-units.aspx" TargetMode="External"/><Relationship Id="rId7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1.emf"/><Relationship Id="rId72" Type="http://schemas.openxmlformats.org/officeDocument/2006/relationships/hyperlink" Target="http://www.scotpho.org.uk/publications/reports-and-papers/491-how-much-are-people-in-scotland-really-drinking-a-review-of-data-from-scotlands-routine-national-surveys-"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5.emf"/><Relationship Id="rId33" Type="http://schemas.openxmlformats.org/officeDocument/2006/relationships/image" Target="media/image13.jpeg"/><Relationship Id="rId38" Type="http://schemas.openxmlformats.org/officeDocument/2006/relationships/image" Target="media/image18.emf"/><Relationship Id="rId46" Type="http://schemas.openxmlformats.org/officeDocument/2006/relationships/image" Target="media/image26.emf"/><Relationship Id="rId59" Type="http://schemas.openxmlformats.org/officeDocument/2006/relationships/image" Target="media/image39.emf"/><Relationship Id="rId67" Type="http://schemas.openxmlformats.org/officeDocument/2006/relationships/hyperlink" Target="http://www.lape.org.uk/downloads/LAPE%20User%20Guide_Final.pdf" TargetMode="External"/><Relationship Id="rId20" Type="http://schemas.openxmlformats.org/officeDocument/2006/relationships/hyperlink" Target="http://www.publichealthwalesobservatory.wales.nhs.uk/" TargetMode="External"/><Relationship Id="rId41" Type="http://schemas.openxmlformats.org/officeDocument/2006/relationships/image" Target="media/image21.emf"/><Relationship Id="rId54" Type="http://schemas.openxmlformats.org/officeDocument/2006/relationships/image" Target="media/image34.emf"/><Relationship Id="rId62" Type="http://schemas.openxmlformats.org/officeDocument/2006/relationships/image" Target="media/image42.emf"/><Relationship Id="rId70" Type="http://schemas.openxmlformats.org/officeDocument/2006/relationships/hyperlink" Target="http://www.nhs.uk/chq/pages/2595.aspx?categoryid=62" TargetMode="External"/><Relationship Id="rId75"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0C741F-D564-45CF-91EA-413873CD83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505DDE-75F8-4EDD-806B-45016DC8CAF6}">
  <ds:schemaRefs>
    <ds:schemaRef ds:uri="http://schemas.microsoft.com/sharepoint/v3/contenttype/forms"/>
  </ds:schemaRefs>
</ds:datastoreItem>
</file>

<file path=customXml/itemProps3.xml><?xml version="1.0" encoding="utf-8"?>
<ds:datastoreItem xmlns:ds="http://schemas.openxmlformats.org/officeDocument/2006/customXml" ds:itemID="{3FD71404-0979-4221-AB55-19BCFC5D7F48}">
  <ds:schemaRefs>
    <ds:schemaRef ds:uri="f30bebb2-c01f-48d0-81da-dc8b123879c2"/>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E45AD3A9-F064-4429-96CB-8474967B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9813</Words>
  <Characters>55935</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65617</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2021-08-17T09:23:00Z</dcterms:created>
  <dcterms:modified xsi:type="dcterms:W3CDTF">2021-08-17T09:23:00Z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