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Look w:val="04A0"/>
      </w:tblPr>
      <w:tblGrid>
        <w:gridCol w:w="4446"/>
        <w:gridCol w:w="4855"/>
      </w:tblGrid>
      <w:tr w:rsidR="00636621" w:rsidTr="00F641F3">
        <w:tc>
          <w:tcPr>
            <w:tcW w:w="4403" w:type="dxa"/>
          </w:tcPr>
          <w:p w:rsidR="00636621" w:rsidRDefault="00924F05" w:rsidP="00AA1415">
            <w:pPr>
              <w:spacing w:before="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57475" cy="695325"/>
                  <wp:effectExtent l="19050" t="0" r="9525" b="0"/>
                  <wp:docPr id="1" name="Picture 1" descr="PHW%20Observatory%20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W%20Observatory%20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</w:tcPr>
          <w:p w:rsidR="00636621" w:rsidRPr="00AA1415" w:rsidRDefault="00C556BF" w:rsidP="00C556BF">
            <w:pPr>
              <w:spacing w:before="0"/>
              <w:jc w:val="left"/>
              <w:rPr>
                <w:b/>
              </w:rPr>
            </w:pPr>
            <w:r>
              <w:rPr>
                <w:b/>
                <w:sz w:val="40"/>
              </w:rPr>
              <w:t xml:space="preserve">Summary: </w:t>
            </w:r>
            <w:r w:rsidR="007B6DCF" w:rsidRPr="00C556BF">
              <w:rPr>
                <w:b/>
                <w:i/>
                <w:sz w:val="40"/>
              </w:rPr>
              <w:t xml:space="preserve">Our </w:t>
            </w:r>
            <w:r w:rsidRPr="00C556BF">
              <w:rPr>
                <w:b/>
                <w:i/>
                <w:sz w:val="40"/>
              </w:rPr>
              <w:t>h</w:t>
            </w:r>
            <w:r w:rsidR="007B6DCF" w:rsidRPr="00C556BF">
              <w:rPr>
                <w:b/>
                <w:i/>
                <w:sz w:val="40"/>
              </w:rPr>
              <w:t xml:space="preserve">ealthy </w:t>
            </w:r>
            <w:r w:rsidRPr="00C556BF">
              <w:rPr>
                <w:b/>
                <w:i/>
                <w:sz w:val="40"/>
              </w:rPr>
              <w:t>f</w:t>
            </w:r>
            <w:r w:rsidR="007B6DCF" w:rsidRPr="00C556BF">
              <w:rPr>
                <w:b/>
                <w:i/>
                <w:sz w:val="40"/>
              </w:rPr>
              <w:t>uture</w:t>
            </w:r>
            <w:r w:rsidR="007B6DCF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indicators</w:t>
            </w:r>
          </w:p>
        </w:tc>
      </w:tr>
    </w:tbl>
    <w:p w:rsidR="007B6DCF" w:rsidRPr="009F3C05" w:rsidRDefault="007B6DCF" w:rsidP="007B6DCF">
      <w:pPr>
        <w:rPr>
          <w:b/>
        </w:rPr>
      </w:pPr>
      <w:r w:rsidRPr="009F3C05">
        <w:rPr>
          <w:b/>
        </w:rPr>
        <w:t>Purpose</w:t>
      </w:r>
    </w:p>
    <w:p w:rsidR="0064517D" w:rsidRDefault="007B6DCF" w:rsidP="007B6DCF">
      <w:r>
        <w:t xml:space="preserve">This document summarises </w:t>
      </w:r>
      <w:r w:rsidR="00343F66">
        <w:t xml:space="preserve">the </w:t>
      </w:r>
      <w:r>
        <w:t xml:space="preserve">high level indicators to monitor progress against </w:t>
      </w:r>
      <w:r w:rsidRPr="00E14E2D">
        <w:rPr>
          <w:i/>
        </w:rPr>
        <w:t xml:space="preserve">Our </w:t>
      </w:r>
      <w:r w:rsidR="00E14E2D">
        <w:rPr>
          <w:i/>
        </w:rPr>
        <w:t>healthy f</w:t>
      </w:r>
      <w:r w:rsidRPr="00E14E2D">
        <w:rPr>
          <w:i/>
        </w:rPr>
        <w:t>uture</w:t>
      </w:r>
      <w:r>
        <w:t xml:space="preserve"> (OHF), the Public Health Strategic Framework for Wales.</w:t>
      </w:r>
    </w:p>
    <w:p w:rsidR="007B6DCF" w:rsidRPr="009F3C05" w:rsidRDefault="007B6DCF" w:rsidP="0046078D">
      <w:pPr>
        <w:tabs>
          <w:tab w:val="center" w:pos="4542"/>
        </w:tabs>
        <w:rPr>
          <w:b/>
          <w:szCs w:val="24"/>
        </w:rPr>
      </w:pPr>
      <w:r w:rsidRPr="009F3C05">
        <w:rPr>
          <w:b/>
          <w:szCs w:val="24"/>
        </w:rPr>
        <w:t>Background</w:t>
      </w:r>
      <w:r w:rsidR="0046078D">
        <w:rPr>
          <w:b/>
          <w:szCs w:val="24"/>
        </w:rPr>
        <w:tab/>
      </w:r>
    </w:p>
    <w:p w:rsidR="007B6DCF" w:rsidRDefault="00E14E2D" w:rsidP="007B6DCF">
      <w:r>
        <w:rPr>
          <w:szCs w:val="24"/>
        </w:rPr>
        <w:t>This work was agreed during a</w:t>
      </w:r>
      <w:r w:rsidR="007B6DCF">
        <w:rPr>
          <w:szCs w:val="24"/>
        </w:rPr>
        <w:t xml:space="preserve"> workshop between Directors of Public Health, Welsh Government and Public Health Wales Observatory. </w:t>
      </w:r>
      <w:r w:rsidR="00C556BF">
        <w:t>This</w:t>
      </w:r>
      <w:r w:rsidR="007B6DCF">
        <w:t xml:space="preserve"> builds on previous work to develop indicators both within</w:t>
      </w:r>
      <w:r w:rsidR="00C556BF">
        <w:t>, and from outside,</w:t>
      </w:r>
      <w:r w:rsidR="007B6DCF">
        <w:t xml:space="preserve"> Wales.</w:t>
      </w:r>
    </w:p>
    <w:p w:rsidR="007B6DCF" w:rsidRPr="009F3C05" w:rsidRDefault="007B6DCF" w:rsidP="007B6DCF">
      <w:pPr>
        <w:rPr>
          <w:b/>
        </w:rPr>
      </w:pPr>
      <w:r w:rsidRPr="009F3C05">
        <w:rPr>
          <w:b/>
        </w:rPr>
        <w:t>Approach</w:t>
      </w:r>
    </w:p>
    <w:p w:rsidR="007B6DCF" w:rsidRDefault="007B6DCF" w:rsidP="007B6DCF">
      <w:r>
        <w:t xml:space="preserve">The indicators have been selected to monitor progress against the </w:t>
      </w:r>
      <w:r w:rsidR="00E14E2D">
        <w:t xml:space="preserve">ten </w:t>
      </w:r>
      <w:r>
        <w:t>priorities of OHF. Where possible</w:t>
      </w:r>
      <w:r w:rsidR="00C556BF">
        <w:t>,</w:t>
      </w:r>
      <w:r>
        <w:t xml:space="preserve"> they relate to health status or an intermediary measure intended to reflect or influence health status. Indicators we</w:t>
      </w:r>
      <w:r w:rsidR="004B2F80">
        <w:t>re appraised against criteria f</w:t>
      </w:r>
      <w:r>
        <w:t>r</w:t>
      </w:r>
      <w:r w:rsidR="004B2F80">
        <w:t>o</w:t>
      </w:r>
      <w:r>
        <w:t xml:space="preserve">m </w:t>
      </w:r>
      <w:r w:rsidR="00E14E2D">
        <w:rPr>
          <w:i/>
        </w:rPr>
        <w:t>T</w:t>
      </w:r>
      <w:r w:rsidR="00E14E2D" w:rsidRPr="00D57870">
        <w:rPr>
          <w:i/>
        </w:rPr>
        <w:t xml:space="preserve">he </w:t>
      </w:r>
      <w:r w:rsidR="00E14E2D" w:rsidRPr="00D57870">
        <w:rPr>
          <w:i/>
          <w:iCs/>
        </w:rPr>
        <w:t>good indicators guide. Understanding how to use and choose</w:t>
      </w:r>
      <w:r w:rsidR="00E14E2D" w:rsidRPr="00D57870">
        <w:rPr>
          <w:i/>
        </w:rPr>
        <w:t xml:space="preserve"> </w:t>
      </w:r>
      <w:r w:rsidR="00E14E2D" w:rsidRPr="00D57870">
        <w:rPr>
          <w:i/>
          <w:iCs/>
        </w:rPr>
        <w:t>indicators</w:t>
      </w:r>
      <w:r w:rsidR="00E14E2D" w:rsidRPr="00E14E2D">
        <w:rPr>
          <w:i/>
        </w:rPr>
        <w:t xml:space="preserve"> </w:t>
      </w:r>
      <w:r w:rsidRPr="00E14E2D">
        <w:rPr>
          <w:i/>
        </w:rPr>
        <w:t>(</w:t>
      </w:r>
      <w:r>
        <w:t>Pench</w:t>
      </w:r>
      <w:r w:rsidR="004B2F80">
        <w:t>e</w:t>
      </w:r>
      <w:r>
        <w:t>on, 2001).</w:t>
      </w:r>
    </w:p>
    <w:p w:rsidR="00C556BF" w:rsidRDefault="00E14E2D" w:rsidP="00C556BF">
      <w:r>
        <w:rPr>
          <w:szCs w:val="24"/>
        </w:rPr>
        <w:t>P</w:t>
      </w:r>
      <w:r w:rsidR="007B6DCF">
        <w:rPr>
          <w:szCs w:val="24"/>
        </w:rPr>
        <w:t xml:space="preserve">roposed </w:t>
      </w:r>
      <w:r w:rsidR="00C556BF">
        <w:rPr>
          <w:szCs w:val="24"/>
        </w:rPr>
        <w:t xml:space="preserve">indicators </w:t>
      </w:r>
      <w:r>
        <w:rPr>
          <w:szCs w:val="24"/>
        </w:rPr>
        <w:t xml:space="preserve">were </w:t>
      </w:r>
      <w:r w:rsidR="00C556BF">
        <w:rPr>
          <w:szCs w:val="24"/>
        </w:rPr>
        <w:t xml:space="preserve">circulated </w:t>
      </w:r>
      <w:r w:rsidR="00E64AC6">
        <w:rPr>
          <w:szCs w:val="24"/>
        </w:rPr>
        <w:t xml:space="preserve">to </w:t>
      </w:r>
      <w:r w:rsidR="007B6DCF">
        <w:rPr>
          <w:szCs w:val="24"/>
        </w:rPr>
        <w:t xml:space="preserve">Directors of Public Health, Welsh Government, Public Health Wales and others. </w:t>
      </w:r>
      <w:r w:rsidR="0046078D">
        <w:t>P</w:t>
      </w:r>
      <w:r w:rsidR="0046078D" w:rsidRPr="00A66258">
        <w:rPr>
          <w:szCs w:val="24"/>
        </w:rPr>
        <w:t xml:space="preserve">ublic health outcome framework (PHOF) indicators for England </w:t>
      </w:r>
      <w:r w:rsidR="0046078D">
        <w:rPr>
          <w:szCs w:val="24"/>
        </w:rPr>
        <w:t>and</w:t>
      </w:r>
      <w:r w:rsidR="0046078D" w:rsidRPr="00A66258">
        <w:rPr>
          <w:szCs w:val="24"/>
        </w:rPr>
        <w:t xml:space="preserve"> Scotland’s national indicators were reviewed</w:t>
      </w:r>
      <w:r w:rsidR="0046078D">
        <w:rPr>
          <w:szCs w:val="24"/>
        </w:rPr>
        <w:t xml:space="preserve"> as part of the process of drawing-up the indicators for Wales. T</w:t>
      </w:r>
      <w:r>
        <w:rPr>
          <w:szCs w:val="24"/>
        </w:rPr>
        <w:t xml:space="preserve">his revised set of </w:t>
      </w:r>
      <w:r w:rsidR="00343F66">
        <w:rPr>
          <w:szCs w:val="24"/>
        </w:rPr>
        <w:t xml:space="preserve">proposed </w:t>
      </w:r>
      <w:r>
        <w:rPr>
          <w:szCs w:val="24"/>
        </w:rPr>
        <w:t xml:space="preserve">indicators was agreed at a </w:t>
      </w:r>
      <w:r w:rsidR="00C556BF">
        <w:t xml:space="preserve">meeting convened by the </w:t>
      </w:r>
      <w:r w:rsidR="002058E2">
        <w:t xml:space="preserve">then </w:t>
      </w:r>
      <w:r w:rsidR="00C556BF">
        <w:t xml:space="preserve">Deputy Chief Medical Officer for Wales </w:t>
      </w:r>
      <w:r>
        <w:t xml:space="preserve">with </w:t>
      </w:r>
      <w:r w:rsidR="00C556BF">
        <w:t>representation from Directors of Public Health, Welsh Government, and Public Health Wales</w:t>
      </w:r>
      <w:r w:rsidR="00F67E59">
        <w:t xml:space="preserve"> in </w:t>
      </w:r>
      <w:r w:rsidR="0046078D">
        <w:t>s</w:t>
      </w:r>
      <w:r w:rsidR="00F67E59">
        <w:t>pring 2012</w:t>
      </w:r>
      <w:r w:rsidR="00C556BF">
        <w:t>.</w:t>
      </w:r>
    </w:p>
    <w:p w:rsidR="007B6DCF" w:rsidRPr="009F3C05" w:rsidRDefault="009F3C05" w:rsidP="007B6DCF">
      <w:pPr>
        <w:rPr>
          <w:b/>
        </w:rPr>
      </w:pPr>
      <w:r>
        <w:rPr>
          <w:b/>
        </w:rPr>
        <w:t>Indicators</w:t>
      </w:r>
    </w:p>
    <w:p w:rsidR="00E14E2D" w:rsidRDefault="009F3C05" w:rsidP="007B6DCF">
      <w:r>
        <w:t>Eleven indicators have been included</w:t>
      </w:r>
      <w:r w:rsidR="00C556BF">
        <w:t xml:space="preserve">. </w:t>
      </w:r>
      <w:r w:rsidR="00F67E59">
        <w:t>Definitional aspects for the health at work indicator remain outstanding pending publication of the equivalent indicator for England.</w:t>
      </w:r>
    </w:p>
    <w:p w:rsidR="00F641F3" w:rsidRDefault="00F641F3" w:rsidP="007B6DCF">
      <w:r>
        <w:t>Indicators for public health have many purposes, including monitoring outcomes, managing performance and assessing need.</w:t>
      </w:r>
      <w:r w:rsidRPr="007B6DCF">
        <w:t xml:space="preserve"> </w:t>
      </w:r>
      <w:r>
        <w:t xml:space="preserve">This work is not designed to performance manage specific organisations or individuals. Indicators of this nature </w:t>
      </w:r>
      <w:r w:rsidR="00E00CC5">
        <w:t xml:space="preserve">may take long time periods to influence and may be influenced by </w:t>
      </w:r>
      <w:r>
        <w:t xml:space="preserve">factors outside the control of </w:t>
      </w:r>
      <w:r w:rsidR="00E00CC5">
        <w:t xml:space="preserve">UK </w:t>
      </w:r>
      <w:r>
        <w:t>government</w:t>
      </w:r>
      <w:r w:rsidR="00E00CC5">
        <w:t>s</w:t>
      </w:r>
      <w:r>
        <w:t>.</w:t>
      </w:r>
    </w:p>
    <w:p w:rsidR="009F3C05" w:rsidRDefault="009F3C05" w:rsidP="007B6DCF">
      <w:pPr>
        <w:sectPr w:rsidR="009F3C05" w:rsidSect="00AB47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440" w:right="1412" w:bottom="1440" w:left="1412" w:header="720" w:footer="720" w:gutter="0"/>
          <w:cols w:space="720"/>
          <w:noEndnote/>
          <w:docGrid w:linePitch="326"/>
        </w:sectPr>
      </w:pPr>
    </w:p>
    <w:tbl>
      <w:tblPr>
        <w:tblW w:w="143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4386"/>
        <w:gridCol w:w="1891"/>
        <w:gridCol w:w="2353"/>
        <w:gridCol w:w="3050"/>
      </w:tblGrid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b/>
                <w:bCs/>
                <w:color w:val="000000"/>
                <w:sz w:val="20"/>
                <w:lang w:eastAsia="en-GB"/>
              </w:rPr>
              <w:lastRenderedPageBreak/>
              <w:t>Priority outcome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343F66" w:rsidP="007B6DCF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GB"/>
              </w:rPr>
              <w:t>I</w:t>
            </w:r>
            <w:r w:rsidR="007B6DCF" w:rsidRPr="009F3C05">
              <w:rPr>
                <w:rFonts w:cs="Arial"/>
                <w:b/>
                <w:bCs/>
                <w:color w:val="000000"/>
                <w:sz w:val="20"/>
                <w:lang w:eastAsia="en-GB"/>
              </w:rPr>
              <w:t>ndicator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E00CC5">
            <w:pPr>
              <w:spacing w:before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b/>
                <w:color w:val="000000"/>
                <w:sz w:val="20"/>
                <w:lang w:eastAsia="en-GB"/>
              </w:rPr>
              <w:t>Indicator</w:t>
            </w:r>
            <w:r w:rsidR="00E00CC5">
              <w:rPr>
                <w:rFonts w:cs="Arial"/>
                <w:b/>
                <w:color w:val="000000"/>
                <w:sz w:val="20"/>
                <w:lang w:eastAsia="en-GB"/>
              </w:rPr>
              <w:t>/</w:t>
            </w:r>
            <w:r w:rsidRPr="009F3C05">
              <w:rPr>
                <w:rFonts w:cs="Arial"/>
                <w:b/>
                <w:color w:val="000000"/>
                <w:sz w:val="20"/>
                <w:lang w:eastAsia="en-GB"/>
              </w:rPr>
              <w:t>data readiness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b/>
                <w:color w:val="000000"/>
                <w:sz w:val="20"/>
                <w:lang w:eastAsia="en-GB"/>
              </w:rPr>
              <w:t>Note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b/>
                <w:color w:val="000000"/>
                <w:sz w:val="20"/>
                <w:lang w:eastAsia="en-GB"/>
              </w:rPr>
              <w:t>Comparability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health inequities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00CC5" w:rsidRPr="00E00CC5" w:rsidRDefault="00E00CC5" w:rsidP="00E00CC5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Slope index of inequality (SII) for healthy life expectancy at birth (national)</w:t>
            </w:r>
          </w:p>
          <w:p w:rsidR="007B6DCF" w:rsidRPr="00E00CC5" w:rsidRDefault="00E00CC5" w:rsidP="00E00CC5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SII for life expectancy at birth (local)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E00CC5" w:rsidP="00E00CC5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Measure for </w:t>
            </w:r>
            <w:r w:rsidR="007B6DCF" w:rsidRPr="009F3C05">
              <w:rPr>
                <w:rFonts w:cs="Arial"/>
                <w:color w:val="000000"/>
                <w:sz w:val="20"/>
                <w:lang w:eastAsia="en-GB"/>
              </w:rPr>
              <w:t xml:space="preserve"> Fairer Health Outcomes for All</w:t>
            </w:r>
            <w:r w:rsidR="003A1756">
              <w:rPr>
                <w:rFonts w:cs="Arial"/>
                <w:color w:val="000000"/>
                <w:sz w:val="20"/>
                <w:lang w:eastAsia="en-GB"/>
              </w:rPr>
              <w:t xml:space="preserve"> aspiration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3A1756" w:rsidP="003A1756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SII life expectancy within Marmot indicators, England.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smoking prevalence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E00CC5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Proportion of adults who smoke age 16+ (age-standardised)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Self reported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Scotland: comparable with national indicator; England: slight definitional difference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Increasing participation rates in physical activity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Average number of days with 30 minutes moderate or vigorous physical activity, age 16+ (age-standardised, up to maximum of five days)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7B6DCF" w:rsidP="003A1756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Self reported</w:t>
            </w:r>
            <w:r w:rsidR="003A1756">
              <w:rPr>
                <w:rFonts w:cs="Arial"/>
                <w:color w:val="000000"/>
                <w:sz w:val="20"/>
                <w:lang w:eastAsia="en-GB"/>
              </w:rPr>
              <w:t>; Creating an Active Wales target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900B67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Similar, but not comparable indicator within PHOF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unhealthy eating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Proportion of adults eating five portions of fruit and vegetables per day (age-standardised)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FC73A0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Healthy, not unhealthy eating. </w:t>
            </w:r>
            <w:r w:rsidR="007B6DCF" w:rsidRPr="009F3C05">
              <w:rPr>
                <w:rFonts w:cs="Arial"/>
                <w:color w:val="000000"/>
                <w:sz w:val="20"/>
                <w:lang w:eastAsia="en-GB"/>
              </w:rPr>
              <w:t>Self reported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Comparable figures available</w:t>
            </w:r>
            <w:r w:rsidR="004B2F80">
              <w:rPr>
                <w:rFonts w:cs="Arial"/>
                <w:color w:val="000000"/>
                <w:sz w:val="20"/>
                <w:lang w:eastAsia="en-GB"/>
              </w:rPr>
              <w:t xml:space="preserve"> (not within PHOF)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unhealthy eating / increasing physical activity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E14E2D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Proportion of adults overweight or obese (body mass index ≥ 25)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Self reported height and weight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900B67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Data for comparison in England </w:t>
            </w:r>
            <w:r w:rsidR="00900B67">
              <w:rPr>
                <w:rFonts w:cs="Arial"/>
                <w:color w:val="000000"/>
                <w:sz w:val="20"/>
                <w:lang w:eastAsia="en-GB"/>
              </w:rPr>
              <w:t xml:space="preserve">uses </w:t>
            </w: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measured </w:t>
            </w:r>
            <w:r w:rsidR="00900B67">
              <w:rPr>
                <w:rFonts w:cs="Arial"/>
                <w:color w:val="000000"/>
                <w:sz w:val="20"/>
                <w:lang w:eastAsia="en-GB"/>
              </w:rPr>
              <w:t>height and weight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Stopping the growth in harm from alcohol and drugs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Rate of alcohol-specific admissions to hospital per 100,000 population  (age-standardised)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344EBB" w:rsidP="00344EBB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Healthcare usage measure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Broadly comparable data available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teenage pregnancy rates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Rate of conceptions among females aged under 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4B2F80" w:rsidP="00884B7C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Relates to </w:t>
            </w:r>
            <w:r w:rsidR="00884B7C">
              <w:rPr>
                <w:rFonts w:cs="Arial"/>
                <w:color w:val="000000"/>
                <w:sz w:val="20"/>
                <w:lang w:eastAsia="en-GB"/>
              </w:rPr>
              <w:t>national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approach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Comparable data available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3A1756" w:rsidRDefault="007B6DCF" w:rsidP="00900B67">
            <w:pPr>
              <w:spacing w:before="0"/>
              <w:jc w:val="left"/>
              <w:rPr>
                <w:rFonts w:cs="Arial"/>
                <w:iCs/>
                <w:color w:val="000000"/>
                <w:sz w:val="20"/>
                <w:lang w:eastAsia="en-GB"/>
              </w:rPr>
            </w:pPr>
            <w:r w:rsidRPr="003A1756">
              <w:rPr>
                <w:rFonts w:cs="Arial"/>
                <w:iCs/>
                <w:color w:val="000000"/>
                <w:sz w:val="20"/>
                <w:lang w:eastAsia="en-GB"/>
              </w:rPr>
              <w:t>Improving health at work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E00CC5" w:rsidRDefault="00E00CC5" w:rsidP="003A1756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Gap between the employment rate for those with a long-term health condition and the overall employment rate (age 16-64)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8B05A0" w:rsidP="003A1756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No. </w:t>
            </w:r>
            <w:r w:rsidR="007B6DCF" w:rsidRPr="009F3C05">
              <w:rPr>
                <w:rFonts w:cs="Arial"/>
                <w:color w:val="000000"/>
                <w:sz w:val="20"/>
                <w:lang w:eastAsia="en-GB"/>
              </w:rPr>
              <w:t xml:space="preserve">Definition </w:t>
            </w:r>
            <w:r w:rsidR="003A1756">
              <w:rPr>
                <w:rFonts w:cs="Arial"/>
                <w:color w:val="000000"/>
                <w:sz w:val="20"/>
                <w:lang w:eastAsia="en-GB"/>
              </w:rPr>
              <w:t>will match English definition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3A1756" w:rsidP="00F641F3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Not currently </w:t>
            </w:r>
            <w:r w:rsidR="00900B67">
              <w:rPr>
                <w:rFonts w:cs="Arial"/>
                <w:color w:val="000000"/>
                <w:sz w:val="20"/>
                <w:lang w:eastAsia="en-GB"/>
              </w:rPr>
              <w:t>produced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Indicator proposed in PHOF, England. 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Increasing vaccination and immunisation  rates to target levels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Uptake of scheduled childhood vaccinations at age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3A1756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9F3C0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New composite measure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Wales </w:t>
            </w:r>
            <w:r w:rsidR="00F641F3">
              <w:rPr>
                <w:rFonts w:cs="Arial"/>
                <w:color w:val="000000"/>
                <w:sz w:val="20"/>
                <w:lang w:eastAsia="en-GB"/>
              </w:rPr>
              <w:t xml:space="preserve">only </w:t>
            </w:r>
            <w:r w:rsidRPr="009F3C05">
              <w:rPr>
                <w:rFonts w:cs="Arial"/>
                <w:color w:val="000000"/>
                <w:sz w:val="20"/>
                <w:lang w:eastAsia="en-GB"/>
              </w:rPr>
              <w:t>indicator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Improving mental wellbeing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E00CC5" w:rsidRDefault="00E00CC5" w:rsidP="00E00CC5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Proportion of population free from a common mental disorder (as measured by a Mental Health Inventory 5 (MHI-5) score of &gt; 60).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3A1756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4B2F80" w:rsidP="004B2F80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Wellbeing; r</w:t>
            </w:r>
            <w:r w:rsidR="00F641F3">
              <w:rPr>
                <w:rFonts w:cs="Arial"/>
                <w:color w:val="000000"/>
                <w:sz w:val="20"/>
                <w:lang w:eastAsia="en-GB"/>
              </w:rPr>
              <w:t xml:space="preserve">elates to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absence of </w:t>
            </w:r>
            <w:r w:rsidR="00F641F3">
              <w:rPr>
                <w:rFonts w:cs="Arial"/>
                <w:color w:val="000000"/>
                <w:sz w:val="20"/>
                <w:lang w:eastAsia="en-GB"/>
              </w:rPr>
              <w:t xml:space="preserve">common mental disorder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Not currently in use routinely elsewhere in UK</w:t>
            </w:r>
          </w:p>
        </w:tc>
      </w:tr>
      <w:tr w:rsidR="007B6DCF" w:rsidRPr="009F3C05" w:rsidTr="004B2F80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Reducing accident and injury rates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6DCF" w:rsidRPr="009F3C05" w:rsidRDefault="00E00CC5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00CC5">
              <w:rPr>
                <w:rFonts w:cs="Arial"/>
                <w:color w:val="000000"/>
                <w:sz w:val="20"/>
                <w:lang w:eastAsia="en-GB"/>
              </w:rPr>
              <w:t>Admission for hip fractures (age-standardised rate), age 65 and above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DCF" w:rsidRPr="009F3C05" w:rsidRDefault="007B6DCF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B6DCF" w:rsidRPr="009F3C05" w:rsidRDefault="007B6DCF" w:rsidP="00FC73A0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Subset </w:t>
            </w:r>
            <w:r w:rsidR="00FC73A0">
              <w:rPr>
                <w:rFonts w:cs="Arial"/>
                <w:color w:val="000000"/>
                <w:sz w:val="20"/>
                <w:lang w:eastAsia="en-GB"/>
              </w:rPr>
              <w:t xml:space="preserve">only </w:t>
            </w:r>
            <w:r w:rsidRPr="009F3C05">
              <w:rPr>
                <w:rFonts w:cs="Arial"/>
                <w:color w:val="000000"/>
                <w:sz w:val="20"/>
                <w:lang w:eastAsia="en-GB"/>
              </w:rPr>
              <w:t xml:space="preserve">of </w:t>
            </w:r>
            <w:r w:rsidR="00FC73A0">
              <w:rPr>
                <w:rFonts w:cs="Arial"/>
                <w:color w:val="000000"/>
                <w:sz w:val="20"/>
                <w:lang w:eastAsia="en-GB"/>
              </w:rPr>
              <w:t>priority area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B6DCF" w:rsidRPr="009F3C05" w:rsidRDefault="00900B67" w:rsidP="007B6DCF">
            <w:pPr>
              <w:spacing w:before="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Similar indicators available </w:t>
            </w:r>
          </w:p>
        </w:tc>
      </w:tr>
    </w:tbl>
    <w:p w:rsidR="007B6DCF" w:rsidRPr="00E00CC5" w:rsidRDefault="007B6DCF" w:rsidP="00E00CC5">
      <w:pPr>
        <w:spacing w:before="0"/>
        <w:rPr>
          <w:sz w:val="2"/>
          <w:szCs w:val="2"/>
        </w:rPr>
      </w:pPr>
    </w:p>
    <w:sectPr w:rsidR="007B6DCF" w:rsidRPr="00E00CC5" w:rsidSect="009F3C05">
      <w:pgSz w:w="16834" w:h="11909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BB" w:rsidRDefault="005679BB">
      <w:r>
        <w:separator/>
      </w:r>
    </w:p>
  </w:endnote>
  <w:endnote w:type="continuationSeparator" w:id="0">
    <w:p w:rsidR="005679BB" w:rsidRDefault="0056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D8" w:rsidRDefault="00274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00"/>
      <w:gridCol w:w="3100"/>
      <w:gridCol w:w="3101"/>
    </w:tblGrid>
    <w:tr w:rsidR="003A1756" w:rsidRPr="00AA1415" w:rsidTr="00AA1415">
      <w:tc>
        <w:tcPr>
          <w:tcW w:w="3100" w:type="dxa"/>
        </w:tcPr>
        <w:p w:rsidR="003A1756" w:rsidRPr="00AA1415" w:rsidRDefault="003A1756" w:rsidP="0046078D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AA1415">
            <w:rPr>
              <w:rFonts w:ascii="Verdana" w:hAnsi="Verdana"/>
              <w:b/>
            </w:rPr>
            <w:t xml:space="preserve">Date: </w:t>
          </w:r>
          <w:r w:rsidR="0046078D">
            <w:rPr>
              <w:rFonts w:ascii="Verdana" w:hAnsi="Verdana"/>
              <w:b/>
            </w:rPr>
            <w:t>21st</w:t>
          </w:r>
          <w:r>
            <w:rPr>
              <w:rFonts w:ascii="Verdana" w:hAnsi="Verdana"/>
              <w:b/>
            </w:rPr>
            <w:t xml:space="preserve"> Ma</w:t>
          </w:r>
          <w:r w:rsidR="00F67E59">
            <w:rPr>
              <w:rFonts w:ascii="Verdana" w:hAnsi="Verdana"/>
              <w:b/>
            </w:rPr>
            <w:t>rch</w:t>
          </w:r>
          <w:r w:rsidRPr="00AA1415">
            <w:rPr>
              <w:rFonts w:ascii="Verdana" w:hAnsi="Verdana"/>
              <w:b/>
            </w:rPr>
            <w:t>, 201</w:t>
          </w:r>
          <w:r w:rsidR="00F67E59">
            <w:rPr>
              <w:rFonts w:ascii="Verdana" w:hAnsi="Verdana"/>
              <w:b/>
            </w:rPr>
            <w:t>3</w:t>
          </w:r>
        </w:p>
      </w:tc>
      <w:tc>
        <w:tcPr>
          <w:tcW w:w="3100" w:type="dxa"/>
        </w:tcPr>
        <w:p w:rsidR="003A1756" w:rsidRPr="00AA1415" w:rsidRDefault="003A1756" w:rsidP="00517DFC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AA1415">
            <w:rPr>
              <w:rFonts w:ascii="Verdana" w:hAnsi="Verdana"/>
              <w:b/>
            </w:rPr>
            <w:t xml:space="preserve">Version: </w:t>
          </w:r>
          <w:r>
            <w:rPr>
              <w:rFonts w:ascii="Verdana" w:hAnsi="Verdana"/>
              <w:b/>
            </w:rPr>
            <w:t xml:space="preserve"> </w:t>
          </w:r>
          <w:r w:rsidR="00517DFC">
            <w:rPr>
              <w:rFonts w:ascii="Verdana" w:hAnsi="Verdana"/>
              <w:b/>
            </w:rPr>
            <w:t>2</w:t>
          </w:r>
        </w:p>
      </w:tc>
      <w:tc>
        <w:tcPr>
          <w:tcW w:w="3101" w:type="dxa"/>
        </w:tcPr>
        <w:p w:rsidR="003A1756" w:rsidRPr="00AA1415" w:rsidRDefault="003A1756" w:rsidP="00AA1415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AA1415">
            <w:rPr>
              <w:rFonts w:ascii="Verdana" w:hAnsi="Verdana"/>
              <w:b/>
            </w:rPr>
            <w:t xml:space="preserve">Page: </w:t>
          </w:r>
          <w:r w:rsidRPr="00AA1415">
            <w:rPr>
              <w:rStyle w:val="PageNumber"/>
              <w:rFonts w:ascii="Verdana" w:hAnsi="Verdana"/>
            </w:rPr>
            <w:fldChar w:fldCharType="begin"/>
          </w:r>
          <w:r w:rsidRPr="00AA1415">
            <w:rPr>
              <w:rStyle w:val="PageNumber"/>
              <w:rFonts w:ascii="Verdana" w:hAnsi="Verdana"/>
            </w:rPr>
            <w:instrText xml:space="preserve"> PAGE </w:instrText>
          </w:r>
          <w:r w:rsidRPr="00AA1415">
            <w:rPr>
              <w:rStyle w:val="PageNumber"/>
              <w:rFonts w:ascii="Verdana" w:hAnsi="Verdana"/>
            </w:rPr>
            <w:fldChar w:fldCharType="separate"/>
          </w:r>
          <w:r w:rsidR="00924F05">
            <w:rPr>
              <w:rStyle w:val="PageNumber"/>
              <w:rFonts w:ascii="Verdana" w:hAnsi="Verdana"/>
              <w:noProof/>
            </w:rPr>
            <w:t>1</w:t>
          </w:r>
          <w:r w:rsidRPr="00AA1415">
            <w:rPr>
              <w:rStyle w:val="PageNumber"/>
              <w:rFonts w:ascii="Verdana" w:hAnsi="Verdana"/>
            </w:rPr>
            <w:fldChar w:fldCharType="end"/>
          </w:r>
          <w:r w:rsidRPr="00AA1415">
            <w:rPr>
              <w:rStyle w:val="PageNumber"/>
              <w:rFonts w:ascii="Verdana" w:hAnsi="Verdana"/>
            </w:rPr>
            <w:t xml:space="preserve"> of </w:t>
          </w:r>
          <w:r w:rsidRPr="00AA1415">
            <w:rPr>
              <w:rStyle w:val="PageNumber"/>
              <w:rFonts w:ascii="Verdana" w:hAnsi="Verdana"/>
            </w:rPr>
            <w:fldChar w:fldCharType="begin"/>
          </w:r>
          <w:r w:rsidRPr="00AA1415">
            <w:rPr>
              <w:rStyle w:val="PageNumber"/>
              <w:rFonts w:ascii="Verdana" w:hAnsi="Verdana"/>
            </w:rPr>
            <w:instrText xml:space="preserve"> NUMPAGES </w:instrText>
          </w:r>
          <w:r w:rsidRPr="00AA1415">
            <w:rPr>
              <w:rStyle w:val="PageNumber"/>
              <w:rFonts w:ascii="Verdana" w:hAnsi="Verdana"/>
            </w:rPr>
            <w:fldChar w:fldCharType="separate"/>
          </w:r>
          <w:r w:rsidR="00924F05">
            <w:rPr>
              <w:rStyle w:val="PageNumber"/>
              <w:rFonts w:ascii="Verdana" w:hAnsi="Verdana"/>
              <w:noProof/>
            </w:rPr>
            <w:t>2</w:t>
          </w:r>
          <w:r w:rsidRPr="00AA1415">
            <w:rPr>
              <w:rStyle w:val="PageNumber"/>
              <w:rFonts w:ascii="Verdana" w:hAnsi="Verdana"/>
            </w:rPr>
            <w:fldChar w:fldCharType="end"/>
          </w:r>
        </w:p>
      </w:tc>
    </w:tr>
  </w:tbl>
  <w:p w:rsidR="003A1756" w:rsidRDefault="003A1756" w:rsidP="00304E0B">
    <w:pPr>
      <w:pStyle w:val="Footer"/>
      <w:tabs>
        <w:tab w:val="clear" w:pos="4320"/>
        <w:tab w:val="clear" w:pos="8640"/>
        <w:tab w:val="center" w:pos="4500"/>
        <w:tab w:val="right" w:pos="909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D8" w:rsidRDefault="00274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BB" w:rsidRDefault="005679BB">
      <w:r>
        <w:separator/>
      </w:r>
    </w:p>
  </w:footnote>
  <w:footnote w:type="continuationSeparator" w:id="0">
    <w:p w:rsidR="005679BB" w:rsidRDefault="0056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D8" w:rsidRDefault="00274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34"/>
      <w:gridCol w:w="5767"/>
    </w:tblGrid>
    <w:tr w:rsidR="003A1756" w:rsidRPr="0021053E" w:rsidTr="007B6DCF">
      <w:tc>
        <w:tcPr>
          <w:tcW w:w="4650" w:type="dxa"/>
        </w:tcPr>
        <w:p w:rsidR="003A1756" w:rsidRPr="00AA1415" w:rsidRDefault="003A1756">
          <w:pPr>
            <w:pStyle w:val="Header"/>
            <w:rPr>
              <w:rFonts w:ascii="Verdana" w:hAnsi="Verdana"/>
            </w:rPr>
          </w:pPr>
          <w:r w:rsidRPr="00AA1415">
            <w:rPr>
              <w:rFonts w:ascii="Verdana" w:hAnsi="Verdana"/>
            </w:rPr>
            <w:t>Public Health Wales</w:t>
          </w:r>
          <w:r>
            <w:rPr>
              <w:rFonts w:ascii="Verdana" w:hAnsi="Verdana"/>
            </w:rPr>
            <w:t xml:space="preserve"> Observatory</w:t>
          </w:r>
        </w:p>
      </w:tc>
      <w:tc>
        <w:tcPr>
          <w:tcW w:w="8216" w:type="dxa"/>
        </w:tcPr>
        <w:p w:rsidR="003A1756" w:rsidRPr="00AA1415" w:rsidRDefault="003A1756" w:rsidP="00E00CC5">
          <w:pPr>
            <w:pStyle w:val="Head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Summary </w:t>
          </w:r>
          <w:r w:rsidRPr="00E00CC5">
            <w:rPr>
              <w:rFonts w:ascii="Verdana" w:hAnsi="Verdana"/>
              <w:i/>
            </w:rPr>
            <w:t>Our healthy future</w:t>
          </w:r>
          <w:r>
            <w:rPr>
              <w:rFonts w:ascii="Verdana" w:hAnsi="Verdana"/>
            </w:rPr>
            <w:t xml:space="preserve"> indicators</w:t>
          </w:r>
        </w:p>
      </w:tc>
    </w:tr>
  </w:tbl>
  <w:p w:rsidR="003A1756" w:rsidRPr="00E00CC5" w:rsidRDefault="003A1756">
    <w:pPr>
      <w:pStyle w:val="Header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D8" w:rsidRDefault="00274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1A9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05364"/>
    <w:multiLevelType w:val="hybridMultilevel"/>
    <w:tmpl w:val="F57EA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56E55"/>
    <w:multiLevelType w:val="multilevel"/>
    <w:tmpl w:val="0809001D"/>
    <w:styleLink w:val="Listalphabetical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AF78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EB3DB7"/>
    <w:multiLevelType w:val="singleLevel"/>
    <w:tmpl w:val="7E309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132653"/>
    <w:multiLevelType w:val="hybridMultilevel"/>
    <w:tmpl w:val="3454E4A6"/>
    <w:lvl w:ilvl="0" w:tplc="08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38E6A97"/>
    <w:multiLevelType w:val="multilevel"/>
    <w:tmpl w:val="0809001D"/>
    <w:numStyleLink w:val="Listalphabetical"/>
  </w:abstractNum>
  <w:abstractNum w:abstractNumId="7">
    <w:nsid w:val="1DF57975"/>
    <w:multiLevelType w:val="multilevel"/>
    <w:tmpl w:val="C44ADCCE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2EF5303"/>
    <w:multiLevelType w:val="multilevel"/>
    <w:tmpl w:val="0809001D"/>
    <w:numStyleLink w:val="Listalphabetical"/>
  </w:abstractNum>
  <w:abstractNum w:abstractNumId="9">
    <w:nsid w:val="286570DD"/>
    <w:multiLevelType w:val="hybridMultilevel"/>
    <w:tmpl w:val="5274B6B4"/>
    <w:lvl w:ilvl="0" w:tplc="C936CB2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D077CE7"/>
    <w:multiLevelType w:val="hybridMultilevel"/>
    <w:tmpl w:val="F2EA8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17CF4"/>
    <w:multiLevelType w:val="multilevel"/>
    <w:tmpl w:val="0809001D"/>
    <w:numStyleLink w:val="Listnumerals"/>
  </w:abstractNum>
  <w:abstractNum w:abstractNumId="12">
    <w:nsid w:val="49946AD1"/>
    <w:multiLevelType w:val="hybridMultilevel"/>
    <w:tmpl w:val="2FB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60735"/>
    <w:multiLevelType w:val="multilevel"/>
    <w:tmpl w:val="4AFAB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03D08"/>
    <w:multiLevelType w:val="multilevel"/>
    <w:tmpl w:val="0809001D"/>
    <w:numStyleLink w:val="Listalphabetical"/>
  </w:abstractNum>
  <w:abstractNum w:abstractNumId="15">
    <w:nsid w:val="5F120EE4"/>
    <w:multiLevelType w:val="multilevel"/>
    <w:tmpl w:val="0809001D"/>
    <w:numStyleLink w:val="Listnumerals"/>
  </w:abstractNum>
  <w:abstractNum w:abstractNumId="16">
    <w:nsid w:val="5FCC530B"/>
    <w:multiLevelType w:val="hybridMultilevel"/>
    <w:tmpl w:val="12F49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6038C"/>
    <w:multiLevelType w:val="hybridMultilevel"/>
    <w:tmpl w:val="F6FCA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755AB"/>
    <w:multiLevelType w:val="hybridMultilevel"/>
    <w:tmpl w:val="AB2AEF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C38361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073AD2"/>
    <w:multiLevelType w:val="multilevel"/>
    <w:tmpl w:val="0809001D"/>
    <w:styleLink w:val="Listnumerals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"/>
  </w:num>
  <w:num w:numId="5">
    <w:abstractNumId w:val="10"/>
  </w:num>
  <w:num w:numId="6">
    <w:abstractNumId w:val="19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17"/>
  </w:num>
  <w:num w:numId="12">
    <w:abstractNumId w:val="16"/>
  </w:num>
  <w:num w:numId="13">
    <w:abstractNumId w:val="5"/>
  </w:num>
  <w:num w:numId="14">
    <w:abstractNumId w:val="9"/>
  </w:num>
  <w:num w:numId="15">
    <w:abstractNumId w:val="21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  <w:num w:numId="22">
    <w:abstractNumId w:val="13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28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3166"/>
    <w:rsid w:val="00013471"/>
    <w:rsid w:val="00094796"/>
    <w:rsid w:val="000966B5"/>
    <w:rsid w:val="000C53F6"/>
    <w:rsid w:val="000E2BB4"/>
    <w:rsid w:val="001412E2"/>
    <w:rsid w:val="00146B0B"/>
    <w:rsid w:val="0019146C"/>
    <w:rsid w:val="001951CF"/>
    <w:rsid w:val="001B48B7"/>
    <w:rsid w:val="001D229B"/>
    <w:rsid w:val="001E47B5"/>
    <w:rsid w:val="002058E2"/>
    <w:rsid w:val="0021053E"/>
    <w:rsid w:val="00216AE9"/>
    <w:rsid w:val="00233DE2"/>
    <w:rsid w:val="0026498C"/>
    <w:rsid w:val="00265BD8"/>
    <w:rsid w:val="00274CD8"/>
    <w:rsid w:val="002822A7"/>
    <w:rsid w:val="00284987"/>
    <w:rsid w:val="002A768F"/>
    <w:rsid w:val="002D4580"/>
    <w:rsid w:val="002E544A"/>
    <w:rsid w:val="002F434C"/>
    <w:rsid w:val="00304E0B"/>
    <w:rsid w:val="003255BB"/>
    <w:rsid w:val="00343F66"/>
    <w:rsid w:val="00344EBB"/>
    <w:rsid w:val="00354916"/>
    <w:rsid w:val="0035775E"/>
    <w:rsid w:val="00365B6B"/>
    <w:rsid w:val="00384A11"/>
    <w:rsid w:val="00384DE0"/>
    <w:rsid w:val="003A1756"/>
    <w:rsid w:val="003B49FC"/>
    <w:rsid w:val="004107D9"/>
    <w:rsid w:val="00425BD5"/>
    <w:rsid w:val="0046078D"/>
    <w:rsid w:val="00471B66"/>
    <w:rsid w:val="004722A3"/>
    <w:rsid w:val="00473AAE"/>
    <w:rsid w:val="004A506C"/>
    <w:rsid w:val="004B2F80"/>
    <w:rsid w:val="004D3541"/>
    <w:rsid w:val="004D6CFE"/>
    <w:rsid w:val="004D7531"/>
    <w:rsid w:val="004E5A8F"/>
    <w:rsid w:val="004F16F4"/>
    <w:rsid w:val="004F4C37"/>
    <w:rsid w:val="005056E7"/>
    <w:rsid w:val="00507B37"/>
    <w:rsid w:val="005109EC"/>
    <w:rsid w:val="00511EB4"/>
    <w:rsid w:val="005165F2"/>
    <w:rsid w:val="00517DFC"/>
    <w:rsid w:val="00547E30"/>
    <w:rsid w:val="0055249B"/>
    <w:rsid w:val="00566ACB"/>
    <w:rsid w:val="005679BB"/>
    <w:rsid w:val="005B681B"/>
    <w:rsid w:val="005D4445"/>
    <w:rsid w:val="005D5F42"/>
    <w:rsid w:val="005E0739"/>
    <w:rsid w:val="00636621"/>
    <w:rsid w:val="0064517D"/>
    <w:rsid w:val="00656BDF"/>
    <w:rsid w:val="00656DD3"/>
    <w:rsid w:val="006C0ACD"/>
    <w:rsid w:val="006C3E76"/>
    <w:rsid w:val="006C407D"/>
    <w:rsid w:val="006D1EBF"/>
    <w:rsid w:val="006E0BAE"/>
    <w:rsid w:val="006E6A05"/>
    <w:rsid w:val="0071500F"/>
    <w:rsid w:val="0075075F"/>
    <w:rsid w:val="00773AFA"/>
    <w:rsid w:val="00776A36"/>
    <w:rsid w:val="00787DA2"/>
    <w:rsid w:val="007B4601"/>
    <w:rsid w:val="007B6DCF"/>
    <w:rsid w:val="007B7B8C"/>
    <w:rsid w:val="007E0399"/>
    <w:rsid w:val="00800900"/>
    <w:rsid w:val="008058A9"/>
    <w:rsid w:val="00807F5B"/>
    <w:rsid w:val="0081302B"/>
    <w:rsid w:val="00816D24"/>
    <w:rsid w:val="00823C3F"/>
    <w:rsid w:val="00854486"/>
    <w:rsid w:val="00867B23"/>
    <w:rsid w:val="00876CB1"/>
    <w:rsid w:val="00884B7C"/>
    <w:rsid w:val="008B05A0"/>
    <w:rsid w:val="008B582D"/>
    <w:rsid w:val="008B7FF5"/>
    <w:rsid w:val="008C5E62"/>
    <w:rsid w:val="008C7D8A"/>
    <w:rsid w:val="008D3130"/>
    <w:rsid w:val="008D6526"/>
    <w:rsid w:val="008F4B7C"/>
    <w:rsid w:val="00900B67"/>
    <w:rsid w:val="00924F05"/>
    <w:rsid w:val="00926BF2"/>
    <w:rsid w:val="00935951"/>
    <w:rsid w:val="00937742"/>
    <w:rsid w:val="0094003E"/>
    <w:rsid w:val="0099408C"/>
    <w:rsid w:val="009C59C9"/>
    <w:rsid w:val="009C5A09"/>
    <w:rsid w:val="009F3C05"/>
    <w:rsid w:val="00A14297"/>
    <w:rsid w:val="00A165F4"/>
    <w:rsid w:val="00A21558"/>
    <w:rsid w:val="00A24865"/>
    <w:rsid w:val="00A34078"/>
    <w:rsid w:val="00A46D87"/>
    <w:rsid w:val="00A472E7"/>
    <w:rsid w:val="00A54EB2"/>
    <w:rsid w:val="00A6000D"/>
    <w:rsid w:val="00A66258"/>
    <w:rsid w:val="00AA1415"/>
    <w:rsid w:val="00AB0C10"/>
    <w:rsid w:val="00AB3556"/>
    <w:rsid w:val="00AB47C3"/>
    <w:rsid w:val="00AC7314"/>
    <w:rsid w:val="00B06161"/>
    <w:rsid w:val="00B158E9"/>
    <w:rsid w:val="00B25C64"/>
    <w:rsid w:val="00B321BD"/>
    <w:rsid w:val="00B42A85"/>
    <w:rsid w:val="00B65E81"/>
    <w:rsid w:val="00BA1279"/>
    <w:rsid w:val="00BB3DA1"/>
    <w:rsid w:val="00BC3379"/>
    <w:rsid w:val="00C11A44"/>
    <w:rsid w:val="00C44102"/>
    <w:rsid w:val="00C556BF"/>
    <w:rsid w:val="00C6335F"/>
    <w:rsid w:val="00C8256B"/>
    <w:rsid w:val="00CB421E"/>
    <w:rsid w:val="00CD32C1"/>
    <w:rsid w:val="00CD7624"/>
    <w:rsid w:val="00CE1541"/>
    <w:rsid w:val="00CF52B4"/>
    <w:rsid w:val="00D02F32"/>
    <w:rsid w:val="00D3756A"/>
    <w:rsid w:val="00D546AF"/>
    <w:rsid w:val="00D856EC"/>
    <w:rsid w:val="00D87A05"/>
    <w:rsid w:val="00D92C74"/>
    <w:rsid w:val="00DC1DEA"/>
    <w:rsid w:val="00DE4443"/>
    <w:rsid w:val="00E00CC5"/>
    <w:rsid w:val="00E0202E"/>
    <w:rsid w:val="00E14E2D"/>
    <w:rsid w:val="00E160E8"/>
    <w:rsid w:val="00E24A32"/>
    <w:rsid w:val="00E30C98"/>
    <w:rsid w:val="00E64AC6"/>
    <w:rsid w:val="00E653AB"/>
    <w:rsid w:val="00E72ECF"/>
    <w:rsid w:val="00E76A48"/>
    <w:rsid w:val="00E77E3B"/>
    <w:rsid w:val="00EB7BA2"/>
    <w:rsid w:val="00ED5740"/>
    <w:rsid w:val="00EF3922"/>
    <w:rsid w:val="00F00170"/>
    <w:rsid w:val="00F12899"/>
    <w:rsid w:val="00F179E1"/>
    <w:rsid w:val="00F40282"/>
    <w:rsid w:val="00F55717"/>
    <w:rsid w:val="00F641F3"/>
    <w:rsid w:val="00F67E59"/>
    <w:rsid w:val="00F77B88"/>
    <w:rsid w:val="00F90BB5"/>
    <w:rsid w:val="00F9338A"/>
    <w:rsid w:val="00F95A79"/>
    <w:rsid w:val="00FA011A"/>
    <w:rsid w:val="00FA2329"/>
    <w:rsid w:val="00FB7976"/>
    <w:rsid w:val="00FC1DE8"/>
    <w:rsid w:val="00FC4C52"/>
    <w:rsid w:val="00FC73A0"/>
    <w:rsid w:val="00FD52C1"/>
    <w:rsid w:val="00FF3166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102"/>
    <w:pPr>
      <w:spacing w:before="240"/>
      <w:jc w:val="both"/>
    </w:pPr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rsid w:val="00C44102"/>
    <w:pPr>
      <w:keepNext/>
      <w:numPr>
        <w:numId w:val="3"/>
      </w:numPr>
      <w:spacing w:before="3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C44102"/>
    <w:pPr>
      <w:keepNext/>
      <w:numPr>
        <w:ilvl w:val="1"/>
        <w:numId w:val="3"/>
      </w:numPr>
      <w:spacing w:before="36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44102"/>
    <w:pPr>
      <w:keepNext/>
      <w:numPr>
        <w:ilvl w:val="2"/>
        <w:numId w:val="3"/>
      </w:numPr>
      <w:spacing w:before="360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008"/>
      </w:tabs>
      <w:spacing w:befor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rsid w:val="000C53F6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A2329"/>
    <w:pPr>
      <w:keepNext/>
      <w:spacing w:before="60" w:after="60"/>
      <w:contextualSpacing/>
      <w:jc w:val="center"/>
      <w:outlineLvl w:val="0"/>
    </w:pPr>
    <w:rPr>
      <w:rFonts w:ascii="Arial" w:hAnsi="Arial"/>
      <w:b/>
      <w:kern w:val="28"/>
      <w:sz w:val="72"/>
      <w:szCs w:val="72"/>
    </w:rPr>
  </w:style>
  <w:style w:type="paragraph" w:styleId="Caption">
    <w:name w:val="caption"/>
    <w:basedOn w:val="Normal"/>
    <w:next w:val="Normal"/>
    <w:qFormat/>
    <w:pPr>
      <w:keepNext/>
      <w:spacing w:before="120" w:after="120"/>
      <w:jc w:val="center"/>
    </w:pPr>
    <w:rPr>
      <w:b/>
    </w:rPr>
  </w:style>
  <w:style w:type="paragraph" w:styleId="Footer">
    <w:name w:val="footer"/>
    <w:basedOn w:val="Normal"/>
    <w:rsid w:val="004A506C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paragraph" w:styleId="Header">
    <w:name w:val="header"/>
    <w:basedOn w:val="Normal"/>
    <w:semiHidden/>
    <w:rsid w:val="004A506C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paragraph" w:styleId="ListBullet">
    <w:name w:val="List Bullet"/>
    <w:basedOn w:val="Normal"/>
    <w:autoRedefine/>
    <w:rsid w:val="00C44102"/>
    <w:pPr>
      <w:numPr>
        <w:numId w:val="1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ListNumber">
    <w:name w:val="List Number"/>
    <w:basedOn w:val="Normal"/>
    <w:rsid w:val="00C44102"/>
    <w:pPr>
      <w:numPr>
        <w:numId w:val="2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016"/>
      </w:tabs>
      <w:ind w:left="547" w:hanging="547"/>
      <w:jc w:val="left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016"/>
      </w:tabs>
      <w:spacing w:before="0"/>
      <w:ind w:left="990" w:hanging="750"/>
      <w:jc w:val="left"/>
    </w:pPr>
    <w:rPr>
      <w:noProof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paragraph" w:customStyle="1" w:styleId="CoverSheet">
    <w:name w:val="Cover Sheet"/>
    <w:basedOn w:val="Normal"/>
    <w:rsid w:val="00146B0B"/>
    <w:pPr>
      <w:spacing w:before="120"/>
      <w:jc w:val="left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Normalwithnoparaspacing">
    <w:name w:val="Normal with no para spacing"/>
    <w:basedOn w:val="Normal"/>
    <w:semiHidden/>
    <w:rsid w:val="00D3756A"/>
    <w:pPr>
      <w:spacing w:before="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ing1-nonumbers">
    <w:name w:val="Heading 1 - no numbers"/>
    <w:basedOn w:val="Heading1"/>
    <w:next w:val="Normal"/>
    <w:semiHidden/>
    <w:rsid w:val="00D3756A"/>
    <w:pPr>
      <w:numPr>
        <w:numId w:val="0"/>
      </w:numPr>
    </w:pPr>
    <w:rPr>
      <w:bCs/>
    </w:rPr>
  </w:style>
  <w:style w:type="paragraph" w:customStyle="1" w:styleId="Heading2nonumbering">
    <w:name w:val="Heading 2 no numbering"/>
    <w:basedOn w:val="Heading2"/>
    <w:next w:val="Normal"/>
    <w:semiHidden/>
    <w:rsid w:val="00D3756A"/>
    <w:pPr>
      <w:numPr>
        <w:ilvl w:val="0"/>
        <w:numId w:val="0"/>
      </w:numPr>
    </w:pPr>
    <w:rPr>
      <w:bCs/>
    </w:rPr>
  </w:style>
  <w:style w:type="paragraph" w:customStyle="1" w:styleId="Heading3nonumbers">
    <w:name w:val="Heading 3 no numbers"/>
    <w:basedOn w:val="Heading3"/>
    <w:next w:val="Normal"/>
    <w:semiHidden/>
    <w:rsid w:val="00D3756A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304E0B"/>
  </w:style>
  <w:style w:type="paragraph" w:styleId="TOC3">
    <w:name w:val="toc 3"/>
    <w:basedOn w:val="Normal"/>
    <w:next w:val="Normal"/>
    <w:autoRedefine/>
    <w:semiHidden/>
    <w:rsid w:val="008B582D"/>
    <w:pPr>
      <w:ind w:left="480"/>
    </w:pPr>
  </w:style>
  <w:style w:type="numbering" w:customStyle="1" w:styleId="Listnumerals">
    <w:name w:val="List numerals"/>
    <w:basedOn w:val="NoList"/>
    <w:rsid w:val="0021053E"/>
    <w:pPr>
      <w:numPr>
        <w:numId w:val="15"/>
      </w:numPr>
    </w:pPr>
  </w:style>
  <w:style w:type="numbering" w:customStyle="1" w:styleId="Listalphabetical">
    <w:name w:val="List alphabetical"/>
    <w:basedOn w:val="NoList"/>
    <w:rsid w:val="0021053E"/>
    <w:pPr>
      <w:numPr>
        <w:numId w:val="18"/>
      </w:numPr>
    </w:pPr>
  </w:style>
  <w:style w:type="character" w:styleId="CommentReference">
    <w:name w:val="annotation reference"/>
    <w:basedOn w:val="DefaultParagraphFont"/>
    <w:rsid w:val="00A66258"/>
    <w:rPr>
      <w:sz w:val="16"/>
      <w:szCs w:val="16"/>
    </w:rPr>
  </w:style>
  <w:style w:type="paragraph" w:customStyle="1" w:styleId="Contentspageheading">
    <w:name w:val="Contents page heading"/>
    <w:basedOn w:val="Normal"/>
    <w:semiHidden/>
    <w:rsid w:val="008B582D"/>
    <w:rPr>
      <w:b/>
      <w:sz w:val="36"/>
    </w:rPr>
  </w:style>
  <w:style w:type="paragraph" w:customStyle="1" w:styleId="Contentsheading">
    <w:name w:val="Contents heading"/>
    <w:basedOn w:val="Contentspageheading"/>
    <w:rsid w:val="008B582D"/>
    <w:rPr>
      <w:sz w:val="32"/>
    </w:rPr>
  </w:style>
  <w:style w:type="paragraph" w:styleId="CommentText">
    <w:name w:val="annotation text"/>
    <w:basedOn w:val="Normal"/>
    <w:link w:val="CommentTextChar"/>
    <w:rsid w:val="00A662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625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C5A3-BB29-4DD8-8898-7F4FECC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2013-03-22T11:20:00Z</dcterms:created>
  <dcterms:modified xsi:type="dcterms:W3CDTF">2013-03-22T11:20:00Z</dcterms:modified>
</cp:coreProperties>
</file>