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247C" w:rsidRDefault="00B50A5D">
      <w:pPr>
        <w:rPr>
          <w:rFonts w:ascii="Verdana" w:hAnsi="Verdana"/>
          <w:szCs w:val="22"/>
        </w:rPr>
      </w:pPr>
      <w:r>
        <w:rPr>
          <w:rFonts w:ascii="Verdana" w:hAnsi="Verdana"/>
          <w:noProof/>
          <w:szCs w:val="22"/>
          <w:lang w:eastAsia="en-GB"/>
        </w:rPr>
        <w:drawing>
          <wp:anchor distT="0" distB="0" distL="114300" distR="114300" simplePos="0" relativeHeight="251675136" behindDoc="0" locked="0" layoutInCell="1" allowOverlap="1">
            <wp:simplePos x="0" y="0"/>
            <wp:positionH relativeFrom="column">
              <wp:posOffset>-729615</wp:posOffset>
            </wp:positionH>
            <wp:positionV relativeFrom="paragraph">
              <wp:posOffset>-351790</wp:posOffset>
            </wp:positionV>
            <wp:extent cx="7586657" cy="10725150"/>
            <wp:effectExtent l="19050" t="0" r="0" b="0"/>
            <wp:wrapNone/>
            <wp:docPr id="3" name="Picture 2" descr="20120816_OHF_Cover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816_OHF_Cover_7.jpg"/>
                    <pic:cNvPicPr/>
                  </pic:nvPicPr>
                  <pic:blipFill>
                    <a:blip r:embed="rId8" cstate="print"/>
                    <a:stretch>
                      <a:fillRect/>
                    </a:stretch>
                  </pic:blipFill>
                  <pic:spPr>
                    <a:xfrm>
                      <a:off x="0" y="0"/>
                      <a:ext cx="7586657" cy="10725150"/>
                    </a:xfrm>
                    <a:prstGeom prst="rect">
                      <a:avLst/>
                    </a:prstGeom>
                  </pic:spPr>
                </pic:pic>
              </a:graphicData>
            </a:graphic>
          </wp:anchor>
        </w:drawing>
      </w:r>
    </w:p>
    <w:p w:rsidR="00FE247C" w:rsidRPr="00DE3D78" w:rsidRDefault="00FE247C">
      <w:pPr>
        <w:rPr>
          <w:rFonts w:ascii="Verdana" w:hAnsi="Verdana"/>
          <w:szCs w:val="22"/>
        </w:rPr>
      </w:pPr>
    </w:p>
    <w:p w:rsidR="00DE3D78" w:rsidRDefault="00DE3D78">
      <w:pPr>
        <w:rPr>
          <w:rFonts w:ascii="Verdana" w:hAnsi="Verdana"/>
          <w:szCs w:val="22"/>
        </w:rPr>
      </w:pPr>
      <w:r>
        <w:rPr>
          <w:rFonts w:ascii="Verdana" w:hAnsi="Verdana"/>
          <w:szCs w:val="22"/>
        </w:rPr>
        <w:br w:type="page"/>
      </w:r>
    </w:p>
    <w:p w:rsidR="00D229E7" w:rsidRDefault="00DF441E" w:rsidP="002E00CA">
      <w:pPr>
        <w:ind w:left="-540" w:right="-622"/>
        <w:rPr>
          <w:rFonts w:ascii="Verdana" w:hAnsi="Verdana"/>
          <w:szCs w:val="22"/>
        </w:rPr>
      </w:pPr>
      <w:r w:rsidRPr="00DF441E">
        <w:rPr>
          <w:rFonts w:ascii="Verdana" w:eastAsia="Calibri" w:hAnsi="Verdana"/>
          <w:bCs/>
          <w:iCs/>
          <w:noProof/>
          <w:sz w:val="18"/>
          <w:szCs w:val="18"/>
          <w:lang w:eastAsia="en-GB"/>
        </w:rPr>
        <w:lastRenderedPageBreak/>
        <w:pict>
          <v:shapetype id="_x0000_t202" coordsize="21600,21600" o:spt="202" path="m,l,21600r21600,l21600,xe">
            <v:stroke joinstyle="miter"/>
            <v:path gradientshapeok="t" o:connecttype="rect"/>
          </v:shapetype>
          <v:shape id="_x0000_s1056" type="#_x0000_t202" style="position:absolute;left:0;text-align:left;margin-left:-13.1pt;margin-top:8.3pt;width:519.4pt;height:255.75pt;z-index:-251660801" filled="f" strokecolor="#7fa5cf" strokeweight="2pt">
            <v:textbox style="mso-next-textbox:#_x0000_s1056">
              <w:txbxContent>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rPr>
                      <w:rFonts w:ascii="Trebuchet MS" w:hAnsi="Trebuchet MS"/>
                      <w:sz w:val="22"/>
                      <w:szCs w:val="22"/>
                    </w:rPr>
                  </w:pPr>
                </w:p>
                <w:p w:rsidR="00324C51" w:rsidRDefault="00324C51" w:rsidP="00963256">
                  <w:pPr>
                    <w:tabs>
                      <w:tab w:val="left" w:pos="6750"/>
                    </w:tabs>
                    <w:spacing w:line="288" w:lineRule="auto"/>
                  </w:pPr>
                </w:p>
              </w:txbxContent>
            </v:textbox>
          </v:shape>
        </w:pict>
      </w:r>
    </w:p>
    <w:p w:rsidR="00BE6048" w:rsidRPr="00546A4B" w:rsidRDefault="00DF441E">
      <w:pPr>
        <w:rPr>
          <w:rFonts w:ascii="Verdana" w:hAnsi="Verdana"/>
          <w:b/>
          <w:sz w:val="32"/>
          <w:szCs w:val="22"/>
        </w:rPr>
      </w:pPr>
      <w:r>
        <w:rPr>
          <w:rFonts w:ascii="Verdana" w:hAnsi="Verdana"/>
          <w:b/>
          <w:noProof/>
          <w:sz w:val="32"/>
          <w:szCs w:val="22"/>
          <w:lang w:eastAsia="en-GB"/>
        </w:rPr>
        <w:pict>
          <v:shape id="_x0000_s1045" type="#_x0000_t202" style="position:absolute;margin-left:475.35pt;margin-top:697.4pt;width:8.95pt;height:10.45pt;z-index:251656704;mso-position-horizontal-relative:text;mso-position-vertical-relative:text" stroked="f">
            <v:textbox style="mso-next-textbox:#_x0000_s1045">
              <w:txbxContent>
                <w:p w:rsidR="00324C51" w:rsidRDefault="00324C51"/>
              </w:txbxContent>
            </v:textbox>
          </v:shape>
        </w:pict>
      </w:r>
      <w:r w:rsidR="00DE3D78">
        <w:rPr>
          <w:rFonts w:ascii="Verdana" w:hAnsi="Verdana"/>
          <w:b/>
          <w:sz w:val="32"/>
          <w:szCs w:val="22"/>
        </w:rPr>
        <w:t>Co</w:t>
      </w:r>
      <w:r w:rsidR="005C73ED" w:rsidRPr="00546A4B">
        <w:rPr>
          <w:rFonts w:ascii="Verdana" w:hAnsi="Verdana"/>
          <w:b/>
          <w:sz w:val="32"/>
          <w:szCs w:val="22"/>
        </w:rPr>
        <w:t>ntents</w:t>
      </w:r>
    </w:p>
    <w:p w:rsidR="00A14CE0" w:rsidRPr="00546A4B" w:rsidRDefault="00A14CE0">
      <w:pPr>
        <w:rPr>
          <w:rFonts w:ascii="Verdana" w:hAnsi="Verdana"/>
          <w:sz w:val="22"/>
          <w:szCs w:val="22"/>
        </w:rPr>
      </w:pPr>
    </w:p>
    <w:p w:rsidR="00CA086F" w:rsidRPr="004D35BA" w:rsidRDefault="00CA086F">
      <w:pPr>
        <w:rPr>
          <w:rFonts w:ascii="Verdana" w:hAnsi="Verdana"/>
          <w:sz w:val="22"/>
          <w:szCs w:val="22"/>
        </w:rPr>
      </w:pPr>
    </w:p>
    <w:p w:rsidR="009D1065" w:rsidRPr="009D1065" w:rsidRDefault="00DF441E">
      <w:pPr>
        <w:pStyle w:val="TOC1"/>
        <w:tabs>
          <w:tab w:val="left" w:pos="480"/>
          <w:tab w:val="right" w:leader="underscore" w:pos="9628"/>
        </w:tabs>
        <w:rPr>
          <w:rFonts w:ascii="Verdana" w:eastAsiaTheme="minorEastAsia" w:hAnsi="Verdana" w:cstheme="minorBidi"/>
          <w:b w:val="0"/>
          <w:bCs w:val="0"/>
          <w:i w:val="0"/>
          <w:iCs w:val="0"/>
          <w:noProof/>
          <w:sz w:val="22"/>
          <w:szCs w:val="22"/>
          <w:lang w:eastAsia="en-GB"/>
        </w:rPr>
      </w:pPr>
      <w:r w:rsidRPr="00DF441E">
        <w:rPr>
          <w:rFonts w:ascii="Verdana" w:hAnsi="Verdana"/>
          <w:i w:val="0"/>
          <w:sz w:val="22"/>
          <w:szCs w:val="22"/>
        </w:rPr>
        <w:fldChar w:fldCharType="begin"/>
      </w:r>
      <w:r w:rsidR="005C73ED" w:rsidRPr="000E2917">
        <w:rPr>
          <w:rFonts w:ascii="Verdana" w:hAnsi="Verdana"/>
          <w:i w:val="0"/>
          <w:sz w:val="22"/>
          <w:szCs w:val="22"/>
        </w:rPr>
        <w:instrText xml:space="preserve"> TOC \o "1-3" \h \z \u </w:instrText>
      </w:r>
      <w:r w:rsidRPr="00DF441E">
        <w:rPr>
          <w:rFonts w:ascii="Verdana" w:hAnsi="Verdana"/>
          <w:i w:val="0"/>
          <w:sz w:val="22"/>
          <w:szCs w:val="22"/>
        </w:rPr>
        <w:fldChar w:fldCharType="separate"/>
      </w:r>
      <w:hyperlink w:anchor="_Toc342383422" w:history="1">
        <w:r w:rsidR="009D1065" w:rsidRPr="009D1065">
          <w:rPr>
            <w:rStyle w:val="Hyperlink"/>
            <w:rFonts w:ascii="Verdana" w:hAnsi="Verdana"/>
            <w:noProof/>
            <w:sz w:val="22"/>
            <w:szCs w:val="22"/>
          </w:rPr>
          <w:t>1.</w:t>
        </w:r>
        <w:r w:rsidR="009D1065" w:rsidRPr="009D1065">
          <w:rPr>
            <w:rFonts w:ascii="Verdana" w:eastAsiaTheme="minorEastAsia" w:hAnsi="Verdana" w:cstheme="minorBidi"/>
            <w:b w:val="0"/>
            <w:bCs w:val="0"/>
            <w:i w:val="0"/>
            <w:iCs w:val="0"/>
            <w:noProof/>
            <w:sz w:val="22"/>
            <w:szCs w:val="22"/>
            <w:lang w:eastAsia="en-GB"/>
          </w:rPr>
          <w:tab/>
        </w:r>
        <w:r w:rsidR="009D1065" w:rsidRPr="009D1065">
          <w:rPr>
            <w:rStyle w:val="Hyperlink"/>
            <w:rFonts w:ascii="Verdana" w:hAnsi="Verdana"/>
            <w:noProof/>
            <w:sz w:val="22"/>
            <w:szCs w:val="22"/>
          </w:rPr>
          <w:t>Introduction</w:t>
        </w:r>
        <w:r w:rsidR="009D1065" w:rsidRPr="009D1065">
          <w:rPr>
            <w:rFonts w:ascii="Verdana" w:hAnsi="Verdana"/>
            <w:noProof/>
            <w:webHidden/>
            <w:sz w:val="22"/>
            <w:szCs w:val="22"/>
          </w:rPr>
          <w:tab/>
        </w:r>
        <w:r w:rsidRPr="009D1065">
          <w:rPr>
            <w:rFonts w:ascii="Verdana" w:hAnsi="Verdana"/>
            <w:noProof/>
            <w:webHidden/>
            <w:sz w:val="22"/>
            <w:szCs w:val="22"/>
          </w:rPr>
          <w:fldChar w:fldCharType="begin"/>
        </w:r>
        <w:r w:rsidR="009D1065" w:rsidRPr="009D1065">
          <w:rPr>
            <w:rFonts w:ascii="Verdana" w:hAnsi="Verdana"/>
            <w:noProof/>
            <w:webHidden/>
            <w:sz w:val="22"/>
            <w:szCs w:val="22"/>
          </w:rPr>
          <w:instrText xml:space="preserve"> PAGEREF _Toc342383422 \h </w:instrText>
        </w:r>
        <w:r w:rsidRPr="009D1065">
          <w:rPr>
            <w:rFonts w:ascii="Verdana" w:hAnsi="Verdana"/>
            <w:noProof/>
            <w:webHidden/>
            <w:sz w:val="22"/>
            <w:szCs w:val="22"/>
          </w:rPr>
        </w:r>
        <w:r w:rsidRPr="009D1065">
          <w:rPr>
            <w:rFonts w:ascii="Verdana" w:hAnsi="Verdana"/>
            <w:noProof/>
            <w:webHidden/>
            <w:sz w:val="22"/>
            <w:szCs w:val="22"/>
          </w:rPr>
          <w:fldChar w:fldCharType="separate"/>
        </w:r>
        <w:r w:rsidR="00B50A5D">
          <w:rPr>
            <w:rFonts w:ascii="Verdana" w:hAnsi="Verdana"/>
            <w:noProof/>
            <w:webHidden/>
            <w:sz w:val="22"/>
            <w:szCs w:val="22"/>
          </w:rPr>
          <w:t>1</w:t>
        </w:r>
        <w:r w:rsidRPr="009D1065">
          <w:rPr>
            <w:rFonts w:ascii="Verdana" w:hAnsi="Verdana"/>
            <w:noProof/>
            <w:webHidden/>
            <w:sz w:val="22"/>
            <w:szCs w:val="22"/>
          </w:rPr>
          <w:fldChar w:fldCharType="end"/>
        </w:r>
      </w:hyperlink>
    </w:p>
    <w:p w:rsidR="009D1065" w:rsidRPr="009D1065" w:rsidRDefault="00DF441E">
      <w:pPr>
        <w:pStyle w:val="TOC1"/>
        <w:tabs>
          <w:tab w:val="left" w:pos="480"/>
          <w:tab w:val="right" w:leader="underscore" w:pos="9628"/>
        </w:tabs>
        <w:rPr>
          <w:rFonts w:ascii="Verdana" w:eastAsiaTheme="minorEastAsia" w:hAnsi="Verdana" w:cstheme="minorBidi"/>
          <w:b w:val="0"/>
          <w:bCs w:val="0"/>
          <w:i w:val="0"/>
          <w:iCs w:val="0"/>
          <w:noProof/>
          <w:sz w:val="22"/>
          <w:szCs w:val="22"/>
          <w:lang w:eastAsia="en-GB"/>
        </w:rPr>
      </w:pPr>
      <w:hyperlink w:anchor="_Toc342383423" w:history="1">
        <w:r w:rsidR="009D1065" w:rsidRPr="009D1065">
          <w:rPr>
            <w:rStyle w:val="Hyperlink"/>
            <w:rFonts w:ascii="Verdana" w:hAnsi="Verdana"/>
            <w:noProof/>
            <w:sz w:val="22"/>
            <w:szCs w:val="22"/>
          </w:rPr>
          <w:t>2.</w:t>
        </w:r>
        <w:r w:rsidR="009D1065" w:rsidRPr="009D1065">
          <w:rPr>
            <w:rFonts w:ascii="Verdana" w:eastAsiaTheme="minorEastAsia" w:hAnsi="Verdana" w:cstheme="minorBidi"/>
            <w:b w:val="0"/>
            <w:bCs w:val="0"/>
            <w:i w:val="0"/>
            <w:iCs w:val="0"/>
            <w:noProof/>
            <w:sz w:val="22"/>
            <w:szCs w:val="22"/>
            <w:lang w:eastAsia="en-GB"/>
          </w:rPr>
          <w:tab/>
        </w:r>
        <w:r w:rsidR="009D1065" w:rsidRPr="009D1065">
          <w:rPr>
            <w:rStyle w:val="Hyperlink"/>
            <w:rFonts w:ascii="Verdana" w:hAnsi="Verdana"/>
            <w:noProof/>
            <w:sz w:val="22"/>
            <w:szCs w:val="22"/>
          </w:rPr>
          <w:t>Population free from a common mental disorder</w:t>
        </w:r>
        <w:r w:rsidR="009D1065" w:rsidRPr="009D1065">
          <w:rPr>
            <w:rFonts w:ascii="Verdana" w:hAnsi="Verdana"/>
            <w:noProof/>
            <w:webHidden/>
            <w:sz w:val="22"/>
            <w:szCs w:val="22"/>
          </w:rPr>
          <w:tab/>
        </w:r>
        <w:r w:rsidRPr="009D1065">
          <w:rPr>
            <w:rFonts w:ascii="Verdana" w:hAnsi="Verdana"/>
            <w:noProof/>
            <w:webHidden/>
            <w:sz w:val="22"/>
            <w:szCs w:val="22"/>
          </w:rPr>
          <w:fldChar w:fldCharType="begin"/>
        </w:r>
        <w:r w:rsidR="009D1065" w:rsidRPr="009D1065">
          <w:rPr>
            <w:rFonts w:ascii="Verdana" w:hAnsi="Verdana"/>
            <w:noProof/>
            <w:webHidden/>
            <w:sz w:val="22"/>
            <w:szCs w:val="22"/>
          </w:rPr>
          <w:instrText xml:space="preserve"> PAGEREF _Toc342383423 \h </w:instrText>
        </w:r>
        <w:r w:rsidRPr="009D1065">
          <w:rPr>
            <w:rFonts w:ascii="Verdana" w:hAnsi="Verdana"/>
            <w:noProof/>
            <w:webHidden/>
            <w:sz w:val="22"/>
            <w:szCs w:val="22"/>
          </w:rPr>
        </w:r>
        <w:r w:rsidRPr="009D1065">
          <w:rPr>
            <w:rFonts w:ascii="Verdana" w:hAnsi="Verdana"/>
            <w:noProof/>
            <w:webHidden/>
            <w:sz w:val="22"/>
            <w:szCs w:val="22"/>
          </w:rPr>
          <w:fldChar w:fldCharType="separate"/>
        </w:r>
        <w:r w:rsidR="00B50A5D">
          <w:rPr>
            <w:rFonts w:ascii="Verdana" w:hAnsi="Verdana"/>
            <w:noProof/>
            <w:webHidden/>
            <w:sz w:val="22"/>
            <w:szCs w:val="22"/>
          </w:rPr>
          <w:t>2</w:t>
        </w:r>
        <w:r w:rsidRPr="009D1065">
          <w:rPr>
            <w:rFonts w:ascii="Verdana" w:hAnsi="Verdana"/>
            <w:noProof/>
            <w:webHidden/>
            <w:sz w:val="22"/>
            <w:szCs w:val="22"/>
          </w:rPr>
          <w:fldChar w:fldCharType="end"/>
        </w:r>
      </w:hyperlink>
    </w:p>
    <w:p w:rsidR="009D1065" w:rsidRPr="009D1065" w:rsidRDefault="00DF441E">
      <w:pPr>
        <w:pStyle w:val="TOC1"/>
        <w:tabs>
          <w:tab w:val="left" w:pos="480"/>
          <w:tab w:val="right" w:leader="underscore" w:pos="9628"/>
        </w:tabs>
        <w:rPr>
          <w:rFonts w:ascii="Verdana" w:eastAsiaTheme="minorEastAsia" w:hAnsi="Verdana" w:cstheme="minorBidi"/>
          <w:b w:val="0"/>
          <w:bCs w:val="0"/>
          <w:i w:val="0"/>
          <w:iCs w:val="0"/>
          <w:noProof/>
          <w:sz w:val="22"/>
          <w:szCs w:val="22"/>
          <w:lang w:eastAsia="en-GB"/>
        </w:rPr>
      </w:pPr>
      <w:hyperlink w:anchor="_Toc342383424" w:history="1">
        <w:r w:rsidR="009D1065" w:rsidRPr="009D1065">
          <w:rPr>
            <w:rStyle w:val="Hyperlink"/>
            <w:rFonts w:ascii="Verdana" w:hAnsi="Verdana"/>
            <w:noProof/>
            <w:sz w:val="22"/>
            <w:szCs w:val="22"/>
          </w:rPr>
          <w:t>3.</w:t>
        </w:r>
        <w:r w:rsidR="009D1065" w:rsidRPr="009D1065">
          <w:rPr>
            <w:rFonts w:ascii="Verdana" w:eastAsiaTheme="minorEastAsia" w:hAnsi="Verdana" w:cstheme="minorBidi"/>
            <w:b w:val="0"/>
            <w:bCs w:val="0"/>
            <w:i w:val="0"/>
            <w:iCs w:val="0"/>
            <w:noProof/>
            <w:sz w:val="22"/>
            <w:szCs w:val="22"/>
            <w:lang w:eastAsia="en-GB"/>
          </w:rPr>
          <w:tab/>
        </w:r>
        <w:r w:rsidR="009D1065" w:rsidRPr="009D1065">
          <w:rPr>
            <w:rStyle w:val="Hyperlink"/>
            <w:rFonts w:ascii="Verdana" w:hAnsi="Verdana"/>
            <w:noProof/>
            <w:sz w:val="22"/>
            <w:szCs w:val="22"/>
          </w:rPr>
          <w:t>Percentage of adults who smoke</w:t>
        </w:r>
        <w:r w:rsidR="009D1065" w:rsidRPr="009D1065">
          <w:rPr>
            <w:rFonts w:ascii="Verdana" w:hAnsi="Verdana"/>
            <w:noProof/>
            <w:webHidden/>
            <w:sz w:val="22"/>
            <w:szCs w:val="22"/>
          </w:rPr>
          <w:tab/>
        </w:r>
        <w:r w:rsidRPr="009D1065">
          <w:rPr>
            <w:rFonts w:ascii="Verdana" w:hAnsi="Verdana"/>
            <w:noProof/>
            <w:webHidden/>
            <w:sz w:val="22"/>
            <w:szCs w:val="22"/>
          </w:rPr>
          <w:fldChar w:fldCharType="begin"/>
        </w:r>
        <w:r w:rsidR="009D1065" w:rsidRPr="009D1065">
          <w:rPr>
            <w:rFonts w:ascii="Verdana" w:hAnsi="Verdana"/>
            <w:noProof/>
            <w:webHidden/>
            <w:sz w:val="22"/>
            <w:szCs w:val="22"/>
          </w:rPr>
          <w:instrText xml:space="preserve"> PAGEREF _Toc342383424 \h </w:instrText>
        </w:r>
        <w:r w:rsidRPr="009D1065">
          <w:rPr>
            <w:rFonts w:ascii="Verdana" w:hAnsi="Verdana"/>
            <w:noProof/>
            <w:webHidden/>
            <w:sz w:val="22"/>
            <w:szCs w:val="22"/>
          </w:rPr>
        </w:r>
        <w:r w:rsidRPr="009D1065">
          <w:rPr>
            <w:rFonts w:ascii="Verdana" w:hAnsi="Verdana"/>
            <w:noProof/>
            <w:webHidden/>
            <w:sz w:val="22"/>
            <w:szCs w:val="22"/>
          </w:rPr>
          <w:fldChar w:fldCharType="separate"/>
        </w:r>
        <w:r w:rsidR="00B50A5D">
          <w:rPr>
            <w:rFonts w:ascii="Verdana" w:hAnsi="Verdana"/>
            <w:noProof/>
            <w:webHidden/>
            <w:sz w:val="22"/>
            <w:szCs w:val="22"/>
          </w:rPr>
          <w:t>4</w:t>
        </w:r>
        <w:r w:rsidRPr="009D1065">
          <w:rPr>
            <w:rFonts w:ascii="Verdana" w:hAnsi="Verdana"/>
            <w:noProof/>
            <w:webHidden/>
            <w:sz w:val="22"/>
            <w:szCs w:val="22"/>
          </w:rPr>
          <w:fldChar w:fldCharType="end"/>
        </w:r>
      </w:hyperlink>
    </w:p>
    <w:p w:rsidR="009D1065" w:rsidRPr="009D1065" w:rsidRDefault="00DF441E">
      <w:pPr>
        <w:pStyle w:val="TOC1"/>
        <w:tabs>
          <w:tab w:val="left" w:pos="480"/>
          <w:tab w:val="right" w:leader="underscore" w:pos="9628"/>
        </w:tabs>
        <w:rPr>
          <w:rFonts w:ascii="Verdana" w:eastAsiaTheme="minorEastAsia" w:hAnsi="Verdana" w:cstheme="minorBidi"/>
          <w:b w:val="0"/>
          <w:bCs w:val="0"/>
          <w:i w:val="0"/>
          <w:iCs w:val="0"/>
          <w:noProof/>
          <w:sz w:val="22"/>
          <w:szCs w:val="22"/>
          <w:lang w:eastAsia="en-GB"/>
        </w:rPr>
      </w:pPr>
      <w:hyperlink w:anchor="_Toc342383425" w:history="1">
        <w:r w:rsidR="009D1065" w:rsidRPr="009D1065">
          <w:rPr>
            <w:rStyle w:val="Hyperlink"/>
            <w:rFonts w:ascii="Verdana" w:hAnsi="Verdana"/>
            <w:noProof/>
            <w:sz w:val="22"/>
            <w:szCs w:val="22"/>
          </w:rPr>
          <w:t>4.</w:t>
        </w:r>
        <w:r w:rsidR="009D1065" w:rsidRPr="009D1065">
          <w:rPr>
            <w:rFonts w:ascii="Verdana" w:eastAsiaTheme="minorEastAsia" w:hAnsi="Verdana" w:cstheme="minorBidi"/>
            <w:b w:val="0"/>
            <w:bCs w:val="0"/>
            <w:i w:val="0"/>
            <w:iCs w:val="0"/>
            <w:noProof/>
            <w:sz w:val="22"/>
            <w:szCs w:val="22"/>
            <w:lang w:eastAsia="en-GB"/>
          </w:rPr>
          <w:tab/>
        </w:r>
        <w:r w:rsidR="009D1065" w:rsidRPr="009D1065">
          <w:rPr>
            <w:rStyle w:val="Hyperlink"/>
            <w:rFonts w:ascii="Verdana" w:hAnsi="Verdana"/>
            <w:noProof/>
            <w:sz w:val="22"/>
            <w:szCs w:val="22"/>
          </w:rPr>
          <w:t>Average days of physical activity</w:t>
        </w:r>
        <w:r w:rsidR="009D1065" w:rsidRPr="009D1065">
          <w:rPr>
            <w:rFonts w:ascii="Verdana" w:hAnsi="Verdana"/>
            <w:noProof/>
            <w:webHidden/>
            <w:sz w:val="22"/>
            <w:szCs w:val="22"/>
          </w:rPr>
          <w:tab/>
        </w:r>
        <w:r w:rsidRPr="009D1065">
          <w:rPr>
            <w:rFonts w:ascii="Verdana" w:hAnsi="Verdana"/>
            <w:noProof/>
            <w:webHidden/>
            <w:sz w:val="22"/>
            <w:szCs w:val="22"/>
          </w:rPr>
          <w:fldChar w:fldCharType="begin"/>
        </w:r>
        <w:r w:rsidR="009D1065" w:rsidRPr="009D1065">
          <w:rPr>
            <w:rFonts w:ascii="Verdana" w:hAnsi="Verdana"/>
            <w:noProof/>
            <w:webHidden/>
            <w:sz w:val="22"/>
            <w:szCs w:val="22"/>
          </w:rPr>
          <w:instrText xml:space="preserve"> PAGEREF _Toc342383425 \h </w:instrText>
        </w:r>
        <w:r w:rsidRPr="009D1065">
          <w:rPr>
            <w:rFonts w:ascii="Verdana" w:hAnsi="Verdana"/>
            <w:noProof/>
            <w:webHidden/>
            <w:sz w:val="22"/>
            <w:szCs w:val="22"/>
          </w:rPr>
        </w:r>
        <w:r w:rsidRPr="009D1065">
          <w:rPr>
            <w:rFonts w:ascii="Verdana" w:hAnsi="Verdana"/>
            <w:noProof/>
            <w:webHidden/>
            <w:sz w:val="22"/>
            <w:szCs w:val="22"/>
          </w:rPr>
          <w:fldChar w:fldCharType="separate"/>
        </w:r>
        <w:r w:rsidR="00B50A5D">
          <w:rPr>
            <w:rFonts w:ascii="Verdana" w:hAnsi="Verdana"/>
            <w:noProof/>
            <w:webHidden/>
            <w:sz w:val="22"/>
            <w:szCs w:val="22"/>
          </w:rPr>
          <w:t>5</w:t>
        </w:r>
        <w:r w:rsidRPr="009D1065">
          <w:rPr>
            <w:rFonts w:ascii="Verdana" w:hAnsi="Verdana"/>
            <w:noProof/>
            <w:webHidden/>
            <w:sz w:val="22"/>
            <w:szCs w:val="22"/>
          </w:rPr>
          <w:fldChar w:fldCharType="end"/>
        </w:r>
      </w:hyperlink>
    </w:p>
    <w:p w:rsidR="009D1065" w:rsidRPr="009D1065" w:rsidRDefault="00DF441E">
      <w:pPr>
        <w:pStyle w:val="TOC1"/>
        <w:tabs>
          <w:tab w:val="left" w:pos="480"/>
          <w:tab w:val="right" w:leader="underscore" w:pos="9628"/>
        </w:tabs>
        <w:rPr>
          <w:rFonts w:ascii="Verdana" w:eastAsiaTheme="minorEastAsia" w:hAnsi="Verdana" w:cstheme="minorBidi"/>
          <w:b w:val="0"/>
          <w:bCs w:val="0"/>
          <w:i w:val="0"/>
          <w:iCs w:val="0"/>
          <w:noProof/>
          <w:sz w:val="22"/>
          <w:szCs w:val="22"/>
          <w:lang w:eastAsia="en-GB"/>
        </w:rPr>
      </w:pPr>
      <w:hyperlink w:anchor="_Toc342383426" w:history="1">
        <w:r w:rsidR="009D1065" w:rsidRPr="009D1065">
          <w:rPr>
            <w:rStyle w:val="Hyperlink"/>
            <w:rFonts w:ascii="Verdana" w:hAnsi="Verdana"/>
            <w:noProof/>
            <w:sz w:val="22"/>
            <w:szCs w:val="22"/>
          </w:rPr>
          <w:t>5.</w:t>
        </w:r>
        <w:r w:rsidR="009D1065" w:rsidRPr="009D1065">
          <w:rPr>
            <w:rFonts w:ascii="Verdana" w:eastAsiaTheme="minorEastAsia" w:hAnsi="Verdana" w:cstheme="minorBidi"/>
            <w:b w:val="0"/>
            <w:bCs w:val="0"/>
            <w:i w:val="0"/>
            <w:iCs w:val="0"/>
            <w:noProof/>
            <w:sz w:val="22"/>
            <w:szCs w:val="22"/>
            <w:lang w:eastAsia="en-GB"/>
          </w:rPr>
          <w:tab/>
        </w:r>
        <w:r w:rsidR="009D1065" w:rsidRPr="009D1065">
          <w:rPr>
            <w:rStyle w:val="Hyperlink"/>
            <w:rFonts w:ascii="Verdana" w:hAnsi="Verdana"/>
            <w:noProof/>
            <w:sz w:val="22"/>
            <w:szCs w:val="22"/>
          </w:rPr>
          <w:t>Eating five portions of fruit and vegetables</w:t>
        </w:r>
        <w:r w:rsidR="009D1065" w:rsidRPr="009D1065">
          <w:rPr>
            <w:rFonts w:ascii="Verdana" w:hAnsi="Verdana"/>
            <w:noProof/>
            <w:webHidden/>
            <w:sz w:val="22"/>
            <w:szCs w:val="22"/>
          </w:rPr>
          <w:tab/>
        </w:r>
        <w:r w:rsidRPr="009D1065">
          <w:rPr>
            <w:rFonts w:ascii="Verdana" w:hAnsi="Verdana"/>
            <w:noProof/>
            <w:webHidden/>
            <w:sz w:val="22"/>
            <w:szCs w:val="22"/>
          </w:rPr>
          <w:fldChar w:fldCharType="begin"/>
        </w:r>
        <w:r w:rsidR="009D1065" w:rsidRPr="009D1065">
          <w:rPr>
            <w:rFonts w:ascii="Verdana" w:hAnsi="Verdana"/>
            <w:noProof/>
            <w:webHidden/>
            <w:sz w:val="22"/>
            <w:szCs w:val="22"/>
          </w:rPr>
          <w:instrText xml:space="preserve"> PAGEREF _Toc342383426 \h </w:instrText>
        </w:r>
        <w:r w:rsidRPr="009D1065">
          <w:rPr>
            <w:rFonts w:ascii="Verdana" w:hAnsi="Verdana"/>
            <w:noProof/>
            <w:webHidden/>
            <w:sz w:val="22"/>
            <w:szCs w:val="22"/>
          </w:rPr>
        </w:r>
        <w:r w:rsidRPr="009D1065">
          <w:rPr>
            <w:rFonts w:ascii="Verdana" w:hAnsi="Verdana"/>
            <w:noProof/>
            <w:webHidden/>
            <w:sz w:val="22"/>
            <w:szCs w:val="22"/>
          </w:rPr>
          <w:fldChar w:fldCharType="separate"/>
        </w:r>
        <w:r w:rsidR="00B50A5D">
          <w:rPr>
            <w:rFonts w:ascii="Verdana" w:hAnsi="Verdana"/>
            <w:noProof/>
            <w:webHidden/>
            <w:sz w:val="22"/>
            <w:szCs w:val="22"/>
          </w:rPr>
          <w:t>7</w:t>
        </w:r>
        <w:r w:rsidRPr="009D1065">
          <w:rPr>
            <w:rFonts w:ascii="Verdana" w:hAnsi="Verdana"/>
            <w:noProof/>
            <w:webHidden/>
            <w:sz w:val="22"/>
            <w:szCs w:val="22"/>
          </w:rPr>
          <w:fldChar w:fldCharType="end"/>
        </w:r>
      </w:hyperlink>
    </w:p>
    <w:p w:rsidR="009D1065" w:rsidRPr="009D1065" w:rsidRDefault="00DF441E">
      <w:pPr>
        <w:pStyle w:val="TOC1"/>
        <w:tabs>
          <w:tab w:val="left" w:pos="480"/>
          <w:tab w:val="right" w:leader="underscore" w:pos="9628"/>
        </w:tabs>
        <w:rPr>
          <w:rFonts w:ascii="Verdana" w:eastAsiaTheme="minorEastAsia" w:hAnsi="Verdana" w:cstheme="minorBidi"/>
          <w:b w:val="0"/>
          <w:bCs w:val="0"/>
          <w:i w:val="0"/>
          <w:iCs w:val="0"/>
          <w:noProof/>
          <w:sz w:val="22"/>
          <w:szCs w:val="22"/>
          <w:lang w:eastAsia="en-GB"/>
        </w:rPr>
      </w:pPr>
      <w:hyperlink w:anchor="_Toc342383427" w:history="1">
        <w:r w:rsidR="009D1065" w:rsidRPr="009D1065">
          <w:rPr>
            <w:rStyle w:val="Hyperlink"/>
            <w:rFonts w:ascii="Verdana" w:hAnsi="Verdana"/>
            <w:noProof/>
            <w:sz w:val="22"/>
            <w:szCs w:val="22"/>
          </w:rPr>
          <w:t>6.</w:t>
        </w:r>
        <w:r w:rsidR="009D1065" w:rsidRPr="009D1065">
          <w:rPr>
            <w:rFonts w:ascii="Verdana" w:eastAsiaTheme="minorEastAsia" w:hAnsi="Verdana" w:cstheme="minorBidi"/>
            <w:b w:val="0"/>
            <w:bCs w:val="0"/>
            <w:i w:val="0"/>
            <w:iCs w:val="0"/>
            <w:noProof/>
            <w:sz w:val="22"/>
            <w:szCs w:val="22"/>
            <w:lang w:eastAsia="en-GB"/>
          </w:rPr>
          <w:tab/>
        </w:r>
        <w:r w:rsidR="009D1065" w:rsidRPr="009D1065">
          <w:rPr>
            <w:rStyle w:val="Hyperlink"/>
            <w:rFonts w:ascii="Verdana" w:hAnsi="Verdana"/>
            <w:noProof/>
            <w:sz w:val="22"/>
            <w:szCs w:val="22"/>
          </w:rPr>
          <w:t>Adults who are overweight or obese</w:t>
        </w:r>
        <w:r w:rsidR="009D1065" w:rsidRPr="009D1065">
          <w:rPr>
            <w:rFonts w:ascii="Verdana" w:hAnsi="Verdana"/>
            <w:noProof/>
            <w:webHidden/>
            <w:sz w:val="22"/>
            <w:szCs w:val="22"/>
          </w:rPr>
          <w:tab/>
        </w:r>
        <w:r w:rsidRPr="009D1065">
          <w:rPr>
            <w:rFonts w:ascii="Verdana" w:hAnsi="Verdana"/>
            <w:noProof/>
            <w:webHidden/>
            <w:sz w:val="22"/>
            <w:szCs w:val="22"/>
          </w:rPr>
          <w:fldChar w:fldCharType="begin"/>
        </w:r>
        <w:r w:rsidR="009D1065" w:rsidRPr="009D1065">
          <w:rPr>
            <w:rFonts w:ascii="Verdana" w:hAnsi="Verdana"/>
            <w:noProof/>
            <w:webHidden/>
            <w:sz w:val="22"/>
            <w:szCs w:val="22"/>
          </w:rPr>
          <w:instrText xml:space="preserve"> PAGEREF _Toc342383427 \h </w:instrText>
        </w:r>
        <w:r w:rsidRPr="009D1065">
          <w:rPr>
            <w:rFonts w:ascii="Verdana" w:hAnsi="Verdana"/>
            <w:noProof/>
            <w:webHidden/>
            <w:sz w:val="22"/>
            <w:szCs w:val="22"/>
          </w:rPr>
        </w:r>
        <w:r w:rsidRPr="009D1065">
          <w:rPr>
            <w:rFonts w:ascii="Verdana" w:hAnsi="Verdana"/>
            <w:noProof/>
            <w:webHidden/>
            <w:sz w:val="22"/>
            <w:szCs w:val="22"/>
          </w:rPr>
          <w:fldChar w:fldCharType="separate"/>
        </w:r>
        <w:r w:rsidR="00B50A5D">
          <w:rPr>
            <w:rFonts w:ascii="Verdana" w:hAnsi="Verdana"/>
            <w:noProof/>
            <w:webHidden/>
            <w:sz w:val="22"/>
            <w:szCs w:val="22"/>
          </w:rPr>
          <w:t>9</w:t>
        </w:r>
        <w:r w:rsidRPr="009D1065">
          <w:rPr>
            <w:rFonts w:ascii="Verdana" w:hAnsi="Verdana"/>
            <w:noProof/>
            <w:webHidden/>
            <w:sz w:val="22"/>
            <w:szCs w:val="22"/>
          </w:rPr>
          <w:fldChar w:fldCharType="end"/>
        </w:r>
      </w:hyperlink>
    </w:p>
    <w:p w:rsidR="009D1065" w:rsidRPr="009D1065" w:rsidRDefault="00DF441E">
      <w:pPr>
        <w:pStyle w:val="TOC1"/>
        <w:tabs>
          <w:tab w:val="left" w:pos="480"/>
          <w:tab w:val="right" w:leader="underscore" w:pos="9628"/>
        </w:tabs>
        <w:rPr>
          <w:rFonts w:ascii="Verdana" w:eastAsiaTheme="minorEastAsia" w:hAnsi="Verdana" w:cstheme="minorBidi"/>
          <w:b w:val="0"/>
          <w:bCs w:val="0"/>
          <w:i w:val="0"/>
          <w:iCs w:val="0"/>
          <w:noProof/>
          <w:sz w:val="22"/>
          <w:szCs w:val="22"/>
          <w:lang w:eastAsia="en-GB"/>
        </w:rPr>
      </w:pPr>
      <w:hyperlink w:anchor="_Toc342383428" w:history="1">
        <w:r w:rsidR="009D1065" w:rsidRPr="009D1065">
          <w:rPr>
            <w:rStyle w:val="Hyperlink"/>
            <w:rFonts w:ascii="Verdana" w:hAnsi="Verdana"/>
            <w:noProof/>
            <w:sz w:val="22"/>
            <w:szCs w:val="22"/>
          </w:rPr>
          <w:t>7.</w:t>
        </w:r>
        <w:r w:rsidR="009D1065" w:rsidRPr="009D1065">
          <w:rPr>
            <w:rFonts w:ascii="Verdana" w:eastAsiaTheme="minorEastAsia" w:hAnsi="Verdana" w:cstheme="minorBidi"/>
            <w:b w:val="0"/>
            <w:bCs w:val="0"/>
            <w:i w:val="0"/>
            <w:iCs w:val="0"/>
            <w:noProof/>
            <w:sz w:val="22"/>
            <w:szCs w:val="22"/>
            <w:lang w:eastAsia="en-GB"/>
          </w:rPr>
          <w:tab/>
        </w:r>
        <w:r w:rsidR="009D1065" w:rsidRPr="009D1065">
          <w:rPr>
            <w:rStyle w:val="Hyperlink"/>
            <w:rFonts w:ascii="Verdana" w:hAnsi="Verdana"/>
            <w:noProof/>
            <w:sz w:val="22"/>
            <w:szCs w:val="22"/>
          </w:rPr>
          <w:t>Alcohol-specific hospital admissions</w:t>
        </w:r>
        <w:r w:rsidR="009D1065" w:rsidRPr="009D1065">
          <w:rPr>
            <w:rFonts w:ascii="Verdana" w:hAnsi="Verdana"/>
            <w:noProof/>
            <w:webHidden/>
            <w:sz w:val="22"/>
            <w:szCs w:val="22"/>
          </w:rPr>
          <w:tab/>
        </w:r>
        <w:r w:rsidRPr="009D1065">
          <w:rPr>
            <w:rFonts w:ascii="Verdana" w:hAnsi="Verdana"/>
            <w:noProof/>
            <w:webHidden/>
            <w:sz w:val="22"/>
            <w:szCs w:val="22"/>
          </w:rPr>
          <w:fldChar w:fldCharType="begin"/>
        </w:r>
        <w:r w:rsidR="009D1065" w:rsidRPr="009D1065">
          <w:rPr>
            <w:rFonts w:ascii="Verdana" w:hAnsi="Verdana"/>
            <w:noProof/>
            <w:webHidden/>
            <w:sz w:val="22"/>
            <w:szCs w:val="22"/>
          </w:rPr>
          <w:instrText xml:space="preserve"> PAGEREF _Toc342383428 \h </w:instrText>
        </w:r>
        <w:r w:rsidRPr="009D1065">
          <w:rPr>
            <w:rFonts w:ascii="Verdana" w:hAnsi="Verdana"/>
            <w:noProof/>
            <w:webHidden/>
            <w:sz w:val="22"/>
            <w:szCs w:val="22"/>
          </w:rPr>
        </w:r>
        <w:r w:rsidRPr="009D1065">
          <w:rPr>
            <w:rFonts w:ascii="Verdana" w:hAnsi="Verdana"/>
            <w:noProof/>
            <w:webHidden/>
            <w:sz w:val="22"/>
            <w:szCs w:val="22"/>
          </w:rPr>
          <w:fldChar w:fldCharType="separate"/>
        </w:r>
        <w:r w:rsidR="00B50A5D">
          <w:rPr>
            <w:rFonts w:ascii="Verdana" w:hAnsi="Verdana"/>
            <w:noProof/>
            <w:webHidden/>
            <w:sz w:val="22"/>
            <w:szCs w:val="22"/>
          </w:rPr>
          <w:t>11</w:t>
        </w:r>
        <w:r w:rsidRPr="009D1065">
          <w:rPr>
            <w:rFonts w:ascii="Verdana" w:hAnsi="Verdana"/>
            <w:noProof/>
            <w:webHidden/>
            <w:sz w:val="22"/>
            <w:szCs w:val="22"/>
          </w:rPr>
          <w:fldChar w:fldCharType="end"/>
        </w:r>
      </w:hyperlink>
    </w:p>
    <w:p w:rsidR="009D1065" w:rsidRDefault="00DF441E">
      <w:pPr>
        <w:pStyle w:val="TOC1"/>
        <w:tabs>
          <w:tab w:val="left" w:pos="480"/>
          <w:tab w:val="right" w:leader="underscore" w:pos="9628"/>
        </w:tabs>
        <w:rPr>
          <w:rFonts w:asciiTheme="minorHAnsi" w:eastAsiaTheme="minorEastAsia" w:hAnsiTheme="minorHAnsi" w:cstheme="minorBidi"/>
          <w:b w:val="0"/>
          <w:bCs w:val="0"/>
          <w:i w:val="0"/>
          <w:iCs w:val="0"/>
          <w:noProof/>
          <w:sz w:val="22"/>
          <w:szCs w:val="22"/>
          <w:lang w:eastAsia="en-GB"/>
        </w:rPr>
      </w:pPr>
      <w:hyperlink w:anchor="_Toc342383429" w:history="1">
        <w:r w:rsidR="009D1065" w:rsidRPr="009D1065">
          <w:rPr>
            <w:rStyle w:val="Hyperlink"/>
            <w:rFonts w:ascii="Verdana" w:hAnsi="Verdana"/>
            <w:noProof/>
            <w:sz w:val="22"/>
            <w:szCs w:val="22"/>
          </w:rPr>
          <w:t>8.</w:t>
        </w:r>
        <w:r w:rsidR="009D1065" w:rsidRPr="009D1065">
          <w:rPr>
            <w:rFonts w:ascii="Verdana" w:eastAsiaTheme="minorEastAsia" w:hAnsi="Verdana" w:cstheme="minorBidi"/>
            <w:b w:val="0"/>
            <w:bCs w:val="0"/>
            <w:i w:val="0"/>
            <w:iCs w:val="0"/>
            <w:noProof/>
            <w:sz w:val="22"/>
            <w:szCs w:val="22"/>
            <w:lang w:eastAsia="en-GB"/>
          </w:rPr>
          <w:tab/>
        </w:r>
        <w:r w:rsidR="009D1065" w:rsidRPr="009D1065">
          <w:rPr>
            <w:rStyle w:val="Hyperlink"/>
            <w:rFonts w:ascii="Verdana" w:hAnsi="Verdana"/>
            <w:noProof/>
            <w:sz w:val="22"/>
            <w:szCs w:val="22"/>
          </w:rPr>
          <w:t>Hospital admissions for hip fractures</w:t>
        </w:r>
        <w:r w:rsidR="009D1065" w:rsidRPr="009D1065">
          <w:rPr>
            <w:rFonts w:ascii="Verdana" w:hAnsi="Verdana"/>
            <w:noProof/>
            <w:webHidden/>
            <w:sz w:val="22"/>
            <w:szCs w:val="22"/>
          </w:rPr>
          <w:tab/>
        </w:r>
        <w:r w:rsidRPr="009D1065">
          <w:rPr>
            <w:rFonts w:ascii="Verdana" w:hAnsi="Verdana"/>
            <w:noProof/>
            <w:webHidden/>
            <w:sz w:val="22"/>
            <w:szCs w:val="22"/>
          </w:rPr>
          <w:fldChar w:fldCharType="begin"/>
        </w:r>
        <w:r w:rsidR="009D1065" w:rsidRPr="009D1065">
          <w:rPr>
            <w:rFonts w:ascii="Verdana" w:hAnsi="Verdana"/>
            <w:noProof/>
            <w:webHidden/>
            <w:sz w:val="22"/>
            <w:szCs w:val="22"/>
          </w:rPr>
          <w:instrText xml:space="preserve"> PAGEREF _Toc342383429 \h </w:instrText>
        </w:r>
        <w:r w:rsidRPr="009D1065">
          <w:rPr>
            <w:rFonts w:ascii="Verdana" w:hAnsi="Verdana"/>
            <w:noProof/>
            <w:webHidden/>
            <w:sz w:val="22"/>
            <w:szCs w:val="22"/>
          </w:rPr>
        </w:r>
        <w:r w:rsidRPr="009D1065">
          <w:rPr>
            <w:rFonts w:ascii="Verdana" w:hAnsi="Verdana"/>
            <w:noProof/>
            <w:webHidden/>
            <w:sz w:val="22"/>
            <w:szCs w:val="22"/>
          </w:rPr>
          <w:fldChar w:fldCharType="separate"/>
        </w:r>
        <w:r w:rsidR="00B50A5D">
          <w:rPr>
            <w:rFonts w:ascii="Verdana" w:hAnsi="Verdana"/>
            <w:noProof/>
            <w:webHidden/>
            <w:sz w:val="22"/>
            <w:szCs w:val="22"/>
          </w:rPr>
          <w:t>12</w:t>
        </w:r>
        <w:r w:rsidRPr="009D1065">
          <w:rPr>
            <w:rFonts w:ascii="Verdana" w:hAnsi="Verdana"/>
            <w:noProof/>
            <w:webHidden/>
            <w:sz w:val="22"/>
            <w:szCs w:val="22"/>
          </w:rPr>
          <w:fldChar w:fldCharType="end"/>
        </w:r>
      </w:hyperlink>
    </w:p>
    <w:p w:rsidR="00A172EE" w:rsidRDefault="00DF441E" w:rsidP="00411175">
      <w:pPr>
        <w:pStyle w:val="Heading1"/>
        <w:rPr>
          <w:rFonts w:ascii="Verdana" w:hAnsi="Verdana"/>
          <w:sz w:val="22"/>
          <w:szCs w:val="22"/>
        </w:rPr>
      </w:pPr>
      <w:r w:rsidRPr="000E2917">
        <w:rPr>
          <w:rFonts w:ascii="Verdana" w:hAnsi="Verdana"/>
          <w:sz w:val="22"/>
          <w:szCs w:val="22"/>
        </w:rPr>
        <w:fldChar w:fldCharType="end"/>
      </w: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776A08" w:rsidRDefault="00776A08"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Pr="00963256" w:rsidRDefault="00963256" w:rsidP="00963256">
      <w:pPr>
        <w:tabs>
          <w:tab w:val="left" w:pos="6750"/>
        </w:tabs>
        <w:spacing w:line="288" w:lineRule="auto"/>
        <w:rPr>
          <w:rFonts w:ascii="Verdana" w:hAnsi="Verdana"/>
          <w:b/>
          <w:sz w:val="28"/>
          <w:szCs w:val="28"/>
        </w:rPr>
      </w:pPr>
      <w:r w:rsidRPr="00963256">
        <w:rPr>
          <w:rFonts w:ascii="Verdana" w:hAnsi="Verdana"/>
          <w:b/>
          <w:sz w:val="28"/>
          <w:szCs w:val="28"/>
        </w:rPr>
        <w:t>Acknowledgements</w:t>
      </w:r>
    </w:p>
    <w:p w:rsidR="00963256" w:rsidRPr="008A4AFF" w:rsidRDefault="00963256" w:rsidP="00963256">
      <w:pPr>
        <w:tabs>
          <w:tab w:val="left" w:pos="6750"/>
        </w:tabs>
        <w:spacing w:line="288" w:lineRule="auto"/>
        <w:rPr>
          <w:rFonts w:ascii="Verdana" w:hAnsi="Verdana"/>
          <w:sz w:val="21"/>
          <w:szCs w:val="21"/>
        </w:rPr>
      </w:pPr>
    </w:p>
    <w:p w:rsidR="00963256" w:rsidRPr="008A4AFF" w:rsidRDefault="00963256" w:rsidP="00963256">
      <w:pPr>
        <w:tabs>
          <w:tab w:val="left" w:pos="6750"/>
        </w:tabs>
        <w:spacing w:line="288" w:lineRule="auto"/>
        <w:rPr>
          <w:rFonts w:ascii="Verdana" w:hAnsi="Verdana"/>
          <w:sz w:val="21"/>
          <w:szCs w:val="21"/>
        </w:rPr>
      </w:pPr>
      <w:r w:rsidRPr="008A4AFF">
        <w:rPr>
          <w:rFonts w:ascii="Verdana" w:hAnsi="Verdana"/>
          <w:sz w:val="21"/>
          <w:szCs w:val="21"/>
        </w:rPr>
        <w:t>Contributors:</w:t>
      </w:r>
      <w:r w:rsidR="00BB7093">
        <w:rPr>
          <w:rFonts w:ascii="Verdana" w:hAnsi="Verdana"/>
          <w:sz w:val="21"/>
          <w:szCs w:val="21"/>
        </w:rPr>
        <w:t xml:space="preserve"> Andrea Gartner, Bethan Patterson</w:t>
      </w:r>
      <w:r w:rsidR="000D21EA">
        <w:rPr>
          <w:rFonts w:ascii="Verdana" w:hAnsi="Verdana"/>
          <w:sz w:val="21"/>
          <w:szCs w:val="21"/>
        </w:rPr>
        <w:t>, Jo Arthur, Leon May</w:t>
      </w:r>
    </w:p>
    <w:p w:rsidR="00963256" w:rsidRPr="008A4AFF" w:rsidRDefault="00963256" w:rsidP="00963256">
      <w:pPr>
        <w:tabs>
          <w:tab w:val="left" w:pos="6750"/>
        </w:tabs>
        <w:spacing w:line="288" w:lineRule="auto"/>
        <w:rPr>
          <w:rFonts w:ascii="Verdana" w:hAnsi="Verdana"/>
          <w:sz w:val="21"/>
          <w:szCs w:val="21"/>
        </w:rPr>
      </w:pPr>
    </w:p>
    <w:p w:rsidR="00963256" w:rsidRPr="008A4AFF" w:rsidRDefault="00963256" w:rsidP="00963256">
      <w:pPr>
        <w:tabs>
          <w:tab w:val="left" w:pos="6750"/>
        </w:tabs>
        <w:spacing w:line="288" w:lineRule="auto"/>
        <w:rPr>
          <w:rFonts w:ascii="Verdana" w:hAnsi="Verdana"/>
          <w:sz w:val="21"/>
          <w:szCs w:val="21"/>
        </w:rPr>
      </w:pPr>
      <w:r w:rsidRPr="008A4AFF">
        <w:rPr>
          <w:rFonts w:ascii="Verdana" w:hAnsi="Verdana"/>
          <w:sz w:val="21"/>
          <w:szCs w:val="21"/>
        </w:rPr>
        <w:t>Thanks to the following for their help and support</w:t>
      </w:r>
      <w:r w:rsidR="00BB7093">
        <w:rPr>
          <w:rFonts w:ascii="Verdana" w:hAnsi="Verdana"/>
          <w:sz w:val="21"/>
          <w:szCs w:val="21"/>
        </w:rPr>
        <w:t xml:space="preserve">: </w:t>
      </w:r>
      <w:proofErr w:type="spellStart"/>
      <w:r w:rsidR="00BB7093">
        <w:rPr>
          <w:rFonts w:ascii="Verdana" w:hAnsi="Verdana"/>
          <w:sz w:val="21"/>
          <w:szCs w:val="21"/>
        </w:rPr>
        <w:t>C</w:t>
      </w:r>
      <w:r w:rsidR="003102E1">
        <w:rPr>
          <w:rFonts w:ascii="Verdana" w:hAnsi="Verdana"/>
          <w:sz w:val="21"/>
          <w:szCs w:val="21"/>
        </w:rPr>
        <w:t>iará</w:t>
      </w:r>
      <w:r w:rsidR="000D21EA">
        <w:rPr>
          <w:rFonts w:ascii="Verdana" w:hAnsi="Verdana"/>
          <w:sz w:val="21"/>
          <w:szCs w:val="21"/>
        </w:rPr>
        <w:t>n</w:t>
      </w:r>
      <w:proofErr w:type="spellEnd"/>
      <w:r w:rsidR="000D21EA">
        <w:rPr>
          <w:rFonts w:ascii="Verdana" w:hAnsi="Verdana"/>
          <w:sz w:val="21"/>
          <w:szCs w:val="21"/>
        </w:rPr>
        <w:t xml:space="preserve"> Humphreys, Nathan Lester</w:t>
      </w: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Default="00963256" w:rsidP="00963256">
      <w:pPr>
        <w:spacing w:after="120" w:line="276" w:lineRule="auto"/>
        <w:ind w:right="-45"/>
        <w:rPr>
          <w:rFonts w:ascii="Verdana" w:eastAsia="Calibri" w:hAnsi="Verdana"/>
          <w:bCs/>
          <w:iCs/>
          <w:sz w:val="18"/>
          <w:szCs w:val="18"/>
        </w:rPr>
      </w:pPr>
    </w:p>
    <w:p w:rsidR="00963256" w:rsidRPr="00D27F6D" w:rsidRDefault="00DF441E" w:rsidP="00963256">
      <w:pPr>
        <w:spacing w:after="120" w:line="276" w:lineRule="auto"/>
        <w:ind w:right="-45"/>
        <w:rPr>
          <w:rFonts w:ascii="Verdana" w:eastAsia="Calibri" w:hAnsi="Verdana"/>
          <w:bCs/>
          <w:iCs/>
          <w:sz w:val="18"/>
          <w:szCs w:val="18"/>
        </w:rPr>
      </w:pPr>
      <w:r>
        <w:rPr>
          <w:rFonts w:ascii="Verdana" w:eastAsia="Calibri" w:hAnsi="Verdana"/>
          <w:bCs/>
          <w:iCs/>
          <w:sz w:val="18"/>
          <w:szCs w:val="18"/>
        </w:rPr>
        <w:pict>
          <v:shape id="_x0000_s1052" type="#_x0000_t202" style="position:absolute;margin-left:-27pt;margin-top:735.05pt;width:533.3pt;height:48.5pt;z-index:251668992" stroked="f">
            <v:textbox style="mso-next-textbox:#_x0000_s1052">
              <w:txbxContent>
                <w:p w:rsidR="00324C51" w:rsidRPr="00607965" w:rsidRDefault="00324C51" w:rsidP="00963256">
                  <w:pPr>
                    <w:spacing w:line="288" w:lineRule="auto"/>
                  </w:pPr>
                </w:p>
              </w:txbxContent>
            </v:textbox>
          </v:shape>
        </w:pict>
      </w:r>
      <w:r>
        <w:rPr>
          <w:rFonts w:ascii="Verdana" w:eastAsia="Calibri" w:hAnsi="Verdana"/>
          <w:bCs/>
          <w:iCs/>
          <w:sz w:val="18"/>
          <w:szCs w:val="18"/>
        </w:rPr>
        <w:pict>
          <v:shape id="_x0000_s1053" type="#_x0000_t202" style="position:absolute;margin-left:-63pt;margin-top:9in;width:36pt;height:153pt;z-index:251670016" stroked="f">
            <v:textbox style="mso-next-textbox:#_x0000_s1053">
              <w:txbxContent>
                <w:p w:rsidR="00324C51" w:rsidRDefault="00324C51" w:rsidP="00963256"/>
              </w:txbxContent>
            </v:textbox>
          </v:shape>
        </w:pict>
      </w:r>
      <w:r w:rsidR="00F577EB">
        <w:rPr>
          <w:rFonts w:ascii="Verdana" w:eastAsia="Calibri" w:hAnsi="Verdana"/>
          <w:bCs/>
          <w:iCs/>
          <w:sz w:val="18"/>
          <w:szCs w:val="18"/>
        </w:rPr>
        <w:t xml:space="preserve"> </w:t>
      </w:r>
      <w:proofErr w:type="gramStart"/>
      <w:r w:rsidR="00F577EB">
        <w:rPr>
          <w:rFonts w:ascii="Verdana" w:eastAsia="Calibri" w:hAnsi="Verdana"/>
          <w:bCs/>
          <w:iCs/>
          <w:sz w:val="18"/>
          <w:szCs w:val="18"/>
        </w:rPr>
        <w:t>© 2013</w:t>
      </w:r>
      <w:r w:rsidR="00963256" w:rsidRPr="00D27F6D">
        <w:rPr>
          <w:rFonts w:ascii="Verdana" w:eastAsia="Calibri" w:hAnsi="Verdana"/>
          <w:bCs/>
          <w:iCs/>
          <w:sz w:val="18"/>
          <w:szCs w:val="18"/>
        </w:rPr>
        <w:t xml:space="preserve"> Public Health Wales NHS Trust.</w:t>
      </w:r>
      <w:proofErr w:type="gramEnd"/>
    </w:p>
    <w:p w:rsidR="00963256" w:rsidRPr="00D27F6D" w:rsidRDefault="00963256" w:rsidP="00963256">
      <w:pPr>
        <w:spacing w:after="120" w:line="276" w:lineRule="auto"/>
        <w:ind w:right="-45"/>
        <w:rPr>
          <w:rFonts w:ascii="Verdana" w:eastAsia="Calibri" w:hAnsi="Verdana"/>
          <w:bCs/>
          <w:iCs/>
          <w:sz w:val="18"/>
          <w:szCs w:val="18"/>
        </w:rPr>
      </w:pPr>
      <w:r w:rsidRPr="00D27F6D">
        <w:rPr>
          <w:rFonts w:ascii="Verdana" w:eastAsia="Calibri" w:hAnsi="Verdana"/>
          <w:bCs/>
          <w:iCs/>
          <w:sz w:val="18"/>
          <w:szCs w:val="18"/>
        </w:rPr>
        <w:t>Material contained in this document may be reproduced without prior permission provided it is done so accurately and is not used in a misleading context.</w:t>
      </w:r>
    </w:p>
    <w:p w:rsidR="00963256" w:rsidRPr="00D27F6D" w:rsidRDefault="00963256" w:rsidP="00963256">
      <w:pPr>
        <w:spacing w:after="120" w:line="276" w:lineRule="auto"/>
        <w:ind w:right="-45"/>
        <w:rPr>
          <w:rFonts w:ascii="Verdana" w:eastAsia="Calibri" w:hAnsi="Verdana"/>
          <w:bCs/>
          <w:iCs/>
          <w:sz w:val="18"/>
          <w:szCs w:val="18"/>
        </w:rPr>
      </w:pPr>
      <w:proofErr w:type="gramStart"/>
      <w:r w:rsidRPr="00D27F6D">
        <w:rPr>
          <w:rFonts w:ascii="Verdana" w:eastAsia="Calibri" w:hAnsi="Verdana"/>
          <w:bCs/>
          <w:iCs/>
          <w:sz w:val="18"/>
          <w:szCs w:val="18"/>
        </w:rPr>
        <w:t>Acknowledgement to Public Health Wales NHS Trust to be stated.</w:t>
      </w:r>
      <w:proofErr w:type="gramEnd"/>
    </w:p>
    <w:p w:rsidR="00963256" w:rsidRDefault="00963256" w:rsidP="00963256">
      <w:pPr>
        <w:spacing w:after="120" w:line="276" w:lineRule="auto"/>
        <w:ind w:right="-45"/>
        <w:rPr>
          <w:rFonts w:ascii="Verdana" w:eastAsia="Calibri" w:hAnsi="Verdana"/>
          <w:bCs/>
          <w:iCs/>
          <w:sz w:val="18"/>
          <w:szCs w:val="18"/>
        </w:rPr>
      </w:pPr>
      <w:r w:rsidRPr="00D27F6D">
        <w:rPr>
          <w:rFonts w:ascii="Verdana" w:eastAsia="Calibri" w:hAnsi="Verdana"/>
          <w:bCs/>
          <w:iCs/>
          <w:sz w:val="18"/>
          <w:szCs w:val="18"/>
        </w:rPr>
        <w:t>Copyright in the typographical arrangement, design and layout belongs to Public Health Wales NHS Trust.</w:t>
      </w:r>
    </w:p>
    <w:p w:rsidR="00963256" w:rsidRDefault="00DF441E" w:rsidP="00963256">
      <w:pPr>
        <w:spacing w:after="120" w:line="276" w:lineRule="auto"/>
        <w:ind w:right="-45"/>
      </w:pPr>
      <w:r w:rsidRPr="00DF441E">
        <w:rPr>
          <w:rFonts w:ascii="Verdana" w:eastAsia="Calibri" w:hAnsi="Verdana"/>
          <w:bCs/>
          <w:iCs/>
          <w:noProof/>
          <w:sz w:val="18"/>
          <w:szCs w:val="18"/>
          <w:lang w:eastAsia="en-GB"/>
        </w:rPr>
        <w:pict>
          <v:roundrect id="_x0000_s1055" style="position:absolute;margin-left:-58.95pt;margin-top:38.35pt;width:600pt;height:23.1pt;z-index:251673088;mso-position-horizontal-relative:text;mso-position-vertical-relative:text" arcsize="10923f" fillcolor="#386698" stroked="f" strokecolor="#b2a1c7 [1943]" strokeweight="2.25pt">
            <v:fill opacity="3932f" color2="#467dba" rotate="t" angle="-90" focusposition=",1" focussize="" focus="-50%" type="gradient"/>
          </v:roundrect>
        </w:pict>
      </w:r>
      <w:r w:rsidR="00963256" w:rsidRPr="00963256">
        <w:rPr>
          <w:rFonts w:ascii="Verdana" w:eastAsia="Calibri" w:hAnsi="Verdana"/>
          <w:bCs/>
          <w:iCs/>
          <w:noProof/>
          <w:sz w:val="18"/>
          <w:szCs w:val="18"/>
          <w:lang w:eastAsia="en-GB"/>
        </w:rPr>
        <w:drawing>
          <wp:anchor distT="0" distB="0" distL="114300" distR="114300" simplePos="0" relativeHeight="251674112" behindDoc="0" locked="0" layoutInCell="1" allowOverlap="1">
            <wp:simplePos x="0" y="0"/>
            <wp:positionH relativeFrom="column">
              <wp:posOffset>4413885</wp:posOffset>
            </wp:positionH>
            <wp:positionV relativeFrom="paragraph">
              <wp:posOffset>100330</wp:posOffset>
            </wp:positionV>
            <wp:extent cx="2019300" cy="542925"/>
            <wp:effectExtent l="19050" t="19050" r="19050" b="28575"/>
            <wp:wrapSquare wrapText="bothSides"/>
            <wp:docPr id="18" name="Picture 31" descr="PHW Observatory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PHW Observatory RGB"/>
                    <pic:cNvPicPr>
                      <a:picLocks noChangeAspect="1" noChangeArrowheads="1"/>
                    </pic:cNvPicPr>
                  </pic:nvPicPr>
                  <pic:blipFill>
                    <a:blip r:embed="rId9" cstate="print"/>
                    <a:srcRect r="15001"/>
                    <a:stretch>
                      <a:fillRect/>
                    </a:stretch>
                  </pic:blipFill>
                  <pic:spPr bwMode="auto">
                    <a:xfrm>
                      <a:off x="0" y="0"/>
                      <a:ext cx="2019300" cy="542925"/>
                    </a:xfrm>
                    <a:prstGeom prst="round1Rect">
                      <a:avLst/>
                    </a:prstGeom>
                    <a:gradFill rotWithShape="1">
                      <a:gsLst>
                        <a:gs pos="0">
                          <a:srgbClr val="FFFFFF"/>
                        </a:gs>
                        <a:gs pos="100000">
                          <a:srgbClr val="FFFFFF">
                            <a:gamma/>
                            <a:shade val="46275"/>
                            <a:invGamma/>
                          </a:srgbClr>
                        </a:gs>
                      </a:gsLst>
                      <a:lin ang="0" scaled="1"/>
                    </a:gradFill>
                    <a:ln w="19050">
                      <a:solidFill>
                        <a:srgbClr val="7FA5CF"/>
                      </a:solidFill>
                      <a:miter lim="800000"/>
                      <a:headEnd/>
                      <a:tailEnd/>
                    </a:ln>
                  </pic:spPr>
                </pic:pic>
              </a:graphicData>
            </a:graphic>
          </wp:anchor>
        </w:drawing>
      </w:r>
    </w:p>
    <w:p w:rsidR="00963256" w:rsidRPr="00B9298F" w:rsidRDefault="00963256" w:rsidP="00B9298F">
      <w:pPr>
        <w:sectPr w:rsidR="00963256" w:rsidRPr="00B9298F" w:rsidSect="002E00CA">
          <w:headerReference w:type="even" r:id="rId10"/>
          <w:headerReference w:type="default" r:id="rId11"/>
          <w:footerReference w:type="even" r:id="rId12"/>
          <w:footerReference w:type="default" r:id="rId13"/>
          <w:headerReference w:type="first" r:id="rId14"/>
          <w:footerReference w:type="first" r:id="rId15"/>
          <w:type w:val="evenPage"/>
          <w:pgSz w:w="11906" w:h="16838"/>
          <w:pgMar w:top="539" w:right="1134" w:bottom="1134" w:left="1134" w:header="709" w:footer="709" w:gutter="0"/>
          <w:cols w:space="708"/>
          <w:docGrid w:linePitch="360"/>
        </w:sectPr>
      </w:pPr>
    </w:p>
    <w:p w:rsidR="00B75130" w:rsidRPr="00667363" w:rsidRDefault="00B75130" w:rsidP="00D969A6">
      <w:pPr>
        <w:pStyle w:val="PHW1"/>
      </w:pPr>
      <w:bookmarkStart w:id="0" w:name="_Toc342383422"/>
      <w:bookmarkStart w:id="1" w:name="_Toc250450013"/>
      <w:r w:rsidRPr="00667363">
        <w:lastRenderedPageBreak/>
        <w:t>Introduction</w:t>
      </w:r>
      <w:bookmarkEnd w:id="0"/>
    </w:p>
    <w:p w:rsidR="001B3204" w:rsidRDefault="00DE3D78" w:rsidP="00D969A6">
      <w:pPr>
        <w:tabs>
          <w:tab w:val="left" w:pos="6750"/>
        </w:tabs>
        <w:jc w:val="both"/>
        <w:rPr>
          <w:rStyle w:val="Strong"/>
          <w:rFonts w:ascii="Verdana" w:hAnsi="Verdana"/>
          <w:sz w:val="22"/>
        </w:rPr>
      </w:pPr>
      <w:r w:rsidRPr="00D969A6">
        <w:rPr>
          <w:rStyle w:val="Strong"/>
          <w:rFonts w:ascii="Verdana" w:hAnsi="Verdana"/>
          <w:sz w:val="22"/>
        </w:rPr>
        <w:t>This document accompanies the pub</w:t>
      </w:r>
      <w:r w:rsidR="00510863">
        <w:rPr>
          <w:rStyle w:val="Strong"/>
          <w:rFonts w:ascii="Verdana" w:hAnsi="Verdana"/>
          <w:sz w:val="22"/>
        </w:rPr>
        <w:t xml:space="preserve">lication of indicator data for </w:t>
      </w:r>
      <w:r w:rsidR="00510863" w:rsidRPr="00510863">
        <w:rPr>
          <w:rStyle w:val="Strong"/>
          <w:rFonts w:ascii="Verdana" w:hAnsi="Verdana"/>
          <w:i/>
          <w:sz w:val="22"/>
        </w:rPr>
        <w:t>Our Healthy Future</w:t>
      </w:r>
      <w:r w:rsidRPr="00D969A6">
        <w:rPr>
          <w:rStyle w:val="Strong"/>
          <w:rFonts w:ascii="Verdana" w:hAnsi="Verdana"/>
          <w:sz w:val="22"/>
        </w:rPr>
        <w:t xml:space="preserve"> (OHF) priority outcomes. It provides an analysis of the data at the Wales level for most of the indicators chosen. </w:t>
      </w:r>
    </w:p>
    <w:p w:rsidR="001B3204" w:rsidRDefault="001B3204" w:rsidP="00D969A6">
      <w:pPr>
        <w:tabs>
          <w:tab w:val="left" w:pos="6750"/>
        </w:tabs>
        <w:jc w:val="both"/>
        <w:rPr>
          <w:rStyle w:val="Strong"/>
          <w:rFonts w:ascii="Verdana" w:hAnsi="Verdana"/>
          <w:sz w:val="22"/>
        </w:rPr>
      </w:pPr>
    </w:p>
    <w:p w:rsidR="00BD48AE" w:rsidRDefault="00DE3D78" w:rsidP="00510863">
      <w:pPr>
        <w:tabs>
          <w:tab w:val="left" w:pos="6750"/>
        </w:tabs>
        <w:jc w:val="both"/>
        <w:rPr>
          <w:rFonts w:ascii="Verdana" w:hAnsi="Verdana"/>
          <w:sz w:val="22"/>
          <w:szCs w:val="22"/>
        </w:rPr>
      </w:pPr>
      <w:r w:rsidRPr="00D969A6">
        <w:rPr>
          <w:rStyle w:val="Strong"/>
          <w:rFonts w:ascii="Verdana" w:hAnsi="Verdana"/>
          <w:sz w:val="22"/>
        </w:rPr>
        <w:t xml:space="preserve">Many of the indicators are for persons i.e. males and females combined, and so this document includes a breakdown by age and sex at the Wales level. Where possible the distribution of values is also investigated to further understand the patterns. In addition to the interactive </w:t>
      </w:r>
      <w:r w:rsidR="00AF7EC4">
        <w:rPr>
          <w:rStyle w:val="Strong"/>
          <w:rFonts w:ascii="Verdana" w:hAnsi="Verdana"/>
          <w:sz w:val="22"/>
        </w:rPr>
        <w:t>data file</w:t>
      </w:r>
      <w:r w:rsidRPr="00D969A6">
        <w:rPr>
          <w:rStyle w:val="Strong"/>
          <w:rFonts w:ascii="Verdana" w:hAnsi="Verdana"/>
          <w:sz w:val="22"/>
        </w:rPr>
        <w:t xml:space="preserve"> used to publish the data, this document is intended to give further information on the indicator data. For technical details of the indicator definition and data sources</w:t>
      </w:r>
      <w:r w:rsidR="00510863">
        <w:rPr>
          <w:rStyle w:val="Strong"/>
          <w:rFonts w:ascii="Verdana" w:hAnsi="Verdana"/>
          <w:sz w:val="22"/>
        </w:rPr>
        <w:t xml:space="preserve"> please see the technical guide on the web page </w:t>
      </w:r>
      <w:hyperlink r:id="rId16" w:history="1">
        <w:r w:rsidR="00510863" w:rsidRPr="00510863">
          <w:rPr>
            <w:rStyle w:val="Hyperlink"/>
            <w:rFonts w:ascii="Verdana" w:hAnsi="Verdana"/>
            <w:sz w:val="22"/>
            <w:szCs w:val="22"/>
          </w:rPr>
          <w:t>http://www.wales.nhs.uk/sitesplus/922/page/65976</w:t>
        </w:r>
      </w:hyperlink>
    </w:p>
    <w:p w:rsidR="00BD48AE" w:rsidRDefault="00BD48AE">
      <w:pPr>
        <w:rPr>
          <w:rFonts w:ascii="Verdana" w:hAnsi="Verdana"/>
          <w:b/>
          <w:color w:val="003366"/>
          <w:kern w:val="28"/>
          <w:sz w:val="32"/>
          <w:szCs w:val="20"/>
        </w:rPr>
      </w:pPr>
      <w:r>
        <w:br w:type="page"/>
      </w:r>
    </w:p>
    <w:p w:rsidR="00BD48AE" w:rsidRPr="00667363" w:rsidRDefault="00BD48AE" w:rsidP="00D969A6">
      <w:pPr>
        <w:pStyle w:val="PHW1"/>
      </w:pPr>
      <w:bookmarkStart w:id="2" w:name="_Toc342383423"/>
      <w:r w:rsidRPr="00667363">
        <w:lastRenderedPageBreak/>
        <w:t>Population free from a common mental disorder</w:t>
      </w:r>
      <w:bookmarkEnd w:id="2"/>
    </w:p>
    <w:p w:rsidR="00BD48AE" w:rsidRPr="00D969A6" w:rsidRDefault="00BD48AE" w:rsidP="00D969A6">
      <w:pPr>
        <w:tabs>
          <w:tab w:val="left" w:pos="6750"/>
        </w:tabs>
        <w:jc w:val="both"/>
        <w:rPr>
          <w:rStyle w:val="Strong"/>
          <w:rFonts w:ascii="Verdana" w:hAnsi="Verdana"/>
          <w:sz w:val="22"/>
        </w:rPr>
      </w:pPr>
      <w:r w:rsidRPr="00D969A6">
        <w:rPr>
          <w:rStyle w:val="Strong"/>
          <w:rFonts w:ascii="Verdana" w:hAnsi="Verdana"/>
          <w:sz w:val="22"/>
        </w:rPr>
        <w:t xml:space="preserve">This indicator </w:t>
      </w:r>
      <w:r w:rsidR="00DF5E76">
        <w:rPr>
          <w:rStyle w:val="Strong"/>
          <w:rFonts w:ascii="Verdana" w:hAnsi="Verdana"/>
          <w:sz w:val="22"/>
        </w:rPr>
        <w:t>estimates</w:t>
      </w:r>
      <w:r w:rsidRPr="00D969A6">
        <w:rPr>
          <w:rStyle w:val="Strong"/>
          <w:rFonts w:ascii="Verdana" w:hAnsi="Verdana"/>
          <w:sz w:val="22"/>
        </w:rPr>
        <w:t xml:space="preserve"> the percentage of the population free from a common mental disorder</w:t>
      </w:r>
      <w:r w:rsidR="00DF5E76">
        <w:rPr>
          <w:rStyle w:val="Strong"/>
          <w:rFonts w:ascii="Verdana" w:hAnsi="Verdana"/>
          <w:sz w:val="22"/>
        </w:rPr>
        <w:t>.</w:t>
      </w:r>
      <w:r w:rsidRPr="00D969A6">
        <w:rPr>
          <w:rStyle w:val="Strong"/>
          <w:rFonts w:ascii="Verdana" w:hAnsi="Verdana"/>
          <w:sz w:val="22"/>
        </w:rPr>
        <w:t xml:space="preserve"> </w:t>
      </w:r>
      <w:r w:rsidR="00DF5E76">
        <w:rPr>
          <w:rStyle w:val="Strong"/>
          <w:rFonts w:ascii="Verdana" w:hAnsi="Verdana"/>
          <w:sz w:val="22"/>
        </w:rPr>
        <w:t>T</w:t>
      </w:r>
      <w:r w:rsidRPr="00D969A6">
        <w:rPr>
          <w:rStyle w:val="Strong"/>
          <w:rFonts w:ascii="Verdana" w:hAnsi="Verdana"/>
          <w:sz w:val="22"/>
        </w:rPr>
        <w:t xml:space="preserve">he Mental Health Inventory 5 score (MHI-5 score) </w:t>
      </w:r>
      <w:r w:rsidR="00DF5E76" w:rsidRPr="00D969A6">
        <w:rPr>
          <w:rStyle w:val="Strong"/>
          <w:rFonts w:ascii="Verdana" w:hAnsi="Verdana"/>
          <w:sz w:val="22"/>
        </w:rPr>
        <w:t>is derived from five questions in the SF-36 questionnaire in the Welsh Health Survey and is self-reported</w:t>
      </w:r>
      <w:r w:rsidR="00DF5E76">
        <w:rPr>
          <w:rStyle w:val="Strong"/>
          <w:rFonts w:ascii="Verdana" w:hAnsi="Verdana"/>
          <w:sz w:val="22"/>
        </w:rPr>
        <w:t xml:space="preserve">. Those with a MHI-5 score </w:t>
      </w:r>
      <w:r w:rsidRPr="00D969A6">
        <w:rPr>
          <w:rStyle w:val="Strong"/>
          <w:rFonts w:ascii="Verdana" w:hAnsi="Verdana"/>
          <w:sz w:val="22"/>
        </w:rPr>
        <w:t>of 60 and over</w:t>
      </w:r>
      <w:r w:rsidR="00DF5E76">
        <w:rPr>
          <w:rStyle w:val="Strong"/>
          <w:rFonts w:ascii="Verdana" w:hAnsi="Verdana"/>
          <w:sz w:val="22"/>
        </w:rPr>
        <w:t xml:space="preserve"> are considered free from a comm</w:t>
      </w:r>
      <w:r w:rsidR="008626D2">
        <w:rPr>
          <w:rStyle w:val="Strong"/>
          <w:rFonts w:ascii="Verdana" w:hAnsi="Verdana"/>
          <w:sz w:val="22"/>
        </w:rPr>
        <w:t>o</w:t>
      </w:r>
      <w:r w:rsidR="00DF5E76">
        <w:rPr>
          <w:rStyle w:val="Strong"/>
          <w:rFonts w:ascii="Verdana" w:hAnsi="Verdana"/>
          <w:sz w:val="22"/>
        </w:rPr>
        <w:t>n mental disorder (see the technical guide for further details)</w:t>
      </w:r>
      <w:r w:rsidRPr="00D969A6">
        <w:rPr>
          <w:rStyle w:val="Strong"/>
          <w:rFonts w:ascii="Verdana" w:hAnsi="Verdana"/>
          <w:sz w:val="22"/>
        </w:rPr>
        <w:t xml:space="preserve">. Figure </w:t>
      </w:r>
      <w:r w:rsidR="00ED0E22">
        <w:rPr>
          <w:rStyle w:val="Strong"/>
          <w:rFonts w:ascii="Verdana" w:hAnsi="Verdana"/>
          <w:sz w:val="22"/>
        </w:rPr>
        <w:t>1</w:t>
      </w:r>
      <w:r w:rsidRPr="00D969A6">
        <w:rPr>
          <w:rStyle w:val="Strong"/>
          <w:rFonts w:ascii="Verdana" w:hAnsi="Verdana"/>
          <w:sz w:val="22"/>
        </w:rPr>
        <w:t xml:space="preserve"> shows the age and sex breakdown for this measure. There are relatively small differences between the age groups compared to other indicators. For males in the 16-24 age group 84% </w:t>
      </w:r>
      <w:r w:rsidR="00DF5E76">
        <w:rPr>
          <w:rStyle w:val="Strong"/>
          <w:rFonts w:ascii="Verdana" w:hAnsi="Verdana"/>
          <w:sz w:val="22"/>
        </w:rPr>
        <w:t>are considered</w:t>
      </w:r>
      <w:r w:rsidRPr="00D969A6">
        <w:rPr>
          <w:rStyle w:val="Strong"/>
          <w:rFonts w:ascii="Verdana" w:hAnsi="Verdana"/>
          <w:sz w:val="22"/>
        </w:rPr>
        <w:t xml:space="preserve"> </w:t>
      </w:r>
      <w:r w:rsidR="00BD1016">
        <w:rPr>
          <w:rStyle w:val="Strong"/>
          <w:rFonts w:ascii="Verdana" w:hAnsi="Verdana"/>
          <w:sz w:val="22"/>
        </w:rPr>
        <w:t xml:space="preserve">to be </w:t>
      </w:r>
      <w:r w:rsidRPr="00D969A6">
        <w:rPr>
          <w:rStyle w:val="Strong"/>
          <w:rFonts w:ascii="Verdana" w:hAnsi="Verdana"/>
          <w:sz w:val="22"/>
        </w:rPr>
        <w:t>free from a common mental disorder</w:t>
      </w:r>
      <w:r w:rsidR="00DF5E76">
        <w:rPr>
          <w:rStyle w:val="Strong"/>
          <w:rFonts w:ascii="Verdana" w:hAnsi="Verdana"/>
          <w:sz w:val="22"/>
        </w:rPr>
        <w:t>,</w:t>
      </w:r>
      <w:r w:rsidRPr="00D969A6">
        <w:rPr>
          <w:rStyle w:val="Strong"/>
          <w:rFonts w:ascii="Verdana" w:hAnsi="Verdana"/>
          <w:sz w:val="22"/>
        </w:rPr>
        <w:t xml:space="preserve"> generally decreasing with age to 75% in those aged 75+. For females the percentage is slightly lower than for males in all age groups and has decreased from 75% in the youngest to 70% in the oldest age group.</w:t>
      </w:r>
    </w:p>
    <w:p w:rsidR="00BD48AE" w:rsidRDefault="00BD48AE" w:rsidP="00BD48AE">
      <w:pPr>
        <w:rPr>
          <w:b/>
        </w:rPr>
      </w:pPr>
    </w:p>
    <w:p w:rsidR="00BD48AE" w:rsidRPr="00B9298F" w:rsidRDefault="00BD48AE" w:rsidP="00BD48AE">
      <w:pPr>
        <w:rPr>
          <w:rStyle w:val="Emphasis"/>
        </w:rPr>
      </w:pPr>
      <w:r w:rsidRPr="00B9298F">
        <w:rPr>
          <w:rStyle w:val="Emphasis"/>
        </w:rPr>
        <w:t xml:space="preserve">Figure </w:t>
      </w:r>
      <w:r w:rsidR="00ED0E22">
        <w:rPr>
          <w:rStyle w:val="Emphasis"/>
        </w:rPr>
        <w:t>1</w:t>
      </w:r>
      <w:r w:rsidRPr="00B9298F">
        <w:rPr>
          <w:rStyle w:val="Emphasis"/>
        </w:rPr>
        <w:t>:</w:t>
      </w:r>
    </w:p>
    <w:p w:rsidR="00BD48AE" w:rsidRDefault="00BD48AE" w:rsidP="00BD48AE">
      <w:r>
        <w:rPr>
          <w:noProof/>
          <w:lang w:eastAsia="en-GB"/>
        </w:rPr>
        <w:drawing>
          <wp:inline distT="0" distB="0" distL="0" distR="0">
            <wp:extent cx="5426300" cy="4086225"/>
            <wp:effectExtent l="19050" t="0" r="2950" b="0"/>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5426710" cy="4086225"/>
                    </a:xfrm>
                    <a:prstGeom prst="rect">
                      <a:avLst/>
                    </a:prstGeom>
                    <a:noFill/>
                    <a:ln w="9525">
                      <a:noFill/>
                      <a:miter lim="800000"/>
                      <a:headEnd/>
                      <a:tailEnd/>
                    </a:ln>
                  </pic:spPr>
                </pic:pic>
              </a:graphicData>
            </a:graphic>
          </wp:inline>
        </w:drawing>
      </w:r>
    </w:p>
    <w:p w:rsidR="00BD48AE" w:rsidRDefault="00BD48AE" w:rsidP="00BD48AE"/>
    <w:p w:rsidR="00BD48AE" w:rsidRPr="00D969A6" w:rsidRDefault="00BD48AE" w:rsidP="00D969A6">
      <w:pPr>
        <w:jc w:val="both"/>
        <w:rPr>
          <w:rStyle w:val="Strong"/>
          <w:rFonts w:ascii="Verdana" w:hAnsi="Verdana"/>
          <w:sz w:val="22"/>
        </w:rPr>
      </w:pPr>
      <w:r w:rsidRPr="00D969A6">
        <w:rPr>
          <w:rStyle w:val="Strong"/>
          <w:rFonts w:ascii="Verdana" w:hAnsi="Verdana"/>
          <w:sz w:val="22"/>
        </w:rPr>
        <w:t xml:space="preserve">The chart in Figure </w:t>
      </w:r>
      <w:r w:rsidR="00ED0E22">
        <w:rPr>
          <w:rStyle w:val="Strong"/>
          <w:rFonts w:ascii="Verdana" w:hAnsi="Verdana"/>
          <w:sz w:val="22"/>
        </w:rPr>
        <w:t>2</w:t>
      </w:r>
      <w:r w:rsidRPr="00D969A6">
        <w:rPr>
          <w:rStyle w:val="Strong"/>
          <w:rFonts w:ascii="Verdana" w:hAnsi="Verdana"/>
          <w:sz w:val="22"/>
        </w:rPr>
        <w:t xml:space="preserve"> shows the distribution of MHI-5 summary scores in </w:t>
      </w:r>
      <w:r w:rsidR="00583FED">
        <w:rPr>
          <w:rStyle w:val="Strong"/>
          <w:rFonts w:ascii="Verdana" w:hAnsi="Verdana"/>
          <w:sz w:val="22"/>
        </w:rPr>
        <w:t xml:space="preserve">ranges </w:t>
      </w:r>
      <w:r w:rsidRPr="00D969A6">
        <w:rPr>
          <w:rStyle w:val="Strong"/>
          <w:rFonts w:ascii="Verdana" w:hAnsi="Verdana"/>
          <w:sz w:val="22"/>
        </w:rPr>
        <w:t xml:space="preserve">of 10, with higher scores indicating better mental health. The five questions may be linked and not independent of each other and the scores are therefore unlikely to be linear and normally distributed. The percentages in each score band rise with increasing score from 1% with scores of 0-10 to 30% of males and 25% of females with scores of 81-90. </w:t>
      </w:r>
      <w:r w:rsidR="00583FED">
        <w:rPr>
          <w:rStyle w:val="Strong"/>
          <w:rFonts w:ascii="Verdana" w:hAnsi="Verdana"/>
          <w:sz w:val="22"/>
        </w:rPr>
        <w:t>Only around</w:t>
      </w:r>
      <w:r w:rsidRPr="00D969A6">
        <w:rPr>
          <w:rStyle w:val="Strong"/>
          <w:rFonts w:ascii="Verdana" w:hAnsi="Verdana"/>
          <w:sz w:val="22"/>
        </w:rPr>
        <w:t xml:space="preserve"> 15% of males and 10% of females report the highest scores of 91-100 indicating the best mental health. A higher percentage of males than females report the highest scores of 81-100, whilst a higher percentage of females than males report the lower scores (bands 0-80).</w:t>
      </w:r>
    </w:p>
    <w:p w:rsidR="00BD48AE" w:rsidRPr="00D969A6" w:rsidRDefault="00BD48AE" w:rsidP="00D969A6">
      <w:pPr>
        <w:jc w:val="both"/>
        <w:rPr>
          <w:rStyle w:val="Strong"/>
          <w:rFonts w:ascii="Verdana" w:hAnsi="Verdana"/>
          <w:sz w:val="22"/>
        </w:rPr>
      </w:pPr>
    </w:p>
    <w:p w:rsidR="00B9298F" w:rsidRDefault="00B9298F">
      <w:pPr>
        <w:rPr>
          <w:rStyle w:val="Emphasis"/>
        </w:rPr>
      </w:pPr>
      <w:r>
        <w:rPr>
          <w:rStyle w:val="Emphasis"/>
        </w:rPr>
        <w:br w:type="page"/>
      </w:r>
    </w:p>
    <w:p w:rsidR="00BD48AE" w:rsidRDefault="00BD48AE" w:rsidP="00BD48AE">
      <w:pPr>
        <w:rPr>
          <w:rStyle w:val="Emphasis"/>
        </w:rPr>
      </w:pPr>
      <w:r w:rsidRPr="00BD48AE">
        <w:rPr>
          <w:rStyle w:val="Emphasis"/>
        </w:rPr>
        <w:lastRenderedPageBreak/>
        <w:t xml:space="preserve">Figure </w:t>
      </w:r>
      <w:r w:rsidR="00ED0E22">
        <w:rPr>
          <w:rStyle w:val="Emphasis"/>
        </w:rPr>
        <w:t>2</w:t>
      </w:r>
      <w:r w:rsidRPr="00BD48AE">
        <w:rPr>
          <w:rStyle w:val="Emphasis"/>
        </w:rPr>
        <w:t>:</w:t>
      </w:r>
    </w:p>
    <w:p w:rsidR="00ED7878" w:rsidRPr="00BD48AE" w:rsidRDefault="00ED7878" w:rsidP="00BD48AE">
      <w:pPr>
        <w:rPr>
          <w:rStyle w:val="Emphasis"/>
        </w:rPr>
      </w:pPr>
    </w:p>
    <w:p w:rsidR="00BD48AE" w:rsidRPr="00EC1F3C" w:rsidRDefault="00EC1F3C" w:rsidP="00BD48AE">
      <w:pPr>
        <w:rPr>
          <w:b/>
        </w:rPr>
      </w:pPr>
      <w:r>
        <w:rPr>
          <w:b/>
          <w:noProof/>
          <w:lang w:eastAsia="en-GB"/>
        </w:rPr>
        <w:drawing>
          <wp:inline distT="0" distB="0" distL="0" distR="0">
            <wp:extent cx="5553075" cy="4095750"/>
            <wp:effectExtent l="19050" t="0" r="9525"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553075" cy="4095750"/>
                    </a:xfrm>
                    <a:prstGeom prst="rect">
                      <a:avLst/>
                    </a:prstGeom>
                    <a:noFill/>
                    <a:ln w="9525">
                      <a:noFill/>
                      <a:miter lim="800000"/>
                      <a:headEnd/>
                      <a:tailEnd/>
                    </a:ln>
                  </pic:spPr>
                </pic:pic>
              </a:graphicData>
            </a:graphic>
          </wp:inline>
        </w:drawing>
      </w:r>
    </w:p>
    <w:p w:rsidR="00BD48AE" w:rsidRDefault="00BD48AE" w:rsidP="00BD48AE"/>
    <w:p w:rsidR="00BD48AE" w:rsidRPr="00D969A6" w:rsidRDefault="00BD48AE" w:rsidP="00D969A6">
      <w:pPr>
        <w:jc w:val="both"/>
        <w:rPr>
          <w:rStyle w:val="Strong"/>
          <w:rFonts w:ascii="Verdana" w:hAnsi="Verdana"/>
          <w:sz w:val="22"/>
        </w:rPr>
      </w:pPr>
    </w:p>
    <w:p w:rsidR="00D00C07" w:rsidRDefault="00D00C07">
      <w:pPr>
        <w:rPr>
          <w:rFonts w:ascii="Verdana" w:hAnsi="Verdana"/>
          <w:sz w:val="20"/>
          <w:szCs w:val="22"/>
        </w:rPr>
      </w:pPr>
      <w:r>
        <w:rPr>
          <w:rFonts w:ascii="Verdana" w:hAnsi="Verdana"/>
          <w:sz w:val="20"/>
          <w:szCs w:val="22"/>
        </w:rPr>
        <w:br w:type="page"/>
      </w:r>
    </w:p>
    <w:p w:rsidR="00A80E32" w:rsidRPr="00667363" w:rsidRDefault="0034438C" w:rsidP="00D969A6">
      <w:pPr>
        <w:pStyle w:val="PHW1"/>
      </w:pPr>
      <w:bookmarkStart w:id="3" w:name="_Toc342383424"/>
      <w:r w:rsidRPr="00667363">
        <w:lastRenderedPageBreak/>
        <w:t>Percentage of adults who smoke</w:t>
      </w:r>
      <w:bookmarkEnd w:id="3"/>
    </w:p>
    <w:p w:rsidR="0034438C" w:rsidRPr="00D969A6" w:rsidRDefault="0034438C" w:rsidP="00D969A6">
      <w:pPr>
        <w:jc w:val="both"/>
        <w:rPr>
          <w:rStyle w:val="Strong"/>
          <w:rFonts w:ascii="Verdana" w:hAnsi="Verdana"/>
          <w:sz w:val="22"/>
        </w:rPr>
      </w:pPr>
      <w:r w:rsidRPr="00D969A6">
        <w:rPr>
          <w:rStyle w:val="Strong"/>
          <w:rFonts w:ascii="Verdana" w:hAnsi="Verdana"/>
          <w:sz w:val="22"/>
        </w:rPr>
        <w:t xml:space="preserve">This indicator measures the percentage of adults (aged 16+) who reported smoking either daily or occasionally. Figure </w:t>
      </w:r>
      <w:r w:rsidR="00ED0E22">
        <w:rPr>
          <w:rStyle w:val="Strong"/>
          <w:rFonts w:ascii="Verdana" w:hAnsi="Verdana"/>
          <w:sz w:val="22"/>
        </w:rPr>
        <w:t>3</w:t>
      </w:r>
      <w:r w:rsidRPr="00D969A6">
        <w:rPr>
          <w:rStyle w:val="Strong"/>
          <w:rFonts w:ascii="Verdana" w:hAnsi="Verdana"/>
          <w:sz w:val="22"/>
        </w:rPr>
        <w:t xml:space="preserve"> shows </w:t>
      </w:r>
      <w:r w:rsidR="005E7134">
        <w:rPr>
          <w:rStyle w:val="Strong"/>
          <w:rFonts w:ascii="Verdana" w:hAnsi="Verdana"/>
          <w:sz w:val="22"/>
        </w:rPr>
        <w:t>the age and sex breakdown</w:t>
      </w:r>
      <w:r w:rsidRPr="00D969A6">
        <w:rPr>
          <w:rStyle w:val="Strong"/>
          <w:rFonts w:ascii="Verdana" w:hAnsi="Verdana"/>
          <w:sz w:val="22"/>
        </w:rPr>
        <w:t xml:space="preserve"> for 2010. The proportion of smokers in males is highest in those aged 25-34 with 37% followed by those aged 35-44 with 31%.  This decreases with age to 8% in those aged 75+. The peak percentage in females is lower than in males and is found in those aged </w:t>
      </w:r>
      <w:r w:rsidR="005E7134">
        <w:rPr>
          <w:rStyle w:val="Strong"/>
          <w:rFonts w:ascii="Verdana" w:hAnsi="Verdana"/>
          <w:sz w:val="22"/>
        </w:rPr>
        <w:t>16-34 with 27% smokers. This also decreases</w:t>
      </w:r>
      <w:r w:rsidRPr="00D969A6">
        <w:rPr>
          <w:rStyle w:val="Strong"/>
          <w:rFonts w:ascii="Verdana" w:hAnsi="Verdana"/>
          <w:sz w:val="22"/>
        </w:rPr>
        <w:t xml:space="preserve"> with age from age 35-44 onwards. </w:t>
      </w:r>
    </w:p>
    <w:p w:rsidR="0034438C" w:rsidRPr="00D969A6" w:rsidRDefault="0034438C" w:rsidP="00D969A6">
      <w:pPr>
        <w:jc w:val="both"/>
        <w:rPr>
          <w:rStyle w:val="Strong"/>
          <w:rFonts w:ascii="Verdana" w:hAnsi="Verdana"/>
          <w:sz w:val="22"/>
        </w:rPr>
      </w:pPr>
    </w:p>
    <w:p w:rsidR="0034438C" w:rsidRDefault="0034438C" w:rsidP="0034438C">
      <w:pPr>
        <w:rPr>
          <w:rStyle w:val="Emphasis"/>
        </w:rPr>
      </w:pPr>
      <w:r w:rsidRPr="0034438C">
        <w:rPr>
          <w:rStyle w:val="Emphasis"/>
        </w:rPr>
        <w:t xml:space="preserve">Figure </w:t>
      </w:r>
      <w:r w:rsidR="00ED0E22">
        <w:rPr>
          <w:rStyle w:val="Emphasis"/>
        </w:rPr>
        <w:t>3</w:t>
      </w:r>
      <w:r w:rsidRPr="0034438C">
        <w:rPr>
          <w:rStyle w:val="Emphasis"/>
        </w:rPr>
        <w:t xml:space="preserve">: </w:t>
      </w:r>
    </w:p>
    <w:p w:rsidR="0034438C" w:rsidRDefault="0034438C" w:rsidP="0034438C">
      <w:r>
        <w:rPr>
          <w:noProof/>
          <w:lang w:eastAsia="en-GB"/>
        </w:rPr>
        <w:drawing>
          <wp:inline distT="0" distB="0" distL="0" distR="0">
            <wp:extent cx="5768975" cy="3656526"/>
            <wp:effectExtent l="19050" t="0" r="3175"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768975" cy="3656526"/>
                    </a:xfrm>
                    <a:prstGeom prst="rect">
                      <a:avLst/>
                    </a:prstGeom>
                    <a:noFill/>
                    <a:ln w="9525">
                      <a:noFill/>
                      <a:miter lim="800000"/>
                      <a:headEnd/>
                      <a:tailEnd/>
                    </a:ln>
                  </pic:spPr>
                </pic:pic>
              </a:graphicData>
            </a:graphic>
          </wp:inline>
        </w:drawing>
      </w:r>
    </w:p>
    <w:p w:rsidR="00A14CE0" w:rsidRPr="00A80E32" w:rsidRDefault="003455C7" w:rsidP="00D969A6">
      <w:pPr>
        <w:pStyle w:val="PHW1"/>
      </w:pPr>
      <w:r w:rsidRPr="00D00C07">
        <w:br w:type="page"/>
      </w:r>
      <w:bookmarkStart w:id="4" w:name="_Toc342383425"/>
      <w:bookmarkEnd w:id="1"/>
      <w:r w:rsidR="0034438C" w:rsidRPr="00667363">
        <w:lastRenderedPageBreak/>
        <w:t>Average days of physical activity</w:t>
      </w:r>
      <w:bookmarkEnd w:id="4"/>
    </w:p>
    <w:p w:rsidR="0034438C" w:rsidRPr="00D969A6" w:rsidRDefault="0034438C" w:rsidP="00D969A6">
      <w:pPr>
        <w:jc w:val="both"/>
        <w:rPr>
          <w:rStyle w:val="Strong"/>
          <w:rFonts w:ascii="Verdana" w:hAnsi="Verdana"/>
          <w:sz w:val="22"/>
        </w:rPr>
      </w:pPr>
      <w:r w:rsidRPr="00D969A6">
        <w:rPr>
          <w:rStyle w:val="Strong"/>
          <w:rFonts w:ascii="Verdana" w:hAnsi="Verdana"/>
          <w:sz w:val="22"/>
        </w:rPr>
        <w:t xml:space="preserve">This indicator measures the average number of days in the past week where adults report undertaking </w:t>
      </w:r>
      <w:r w:rsidR="00482489">
        <w:rPr>
          <w:rStyle w:val="Strong"/>
          <w:rFonts w:ascii="Verdana" w:hAnsi="Verdana"/>
          <w:sz w:val="22"/>
        </w:rPr>
        <w:t xml:space="preserve">at </w:t>
      </w:r>
      <w:r w:rsidRPr="00D969A6">
        <w:rPr>
          <w:rStyle w:val="Strong"/>
          <w:rFonts w:ascii="Verdana" w:hAnsi="Verdana"/>
          <w:sz w:val="22"/>
        </w:rPr>
        <w:t>least 30 minutes of moderate or vigorous physical activity. The number of days is capped at 5 days (for those with activity on 5-7 days). This means that this indicator measures the progress of the less physically active</w:t>
      </w:r>
      <w:r w:rsidR="00BE7463">
        <w:rPr>
          <w:rStyle w:val="Strong"/>
          <w:rFonts w:ascii="Verdana" w:hAnsi="Verdana"/>
          <w:sz w:val="22"/>
        </w:rPr>
        <w:t xml:space="preserve">. </w:t>
      </w:r>
      <w:r w:rsidRPr="00D969A6">
        <w:rPr>
          <w:rStyle w:val="Strong"/>
          <w:rFonts w:ascii="Verdana" w:hAnsi="Verdana"/>
          <w:sz w:val="22"/>
        </w:rPr>
        <w:t xml:space="preserve">Figure </w:t>
      </w:r>
      <w:r w:rsidR="00ED0E22">
        <w:rPr>
          <w:rStyle w:val="Strong"/>
          <w:rFonts w:ascii="Verdana" w:hAnsi="Verdana"/>
          <w:sz w:val="22"/>
        </w:rPr>
        <w:t>4</w:t>
      </w:r>
      <w:r w:rsidRPr="00D969A6">
        <w:rPr>
          <w:rStyle w:val="Strong"/>
          <w:rFonts w:ascii="Verdana" w:hAnsi="Verdana"/>
          <w:sz w:val="22"/>
        </w:rPr>
        <w:t xml:space="preserve"> shows the age and sex breakdown for this measure. The average number of days is greater for males than for females in all age groups. It is highest i</w:t>
      </w:r>
      <w:r w:rsidR="00B97792">
        <w:rPr>
          <w:rStyle w:val="Strong"/>
          <w:rFonts w:ascii="Verdana" w:hAnsi="Verdana"/>
          <w:sz w:val="22"/>
        </w:rPr>
        <w:t>n the younger age groups and declines</w:t>
      </w:r>
      <w:r w:rsidRPr="00D969A6">
        <w:rPr>
          <w:rStyle w:val="Strong"/>
          <w:rFonts w:ascii="Verdana" w:hAnsi="Verdana"/>
          <w:sz w:val="22"/>
        </w:rPr>
        <w:t xml:space="preserve"> with age, particularly from the 55-64 age </w:t>
      </w:r>
      <w:proofErr w:type="gramStart"/>
      <w:r w:rsidRPr="00D969A6">
        <w:rPr>
          <w:rStyle w:val="Strong"/>
          <w:rFonts w:ascii="Verdana" w:hAnsi="Verdana"/>
          <w:sz w:val="22"/>
        </w:rPr>
        <w:t>group</w:t>
      </w:r>
      <w:proofErr w:type="gramEnd"/>
      <w:r w:rsidRPr="00D969A6">
        <w:rPr>
          <w:rStyle w:val="Strong"/>
          <w:rFonts w:ascii="Verdana" w:hAnsi="Verdana"/>
          <w:sz w:val="22"/>
        </w:rPr>
        <w:t xml:space="preserve"> onwards.</w:t>
      </w:r>
    </w:p>
    <w:p w:rsidR="00A80E32" w:rsidRPr="00D969A6" w:rsidRDefault="00A80E32" w:rsidP="00D969A6">
      <w:pPr>
        <w:jc w:val="both"/>
        <w:rPr>
          <w:rStyle w:val="Strong"/>
          <w:rFonts w:ascii="Verdana" w:hAnsi="Verdana"/>
          <w:sz w:val="22"/>
        </w:rPr>
      </w:pPr>
    </w:p>
    <w:p w:rsidR="00A80E32" w:rsidRDefault="00A80E32" w:rsidP="00A80E32">
      <w:pPr>
        <w:rPr>
          <w:rStyle w:val="Emphasis"/>
        </w:rPr>
      </w:pPr>
      <w:r w:rsidRPr="00A80E32">
        <w:rPr>
          <w:rStyle w:val="Emphasis"/>
        </w:rPr>
        <w:t xml:space="preserve">Figure </w:t>
      </w:r>
      <w:r w:rsidR="00ED0E22">
        <w:rPr>
          <w:rStyle w:val="Emphasis"/>
        </w:rPr>
        <w:t>4</w:t>
      </w:r>
      <w:r w:rsidRPr="00A80E32">
        <w:rPr>
          <w:rStyle w:val="Emphasis"/>
        </w:rPr>
        <w:t>:</w:t>
      </w:r>
    </w:p>
    <w:p w:rsidR="00A80E32" w:rsidRDefault="00437444" w:rsidP="00A80E32">
      <w:r>
        <w:rPr>
          <w:noProof/>
          <w:lang w:eastAsia="en-GB"/>
        </w:rPr>
        <w:drawing>
          <wp:inline distT="0" distB="0" distL="0" distR="0">
            <wp:extent cx="5772150" cy="3609975"/>
            <wp:effectExtent l="19050" t="0" r="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rsidR="00A80E32" w:rsidRDefault="00A80E32" w:rsidP="00A80E32"/>
    <w:p w:rsidR="00A80E32" w:rsidRPr="00D969A6" w:rsidRDefault="00A80E32" w:rsidP="00D969A6">
      <w:pPr>
        <w:jc w:val="both"/>
        <w:rPr>
          <w:rStyle w:val="Strong"/>
          <w:rFonts w:ascii="Verdana" w:hAnsi="Verdana"/>
          <w:sz w:val="22"/>
        </w:rPr>
      </w:pPr>
    </w:p>
    <w:p w:rsidR="00A80E32" w:rsidRPr="00D969A6" w:rsidRDefault="00A80E32" w:rsidP="00D969A6">
      <w:pPr>
        <w:jc w:val="both"/>
        <w:rPr>
          <w:rStyle w:val="Strong"/>
          <w:rFonts w:ascii="Verdana" w:hAnsi="Verdana"/>
          <w:sz w:val="22"/>
        </w:rPr>
      </w:pPr>
      <w:r w:rsidRPr="00D969A6">
        <w:rPr>
          <w:rStyle w:val="Strong"/>
          <w:rFonts w:ascii="Verdana" w:hAnsi="Verdana"/>
          <w:sz w:val="22"/>
        </w:rPr>
        <w:t xml:space="preserve">Figure </w:t>
      </w:r>
      <w:r w:rsidR="00ED0E22">
        <w:rPr>
          <w:rStyle w:val="Strong"/>
          <w:rFonts w:ascii="Verdana" w:hAnsi="Verdana"/>
          <w:sz w:val="22"/>
        </w:rPr>
        <w:t>5</w:t>
      </w:r>
      <w:r w:rsidRPr="00D969A6">
        <w:rPr>
          <w:rStyle w:val="Strong"/>
          <w:rFonts w:ascii="Verdana" w:hAnsi="Verdana"/>
          <w:sz w:val="22"/>
        </w:rPr>
        <w:t xml:space="preserve"> shows the distribution of the reported days with 30 minutes of moderate or vigorous physical activity which roughly displays a U-shaped pattern. Around 31% of males and 36% of females reported not </w:t>
      </w:r>
      <w:r w:rsidR="00B97792">
        <w:rPr>
          <w:rStyle w:val="Strong"/>
          <w:rFonts w:ascii="Verdana" w:hAnsi="Verdana"/>
          <w:sz w:val="22"/>
        </w:rPr>
        <w:t xml:space="preserve">achieving </w:t>
      </w:r>
      <w:r w:rsidRPr="00D969A6">
        <w:rPr>
          <w:rStyle w:val="Strong"/>
          <w:rFonts w:ascii="Verdana" w:hAnsi="Verdana"/>
          <w:sz w:val="22"/>
        </w:rPr>
        <w:t xml:space="preserve">a single day with 30 minutes </w:t>
      </w:r>
      <w:r w:rsidR="00B97792">
        <w:rPr>
          <w:rStyle w:val="Strong"/>
          <w:rFonts w:ascii="Verdana" w:hAnsi="Verdana"/>
          <w:sz w:val="22"/>
        </w:rPr>
        <w:t xml:space="preserve">of </w:t>
      </w:r>
      <w:r w:rsidRPr="00D969A6">
        <w:rPr>
          <w:rStyle w:val="Strong"/>
          <w:rFonts w:ascii="Verdana" w:hAnsi="Verdana"/>
          <w:sz w:val="22"/>
        </w:rPr>
        <w:t>physical activity in the past week, whilst 37% of males and 24% of females reported 5 days or more. The remaining adults reported between one and four days’ physical activity (32% in males and 40% in females).</w:t>
      </w:r>
    </w:p>
    <w:p w:rsidR="00B9298F" w:rsidRDefault="00B9298F">
      <w:pPr>
        <w:rPr>
          <w:rStyle w:val="Emphasis"/>
        </w:rPr>
      </w:pPr>
    </w:p>
    <w:p w:rsidR="00264253" w:rsidRDefault="00264253">
      <w:pPr>
        <w:rPr>
          <w:rStyle w:val="Emphasis"/>
        </w:rPr>
      </w:pPr>
      <w:r>
        <w:rPr>
          <w:rStyle w:val="Emphasis"/>
        </w:rPr>
        <w:br w:type="page"/>
      </w:r>
    </w:p>
    <w:p w:rsidR="00A80E32" w:rsidRDefault="00A80E32" w:rsidP="00A80E32">
      <w:pPr>
        <w:rPr>
          <w:rStyle w:val="Emphasis"/>
        </w:rPr>
      </w:pPr>
      <w:r w:rsidRPr="00A80E32">
        <w:rPr>
          <w:rStyle w:val="Emphasis"/>
        </w:rPr>
        <w:lastRenderedPageBreak/>
        <w:t xml:space="preserve">Figure </w:t>
      </w:r>
      <w:r w:rsidR="00ED0E22">
        <w:rPr>
          <w:rStyle w:val="Emphasis"/>
        </w:rPr>
        <w:t>5</w:t>
      </w:r>
      <w:r w:rsidRPr="00A80E32">
        <w:rPr>
          <w:rStyle w:val="Emphasis"/>
        </w:rPr>
        <w:t>:</w:t>
      </w:r>
    </w:p>
    <w:p w:rsidR="00A80E32" w:rsidRDefault="00A80E32" w:rsidP="00A80E32">
      <w:r>
        <w:rPr>
          <w:noProof/>
          <w:lang w:eastAsia="en-GB"/>
        </w:rPr>
        <w:drawing>
          <wp:inline distT="0" distB="0" distL="0" distR="0">
            <wp:extent cx="5768975" cy="3678078"/>
            <wp:effectExtent l="19050" t="0" r="3175" b="0"/>
            <wp:docPr id="2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srcRect/>
                    <a:stretch>
                      <a:fillRect/>
                    </a:stretch>
                  </pic:blipFill>
                  <pic:spPr bwMode="auto">
                    <a:xfrm>
                      <a:off x="0" y="0"/>
                      <a:ext cx="5768975" cy="3678078"/>
                    </a:xfrm>
                    <a:prstGeom prst="rect">
                      <a:avLst/>
                    </a:prstGeom>
                    <a:noFill/>
                    <a:ln w="9525">
                      <a:noFill/>
                      <a:miter lim="800000"/>
                      <a:headEnd/>
                      <a:tailEnd/>
                    </a:ln>
                  </pic:spPr>
                </pic:pic>
              </a:graphicData>
            </a:graphic>
          </wp:inline>
        </w:drawing>
      </w:r>
    </w:p>
    <w:p w:rsidR="00A80E32" w:rsidRPr="00D969A6" w:rsidRDefault="00A80E32" w:rsidP="00D969A6">
      <w:pPr>
        <w:jc w:val="both"/>
        <w:rPr>
          <w:rStyle w:val="Strong"/>
          <w:rFonts w:ascii="Verdana" w:hAnsi="Verdana"/>
          <w:sz w:val="22"/>
        </w:rPr>
      </w:pPr>
      <w:r w:rsidRPr="00D969A6">
        <w:rPr>
          <w:rStyle w:val="Strong"/>
          <w:rFonts w:ascii="Verdana" w:hAnsi="Verdana"/>
          <w:sz w:val="22"/>
        </w:rPr>
        <w:t xml:space="preserve">Figure </w:t>
      </w:r>
      <w:r w:rsidR="00ED0E22">
        <w:rPr>
          <w:rStyle w:val="Strong"/>
          <w:rFonts w:ascii="Verdana" w:hAnsi="Verdana"/>
          <w:sz w:val="22"/>
        </w:rPr>
        <w:t>6</w:t>
      </w:r>
      <w:r w:rsidRPr="00D969A6">
        <w:rPr>
          <w:rStyle w:val="Strong"/>
          <w:rFonts w:ascii="Verdana" w:hAnsi="Verdana"/>
          <w:sz w:val="22"/>
        </w:rPr>
        <w:t xml:space="preserve"> shows the distribution of the number of days with at least 30 minutes of moderate or vigorous physical activity for each 10-year age band. As with the pattern for all ages, those reporting either none or five or more days were the largest groups with more than half of the respondents together. Not achieving a single day was reported by 20% in the youngest age group, rising to 72% in those aged 75+. Five or more days of activity were reported by 38% in the youngest age group, declining slowly with age to 10% in those aged 75+. Those with one to four days of activity varied between 18% and 44% of respondents amongst the age groups and declined with age.  </w:t>
      </w:r>
    </w:p>
    <w:p w:rsidR="00A80E32" w:rsidRPr="00D969A6" w:rsidRDefault="00A80E32" w:rsidP="00D969A6">
      <w:pPr>
        <w:jc w:val="both"/>
        <w:rPr>
          <w:rStyle w:val="Strong"/>
          <w:rFonts w:ascii="Verdana" w:hAnsi="Verdana"/>
          <w:sz w:val="22"/>
        </w:rPr>
      </w:pPr>
    </w:p>
    <w:p w:rsidR="00A80E32" w:rsidRPr="00A80E32" w:rsidRDefault="00A80E32" w:rsidP="00A80E32">
      <w:pPr>
        <w:rPr>
          <w:rStyle w:val="Emphasis"/>
        </w:rPr>
      </w:pPr>
      <w:r w:rsidRPr="00A80E32">
        <w:rPr>
          <w:rStyle w:val="Emphasis"/>
        </w:rPr>
        <w:t xml:space="preserve">Figure </w:t>
      </w:r>
      <w:r w:rsidR="00ED0E22">
        <w:rPr>
          <w:rStyle w:val="Emphasis"/>
        </w:rPr>
        <w:t>6</w:t>
      </w:r>
      <w:r w:rsidRPr="00A80E32">
        <w:rPr>
          <w:rStyle w:val="Emphasis"/>
        </w:rPr>
        <w:t>:</w:t>
      </w:r>
    </w:p>
    <w:p w:rsidR="00A80E32" w:rsidRPr="0059470A" w:rsidRDefault="00A80E32" w:rsidP="00A80E32">
      <w:r>
        <w:rPr>
          <w:noProof/>
          <w:lang w:eastAsia="en-GB"/>
        </w:rPr>
        <w:drawing>
          <wp:inline distT="0" distB="0" distL="0" distR="0">
            <wp:extent cx="5768975" cy="3607989"/>
            <wp:effectExtent l="19050" t="0" r="3175" b="0"/>
            <wp:docPr id="2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srcRect/>
                    <a:stretch>
                      <a:fillRect/>
                    </a:stretch>
                  </pic:blipFill>
                  <pic:spPr bwMode="auto">
                    <a:xfrm>
                      <a:off x="0" y="0"/>
                      <a:ext cx="5768975" cy="3607989"/>
                    </a:xfrm>
                    <a:prstGeom prst="rect">
                      <a:avLst/>
                    </a:prstGeom>
                    <a:noFill/>
                    <a:ln w="9525">
                      <a:noFill/>
                      <a:miter lim="800000"/>
                      <a:headEnd/>
                      <a:tailEnd/>
                    </a:ln>
                  </pic:spPr>
                </pic:pic>
              </a:graphicData>
            </a:graphic>
          </wp:inline>
        </w:drawing>
      </w:r>
    </w:p>
    <w:p w:rsidR="0034438C" w:rsidRPr="00667363" w:rsidRDefault="00A80E32" w:rsidP="00D969A6">
      <w:pPr>
        <w:pStyle w:val="PHW1"/>
      </w:pPr>
      <w:bookmarkStart w:id="5" w:name="_Toc342383426"/>
      <w:r w:rsidRPr="00667363">
        <w:lastRenderedPageBreak/>
        <w:t>Eating five portions of fruit and vegetables</w:t>
      </w:r>
      <w:bookmarkEnd w:id="5"/>
    </w:p>
    <w:p w:rsidR="002F7FDA" w:rsidRDefault="00A80E32" w:rsidP="00D969A6">
      <w:pPr>
        <w:jc w:val="both"/>
        <w:rPr>
          <w:rStyle w:val="Strong"/>
          <w:rFonts w:ascii="Verdana" w:hAnsi="Verdana"/>
          <w:sz w:val="22"/>
        </w:rPr>
      </w:pPr>
      <w:r w:rsidRPr="00D969A6">
        <w:rPr>
          <w:rStyle w:val="Strong"/>
          <w:rFonts w:ascii="Verdana" w:hAnsi="Verdana"/>
          <w:sz w:val="22"/>
        </w:rPr>
        <w:t xml:space="preserve">This indicator measures the percentage of adults who reported eating five or more portions of fruit and vegetables the previous day. </w:t>
      </w:r>
      <w:r w:rsidR="002F7FDA">
        <w:rPr>
          <w:rStyle w:val="Strong"/>
          <w:rFonts w:ascii="Verdana" w:hAnsi="Verdana"/>
          <w:sz w:val="22"/>
        </w:rPr>
        <w:t xml:space="preserve">In line with guidelines which emphasise that a variety of fruit and vegetables should be consumed, rules for certain foods were applied to the survey responses. Respondents could obtain no more than one portion of their daily intake from fruit juice, one portion from pulses, and one from dried fruit. </w:t>
      </w:r>
    </w:p>
    <w:p w:rsidR="002F7FDA" w:rsidRDefault="002F7FDA" w:rsidP="00D969A6">
      <w:pPr>
        <w:jc w:val="both"/>
        <w:rPr>
          <w:rStyle w:val="Strong"/>
          <w:rFonts w:ascii="Verdana" w:hAnsi="Verdana"/>
          <w:sz w:val="22"/>
        </w:rPr>
      </w:pPr>
    </w:p>
    <w:p w:rsidR="00A80E32" w:rsidRPr="00D969A6" w:rsidRDefault="00A80E32" w:rsidP="00D969A6">
      <w:pPr>
        <w:jc w:val="both"/>
        <w:rPr>
          <w:rStyle w:val="Strong"/>
          <w:rFonts w:ascii="Verdana" w:hAnsi="Verdana"/>
          <w:sz w:val="22"/>
        </w:rPr>
      </w:pPr>
      <w:r w:rsidRPr="00D969A6">
        <w:rPr>
          <w:rStyle w:val="Strong"/>
          <w:rFonts w:ascii="Verdana" w:hAnsi="Verdana"/>
          <w:sz w:val="22"/>
        </w:rPr>
        <w:t>The percentage of males eating five or more portions varies from 29% in 25-34 year olds to 37% in the 65-74 year olds. The percentage of females with five or more portions is generally higher than for males, and displays a rising pattern with 31% in the youngest age group to the peak of 43% in the 55-74 year olds. It drops again to 29% in those aged 75+.</w:t>
      </w:r>
    </w:p>
    <w:p w:rsidR="00BC3F7E" w:rsidRPr="00D969A6" w:rsidRDefault="00BC3F7E" w:rsidP="00D969A6">
      <w:pPr>
        <w:jc w:val="both"/>
        <w:rPr>
          <w:rStyle w:val="Strong"/>
          <w:rFonts w:ascii="Verdana" w:hAnsi="Verdana"/>
          <w:sz w:val="22"/>
        </w:rPr>
      </w:pPr>
    </w:p>
    <w:p w:rsidR="00A80E32" w:rsidRDefault="00A80E32" w:rsidP="00BC3F7E">
      <w:pPr>
        <w:rPr>
          <w:rStyle w:val="Emphasis"/>
        </w:rPr>
      </w:pPr>
      <w:r w:rsidRPr="00BC3F7E">
        <w:rPr>
          <w:rStyle w:val="Emphasis"/>
        </w:rPr>
        <w:t xml:space="preserve">Figure </w:t>
      </w:r>
      <w:r w:rsidR="000D6646">
        <w:rPr>
          <w:rStyle w:val="Emphasis"/>
        </w:rPr>
        <w:t>7</w:t>
      </w:r>
      <w:r w:rsidRPr="00BC3F7E">
        <w:rPr>
          <w:rStyle w:val="Emphasis"/>
        </w:rPr>
        <w:t>:</w:t>
      </w:r>
    </w:p>
    <w:p w:rsidR="00A80E32" w:rsidRDefault="00A80E32" w:rsidP="00A80E32">
      <w:r>
        <w:rPr>
          <w:noProof/>
          <w:lang w:eastAsia="en-GB"/>
        </w:rPr>
        <w:drawing>
          <wp:inline distT="0" distB="0" distL="0" distR="0">
            <wp:extent cx="5768975" cy="3735648"/>
            <wp:effectExtent l="19050" t="0" r="3175"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5768975" cy="3735648"/>
                    </a:xfrm>
                    <a:prstGeom prst="rect">
                      <a:avLst/>
                    </a:prstGeom>
                    <a:noFill/>
                    <a:ln w="9525">
                      <a:noFill/>
                      <a:miter lim="800000"/>
                      <a:headEnd/>
                      <a:tailEnd/>
                    </a:ln>
                  </pic:spPr>
                </pic:pic>
              </a:graphicData>
            </a:graphic>
          </wp:inline>
        </w:drawing>
      </w:r>
    </w:p>
    <w:p w:rsidR="00A80E32" w:rsidRDefault="00A80E32" w:rsidP="00A80E32"/>
    <w:p w:rsidR="00FB0AD8" w:rsidRPr="00D969A6" w:rsidRDefault="00FB0AD8" w:rsidP="00D969A6">
      <w:pPr>
        <w:tabs>
          <w:tab w:val="left" w:pos="6750"/>
        </w:tabs>
        <w:spacing w:line="264" w:lineRule="auto"/>
        <w:jc w:val="both"/>
        <w:rPr>
          <w:rStyle w:val="Strong"/>
          <w:rFonts w:ascii="Verdana" w:hAnsi="Verdana"/>
          <w:sz w:val="22"/>
        </w:rPr>
      </w:pPr>
    </w:p>
    <w:p w:rsidR="00D73BA0" w:rsidRDefault="00675F84" w:rsidP="00725F67">
      <w:pPr>
        <w:jc w:val="both"/>
        <w:rPr>
          <w:rStyle w:val="Emphasis"/>
        </w:rPr>
      </w:pPr>
      <w:r>
        <w:rPr>
          <w:rStyle w:val="Strong"/>
          <w:rFonts w:ascii="Verdana" w:hAnsi="Verdana"/>
          <w:sz w:val="22"/>
        </w:rPr>
        <w:t xml:space="preserve">Figure 8 </w:t>
      </w:r>
      <w:r w:rsidR="00C43591">
        <w:rPr>
          <w:rStyle w:val="Strong"/>
          <w:rFonts w:ascii="Verdana" w:hAnsi="Verdana"/>
          <w:sz w:val="22"/>
        </w:rPr>
        <w:t xml:space="preserve">shows the percentage of males </w:t>
      </w:r>
      <w:r w:rsidR="00482489">
        <w:rPr>
          <w:rStyle w:val="Strong"/>
          <w:rFonts w:ascii="Verdana" w:hAnsi="Verdana"/>
          <w:sz w:val="22"/>
        </w:rPr>
        <w:t xml:space="preserve">and </w:t>
      </w:r>
      <w:r w:rsidR="00C43591">
        <w:rPr>
          <w:rStyle w:val="Strong"/>
          <w:rFonts w:ascii="Verdana" w:hAnsi="Verdana"/>
          <w:sz w:val="22"/>
        </w:rPr>
        <w:t xml:space="preserve">females that have reported consuming a particular </w:t>
      </w:r>
      <w:r>
        <w:rPr>
          <w:rStyle w:val="Strong"/>
          <w:rFonts w:ascii="Verdana" w:hAnsi="Verdana"/>
          <w:sz w:val="22"/>
        </w:rPr>
        <w:t xml:space="preserve">number of </w:t>
      </w:r>
      <w:r w:rsidR="00C43591">
        <w:rPr>
          <w:rStyle w:val="Strong"/>
          <w:rFonts w:ascii="Verdana" w:hAnsi="Verdana"/>
          <w:sz w:val="22"/>
        </w:rPr>
        <w:t xml:space="preserve">portions of </w:t>
      </w:r>
      <w:r>
        <w:rPr>
          <w:rStyle w:val="Strong"/>
          <w:rFonts w:ascii="Verdana" w:hAnsi="Verdana"/>
          <w:sz w:val="22"/>
        </w:rPr>
        <w:t>fruit and vegetable</w:t>
      </w:r>
      <w:r w:rsidR="00B97792">
        <w:rPr>
          <w:rStyle w:val="Strong"/>
          <w:rFonts w:ascii="Verdana" w:hAnsi="Verdana"/>
          <w:sz w:val="22"/>
        </w:rPr>
        <w:t>s</w:t>
      </w:r>
      <w:r>
        <w:rPr>
          <w:rStyle w:val="Strong"/>
          <w:rFonts w:ascii="Verdana" w:hAnsi="Verdana"/>
          <w:sz w:val="22"/>
        </w:rPr>
        <w:t xml:space="preserve"> </w:t>
      </w:r>
      <w:r w:rsidR="00E808BE">
        <w:rPr>
          <w:rStyle w:val="Strong"/>
          <w:rFonts w:ascii="Verdana" w:hAnsi="Verdana"/>
          <w:sz w:val="22"/>
        </w:rPr>
        <w:t>on the previous day</w:t>
      </w:r>
      <w:r>
        <w:rPr>
          <w:rStyle w:val="Strong"/>
          <w:rFonts w:ascii="Verdana" w:hAnsi="Verdana"/>
          <w:sz w:val="22"/>
        </w:rPr>
        <w:t xml:space="preserve">. </w:t>
      </w:r>
      <w:r w:rsidR="00A3256C">
        <w:rPr>
          <w:rStyle w:val="Strong"/>
          <w:rFonts w:ascii="Verdana" w:hAnsi="Verdana"/>
          <w:sz w:val="22"/>
        </w:rPr>
        <w:t xml:space="preserve">The number of portions reported could, for example, be two and a half portions. </w:t>
      </w:r>
      <w:r w:rsidR="00594C72">
        <w:rPr>
          <w:rStyle w:val="Strong"/>
          <w:rFonts w:ascii="Verdana" w:hAnsi="Verdana"/>
          <w:sz w:val="22"/>
        </w:rPr>
        <w:t xml:space="preserve">This would be counted as 2 (whole) portions in the chart. </w:t>
      </w:r>
      <w:r w:rsidRPr="00D969A6">
        <w:rPr>
          <w:rStyle w:val="Strong"/>
          <w:rFonts w:ascii="Verdana" w:hAnsi="Verdana"/>
          <w:sz w:val="22"/>
        </w:rPr>
        <w:t xml:space="preserve">The percentage of males eating </w:t>
      </w:r>
      <w:r w:rsidR="005E442F">
        <w:rPr>
          <w:rStyle w:val="Strong"/>
          <w:rFonts w:ascii="Verdana" w:hAnsi="Verdana"/>
          <w:sz w:val="22"/>
        </w:rPr>
        <w:t xml:space="preserve">two or fewer portions on the previous day </w:t>
      </w:r>
      <w:r w:rsidR="00E808BE">
        <w:rPr>
          <w:rStyle w:val="Strong"/>
          <w:rFonts w:ascii="Verdana" w:hAnsi="Verdana"/>
          <w:sz w:val="22"/>
        </w:rPr>
        <w:t>was</w:t>
      </w:r>
      <w:r w:rsidR="005E442F">
        <w:rPr>
          <w:rStyle w:val="Strong"/>
          <w:rFonts w:ascii="Verdana" w:hAnsi="Verdana"/>
          <w:sz w:val="22"/>
        </w:rPr>
        <w:t xml:space="preserve"> greater than the percentage for females. Conversely, the percentage of females eating between three to nine portions </w:t>
      </w:r>
      <w:r w:rsidR="00E808BE">
        <w:rPr>
          <w:rStyle w:val="Strong"/>
          <w:rFonts w:ascii="Verdana" w:hAnsi="Verdana"/>
          <w:sz w:val="22"/>
        </w:rPr>
        <w:t>was</w:t>
      </w:r>
      <w:r w:rsidR="005E442F">
        <w:rPr>
          <w:rStyle w:val="Strong"/>
          <w:rFonts w:ascii="Verdana" w:hAnsi="Verdana"/>
          <w:sz w:val="22"/>
        </w:rPr>
        <w:t xml:space="preserve"> greater than </w:t>
      </w:r>
      <w:r w:rsidR="00B97792">
        <w:rPr>
          <w:rStyle w:val="Strong"/>
          <w:rFonts w:ascii="Verdana" w:hAnsi="Verdana"/>
          <w:sz w:val="22"/>
        </w:rPr>
        <w:t>for</w:t>
      </w:r>
      <w:r w:rsidR="005E442F">
        <w:rPr>
          <w:rStyle w:val="Strong"/>
          <w:rFonts w:ascii="Verdana" w:hAnsi="Verdana"/>
          <w:sz w:val="22"/>
        </w:rPr>
        <w:t xml:space="preserve"> </w:t>
      </w:r>
      <w:r w:rsidR="00A3256C">
        <w:rPr>
          <w:rStyle w:val="Strong"/>
          <w:rFonts w:ascii="Verdana" w:hAnsi="Verdana"/>
          <w:sz w:val="22"/>
        </w:rPr>
        <w:t>males.</w:t>
      </w:r>
      <w:r w:rsidRPr="00D969A6">
        <w:rPr>
          <w:rStyle w:val="Strong"/>
          <w:rFonts w:ascii="Verdana" w:hAnsi="Verdana"/>
          <w:sz w:val="22"/>
        </w:rPr>
        <w:t xml:space="preserve"> </w:t>
      </w:r>
      <w:r w:rsidR="005E442F">
        <w:rPr>
          <w:rStyle w:val="Strong"/>
          <w:rFonts w:ascii="Verdana" w:hAnsi="Verdana"/>
          <w:sz w:val="22"/>
        </w:rPr>
        <w:t xml:space="preserve">The </w:t>
      </w:r>
      <w:r w:rsidR="00E808BE">
        <w:rPr>
          <w:rStyle w:val="Strong"/>
          <w:rFonts w:ascii="Verdana" w:hAnsi="Verdana"/>
          <w:sz w:val="22"/>
        </w:rPr>
        <w:t>peak in the distribution was three po</w:t>
      </w:r>
      <w:r w:rsidR="00D55973">
        <w:rPr>
          <w:rStyle w:val="Strong"/>
          <w:rFonts w:ascii="Verdana" w:hAnsi="Verdana"/>
          <w:sz w:val="22"/>
        </w:rPr>
        <w:t>r</w:t>
      </w:r>
      <w:r w:rsidR="00E808BE">
        <w:rPr>
          <w:rStyle w:val="Strong"/>
          <w:rFonts w:ascii="Verdana" w:hAnsi="Verdana"/>
          <w:sz w:val="22"/>
        </w:rPr>
        <w:t xml:space="preserve">tions for females and two portions for males. </w:t>
      </w:r>
      <w:r w:rsidR="00454528">
        <w:rPr>
          <w:rStyle w:val="Strong"/>
          <w:rFonts w:ascii="Verdana" w:hAnsi="Verdana"/>
          <w:sz w:val="22"/>
        </w:rPr>
        <w:t xml:space="preserve">It is also worth noting that there </w:t>
      </w:r>
      <w:proofErr w:type="gramStart"/>
      <w:r w:rsidR="00454528">
        <w:rPr>
          <w:rStyle w:val="Strong"/>
          <w:rFonts w:ascii="Verdana" w:hAnsi="Verdana"/>
          <w:sz w:val="22"/>
        </w:rPr>
        <w:t>is</w:t>
      </w:r>
      <w:proofErr w:type="gramEnd"/>
      <w:r w:rsidR="00454528">
        <w:rPr>
          <w:rStyle w:val="Strong"/>
          <w:rFonts w:ascii="Verdana" w:hAnsi="Verdana"/>
          <w:sz w:val="22"/>
        </w:rPr>
        <w:t xml:space="preserve"> a small proportion of outliers where respondents have reported over 20 portions. It is unclear if these are realistic</w:t>
      </w:r>
      <w:r w:rsidR="00A3256C">
        <w:rPr>
          <w:rStyle w:val="Strong"/>
          <w:rFonts w:ascii="Verdana" w:hAnsi="Verdana"/>
          <w:sz w:val="22"/>
        </w:rPr>
        <w:t xml:space="preserve"> results</w:t>
      </w:r>
      <w:r w:rsidR="00454528">
        <w:rPr>
          <w:rStyle w:val="Strong"/>
          <w:rFonts w:ascii="Verdana" w:hAnsi="Verdana"/>
          <w:sz w:val="22"/>
        </w:rPr>
        <w:t xml:space="preserve">, but they are included in any analysis </w:t>
      </w:r>
      <w:r w:rsidR="00594C72">
        <w:rPr>
          <w:rStyle w:val="Strong"/>
          <w:rFonts w:ascii="Verdana" w:hAnsi="Verdana"/>
          <w:sz w:val="22"/>
        </w:rPr>
        <w:t xml:space="preserve">published </w:t>
      </w:r>
      <w:r w:rsidR="00454528">
        <w:rPr>
          <w:rStyle w:val="Strong"/>
          <w:rFonts w:ascii="Verdana" w:hAnsi="Verdana"/>
          <w:sz w:val="22"/>
        </w:rPr>
        <w:t xml:space="preserve">by </w:t>
      </w:r>
      <w:r w:rsidR="00B5220C">
        <w:rPr>
          <w:rStyle w:val="Strong"/>
          <w:rFonts w:ascii="Verdana" w:hAnsi="Verdana"/>
          <w:sz w:val="22"/>
        </w:rPr>
        <w:t>the Welsh Government</w:t>
      </w:r>
      <w:r w:rsidR="00454528">
        <w:rPr>
          <w:rStyle w:val="Strong"/>
          <w:rFonts w:ascii="Verdana" w:hAnsi="Verdana"/>
          <w:sz w:val="22"/>
        </w:rPr>
        <w:t>.</w:t>
      </w:r>
    </w:p>
    <w:p w:rsidR="00D73BA0" w:rsidRDefault="00D73BA0" w:rsidP="00612496">
      <w:pPr>
        <w:rPr>
          <w:rStyle w:val="Emphasis"/>
        </w:rPr>
      </w:pPr>
    </w:p>
    <w:p w:rsidR="00D73BA0" w:rsidRDefault="00D73BA0" w:rsidP="00612496">
      <w:pPr>
        <w:rPr>
          <w:rStyle w:val="Emphasis"/>
        </w:rPr>
      </w:pPr>
    </w:p>
    <w:p w:rsidR="00D73BA0" w:rsidRDefault="00D73BA0" w:rsidP="00612496">
      <w:pPr>
        <w:rPr>
          <w:rStyle w:val="Emphasis"/>
        </w:rPr>
      </w:pPr>
    </w:p>
    <w:p w:rsidR="00612496" w:rsidRDefault="00612496" w:rsidP="00612496">
      <w:pPr>
        <w:rPr>
          <w:rStyle w:val="Emphasis"/>
        </w:rPr>
      </w:pPr>
      <w:r w:rsidRPr="00BC3F7E">
        <w:rPr>
          <w:rStyle w:val="Emphasis"/>
        </w:rPr>
        <w:lastRenderedPageBreak/>
        <w:t xml:space="preserve">Figure </w:t>
      </w:r>
      <w:r>
        <w:rPr>
          <w:rStyle w:val="Emphasis"/>
        </w:rPr>
        <w:t>8</w:t>
      </w:r>
      <w:r w:rsidRPr="00BC3F7E">
        <w:rPr>
          <w:rStyle w:val="Emphasis"/>
        </w:rPr>
        <w:t>:</w:t>
      </w:r>
    </w:p>
    <w:p w:rsidR="00A3256C" w:rsidRDefault="00A3256C" w:rsidP="00612496">
      <w:pPr>
        <w:rPr>
          <w:rStyle w:val="Emphasis"/>
        </w:rPr>
      </w:pPr>
    </w:p>
    <w:p w:rsidR="00D73BA0" w:rsidRDefault="00ED7878" w:rsidP="00612496">
      <w:pPr>
        <w:rPr>
          <w:rStyle w:val="Emphasis"/>
        </w:rPr>
      </w:pPr>
      <w:r>
        <w:rPr>
          <w:rFonts w:ascii="Verdana" w:hAnsi="Verdana"/>
          <w:b/>
          <w:iCs/>
          <w:noProof/>
          <w:lang w:eastAsia="en-GB"/>
        </w:rPr>
        <w:drawing>
          <wp:inline distT="0" distB="0" distL="0" distR="0">
            <wp:extent cx="6120130" cy="3873960"/>
            <wp:effectExtent l="1905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6120130" cy="3873960"/>
                    </a:xfrm>
                    <a:prstGeom prst="rect">
                      <a:avLst/>
                    </a:prstGeom>
                    <a:noFill/>
                    <a:ln w="9525">
                      <a:noFill/>
                      <a:miter lim="800000"/>
                      <a:headEnd/>
                      <a:tailEnd/>
                    </a:ln>
                  </pic:spPr>
                </pic:pic>
              </a:graphicData>
            </a:graphic>
          </wp:inline>
        </w:drawing>
      </w:r>
    </w:p>
    <w:p w:rsidR="00D969A6" w:rsidRDefault="00D969A6" w:rsidP="005832E6">
      <w:pPr>
        <w:jc w:val="both"/>
        <w:rPr>
          <w:rStyle w:val="Strong"/>
          <w:rFonts w:ascii="Verdana" w:hAnsi="Verdana"/>
          <w:b/>
          <w:color w:val="003366"/>
          <w:kern w:val="28"/>
          <w:sz w:val="32"/>
        </w:rPr>
      </w:pPr>
    </w:p>
    <w:p w:rsidR="005832E6" w:rsidRDefault="005832E6">
      <w:pPr>
        <w:rPr>
          <w:rStyle w:val="Strong"/>
          <w:rFonts w:ascii="Verdana" w:hAnsi="Verdana"/>
          <w:b/>
          <w:color w:val="003366"/>
          <w:kern w:val="28"/>
          <w:sz w:val="32"/>
        </w:rPr>
      </w:pPr>
      <w:r>
        <w:rPr>
          <w:rStyle w:val="Strong"/>
        </w:rPr>
        <w:br w:type="page"/>
      </w:r>
    </w:p>
    <w:p w:rsidR="00362D06" w:rsidRPr="00D969A6" w:rsidRDefault="00BC3F7E" w:rsidP="00D969A6">
      <w:pPr>
        <w:pStyle w:val="PHW1"/>
        <w:rPr>
          <w:rStyle w:val="Strong"/>
        </w:rPr>
      </w:pPr>
      <w:bookmarkStart w:id="6" w:name="_Toc342383427"/>
      <w:r w:rsidRPr="00D969A6">
        <w:rPr>
          <w:rStyle w:val="Strong"/>
        </w:rPr>
        <w:lastRenderedPageBreak/>
        <w:t>Adults who are overweight or obese</w:t>
      </w:r>
      <w:bookmarkEnd w:id="6"/>
    </w:p>
    <w:p w:rsidR="00667363" w:rsidRPr="00D969A6" w:rsidRDefault="00667363" w:rsidP="00D969A6">
      <w:pPr>
        <w:jc w:val="both"/>
        <w:rPr>
          <w:rStyle w:val="Strong"/>
          <w:rFonts w:ascii="Verdana" w:hAnsi="Verdana"/>
          <w:sz w:val="22"/>
        </w:rPr>
      </w:pPr>
      <w:r w:rsidRPr="00D969A6">
        <w:rPr>
          <w:rStyle w:val="Strong"/>
          <w:rFonts w:ascii="Verdana" w:hAnsi="Verdana"/>
          <w:sz w:val="22"/>
        </w:rPr>
        <w:t xml:space="preserve">This indicator measures the percentage of adults who </w:t>
      </w:r>
      <w:r w:rsidR="00324C51">
        <w:rPr>
          <w:rStyle w:val="Strong"/>
          <w:rFonts w:ascii="Verdana" w:hAnsi="Verdana"/>
          <w:sz w:val="22"/>
        </w:rPr>
        <w:t>are classed as</w:t>
      </w:r>
      <w:r w:rsidRPr="00D969A6">
        <w:rPr>
          <w:rStyle w:val="Strong"/>
          <w:rFonts w:ascii="Verdana" w:hAnsi="Verdana"/>
          <w:sz w:val="22"/>
        </w:rPr>
        <w:t xml:space="preserve"> being </w:t>
      </w:r>
      <w:r w:rsidR="00437444">
        <w:rPr>
          <w:rStyle w:val="Strong"/>
          <w:rFonts w:ascii="Verdana" w:hAnsi="Verdana"/>
          <w:sz w:val="22"/>
        </w:rPr>
        <w:t xml:space="preserve">either </w:t>
      </w:r>
      <w:r w:rsidRPr="00D969A6">
        <w:rPr>
          <w:rStyle w:val="Strong"/>
          <w:rFonts w:ascii="Verdana" w:hAnsi="Verdana"/>
          <w:sz w:val="22"/>
        </w:rPr>
        <w:t xml:space="preserve">overweight or obese based on </w:t>
      </w:r>
      <w:r w:rsidR="00324C51">
        <w:rPr>
          <w:rStyle w:val="Strong"/>
          <w:rFonts w:ascii="Verdana" w:hAnsi="Verdana"/>
          <w:sz w:val="22"/>
        </w:rPr>
        <w:t>self-reported height and weight. A body mass i</w:t>
      </w:r>
      <w:r w:rsidRPr="00D969A6">
        <w:rPr>
          <w:rStyle w:val="Strong"/>
          <w:rFonts w:ascii="Verdana" w:hAnsi="Verdana"/>
          <w:sz w:val="22"/>
        </w:rPr>
        <w:t>ndex</w:t>
      </w:r>
      <w:r w:rsidR="00324C51">
        <w:rPr>
          <w:rStyle w:val="Strong"/>
          <w:rFonts w:ascii="Verdana" w:hAnsi="Verdana"/>
          <w:sz w:val="22"/>
        </w:rPr>
        <w:t xml:space="preserve"> (BMI)</w:t>
      </w:r>
      <w:r w:rsidRPr="00D969A6">
        <w:rPr>
          <w:rStyle w:val="Strong"/>
          <w:rFonts w:ascii="Verdana" w:hAnsi="Verdana"/>
          <w:sz w:val="22"/>
        </w:rPr>
        <w:t xml:space="preserve"> of 25</w:t>
      </w:r>
      <w:r w:rsidR="00437444">
        <w:rPr>
          <w:rStyle w:val="Strong"/>
          <w:rFonts w:ascii="Verdana" w:hAnsi="Verdana"/>
          <w:sz w:val="22"/>
        </w:rPr>
        <w:t xml:space="preserve"> to </w:t>
      </w:r>
      <w:proofErr w:type="gramStart"/>
      <w:r w:rsidR="00437444">
        <w:rPr>
          <w:rStyle w:val="Strong"/>
          <w:rFonts w:ascii="Verdana" w:hAnsi="Verdana"/>
          <w:sz w:val="22"/>
        </w:rPr>
        <w:t>under</w:t>
      </w:r>
      <w:proofErr w:type="gramEnd"/>
      <w:r w:rsidR="00437444">
        <w:rPr>
          <w:rStyle w:val="Strong"/>
          <w:rFonts w:ascii="Verdana" w:hAnsi="Verdana"/>
          <w:sz w:val="22"/>
        </w:rPr>
        <w:t xml:space="preserve"> 30 is classed as overweight whilst a BMI of 30</w:t>
      </w:r>
      <w:r w:rsidRPr="00D969A6">
        <w:rPr>
          <w:rStyle w:val="Strong"/>
          <w:rFonts w:ascii="Verdana" w:hAnsi="Verdana"/>
          <w:sz w:val="22"/>
        </w:rPr>
        <w:t xml:space="preserve"> or over</w:t>
      </w:r>
      <w:r w:rsidR="00324C51">
        <w:rPr>
          <w:rStyle w:val="Strong"/>
          <w:rFonts w:ascii="Verdana" w:hAnsi="Verdana"/>
          <w:sz w:val="22"/>
        </w:rPr>
        <w:t xml:space="preserve"> is classed as obese</w:t>
      </w:r>
      <w:r w:rsidRPr="00D969A6">
        <w:rPr>
          <w:rStyle w:val="Strong"/>
          <w:rFonts w:ascii="Verdana" w:hAnsi="Verdana"/>
          <w:sz w:val="22"/>
        </w:rPr>
        <w:t xml:space="preserve">. Figure </w:t>
      </w:r>
      <w:r w:rsidR="00D73BA0">
        <w:rPr>
          <w:rStyle w:val="Strong"/>
          <w:rFonts w:ascii="Verdana" w:hAnsi="Verdana"/>
          <w:sz w:val="22"/>
        </w:rPr>
        <w:t>9</w:t>
      </w:r>
      <w:r w:rsidRPr="00D969A6">
        <w:rPr>
          <w:rStyle w:val="Strong"/>
          <w:rFonts w:ascii="Verdana" w:hAnsi="Verdana"/>
          <w:sz w:val="22"/>
        </w:rPr>
        <w:t xml:space="preserve"> shows the age and sex breakdown for this indicator for 2010. The percentage of males that are overweight or obese </w:t>
      </w:r>
      <w:proofErr w:type="gramStart"/>
      <w:r w:rsidRPr="00D969A6">
        <w:rPr>
          <w:rStyle w:val="Strong"/>
          <w:rFonts w:ascii="Verdana" w:hAnsi="Verdana"/>
          <w:sz w:val="22"/>
        </w:rPr>
        <w:t>rises</w:t>
      </w:r>
      <w:proofErr w:type="gramEnd"/>
      <w:r w:rsidRPr="00D969A6">
        <w:rPr>
          <w:rStyle w:val="Strong"/>
          <w:rFonts w:ascii="Verdana" w:hAnsi="Verdana"/>
          <w:sz w:val="22"/>
        </w:rPr>
        <w:t xml:space="preserve"> from 32% in the 16-24 year olds to 75% in the 45-54 year old age group and decreases with age to 55% in those 75 and over. The percentage of overweight and obese males is higher than for females with the largest </w:t>
      </w:r>
      <w:r w:rsidR="00CA1E7A">
        <w:rPr>
          <w:rStyle w:val="Strong"/>
          <w:rFonts w:ascii="Verdana" w:hAnsi="Verdana"/>
          <w:sz w:val="22"/>
        </w:rPr>
        <w:t>gap of 20 percentage points</w:t>
      </w:r>
      <w:r w:rsidRPr="00D969A6">
        <w:rPr>
          <w:rStyle w:val="Strong"/>
          <w:rFonts w:ascii="Verdana" w:hAnsi="Verdana"/>
          <w:sz w:val="22"/>
        </w:rPr>
        <w:t xml:space="preserve"> in the 35-44 year olds. The percentage of overweight and obese females rises from 29% in the youngest age group to 63% in the 65-74 year olds. The percentage is lower again in those aged 75+ with 48%.</w:t>
      </w:r>
    </w:p>
    <w:p w:rsidR="00667363" w:rsidRDefault="00667363" w:rsidP="00667363">
      <w:pPr>
        <w:rPr>
          <w:b/>
        </w:rPr>
      </w:pPr>
    </w:p>
    <w:p w:rsidR="00667363" w:rsidRDefault="00667363" w:rsidP="00667363">
      <w:pPr>
        <w:rPr>
          <w:rStyle w:val="Emphasis"/>
        </w:rPr>
      </w:pPr>
      <w:r w:rsidRPr="00667363">
        <w:rPr>
          <w:rStyle w:val="Emphasis"/>
        </w:rPr>
        <w:t xml:space="preserve">Figure </w:t>
      </w:r>
      <w:r w:rsidR="00D73BA0">
        <w:rPr>
          <w:rStyle w:val="Emphasis"/>
        </w:rPr>
        <w:t>9</w:t>
      </w:r>
      <w:r w:rsidRPr="00667363">
        <w:rPr>
          <w:rStyle w:val="Emphasis"/>
        </w:rPr>
        <w:t>:</w:t>
      </w:r>
    </w:p>
    <w:p w:rsidR="00667363" w:rsidRDefault="00437444" w:rsidP="00667363">
      <w:r>
        <w:rPr>
          <w:noProof/>
          <w:lang w:eastAsia="en-GB"/>
        </w:rPr>
        <w:drawing>
          <wp:inline distT="0" distB="0" distL="0" distR="0">
            <wp:extent cx="5810250" cy="3714750"/>
            <wp:effectExtent l="1905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5810250" cy="3714750"/>
                    </a:xfrm>
                    <a:prstGeom prst="rect">
                      <a:avLst/>
                    </a:prstGeom>
                    <a:noFill/>
                    <a:ln w="9525">
                      <a:noFill/>
                      <a:miter lim="800000"/>
                      <a:headEnd/>
                      <a:tailEnd/>
                    </a:ln>
                  </pic:spPr>
                </pic:pic>
              </a:graphicData>
            </a:graphic>
          </wp:inline>
        </w:drawing>
      </w:r>
    </w:p>
    <w:p w:rsidR="00667363" w:rsidRDefault="00667363" w:rsidP="00667363"/>
    <w:p w:rsidR="00667363" w:rsidRPr="00D969A6" w:rsidRDefault="00667363" w:rsidP="00D969A6">
      <w:pPr>
        <w:jc w:val="both"/>
        <w:rPr>
          <w:rStyle w:val="Strong"/>
          <w:rFonts w:ascii="Verdana" w:hAnsi="Verdana"/>
          <w:sz w:val="22"/>
        </w:rPr>
      </w:pPr>
      <w:r w:rsidRPr="00D969A6">
        <w:rPr>
          <w:rStyle w:val="Strong"/>
          <w:rFonts w:ascii="Verdana" w:hAnsi="Verdana"/>
          <w:sz w:val="22"/>
        </w:rPr>
        <w:t xml:space="preserve">Figure </w:t>
      </w:r>
      <w:r w:rsidR="00D73BA0">
        <w:rPr>
          <w:rStyle w:val="Strong"/>
          <w:rFonts w:ascii="Verdana" w:hAnsi="Verdana"/>
          <w:sz w:val="22"/>
        </w:rPr>
        <w:t>10</w:t>
      </w:r>
      <w:r w:rsidRPr="00D969A6">
        <w:rPr>
          <w:rStyle w:val="Strong"/>
          <w:rFonts w:ascii="Verdana" w:hAnsi="Verdana"/>
          <w:sz w:val="22"/>
        </w:rPr>
        <w:t xml:space="preserve"> shows the reported BMI in the different </w:t>
      </w:r>
      <w:r w:rsidR="00CA1E7A">
        <w:rPr>
          <w:rStyle w:val="Strong"/>
          <w:rFonts w:ascii="Verdana" w:hAnsi="Verdana"/>
          <w:sz w:val="22"/>
        </w:rPr>
        <w:t>categories</w:t>
      </w:r>
      <w:r w:rsidRPr="00D969A6">
        <w:rPr>
          <w:rStyle w:val="Strong"/>
          <w:rFonts w:ascii="Verdana" w:hAnsi="Verdana"/>
          <w:sz w:val="22"/>
        </w:rPr>
        <w:t xml:space="preserve">. A BMI of </w:t>
      </w:r>
      <w:proofErr w:type="gramStart"/>
      <w:r w:rsidRPr="00D969A6">
        <w:rPr>
          <w:rStyle w:val="Strong"/>
          <w:rFonts w:ascii="Verdana" w:hAnsi="Verdana"/>
          <w:sz w:val="22"/>
        </w:rPr>
        <w:t>under</w:t>
      </w:r>
      <w:proofErr w:type="gramEnd"/>
      <w:r w:rsidRPr="00D969A6">
        <w:rPr>
          <w:rStyle w:val="Strong"/>
          <w:rFonts w:ascii="Verdana" w:hAnsi="Verdana"/>
          <w:sz w:val="22"/>
        </w:rPr>
        <w:t xml:space="preserve"> 18.5 is classed as underweight, a BMI of 18.5 to under 25 as a healthy weight, a BMI of 25 to under 30 as overweight, and a BMI of 30 and over as obese. As described earlier</w:t>
      </w:r>
      <w:r w:rsidR="00CA1E7A">
        <w:rPr>
          <w:rStyle w:val="Strong"/>
          <w:rFonts w:ascii="Verdana" w:hAnsi="Verdana"/>
          <w:sz w:val="22"/>
        </w:rPr>
        <w:t>,</w:t>
      </w:r>
      <w:r w:rsidRPr="00D969A6">
        <w:rPr>
          <w:rStyle w:val="Strong"/>
          <w:rFonts w:ascii="Verdana" w:hAnsi="Verdana"/>
          <w:sz w:val="22"/>
        </w:rPr>
        <w:t xml:space="preserve"> a BMI of 25 and over combines those who are overweight and obese. Around 36% of males report having a healthy weight, 40% report being overweight and 22% obese (rounded percentages). More females than males report a healthy weight with 45%, 31% are overweight and 21% are obese. </w:t>
      </w:r>
      <w:proofErr w:type="gramStart"/>
      <w:r w:rsidRPr="00D969A6">
        <w:rPr>
          <w:rStyle w:val="Strong"/>
          <w:rFonts w:ascii="Verdana" w:hAnsi="Verdana"/>
          <w:sz w:val="22"/>
        </w:rPr>
        <w:t>Around 2% of males and 3% of females report being underweight.</w:t>
      </w:r>
      <w:proofErr w:type="gramEnd"/>
    </w:p>
    <w:p w:rsidR="00667363" w:rsidRDefault="00667363" w:rsidP="00667363"/>
    <w:p w:rsidR="00264253" w:rsidRDefault="00264253">
      <w:pPr>
        <w:rPr>
          <w:rStyle w:val="Emphasis"/>
        </w:rPr>
      </w:pPr>
      <w:r>
        <w:rPr>
          <w:rStyle w:val="Emphasis"/>
        </w:rPr>
        <w:br w:type="page"/>
      </w:r>
    </w:p>
    <w:p w:rsidR="00667363" w:rsidRDefault="00667363" w:rsidP="00667363">
      <w:pPr>
        <w:rPr>
          <w:rStyle w:val="Emphasis"/>
        </w:rPr>
      </w:pPr>
      <w:r w:rsidRPr="00667363">
        <w:rPr>
          <w:rStyle w:val="Emphasis"/>
        </w:rPr>
        <w:lastRenderedPageBreak/>
        <w:t xml:space="preserve">Figure </w:t>
      </w:r>
      <w:r w:rsidR="00D73BA0">
        <w:rPr>
          <w:rStyle w:val="Emphasis"/>
        </w:rPr>
        <w:t>10</w:t>
      </w:r>
      <w:r w:rsidRPr="00667363">
        <w:rPr>
          <w:rStyle w:val="Emphasis"/>
        </w:rPr>
        <w:t>:</w:t>
      </w:r>
    </w:p>
    <w:p w:rsidR="00667363" w:rsidRDefault="008425F3" w:rsidP="00667363">
      <w:r>
        <w:rPr>
          <w:noProof/>
          <w:lang w:eastAsia="en-GB"/>
        </w:rPr>
        <w:drawing>
          <wp:inline distT="0" distB="0" distL="0" distR="0">
            <wp:extent cx="5772150" cy="36099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rsidR="00667363" w:rsidRPr="00D969A6" w:rsidRDefault="00667363" w:rsidP="00D969A6">
      <w:pPr>
        <w:jc w:val="both"/>
        <w:rPr>
          <w:rStyle w:val="Strong"/>
          <w:rFonts w:ascii="Verdana" w:hAnsi="Verdana"/>
          <w:sz w:val="22"/>
        </w:rPr>
      </w:pPr>
      <w:r w:rsidRPr="00D969A6">
        <w:rPr>
          <w:rStyle w:val="Strong"/>
          <w:rFonts w:ascii="Verdana" w:hAnsi="Verdana"/>
          <w:sz w:val="22"/>
        </w:rPr>
        <w:t xml:space="preserve">Figure </w:t>
      </w:r>
      <w:r w:rsidR="00D73BA0">
        <w:rPr>
          <w:rStyle w:val="Strong"/>
          <w:rFonts w:ascii="Verdana" w:hAnsi="Verdana"/>
          <w:sz w:val="22"/>
        </w:rPr>
        <w:t>11</w:t>
      </w:r>
      <w:r w:rsidRPr="00D969A6">
        <w:rPr>
          <w:rStyle w:val="Strong"/>
          <w:rFonts w:ascii="Verdana" w:hAnsi="Verdana"/>
          <w:sz w:val="22"/>
        </w:rPr>
        <w:t xml:space="preserve"> shows the breakdown in </w:t>
      </w:r>
      <w:r w:rsidR="00CA1E7A">
        <w:rPr>
          <w:rStyle w:val="Strong"/>
          <w:rFonts w:ascii="Verdana" w:hAnsi="Verdana"/>
          <w:sz w:val="22"/>
        </w:rPr>
        <w:t>BMI categories</w:t>
      </w:r>
      <w:r w:rsidRPr="00D969A6">
        <w:rPr>
          <w:rStyle w:val="Strong"/>
          <w:rFonts w:ascii="Verdana" w:hAnsi="Verdana"/>
          <w:sz w:val="22"/>
        </w:rPr>
        <w:t xml:space="preserve"> across the age groups. In the two younger and the oldest age groups, those with a healthy weight are the largest group with 63% in the 16-24 year olds, 47% in those aged 25-34 years and 46% in those aged 75+. In the youngest age group 22% are overweight and 9% are obese, steeply rising to 31% and 20% respectively in the 25-34 year olds. It increases further to around 40% overweight and 28% obese in the 45-64 year olds before generally decreasing with age. In the youngest age group 6% are underweight decreasing to 1% for most age groups but rising to 3% in those aged 75+. </w:t>
      </w:r>
    </w:p>
    <w:p w:rsidR="00667363" w:rsidRDefault="00667363" w:rsidP="00667363">
      <w:pPr>
        <w:rPr>
          <w:b/>
        </w:rPr>
      </w:pPr>
    </w:p>
    <w:p w:rsidR="00667363" w:rsidRDefault="00667363" w:rsidP="00667363">
      <w:pPr>
        <w:rPr>
          <w:rStyle w:val="Emphasis"/>
        </w:rPr>
      </w:pPr>
      <w:r w:rsidRPr="00667363">
        <w:rPr>
          <w:rStyle w:val="Emphasis"/>
        </w:rPr>
        <w:t xml:space="preserve">Figure </w:t>
      </w:r>
      <w:r w:rsidR="00D73BA0">
        <w:rPr>
          <w:rStyle w:val="Emphasis"/>
        </w:rPr>
        <w:t>11</w:t>
      </w:r>
      <w:r w:rsidRPr="00667363">
        <w:rPr>
          <w:rStyle w:val="Emphasis"/>
        </w:rPr>
        <w:t>:</w:t>
      </w:r>
    </w:p>
    <w:p w:rsidR="00667363" w:rsidRDefault="008425F3" w:rsidP="00667363">
      <w:r>
        <w:rPr>
          <w:noProof/>
          <w:lang w:eastAsia="en-GB"/>
        </w:rPr>
        <w:drawing>
          <wp:inline distT="0" distB="0" distL="0" distR="0">
            <wp:extent cx="5772150" cy="3609975"/>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rsidR="00713FE0" w:rsidRPr="00D969A6" w:rsidRDefault="00E4470F" w:rsidP="00713FE0">
      <w:pPr>
        <w:pStyle w:val="PHW1"/>
      </w:pPr>
      <w:bookmarkStart w:id="7" w:name="_Toc342383428"/>
      <w:r w:rsidRPr="00D969A6">
        <w:lastRenderedPageBreak/>
        <w:t>Alcohol-specific hospital admissions</w:t>
      </w:r>
      <w:bookmarkEnd w:id="7"/>
    </w:p>
    <w:p w:rsidR="001967A1" w:rsidRPr="00D969A6" w:rsidRDefault="00E4470F" w:rsidP="00D969A6">
      <w:pPr>
        <w:jc w:val="both"/>
        <w:rPr>
          <w:rStyle w:val="Strong"/>
          <w:rFonts w:ascii="Verdana" w:hAnsi="Verdana"/>
          <w:sz w:val="22"/>
        </w:rPr>
      </w:pPr>
      <w:r w:rsidRPr="00D969A6">
        <w:rPr>
          <w:rStyle w:val="Strong"/>
          <w:rFonts w:ascii="Verdana" w:hAnsi="Verdana"/>
          <w:sz w:val="22"/>
        </w:rPr>
        <w:t xml:space="preserve">This indicator measures the rate of persons admitted to hospital with alcohol-specific conditions. </w:t>
      </w:r>
      <w:r w:rsidR="009F4E24">
        <w:rPr>
          <w:rStyle w:val="Strong"/>
          <w:rFonts w:ascii="Verdana" w:hAnsi="Verdana"/>
          <w:sz w:val="22"/>
        </w:rPr>
        <w:t xml:space="preserve">This definition contains only those conditions that are entirely due to alcohol, and not those that </w:t>
      </w:r>
      <w:r w:rsidR="00BD1016">
        <w:rPr>
          <w:rStyle w:val="Strong"/>
          <w:rFonts w:ascii="Verdana" w:hAnsi="Verdana"/>
          <w:sz w:val="22"/>
        </w:rPr>
        <w:t xml:space="preserve">partly due to </w:t>
      </w:r>
      <w:r w:rsidR="009F4E24">
        <w:rPr>
          <w:rStyle w:val="Strong"/>
          <w:rFonts w:ascii="Verdana" w:hAnsi="Verdana"/>
          <w:sz w:val="22"/>
        </w:rPr>
        <w:t>alcohol. Where a</w:t>
      </w:r>
      <w:r w:rsidRPr="00D969A6">
        <w:rPr>
          <w:rStyle w:val="Strong"/>
          <w:rFonts w:ascii="Verdana" w:hAnsi="Verdana"/>
          <w:sz w:val="22"/>
        </w:rPr>
        <w:t xml:space="preserve"> person resident in Wales </w:t>
      </w:r>
      <w:r w:rsidR="009F4E24">
        <w:rPr>
          <w:rStyle w:val="Strong"/>
          <w:rFonts w:ascii="Verdana" w:hAnsi="Verdana"/>
          <w:sz w:val="22"/>
        </w:rPr>
        <w:t>has been admitted more than once, only one admission is counted</w:t>
      </w:r>
      <w:r w:rsidRPr="00D969A6">
        <w:rPr>
          <w:rStyle w:val="Strong"/>
          <w:rFonts w:ascii="Verdana" w:hAnsi="Verdana"/>
          <w:sz w:val="22"/>
        </w:rPr>
        <w:t xml:space="preserve"> per year. Figure </w:t>
      </w:r>
      <w:r w:rsidR="00D73BA0">
        <w:rPr>
          <w:rStyle w:val="Strong"/>
          <w:rFonts w:ascii="Verdana" w:hAnsi="Verdana"/>
          <w:sz w:val="22"/>
        </w:rPr>
        <w:t>12</w:t>
      </w:r>
      <w:r w:rsidRPr="00D969A6">
        <w:rPr>
          <w:rStyle w:val="Strong"/>
          <w:rFonts w:ascii="Verdana" w:hAnsi="Verdana"/>
          <w:sz w:val="22"/>
        </w:rPr>
        <w:t xml:space="preserve"> shows the age-specific rates per 100,000 </w:t>
      </w:r>
      <w:proofErr w:type="gramStart"/>
      <w:r w:rsidRPr="00D969A6">
        <w:rPr>
          <w:rStyle w:val="Strong"/>
          <w:rFonts w:ascii="Verdana" w:hAnsi="Verdana"/>
          <w:sz w:val="22"/>
        </w:rPr>
        <w:t>population</w:t>
      </w:r>
      <w:proofErr w:type="gramEnd"/>
      <w:r w:rsidRPr="00D969A6">
        <w:rPr>
          <w:rStyle w:val="Strong"/>
          <w:rFonts w:ascii="Verdana" w:hAnsi="Verdana"/>
          <w:sz w:val="22"/>
        </w:rPr>
        <w:t xml:space="preserve"> for five-year age bands. For males the rates show a bell-shaped pattern with rates rising steeply with age with the highest rates in the 45-59 year olds. The male rates then decrease with age from there on. For females the rates are around half the male rate or less for most age groups. The peak in rates is at slightly younger ages in the 35-49 age groups, decreasing with age from 50-54 onwards. </w:t>
      </w:r>
    </w:p>
    <w:p w:rsidR="00E4470F" w:rsidRPr="00E4470F" w:rsidRDefault="00E4470F" w:rsidP="00E4470F">
      <w:pPr>
        <w:rPr>
          <w:rStyle w:val="Emphasis"/>
        </w:rPr>
      </w:pPr>
    </w:p>
    <w:p w:rsidR="00E4470F" w:rsidRDefault="00E4470F" w:rsidP="00E4470F">
      <w:pPr>
        <w:rPr>
          <w:rStyle w:val="Emphasis"/>
        </w:rPr>
      </w:pPr>
      <w:r w:rsidRPr="00E4470F">
        <w:rPr>
          <w:rStyle w:val="Emphasis"/>
        </w:rPr>
        <w:t xml:space="preserve">Figure </w:t>
      </w:r>
      <w:r w:rsidR="00D73BA0">
        <w:rPr>
          <w:rStyle w:val="Emphasis"/>
        </w:rPr>
        <w:t>12</w:t>
      </w:r>
      <w:r w:rsidRPr="00E4470F">
        <w:rPr>
          <w:rStyle w:val="Emphasis"/>
        </w:rPr>
        <w:t>:</w:t>
      </w:r>
    </w:p>
    <w:p w:rsidR="00E4470F" w:rsidRDefault="00E4470F" w:rsidP="00E4470F">
      <w:pPr>
        <w:rPr>
          <w:rStyle w:val="Emphasis"/>
        </w:rPr>
      </w:pPr>
      <w:r w:rsidRPr="00E4470F">
        <w:rPr>
          <w:rStyle w:val="Emphasis"/>
          <w:noProof/>
          <w:lang w:eastAsia="en-GB"/>
        </w:rPr>
        <w:drawing>
          <wp:inline distT="0" distB="0" distL="0" distR="0">
            <wp:extent cx="5314950" cy="5505450"/>
            <wp:effectExtent l="1905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5314950" cy="5502910"/>
                    </a:xfrm>
                    <a:prstGeom prst="rect">
                      <a:avLst/>
                    </a:prstGeom>
                    <a:noFill/>
                    <a:ln w="9525">
                      <a:noFill/>
                      <a:miter lim="800000"/>
                      <a:headEnd/>
                      <a:tailEnd/>
                    </a:ln>
                  </pic:spPr>
                </pic:pic>
              </a:graphicData>
            </a:graphic>
          </wp:inline>
        </w:drawing>
      </w:r>
    </w:p>
    <w:p w:rsidR="00713FE0" w:rsidRDefault="00713FE0">
      <w:pPr>
        <w:rPr>
          <w:rStyle w:val="Emphasis"/>
        </w:rPr>
      </w:pPr>
      <w:r>
        <w:rPr>
          <w:rStyle w:val="Emphasis"/>
        </w:rPr>
        <w:br w:type="page"/>
      </w:r>
    </w:p>
    <w:p w:rsidR="00713FE0" w:rsidRPr="00963256" w:rsidRDefault="00713FE0" w:rsidP="00963256">
      <w:pPr>
        <w:pStyle w:val="PHW1"/>
        <w:rPr>
          <w:rStyle w:val="Emphasis"/>
          <w:b/>
          <w:iCs w:val="0"/>
        </w:rPr>
      </w:pPr>
      <w:bookmarkStart w:id="8" w:name="_Toc342383429"/>
      <w:r w:rsidRPr="00963256">
        <w:rPr>
          <w:rStyle w:val="Emphasis"/>
          <w:b/>
          <w:iCs w:val="0"/>
        </w:rPr>
        <w:lastRenderedPageBreak/>
        <w:t xml:space="preserve">Hospital </w:t>
      </w:r>
      <w:r w:rsidRPr="00963256">
        <w:t>admissions for hip fractures</w:t>
      </w:r>
      <w:bookmarkEnd w:id="8"/>
    </w:p>
    <w:p w:rsidR="00713FE0" w:rsidRPr="00713FE0" w:rsidRDefault="00713FE0" w:rsidP="00713FE0">
      <w:pPr>
        <w:jc w:val="both"/>
        <w:rPr>
          <w:rStyle w:val="Strong"/>
          <w:rFonts w:ascii="Verdana" w:hAnsi="Verdana"/>
          <w:sz w:val="22"/>
        </w:rPr>
      </w:pPr>
      <w:r w:rsidRPr="00713FE0">
        <w:rPr>
          <w:rStyle w:val="Strong"/>
          <w:rFonts w:ascii="Verdana" w:hAnsi="Verdana"/>
          <w:sz w:val="22"/>
        </w:rPr>
        <w:t>This indicator measures European age-standardised rates of emergency hospital admissions in those aged 65+ with a primary diag</w:t>
      </w:r>
      <w:r w:rsidR="00D73BA0">
        <w:rPr>
          <w:rStyle w:val="Strong"/>
          <w:rFonts w:ascii="Verdana" w:hAnsi="Verdana"/>
          <w:sz w:val="22"/>
        </w:rPr>
        <w:t>nosis of hip fracture. Figure 13</w:t>
      </w:r>
      <w:r w:rsidRPr="00713FE0">
        <w:rPr>
          <w:rStyle w:val="Strong"/>
          <w:rFonts w:ascii="Verdana" w:hAnsi="Verdana"/>
          <w:sz w:val="22"/>
        </w:rPr>
        <w:t xml:space="preserve"> shows the age and sex breakdown for this indicator in five-year age bands. The rates for females are nearly twice as high as the rates for males. Rates increase steeply with age with the rate for males around 15 times in those aged 85+ compared to the 65-69 year olds, and 20 times the rate respectively for females.</w:t>
      </w:r>
    </w:p>
    <w:p w:rsidR="00713FE0" w:rsidRPr="00713FE0" w:rsidRDefault="00713FE0" w:rsidP="00713FE0">
      <w:pPr>
        <w:rPr>
          <w:rStyle w:val="Emphasis"/>
        </w:rPr>
      </w:pPr>
    </w:p>
    <w:p w:rsidR="00713FE0" w:rsidRPr="00713FE0" w:rsidRDefault="00713FE0" w:rsidP="00713FE0">
      <w:pPr>
        <w:rPr>
          <w:rStyle w:val="Emphasis"/>
        </w:rPr>
      </w:pPr>
      <w:r w:rsidRPr="00713FE0">
        <w:rPr>
          <w:rStyle w:val="Emphasis"/>
        </w:rPr>
        <w:t>Fi</w:t>
      </w:r>
      <w:r w:rsidR="00264253">
        <w:rPr>
          <w:rStyle w:val="Emphasis"/>
        </w:rPr>
        <w:t>g</w:t>
      </w:r>
      <w:r w:rsidR="00D73BA0">
        <w:rPr>
          <w:rStyle w:val="Emphasis"/>
        </w:rPr>
        <w:t>ure 13</w:t>
      </w:r>
      <w:r w:rsidRPr="00713FE0">
        <w:rPr>
          <w:rStyle w:val="Emphasis"/>
        </w:rPr>
        <w:t>:</w:t>
      </w:r>
    </w:p>
    <w:p w:rsidR="00713FE0" w:rsidRDefault="00713FE0" w:rsidP="00713FE0">
      <w:r>
        <w:rPr>
          <w:noProof/>
          <w:lang w:eastAsia="en-GB"/>
        </w:rPr>
        <w:drawing>
          <wp:anchor distT="0" distB="0" distL="114300" distR="114300" simplePos="0" relativeHeight="251666944" behindDoc="1" locked="0" layoutInCell="1" allowOverlap="1">
            <wp:simplePos x="0" y="0"/>
            <wp:positionH relativeFrom="column">
              <wp:posOffset>32385</wp:posOffset>
            </wp:positionH>
            <wp:positionV relativeFrom="paragraph">
              <wp:posOffset>153035</wp:posOffset>
            </wp:positionV>
            <wp:extent cx="5768975" cy="3609975"/>
            <wp:effectExtent l="19050" t="0" r="3175" b="0"/>
            <wp:wrapTight wrapText="bothSides">
              <wp:wrapPolygon edited="0">
                <wp:start x="-71" y="0"/>
                <wp:lineTo x="-71" y="21429"/>
                <wp:lineTo x="21612" y="21429"/>
                <wp:lineTo x="21612" y="0"/>
                <wp:lineTo x="-71" y="0"/>
              </wp:wrapPolygon>
            </wp:wrapTight>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a:stretch>
                      <a:fillRect/>
                    </a:stretch>
                  </pic:blipFill>
                  <pic:spPr bwMode="auto">
                    <a:xfrm>
                      <a:off x="0" y="0"/>
                      <a:ext cx="5768975" cy="3609975"/>
                    </a:xfrm>
                    <a:prstGeom prst="rect">
                      <a:avLst/>
                    </a:prstGeom>
                    <a:noFill/>
                    <a:ln w="9525">
                      <a:noFill/>
                      <a:miter lim="800000"/>
                      <a:headEnd/>
                      <a:tailEnd/>
                    </a:ln>
                  </pic:spPr>
                </pic:pic>
              </a:graphicData>
            </a:graphic>
          </wp:anchor>
        </w:drawing>
      </w:r>
    </w:p>
    <w:p w:rsidR="00DF3C75" w:rsidRDefault="00DF3C75" w:rsidP="00713FE0"/>
    <w:p w:rsidR="00DF3C75" w:rsidRDefault="00DF3C75" w:rsidP="00713FE0"/>
    <w:p w:rsidR="00DF3C75" w:rsidRDefault="00DF3C75" w:rsidP="00713FE0"/>
    <w:p w:rsidR="00DF3C75" w:rsidRDefault="00DF3C75" w:rsidP="00713FE0"/>
    <w:p w:rsidR="00DF3C75" w:rsidRDefault="00DF3C75" w:rsidP="00713FE0"/>
    <w:p w:rsidR="00DF3C75" w:rsidRDefault="00DF3C75" w:rsidP="00713FE0"/>
    <w:p w:rsidR="00DF3C75" w:rsidRPr="00287D8D" w:rsidRDefault="00DF3C75" w:rsidP="00713FE0"/>
    <w:sectPr w:rsidR="00DF3C75" w:rsidRPr="00287D8D" w:rsidSect="000D06DA">
      <w:footerReference w:type="default" r:id="rId30"/>
      <w:pgSz w:w="11906" w:h="16838"/>
      <w:pgMar w:top="902" w:right="1134" w:bottom="902"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4C51" w:rsidRDefault="00324C51">
      <w:r>
        <w:separator/>
      </w:r>
    </w:p>
  </w:endnote>
  <w:endnote w:type="continuationSeparator" w:id="0">
    <w:p w:rsidR="00324C51" w:rsidRDefault="00324C5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4C51" w:rsidRDefault="00DF441E" w:rsidP="007D14C4">
    <w:pPr>
      <w:pStyle w:val="Footer"/>
      <w:framePr w:wrap="around" w:vAnchor="text" w:hAnchor="margin" w:xAlign="right" w:y="1"/>
      <w:rPr>
        <w:rStyle w:val="PageNumber"/>
      </w:rPr>
    </w:pPr>
    <w:r>
      <w:rPr>
        <w:rStyle w:val="PageNumber"/>
      </w:rPr>
      <w:fldChar w:fldCharType="begin"/>
    </w:r>
    <w:r w:rsidR="00324C51">
      <w:rPr>
        <w:rStyle w:val="PageNumber"/>
      </w:rPr>
      <w:instrText xml:space="preserve">PAGE  </w:instrText>
    </w:r>
    <w:r>
      <w:rPr>
        <w:rStyle w:val="PageNumber"/>
      </w:rPr>
      <w:fldChar w:fldCharType="end"/>
    </w:r>
  </w:p>
  <w:p w:rsidR="00324C51" w:rsidRDefault="00324C51" w:rsidP="004D127B">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37C" w:rsidRDefault="008A537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37C" w:rsidRDefault="008A537C">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4C51" w:rsidRPr="00F06C56" w:rsidRDefault="00DF441E" w:rsidP="00F06C56">
    <w:pPr>
      <w:pStyle w:val="Footer"/>
    </w:pPr>
    <w:r>
      <w:rPr>
        <w:noProof/>
        <w:lang w:eastAsia="en-GB"/>
      </w:rPr>
      <w:pict>
        <v:shapetype id="_x0000_t202" coordsize="21600,21600" o:spt="202" path="m,l,21600r21600,l21600,xe">
          <v:stroke joinstyle="miter"/>
          <v:path gradientshapeok="t" o:connecttype="rect"/>
        </v:shapetype>
        <v:shape id="_x0000_s2050" type="#_x0000_t202" style="position:absolute;margin-left:-63pt;margin-top:6.25pt;width:623.15pt;height:19.2pt;z-index:251657728;mso-position-vertical:absolute" fillcolor="#467dba" stroked="f">
          <v:fill opacity="0" color2="#386698" rotate="t" angle="-90" focus="-50%" type="gradient"/>
          <v:textbox style="mso-next-textbox:#_x0000_s2050">
            <w:txbxContent>
              <w:p w:rsidR="00324C51" w:rsidRPr="00E9274F" w:rsidRDefault="00324C51" w:rsidP="00B420D0">
                <w:pPr>
                  <w:jc w:val="center"/>
                  <w:rPr>
                    <w:rFonts w:ascii="Arial" w:hAnsi="Arial" w:cs="Arial"/>
                    <w:b/>
                    <w:color w:val="FFFFFF"/>
                    <w:sz w:val="22"/>
                    <w:szCs w:val="22"/>
                  </w:rPr>
                </w:pPr>
                <w:r w:rsidRPr="007C1AB6">
                  <w:rPr>
                    <w:rFonts w:ascii="Arial" w:hAnsi="Arial" w:cs="Arial"/>
                    <w:b/>
                    <w:color w:val="FFFFFF"/>
                    <w:sz w:val="22"/>
                    <w:szCs w:val="22"/>
                  </w:rPr>
                  <w:t xml:space="preserve">Page </w:t>
                </w:r>
                <w:r w:rsidR="00DF441E" w:rsidRPr="007C1AB6">
                  <w:rPr>
                    <w:rStyle w:val="PageNumber"/>
                    <w:rFonts w:ascii="Arial" w:hAnsi="Arial" w:cs="Arial"/>
                    <w:b/>
                    <w:color w:val="FFFFFF"/>
                    <w:sz w:val="22"/>
                    <w:szCs w:val="22"/>
                  </w:rPr>
                  <w:fldChar w:fldCharType="begin"/>
                </w:r>
                <w:r w:rsidRPr="007C1AB6">
                  <w:rPr>
                    <w:rStyle w:val="PageNumber"/>
                    <w:rFonts w:ascii="Arial" w:hAnsi="Arial" w:cs="Arial"/>
                    <w:b/>
                    <w:color w:val="FFFFFF"/>
                    <w:sz w:val="22"/>
                    <w:szCs w:val="22"/>
                  </w:rPr>
                  <w:instrText xml:space="preserve"> PAGE </w:instrText>
                </w:r>
                <w:r w:rsidR="00DF441E" w:rsidRPr="007C1AB6">
                  <w:rPr>
                    <w:rStyle w:val="PageNumber"/>
                    <w:rFonts w:ascii="Arial" w:hAnsi="Arial" w:cs="Arial"/>
                    <w:b/>
                    <w:color w:val="FFFFFF"/>
                    <w:sz w:val="22"/>
                    <w:szCs w:val="22"/>
                  </w:rPr>
                  <w:fldChar w:fldCharType="separate"/>
                </w:r>
                <w:r w:rsidR="00B67197">
                  <w:rPr>
                    <w:rStyle w:val="PageNumber"/>
                    <w:rFonts w:ascii="Arial" w:hAnsi="Arial" w:cs="Arial"/>
                    <w:b/>
                    <w:noProof/>
                    <w:color w:val="FFFFFF"/>
                    <w:sz w:val="22"/>
                    <w:szCs w:val="22"/>
                  </w:rPr>
                  <w:t>5</w:t>
                </w:r>
                <w:r w:rsidR="00DF441E" w:rsidRPr="007C1AB6">
                  <w:rPr>
                    <w:rStyle w:val="PageNumber"/>
                    <w:rFonts w:ascii="Arial" w:hAnsi="Arial" w:cs="Arial"/>
                    <w:b/>
                    <w:color w:val="FFFFFF"/>
                    <w:sz w:val="22"/>
                    <w:szCs w:val="22"/>
                  </w:rPr>
                  <w:fldChar w:fldCharType="end"/>
                </w:r>
              </w:p>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4C51" w:rsidRDefault="00324C51">
      <w:r>
        <w:separator/>
      </w:r>
    </w:p>
  </w:footnote>
  <w:footnote w:type="continuationSeparator" w:id="0">
    <w:p w:rsidR="00324C51" w:rsidRDefault="00324C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37C" w:rsidRDefault="008A537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37C" w:rsidRDefault="008A537C">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37C" w:rsidRDefault="008A537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285C11EA"/>
    <w:multiLevelType w:val="multilevel"/>
    <w:tmpl w:val="E146C7EC"/>
    <w:lvl w:ilvl="0">
      <w:start w:val="1"/>
      <w:numFmt w:val="decimal"/>
      <w:pStyle w:val="PHW1"/>
      <w:lvlText w:val="%1."/>
      <w:lvlJc w:val="left"/>
      <w:pPr>
        <w:ind w:left="1146" w:hanging="720"/>
      </w:pPr>
      <w:rPr>
        <w:rFonts w:hint="default"/>
      </w:rPr>
    </w:lvl>
    <w:lvl w:ilvl="1">
      <w:start w:val="1"/>
      <w:numFmt w:val="decimal"/>
      <w:pStyle w:val="Heading2"/>
      <w:isLgl/>
      <w:lvlText w:val="%1.%2"/>
      <w:lvlJc w:val="left"/>
      <w:pPr>
        <w:ind w:left="1080" w:hanging="720"/>
      </w:pPr>
      <w:rPr>
        <w:rFonts w:ascii="Verdana" w:hAnsi="Verdana" w:cs="Times New Roman" w:hint="default"/>
        <w:b/>
        <w:bCs w:val="0"/>
        <w:i w:val="0"/>
        <w:iCs w:val="0"/>
        <w:caps w:val="0"/>
        <w:smallCaps w:val="0"/>
        <w:strike w:val="0"/>
        <w:dstrike w:val="0"/>
        <w:outline w:val="0"/>
        <w:shadow w:val="0"/>
        <w:emboss w:val="0"/>
        <w:imprint w:val="0"/>
        <w:noProof w:val="0"/>
        <w:vanish w:val="0"/>
        <w:color w:val="386698"/>
        <w:spacing w:val="0"/>
        <w:kern w:val="0"/>
        <w:position w:val="0"/>
        <w:u w:val="none"/>
        <w:vertAlign w:val="baseline"/>
        <w:em w:val="none"/>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
    <w:nsid w:val="2EC27B52"/>
    <w:multiLevelType w:val="hybridMultilevel"/>
    <w:tmpl w:val="1EECA422"/>
    <w:lvl w:ilvl="0" w:tplc="51D82D2C">
      <w:start w:val="1"/>
      <w:numFmt w:val="decimal"/>
      <w:pStyle w:val="Obsheading"/>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1"/>
  </w:num>
  <w:num w:numId="4">
    <w:abstractNumId w:val="2"/>
  </w:num>
  <w:num w:numId="5">
    <w:abstractNumId w:val="1"/>
  </w:num>
  <w:num w:numId="6">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movePersonalInformation/>
  <w:removeDateAndTime/>
  <w:proofState w:spelling="clean" w:grammar="clean"/>
  <w:stylePaneFormatFilter w:val="3F01"/>
  <w:defaultTabStop w:val="720"/>
  <w:noPunctuationKerning/>
  <w:characterSpacingControl w:val="doNotCompress"/>
  <w:hdrShapeDefaults>
    <o:shapedefaults v:ext="edit" spidmax="2052">
      <o:colormru v:ext="edit" colors="#cab0fa"/>
      <o:colormenu v:ext="edit" fillcolor="none" strokecolor="none"/>
    </o:shapedefaults>
    <o:shapelayout v:ext="edit">
      <o:idmap v:ext="edit" data="2"/>
    </o:shapelayout>
  </w:hdrShapeDefaults>
  <w:footnotePr>
    <w:footnote w:id="-1"/>
    <w:footnote w:id="0"/>
  </w:footnotePr>
  <w:endnotePr>
    <w:endnote w:id="-1"/>
    <w:endnote w:id="0"/>
  </w:endnotePr>
  <w:compat/>
  <w:rsids>
    <w:rsidRoot w:val="00A14CE0"/>
    <w:rsid w:val="00000BB4"/>
    <w:rsid w:val="00002AC3"/>
    <w:rsid w:val="00003810"/>
    <w:rsid w:val="00007633"/>
    <w:rsid w:val="00013C24"/>
    <w:rsid w:val="00014954"/>
    <w:rsid w:val="00014D71"/>
    <w:rsid w:val="00016F39"/>
    <w:rsid w:val="00017F0E"/>
    <w:rsid w:val="00020463"/>
    <w:rsid w:val="000247A4"/>
    <w:rsid w:val="00026DBF"/>
    <w:rsid w:val="000301E2"/>
    <w:rsid w:val="000309DF"/>
    <w:rsid w:val="0003216D"/>
    <w:rsid w:val="0003229E"/>
    <w:rsid w:val="000328DD"/>
    <w:rsid w:val="000330B2"/>
    <w:rsid w:val="00036823"/>
    <w:rsid w:val="000368E1"/>
    <w:rsid w:val="0003799C"/>
    <w:rsid w:val="00040691"/>
    <w:rsid w:val="00041B6C"/>
    <w:rsid w:val="00042009"/>
    <w:rsid w:val="00046CD9"/>
    <w:rsid w:val="00046E6D"/>
    <w:rsid w:val="00047341"/>
    <w:rsid w:val="00052D25"/>
    <w:rsid w:val="0005352F"/>
    <w:rsid w:val="0005354B"/>
    <w:rsid w:val="00054823"/>
    <w:rsid w:val="000550D9"/>
    <w:rsid w:val="000577EF"/>
    <w:rsid w:val="00057B89"/>
    <w:rsid w:val="000649D1"/>
    <w:rsid w:val="000652D9"/>
    <w:rsid w:val="000652EE"/>
    <w:rsid w:val="00066101"/>
    <w:rsid w:val="00066819"/>
    <w:rsid w:val="000736E7"/>
    <w:rsid w:val="00074385"/>
    <w:rsid w:val="00074BEC"/>
    <w:rsid w:val="00080C57"/>
    <w:rsid w:val="00082877"/>
    <w:rsid w:val="000852AB"/>
    <w:rsid w:val="0008701B"/>
    <w:rsid w:val="000909AF"/>
    <w:rsid w:val="00091976"/>
    <w:rsid w:val="00094F4A"/>
    <w:rsid w:val="0009539D"/>
    <w:rsid w:val="0009675A"/>
    <w:rsid w:val="000A0EAE"/>
    <w:rsid w:val="000A20D8"/>
    <w:rsid w:val="000A6673"/>
    <w:rsid w:val="000B075B"/>
    <w:rsid w:val="000B301D"/>
    <w:rsid w:val="000B573E"/>
    <w:rsid w:val="000B7FB9"/>
    <w:rsid w:val="000C37E6"/>
    <w:rsid w:val="000C5E3B"/>
    <w:rsid w:val="000D06DA"/>
    <w:rsid w:val="000D0B78"/>
    <w:rsid w:val="000D21EA"/>
    <w:rsid w:val="000D55CA"/>
    <w:rsid w:val="000D5CB0"/>
    <w:rsid w:val="000D6646"/>
    <w:rsid w:val="000D6D2C"/>
    <w:rsid w:val="000D7BDC"/>
    <w:rsid w:val="000D7D86"/>
    <w:rsid w:val="000D7E27"/>
    <w:rsid w:val="000E2917"/>
    <w:rsid w:val="000E5AD2"/>
    <w:rsid w:val="000E787A"/>
    <w:rsid w:val="000F0752"/>
    <w:rsid w:val="000F0AA1"/>
    <w:rsid w:val="000F2C8F"/>
    <w:rsid w:val="000F32F8"/>
    <w:rsid w:val="000F411E"/>
    <w:rsid w:val="000F5E80"/>
    <w:rsid w:val="001002BA"/>
    <w:rsid w:val="00101CB0"/>
    <w:rsid w:val="00111066"/>
    <w:rsid w:val="00111D36"/>
    <w:rsid w:val="001160CA"/>
    <w:rsid w:val="0011728C"/>
    <w:rsid w:val="00117F5E"/>
    <w:rsid w:val="00121044"/>
    <w:rsid w:val="001246B0"/>
    <w:rsid w:val="001263FF"/>
    <w:rsid w:val="00130A64"/>
    <w:rsid w:val="00130FAE"/>
    <w:rsid w:val="00131345"/>
    <w:rsid w:val="0014601F"/>
    <w:rsid w:val="00146712"/>
    <w:rsid w:val="00146F67"/>
    <w:rsid w:val="00147B03"/>
    <w:rsid w:val="0015228C"/>
    <w:rsid w:val="00153CD7"/>
    <w:rsid w:val="00153D55"/>
    <w:rsid w:val="00155F62"/>
    <w:rsid w:val="00157530"/>
    <w:rsid w:val="0016420C"/>
    <w:rsid w:val="0016643A"/>
    <w:rsid w:val="00166A15"/>
    <w:rsid w:val="00174912"/>
    <w:rsid w:val="001773A5"/>
    <w:rsid w:val="001818F5"/>
    <w:rsid w:val="00181C4A"/>
    <w:rsid w:val="0018230C"/>
    <w:rsid w:val="00182A60"/>
    <w:rsid w:val="00190B39"/>
    <w:rsid w:val="00190FE7"/>
    <w:rsid w:val="00195079"/>
    <w:rsid w:val="0019514E"/>
    <w:rsid w:val="001967A1"/>
    <w:rsid w:val="001A06EE"/>
    <w:rsid w:val="001A1FC1"/>
    <w:rsid w:val="001A55D2"/>
    <w:rsid w:val="001A7AD1"/>
    <w:rsid w:val="001A7C32"/>
    <w:rsid w:val="001B0F7E"/>
    <w:rsid w:val="001B2FAD"/>
    <w:rsid w:val="001B3204"/>
    <w:rsid w:val="001B3789"/>
    <w:rsid w:val="001B3A0A"/>
    <w:rsid w:val="001B43B7"/>
    <w:rsid w:val="001B51D0"/>
    <w:rsid w:val="001C39AD"/>
    <w:rsid w:val="001D1724"/>
    <w:rsid w:val="001E3EB6"/>
    <w:rsid w:val="001E5969"/>
    <w:rsid w:val="001F05B5"/>
    <w:rsid w:val="001F07F6"/>
    <w:rsid w:val="001F0FC3"/>
    <w:rsid w:val="001F1BB9"/>
    <w:rsid w:val="001F3654"/>
    <w:rsid w:val="001F41D2"/>
    <w:rsid w:val="001F4C06"/>
    <w:rsid w:val="001F556B"/>
    <w:rsid w:val="001F5D7E"/>
    <w:rsid w:val="001F5F57"/>
    <w:rsid w:val="00200AA3"/>
    <w:rsid w:val="00201AF1"/>
    <w:rsid w:val="002052C7"/>
    <w:rsid w:val="0020644E"/>
    <w:rsid w:val="00207815"/>
    <w:rsid w:val="0021122C"/>
    <w:rsid w:val="00212EE2"/>
    <w:rsid w:val="0021404F"/>
    <w:rsid w:val="00215111"/>
    <w:rsid w:val="00216A7C"/>
    <w:rsid w:val="0021720F"/>
    <w:rsid w:val="0022050D"/>
    <w:rsid w:val="00223457"/>
    <w:rsid w:val="00226C41"/>
    <w:rsid w:val="0023084B"/>
    <w:rsid w:val="00231F9C"/>
    <w:rsid w:val="00237199"/>
    <w:rsid w:val="00242FF4"/>
    <w:rsid w:val="002448DC"/>
    <w:rsid w:val="00244FDE"/>
    <w:rsid w:val="002463AD"/>
    <w:rsid w:val="00251539"/>
    <w:rsid w:val="0025515D"/>
    <w:rsid w:val="002559A2"/>
    <w:rsid w:val="002607C2"/>
    <w:rsid w:val="00262A26"/>
    <w:rsid w:val="00264253"/>
    <w:rsid w:val="00265E02"/>
    <w:rsid w:val="002676B9"/>
    <w:rsid w:val="00272311"/>
    <w:rsid w:val="002777D5"/>
    <w:rsid w:val="002813B0"/>
    <w:rsid w:val="00282841"/>
    <w:rsid w:val="0028340F"/>
    <w:rsid w:val="00285ABB"/>
    <w:rsid w:val="0028674D"/>
    <w:rsid w:val="00293D3D"/>
    <w:rsid w:val="00296C65"/>
    <w:rsid w:val="002A50B1"/>
    <w:rsid w:val="002A51D5"/>
    <w:rsid w:val="002B3827"/>
    <w:rsid w:val="002B617B"/>
    <w:rsid w:val="002B6CAC"/>
    <w:rsid w:val="002C1691"/>
    <w:rsid w:val="002C5B60"/>
    <w:rsid w:val="002D1F7B"/>
    <w:rsid w:val="002D774C"/>
    <w:rsid w:val="002E00CA"/>
    <w:rsid w:val="002E2B9E"/>
    <w:rsid w:val="002E47C3"/>
    <w:rsid w:val="002F180E"/>
    <w:rsid w:val="002F2184"/>
    <w:rsid w:val="002F7FDA"/>
    <w:rsid w:val="0030169B"/>
    <w:rsid w:val="003034D5"/>
    <w:rsid w:val="0030355A"/>
    <w:rsid w:val="0030528B"/>
    <w:rsid w:val="003102E1"/>
    <w:rsid w:val="00312134"/>
    <w:rsid w:val="00313FAC"/>
    <w:rsid w:val="00324A46"/>
    <w:rsid w:val="00324C51"/>
    <w:rsid w:val="00334F40"/>
    <w:rsid w:val="003373D8"/>
    <w:rsid w:val="0034044E"/>
    <w:rsid w:val="003429A6"/>
    <w:rsid w:val="0034422A"/>
    <w:rsid w:val="0034438C"/>
    <w:rsid w:val="003455C7"/>
    <w:rsid w:val="00345FAD"/>
    <w:rsid w:val="003476DA"/>
    <w:rsid w:val="00356528"/>
    <w:rsid w:val="003616F5"/>
    <w:rsid w:val="0036296F"/>
    <w:rsid w:val="00362D06"/>
    <w:rsid w:val="0036402B"/>
    <w:rsid w:val="003641BE"/>
    <w:rsid w:val="00367601"/>
    <w:rsid w:val="0036762B"/>
    <w:rsid w:val="003730E1"/>
    <w:rsid w:val="00374BCF"/>
    <w:rsid w:val="00375247"/>
    <w:rsid w:val="00376CAD"/>
    <w:rsid w:val="003809B1"/>
    <w:rsid w:val="003810AF"/>
    <w:rsid w:val="00382F8A"/>
    <w:rsid w:val="00383BCE"/>
    <w:rsid w:val="003842BF"/>
    <w:rsid w:val="00391130"/>
    <w:rsid w:val="0039217E"/>
    <w:rsid w:val="00393134"/>
    <w:rsid w:val="00393888"/>
    <w:rsid w:val="00395A7E"/>
    <w:rsid w:val="00395DEA"/>
    <w:rsid w:val="003969CF"/>
    <w:rsid w:val="00396E13"/>
    <w:rsid w:val="00397D0C"/>
    <w:rsid w:val="003A221E"/>
    <w:rsid w:val="003A32C3"/>
    <w:rsid w:val="003A40A4"/>
    <w:rsid w:val="003A47D5"/>
    <w:rsid w:val="003A4A67"/>
    <w:rsid w:val="003A4C76"/>
    <w:rsid w:val="003A748F"/>
    <w:rsid w:val="003B5602"/>
    <w:rsid w:val="003B58C3"/>
    <w:rsid w:val="003B6528"/>
    <w:rsid w:val="003B708A"/>
    <w:rsid w:val="003C2470"/>
    <w:rsid w:val="003C46C2"/>
    <w:rsid w:val="003C5794"/>
    <w:rsid w:val="003C64B1"/>
    <w:rsid w:val="003C6FA1"/>
    <w:rsid w:val="003D2037"/>
    <w:rsid w:val="003D20EF"/>
    <w:rsid w:val="003D4465"/>
    <w:rsid w:val="003D4AAF"/>
    <w:rsid w:val="003D4CF9"/>
    <w:rsid w:val="003D6584"/>
    <w:rsid w:val="003E075B"/>
    <w:rsid w:val="003E1039"/>
    <w:rsid w:val="003E25AD"/>
    <w:rsid w:val="003E39BD"/>
    <w:rsid w:val="003E6085"/>
    <w:rsid w:val="003F0403"/>
    <w:rsid w:val="003F0A68"/>
    <w:rsid w:val="003F1B72"/>
    <w:rsid w:val="003F2C8C"/>
    <w:rsid w:val="003F6158"/>
    <w:rsid w:val="00400DAA"/>
    <w:rsid w:val="004012B3"/>
    <w:rsid w:val="0040587A"/>
    <w:rsid w:val="00405A8C"/>
    <w:rsid w:val="0040650D"/>
    <w:rsid w:val="0040740E"/>
    <w:rsid w:val="00410313"/>
    <w:rsid w:val="004110B1"/>
    <w:rsid w:val="00411175"/>
    <w:rsid w:val="00414644"/>
    <w:rsid w:val="00415169"/>
    <w:rsid w:val="00421EAE"/>
    <w:rsid w:val="00434D25"/>
    <w:rsid w:val="00435BD2"/>
    <w:rsid w:val="004361B2"/>
    <w:rsid w:val="00436924"/>
    <w:rsid w:val="00437444"/>
    <w:rsid w:val="00437CF5"/>
    <w:rsid w:val="00440223"/>
    <w:rsid w:val="00444B70"/>
    <w:rsid w:val="0045140D"/>
    <w:rsid w:val="00451909"/>
    <w:rsid w:val="00452ED8"/>
    <w:rsid w:val="00454528"/>
    <w:rsid w:val="004571F5"/>
    <w:rsid w:val="00457AA0"/>
    <w:rsid w:val="00462FCA"/>
    <w:rsid w:val="00464254"/>
    <w:rsid w:val="004668DE"/>
    <w:rsid w:val="0047289B"/>
    <w:rsid w:val="004738F4"/>
    <w:rsid w:val="00481750"/>
    <w:rsid w:val="00482489"/>
    <w:rsid w:val="0048348D"/>
    <w:rsid w:val="00483CED"/>
    <w:rsid w:val="00484C8D"/>
    <w:rsid w:val="00485C45"/>
    <w:rsid w:val="00486152"/>
    <w:rsid w:val="00497918"/>
    <w:rsid w:val="004A312F"/>
    <w:rsid w:val="004A33D8"/>
    <w:rsid w:val="004B1815"/>
    <w:rsid w:val="004B5591"/>
    <w:rsid w:val="004B5D18"/>
    <w:rsid w:val="004B60F2"/>
    <w:rsid w:val="004B752F"/>
    <w:rsid w:val="004C2F4F"/>
    <w:rsid w:val="004C555E"/>
    <w:rsid w:val="004C6E12"/>
    <w:rsid w:val="004C7CE8"/>
    <w:rsid w:val="004D127B"/>
    <w:rsid w:val="004D1FB8"/>
    <w:rsid w:val="004D35BA"/>
    <w:rsid w:val="004D3A13"/>
    <w:rsid w:val="004D64AE"/>
    <w:rsid w:val="004D74E9"/>
    <w:rsid w:val="004E37A0"/>
    <w:rsid w:val="004E37CF"/>
    <w:rsid w:val="004E6F97"/>
    <w:rsid w:val="004E72DD"/>
    <w:rsid w:val="004F5A13"/>
    <w:rsid w:val="00503FDB"/>
    <w:rsid w:val="0050501A"/>
    <w:rsid w:val="00506EB4"/>
    <w:rsid w:val="005072BC"/>
    <w:rsid w:val="005106A8"/>
    <w:rsid w:val="00510863"/>
    <w:rsid w:val="00512015"/>
    <w:rsid w:val="00512BDC"/>
    <w:rsid w:val="005158FE"/>
    <w:rsid w:val="00517A39"/>
    <w:rsid w:val="005206A1"/>
    <w:rsid w:val="005221CD"/>
    <w:rsid w:val="0052240E"/>
    <w:rsid w:val="00523DCE"/>
    <w:rsid w:val="0052539C"/>
    <w:rsid w:val="00525530"/>
    <w:rsid w:val="00531D82"/>
    <w:rsid w:val="00532DAE"/>
    <w:rsid w:val="00537E2D"/>
    <w:rsid w:val="00542FED"/>
    <w:rsid w:val="005455C3"/>
    <w:rsid w:val="005466DA"/>
    <w:rsid w:val="00546A4B"/>
    <w:rsid w:val="00556251"/>
    <w:rsid w:val="00562D69"/>
    <w:rsid w:val="005632C8"/>
    <w:rsid w:val="00565631"/>
    <w:rsid w:val="0056621B"/>
    <w:rsid w:val="0057008C"/>
    <w:rsid w:val="005705AD"/>
    <w:rsid w:val="00574862"/>
    <w:rsid w:val="0057611E"/>
    <w:rsid w:val="00581858"/>
    <w:rsid w:val="00582567"/>
    <w:rsid w:val="005832E6"/>
    <w:rsid w:val="00583FED"/>
    <w:rsid w:val="0059296B"/>
    <w:rsid w:val="005938DF"/>
    <w:rsid w:val="00594C72"/>
    <w:rsid w:val="005955AE"/>
    <w:rsid w:val="005956C7"/>
    <w:rsid w:val="005A08C8"/>
    <w:rsid w:val="005A0FAC"/>
    <w:rsid w:val="005A4CAB"/>
    <w:rsid w:val="005A59A6"/>
    <w:rsid w:val="005A6B0A"/>
    <w:rsid w:val="005A6B96"/>
    <w:rsid w:val="005B080F"/>
    <w:rsid w:val="005B2C38"/>
    <w:rsid w:val="005B4280"/>
    <w:rsid w:val="005C545C"/>
    <w:rsid w:val="005C5751"/>
    <w:rsid w:val="005C6746"/>
    <w:rsid w:val="005C73ED"/>
    <w:rsid w:val="005D02D7"/>
    <w:rsid w:val="005D0638"/>
    <w:rsid w:val="005D17FF"/>
    <w:rsid w:val="005D228B"/>
    <w:rsid w:val="005D2802"/>
    <w:rsid w:val="005D3239"/>
    <w:rsid w:val="005D6613"/>
    <w:rsid w:val="005D66C5"/>
    <w:rsid w:val="005D6C9B"/>
    <w:rsid w:val="005E442F"/>
    <w:rsid w:val="005E46CD"/>
    <w:rsid w:val="005E56BE"/>
    <w:rsid w:val="005E7134"/>
    <w:rsid w:val="005F0217"/>
    <w:rsid w:val="005F07C8"/>
    <w:rsid w:val="005F3C11"/>
    <w:rsid w:val="00600155"/>
    <w:rsid w:val="00600297"/>
    <w:rsid w:val="006029CD"/>
    <w:rsid w:val="0060576E"/>
    <w:rsid w:val="006073F8"/>
    <w:rsid w:val="00607965"/>
    <w:rsid w:val="006104EA"/>
    <w:rsid w:val="00611B2A"/>
    <w:rsid w:val="00612496"/>
    <w:rsid w:val="00616DB6"/>
    <w:rsid w:val="006170F0"/>
    <w:rsid w:val="00617C32"/>
    <w:rsid w:val="00621817"/>
    <w:rsid w:val="00621E09"/>
    <w:rsid w:val="0062431B"/>
    <w:rsid w:val="006257E4"/>
    <w:rsid w:val="0063084D"/>
    <w:rsid w:val="00631990"/>
    <w:rsid w:val="00631F2E"/>
    <w:rsid w:val="006326B7"/>
    <w:rsid w:val="00632C9C"/>
    <w:rsid w:val="00633AE7"/>
    <w:rsid w:val="00634E37"/>
    <w:rsid w:val="0063711E"/>
    <w:rsid w:val="00637368"/>
    <w:rsid w:val="00643114"/>
    <w:rsid w:val="00643369"/>
    <w:rsid w:val="0064355D"/>
    <w:rsid w:val="00646CBC"/>
    <w:rsid w:val="00647B75"/>
    <w:rsid w:val="0065175B"/>
    <w:rsid w:val="00653F12"/>
    <w:rsid w:val="00655AC4"/>
    <w:rsid w:val="006576A0"/>
    <w:rsid w:val="00660F77"/>
    <w:rsid w:val="00661CEC"/>
    <w:rsid w:val="00663A43"/>
    <w:rsid w:val="006651D6"/>
    <w:rsid w:val="00667363"/>
    <w:rsid w:val="00672E23"/>
    <w:rsid w:val="0067591E"/>
    <w:rsid w:val="00675F84"/>
    <w:rsid w:val="006770A5"/>
    <w:rsid w:val="00680042"/>
    <w:rsid w:val="0068027F"/>
    <w:rsid w:val="00681461"/>
    <w:rsid w:val="0068195A"/>
    <w:rsid w:val="00682995"/>
    <w:rsid w:val="00682D0D"/>
    <w:rsid w:val="00684B4C"/>
    <w:rsid w:val="00687A43"/>
    <w:rsid w:val="00692F46"/>
    <w:rsid w:val="00693104"/>
    <w:rsid w:val="006946C1"/>
    <w:rsid w:val="006953AA"/>
    <w:rsid w:val="00697978"/>
    <w:rsid w:val="006A0ACB"/>
    <w:rsid w:val="006A0E6E"/>
    <w:rsid w:val="006A3CC3"/>
    <w:rsid w:val="006A4336"/>
    <w:rsid w:val="006A4BF9"/>
    <w:rsid w:val="006A58E3"/>
    <w:rsid w:val="006A677C"/>
    <w:rsid w:val="006A6A7F"/>
    <w:rsid w:val="006A759E"/>
    <w:rsid w:val="006B091B"/>
    <w:rsid w:val="006B13AB"/>
    <w:rsid w:val="006B4F59"/>
    <w:rsid w:val="006C1445"/>
    <w:rsid w:val="006C243C"/>
    <w:rsid w:val="006C541F"/>
    <w:rsid w:val="006C5F3C"/>
    <w:rsid w:val="006C6F34"/>
    <w:rsid w:val="006C76AA"/>
    <w:rsid w:val="006C7EAD"/>
    <w:rsid w:val="006D1549"/>
    <w:rsid w:val="006D2565"/>
    <w:rsid w:val="006D4419"/>
    <w:rsid w:val="006D4FF4"/>
    <w:rsid w:val="006D7442"/>
    <w:rsid w:val="006E1D0F"/>
    <w:rsid w:val="006E236C"/>
    <w:rsid w:val="006E4C0E"/>
    <w:rsid w:val="006F1D7E"/>
    <w:rsid w:val="00710224"/>
    <w:rsid w:val="00711929"/>
    <w:rsid w:val="007129C8"/>
    <w:rsid w:val="00713424"/>
    <w:rsid w:val="007138C1"/>
    <w:rsid w:val="00713FE0"/>
    <w:rsid w:val="00714793"/>
    <w:rsid w:val="00714ADB"/>
    <w:rsid w:val="007155DF"/>
    <w:rsid w:val="00723065"/>
    <w:rsid w:val="00725F65"/>
    <w:rsid w:val="00725F67"/>
    <w:rsid w:val="0073790F"/>
    <w:rsid w:val="00741505"/>
    <w:rsid w:val="007419F1"/>
    <w:rsid w:val="007458B5"/>
    <w:rsid w:val="0075030E"/>
    <w:rsid w:val="00755997"/>
    <w:rsid w:val="00762838"/>
    <w:rsid w:val="00763B12"/>
    <w:rsid w:val="00765A35"/>
    <w:rsid w:val="00766BA0"/>
    <w:rsid w:val="007726DB"/>
    <w:rsid w:val="007743D3"/>
    <w:rsid w:val="00775CA0"/>
    <w:rsid w:val="00776A08"/>
    <w:rsid w:val="007802B7"/>
    <w:rsid w:val="0078123D"/>
    <w:rsid w:val="007822F2"/>
    <w:rsid w:val="0078285C"/>
    <w:rsid w:val="00790466"/>
    <w:rsid w:val="007933CE"/>
    <w:rsid w:val="00795F2F"/>
    <w:rsid w:val="007B2BC3"/>
    <w:rsid w:val="007B59F4"/>
    <w:rsid w:val="007B670E"/>
    <w:rsid w:val="007C030B"/>
    <w:rsid w:val="007C1AB6"/>
    <w:rsid w:val="007C2C01"/>
    <w:rsid w:val="007D14C4"/>
    <w:rsid w:val="007D1EB6"/>
    <w:rsid w:val="007D45E8"/>
    <w:rsid w:val="007D5906"/>
    <w:rsid w:val="007D5C83"/>
    <w:rsid w:val="007D65DF"/>
    <w:rsid w:val="007D74F4"/>
    <w:rsid w:val="007D79A1"/>
    <w:rsid w:val="007E2270"/>
    <w:rsid w:val="007E2DE3"/>
    <w:rsid w:val="007E4765"/>
    <w:rsid w:val="007E6FA0"/>
    <w:rsid w:val="007F0CED"/>
    <w:rsid w:val="007F1908"/>
    <w:rsid w:val="007F236D"/>
    <w:rsid w:val="007F35EC"/>
    <w:rsid w:val="007F43F5"/>
    <w:rsid w:val="007F46E2"/>
    <w:rsid w:val="00800A61"/>
    <w:rsid w:val="00800DFD"/>
    <w:rsid w:val="00805979"/>
    <w:rsid w:val="00810196"/>
    <w:rsid w:val="00812463"/>
    <w:rsid w:val="00813229"/>
    <w:rsid w:val="00815167"/>
    <w:rsid w:val="008155D8"/>
    <w:rsid w:val="008161BE"/>
    <w:rsid w:val="008161F1"/>
    <w:rsid w:val="00817560"/>
    <w:rsid w:val="00820138"/>
    <w:rsid w:val="00823678"/>
    <w:rsid w:val="0082410E"/>
    <w:rsid w:val="008244A5"/>
    <w:rsid w:val="00826B01"/>
    <w:rsid w:val="00826D63"/>
    <w:rsid w:val="008270DF"/>
    <w:rsid w:val="008361E5"/>
    <w:rsid w:val="00836A0C"/>
    <w:rsid w:val="008370A3"/>
    <w:rsid w:val="008425F3"/>
    <w:rsid w:val="00846D70"/>
    <w:rsid w:val="008504EC"/>
    <w:rsid w:val="00852AE7"/>
    <w:rsid w:val="00856145"/>
    <w:rsid w:val="008626D2"/>
    <w:rsid w:val="00863FE6"/>
    <w:rsid w:val="00866711"/>
    <w:rsid w:val="008764EA"/>
    <w:rsid w:val="00880330"/>
    <w:rsid w:val="00886BF0"/>
    <w:rsid w:val="00887695"/>
    <w:rsid w:val="0088788A"/>
    <w:rsid w:val="00891DFC"/>
    <w:rsid w:val="00893FE3"/>
    <w:rsid w:val="00896E04"/>
    <w:rsid w:val="008A0B3E"/>
    <w:rsid w:val="008A2CAF"/>
    <w:rsid w:val="008A3075"/>
    <w:rsid w:val="008A4AFF"/>
    <w:rsid w:val="008A4DED"/>
    <w:rsid w:val="008A537C"/>
    <w:rsid w:val="008A72C7"/>
    <w:rsid w:val="008B2E53"/>
    <w:rsid w:val="008C1CA4"/>
    <w:rsid w:val="008C5401"/>
    <w:rsid w:val="008C5DE2"/>
    <w:rsid w:val="008C6AAE"/>
    <w:rsid w:val="008D0829"/>
    <w:rsid w:val="008D41B3"/>
    <w:rsid w:val="008D7794"/>
    <w:rsid w:val="008E10E4"/>
    <w:rsid w:val="008E5354"/>
    <w:rsid w:val="008E79EC"/>
    <w:rsid w:val="008F293C"/>
    <w:rsid w:val="008F3B50"/>
    <w:rsid w:val="008F4AA7"/>
    <w:rsid w:val="008F7905"/>
    <w:rsid w:val="009007FE"/>
    <w:rsid w:val="00902DFE"/>
    <w:rsid w:val="009037E1"/>
    <w:rsid w:val="00903C81"/>
    <w:rsid w:val="009041FE"/>
    <w:rsid w:val="00904409"/>
    <w:rsid w:val="00905327"/>
    <w:rsid w:val="00910527"/>
    <w:rsid w:val="009120BA"/>
    <w:rsid w:val="0091783D"/>
    <w:rsid w:val="0091795C"/>
    <w:rsid w:val="00920442"/>
    <w:rsid w:val="009213EA"/>
    <w:rsid w:val="00921D36"/>
    <w:rsid w:val="0092256F"/>
    <w:rsid w:val="009240B3"/>
    <w:rsid w:val="009263CF"/>
    <w:rsid w:val="00926936"/>
    <w:rsid w:val="00926D15"/>
    <w:rsid w:val="009273C6"/>
    <w:rsid w:val="00930A90"/>
    <w:rsid w:val="00933D33"/>
    <w:rsid w:val="00940541"/>
    <w:rsid w:val="009418B9"/>
    <w:rsid w:val="00941C98"/>
    <w:rsid w:val="009422E2"/>
    <w:rsid w:val="009500C2"/>
    <w:rsid w:val="0095120A"/>
    <w:rsid w:val="00951736"/>
    <w:rsid w:val="00954420"/>
    <w:rsid w:val="00955BE8"/>
    <w:rsid w:val="00957E9D"/>
    <w:rsid w:val="00961D74"/>
    <w:rsid w:val="00963256"/>
    <w:rsid w:val="009700B3"/>
    <w:rsid w:val="00976252"/>
    <w:rsid w:val="00984664"/>
    <w:rsid w:val="00985F7C"/>
    <w:rsid w:val="0099085F"/>
    <w:rsid w:val="00991051"/>
    <w:rsid w:val="00997F34"/>
    <w:rsid w:val="009A076C"/>
    <w:rsid w:val="009A2062"/>
    <w:rsid w:val="009A3C2E"/>
    <w:rsid w:val="009A6B42"/>
    <w:rsid w:val="009B3A95"/>
    <w:rsid w:val="009B3DF3"/>
    <w:rsid w:val="009B6A44"/>
    <w:rsid w:val="009C2A46"/>
    <w:rsid w:val="009C3AA8"/>
    <w:rsid w:val="009C51BA"/>
    <w:rsid w:val="009C667A"/>
    <w:rsid w:val="009D0853"/>
    <w:rsid w:val="009D1065"/>
    <w:rsid w:val="009D3635"/>
    <w:rsid w:val="009D4068"/>
    <w:rsid w:val="009D55CF"/>
    <w:rsid w:val="009D6CFA"/>
    <w:rsid w:val="009D71D7"/>
    <w:rsid w:val="009D79CF"/>
    <w:rsid w:val="009E4664"/>
    <w:rsid w:val="009E6540"/>
    <w:rsid w:val="009E78E8"/>
    <w:rsid w:val="009F19A2"/>
    <w:rsid w:val="009F251B"/>
    <w:rsid w:val="009F2F09"/>
    <w:rsid w:val="009F349B"/>
    <w:rsid w:val="009F4E24"/>
    <w:rsid w:val="009F54CC"/>
    <w:rsid w:val="00A001D9"/>
    <w:rsid w:val="00A04DD3"/>
    <w:rsid w:val="00A05C18"/>
    <w:rsid w:val="00A06399"/>
    <w:rsid w:val="00A1144F"/>
    <w:rsid w:val="00A118FB"/>
    <w:rsid w:val="00A14017"/>
    <w:rsid w:val="00A14CE0"/>
    <w:rsid w:val="00A16DE5"/>
    <w:rsid w:val="00A172EE"/>
    <w:rsid w:val="00A17440"/>
    <w:rsid w:val="00A17EBA"/>
    <w:rsid w:val="00A215DE"/>
    <w:rsid w:val="00A23159"/>
    <w:rsid w:val="00A23CA9"/>
    <w:rsid w:val="00A25B18"/>
    <w:rsid w:val="00A261E6"/>
    <w:rsid w:val="00A3256C"/>
    <w:rsid w:val="00A37DA0"/>
    <w:rsid w:val="00A42744"/>
    <w:rsid w:val="00A42BA2"/>
    <w:rsid w:val="00A444F6"/>
    <w:rsid w:val="00A44741"/>
    <w:rsid w:val="00A504E9"/>
    <w:rsid w:val="00A51986"/>
    <w:rsid w:val="00A51F43"/>
    <w:rsid w:val="00A56459"/>
    <w:rsid w:val="00A56552"/>
    <w:rsid w:val="00A65513"/>
    <w:rsid w:val="00A6565D"/>
    <w:rsid w:val="00A65F60"/>
    <w:rsid w:val="00A667F4"/>
    <w:rsid w:val="00A711D0"/>
    <w:rsid w:val="00A71955"/>
    <w:rsid w:val="00A728AE"/>
    <w:rsid w:val="00A72CFB"/>
    <w:rsid w:val="00A73F42"/>
    <w:rsid w:val="00A76118"/>
    <w:rsid w:val="00A80E32"/>
    <w:rsid w:val="00A80F84"/>
    <w:rsid w:val="00A81611"/>
    <w:rsid w:val="00A83739"/>
    <w:rsid w:val="00A872AE"/>
    <w:rsid w:val="00A87D30"/>
    <w:rsid w:val="00A902DD"/>
    <w:rsid w:val="00A921B7"/>
    <w:rsid w:val="00A922AD"/>
    <w:rsid w:val="00A936C7"/>
    <w:rsid w:val="00AA249E"/>
    <w:rsid w:val="00AA2F12"/>
    <w:rsid w:val="00AA4989"/>
    <w:rsid w:val="00AA4C36"/>
    <w:rsid w:val="00AA59CE"/>
    <w:rsid w:val="00AA6B24"/>
    <w:rsid w:val="00AB00F6"/>
    <w:rsid w:val="00AB4270"/>
    <w:rsid w:val="00AB4BE0"/>
    <w:rsid w:val="00AB5BCB"/>
    <w:rsid w:val="00AC02AC"/>
    <w:rsid w:val="00AC0BC2"/>
    <w:rsid w:val="00AC19FE"/>
    <w:rsid w:val="00AC396C"/>
    <w:rsid w:val="00AC46C4"/>
    <w:rsid w:val="00AC4E5A"/>
    <w:rsid w:val="00AC4EC5"/>
    <w:rsid w:val="00AC7F6F"/>
    <w:rsid w:val="00AD0490"/>
    <w:rsid w:val="00AD12F9"/>
    <w:rsid w:val="00AD299B"/>
    <w:rsid w:val="00AD2ACF"/>
    <w:rsid w:val="00AD3EF1"/>
    <w:rsid w:val="00AD4457"/>
    <w:rsid w:val="00AD4C8F"/>
    <w:rsid w:val="00AD4E9C"/>
    <w:rsid w:val="00AD77AE"/>
    <w:rsid w:val="00AE02C6"/>
    <w:rsid w:val="00AE164B"/>
    <w:rsid w:val="00AE17B2"/>
    <w:rsid w:val="00AE324D"/>
    <w:rsid w:val="00AE6E89"/>
    <w:rsid w:val="00AE72AB"/>
    <w:rsid w:val="00AE7404"/>
    <w:rsid w:val="00AE7EB0"/>
    <w:rsid w:val="00AF1E4F"/>
    <w:rsid w:val="00AF39A5"/>
    <w:rsid w:val="00AF721E"/>
    <w:rsid w:val="00AF7EC4"/>
    <w:rsid w:val="00B06112"/>
    <w:rsid w:val="00B07141"/>
    <w:rsid w:val="00B07D6A"/>
    <w:rsid w:val="00B10385"/>
    <w:rsid w:val="00B11686"/>
    <w:rsid w:val="00B118D9"/>
    <w:rsid w:val="00B11FD4"/>
    <w:rsid w:val="00B12CF8"/>
    <w:rsid w:val="00B13915"/>
    <w:rsid w:val="00B13942"/>
    <w:rsid w:val="00B14B5D"/>
    <w:rsid w:val="00B15038"/>
    <w:rsid w:val="00B16FE7"/>
    <w:rsid w:val="00B2058F"/>
    <w:rsid w:val="00B20EB9"/>
    <w:rsid w:val="00B23F19"/>
    <w:rsid w:val="00B25C36"/>
    <w:rsid w:val="00B30252"/>
    <w:rsid w:val="00B359FD"/>
    <w:rsid w:val="00B35B2D"/>
    <w:rsid w:val="00B3681D"/>
    <w:rsid w:val="00B36EA4"/>
    <w:rsid w:val="00B404FC"/>
    <w:rsid w:val="00B40D9A"/>
    <w:rsid w:val="00B41FCF"/>
    <w:rsid w:val="00B420D0"/>
    <w:rsid w:val="00B42365"/>
    <w:rsid w:val="00B50A5D"/>
    <w:rsid w:val="00B5220C"/>
    <w:rsid w:val="00B537DA"/>
    <w:rsid w:val="00B5726C"/>
    <w:rsid w:val="00B57702"/>
    <w:rsid w:val="00B57C6B"/>
    <w:rsid w:val="00B6493E"/>
    <w:rsid w:val="00B64E88"/>
    <w:rsid w:val="00B67197"/>
    <w:rsid w:val="00B73893"/>
    <w:rsid w:val="00B74C46"/>
    <w:rsid w:val="00B75130"/>
    <w:rsid w:val="00B76B59"/>
    <w:rsid w:val="00B87F42"/>
    <w:rsid w:val="00B9188D"/>
    <w:rsid w:val="00B921BD"/>
    <w:rsid w:val="00B92571"/>
    <w:rsid w:val="00B9298F"/>
    <w:rsid w:val="00B9428B"/>
    <w:rsid w:val="00B95744"/>
    <w:rsid w:val="00B9723C"/>
    <w:rsid w:val="00B9735B"/>
    <w:rsid w:val="00B97792"/>
    <w:rsid w:val="00B9795B"/>
    <w:rsid w:val="00BA1CA3"/>
    <w:rsid w:val="00BA1D30"/>
    <w:rsid w:val="00BA37AC"/>
    <w:rsid w:val="00BA38C6"/>
    <w:rsid w:val="00BA5A35"/>
    <w:rsid w:val="00BA5FE9"/>
    <w:rsid w:val="00BB1060"/>
    <w:rsid w:val="00BB15ED"/>
    <w:rsid w:val="00BB5204"/>
    <w:rsid w:val="00BB6091"/>
    <w:rsid w:val="00BB7093"/>
    <w:rsid w:val="00BC0408"/>
    <w:rsid w:val="00BC1B35"/>
    <w:rsid w:val="00BC1F7B"/>
    <w:rsid w:val="00BC2C03"/>
    <w:rsid w:val="00BC390A"/>
    <w:rsid w:val="00BC3F7E"/>
    <w:rsid w:val="00BC539C"/>
    <w:rsid w:val="00BC76B9"/>
    <w:rsid w:val="00BC783C"/>
    <w:rsid w:val="00BD1016"/>
    <w:rsid w:val="00BD1DD9"/>
    <w:rsid w:val="00BD229F"/>
    <w:rsid w:val="00BD2E6C"/>
    <w:rsid w:val="00BD48AE"/>
    <w:rsid w:val="00BE067E"/>
    <w:rsid w:val="00BE0F2F"/>
    <w:rsid w:val="00BE29F1"/>
    <w:rsid w:val="00BE6048"/>
    <w:rsid w:val="00BE7463"/>
    <w:rsid w:val="00BF071C"/>
    <w:rsid w:val="00BF14DC"/>
    <w:rsid w:val="00BF1F31"/>
    <w:rsid w:val="00BF2CA6"/>
    <w:rsid w:val="00BF3408"/>
    <w:rsid w:val="00BF4492"/>
    <w:rsid w:val="00BF539C"/>
    <w:rsid w:val="00BF5A37"/>
    <w:rsid w:val="00BF79DC"/>
    <w:rsid w:val="00C002D1"/>
    <w:rsid w:val="00C025E4"/>
    <w:rsid w:val="00C02826"/>
    <w:rsid w:val="00C0443F"/>
    <w:rsid w:val="00C05158"/>
    <w:rsid w:val="00C0739A"/>
    <w:rsid w:val="00C11FA5"/>
    <w:rsid w:val="00C127AC"/>
    <w:rsid w:val="00C12FC9"/>
    <w:rsid w:val="00C14B55"/>
    <w:rsid w:val="00C16B9C"/>
    <w:rsid w:val="00C27C25"/>
    <w:rsid w:val="00C27DB6"/>
    <w:rsid w:val="00C309C9"/>
    <w:rsid w:val="00C31E73"/>
    <w:rsid w:val="00C43591"/>
    <w:rsid w:val="00C4429D"/>
    <w:rsid w:val="00C46376"/>
    <w:rsid w:val="00C52465"/>
    <w:rsid w:val="00C577D5"/>
    <w:rsid w:val="00C60380"/>
    <w:rsid w:val="00C60B24"/>
    <w:rsid w:val="00C64DA5"/>
    <w:rsid w:val="00C72BA5"/>
    <w:rsid w:val="00C750D3"/>
    <w:rsid w:val="00C760A1"/>
    <w:rsid w:val="00C77DA3"/>
    <w:rsid w:val="00C80A0C"/>
    <w:rsid w:val="00C8150F"/>
    <w:rsid w:val="00C83716"/>
    <w:rsid w:val="00C841BF"/>
    <w:rsid w:val="00C84D27"/>
    <w:rsid w:val="00C9103B"/>
    <w:rsid w:val="00C946AC"/>
    <w:rsid w:val="00C9656C"/>
    <w:rsid w:val="00CA05F6"/>
    <w:rsid w:val="00CA086F"/>
    <w:rsid w:val="00CA1903"/>
    <w:rsid w:val="00CA1E7A"/>
    <w:rsid w:val="00CA3336"/>
    <w:rsid w:val="00CA5FC4"/>
    <w:rsid w:val="00CB0588"/>
    <w:rsid w:val="00CB17B1"/>
    <w:rsid w:val="00CB54BA"/>
    <w:rsid w:val="00CB69A3"/>
    <w:rsid w:val="00CB6E7D"/>
    <w:rsid w:val="00CB799B"/>
    <w:rsid w:val="00CC030A"/>
    <w:rsid w:val="00CC16DE"/>
    <w:rsid w:val="00CC1D18"/>
    <w:rsid w:val="00CC1D7D"/>
    <w:rsid w:val="00CC31E8"/>
    <w:rsid w:val="00CC47CF"/>
    <w:rsid w:val="00CC4823"/>
    <w:rsid w:val="00CC687B"/>
    <w:rsid w:val="00CD0078"/>
    <w:rsid w:val="00CD0963"/>
    <w:rsid w:val="00CD23E0"/>
    <w:rsid w:val="00CD3C05"/>
    <w:rsid w:val="00CD5C32"/>
    <w:rsid w:val="00CE32E1"/>
    <w:rsid w:val="00CE3A15"/>
    <w:rsid w:val="00CE7035"/>
    <w:rsid w:val="00CF023E"/>
    <w:rsid w:val="00CF0CF7"/>
    <w:rsid w:val="00CF2DEE"/>
    <w:rsid w:val="00CF4833"/>
    <w:rsid w:val="00CF5978"/>
    <w:rsid w:val="00CF6EF7"/>
    <w:rsid w:val="00CF7264"/>
    <w:rsid w:val="00CF7AC7"/>
    <w:rsid w:val="00D00C07"/>
    <w:rsid w:val="00D0175B"/>
    <w:rsid w:val="00D079AC"/>
    <w:rsid w:val="00D104ED"/>
    <w:rsid w:val="00D112F3"/>
    <w:rsid w:val="00D119DF"/>
    <w:rsid w:val="00D11EA6"/>
    <w:rsid w:val="00D12186"/>
    <w:rsid w:val="00D12904"/>
    <w:rsid w:val="00D13C13"/>
    <w:rsid w:val="00D14DEC"/>
    <w:rsid w:val="00D154BF"/>
    <w:rsid w:val="00D16B5F"/>
    <w:rsid w:val="00D17E9B"/>
    <w:rsid w:val="00D20F58"/>
    <w:rsid w:val="00D213B1"/>
    <w:rsid w:val="00D21EBA"/>
    <w:rsid w:val="00D229E7"/>
    <w:rsid w:val="00D26821"/>
    <w:rsid w:val="00D271DE"/>
    <w:rsid w:val="00D27F6D"/>
    <w:rsid w:val="00D303AC"/>
    <w:rsid w:val="00D32FC9"/>
    <w:rsid w:val="00D35BD8"/>
    <w:rsid w:val="00D40EAC"/>
    <w:rsid w:val="00D4264A"/>
    <w:rsid w:val="00D44298"/>
    <w:rsid w:val="00D468F7"/>
    <w:rsid w:val="00D54133"/>
    <w:rsid w:val="00D55973"/>
    <w:rsid w:val="00D63022"/>
    <w:rsid w:val="00D6561A"/>
    <w:rsid w:val="00D65AB3"/>
    <w:rsid w:val="00D65E62"/>
    <w:rsid w:val="00D72A50"/>
    <w:rsid w:val="00D73AD8"/>
    <w:rsid w:val="00D73BA0"/>
    <w:rsid w:val="00D74962"/>
    <w:rsid w:val="00D76913"/>
    <w:rsid w:val="00D800C6"/>
    <w:rsid w:val="00D80E03"/>
    <w:rsid w:val="00D837C9"/>
    <w:rsid w:val="00D83CC8"/>
    <w:rsid w:val="00D85AAA"/>
    <w:rsid w:val="00D867B8"/>
    <w:rsid w:val="00D86E27"/>
    <w:rsid w:val="00D95AFF"/>
    <w:rsid w:val="00D969A6"/>
    <w:rsid w:val="00D96C42"/>
    <w:rsid w:val="00D96DB9"/>
    <w:rsid w:val="00D97F90"/>
    <w:rsid w:val="00DA1894"/>
    <w:rsid w:val="00DA3B49"/>
    <w:rsid w:val="00DA7737"/>
    <w:rsid w:val="00DB23DB"/>
    <w:rsid w:val="00DB4DC6"/>
    <w:rsid w:val="00DB68DC"/>
    <w:rsid w:val="00DB7E9E"/>
    <w:rsid w:val="00DC0610"/>
    <w:rsid w:val="00DC3894"/>
    <w:rsid w:val="00DC3CE6"/>
    <w:rsid w:val="00DC4816"/>
    <w:rsid w:val="00DC551C"/>
    <w:rsid w:val="00DC6B58"/>
    <w:rsid w:val="00DC7BD8"/>
    <w:rsid w:val="00DD0A2A"/>
    <w:rsid w:val="00DD3BBD"/>
    <w:rsid w:val="00DD4F9B"/>
    <w:rsid w:val="00DD6184"/>
    <w:rsid w:val="00DD6C5D"/>
    <w:rsid w:val="00DD7A90"/>
    <w:rsid w:val="00DE0121"/>
    <w:rsid w:val="00DE0313"/>
    <w:rsid w:val="00DE320D"/>
    <w:rsid w:val="00DE3D78"/>
    <w:rsid w:val="00DF10BB"/>
    <w:rsid w:val="00DF1B13"/>
    <w:rsid w:val="00DF3C75"/>
    <w:rsid w:val="00DF441E"/>
    <w:rsid w:val="00DF5665"/>
    <w:rsid w:val="00DF5E76"/>
    <w:rsid w:val="00E00046"/>
    <w:rsid w:val="00E004C2"/>
    <w:rsid w:val="00E01072"/>
    <w:rsid w:val="00E01325"/>
    <w:rsid w:val="00E02748"/>
    <w:rsid w:val="00E02A6D"/>
    <w:rsid w:val="00E032D9"/>
    <w:rsid w:val="00E04E89"/>
    <w:rsid w:val="00E051D8"/>
    <w:rsid w:val="00E05B9A"/>
    <w:rsid w:val="00E1209D"/>
    <w:rsid w:val="00E2168B"/>
    <w:rsid w:val="00E2555B"/>
    <w:rsid w:val="00E2567F"/>
    <w:rsid w:val="00E304E3"/>
    <w:rsid w:val="00E305B9"/>
    <w:rsid w:val="00E3065D"/>
    <w:rsid w:val="00E318AF"/>
    <w:rsid w:val="00E32C84"/>
    <w:rsid w:val="00E33FCB"/>
    <w:rsid w:val="00E3454C"/>
    <w:rsid w:val="00E418C1"/>
    <w:rsid w:val="00E4236B"/>
    <w:rsid w:val="00E43809"/>
    <w:rsid w:val="00E4470F"/>
    <w:rsid w:val="00E47695"/>
    <w:rsid w:val="00E5024F"/>
    <w:rsid w:val="00E5234B"/>
    <w:rsid w:val="00E54380"/>
    <w:rsid w:val="00E54ABC"/>
    <w:rsid w:val="00E55CF0"/>
    <w:rsid w:val="00E5728C"/>
    <w:rsid w:val="00E611AC"/>
    <w:rsid w:val="00E65614"/>
    <w:rsid w:val="00E65D4B"/>
    <w:rsid w:val="00E70938"/>
    <w:rsid w:val="00E70CEA"/>
    <w:rsid w:val="00E71876"/>
    <w:rsid w:val="00E722A0"/>
    <w:rsid w:val="00E808BE"/>
    <w:rsid w:val="00E80B23"/>
    <w:rsid w:val="00E818A8"/>
    <w:rsid w:val="00E82E04"/>
    <w:rsid w:val="00E8323E"/>
    <w:rsid w:val="00E8373B"/>
    <w:rsid w:val="00E853C0"/>
    <w:rsid w:val="00E8651E"/>
    <w:rsid w:val="00E87AD7"/>
    <w:rsid w:val="00E91F48"/>
    <w:rsid w:val="00E9274F"/>
    <w:rsid w:val="00E939BD"/>
    <w:rsid w:val="00E95211"/>
    <w:rsid w:val="00E95D8C"/>
    <w:rsid w:val="00E96C1C"/>
    <w:rsid w:val="00E96E87"/>
    <w:rsid w:val="00EA20DF"/>
    <w:rsid w:val="00EA40D4"/>
    <w:rsid w:val="00EB05D8"/>
    <w:rsid w:val="00EB0C1F"/>
    <w:rsid w:val="00EB2837"/>
    <w:rsid w:val="00EB5844"/>
    <w:rsid w:val="00EB6729"/>
    <w:rsid w:val="00EB786E"/>
    <w:rsid w:val="00EC1F3C"/>
    <w:rsid w:val="00EC4D81"/>
    <w:rsid w:val="00EC744F"/>
    <w:rsid w:val="00ED0E22"/>
    <w:rsid w:val="00ED1BFA"/>
    <w:rsid w:val="00ED3239"/>
    <w:rsid w:val="00ED7526"/>
    <w:rsid w:val="00ED7878"/>
    <w:rsid w:val="00EE008A"/>
    <w:rsid w:val="00EE0196"/>
    <w:rsid w:val="00EE3123"/>
    <w:rsid w:val="00EE321E"/>
    <w:rsid w:val="00EE5F22"/>
    <w:rsid w:val="00EF090E"/>
    <w:rsid w:val="00EF1253"/>
    <w:rsid w:val="00EF1AC8"/>
    <w:rsid w:val="00EF5A98"/>
    <w:rsid w:val="00F00ACE"/>
    <w:rsid w:val="00F0119F"/>
    <w:rsid w:val="00F03BCD"/>
    <w:rsid w:val="00F0437C"/>
    <w:rsid w:val="00F04439"/>
    <w:rsid w:val="00F06C56"/>
    <w:rsid w:val="00F111C1"/>
    <w:rsid w:val="00F1705D"/>
    <w:rsid w:val="00F245C2"/>
    <w:rsid w:val="00F24DD6"/>
    <w:rsid w:val="00F25867"/>
    <w:rsid w:val="00F25CB2"/>
    <w:rsid w:val="00F27C0F"/>
    <w:rsid w:val="00F33033"/>
    <w:rsid w:val="00F339CB"/>
    <w:rsid w:val="00F3440C"/>
    <w:rsid w:val="00F371BD"/>
    <w:rsid w:val="00F426D6"/>
    <w:rsid w:val="00F4518A"/>
    <w:rsid w:val="00F471CB"/>
    <w:rsid w:val="00F51051"/>
    <w:rsid w:val="00F54E2E"/>
    <w:rsid w:val="00F577EB"/>
    <w:rsid w:val="00F60F30"/>
    <w:rsid w:val="00F66AF2"/>
    <w:rsid w:val="00F67205"/>
    <w:rsid w:val="00F701BE"/>
    <w:rsid w:val="00F72E8D"/>
    <w:rsid w:val="00F74A54"/>
    <w:rsid w:val="00F76AE1"/>
    <w:rsid w:val="00F80E23"/>
    <w:rsid w:val="00F82AB6"/>
    <w:rsid w:val="00F84F38"/>
    <w:rsid w:val="00F859D9"/>
    <w:rsid w:val="00F85A29"/>
    <w:rsid w:val="00F86267"/>
    <w:rsid w:val="00F87364"/>
    <w:rsid w:val="00F91876"/>
    <w:rsid w:val="00F970A7"/>
    <w:rsid w:val="00FA00BC"/>
    <w:rsid w:val="00FA08E4"/>
    <w:rsid w:val="00FA0FC8"/>
    <w:rsid w:val="00FA250C"/>
    <w:rsid w:val="00FA7C85"/>
    <w:rsid w:val="00FB0AD8"/>
    <w:rsid w:val="00FB0FF0"/>
    <w:rsid w:val="00FB28D5"/>
    <w:rsid w:val="00FB42C6"/>
    <w:rsid w:val="00FB4C1D"/>
    <w:rsid w:val="00FB521E"/>
    <w:rsid w:val="00FB6554"/>
    <w:rsid w:val="00FB7C7E"/>
    <w:rsid w:val="00FC1635"/>
    <w:rsid w:val="00FC1AE0"/>
    <w:rsid w:val="00FC350A"/>
    <w:rsid w:val="00FC55F9"/>
    <w:rsid w:val="00FC655B"/>
    <w:rsid w:val="00FD1519"/>
    <w:rsid w:val="00FD16F7"/>
    <w:rsid w:val="00FD4838"/>
    <w:rsid w:val="00FD4BC2"/>
    <w:rsid w:val="00FE04F7"/>
    <w:rsid w:val="00FE0825"/>
    <w:rsid w:val="00FE247C"/>
    <w:rsid w:val="00FE3DD4"/>
    <w:rsid w:val="00FE4EFA"/>
    <w:rsid w:val="00FE7206"/>
    <w:rsid w:val="00FF32A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colormru v:ext="edit" colors="#cab0fa"/>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23159"/>
    <w:rPr>
      <w:sz w:val="24"/>
      <w:szCs w:val="24"/>
      <w:lang w:eastAsia="en-US"/>
    </w:rPr>
  </w:style>
  <w:style w:type="paragraph" w:styleId="Heading1">
    <w:name w:val="heading 1"/>
    <w:basedOn w:val="Normal"/>
    <w:next w:val="Normal"/>
    <w:qFormat/>
    <w:rsid w:val="00A14CE0"/>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AD12F9"/>
    <w:pPr>
      <w:keepNext/>
      <w:numPr>
        <w:ilvl w:val="1"/>
        <w:numId w:val="2"/>
      </w:numPr>
      <w:spacing w:before="240" w:after="60"/>
      <w:outlineLvl w:val="1"/>
    </w:pPr>
    <w:rPr>
      <w:rFonts w:ascii="Verdana" w:hAnsi="Verdana" w:cs="Arial"/>
      <w:b/>
      <w:bCs/>
      <w:i/>
      <w:iCs/>
      <w:color w:val="38669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14CE0"/>
    <w:pPr>
      <w:tabs>
        <w:tab w:val="center" w:pos="4153"/>
        <w:tab w:val="right" w:pos="8306"/>
      </w:tabs>
    </w:pPr>
  </w:style>
  <w:style w:type="paragraph" w:styleId="Footer">
    <w:name w:val="footer"/>
    <w:basedOn w:val="Normal"/>
    <w:rsid w:val="00A14CE0"/>
    <w:pPr>
      <w:tabs>
        <w:tab w:val="center" w:pos="4153"/>
        <w:tab w:val="right" w:pos="8306"/>
      </w:tabs>
    </w:pPr>
  </w:style>
  <w:style w:type="paragraph" w:styleId="TOC1">
    <w:name w:val="toc 1"/>
    <w:basedOn w:val="Normal"/>
    <w:next w:val="Normal"/>
    <w:autoRedefine/>
    <w:uiPriority w:val="39"/>
    <w:rsid w:val="005C73ED"/>
    <w:pPr>
      <w:spacing w:before="120"/>
    </w:pPr>
    <w:rPr>
      <w:b/>
      <w:bCs/>
      <w:i/>
      <w:iCs/>
    </w:rPr>
  </w:style>
  <w:style w:type="paragraph" w:styleId="TOC2">
    <w:name w:val="toc 2"/>
    <w:basedOn w:val="Normal"/>
    <w:next w:val="Normal"/>
    <w:autoRedefine/>
    <w:uiPriority w:val="39"/>
    <w:rsid w:val="005C73ED"/>
    <w:pPr>
      <w:spacing w:before="120"/>
      <w:ind w:left="240"/>
    </w:pPr>
    <w:rPr>
      <w:b/>
      <w:bCs/>
      <w:sz w:val="22"/>
      <w:szCs w:val="22"/>
    </w:rPr>
  </w:style>
  <w:style w:type="paragraph" w:styleId="TOC3">
    <w:name w:val="toc 3"/>
    <w:basedOn w:val="Normal"/>
    <w:next w:val="Normal"/>
    <w:autoRedefine/>
    <w:semiHidden/>
    <w:rsid w:val="005C73ED"/>
    <w:pPr>
      <w:ind w:left="480"/>
    </w:pPr>
    <w:rPr>
      <w:sz w:val="20"/>
      <w:szCs w:val="20"/>
    </w:rPr>
  </w:style>
  <w:style w:type="paragraph" w:styleId="TOC4">
    <w:name w:val="toc 4"/>
    <w:basedOn w:val="Normal"/>
    <w:next w:val="Normal"/>
    <w:autoRedefine/>
    <w:semiHidden/>
    <w:rsid w:val="005C73ED"/>
    <w:pPr>
      <w:ind w:left="720"/>
    </w:pPr>
    <w:rPr>
      <w:sz w:val="20"/>
      <w:szCs w:val="20"/>
    </w:rPr>
  </w:style>
  <w:style w:type="paragraph" w:styleId="TOC5">
    <w:name w:val="toc 5"/>
    <w:basedOn w:val="Normal"/>
    <w:next w:val="Normal"/>
    <w:autoRedefine/>
    <w:semiHidden/>
    <w:rsid w:val="005C73ED"/>
    <w:pPr>
      <w:ind w:left="960"/>
    </w:pPr>
    <w:rPr>
      <w:sz w:val="20"/>
      <w:szCs w:val="20"/>
    </w:rPr>
  </w:style>
  <w:style w:type="paragraph" w:styleId="TOC6">
    <w:name w:val="toc 6"/>
    <w:basedOn w:val="Normal"/>
    <w:next w:val="Normal"/>
    <w:autoRedefine/>
    <w:semiHidden/>
    <w:rsid w:val="005C73ED"/>
    <w:pPr>
      <w:ind w:left="1200"/>
    </w:pPr>
    <w:rPr>
      <w:sz w:val="20"/>
      <w:szCs w:val="20"/>
    </w:rPr>
  </w:style>
  <w:style w:type="paragraph" w:styleId="TOC7">
    <w:name w:val="toc 7"/>
    <w:basedOn w:val="Normal"/>
    <w:next w:val="Normal"/>
    <w:autoRedefine/>
    <w:semiHidden/>
    <w:rsid w:val="005C73ED"/>
    <w:pPr>
      <w:ind w:left="1440"/>
    </w:pPr>
    <w:rPr>
      <w:sz w:val="20"/>
      <w:szCs w:val="20"/>
    </w:rPr>
  </w:style>
  <w:style w:type="paragraph" w:styleId="TOC8">
    <w:name w:val="toc 8"/>
    <w:basedOn w:val="Normal"/>
    <w:next w:val="Normal"/>
    <w:autoRedefine/>
    <w:semiHidden/>
    <w:rsid w:val="005C73ED"/>
    <w:pPr>
      <w:ind w:left="1680"/>
    </w:pPr>
    <w:rPr>
      <w:sz w:val="20"/>
      <w:szCs w:val="20"/>
    </w:rPr>
  </w:style>
  <w:style w:type="paragraph" w:styleId="TOC9">
    <w:name w:val="toc 9"/>
    <w:basedOn w:val="Normal"/>
    <w:next w:val="Normal"/>
    <w:autoRedefine/>
    <w:semiHidden/>
    <w:rsid w:val="005C73ED"/>
    <w:pPr>
      <w:ind w:left="1920"/>
    </w:pPr>
    <w:rPr>
      <w:sz w:val="20"/>
      <w:szCs w:val="20"/>
    </w:rPr>
  </w:style>
  <w:style w:type="character" w:styleId="Hyperlink">
    <w:name w:val="Hyperlink"/>
    <w:basedOn w:val="DefaultParagraphFont"/>
    <w:uiPriority w:val="99"/>
    <w:rsid w:val="005C73ED"/>
    <w:rPr>
      <w:color w:val="0000FF"/>
      <w:u w:val="single"/>
    </w:rPr>
  </w:style>
  <w:style w:type="table" w:styleId="TableGrid">
    <w:name w:val="Table Grid"/>
    <w:basedOn w:val="TableNormal"/>
    <w:rsid w:val="00DC6B58"/>
    <w:pPr>
      <w:spacing w:before="2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rsid w:val="00AC46C4"/>
    <w:rPr>
      <w:color w:val="606420"/>
      <w:u w:val="single"/>
    </w:rPr>
  </w:style>
  <w:style w:type="character" w:styleId="PageNumber">
    <w:name w:val="page number"/>
    <w:basedOn w:val="DefaultParagraphFont"/>
    <w:rsid w:val="004D127B"/>
  </w:style>
  <w:style w:type="paragraph" w:customStyle="1" w:styleId="Heading1-nonumbers">
    <w:name w:val="Heading 1 - no numbers"/>
    <w:basedOn w:val="Heading1"/>
    <w:next w:val="Normal"/>
    <w:rsid w:val="0034422A"/>
    <w:pPr>
      <w:spacing w:before="360" w:after="0"/>
    </w:pPr>
    <w:rPr>
      <w:rFonts w:cs="Times New Roman"/>
      <w:kern w:val="28"/>
      <w:sz w:val="36"/>
      <w:szCs w:val="20"/>
    </w:rPr>
  </w:style>
  <w:style w:type="character" w:customStyle="1" w:styleId="EmailStyle31">
    <w:name w:val="EmailStyle311"/>
    <w:aliases w:val="EmailStyle311"/>
    <w:basedOn w:val="DefaultParagraphFont"/>
    <w:semiHidden/>
    <w:personal/>
    <w:personalCompose/>
    <w:rsid w:val="0063711E"/>
    <w:rPr>
      <w:rFonts w:ascii="Arial" w:hAnsi="Arial" w:cs="Arial"/>
      <w:color w:val="auto"/>
      <w:sz w:val="20"/>
      <w:szCs w:val="20"/>
    </w:rPr>
  </w:style>
  <w:style w:type="paragraph" w:styleId="BalloonText">
    <w:name w:val="Balloon Text"/>
    <w:basedOn w:val="Normal"/>
    <w:semiHidden/>
    <w:rsid w:val="002E00CA"/>
    <w:rPr>
      <w:rFonts w:ascii="Tahoma" w:hAnsi="Tahoma" w:cs="Tahoma"/>
      <w:sz w:val="16"/>
      <w:szCs w:val="16"/>
    </w:rPr>
  </w:style>
  <w:style w:type="paragraph" w:styleId="ListParagraph">
    <w:name w:val="List Paragraph"/>
    <w:basedOn w:val="Normal"/>
    <w:uiPriority w:val="34"/>
    <w:qFormat/>
    <w:rsid w:val="00F4518A"/>
    <w:pPr>
      <w:ind w:left="720"/>
      <w:contextualSpacing/>
    </w:pPr>
  </w:style>
  <w:style w:type="paragraph" w:styleId="NoSpacing">
    <w:name w:val="No Spacing"/>
    <w:uiPriority w:val="1"/>
    <w:qFormat/>
    <w:rsid w:val="00B23F19"/>
    <w:rPr>
      <w:rFonts w:asciiTheme="minorHAnsi" w:eastAsiaTheme="minorHAnsi" w:hAnsiTheme="minorHAnsi" w:cstheme="minorBidi"/>
      <w:sz w:val="22"/>
      <w:szCs w:val="22"/>
      <w:lang w:eastAsia="en-US"/>
    </w:rPr>
  </w:style>
  <w:style w:type="paragraph" w:styleId="ListBullet">
    <w:name w:val="List Bullet"/>
    <w:basedOn w:val="Normal"/>
    <w:autoRedefine/>
    <w:rsid w:val="000F411E"/>
    <w:pPr>
      <w:numPr>
        <w:numId w:val="1"/>
      </w:numPr>
      <w:tabs>
        <w:tab w:val="clear" w:pos="360"/>
        <w:tab w:val="num" w:pos="851"/>
      </w:tabs>
      <w:spacing w:before="120"/>
      <w:ind w:left="850" w:hanging="425"/>
      <w:jc w:val="both"/>
    </w:pPr>
    <w:rPr>
      <w:rFonts w:ascii="Verdana" w:hAnsi="Verdana"/>
      <w:szCs w:val="20"/>
    </w:rPr>
  </w:style>
  <w:style w:type="character" w:styleId="Emphasis">
    <w:name w:val="Emphasis"/>
    <w:aliases w:val="Figure heading"/>
    <w:basedOn w:val="DefaultParagraphFont"/>
    <w:qFormat/>
    <w:rsid w:val="00BD48AE"/>
    <w:rPr>
      <w:rFonts w:ascii="Verdana" w:hAnsi="Verdana"/>
      <w:b/>
      <w:iCs/>
    </w:rPr>
  </w:style>
  <w:style w:type="character" w:styleId="Strong">
    <w:name w:val="Strong"/>
    <w:basedOn w:val="DefaultParagraphFont"/>
    <w:qFormat/>
    <w:rsid w:val="00D969A6"/>
    <w:rPr>
      <w:szCs w:val="22"/>
    </w:rPr>
  </w:style>
  <w:style w:type="paragraph" w:styleId="Subtitle">
    <w:name w:val="Subtitle"/>
    <w:basedOn w:val="Normal"/>
    <w:next w:val="Normal"/>
    <w:link w:val="SubtitleChar"/>
    <w:qFormat/>
    <w:rsid w:val="007138C1"/>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rsid w:val="007138C1"/>
    <w:rPr>
      <w:rFonts w:asciiTheme="majorHAnsi" w:eastAsiaTheme="majorEastAsia" w:hAnsiTheme="majorHAnsi" w:cstheme="majorBidi"/>
      <w:i/>
      <w:iCs/>
      <w:color w:val="4F81BD" w:themeColor="accent1"/>
      <w:spacing w:val="15"/>
      <w:sz w:val="24"/>
      <w:szCs w:val="24"/>
      <w:lang w:eastAsia="en-US"/>
    </w:rPr>
  </w:style>
  <w:style w:type="character" w:styleId="CommentReference">
    <w:name w:val="annotation reference"/>
    <w:basedOn w:val="DefaultParagraphFont"/>
    <w:rsid w:val="00D27F6D"/>
    <w:rPr>
      <w:sz w:val="16"/>
      <w:szCs w:val="16"/>
    </w:rPr>
  </w:style>
  <w:style w:type="paragraph" w:styleId="CommentText">
    <w:name w:val="annotation text"/>
    <w:basedOn w:val="Normal"/>
    <w:link w:val="CommentTextChar"/>
    <w:rsid w:val="00D27F6D"/>
    <w:rPr>
      <w:sz w:val="20"/>
      <w:szCs w:val="20"/>
    </w:rPr>
  </w:style>
  <w:style w:type="character" w:customStyle="1" w:styleId="CommentTextChar">
    <w:name w:val="Comment Text Char"/>
    <w:basedOn w:val="DefaultParagraphFont"/>
    <w:link w:val="CommentText"/>
    <w:rsid w:val="00D27F6D"/>
    <w:rPr>
      <w:lang w:eastAsia="en-US"/>
    </w:rPr>
  </w:style>
  <w:style w:type="paragraph" w:styleId="CommentSubject">
    <w:name w:val="annotation subject"/>
    <w:basedOn w:val="CommentText"/>
    <w:next w:val="CommentText"/>
    <w:link w:val="CommentSubjectChar"/>
    <w:rsid w:val="00D27F6D"/>
    <w:rPr>
      <w:b/>
      <w:bCs/>
    </w:rPr>
  </w:style>
  <w:style w:type="character" w:customStyle="1" w:styleId="CommentSubjectChar">
    <w:name w:val="Comment Subject Char"/>
    <w:basedOn w:val="CommentTextChar"/>
    <w:link w:val="CommentSubject"/>
    <w:rsid w:val="00D27F6D"/>
    <w:rPr>
      <w:b/>
      <w:bCs/>
    </w:rPr>
  </w:style>
  <w:style w:type="paragraph" w:customStyle="1" w:styleId="PHW1">
    <w:name w:val="PHW1"/>
    <w:basedOn w:val="Normal"/>
    <w:link w:val="PHW1Char"/>
    <w:autoRedefine/>
    <w:qFormat/>
    <w:rsid w:val="00963256"/>
    <w:pPr>
      <w:keepNext/>
      <w:numPr>
        <w:numId w:val="3"/>
      </w:numPr>
      <w:spacing w:before="360" w:after="360"/>
      <w:ind w:hanging="1146"/>
      <w:outlineLvl w:val="0"/>
    </w:pPr>
    <w:rPr>
      <w:rFonts w:ascii="Verdana" w:hAnsi="Verdana"/>
      <w:b/>
      <w:color w:val="003366"/>
      <w:kern w:val="28"/>
      <w:sz w:val="32"/>
      <w:szCs w:val="20"/>
    </w:rPr>
  </w:style>
  <w:style w:type="paragraph" w:styleId="Revision">
    <w:name w:val="Revision"/>
    <w:hidden/>
    <w:uiPriority w:val="99"/>
    <w:semiHidden/>
    <w:rsid w:val="00216A7C"/>
    <w:rPr>
      <w:sz w:val="24"/>
      <w:szCs w:val="24"/>
      <w:lang w:eastAsia="en-US"/>
    </w:rPr>
  </w:style>
  <w:style w:type="paragraph" w:customStyle="1" w:styleId="Default">
    <w:name w:val="Default"/>
    <w:rsid w:val="00AE72AB"/>
    <w:pPr>
      <w:autoSpaceDE w:val="0"/>
      <w:autoSpaceDN w:val="0"/>
      <w:adjustRightInd w:val="0"/>
    </w:pPr>
    <w:rPr>
      <w:rFonts w:ascii="Verdana" w:hAnsi="Verdana" w:cs="Verdana"/>
      <w:color w:val="000000"/>
      <w:sz w:val="24"/>
      <w:szCs w:val="24"/>
    </w:rPr>
  </w:style>
  <w:style w:type="paragraph" w:customStyle="1" w:styleId="Obsheading">
    <w:name w:val="Obs heading"/>
    <w:basedOn w:val="PHW1"/>
    <w:link w:val="ObsheadingChar"/>
    <w:qFormat/>
    <w:rsid w:val="00667363"/>
    <w:pPr>
      <w:numPr>
        <w:numId w:val="4"/>
      </w:numPr>
    </w:pPr>
  </w:style>
  <w:style w:type="character" w:customStyle="1" w:styleId="PHW1Char">
    <w:name w:val="PHW1 Char"/>
    <w:basedOn w:val="DefaultParagraphFont"/>
    <w:link w:val="PHW1"/>
    <w:rsid w:val="00963256"/>
    <w:rPr>
      <w:rFonts w:ascii="Verdana" w:hAnsi="Verdana"/>
      <w:b/>
      <w:color w:val="003366"/>
      <w:kern w:val="28"/>
      <w:sz w:val="32"/>
      <w:lang w:eastAsia="en-US"/>
    </w:rPr>
  </w:style>
  <w:style w:type="character" w:customStyle="1" w:styleId="ObsheadingChar">
    <w:name w:val="Obs heading Char"/>
    <w:basedOn w:val="PHW1Char"/>
    <w:link w:val="Obsheading"/>
    <w:rsid w:val="00BC3F7E"/>
  </w:style>
</w:styles>
</file>

<file path=word/webSettings.xml><?xml version="1.0" encoding="utf-8"?>
<w:webSettings xmlns:r="http://schemas.openxmlformats.org/officeDocument/2006/relationships" xmlns:w="http://schemas.openxmlformats.org/wordprocessingml/2006/main">
  <w:divs>
    <w:div w:id="179591506">
      <w:bodyDiv w:val="1"/>
      <w:marLeft w:val="0"/>
      <w:marRight w:val="0"/>
      <w:marTop w:val="0"/>
      <w:marBottom w:val="0"/>
      <w:divBdr>
        <w:top w:val="none" w:sz="0" w:space="0" w:color="auto"/>
        <w:left w:val="none" w:sz="0" w:space="0" w:color="auto"/>
        <w:bottom w:val="none" w:sz="0" w:space="0" w:color="auto"/>
        <w:right w:val="none" w:sz="0" w:space="0" w:color="auto"/>
      </w:divBdr>
    </w:div>
    <w:div w:id="236674841">
      <w:bodyDiv w:val="1"/>
      <w:marLeft w:val="0"/>
      <w:marRight w:val="0"/>
      <w:marTop w:val="0"/>
      <w:marBottom w:val="0"/>
      <w:divBdr>
        <w:top w:val="none" w:sz="0" w:space="0" w:color="auto"/>
        <w:left w:val="none" w:sz="0" w:space="0" w:color="auto"/>
        <w:bottom w:val="none" w:sz="0" w:space="0" w:color="auto"/>
        <w:right w:val="none" w:sz="0" w:space="0" w:color="auto"/>
      </w:divBdr>
    </w:div>
    <w:div w:id="393627999">
      <w:bodyDiv w:val="1"/>
      <w:marLeft w:val="0"/>
      <w:marRight w:val="0"/>
      <w:marTop w:val="0"/>
      <w:marBottom w:val="0"/>
      <w:divBdr>
        <w:top w:val="none" w:sz="0" w:space="0" w:color="auto"/>
        <w:left w:val="none" w:sz="0" w:space="0" w:color="auto"/>
        <w:bottom w:val="none" w:sz="0" w:space="0" w:color="auto"/>
        <w:right w:val="none" w:sz="0" w:space="0" w:color="auto"/>
      </w:divBdr>
      <w:divsChild>
        <w:div w:id="876551007">
          <w:marLeft w:val="0"/>
          <w:marRight w:val="0"/>
          <w:marTop w:val="0"/>
          <w:marBottom w:val="0"/>
          <w:divBdr>
            <w:top w:val="none" w:sz="0" w:space="0" w:color="auto"/>
            <w:left w:val="none" w:sz="0" w:space="0" w:color="auto"/>
            <w:bottom w:val="none" w:sz="0" w:space="0" w:color="auto"/>
            <w:right w:val="none" w:sz="0" w:space="0" w:color="auto"/>
          </w:divBdr>
        </w:div>
      </w:divsChild>
    </w:div>
    <w:div w:id="511184313">
      <w:bodyDiv w:val="1"/>
      <w:marLeft w:val="0"/>
      <w:marRight w:val="0"/>
      <w:marTop w:val="0"/>
      <w:marBottom w:val="0"/>
      <w:divBdr>
        <w:top w:val="none" w:sz="0" w:space="0" w:color="auto"/>
        <w:left w:val="none" w:sz="0" w:space="0" w:color="auto"/>
        <w:bottom w:val="none" w:sz="0" w:space="0" w:color="auto"/>
        <w:right w:val="none" w:sz="0" w:space="0" w:color="auto"/>
      </w:divBdr>
    </w:div>
    <w:div w:id="634213334">
      <w:bodyDiv w:val="1"/>
      <w:marLeft w:val="0"/>
      <w:marRight w:val="0"/>
      <w:marTop w:val="0"/>
      <w:marBottom w:val="0"/>
      <w:divBdr>
        <w:top w:val="none" w:sz="0" w:space="0" w:color="auto"/>
        <w:left w:val="none" w:sz="0" w:space="0" w:color="auto"/>
        <w:bottom w:val="none" w:sz="0" w:space="0" w:color="auto"/>
        <w:right w:val="none" w:sz="0" w:space="0" w:color="auto"/>
      </w:divBdr>
    </w:div>
    <w:div w:id="915938911">
      <w:bodyDiv w:val="1"/>
      <w:marLeft w:val="0"/>
      <w:marRight w:val="0"/>
      <w:marTop w:val="0"/>
      <w:marBottom w:val="0"/>
      <w:divBdr>
        <w:top w:val="none" w:sz="0" w:space="0" w:color="auto"/>
        <w:left w:val="none" w:sz="0" w:space="0" w:color="auto"/>
        <w:bottom w:val="none" w:sz="0" w:space="0" w:color="auto"/>
        <w:right w:val="none" w:sz="0" w:space="0" w:color="auto"/>
      </w:divBdr>
    </w:div>
    <w:div w:id="1149323940">
      <w:bodyDiv w:val="1"/>
      <w:marLeft w:val="0"/>
      <w:marRight w:val="0"/>
      <w:marTop w:val="0"/>
      <w:marBottom w:val="0"/>
      <w:divBdr>
        <w:top w:val="none" w:sz="0" w:space="0" w:color="auto"/>
        <w:left w:val="none" w:sz="0" w:space="0" w:color="auto"/>
        <w:bottom w:val="none" w:sz="0" w:space="0" w:color="auto"/>
        <w:right w:val="none" w:sz="0" w:space="0" w:color="auto"/>
      </w:divBdr>
    </w:div>
    <w:div w:id="1177232561">
      <w:bodyDiv w:val="1"/>
      <w:marLeft w:val="0"/>
      <w:marRight w:val="0"/>
      <w:marTop w:val="0"/>
      <w:marBottom w:val="0"/>
      <w:divBdr>
        <w:top w:val="none" w:sz="0" w:space="0" w:color="auto"/>
        <w:left w:val="none" w:sz="0" w:space="0" w:color="auto"/>
        <w:bottom w:val="none" w:sz="0" w:space="0" w:color="auto"/>
        <w:right w:val="none" w:sz="0" w:space="0" w:color="auto"/>
      </w:divBdr>
    </w:div>
    <w:div w:id="1198541740">
      <w:bodyDiv w:val="1"/>
      <w:marLeft w:val="0"/>
      <w:marRight w:val="0"/>
      <w:marTop w:val="0"/>
      <w:marBottom w:val="0"/>
      <w:divBdr>
        <w:top w:val="none" w:sz="0" w:space="0" w:color="auto"/>
        <w:left w:val="none" w:sz="0" w:space="0" w:color="auto"/>
        <w:bottom w:val="none" w:sz="0" w:space="0" w:color="auto"/>
        <w:right w:val="none" w:sz="0" w:space="0" w:color="auto"/>
      </w:divBdr>
    </w:div>
    <w:div w:id="1441029077">
      <w:bodyDiv w:val="1"/>
      <w:marLeft w:val="0"/>
      <w:marRight w:val="0"/>
      <w:marTop w:val="0"/>
      <w:marBottom w:val="0"/>
      <w:divBdr>
        <w:top w:val="none" w:sz="0" w:space="0" w:color="auto"/>
        <w:left w:val="none" w:sz="0" w:space="0" w:color="auto"/>
        <w:bottom w:val="none" w:sz="0" w:space="0" w:color="auto"/>
        <w:right w:val="none" w:sz="0" w:space="0" w:color="auto"/>
      </w:divBdr>
      <w:divsChild>
        <w:div w:id="1912735166">
          <w:marLeft w:val="0"/>
          <w:marRight w:val="0"/>
          <w:marTop w:val="0"/>
          <w:marBottom w:val="0"/>
          <w:divBdr>
            <w:top w:val="none" w:sz="0" w:space="0" w:color="auto"/>
            <w:left w:val="none" w:sz="0" w:space="0" w:color="auto"/>
            <w:bottom w:val="none" w:sz="0" w:space="0" w:color="auto"/>
            <w:right w:val="none" w:sz="0" w:space="0" w:color="auto"/>
          </w:divBdr>
        </w:div>
      </w:divsChild>
    </w:div>
    <w:div w:id="1640574642">
      <w:bodyDiv w:val="1"/>
      <w:marLeft w:val="0"/>
      <w:marRight w:val="0"/>
      <w:marTop w:val="0"/>
      <w:marBottom w:val="0"/>
      <w:divBdr>
        <w:top w:val="none" w:sz="0" w:space="0" w:color="auto"/>
        <w:left w:val="none" w:sz="0" w:space="0" w:color="auto"/>
        <w:bottom w:val="none" w:sz="0" w:space="0" w:color="auto"/>
        <w:right w:val="none" w:sz="0" w:space="0" w:color="auto"/>
      </w:divBdr>
    </w:div>
    <w:div w:id="1689328533">
      <w:bodyDiv w:val="1"/>
      <w:marLeft w:val="0"/>
      <w:marRight w:val="0"/>
      <w:marTop w:val="0"/>
      <w:marBottom w:val="0"/>
      <w:divBdr>
        <w:top w:val="none" w:sz="0" w:space="0" w:color="auto"/>
        <w:left w:val="none" w:sz="0" w:space="0" w:color="auto"/>
        <w:bottom w:val="none" w:sz="0" w:space="0" w:color="auto"/>
        <w:right w:val="none" w:sz="0" w:space="0" w:color="auto"/>
      </w:divBdr>
    </w:div>
    <w:div w:id="1793592318">
      <w:bodyDiv w:val="1"/>
      <w:marLeft w:val="0"/>
      <w:marRight w:val="0"/>
      <w:marTop w:val="0"/>
      <w:marBottom w:val="0"/>
      <w:divBdr>
        <w:top w:val="none" w:sz="0" w:space="0" w:color="auto"/>
        <w:left w:val="none" w:sz="0" w:space="0" w:color="auto"/>
        <w:bottom w:val="none" w:sz="0" w:space="0" w:color="auto"/>
        <w:right w:val="none" w:sz="0" w:space="0" w:color="auto"/>
      </w:divBdr>
    </w:div>
    <w:div w:id="1814173402">
      <w:bodyDiv w:val="1"/>
      <w:marLeft w:val="0"/>
      <w:marRight w:val="0"/>
      <w:marTop w:val="0"/>
      <w:marBottom w:val="0"/>
      <w:divBdr>
        <w:top w:val="none" w:sz="0" w:space="0" w:color="auto"/>
        <w:left w:val="none" w:sz="0" w:space="0" w:color="auto"/>
        <w:bottom w:val="none" w:sz="0" w:space="0" w:color="auto"/>
        <w:right w:val="none" w:sz="0" w:space="0" w:color="auto"/>
      </w:divBdr>
    </w:div>
    <w:div w:id="2016951803">
      <w:bodyDiv w:val="1"/>
      <w:marLeft w:val="0"/>
      <w:marRight w:val="0"/>
      <w:marTop w:val="0"/>
      <w:marBottom w:val="0"/>
      <w:divBdr>
        <w:top w:val="none" w:sz="0" w:space="0" w:color="auto"/>
        <w:left w:val="none" w:sz="0" w:space="0" w:color="auto"/>
        <w:bottom w:val="none" w:sz="0" w:space="0" w:color="auto"/>
        <w:right w:val="none" w:sz="0" w:space="0" w:color="auto"/>
      </w:divBdr>
      <w:divsChild>
        <w:div w:id="1745183677">
          <w:marLeft w:val="0"/>
          <w:marRight w:val="0"/>
          <w:marTop w:val="0"/>
          <w:marBottom w:val="0"/>
          <w:divBdr>
            <w:top w:val="none" w:sz="0" w:space="0" w:color="auto"/>
            <w:left w:val="none" w:sz="0" w:space="0" w:color="auto"/>
            <w:bottom w:val="none" w:sz="0" w:space="0" w:color="auto"/>
            <w:right w:val="none" w:sz="0" w:space="0" w:color="auto"/>
          </w:divBdr>
          <w:divsChild>
            <w:div w:id="1378550917">
              <w:marLeft w:val="0"/>
              <w:marRight w:val="0"/>
              <w:marTop w:val="0"/>
              <w:marBottom w:val="0"/>
              <w:divBdr>
                <w:top w:val="none" w:sz="0" w:space="0" w:color="auto"/>
                <w:left w:val="none" w:sz="0" w:space="0" w:color="auto"/>
                <w:bottom w:val="none" w:sz="0" w:space="0" w:color="auto"/>
                <w:right w:val="none" w:sz="0" w:space="0" w:color="auto"/>
              </w:divBdr>
              <w:divsChild>
                <w:div w:id="182672826">
                  <w:marLeft w:val="0"/>
                  <w:marRight w:val="0"/>
                  <w:marTop w:val="0"/>
                  <w:marBottom w:val="250"/>
                  <w:divBdr>
                    <w:top w:val="none" w:sz="0" w:space="0" w:color="auto"/>
                    <w:left w:val="none" w:sz="0" w:space="0" w:color="auto"/>
                    <w:bottom w:val="none" w:sz="0" w:space="0" w:color="auto"/>
                    <w:right w:val="none" w:sz="0" w:space="0" w:color="auto"/>
                  </w:divBdr>
                  <w:divsChild>
                    <w:div w:id="1394620897">
                      <w:marLeft w:val="0"/>
                      <w:marRight w:val="0"/>
                      <w:marTop w:val="125"/>
                      <w:marBottom w:val="0"/>
                      <w:divBdr>
                        <w:top w:val="none" w:sz="0" w:space="0" w:color="auto"/>
                        <w:left w:val="none" w:sz="0" w:space="0" w:color="auto"/>
                        <w:bottom w:val="none" w:sz="0" w:space="0" w:color="auto"/>
                        <w:right w:val="none" w:sz="0" w:space="0" w:color="auto"/>
                      </w:divBdr>
                      <w:divsChild>
                        <w:div w:id="401221685">
                          <w:marLeft w:val="0"/>
                          <w:marRight w:val="0"/>
                          <w:marTop w:val="0"/>
                          <w:marBottom w:val="0"/>
                          <w:divBdr>
                            <w:top w:val="none" w:sz="0" w:space="0" w:color="auto"/>
                            <w:left w:val="none" w:sz="0" w:space="0" w:color="auto"/>
                            <w:bottom w:val="none" w:sz="0" w:space="0" w:color="auto"/>
                            <w:right w:val="none" w:sz="0" w:space="0" w:color="auto"/>
                          </w:divBdr>
                          <w:divsChild>
                            <w:div w:id="196820333">
                              <w:marLeft w:val="0"/>
                              <w:marRight w:val="0"/>
                              <w:marTop w:val="0"/>
                              <w:marBottom w:val="125"/>
                              <w:divBdr>
                                <w:top w:val="none" w:sz="0" w:space="0" w:color="auto"/>
                                <w:left w:val="none" w:sz="0" w:space="0" w:color="auto"/>
                                <w:bottom w:val="none" w:sz="0" w:space="0" w:color="auto"/>
                                <w:right w:val="none" w:sz="0" w:space="0" w:color="auto"/>
                              </w:divBdr>
                            </w:div>
                          </w:divsChild>
                        </w:div>
                        <w:div w:id="128280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12.emf"/><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3.emf"/><Relationship Id="rId25" Type="http://schemas.openxmlformats.org/officeDocument/2006/relationships/image" Target="media/image11.emf"/><Relationship Id="rId2" Type="http://schemas.openxmlformats.org/officeDocument/2006/relationships/numbering" Target="numbering.xml"/><Relationship Id="rId16" Type="http://schemas.openxmlformats.org/officeDocument/2006/relationships/hyperlink" Target="http://www.wales.nhs.uk/sitesplus/922/page/65976" TargetMode="External"/><Relationship Id="rId20" Type="http://schemas.openxmlformats.org/officeDocument/2006/relationships/image" Target="media/image6.emf"/><Relationship Id="rId29" Type="http://schemas.openxmlformats.org/officeDocument/2006/relationships/image" Target="media/image1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0.em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9.emf"/><Relationship Id="rId28" Type="http://schemas.openxmlformats.org/officeDocument/2006/relationships/image" Target="media/image14.wmf"/><Relationship Id="rId10" Type="http://schemas.openxmlformats.org/officeDocument/2006/relationships/header" Target="header1.xml"/><Relationship Id="rId19" Type="http://schemas.openxmlformats.org/officeDocument/2006/relationships/image" Target="media/image5.e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83465D-3053-45F4-AC15-622E074A0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1867</Words>
  <Characters>9544</Characters>
  <Application>Microsoft Office Word</Application>
  <DocSecurity>0</DocSecurity>
  <Lines>79</Lines>
  <Paragraphs>22</Paragraphs>
  <ScaleCrop>false</ScaleCrop>
  <Company/>
  <LinksUpToDate>false</LinksUpToDate>
  <CharactersWithSpaces>11389</CharactersWithSpaces>
  <SharedDoc>false</SharedDoc>
  <HLinks>
    <vt:vector size="456" baseType="variant">
      <vt:variant>
        <vt:i4>3735642</vt:i4>
      </vt:variant>
      <vt:variant>
        <vt:i4>306</vt:i4>
      </vt:variant>
      <vt:variant>
        <vt:i4>0</vt:i4>
      </vt:variant>
      <vt:variant>
        <vt:i4>5</vt:i4>
      </vt:variant>
      <vt:variant>
        <vt:lpwstr>http://www.euro.who.int/datapublications/Publications/Catalogue/20080616_1</vt:lpwstr>
      </vt:variant>
      <vt:variant>
        <vt:lpwstr/>
      </vt:variant>
      <vt:variant>
        <vt:i4>4390936</vt:i4>
      </vt:variant>
      <vt:variant>
        <vt:i4>303</vt:i4>
      </vt:variant>
      <vt:variant>
        <vt:i4>0</vt:i4>
      </vt:variant>
      <vt:variant>
        <vt:i4>5</vt:i4>
      </vt:variant>
      <vt:variant>
        <vt:lpwstr>http://www.natcen.ac.uk/</vt:lpwstr>
      </vt:variant>
      <vt:variant>
        <vt:lpwstr/>
      </vt:variant>
      <vt:variant>
        <vt:i4>5898310</vt:i4>
      </vt:variant>
      <vt:variant>
        <vt:i4>300</vt:i4>
      </vt:variant>
      <vt:variant>
        <vt:i4>0</vt:i4>
      </vt:variant>
      <vt:variant>
        <vt:i4>5</vt:i4>
      </vt:variant>
      <vt:variant>
        <vt:lpwstr>http://wales.gov.uk/docs/statistics/2009/090827sb492009en.pdf?lang=en</vt:lpwstr>
      </vt:variant>
      <vt:variant>
        <vt:lpwstr/>
      </vt:variant>
      <vt:variant>
        <vt:i4>7012469</vt:i4>
      </vt:variant>
      <vt:variant>
        <vt:i4>297</vt:i4>
      </vt:variant>
      <vt:variant>
        <vt:i4>0</vt:i4>
      </vt:variant>
      <vt:variant>
        <vt:i4>5</vt:i4>
      </vt:variant>
      <vt:variant>
        <vt:lpwstr>http://www.statistics.gov.uk/statbase/Product.asp?vlnk=15106&amp;More=Y</vt:lpwstr>
      </vt:variant>
      <vt:variant>
        <vt:lpwstr/>
      </vt:variant>
      <vt:variant>
        <vt:i4>5898304</vt:i4>
      </vt:variant>
      <vt:variant>
        <vt:i4>294</vt:i4>
      </vt:variant>
      <vt:variant>
        <vt:i4>0</vt:i4>
      </vt:variant>
      <vt:variant>
        <vt:i4>5</vt:i4>
      </vt:variant>
      <vt:variant>
        <vt:lpwstr>http://www.statistics.gov.uk/statbase/Product.asp?vlnk=601&amp;More=N</vt:lpwstr>
      </vt:variant>
      <vt:variant>
        <vt:lpwstr/>
      </vt:variant>
      <vt:variant>
        <vt:i4>2949247</vt:i4>
      </vt:variant>
      <vt:variant>
        <vt:i4>291</vt:i4>
      </vt:variant>
      <vt:variant>
        <vt:i4>0</vt:i4>
      </vt:variant>
      <vt:variant>
        <vt:i4>5</vt:i4>
      </vt:variant>
      <vt:variant>
        <vt:lpwstr>http://www.statistics.gov.uk/about/data/methodology/specific/population/PEMethodology/</vt:lpwstr>
      </vt:variant>
      <vt:variant>
        <vt:lpwstr/>
      </vt:variant>
      <vt:variant>
        <vt:i4>3735642</vt:i4>
      </vt:variant>
      <vt:variant>
        <vt:i4>288</vt:i4>
      </vt:variant>
      <vt:variant>
        <vt:i4>0</vt:i4>
      </vt:variant>
      <vt:variant>
        <vt:i4>5</vt:i4>
      </vt:variant>
      <vt:variant>
        <vt:lpwstr>http://www.euro.who.int/datapublications/Publications/Catalogue/20080616_1</vt:lpwstr>
      </vt:variant>
      <vt:variant>
        <vt:lpwstr/>
      </vt:variant>
      <vt:variant>
        <vt:i4>6029338</vt:i4>
      </vt:variant>
      <vt:variant>
        <vt:i4>285</vt:i4>
      </vt:variant>
      <vt:variant>
        <vt:i4>0</vt:i4>
      </vt:variant>
      <vt:variant>
        <vt:i4>5</vt:i4>
      </vt:variant>
      <vt:variant>
        <vt:lpwstr>http://www.hbsc.org/overview.html</vt:lpwstr>
      </vt:variant>
      <vt:variant>
        <vt:lpwstr/>
      </vt:variant>
      <vt:variant>
        <vt:i4>8257577</vt:i4>
      </vt:variant>
      <vt:variant>
        <vt:i4>282</vt:i4>
      </vt:variant>
      <vt:variant>
        <vt:i4>0</vt:i4>
      </vt:variant>
      <vt:variant>
        <vt:i4>5</vt:i4>
      </vt:variant>
      <vt:variant>
        <vt:lpwstr>http://www.hbsc.org/index.html</vt:lpwstr>
      </vt:variant>
      <vt:variant>
        <vt:lpwstr/>
      </vt:variant>
      <vt:variant>
        <vt:i4>6226034</vt:i4>
      </vt:variant>
      <vt:variant>
        <vt:i4>279</vt:i4>
      </vt:variant>
      <vt:variant>
        <vt:i4>0</vt:i4>
      </vt:variant>
      <vt:variant>
        <vt:i4>5</vt:i4>
      </vt:variant>
      <vt:variant>
        <vt:lpwstr>http://www.apho.org.uk/default.aspx?QN=HP_USERGUIDE</vt:lpwstr>
      </vt:variant>
      <vt:variant>
        <vt:lpwstr/>
      </vt:variant>
      <vt:variant>
        <vt:i4>6684724</vt:i4>
      </vt:variant>
      <vt:variant>
        <vt:i4>276</vt:i4>
      </vt:variant>
      <vt:variant>
        <vt:i4>0</vt:i4>
      </vt:variant>
      <vt:variant>
        <vt:i4>5</vt:i4>
      </vt:variant>
      <vt:variant>
        <vt:lpwstr>http://www.cardiff.ac.uk/dentl/resources/Protocol5yrold0506.doc</vt:lpwstr>
      </vt:variant>
      <vt:variant>
        <vt:lpwstr/>
      </vt:variant>
      <vt:variant>
        <vt:i4>851969</vt:i4>
      </vt:variant>
      <vt:variant>
        <vt:i4>273</vt:i4>
      </vt:variant>
      <vt:variant>
        <vt:i4>0</vt:i4>
      </vt:variant>
      <vt:variant>
        <vt:i4>5</vt:i4>
      </vt:variant>
      <vt:variant>
        <vt:lpwstr>http://www.cardiff.ac.uk/dentl/research/themes/appliedclinicalresearch/epidemiology/oralhealth/index.html</vt:lpwstr>
      </vt:variant>
      <vt:variant>
        <vt:lpwstr/>
      </vt:variant>
      <vt:variant>
        <vt:i4>6226034</vt:i4>
      </vt:variant>
      <vt:variant>
        <vt:i4>270</vt:i4>
      </vt:variant>
      <vt:variant>
        <vt:i4>0</vt:i4>
      </vt:variant>
      <vt:variant>
        <vt:i4>5</vt:i4>
      </vt:variant>
      <vt:variant>
        <vt:lpwstr>http://www.apho.org.uk/default.aspx?QN=HP_USERGUIDE</vt:lpwstr>
      </vt:variant>
      <vt:variant>
        <vt:lpwstr/>
      </vt:variant>
      <vt:variant>
        <vt:i4>2293841</vt:i4>
      </vt:variant>
      <vt:variant>
        <vt:i4>267</vt:i4>
      </vt:variant>
      <vt:variant>
        <vt:i4>0</vt:i4>
      </vt:variant>
      <vt:variant>
        <vt:i4>5</vt:i4>
      </vt:variant>
      <vt:variant>
        <vt:lpwstr>http://www.statistics.gov.uk/downloads/theme_health/conceptions2007/ConceptionsARV2007.pdf</vt:lpwstr>
      </vt:variant>
      <vt:variant>
        <vt:lpwstr/>
      </vt:variant>
      <vt:variant>
        <vt:i4>4915292</vt:i4>
      </vt:variant>
      <vt:variant>
        <vt:i4>264</vt:i4>
      </vt:variant>
      <vt:variant>
        <vt:i4>0</vt:i4>
      </vt:variant>
      <vt:variant>
        <vt:i4>5</vt:i4>
      </vt:variant>
      <vt:variant>
        <vt:lpwstr>http://www.statistics.gov.uk/statbase/product.asp?vlnk=15055</vt:lpwstr>
      </vt:variant>
      <vt:variant>
        <vt:lpwstr/>
      </vt:variant>
      <vt:variant>
        <vt:i4>1769482</vt:i4>
      </vt:variant>
      <vt:variant>
        <vt:i4>261</vt:i4>
      </vt:variant>
      <vt:variant>
        <vt:i4>0</vt:i4>
      </vt:variant>
      <vt:variant>
        <vt:i4>5</vt:i4>
      </vt:variant>
      <vt:variant>
        <vt:lpwstr>http://www.hsw.wales.nhs.uk/</vt:lpwstr>
      </vt:variant>
      <vt:variant>
        <vt:lpwstr/>
      </vt:variant>
      <vt:variant>
        <vt:i4>2162801</vt:i4>
      </vt:variant>
      <vt:variant>
        <vt:i4>258</vt:i4>
      </vt:variant>
      <vt:variant>
        <vt:i4>0</vt:i4>
      </vt:variant>
      <vt:variant>
        <vt:i4>5</vt:i4>
      </vt:variant>
      <vt:variant>
        <vt:lpwstr>http://www2.nphs.wales.nhs.uk:8080/SSWTeamDocs.nsf/61c1e930f9121fd080256f2a004937ed/ade58eff9a37999380257680003e14ac/$FILE/SSW Annual Report 2008-09 Final.pdf</vt:lpwstr>
      </vt:variant>
      <vt:variant>
        <vt:lpwstr/>
      </vt:variant>
      <vt:variant>
        <vt:i4>3145824</vt:i4>
      </vt:variant>
      <vt:variant>
        <vt:i4>255</vt:i4>
      </vt:variant>
      <vt:variant>
        <vt:i4>0</vt:i4>
      </vt:variant>
      <vt:variant>
        <vt:i4>5</vt:i4>
      </vt:variant>
      <vt:variant>
        <vt:lpwstr>http://www.cdc.gov/nchs/data/ahcd/agingtrends/09causes.htm</vt:lpwstr>
      </vt:variant>
      <vt:variant>
        <vt:lpwstr/>
      </vt:variant>
      <vt:variant>
        <vt:i4>6750253</vt:i4>
      </vt:variant>
      <vt:variant>
        <vt:i4>252</vt:i4>
      </vt:variant>
      <vt:variant>
        <vt:i4>0</vt:i4>
      </vt:variant>
      <vt:variant>
        <vt:i4>5</vt:i4>
      </vt:variant>
      <vt:variant>
        <vt:lpwstr>http://www.statistics.gov.uk/downloads/theme_health/DR2008/DR_08.pdf</vt:lpwstr>
      </vt:variant>
      <vt:variant>
        <vt:lpwstr/>
      </vt:variant>
      <vt:variant>
        <vt:i4>7405673</vt:i4>
      </vt:variant>
      <vt:variant>
        <vt:i4>249</vt:i4>
      </vt:variant>
      <vt:variant>
        <vt:i4>0</vt:i4>
      </vt:variant>
      <vt:variant>
        <vt:i4>5</vt:i4>
      </vt:variant>
      <vt:variant>
        <vt:lpwstr>http://www.statswales.wales.gov.uk/ReportFolders/reportFolders.aspx</vt:lpwstr>
      </vt:variant>
      <vt:variant>
        <vt:lpwstr/>
      </vt:variant>
      <vt:variant>
        <vt:i4>7471138</vt:i4>
      </vt:variant>
      <vt:variant>
        <vt:i4>246</vt:i4>
      </vt:variant>
      <vt:variant>
        <vt:i4>0</vt:i4>
      </vt:variant>
      <vt:variant>
        <vt:i4>5</vt:i4>
      </vt:variant>
      <vt:variant>
        <vt:lpwstr>http://www.statistics.gov.uk/hub/health-social-care/health-of-the-population/causes-of-death/index.html</vt:lpwstr>
      </vt:variant>
      <vt:variant>
        <vt:lpwstr/>
      </vt:variant>
      <vt:variant>
        <vt:i4>6357052</vt:i4>
      </vt:variant>
      <vt:variant>
        <vt:i4>243</vt:i4>
      </vt:variant>
      <vt:variant>
        <vt:i4>0</vt:i4>
      </vt:variant>
      <vt:variant>
        <vt:i4>5</vt:i4>
      </vt:variant>
      <vt:variant>
        <vt:lpwstr>http://www.wales.gov.uk/statistics</vt:lpwstr>
      </vt:variant>
      <vt:variant>
        <vt:lpwstr/>
      </vt:variant>
      <vt:variant>
        <vt:i4>5963845</vt:i4>
      </vt:variant>
      <vt:variant>
        <vt:i4>240</vt:i4>
      </vt:variant>
      <vt:variant>
        <vt:i4>0</vt:i4>
      </vt:variant>
      <vt:variant>
        <vt:i4>5</vt:i4>
      </vt:variant>
      <vt:variant>
        <vt:lpwstr>http://wales.gov.uk/docs/statistics/2009/090929sb552009en.pdf?lang=en</vt:lpwstr>
      </vt:variant>
      <vt:variant>
        <vt:lpwstr/>
      </vt:variant>
      <vt:variant>
        <vt:i4>4784213</vt:i4>
      </vt:variant>
      <vt:variant>
        <vt:i4>237</vt:i4>
      </vt:variant>
      <vt:variant>
        <vt:i4>0</vt:i4>
      </vt:variant>
      <vt:variant>
        <vt:i4>5</vt:i4>
      </vt:variant>
      <vt:variant>
        <vt:lpwstr>http://wales.gov.uk/topics/statistics/publications/healthsurvey2008/?lang=en</vt:lpwstr>
      </vt:variant>
      <vt:variant>
        <vt:lpwstr/>
      </vt:variant>
      <vt:variant>
        <vt:i4>327693</vt:i4>
      </vt:variant>
      <vt:variant>
        <vt:i4>234</vt:i4>
      </vt:variant>
      <vt:variant>
        <vt:i4>0</vt:i4>
      </vt:variant>
      <vt:variant>
        <vt:i4>5</vt:i4>
      </vt:variant>
      <vt:variant>
        <vt:lpwstr>http://wales.gov.uk/topics/statistics/theme/health/health-survey/results/?skip=1&amp;lang=en</vt:lpwstr>
      </vt:variant>
      <vt:variant>
        <vt:lpwstr/>
      </vt:variant>
      <vt:variant>
        <vt:i4>4390936</vt:i4>
      </vt:variant>
      <vt:variant>
        <vt:i4>231</vt:i4>
      </vt:variant>
      <vt:variant>
        <vt:i4>0</vt:i4>
      </vt:variant>
      <vt:variant>
        <vt:i4>5</vt:i4>
      </vt:variant>
      <vt:variant>
        <vt:lpwstr>http://www.natcen.ac.uk/</vt:lpwstr>
      </vt:variant>
      <vt:variant>
        <vt:lpwstr/>
      </vt:variant>
      <vt:variant>
        <vt:i4>4784213</vt:i4>
      </vt:variant>
      <vt:variant>
        <vt:i4>228</vt:i4>
      </vt:variant>
      <vt:variant>
        <vt:i4>0</vt:i4>
      </vt:variant>
      <vt:variant>
        <vt:i4>5</vt:i4>
      </vt:variant>
      <vt:variant>
        <vt:lpwstr>http://wales.gov.uk/topics/statistics/publications/healthsurvey2008/?lang=en</vt:lpwstr>
      </vt:variant>
      <vt:variant>
        <vt:lpwstr/>
      </vt:variant>
      <vt:variant>
        <vt:i4>851994</vt:i4>
      </vt:variant>
      <vt:variant>
        <vt:i4>225</vt:i4>
      </vt:variant>
      <vt:variant>
        <vt:i4>0</vt:i4>
      </vt:variant>
      <vt:variant>
        <vt:i4>5</vt:i4>
      </vt:variant>
      <vt:variant>
        <vt:lpwstr>http://www.cardiff.ac.uk/dentl/resources/Pictureoforalhealth0506.doc</vt:lpwstr>
      </vt:variant>
      <vt:variant>
        <vt:lpwstr/>
      </vt:variant>
      <vt:variant>
        <vt:i4>6684724</vt:i4>
      </vt:variant>
      <vt:variant>
        <vt:i4>222</vt:i4>
      </vt:variant>
      <vt:variant>
        <vt:i4>0</vt:i4>
      </vt:variant>
      <vt:variant>
        <vt:i4>5</vt:i4>
      </vt:variant>
      <vt:variant>
        <vt:lpwstr>http://www.cardiff.ac.uk/dentl/resources/Protocol5yrold0506.doc</vt:lpwstr>
      </vt:variant>
      <vt:variant>
        <vt:lpwstr/>
      </vt:variant>
      <vt:variant>
        <vt:i4>2293841</vt:i4>
      </vt:variant>
      <vt:variant>
        <vt:i4>219</vt:i4>
      </vt:variant>
      <vt:variant>
        <vt:i4>0</vt:i4>
      </vt:variant>
      <vt:variant>
        <vt:i4>5</vt:i4>
      </vt:variant>
      <vt:variant>
        <vt:lpwstr>http://www.statistics.gov.uk/downloads/theme_health/conceptions2007/ConceptionsARV2007.pdf</vt:lpwstr>
      </vt:variant>
      <vt:variant>
        <vt:lpwstr/>
      </vt:variant>
      <vt:variant>
        <vt:i4>6488096</vt:i4>
      </vt:variant>
      <vt:variant>
        <vt:i4>216</vt:i4>
      </vt:variant>
      <vt:variant>
        <vt:i4>0</vt:i4>
      </vt:variant>
      <vt:variant>
        <vt:i4>5</vt:i4>
      </vt:variant>
      <vt:variant>
        <vt:lpwstr>http://www.apho.org.uk/resource/view.aspx?RID=70746</vt:lpwstr>
      </vt:variant>
      <vt:variant>
        <vt:lpwstr/>
      </vt:variant>
      <vt:variant>
        <vt:i4>4063329</vt:i4>
      </vt:variant>
      <vt:variant>
        <vt:i4>213</vt:i4>
      </vt:variant>
      <vt:variant>
        <vt:i4>0</vt:i4>
      </vt:variant>
      <vt:variant>
        <vt:i4>5</vt:i4>
      </vt:variant>
      <vt:variant>
        <vt:lpwstr>http://www.nwph.net/nwpho/Publications/AlcoholAttributableFractions.pdf</vt:lpwstr>
      </vt:variant>
      <vt:variant>
        <vt:lpwstr/>
      </vt:variant>
      <vt:variant>
        <vt:i4>1835040</vt:i4>
      </vt:variant>
      <vt:variant>
        <vt:i4>210</vt:i4>
      </vt:variant>
      <vt:variant>
        <vt:i4>0</vt:i4>
      </vt:variant>
      <vt:variant>
        <vt:i4>5</vt:i4>
      </vt:variant>
      <vt:variant>
        <vt:lpwstr>http://www.nwph.net/alcohol/lape/81916_NI39Technical.pdf</vt:lpwstr>
      </vt:variant>
      <vt:variant>
        <vt:lpwstr/>
      </vt:variant>
      <vt:variant>
        <vt:i4>4063329</vt:i4>
      </vt:variant>
      <vt:variant>
        <vt:i4>207</vt:i4>
      </vt:variant>
      <vt:variant>
        <vt:i4>0</vt:i4>
      </vt:variant>
      <vt:variant>
        <vt:i4>5</vt:i4>
      </vt:variant>
      <vt:variant>
        <vt:lpwstr>http://www.nwph.net/nwpho/Publications/AlcoholAttributableFractions.pdf</vt:lpwstr>
      </vt:variant>
      <vt:variant>
        <vt:lpwstr/>
      </vt:variant>
      <vt:variant>
        <vt:i4>7602286</vt:i4>
      </vt:variant>
      <vt:variant>
        <vt:i4>204</vt:i4>
      </vt:variant>
      <vt:variant>
        <vt:i4>0</vt:i4>
      </vt:variant>
      <vt:variant>
        <vt:i4>5</vt:i4>
      </vt:variant>
      <vt:variant>
        <vt:lpwstr>http://www.statistics.gov.uk/StatBase/Product.asp?vlnk=9223</vt:lpwstr>
      </vt:variant>
      <vt:variant>
        <vt:lpwstr/>
      </vt:variant>
      <vt:variant>
        <vt:i4>5963845</vt:i4>
      </vt:variant>
      <vt:variant>
        <vt:i4>201</vt:i4>
      </vt:variant>
      <vt:variant>
        <vt:i4>0</vt:i4>
      </vt:variant>
      <vt:variant>
        <vt:i4>5</vt:i4>
      </vt:variant>
      <vt:variant>
        <vt:lpwstr>http://wales.gov.uk/docs/statistics/2009/090929sb552009en.pdf?lang=en</vt:lpwstr>
      </vt:variant>
      <vt:variant>
        <vt:lpwstr/>
      </vt:variant>
      <vt:variant>
        <vt:i4>5898325</vt:i4>
      </vt:variant>
      <vt:variant>
        <vt:i4>198</vt:i4>
      </vt:variant>
      <vt:variant>
        <vt:i4>0</vt:i4>
      </vt:variant>
      <vt:variant>
        <vt:i4>5</vt:i4>
      </vt:variant>
      <vt:variant>
        <vt:lpwstr>http://wales.gov.uk/topics/statistics/publications/publication-archive/healthsurvey2007/?lang=en</vt:lpwstr>
      </vt:variant>
      <vt:variant>
        <vt:lpwstr/>
      </vt:variant>
      <vt:variant>
        <vt:i4>6226034</vt:i4>
      </vt:variant>
      <vt:variant>
        <vt:i4>195</vt:i4>
      </vt:variant>
      <vt:variant>
        <vt:i4>0</vt:i4>
      </vt:variant>
      <vt:variant>
        <vt:i4>5</vt:i4>
      </vt:variant>
      <vt:variant>
        <vt:lpwstr>http://www.apho.org.uk/default.aspx?QN=HP_USERGUIDE</vt:lpwstr>
      </vt:variant>
      <vt:variant>
        <vt:lpwstr/>
      </vt:variant>
      <vt:variant>
        <vt:i4>5636172</vt:i4>
      </vt:variant>
      <vt:variant>
        <vt:i4>192</vt:i4>
      </vt:variant>
      <vt:variant>
        <vt:i4>0</vt:i4>
      </vt:variant>
      <vt:variant>
        <vt:i4>5</vt:i4>
      </vt:variant>
      <vt:variant>
        <vt:lpwstr>http://apps.nccd.cdc.gov/sammec/</vt:lpwstr>
      </vt:variant>
      <vt:variant>
        <vt:lpwstr/>
      </vt:variant>
      <vt:variant>
        <vt:i4>4456517</vt:i4>
      </vt:variant>
      <vt:variant>
        <vt:i4>189</vt:i4>
      </vt:variant>
      <vt:variant>
        <vt:i4>0</vt:i4>
      </vt:variant>
      <vt:variant>
        <vt:i4>5</vt:i4>
      </vt:variant>
      <vt:variant>
        <vt:lpwstr>http://ukpmc.ac.uk/articlerender.cgi?artid=600304</vt:lpwstr>
      </vt:variant>
      <vt:variant>
        <vt:lpwstr/>
      </vt:variant>
      <vt:variant>
        <vt:i4>7405673</vt:i4>
      </vt:variant>
      <vt:variant>
        <vt:i4>186</vt:i4>
      </vt:variant>
      <vt:variant>
        <vt:i4>0</vt:i4>
      </vt:variant>
      <vt:variant>
        <vt:i4>5</vt:i4>
      </vt:variant>
      <vt:variant>
        <vt:lpwstr>http://www3.interscience.wiley.com/journal/117981349/abstract?CRETRY=1&amp;SRETRY=0</vt:lpwstr>
      </vt:variant>
      <vt:variant>
        <vt:lpwstr/>
      </vt:variant>
      <vt:variant>
        <vt:i4>4784213</vt:i4>
      </vt:variant>
      <vt:variant>
        <vt:i4>183</vt:i4>
      </vt:variant>
      <vt:variant>
        <vt:i4>0</vt:i4>
      </vt:variant>
      <vt:variant>
        <vt:i4>5</vt:i4>
      </vt:variant>
      <vt:variant>
        <vt:lpwstr>http://wales.gov.uk/topics/statistics/publications/healthsurvey2008/?lang=en</vt:lpwstr>
      </vt:variant>
      <vt:variant>
        <vt:lpwstr/>
      </vt:variant>
      <vt:variant>
        <vt:i4>983044</vt:i4>
      </vt:variant>
      <vt:variant>
        <vt:i4>180</vt:i4>
      </vt:variant>
      <vt:variant>
        <vt:i4>0</vt:i4>
      </vt:variant>
      <vt:variant>
        <vt:i4>5</vt:i4>
      </vt:variant>
      <vt:variant>
        <vt:lpwstr>http://aje.oxfordjournals.org/cgi/content/full/161/4/389</vt:lpwstr>
      </vt:variant>
      <vt:variant>
        <vt:lpwstr/>
      </vt:variant>
      <vt:variant>
        <vt:i4>5963845</vt:i4>
      </vt:variant>
      <vt:variant>
        <vt:i4>177</vt:i4>
      </vt:variant>
      <vt:variant>
        <vt:i4>0</vt:i4>
      </vt:variant>
      <vt:variant>
        <vt:i4>5</vt:i4>
      </vt:variant>
      <vt:variant>
        <vt:lpwstr>http://wales.gov.uk/docs/statistics/2009/090929sb552009en.pdf?lang=en</vt:lpwstr>
      </vt:variant>
      <vt:variant>
        <vt:lpwstr/>
      </vt:variant>
      <vt:variant>
        <vt:i4>6226034</vt:i4>
      </vt:variant>
      <vt:variant>
        <vt:i4>174</vt:i4>
      </vt:variant>
      <vt:variant>
        <vt:i4>0</vt:i4>
      </vt:variant>
      <vt:variant>
        <vt:i4>5</vt:i4>
      </vt:variant>
      <vt:variant>
        <vt:lpwstr>http://www.apho.org.uk/default.aspx?QN=HP_USERGUIDE</vt:lpwstr>
      </vt:variant>
      <vt:variant>
        <vt:lpwstr/>
      </vt:variant>
      <vt:variant>
        <vt:i4>5439491</vt:i4>
      </vt:variant>
      <vt:variant>
        <vt:i4>171</vt:i4>
      </vt:variant>
      <vt:variant>
        <vt:i4>0</vt:i4>
      </vt:variant>
      <vt:variant>
        <vt:i4>5</vt:i4>
      </vt:variant>
      <vt:variant>
        <vt:lpwstr>http://www.nutritionj.com/content/7/1/18</vt:lpwstr>
      </vt:variant>
      <vt:variant>
        <vt:lpwstr/>
      </vt:variant>
      <vt:variant>
        <vt:i4>1245237</vt:i4>
      </vt:variant>
      <vt:variant>
        <vt:i4>164</vt:i4>
      </vt:variant>
      <vt:variant>
        <vt:i4>0</vt:i4>
      </vt:variant>
      <vt:variant>
        <vt:i4>5</vt:i4>
      </vt:variant>
      <vt:variant>
        <vt:lpwstr/>
      </vt:variant>
      <vt:variant>
        <vt:lpwstr>_Toc252450051</vt:lpwstr>
      </vt:variant>
      <vt:variant>
        <vt:i4>1245237</vt:i4>
      </vt:variant>
      <vt:variant>
        <vt:i4>158</vt:i4>
      </vt:variant>
      <vt:variant>
        <vt:i4>0</vt:i4>
      </vt:variant>
      <vt:variant>
        <vt:i4>5</vt:i4>
      </vt:variant>
      <vt:variant>
        <vt:lpwstr/>
      </vt:variant>
      <vt:variant>
        <vt:lpwstr>_Toc252450050</vt:lpwstr>
      </vt:variant>
      <vt:variant>
        <vt:i4>1179701</vt:i4>
      </vt:variant>
      <vt:variant>
        <vt:i4>152</vt:i4>
      </vt:variant>
      <vt:variant>
        <vt:i4>0</vt:i4>
      </vt:variant>
      <vt:variant>
        <vt:i4>5</vt:i4>
      </vt:variant>
      <vt:variant>
        <vt:lpwstr/>
      </vt:variant>
      <vt:variant>
        <vt:lpwstr>_Toc252450049</vt:lpwstr>
      </vt:variant>
      <vt:variant>
        <vt:i4>1179701</vt:i4>
      </vt:variant>
      <vt:variant>
        <vt:i4>146</vt:i4>
      </vt:variant>
      <vt:variant>
        <vt:i4>0</vt:i4>
      </vt:variant>
      <vt:variant>
        <vt:i4>5</vt:i4>
      </vt:variant>
      <vt:variant>
        <vt:lpwstr/>
      </vt:variant>
      <vt:variant>
        <vt:lpwstr>_Toc252450048</vt:lpwstr>
      </vt:variant>
      <vt:variant>
        <vt:i4>1179701</vt:i4>
      </vt:variant>
      <vt:variant>
        <vt:i4>140</vt:i4>
      </vt:variant>
      <vt:variant>
        <vt:i4>0</vt:i4>
      </vt:variant>
      <vt:variant>
        <vt:i4>5</vt:i4>
      </vt:variant>
      <vt:variant>
        <vt:lpwstr/>
      </vt:variant>
      <vt:variant>
        <vt:lpwstr>_Toc252450047</vt:lpwstr>
      </vt:variant>
      <vt:variant>
        <vt:i4>1179701</vt:i4>
      </vt:variant>
      <vt:variant>
        <vt:i4>134</vt:i4>
      </vt:variant>
      <vt:variant>
        <vt:i4>0</vt:i4>
      </vt:variant>
      <vt:variant>
        <vt:i4>5</vt:i4>
      </vt:variant>
      <vt:variant>
        <vt:lpwstr/>
      </vt:variant>
      <vt:variant>
        <vt:lpwstr>_Toc252450046</vt:lpwstr>
      </vt:variant>
      <vt:variant>
        <vt:i4>1179701</vt:i4>
      </vt:variant>
      <vt:variant>
        <vt:i4>128</vt:i4>
      </vt:variant>
      <vt:variant>
        <vt:i4>0</vt:i4>
      </vt:variant>
      <vt:variant>
        <vt:i4>5</vt:i4>
      </vt:variant>
      <vt:variant>
        <vt:lpwstr/>
      </vt:variant>
      <vt:variant>
        <vt:lpwstr>_Toc252450045</vt:lpwstr>
      </vt:variant>
      <vt:variant>
        <vt:i4>1179701</vt:i4>
      </vt:variant>
      <vt:variant>
        <vt:i4>122</vt:i4>
      </vt:variant>
      <vt:variant>
        <vt:i4>0</vt:i4>
      </vt:variant>
      <vt:variant>
        <vt:i4>5</vt:i4>
      </vt:variant>
      <vt:variant>
        <vt:lpwstr/>
      </vt:variant>
      <vt:variant>
        <vt:lpwstr>_Toc252450044</vt:lpwstr>
      </vt:variant>
      <vt:variant>
        <vt:i4>1179701</vt:i4>
      </vt:variant>
      <vt:variant>
        <vt:i4>116</vt:i4>
      </vt:variant>
      <vt:variant>
        <vt:i4>0</vt:i4>
      </vt:variant>
      <vt:variant>
        <vt:i4>5</vt:i4>
      </vt:variant>
      <vt:variant>
        <vt:lpwstr/>
      </vt:variant>
      <vt:variant>
        <vt:lpwstr>_Toc252450043</vt:lpwstr>
      </vt:variant>
      <vt:variant>
        <vt:i4>1179701</vt:i4>
      </vt:variant>
      <vt:variant>
        <vt:i4>110</vt:i4>
      </vt:variant>
      <vt:variant>
        <vt:i4>0</vt:i4>
      </vt:variant>
      <vt:variant>
        <vt:i4>5</vt:i4>
      </vt:variant>
      <vt:variant>
        <vt:lpwstr/>
      </vt:variant>
      <vt:variant>
        <vt:lpwstr>_Toc252450042</vt:lpwstr>
      </vt:variant>
      <vt:variant>
        <vt:i4>1179701</vt:i4>
      </vt:variant>
      <vt:variant>
        <vt:i4>104</vt:i4>
      </vt:variant>
      <vt:variant>
        <vt:i4>0</vt:i4>
      </vt:variant>
      <vt:variant>
        <vt:i4>5</vt:i4>
      </vt:variant>
      <vt:variant>
        <vt:lpwstr/>
      </vt:variant>
      <vt:variant>
        <vt:lpwstr>_Toc252450041</vt:lpwstr>
      </vt:variant>
      <vt:variant>
        <vt:i4>1179701</vt:i4>
      </vt:variant>
      <vt:variant>
        <vt:i4>98</vt:i4>
      </vt:variant>
      <vt:variant>
        <vt:i4>0</vt:i4>
      </vt:variant>
      <vt:variant>
        <vt:i4>5</vt:i4>
      </vt:variant>
      <vt:variant>
        <vt:lpwstr/>
      </vt:variant>
      <vt:variant>
        <vt:lpwstr>_Toc252450040</vt:lpwstr>
      </vt:variant>
      <vt:variant>
        <vt:i4>1376309</vt:i4>
      </vt:variant>
      <vt:variant>
        <vt:i4>92</vt:i4>
      </vt:variant>
      <vt:variant>
        <vt:i4>0</vt:i4>
      </vt:variant>
      <vt:variant>
        <vt:i4>5</vt:i4>
      </vt:variant>
      <vt:variant>
        <vt:lpwstr/>
      </vt:variant>
      <vt:variant>
        <vt:lpwstr>_Toc252450039</vt:lpwstr>
      </vt:variant>
      <vt:variant>
        <vt:i4>1376309</vt:i4>
      </vt:variant>
      <vt:variant>
        <vt:i4>86</vt:i4>
      </vt:variant>
      <vt:variant>
        <vt:i4>0</vt:i4>
      </vt:variant>
      <vt:variant>
        <vt:i4>5</vt:i4>
      </vt:variant>
      <vt:variant>
        <vt:lpwstr/>
      </vt:variant>
      <vt:variant>
        <vt:lpwstr>_Toc252450038</vt:lpwstr>
      </vt:variant>
      <vt:variant>
        <vt:i4>1376309</vt:i4>
      </vt:variant>
      <vt:variant>
        <vt:i4>80</vt:i4>
      </vt:variant>
      <vt:variant>
        <vt:i4>0</vt:i4>
      </vt:variant>
      <vt:variant>
        <vt:i4>5</vt:i4>
      </vt:variant>
      <vt:variant>
        <vt:lpwstr/>
      </vt:variant>
      <vt:variant>
        <vt:lpwstr>_Toc252450037</vt:lpwstr>
      </vt:variant>
      <vt:variant>
        <vt:i4>1376309</vt:i4>
      </vt:variant>
      <vt:variant>
        <vt:i4>74</vt:i4>
      </vt:variant>
      <vt:variant>
        <vt:i4>0</vt:i4>
      </vt:variant>
      <vt:variant>
        <vt:i4>5</vt:i4>
      </vt:variant>
      <vt:variant>
        <vt:lpwstr/>
      </vt:variant>
      <vt:variant>
        <vt:lpwstr>_Toc252450036</vt:lpwstr>
      </vt:variant>
      <vt:variant>
        <vt:i4>1376309</vt:i4>
      </vt:variant>
      <vt:variant>
        <vt:i4>68</vt:i4>
      </vt:variant>
      <vt:variant>
        <vt:i4>0</vt:i4>
      </vt:variant>
      <vt:variant>
        <vt:i4>5</vt:i4>
      </vt:variant>
      <vt:variant>
        <vt:lpwstr/>
      </vt:variant>
      <vt:variant>
        <vt:lpwstr>_Toc252450035</vt:lpwstr>
      </vt:variant>
      <vt:variant>
        <vt:i4>1376309</vt:i4>
      </vt:variant>
      <vt:variant>
        <vt:i4>62</vt:i4>
      </vt:variant>
      <vt:variant>
        <vt:i4>0</vt:i4>
      </vt:variant>
      <vt:variant>
        <vt:i4>5</vt:i4>
      </vt:variant>
      <vt:variant>
        <vt:lpwstr/>
      </vt:variant>
      <vt:variant>
        <vt:lpwstr>_Toc252450034</vt:lpwstr>
      </vt:variant>
      <vt:variant>
        <vt:i4>1376309</vt:i4>
      </vt:variant>
      <vt:variant>
        <vt:i4>56</vt:i4>
      </vt:variant>
      <vt:variant>
        <vt:i4>0</vt:i4>
      </vt:variant>
      <vt:variant>
        <vt:i4>5</vt:i4>
      </vt:variant>
      <vt:variant>
        <vt:lpwstr/>
      </vt:variant>
      <vt:variant>
        <vt:lpwstr>_Toc252450033</vt:lpwstr>
      </vt:variant>
      <vt:variant>
        <vt:i4>1376309</vt:i4>
      </vt:variant>
      <vt:variant>
        <vt:i4>50</vt:i4>
      </vt:variant>
      <vt:variant>
        <vt:i4>0</vt:i4>
      </vt:variant>
      <vt:variant>
        <vt:i4>5</vt:i4>
      </vt:variant>
      <vt:variant>
        <vt:lpwstr/>
      </vt:variant>
      <vt:variant>
        <vt:lpwstr>_Toc252450032</vt:lpwstr>
      </vt:variant>
      <vt:variant>
        <vt:i4>1376309</vt:i4>
      </vt:variant>
      <vt:variant>
        <vt:i4>44</vt:i4>
      </vt:variant>
      <vt:variant>
        <vt:i4>0</vt:i4>
      </vt:variant>
      <vt:variant>
        <vt:i4>5</vt:i4>
      </vt:variant>
      <vt:variant>
        <vt:lpwstr/>
      </vt:variant>
      <vt:variant>
        <vt:lpwstr>_Toc252450031</vt:lpwstr>
      </vt:variant>
      <vt:variant>
        <vt:i4>1376309</vt:i4>
      </vt:variant>
      <vt:variant>
        <vt:i4>38</vt:i4>
      </vt:variant>
      <vt:variant>
        <vt:i4>0</vt:i4>
      </vt:variant>
      <vt:variant>
        <vt:i4>5</vt:i4>
      </vt:variant>
      <vt:variant>
        <vt:lpwstr/>
      </vt:variant>
      <vt:variant>
        <vt:lpwstr>_Toc252450030</vt:lpwstr>
      </vt:variant>
      <vt:variant>
        <vt:i4>1310773</vt:i4>
      </vt:variant>
      <vt:variant>
        <vt:i4>32</vt:i4>
      </vt:variant>
      <vt:variant>
        <vt:i4>0</vt:i4>
      </vt:variant>
      <vt:variant>
        <vt:i4>5</vt:i4>
      </vt:variant>
      <vt:variant>
        <vt:lpwstr/>
      </vt:variant>
      <vt:variant>
        <vt:lpwstr>_Toc252450029</vt:lpwstr>
      </vt:variant>
      <vt:variant>
        <vt:i4>1310773</vt:i4>
      </vt:variant>
      <vt:variant>
        <vt:i4>26</vt:i4>
      </vt:variant>
      <vt:variant>
        <vt:i4>0</vt:i4>
      </vt:variant>
      <vt:variant>
        <vt:i4>5</vt:i4>
      </vt:variant>
      <vt:variant>
        <vt:lpwstr/>
      </vt:variant>
      <vt:variant>
        <vt:lpwstr>_Toc252450028</vt:lpwstr>
      </vt:variant>
      <vt:variant>
        <vt:i4>1310773</vt:i4>
      </vt:variant>
      <vt:variant>
        <vt:i4>20</vt:i4>
      </vt:variant>
      <vt:variant>
        <vt:i4>0</vt:i4>
      </vt:variant>
      <vt:variant>
        <vt:i4>5</vt:i4>
      </vt:variant>
      <vt:variant>
        <vt:lpwstr/>
      </vt:variant>
      <vt:variant>
        <vt:lpwstr>_Toc252450027</vt:lpwstr>
      </vt:variant>
      <vt:variant>
        <vt:i4>1310773</vt:i4>
      </vt:variant>
      <vt:variant>
        <vt:i4>14</vt:i4>
      </vt:variant>
      <vt:variant>
        <vt:i4>0</vt:i4>
      </vt:variant>
      <vt:variant>
        <vt:i4>5</vt:i4>
      </vt:variant>
      <vt:variant>
        <vt:lpwstr/>
      </vt:variant>
      <vt:variant>
        <vt:lpwstr>_Toc252450026</vt:lpwstr>
      </vt:variant>
      <vt:variant>
        <vt:i4>1310773</vt:i4>
      </vt:variant>
      <vt:variant>
        <vt:i4>8</vt:i4>
      </vt:variant>
      <vt:variant>
        <vt:i4>0</vt:i4>
      </vt:variant>
      <vt:variant>
        <vt:i4>5</vt:i4>
      </vt:variant>
      <vt:variant>
        <vt:lpwstr/>
      </vt:variant>
      <vt:variant>
        <vt:lpwstr>_Toc252450025</vt:lpwstr>
      </vt:variant>
      <vt:variant>
        <vt:i4>1310773</vt:i4>
      </vt:variant>
      <vt:variant>
        <vt:i4>2</vt:i4>
      </vt:variant>
      <vt:variant>
        <vt:i4>0</vt:i4>
      </vt:variant>
      <vt:variant>
        <vt:i4>5</vt:i4>
      </vt:variant>
      <vt:variant>
        <vt:lpwstr/>
      </vt:variant>
      <vt:variant>
        <vt:lpwstr>_Toc252450024</vt:lpwstr>
      </vt:variant>
      <vt:variant>
        <vt:i4>5046291</vt:i4>
      </vt:variant>
      <vt:variant>
        <vt:i4>3</vt:i4>
      </vt:variant>
      <vt:variant>
        <vt:i4>0</vt:i4>
      </vt:variant>
      <vt:variant>
        <vt:i4>5</vt:i4>
      </vt:variant>
      <vt:variant>
        <vt:lpwstr>http://www.publichealthwales.org/</vt:lpwstr>
      </vt:variant>
      <vt:variant>
        <vt:lpwstr/>
      </vt:variant>
      <vt:variant>
        <vt:i4>6226034</vt:i4>
      </vt:variant>
      <vt:variant>
        <vt:i4>0</vt:i4>
      </vt:variant>
      <vt:variant>
        <vt:i4>0</vt:i4>
      </vt:variant>
      <vt:variant>
        <vt:i4>5</vt:i4>
      </vt:variant>
      <vt:variant>
        <vt:lpwstr>http://www.apho.org.uk/default.aspx?QN=HP_USERGUIDE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2013-03-21T11:14:00Z</dcterms:created>
  <dcterms:modified xsi:type="dcterms:W3CDTF">2013-03-21T19:23:00Z</dcterms:modified>
</cp:coreProperties>
</file>