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9.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0.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1.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51032"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46F6C69D" w14:textId="69BE5330" w:rsidR="003544A4" w:rsidRDefault="003544A4">
      <w:pPr>
        <w:spacing w:before="0" w:line="480" w:lineRule="auto"/>
        <w:ind w:firstLine="357"/>
        <w:rPr>
          <w:rFonts w:ascii="IBM Plex Sans" w:hAnsi="IBM Plex Sans" w:cs="Calibri"/>
          <w:color w:val="5C00D6"/>
          <w:sz w:val="28"/>
        </w:rPr>
      </w:pPr>
      <w:r w:rsidRPr="00E22327">
        <w:rPr>
          <w:noProof/>
          <w:lang w:eastAsia="en-GB"/>
        </w:rPr>
        <w:drawing>
          <wp:inline distT="0" distB="0" distL="0" distR="0" wp14:anchorId="32740265" wp14:editId="278C97F6">
            <wp:extent cx="5731510" cy="1344930"/>
            <wp:effectExtent l="0" t="0" r="2540" b="7620"/>
            <wp:docPr id="2" name="Picture 1" descr="Public Health Wales logo"/>
            <wp:cNvGraphicFramePr/>
            <a:graphic xmlns:a="http://schemas.openxmlformats.org/drawingml/2006/main">
              <a:graphicData uri="http://schemas.openxmlformats.org/drawingml/2006/picture">
                <pic:pic xmlns:pic="http://schemas.openxmlformats.org/drawingml/2006/picture">
                  <pic:nvPicPr>
                    <pic:cNvPr id="2" name="Picture 1" descr="Public Health Wales logo"/>
                    <pic:cNvPicPr/>
                  </pic:nvPicPr>
                  <pic:blipFill>
                    <a:blip r:embed="rId11" cstate="print"/>
                    <a:srcRect/>
                    <a:stretch>
                      <a:fillRect/>
                    </a:stretch>
                  </pic:blipFill>
                  <pic:spPr bwMode="auto">
                    <a:xfrm>
                      <a:off x="0" y="0"/>
                      <a:ext cx="5731510" cy="1344930"/>
                    </a:xfrm>
                    <a:prstGeom prst="rect">
                      <a:avLst/>
                    </a:prstGeom>
                    <a:noFill/>
                    <a:ln w="9525">
                      <a:noFill/>
                      <a:miter lim="800000"/>
                      <a:headEnd/>
                      <a:tailEnd/>
                    </a:ln>
                  </pic:spPr>
                </pic:pic>
              </a:graphicData>
            </a:graphic>
          </wp:inline>
        </w:drawing>
      </w:r>
    </w:p>
    <w:sdt>
      <w:sdtPr>
        <w:rPr>
          <w:rFonts w:ascii="IBM Plex Sans" w:eastAsiaTheme="minorEastAsia" w:hAnsi="IBM Plex Sans" w:cs="Calibri"/>
          <w:bCs w:val="0"/>
          <w:iCs w:val="0"/>
          <w:color w:val="5C00D6"/>
          <w:sz w:val="28"/>
          <w:szCs w:val="22"/>
          <w:lang w:bidi="ar-SA"/>
        </w:rPr>
        <w:id w:val="-2095619200"/>
        <w:docPartObj>
          <w:docPartGallery w:val="Table of Contents"/>
          <w:docPartUnique/>
        </w:docPartObj>
      </w:sdtPr>
      <w:sdtEndPr>
        <w:rPr>
          <w:color w:val="auto"/>
          <w:sz w:val="22"/>
        </w:rPr>
      </w:sdtEndPr>
      <w:sdtContent>
        <w:p w14:paraId="64AB9D73"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51131450"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4F896121"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2F449964" w14:textId="77777777" w:rsidR="003544A4" w:rsidRPr="00E22327" w:rsidRDefault="003544A4" w:rsidP="003544A4">
          <w:pPr>
            <w:tabs>
              <w:tab w:val="left" w:pos="3150"/>
            </w:tabs>
            <w:jc w:val="center"/>
            <w:rPr>
              <w:rFonts w:ascii="Arial" w:hAnsi="Arial" w:cs="Arial"/>
              <w:b/>
              <w:sz w:val="28"/>
              <w:szCs w:val="28"/>
            </w:rPr>
          </w:pPr>
          <w:r w:rsidRPr="00E22327">
            <w:rPr>
              <w:rFonts w:ascii="Arial" w:hAnsi="Arial" w:cs="Arial"/>
              <w:b/>
              <w:sz w:val="28"/>
              <w:szCs w:val="28"/>
            </w:rPr>
            <w:t>Public Health Wales</w:t>
          </w:r>
        </w:p>
        <w:p w14:paraId="75BD56A2" w14:textId="60D37691" w:rsidR="003544A4" w:rsidRPr="00E22327" w:rsidRDefault="003544A4" w:rsidP="003544A4">
          <w:pPr>
            <w:tabs>
              <w:tab w:val="left" w:pos="3150"/>
            </w:tabs>
            <w:jc w:val="center"/>
            <w:rPr>
              <w:rFonts w:ascii="Arial" w:hAnsi="Arial" w:cs="Arial"/>
              <w:b/>
              <w:sz w:val="28"/>
              <w:szCs w:val="28"/>
            </w:rPr>
          </w:pPr>
          <w:r w:rsidRPr="00E22327">
            <w:rPr>
              <w:rFonts w:ascii="Arial" w:hAnsi="Arial" w:cs="Arial"/>
              <w:b/>
              <w:sz w:val="28"/>
              <w:szCs w:val="28"/>
            </w:rPr>
            <w:t>Gender Pay Gap Report 202</w:t>
          </w:r>
          <w:r>
            <w:rPr>
              <w:rFonts w:ascii="Arial" w:hAnsi="Arial" w:cs="Arial"/>
              <w:b/>
              <w:sz w:val="28"/>
              <w:szCs w:val="28"/>
            </w:rPr>
            <w:t>3</w:t>
          </w:r>
        </w:p>
        <w:p w14:paraId="5364DD01"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348F1A61"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5209370E"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6658FAAA"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3FD23693"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3C853A06"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1E386FAA"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5C2E5E11"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76524A3A"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050452A2"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42704940"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4D1D0CC3"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29390139" w14:textId="77777777" w:rsidR="003544A4" w:rsidRDefault="003544A4" w:rsidP="009179C7">
          <w:pPr>
            <w:pStyle w:val="TOCHeading"/>
            <w:spacing w:before="0" w:line="360" w:lineRule="auto"/>
            <w:rPr>
              <w:rFonts w:ascii="IBM Plex Sans" w:eastAsiaTheme="minorEastAsia" w:hAnsi="IBM Plex Sans" w:cs="Calibri"/>
              <w:bCs w:val="0"/>
              <w:iCs w:val="0"/>
              <w:color w:val="5C00D6"/>
              <w:sz w:val="28"/>
              <w:szCs w:val="22"/>
              <w:lang w:bidi="ar-SA"/>
            </w:rPr>
          </w:pPr>
        </w:p>
        <w:p w14:paraId="79C166F4" w14:textId="4AD8D511" w:rsidR="007D261C" w:rsidRPr="009179C7" w:rsidRDefault="003544A4" w:rsidP="009179C7">
          <w:pPr>
            <w:pStyle w:val="TOCHeading"/>
            <w:spacing w:before="0" w:line="360" w:lineRule="auto"/>
            <w:rPr>
              <w:rFonts w:ascii="IBM Plex Sans Medium" w:hAnsi="IBM Plex Sans Medium" w:cs="Calibri"/>
              <w:color w:val="5C00D6"/>
              <w:sz w:val="24"/>
              <w:szCs w:val="28"/>
            </w:rPr>
          </w:pPr>
          <w:r>
            <w:rPr>
              <w:rFonts w:ascii="IBM Plex Sans Medium" w:hAnsi="IBM Plex Sans Medium" w:cs="Calibri"/>
              <w:color w:val="5C00D6"/>
              <w:sz w:val="24"/>
              <w:szCs w:val="28"/>
            </w:rPr>
            <w:t>C</w:t>
          </w:r>
          <w:r w:rsidR="007D261C" w:rsidRPr="009179C7">
            <w:rPr>
              <w:rFonts w:ascii="IBM Plex Sans Medium" w:hAnsi="IBM Plex Sans Medium" w:cs="Calibri"/>
              <w:color w:val="5C00D6"/>
              <w:sz w:val="24"/>
              <w:szCs w:val="28"/>
            </w:rPr>
            <w:t>ontents</w:t>
          </w:r>
        </w:p>
        <w:p w14:paraId="0CDE741F" w14:textId="586BC54D" w:rsidR="00D61CCF" w:rsidRPr="00D61CCF" w:rsidRDefault="00064148" w:rsidP="00D61CCF">
          <w:pPr>
            <w:pStyle w:val="TOC1"/>
            <w:tabs>
              <w:tab w:val="right" w:leader="dot" w:pos="9350"/>
            </w:tabs>
            <w:spacing w:before="0" w:after="0"/>
            <w:rPr>
              <w:rFonts w:ascii="IBM Plex Sans" w:hAnsi="IBM Plex Sans"/>
              <w:noProof/>
              <w:kern w:val="2"/>
              <w:sz w:val="22"/>
              <w:lang w:val="en-GB" w:eastAsia="en-GB"/>
              <w14:ligatures w14:val="standardContextual"/>
            </w:rPr>
          </w:pPr>
          <w:r w:rsidRPr="00D61CCF">
            <w:rPr>
              <w:rStyle w:val="Hyperlink"/>
              <w:rFonts w:ascii="IBM Plex Sans" w:hAnsi="IBM Plex Sans"/>
              <w:noProof/>
              <w:color w:val="auto"/>
              <w:sz w:val="22"/>
            </w:rPr>
            <w:fldChar w:fldCharType="begin"/>
          </w:r>
          <w:r w:rsidRPr="00D61CCF">
            <w:rPr>
              <w:rStyle w:val="Hyperlink"/>
              <w:rFonts w:ascii="IBM Plex Sans" w:hAnsi="IBM Plex Sans"/>
              <w:noProof/>
              <w:color w:val="auto"/>
              <w:sz w:val="22"/>
            </w:rPr>
            <w:instrText xml:space="preserve"> TOC \o "1-3" \h \z \u \t "Heading 5,4,Heading 6,5,Heading 7,6" </w:instrText>
          </w:r>
          <w:r w:rsidRPr="00D61CCF">
            <w:rPr>
              <w:rStyle w:val="Hyperlink"/>
              <w:rFonts w:ascii="IBM Plex Sans" w:hAnsi="IBM Plex Sans"/>
              <w:noProof/>
              <w:color w:val="auto"/>
              <w:sz w:val="22"/>
            </w:rPr>
            <w:fldChar w:fldCharType="separate"/>
          </w:r>
          <w:hyperlink w:anchor="_Toc157514628" w:history="1">
            <w:r w:rsidR="00D61CCF" w:rsidRPr="00D61CCF">
              <w:rPr>
                <w:rStyle w:val="Hyperlink"/>
                <w:rFonts w:ascii="IBM Plex Sans" w:eastAsiaTheme="minorHAnsi" w:hAnsi="IBM Plex Sans" w:cs="Calibri"/>
                <w:noProof/>
                <w:sz w:val="22"/>
              </w:rPr>
              <w:t>Introduction and recommendations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_Toc157514628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3544A4">
              <w:rPr>
                <w:rFonts w:ascii="IBM Plex Sans" w:hAnsi="IBM Plex Sans"/>
                <w:noProof/>
                <w:webHidden/>
                <w:sz w:val="22"/>
              </w:rPr>
              <w:t>4</w:t>
            </w:r>
            <w:r w:rsidR="00D61CCF" w:rsidRPr="00D61CCF">
              <w:rPr>
                <w:rFonts w:ascii="IBM Plex Sans" w:hAnsi="IBM Plex Sans"/>
                <w:noProof/>
                <w:webHidden/>
                <w:sz w:val="22"/>
              </w:rPr>
              <w:fldChar w:fldCharType="end"/>
            </w:r>
          </w:hyperlink>
        </w:p>
        <w:p w14:paraId="4D1990F8" w14:textId="7879E470"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29" w:history="1">
            <w:r w:rsidR="00D61CCF" w:rsidRPr="00D61CCF">
              <w:rPr>
                <w:rStyle w:val="Hyperlink"/>
                <w:rFonts w:ascii="IBM Plex Sans" w:eastAsiaTheme="minorHAnsi" w:hAnsi="IBM Plex Sans" w:cs="Calibri"/>
                <w:noProof/>
                <w:sz w:val="22"/>
              </w:rPr>
              <w:t>Introduction</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_Toc157514629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4</w:t>
            </w:r>
            <w:r w:rsidR="00D61CCF" w:rsidRPr="00D61CCF">
              <w:rPr>
                <w:rFonts w:ascii="IBM Plex Sans" w:hAnsi="IBM Plex Sans"/>
                <w:noProof/>
                <w:webHidden/>
                <w:sz w:val="22"/>
              </w:rPr>
              <w:fldChar w:fldCharType="end"/>
            </w:r>
          </w:hyperlink>
        </w:p>
        <w:p w14:paraId="68DB4D69" w14:textId="48B8FC2B"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30" w:history="1">
            <w:r w:rsidR="00D61CCF" w:rsidRPr="00D61CCF">
              <w:rPr>
                <w:rStyle w:val="Hyperlink"/>
                <w:rFonts w:ascii="IBM Plex Sans" w:eastAsiaTheme="minorHAnsi" w:hAnsi="IBM Plex Sans" w:cs="Calibri"/>
                <w:noProof/>
                <w:sz w:val="22"/>
              </w:rPr>
              <w:t>Main points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_Toc157514630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4</w:t>
            </w:r>
            <w:r w:rsidR="00D61CCF" w:rsidRPr="00D61CCF">
              <w:rPr>
                <w:rFonts w:ascii="IBM Plex Sans" w:hAnsi="IBM Plex Sans"/>
                <w:noProof/>
                <w:webHidden/>
                <w:sz w:val="22"/>
              </w:rPr>
              <w:fldChar w:fldCharType="end"/>
            </w:r>
          </w:hyperlink>
        </w:p>
        <w:p w14:paraId="4035B4BF" w14:textId="080DCE68"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31" w:history="1">
            <w:r w:rsidR="00D61CCF" w:rsidRPr="00D61CCF">
              <w:rPr>
                <w:rStyle w:val="Hyperlink"/>
                <w:rFonts w:ascii="IBM Plex Sans" w:eastAsiaTheme="minorHAnsi" w:hAnsi="IBM Plex Sans" w:cs="Calibri"/>
                <w:noProof/>
                <w:sz w:val="22"/>
              </w:rPr>
              <w:t>Recommendations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_Toc157514631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6</w:t>
            </w:r>
            <w:r w:rsidR="00D61CCF" w:rsidRPr="00D61CCF">
              <w:rPr>
                <w:rFonts w:ascii="IBM Plex Sans" w:hAnsi="IBM Plex Sans"/>
                <w:noProof/>
                <w:webHidden/>
                <w:sz w:val="22"/>
              </w:rPr>
              <w:fldChar w:fldCharType="end"/>
            </w:r>
          </w:hyperlink>
        </w:p>
        <w:p w14:paraId="6763EA09" w14:textId="0751DD5A"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32" w:history="1">
            <w:r w:rsidR="00D61CCF" w:rsidRPr="00D61CCF">
              <w:rPr>
                <w:rStyle w:val="Hyperlink"/>
                <w:rFonts w:ascii="IBM Plex Sans" w:hAnsi="IBM Plex Sans" w:cs="Calibri"/>
                <w:noProof/>
                <w:sz w:val="22"/>
              </w:rPr>
              <w:t>Gender pay gap reporting</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_Toc157514632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8</w:t>
            </w:r>
            <w:r w:rsidR="00D61CCF" w:rsidRPr="00D61CCF">
              <w:rPr>
                <w:rFonts w:ascii="IBM Plex Sans" w:hAnsi="IBM Plex Sans"/>
                <w:noProof/>
                <w:webHidden/>
                <w:sz w:val="22"/>
              </w:rPr>
              <w:fldChar w:fldCharType="end"/>
            </w:r>
          </w:hyperlink>
        </w:p>
        <w:p w14:paraId="16DFCCB8" w14:textId="03F711A9"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34" w:history="1">
            <w:r w:rsidR="00D61CCF" w:rsidRPr="00D61CCF">
              <w:rPr>
                <w:rStyle w:val="Hyperlink"/>
                <w:rFonts w:ascii="IBM Plex Sans" w:hAnsi="IBM Plex Sans"/>
                <w:noProof/>
                <w:sz w:val="22"/>
              </w:rPr>
              <w:t>Gender pay gap</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_Toc157514634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9</w:t>
            </w:r>
            <w:r w:rsidR="00D61CCF" w:rsidRPr="00D61CCF">
              <w:rPr>
                <w:rFonts w:ascii="IBM Plex Sans" w:hAnsi="IBM Plex Sans"/>
                <w:noProof/>
                <w:webHidden/>
                <w:sz w:val="22"/>
              </w:rPr>
              <w:fldChar w:fldCharType="end"/>
            </w:r>
          </w:hyperlink>
        </w:p>
        <w:p w14:paraId="22BD7068" w14:textId="203D4716"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35" w:history="1">
            <w:r w:rsidR="00D61CCF" w:rsidRPr="00D61CCF">
              <w:rPr>
                <w:rStyle w:val="Hyperlink"/>
                <w:rFonts w:ascii="IBM Plex Sans" w:hAnsi="IBM Plex Sans"/>
                <w:noProof/>
                <w:sz w:val="22"/>
              </w:rPr>
              <w:t>Pay quarters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_Toc157514635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11</w:t>
            </w:r>
            <w:r w:rsidR="00D61CCF" w:rsidRPr="00D61CCF">
              <w:rPr>
                <w:rFonts w:ascii="IBM Plex Sans" w:hAnsi="IBM Plex Sans"/>
                <w:noProof/>
                <w:webHidden/>
                <w:sz w:val="22"/>
              </w:rPr>
              <w:fldChar w:fldCharType="end"/>
            </w:r>
          </w:hyperlink>
        </w:p>
        <w:p w14:paraId="588E1D25" w14:textId="3D2F61AE" w:rsidR="00D61CCF" w:rsidRPr="00D61CCF" w:rsidRDefault="003544A4" w:rsidP="00D61CCF">
          <w:pPr>
            <w:pStyle w:val="TOC2"/>
            <w:tabs>
              <w:tab w:val="right" w:leader="dot" w:pos="9350"/>
            </w:tabs>
            <w:spacing w:before="0" w:after="0"/>
            <w:rPr>
              <w:rFonts w:ascii="IBM Plex Sans" w:hAnsi="IBM Plex Sans"/>
              <w:noProof/>
              <w:kern w:val="2"/>
              <w:sz w:val="22"/>
              <w:lang w:val="en-GB" w:eastAsia="en-GB"/>
              <w14:ligatures w14:val="standardContextual"/>
            </w:rPr>
          </w:pPr>
          <w:hyperlink w:anchor="_Toc157514636" w:history="1">
            <w:r w:rsidR="00D61CCF" w:rsidRPr="00D61CCF">
              <w:rPr>
                <w:rStyle w:val="Hyperlink"/>
                <w:rFonts w:ascii="IBM Plex Sans" w:hAnsi="IBM Plex Sans"/>
                <w:noProof/>
                <w:sz w:val="22"/>
              </w:rPr>
              <w:t>Earnings distribution</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_Toc157514636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14</w:t>
            </w:r>
            <w:r w:rsidR="00D61CCF" w:rsidRPr="00D61CCF">
              <w:rPr>
                <w:rFonts w:ascii="IBM Plex Sans" w:hAnsi="IBM Plex Sans"/>
                <w:noProof/>
                <w:webHidden/>
                <w:sz w:val="22"/>
              </w:rPr>
              <w:fldChar w:fldCharType="end"/>
            </w:r>
          </w:hyperlink>
        </w:p>
        <w:p w14:paraId="5F010CB3" w14:textId="2C77D3EF"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37" w:history="1">
            <w:r w:rsidR="00D61CCF" w:rsidRPr="00D61CCF">
              <w:rPr>
                <w:rStyle w:val="Hyperlink"/>
                <w:rFonts w:ascii="IBM Plex Sans" w:hAnsi="IBM Plex Sans" w:cs="Calibri"/>
                <w:noProof/>
                <w:sz w:val="22"/>
              </w:rPr>
              <w:t>The gender pay gap in detail</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_Toc157514637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15</w:t>
            </w:r>
            <w:r w:rsidR="00D61CCF" w:rsidRPr="00D61CCF">
              <w:rPr>
                <w:rFonts w:ascii="IBM Plex Sans" w:hAnsi="IBM Plex Sans"/>
                <w:noProof/>
                <w:webHidden/>
                <w:sz w:val="22"/>
              </w:rPr>
              <w:fldChar w:fldCharType="end"/>
            </w:r>
          </w:hyperlink>
        </w:p>
        <w:p w14:paraId="46511D52" w14:textId="5210D182"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38" w:history="1">
            <w:r w:rsidR="00D61CCF" w:rsidRPr="00D61CCF">
              <w:rPr>
                <w:rStyle w:val="Hyperlink"/>
                <w:rFonts w:ascii="IBM Plex Sans" w:hAnsi="IBM Plex Sans"/>
                <w:noProof/>
                <w:sz w:val="22"/>
              </w:rPr>
              <w:t>Gender pay gaps by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_Toc157514638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15</w:t>
            </w:r>
            <w:r w:rsidR="00D61CCF" w:rsidRPr="00D61CCF">
              <w:rPr>
                <w:rFonts w:ascii="IBM Plex Sans" w:hAnsi="IBM Plex Sans"/>
                <w:noProof/>
                <w:webHidden/>
                <w:sz w:val="22"/>
              </w:rPr>
              <w:fldChar w:fldCharType="end"/>
            </w:r>
          </w:hyperlink>
        </w:p>
        <w:p w14:paraId="30DEBB04" w14:textId="0F05310B"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39" w:history="1">
            <w:r w:rsidR="00D61CCF" w:rsidRPr="00D61CCF">
              <w:rPr>
                <w:rStyle w:val="Hyperlink"/>
                <w:rFonts w:ascii="IBM Plex Sans" w:eastAsiaTheme="minorHAnsi" w:hAnsi="IBM Plex Sans" w:cs="Calibri"/>
                <w:noProof/>
                <w:sz w:val="22"/>
              </w:rPr>
              <w:t>Gender pay gaps by directorate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_Toc157514639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18</w:t>
            </w:r>
            <w:r w:rsidR="00D61CCF" w:rsidRPr="00D61CCF">
              <w:rPr>
                <w:rFonts w:ascii="IBM Plex Sans" w:hAnsi="IBM Plex Sans"/>
                <w:noProof/>
                <w:webHidden/>
                <w:sz w:val="22"/>
              </w:rPr>
              <w:fldChar w:fldCharType="end"/>
            </w:r>
          </w:hyperlink>
        </w:p>
        <w:p w14:paraId="6BB95554" w14:textId="78E448E5"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0" w:history="1">
            <w:r w:rsidR="00D61CCF" w:rsidRPr="00D61CCF">
              <w:rPr>
                <w:rStyle w:val="Hyperlink"/>
                <w:rFonts w:ascii="IBM Plex Sans" w:eastAsiaTheme="minorHAnsi" w:hAnsi="IBM Plex Sans" w:cs="Calibri"/>
                <w:noProof/>
                <w:sz w:val="22"/>
              </w:rPr>
              <w:t>Length of service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_Toc157514640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20</w:t>
            </w:r>
            <w:r w:rsidR="00D61CCF" w:rsidRPr="00D61CCF">
              <w:rPr>
                <w:rFonts w:ascii="IBM Plex Sans" w:hAnsi="IBM Plex Sans"/>
                <w:noProof/>
                <w:webHidden/>
                <w:sz w:val="22"/>
              </w:rPr>
              <w:fldChar w:fldCharType="end"/>
            </w:r>
          </w:hyperlink>
        </w:p>
        <w:p w14:paraId="400B5F4B" w14:textId="46156311"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1" w:history="1">
            <w:r w:rsidR="00D61CCF" w:rsidRPr="00D61CCF">
              <w:rPr>
                <w:rStyle w:val="Hyperlink"/>
                <w:rFonts w:ascii="IBM Plex Sans" w:eastAsiaTheme="minorHAnsi" w:hAnsi="IBM Plex Sans" w:cs="Calibri"/>
                <w:noProof/>
                <w:sz w:val="22"/>
              </w:rPr>
              <w:t>Gender pay gaps by age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_Toc157514641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23</w:t>
            </w:r>
            <w:r w:rsidR="00D61CCF" w:rsidRPr="00D61CCF">
              <w:rPr>
                <w:rFonts w:ascii="IBM Plex Sans" w:hAnsi="IBM Plex Sans"/>
                <w:noProof/>
                <w:webHidden/>
                <w:sz w:val="22"/>
              </w:rPr>
              <w:fldChar w:fldCharType="end"/>
            </w:r>
          </w:hyperlink>
        </w:p>
        <w:p w14:paraId="0F5389C1" w14:textId="0E5F6D23"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2" w:history="1">
            <w:r w:rsidR="00D61CCF" w:rsidRPr="00D61CCF">
              <w:rPr>
                <w:rStyle w:val="Hyperlink"/>
                <w:rFonts w:ascii="IBM Plex Sans" w:hAnsi="IBM Plex Sans" w:cs="Calibri"/>
                <w:noProof/>
                <w:sz w:val="22"/>
              </w:rPr>
              <w:t>Pay gaps for other protected characterics groups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_Toc157514642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24</w:t>
            </w:r>
            <w:r w:rsidR="00D61CCF" w:rsidRPr="00D61CCF">
              <w:rPr>
                <w:rFonts w:ascii="IBM Plex Sans" w:hAnsi="IBM Plex Sans"/>
                <w:noProof/>
                <w:webHidden/>
                <w:sz w:val="22"/>
              </w:rPr>
              <w:fldChar w:fldCharType="end"/>
            </w:r>
          </w:hyperlink>
        </w:p>
        <w:p w14:paraId="12D86BDC" w14:textId="3246EB00"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3" w:history="1">
            <w:r w:rsidR="00D61CCF" w:rsidRPr="00D61CCF">
              <w:rPr>
                <w:rStyle w:val="Hyperlink"/>
                <w:rFonts w:ascii="IBM Plex Sans" w:hAnsi="IBM Plex Sans"/>
                <w:noProof/>
                <w:sz w:val="22"/>
              </w:rPr>
              <w:t>Ethnic minority groups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_Toc157514643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24</w:t>
            </w:r>
            <w:r w:rsidR="00D61CCF" w:rsidRPr="00D61CCF">
              <w:rPr>
                <w:rFonts w:ascii="IBM Plex Sans" w:hAnsi="IBM Plex Sans"/>
                <w:noProof/>
                <w:webHidden/>
                <w:sz w:val="22"/>
              </w:rPr>
              <w:fldChar w:fldCharType="end"/>
            </w:r>
          </w:hyperlink>
        </w:p>
        <w:p w14:paraId="13AE99FC" w14:textId="50F1C957"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4" w:history="1">
            <w:r w:rsidR="00D61CCF" w:rsidRPr="00D61CCF">
              <w:rPr>
                <w:rStyle w:val="Hyperlink"/>
                <w:rFonts w:ascii="IBM Plex Sans" w:hAnsi="IBM Plex Sans"/>
                <w:noProof/>
                <w:sz w:val="22"/>
              </w:rPr>
              <w:t>Ethnicity pay gap</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_Toc157514644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25</w:t>
            </w:r>
            <w:r w:rsidR="00D61CCF" w:rsidRPr="00D61CCF">
              <w:rPr>
                <w:rFonts w:ascii="IBM Plex Sans" w:hAnsi="IBM Plex Sans"/>
                <w:noProof/>
                <w:webHidden/>
                <w:sz w:val="22"/>
              </w:rPr>
              <w:fldChar w:fldCharType="end"/>
            </w:r>
          </w:hyperlink>
        </w:p>
        <w:p w14:paraId="2C5621D4" w14:textId="77999EB4"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5" w:history="1">
            <w:r w:rsidR="00D61CCF" w:rsidRPr="00D61CCF">
              <w:rPr>
                <w:rStyle w:val="Hyperlink"/>
                <w:rFonts w:ascii="IBM Plex Sans" w:hAnsi="IBM Plex Sans"/>
                <w:noProof/>
                <w:sz w:val="22"/>
              </w:rPr>
              <w:t>Disability pay gaps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_Toc157514645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27</w:t>
            </w:r>
            <w:r w:rsidR="00D61CCF" w:rsidRPr="00D61CCF">
              <w:rPr>
                <w:rFonts w:ascii="IBM Plex Sans" w:hAnsi="IBM Plex Sans"/>
                <w:noProof/>
                <w:webHidden/>
                <w:sz w:val="22"/>
              </w:rPr>
              <w:fldChar w:fldCharType="end"/>
            </w:r>
          </w:hyperlink>
        </w:p>
        <w:p w14:paraId="7F5C8E37" w14:textId="63CC5DBA" w:rsidR="00D61CCF" w:rsidRPr="00D61CCF" w:rsidRDefault="003544A4" w:rsidP="00D61CCF">
          <w:pPr>
            <w:pStyle w:val="TOC1"/>
            <w:tabs>
              <w:tab w:val="right" w:leader="dot" w:pos="9350"/>
            </w:tabs>
            <w:spacing w:before="0" w:after="0"/>
            <w:rPr>
              <w:rFonts w:ascii="IBM Plex Sans" w:hAnsi="IBM Plex Sans"/>
              <w:noProof/>
              <w:kern w:val="2"/>
              <w:sz w:val="22"/>
              <w:lang w:val="en-GB" w:eastAsia="en-GB"/>
              <w14:ligatures w14:val="standardContextual"/>
            </w:rPr>
          </w:pPr>
          <w:hyperlink w:anchor="_Toc157514646" w:history="1">
            <w:r w:rsidR="00D61CCF" w:rsidRPr="00D61CCF">
              <w:rPr>
                <w:rStyle w:val="Hyperlink"/>
                <w:rFonts w:ascii="IBM Plex Sans" w:hAnsi="IBM Plex Sans"/>
                <w:noProof/>
                <w:sz w:val="22"/>
              </w:rPr>
              <w:t>LGB+ pay gap</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_Toc157514646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Pr>
                <w:rFonts w:ascii="IBM Plex Sans" w:hAnsi="IBM Plex Sans"/>
                <w:noProof/>
                <w:webHidden/>
                <w:sz w:val="22"/>
              </w:rPr>
              <w:t>28</w:t>
            </w:r>
            <w:r w:rsidR="00D61CCF" w:rsidRPr="00D61CCF">
              <w:rPr>
                <w:rFonts w:ascii="IBM Plex Sans" w:hAnsi="IBM Plex Sans"/>
                <w:noProof/>
                <w:webHidden/>
                <w:sz w:val="22"/>
              </w:rPr>
              <w:fldChar w:fldCharType="end"/>
            </w:r>
          </w:hyperlink>
        </w:p>
        <w:p w14:paraId="55493A70" w14:textId="1CC8C9C5" w:rsidR="007D261C" w:rsidRPr="00830C4B" w:rsidRDefault="00064148" w:rsidP="00D61CCF">
          <w:pPr>
            <w:pStyle w:val="TableofFigures"/>
            <w:tabs>
              <w:tab w:val="left" w:pos="1320"/>
              <w:tab w:val="right" w:leader="dot" w:pos="9350"/>
            </w:tabs>
            <w:spacing w:before="0"/>
            <w:jc w:val="both"/>
            <w:rPr>
              <w:rFonts w:ascii="IBM Plex Sans" w:hAnsi="IBM Plex Sans" w:cs="Calibri"/>
              <w:sz w:val="22"/>
            </w:rPr>
          </w:pPr>
          <w:r w:rsidRPr="00D61CCF">
            <w:rPr>
              <w:rStyle w:val="Hyperlink"/>
              <w:rFonts w:ascii="IBM Plex Sans" w:hAnsi="IBM Plex Sans"/>
              <w:noProof/>
              <w:color w:val="auto"/>
              <w:sz w:val="22"/>
            </w:rPr>
            <w:fldChar w:fldCharType="end"/>
          </w:r>
        </w:p>
      </w:sdtContent>
    </w:sdt>
    <w:p w14:paraId="3A84FE8B" w14:textId="49C4B5D3" w:rsidR="00230E18" w:rsidRPr="00EA5592" w:rsidRDefault="00230E18" w:rsidP="004D1927">
      <w:pPr>
        <w:spacing w:before="0" w:after="0"/>
        <w:jc w:val="both"/>
        <w:rPr>
          <w:rFonts w:ascii="IBM Plex Sans Medium" w:eastAsiaTheme="majorEastAsia" w:hAnsi="IBM Plex Sans Medium" w:cs="Calibri"/>
          <w:color w:val="5C00D6"/>
          <w:sz w:val="22"/>
          <w:lang w:bidi="en-US"/>
        </w:rPr>
      </w:pPr>
      <w:r w:rsidRPr="00EA5592">
        <w:rPr>
          <w:rFonts w:ascii="IBM Plex Sans Medium" w:eastAsiaTheme="majorEastAsia" w:hAnsi="IBM Plex Sans Medium" w:cs="Calibri"/>
          <w:color w:val="5C00D6"/>
          <w:sz w:val="22"/>
          <w:lang w:bidi="en-US"/>
        </w:rPr>
        <w:t>Figures</w:t>
      </w:r>
    </w:p>
    <w:p w14:paraId="3246CEBB" w14:textId="489713B2" w:rsidR="00D61CCF" w:rsidRPr="00D61CCF" w:rsidRDefault="00567D6B" w:rsidP="00D61CCF">
      <w:pPr>
        <w:pStyle w:val="TableofFigures"/>
        <w:tabs>
          <w:tab w:val="right" w:leader="dot" w:pos="9350"/>
        </w:tabs>
        <w:spacing w:before="0"/>
        <w:rPr>
          <w:rFonts w:ascii="IBM Plex Sans" w:hAnsi="IBM Plex Sans"/>
          <w:noProof/>
          <w:kern w:val="2"/>
          <w:sz w:val="22"/>
          <w:lang w:val="en-GB" w:eastAsia="en-GB"/>
          <w14:ligatures w14:val="standardContextual"/>
        </w:rPr>
      </w:pPr>
      <w:r w:rsidRPr="00D61CCF">
        <w:rPr>
          <w:rFonts w:ascii="IBM Plex Sans" w:eastAsiaTheme="majorEastAsia" w:hAnsi="IBM Plex Sans" w:cs="Calibri"/>
          <w:sz w:val="22"/>
          <w:lang w:bidi="en-US"/>
        </w:rPr>
        <w:fldChar w:fldCharType="begin"/>
      </w:r>
      <w:r w:rsidRPr="00D61CCF">
        <w:rPr>
          <w:rFonts w:ascii="IBM Plex Sans" w:eastAsiaTheme="majorEastAsia" w:hAnsi="IBM Plex Sans" w:cs="Calibri"/>
          <w:sz w:val="22"/>
          <w:lang w:bidi="en-US"/>
        </w:rPr>
        <w:instrText xml:space="preserve"> TOC \h \z \c "Figure" </w:instrText>
      </w:r>
      <w:r w:rsidRPr="00D61CCF">
        <w:rPr>
          <w:rFonts w:ascii="IBM Plex Sans" w:eastAsiaTheme="majorEastAsia" w:hAnsi="IBM Plex Sans" w:cs="Calibri"/>
          <w:sz w:val="22"/>
          <w:lang w:bidi="en-US"/>
        </w:rPr>
        <w:fldChar w:fldCharType="separate"/>
      </w:r>
      <w:hyperlink w:anchor="_Toc157514653" w:history="1">
        <w:r w:rsidR="00D61CCF" w:rsidRPr="00D61CCF">
          <w:rPr>
            <w:rStyle w:val="Hyperlink"/>
            <w:rFonts w:ascii="IBM Plex Sans" w:hAnsi="IBM Plex Sans" w:cs="Calibri"/>
            <w:noProof/>
            <w:sz w:val="22"/>
          </w:rPr>
          <w:t>Figure 1 Public Health Wales compared to national statistics on the gender pay gap</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_Toc157514653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9</w:t>
        </w:r>
        <w:r w:rsidR="00D61CCF" w:rsidRPr="00D61CCF">
          <w:rPr>
            <w:rFonts w:ascii="IBM Plex Sans" w:hAnsi="IBM Plex Sans"/>
            <w:noProof/>
            <w:webHidden/>
            <w:sz w:val="22"/>
          </w:rPr>
          <w:fldChar w:fldCharType="end"/>
        </w:r>
      </w:hyperlink>
    </w:p>
    <w:p w14:paraId="6175B506" w14:textId="0A9A6453"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4" w:history="1">
        <w:r w:rsidR="00D61CCF" w:rsidRPr="00D61CCF">
          <w:rPr>
            <w:rStyle w:val="Hyperlink"/>
            <w:rFonts w:ascii="IBM Plex Sans" w:hAnsi="IBM Plex Sans" w:cs="Calibri"/>
            <w:noProof/>
            <w:sz w:val="22"/>
          </w:rPr>
          <w:t>Figure 2 Public Health Wales gender pay gap 2017 to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_Toc157514654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10</w:t>
        </w:r>
        <w:r w:rsidR="00D61CCF" w:rsidRPr="00D61CCF">
          <w:rPr>
            <w:rFonts w:ascii="IBM Plex Sans" w:hAnsi="IBM Plex Sans"/>
            <w:noProof/>
            <w:webHidden/>
            <w:sz w:val="22"/>
          </w:rPr>
          <w:fldChar w:fldCharType="end"/>
        </w:r>
      </w:hyperlink>
    </w:p>
    <w:p w14:paraId="7BAE7FE4" w14:textId="194E8F9F"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5" w:history="1">
        <w:r w:rsidR="00D61CCF" w:rsidRPr="00D61CCF">
          <w:rPr>
            <w:rStyle w:val="Hyperlink"/>
            <w:rFonts w:ascii="IBM Plex Sans" w:hAnsi="IBM Plex Sans" w:cs="Calibri"/>
            <w:noProof/>
            <w:sz w:val="22"/>
          </w:rPr>
          <w:t>Figure 3 Proportion of men and women in each pay quarter</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_Toc157514655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11</w:t>
        </w:r>
        <w:r w:rsidR="00D61CCF" w:rsidRPr="00D61CCF">
          <w:rPr>
            <w:rFonts w:ascii="IBM Plex Sans" w:hAnsi="IBM Plex Sans"/>
            <w:noProof/>
            <w:webHidden/>
            <w:sz w:val="22"/>
          </w:rPr>
          <w:fldChar w:fldCharType="end"/>
        </w:r>
      </w:hyperlink>
    </w:p>
    <w:p w14:paraId="706D506D" w14:textId="72D165E4"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6" w:history="1">
        <w:r w:rsidR="00D61CCF" w:rsidRPr="00D61CCF">
          <w:rPr>
            <w:rStyle w:val="Hyperlink"/>
            <w:rFonts w:ascii="IBM Plex Sans" w:hAnsi="IBM Plex Sans" w:cs="Calibri"/>
            <w:noProof/>
            <w:sz w:val="22"/>
          </w:rPr>
          <w:t>Figure 4 Proportion of men and women in each pay quarter 2017 to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_Toc157514656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12</w:t>
        </w:r>
        <w:r w:rsidR="00D61CCF" w:rsidRPr="00D61CCF">
          <w:rPr>
            <w:rFonts w:ascii="IBM Plex Sans" w:hAnsi="IBM Plex Sans"/>
            <w:noProof/>
            <w:webHidden/>
            <w:sz w:val="22"/>
          </w:rPr>
          <w:fldChar w:fldCharType="end"/>
        </w:r>
      </w:hyperlink>
    </w:p>
    <w:p w14:paraId="2CB35684" w14:textId="10F9D9C8"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7" w:history="1">
        <w:r w:rsidR="00D61CCF" w:rsidRPr="00D61CCF">
          <w:rPr>
            <w:rStyle w:val="Hyperlink"/>
            <w:rFonts w:ascii="IBM Plex Sans" w:hAnsi="IBM Plex Sans" w:cs="Calibri"/>
            <w:noProof/>
            <w:sz w:val="22"/>
          </w:rPr>
          <w:t>Figure 5 Earnings distribution for men and women at Public Health Wales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_Toc157514657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13</w:t>
        </w:r>
        <w:r w:rsidR="00D61CCF" w:rsidRPr="00D61CCF">
          <w:rPr>
            <w:rFonts w:ascii="IBM Plex Sans" w:hAnsi="IBM Plex Sans"/>
            <w:noProof/>
            <w:webHidden/>
            <w:sz w:val="22"/>
          </w:rPr>
          <w:fldChar w:fldCharType="end"/>
        </w:r>
      </w:hyperlink>
    </w:p>
    <w:p w14:paraId="770AD599" w14:textId="0160912C"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8" w:history="1">
        <w:r w:rsidR="00D61CCF" w:rsidRPr="00D61CCF">
          <w:rPr>
            <w:rStyle w:val="Hyperlink"/>
            <w:rFonts w:ascii="IBM Plex Sans" w:eastAsiaTheme="minorHAnsi" w:hAnsi="IBM Plex Sans" w:cs="Calibri"/>
            <w:noProof/>
            <w:sz w:val="22"/>
          </w:rPr>
          <w:t>Figure 6 Gender pay gaps by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_Toc157514658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15</w:t>
        </w:r>
        <w:r w:rsidR="00D61CCF" w:rsidRPr="00D61CCF">
          <w:rPr>
            <w:rFonts w:ascii="IBM Plex Sans" w:hAnsi="IBM Plex Sans"/>
            <w:noProof/>
            <w:webHidden/>
            <w:sz w:val="22"/>
          </w:rPr>
          <w:fldChar w:fldCharType="end"/>
        </w:r>
      </w:hyperlink>
    </w:p>
    <w:p w14:paraId="75B15201" w14:textId="5C2D4388"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59" w:history="1">
        <w:r w:rsidR="00D61CCF" w:rsidRPr="00D61CCF">
          <w:rPr>
            <w:rStyle w:val="Hyperlink"/>
            <w:rFonts w:ascii="IBM Plex Sans" w:eastAsiaTheme="minorHAnsi" w:hAnsi="IBM Plex Sans" w:cs="Calibri"/>
            <w:noProof/>
            <w:sz w:val="22"/>
          </w:rPr>
          <w:t>Figure 7 Proportion of men and women in each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_Toc157514659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15</w:t>
        </w:r>
        <w:r w:rsidR="00D61CCF" w:rsidRPr="00D61CCF">
          <w:rPr>
            <w:rFonts w:ascii="IBM Plex Sans" w:hAnsi="IBM Plex Sans"/>
            <w:noProof/>
            <w:webHidden/>
            <w:sz w:val="22"/>
          </w:rPr>
          <w:fldChar w:fldCharType="end"/>
        </w:r>
      </w:hyperlink>
    </w:p>
    <w:p w14:paraId="2EA3E148" w14:textId="2E5830A0"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0" w:history="1">
        <w:r w:rsidR="00D61CCF" w:rsidRPr="00D61CCF">
          <w:rPr>
            <w:rStyle w:val="Hyperlink"/>
            <w:rFonts w:ascii="IBM Plex Sans" w:eastAsiaTheme="minorHAnsi" w:hAnsi="IBM Plex Sans" w:cs="Calibri"/>
            <w:noProof/>
            <w:sz w:val="22"/>
          </w:rPr>
          <w:t>Figure 8 Gender pay gaps for ordinary and basic pay</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_Toc157514660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17</w:t>
        </w:r>
        <w:r w:rsidR="00D61CCF" w:rsidRPr="00D61CCF">
          <w:rPr>
            <w:rFonts w:ascii="IBM Plex Sans" w:hAnsi="IBM Plex Sans"/>
            <w:noProof/>
            <w:webHidden/>
            <w:sz w:val="22"/>
          </w:rPr>
          <w:fldChar w:fldCharType="end"/>
        </w:r>
      </w:hyperlink>
    </w:p>
    <w:p w14:paraId="600656CE" w14:textId="3C55FAA1"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1" w:history="1">
        <w:r w:rsidR="00D61CCF" w:rsidRPr="00D61CCF">
          <w:rPr>
            <w:rStyle w:val="Hyperlink"/>
            <w:rFonts w:ascii="IBM Plex Sans" w:eastAsiaTheme="minorHAnsi" w:hAnsi="IBM Plex Sans" w:cs="Calibri"/>
            <w:noProof/>
            <w:sz w:val="22"/>
          </w:rPr>
          <w:t>Figure 9 Proportion of men and women in each directorate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_Toc157514661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18</w:t>
        </w:r>
        <w:r w:rsidR="00D61CCF" w:rsidRPr="00D61CCF">
          <w:rPr>
            <w:rFonts w:ascii="IBM Plex Sans" w:hAnsi="IBM Plex Sans"/>
            <w:noProof/>
            <w:webHidden/>
            <w:sz w:val="22"/>
          </w:rPr>
          <w:fldChar w:fldCharType="end"/>
        </w:r>
      </w:hyperlink>
    </w:p>
    <w:p w14:paraId="6E3CF9E5" w14:textId="5298111F"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2" w:history="1">
        <w:r w:rsidR="00D61CCF" w:rsidRPr="00D61CCF">
          <w:rPr>
            <w:rStyle w:val="Hyperlink"/>
            <w:rFonts w:ascii="IBM Plex Sans" w:eastAsiaTheme="minorHAnsi" w:hAnsi="IBM Plex Sans" w:cs="Calibri"/>
            <w:noProof/>
            <w:sz w:val="22"/>
          </w:rPr>
          <w:t>Figure 10 Gender pay gaps by length of service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_Toc157514662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19</w:t>
        </w:r>
        <w:r w:rsidR="00D61CCF" w:rsidRPr="00D61CCF">
          <w:rPr>
            <w:rFonts w:ascii="IBM Plex Sans" w:hAnsi="IBM Plex Sans"/>
            <w:noProof/>
            <w:webHidden/>
            <w:sz w:val="22"/>
          </w:rPr>
          <w:fldChar w:fldCharType="end"/>
        </w:r>
      </w:hyperlink>
    </w:p>
    <w:p w14:paraId="344BB6F6" w14:textId="54AB84F7"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3" w:history="1">
        <w:r w:rsidR="00D61CCF" w:rsidRPr="00D61CCF">
          <w:rPr>
            <w:rStyle w:val="Hyperlink"/>
            <w:rFonts w:ascii="IBM Plex Sans" w:eastAsiaTheme="minorHAnsi" w:hAnsi="IBM Plex Sans" w:cs="Calibri"/>
            <w:noProof/>
            <w:sz w:val="22"/>
          </w:rPr>
          <w:t>Figure 11 Gender pay gaps by length of service in grade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_Toc157514663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21</w:t>
        </w:r>
        <w:r w:rsidR="00D61CCF" w:rsidRPr="00D61CCF">
          <w:rPr>
            <w:rFonts w:ascii="IBM Plex Sans" w:hAnsi="IBM Plex Sans"/>
            <w:noProof/>
            <w:webHidden/>
            <w:sz w:val="22"/>
          </w:rPr>
          <w:fldChar w:fldCharType="end"/>
        </w:r>
      </w:hyperlink>
    </w:p>
    <w:p w14:paraId="57B6BD14" w14:textId="7918AC1F"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4" w:history="1">
        <w:r w:rsidR="00D61CCF" w:rsidRPr="00D61CCF">
          <w:rPr>
            <w:rStyle w:val="Hyperlink"/>
            <w:rFonts w:ascii="IBM Plex Sans" w:eastAsiaTheme="minorHAnsi" w:hAnsi="IBM Plex Sans" w:cs="Calibri"/>
            <w:noProof/>
            <w:sz w:val="22"/>
          </w:rPr>
          <w:t>Figure 12 Proportion of men and women with 5-10 years’ service in grade by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_Toc157514664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21</w:t>
        </w:r>
        <w:r w:rsidR="00D61CCF" w:rsidRPr="00D61CCF">
          <w:rPr>
            <w:rFonts w:ascii="IBM Plex Sans" w:hAnsi="IBM Plex Sans"/>
            <w:noProof/>
            <w:webHidden/>
            <w:sz w:val="22"/>
          </w:rPr>
          <w:fldChar w:fldCharType="end"/>
        </w:r>
      </w:hyperlink>
    </w:p>
    <w:p w14:paraId="18808D92" w14:textId="301B5010"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5" w:history="1">
        <w:r w:rsidR="00D61CCF" w:rsidRPr="00D61CCF">
          <w:rPr>
            <w:rStyle w:val="Hyperlink"/>
            <w:rFonts w:ascii="IBM Plex Sans" w:eastAsiaTheme="minorHAnsi" w:hAnsi="IBM Plex Sans" w:cs="Calibri"/>
            <w:noProof/>
            <w:sz w:val="22"/>
          </w:rPr>
          <w:t>Figure 13 Gender pay gaps by age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_Toc157514665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22</w:t>
        </w:r>
        <w:r w:rsidR="00D61CCF" w:rsidRPr="00D61CCF">
          <w:rPr>
            <w:rFonts w:ascii="IBM Plex Sans" w:hAnsi="IBM Plex Sans"/>
            <w:noProof/>
            <w:webHidden/>
            <w:sz w:val="22"/>
          </w:rPr>
          <w:fldChar w:fldCharType="end"/>
        </w:r>
      </w:hyperlink>
    </w:p>
    <w:p w14:paraId="16C3E3B2" w14:textId="5066840A"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6" w:history="1">
        <w:r w:rsidR="00D61CCF" w:rsidRPr="00D61CCF">
          <w:rPr>
            <w:rStyle w:val="Hyperlink"/>
            <w:rFonts w:ascii="IBM Plex Sans" w:hAnsi="IBM Plex Sans"/>
            <w:noProof/>
            <w:sz w:val="22"/>
          </w:rPr>
          <w:t>Figure 14 Ethnic demographics</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_Toc157514666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23</w:t>
        </w:r>
        <w:r w:rsidR="00D61CCF" w:rsidRPr="00D61CCF">
          <w:rPr>
            <w:rFonts w:ascii="IBM Plex Sans" w:hAnsi="IBM Plex Sans"/>
            <w:noProof/>
            <w:webHidden/>
            <w:sz w:val="22"/>
          </w:rPr>
          <w:fldChar w:fldCharType="end"/>
        </w:r>
      </w:hyperlink>
    </w:p>
    <w:p w14:paraId="7402EC57" w14:textId="5F656B22"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7" w:history="1">
        <w:r w:rsidR="00D61CCF" w:rsidRPr="00D61CCF">
          <w:rPr>
            <w:rStyle w:val="Hyperlink"/>
            <w:rFonts w:ascii="IBM Plex Sans" w:hAnsi="IBM Plex Sans"/>
            <w:noProof/>
            <w:sz w:val="22"/>
          </w:rPr>
          <w:t xml:space="preserve">Figure 15 </w:t>
        </w:r>
        <w:r w:rsidR="00D61CCF" w:rsidRPr="00D61CCF">
          <w:rPr>
            <w:rStyle w:val="Hyperlink"/>
            <w:rFonts w:ascii="IBM Plex Sans" w:hAnsi="IBM Plex Sans" w:cs="Calibri"/>
            <w:noProof/>
            <w:sz w:val="22"/>
          </w:rPr>
          <w:t>Proportion of new hires where ethnicity is 'not stated' or 'unspecified' by year</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_Toc157514667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24</w:t>
        </w:r>
        <w:r w:rsidR="00D61CCF" w:rsidRPr="00D61CCF">
          <w:rPr>
            <w:rFonts w:ascii="IBM Plex Sans" w:hAnsi="IBM Plex Sans"/>
            <w:noProof/>
            <w:webHidden/>
            <w:sz w:val="22"/>
          </w:rPr>
          <w:fldChar w:fldCharType="end"/>
        </w:r>
      </w:hyperlink>
    </w:p>
    <w:p w14:paraId="2F31CD27" w14:textId="37196B7B"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68" w:history="1">
        <w:r w:rsidR="00D61CCF" w:rsidRPr="00D61CCF">
          <w:rPr>
            <w:rStyle w:val="Hyperlink"/>
            <w:rFonts w:ascii="IBM Plex Sans" w:hAnsi="IBM Plex Sans" w:cs="Calibri"/>
            <w:noProof/>
            <w:sz w:val="22"/>
          </w:rPr>
          <w:t>Figure 16 Distribution of ethnic minority staff by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_Toc157514668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26</w:t>
        </w:r>
        <w:r w:rsidR="00D61CCF" w:rsidRPr="00D61CCF">
          <w:rPr>
            <w:rFonts w:ascii="IBM Plex Sans" w:hAnsi="IBM Plex Sans"/>
            <w:noProof/>
            <w:webHidden/>
            <w:sz w:val="22"/>
          </w:rPr>
          <w:fldChar w:fldCharType="end"/>
        </w:r>
      </w:hyperlink>
    </w:p>
    <w:p w14:paraId="1DAAB314" w14:textId="24981B46" w:rsidR="00D207A2" w:rsidRPr="00FC1CD7" w:rsidRDefault="00567D6B" w:rsidP="00D61CCF">
      <w:pPr>
        <w:spacing w:before="0" w:after="0"/>
        <w:rPr>
          <w:rFonts w:ascii="IBM Plex Sans" w:eastAsiaTheme="majorEastAsia" w:hAnsi="IBM Plex Sans" w:cs="Calibri"/>
          <w:sz w:val="22"/>
          <w:lang w:bidi="en-US"/>
        </w:rPr>
      </w:pPr>
      <w:r w:rsidRPr="00D61CCF">
        <w:rPr>
          <w:rFonts w:ascii="IBM Plex Sans" w:eastAsiaTheme="majorEastAsia" w:hAnsi="IBM Plex Sans" w:cs="Calibri"/>
          <w:sz w:val="22"/>
          <w:lang w:bidi="en-US"/>
        </w:rPr>
        <w:fldChar w:fldCharType="end"/>
      </w:r>
    </w:p>
    <w:p w14:paraId="52A267F1" w14:textId="0AF822B2" w:rsidR="000C5C6E" w:rsidRPr="00EA5592" w:rsidRDefault="000C5C6E" w:rsidP="004D1927">
      <w:pPr>
        <w:spacing w:before="0" w:after="0"/>
        <w:jc w:val="both"/>
        <w:rPr>
          <w:rFonts w:ascii="IBM Plex Sans Medium" w:eastAsiaTheme="majorEastAsia" w:hAnsi="IBM Plex Sans Medium" w:cs="Calibri"/>
          <w:color w:val="5C00D6"/>
          <w:sz w:val="22"/>
          <w:lang w:bidi="en-US"/>
        </w:rPr>
      </w:pPr>
      <w:r w:rsidRPr="00EA5592">
        <w:rPr>
          <w:rFonts w:ascii="IBM Plex Sans Medium" w:eastAsiaTheme="majorEastAsia" w:hAnsi="IBM Plex Sans Medium" w:cs="Calibri"/>
          <w:color w:val="5C00D6"/>
          <w:sz w:val="22"/>
          <w:lang w:bidi="en-US"/>
        </w:rPr>
        <w:t>Tables</w:t>
      </w:r>
    </w:p>
    <w:p w14:paraId="58BC083A" w14:textId="75503ACA" w:rsidR="00D61CCF" w:rsidRPr="00D61CCF" w:rsidRDefault="000C5C6E" w:rsidP="00D61CCF">
      <w:pPr>
        <w:pStyle w:val="TableofFigures"/>
        <w:tabs>
          <w:tab w:val="right" w:leader="dot" w:pos="9350"/>
        </w:tabs>
        <w:spacing w:before="0"/>
        <w:rPr>
          <w:rFonts w:ascii="IBM Plex Sans" w:hAnsi="IBM Plex Sans"/>
          <w:noProof/>
          <w:kern w:val="2"/>
          <w:sz w:val="22"/>
          <w:lang w:val="en-GB" w:eastAsia="en-GB"/>
          <w14:ligatures w14:val="standardContextual"/>
        </w:rPr>
      </w:pPr>
      <w:r w:rsidRPr="00D61CCF">
        <w:rPr>
          <w:rFonts w:ascii="IBM Plex Sans" w:eastAsiaTheme="majorEastAsia" w:hAnsi="IBM Plex Sans" w:cs="Calibri"/>
          <w:sz w:val="22"/>
          <w:lang w:bidi="en-US"/>
        </w:rPr>
        <w:fldChar w:fldCharType="begin"/>
      </w:r>
      <w:r w:rsidRPr="00D61CCF">
        <w:rPr>
          <w:rFonts w:ascii="IBM Plex Sans" w:eastAsiaTheme="majorEastAsia" w:hAnsi="IBM Plex Sans" w:cs="Calibri"/>
          <w:sz w:val="22"/>
          <w:lang w:bidi="en-US"/>
        </w:rPr>
        <w:instrText xml:space="preserve"> TOC \h \z \c "Table" </w:instrText>
      </w:r>
      <w:r w:rsidRPr="00D61CCF">
        <w:rPr>
          <w:rFonts w:ascii="IBM Plex Sans" w:eastAsiaTheme="majorEastAsia" w:hAnsi="IBM Plex Sans" w:cs="Calibri"/>
          <w:sz w:val="22"/>
          <w:lang w:bidi="en-US"/>
        </w:rPr>
        <w:fldChar w:fldCharType="separate"/>
      </w:r>
      <w:hyperlink w:anchor="_Toc157514669" w:history="1">
        <w:r w:rsidR="00D61CCF" w:rsidRPr="00D61CCF">
          <w:rPr>
            <w:rStyle w:val="Hyperlink"/>
            <w:rFonts w:ascii="IBM Plex Sans" w:hAnsi="IBM Plex Sans" w:cs="Calibri"/>
            <w:noProof/>
            <w:sz w:val="22"/>
          </w:rPr>
          <w:t>Table 1 Gender pay gap: what to report</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_Toc157514669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7</w:t>
        </w:r>
        <w:r w:rsidR="00D61CCF" w:rsidRPr="00D61CCF">
          <w:rPr>
            <w:rFonts w:ascii="IBM Plex Sans" w:hAnsi="IBM Plex Sans"/>
            <w:noProof/>
            <w:webHidden/>
            <w:sz w:val="22"/>
          </w:rPr>
          <w:fldChar w:fldCharType="end"/>
        </w:r>
      </w:hyperlink>
    </w:p>
    <w:p w14:paraId="409472E9" w14:textId="01EED26B"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0" w:history="1">
        <w:r w:rsidR="00D61CCF" w:rsidRPr="00D61CCF">
          <w:rPr>
            <w:rStyle w:val="Hyperlink"/>
            <w:rFonts w:ascii="IBM Plex Sans" w:hAnsi="IBM Plex Sans" w:cs="Calibri"/>
            <w:noProof/>
            <w:sz w:val="22"/>
          </w:rPr>
          <w:t>Table 2 Public Health Wales gender pay gap at 31 March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_Toc157514670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8</w:t>
        </w:r>
        <w:r w:rsidR="00D61CCF" w:rsidRPr="00D61CCF">
          <w:rPr>
            <w:rFonts w:ascii="IBM Plex Sans" w:hAnsi="IBM Plex Sans"/>
            <w:noProof/>
            <w:webHidden/>
            <w:sz w:val="22"/>
          </w:rPr>
          <w:fldChar w:fldCharType="end"/>
        </w:r>
      </w:hyperlink>
    </w:p>
    <w:p w14:paraId="1A092652" w14:textId="3DEADFE4"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1" w:history="1">
        <w:r w:rsidR="00D61CCF" w:rsidRPr="00D61CCF">
          <w:rPr>
            <w:rStyle w:val="Hyperlink"/>
            <w:rFonts w:ascii="IBM Plex Sans" w:hAnsi="IBM Plex Sans" w:cs="Calibri"/>
            <w:noProof/>
            <w:sz w:val="22"/>
          </w:rPr>
          <w:t>Table 3 Proportion of men and women in each pay quarter 2017 to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_Toc157514671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12</w:t>
        </w:r>
        <w:r w:rsidR="00D61CCF" w:rsidRPr="00D61CCF">
          <w:rPr>
            <w:rFonts w:ascii="IBM Plex Sans" w:hAnsi="IBM Plex Sans"/>
            <w:noProof/>
            <w:webHidden/>
            <w:sz w:val="22"/>
          </w:rPr>
          <w:fldChar w:fldCharType="end"/>
        </w:r>
      </w:hyperlink>
    </w:p>
    <w:p w14:paraId="6C0FCAD0" w14:textId="5C20EE4F"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2" w:history="1">
        <w:r w:rsidR="00D61CCF" w:rsidRPr="00D61CCF">
          <w:rPr>
            <w:rStyle w:val="Hyperlink"/>
            <w:rFonts w:ascii="IBM Plex Sans" w:eastAsiaTheme="minorHAnsi" w:hAnsi="IBM Plex Sans" w:cs="Calibri"/>
            <w:noProof/>
            <w:sz w:val="22"/>
          </w:rPr>
          <w:t>Table 4 Gender pay gaps by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_Toc157514672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16</w:t>
        </w:r>
        <w:r w:rsidR="00D61CCF" w:rsidRPr="00D61CCF">
          <w:rPr>
            <w:rFonts w:ascii="IBM Plex Sans" w:hAnsi="IBM Plex Sans"/>
            <w:noProof/>
            <w:webHidden/>
            <w:sz w:val="22"/>
          </w:rPr>
          <w:fldChar w:fldCharType="end"/>
        </w:r>
      </w:hyperlink>
    </w:p>
    <w:p w14:paraId="34E48227" w14:textId="5490D064"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3" w:history="1">
        <w:r w:rsidR="00D61CCF" w:rsidRPr="00D61CCF">
          <w:rPr>
            <w:rStyle w:val="Hyperlink"/>
            <w:rFonts w:ascii="IBM Plex Sans" w:eastAsiaTheme="minorHAnsi" w:hAnsi="IBM Plex Sans" w:cs="Calibri"/>
            <w:noProof/>
            <w:sz w:val="22"/>
          </w:rPr>
          <w:t>Table 5 Gender pay gaps by directorate</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_Toc157514673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18</w:t>
        </w:r>
        <w:r w:rsidR="00D61CCF" w:rsidRPr="00D61CCF">
          <w:rPr>
            <w:rFonts w:ascii="IBM Plex Sans" w:hAnsi="IBM Plex Sans"/>
            <w:noProof/>
            <w:webHidden/>
            <w:sz w:val="22"/>
          </w:rPr>
          <w:fldChar w:fldCharType="end"/>
        </w:r>
      </w:hyperlink>
    </w:p>
    <w:p w14:paraId="3D61DDEC" w14:textId="160647FC"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4" w:history="1">
        <w:r w:rsidR="00D61CCF" w:rsidRPr="00D61CCF">
          <w:rPr>
            <w:rStyle w:val="Hyperlink"/>
            <w:rFonts w:ascii="IBM Plex Sans" w:eastAsiaTheme="minorHAnsi" w:hAnsi="IBM Plex Sans" w:cs="Calibri"/>
            <w:noProof/>
            <w:sz w:val="22"/>
          </w:rPr>
          <w:t>Table 6 Gender pay gaps by length of service and pay band</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_Toc157514674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20</w:t>
        </w:r>
        <w:r w:rsidR="00D61CCF" w:rsidRPr="00D61CCF">
          <w:rPr>
            <w:rFonts w:ascii="IBM Plex Sans" w:hAnsi="IBM Plex Sans"/>
            <w:noProof/>
            <w:webHidden/>
            <w:sz w:val="22"/>
          </w:rPr>
          <w:fldChar w:fldCharType="end"/>
        </w:r>
      </w:hyperlink>
    </w:p>
    <w:p w14:paraId="6E8B72B6" w14:textId="61DB610A"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5" w:history="1">
        <w:r w:rsidR="00D61CCF" w:rsidRPr="00D61CCF">
          <w:rPr>
            <w:rStyle w:val="Hyperlink"/>
            <w:rFonts w:ascii="IBM Plex Sans" w:hAnsi="IBM Plex Sans" w:cs="Calibri"/>
            <w:noProof/>
            <w:sz w:val="22"/>
          </w:rPr>
          <w:t>Table 7 Public Health Wales ethnicity pay gaps on 31 March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_Toc157514675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25</w:t>
        </w:r>
        <w:r w:rsidR="00D61CCF" w:rsidRPr="00D61CCF">
          <w:rPr>
            <w:rFonts w:ascii="IBM Plex Sans" w:hAnsi="IBM Plex Sans"/>
            <w:noProof/>
            <w:webHidden/>
            <w:sz w:val="22"/>
          </w:rPr>
          <w:fldChar w:fldCharType="end"/>
        </w:r>
      </w:hyperlink>
    </w:p>
    <w:p w14:paraId="76BC90FF" w14:textId="3B89F014"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6" w:history="1">
        <w:r w:rsidR="00D61CCF" w:rsidRPr="00D61CCF">
          <w:rPr>
            <w:rStyle w:val="Hyperlink"/>
            <w:rFonts w:ascii="IBM Plex Sans" w:hAnsi="IBM Plex Sans" w:cs="Calibri"/>
            <w:noProof/>
            <w:sz w:val="22"/>
          </w:rPr>
          <w:t>Table 8 Disability pay gap at 31 March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_Toc157514676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26</w:t>
        </w:r>
        <w:r w:rsidR="00D61CCF" w:rsidRPr="00D61CCF">
          <w:rPr>
            <w:rFonts w:ascii="IBM Plex Sans" w:hAnsi="IBM Plex Sans"/>
            <w:noProof/>
            <w:webHidden/>
            <w:sz w:val="22"/>
          </w:rPr>
          <w:fldChar w:fldCharType="end"/>
        </w:r>
      </w:hyperlink>
    </w:p>
    <w:p w14:paraId="3B138198" w14:textId="6DCB7665" w:rsidR="00D61CCF" w:rsidRPr="00D61CCF" w:rsidRDefault="003544A4" w:rsidP="00D61CCF">
      <w:pPr>
        <w:pStyle w:val="TableofFigures"/>
        <w:tabs>
          <w:tab w:val="right" w:leader="dot" w:pos="9350"/>
        </w:tabs>
        <w:spacing w:before="0"/>
        <w:rPr>
          <w:rFonts w:ascii="IBM Plex Sans" w:hAnsi="IBM Plex Sans"/>
          <w:noProof/>
          <w:kern w:val="2"/>
          <w:sz w:val="22"/>
          <w:lang w:val="en-GB" w:eastAsia="en-GB"/>
          <w14:ligatures w14:val="standardContextual"/>
        </w:rPr>
      </w:pPr>
      <w:hyperlink w:anchor="_Toc157514677" w:history="1">
        <w:r w:rsidR="00D61CCF" w:rsidRPr="00D61CCF">
          <w:rPr>
            <w:rStyle w:val="Hyperlink"/>
            <w:rFonts w:ascii="IBM Plex Sans" w:hAnsi="IBM Plex Sans" w:cs="Calibri"/>
            <w:noProof/>
            <w:sz w:val="22"/>
          </w:rPr>
          <w:t>Table 9 LGB+ pay gap at 31 March 2023</w:t>
        </w:r>
        <w:r w:rsidR="00D61CCF" w:rsidRPr="00D61CCF">
          <w:rPr>
            <w:rFonts w:ascii="IBM Plex Sans" w:hAnsi="IBM Plex Sans"/>
            <w:noProof/>
            <w:webHidden/>
            <w:sz w:val="22"/>
          </w:rPr>
          <w:tab/>
        </w:r>
        <w:r w:rsidR="00D61CCF" w:rsidRPr="00D61CCF">
          <w:rPr>
            <w:rFonts w:ascii="IBM Plex Sans" w:hAnsi="IBM Plex Sans"/>
            <w:noProof/>
            <w:webHidden/>
            <w:sz w:val="22"/>
          </w:rPr>
          <w:fldChar w:fldCharType="begin"/>
        </w:r>
        <w:r w:rsidR="00D61CCF" w:rsidRPr="00D61CCF">
          <w:rPr>
            <w:rFonts w:ascii="IBM Plex Sans" w:hAnsi="IBM Plex Sans"/>
            <w:noProof/>
            <w:webHidden/>
            <w:sz w:val="22"/>
          </w:rPr>
          <w:instrText xml:space="preserve"> PAGEREF _Toc157514677 \h </w:instrText>
        </w:r>
        <w:r w:rsidR="00D61CCF" w:rsidRPr="00D61CCF">
          <w:rPr>
            <w:rFonts w:ascii="IBM Plex Sans" w:hAnsi="IBM Plex Sans"/>
            <w:noProof/>
            <w:webHidden/>
            <w:sz w:val="22"/>
          </w:rPr>
        </w:r>
        <w:r w:rsidR="00D61CCF" w:rsidRPr="00D61CCF">
          <w:rPr>
            <w:rFonts w:ascii="IBM Plex Sans" w:hAnsi="IBM Plex Sans"/>
            <w:noProof/>
            <w:webHidden/>
            <w:sz w:val="22"/>
          </w:rPr>
          <w:fldChar w:fldCharType="separate"/>
        </w:r>
        <w:r w:rsidR="006E5383">
          <w:rPr>
            <w:rFonts w:ascii="IBM Plex Sans" w:hAnsi="IBM Plex Sans"/>
            <w:noProof/>
            <w:webHidden/>
            <w:sz w:val="22"/>
          </w:rPr>
          <w:t>27</w:t>
        </w:r>
        <w:r w:rsidR="00D61CCF" w:rsidRPr="00D61CCF">
          <w:rPr>
            <w:rFonts w:ascii="IBM Plex Sans" w:hAnsi="IBM Plex Sans"/>
            <w:noProof/>
            <w:webHidden/>
            <w:sz w:val="22"/>
          </w:rPr>
          <w:fldChar w:fldCharType="end"/>
        </w:r>
      </w:hyperlink>
    </w:p>
    <w:p w14:paraId="0CFBC19F" w14:textId="765F80E7" w:rsidR="00262438" w:rsidRDefault="000C5C6E" w:rsidP="00D61CCF">
      <w:pPr>
        <w:pStyle w:val="TableofFigures"/>
        <w:tabs>
          <w:tab w:val="right" w:leader="dot" w:pos="9350"/>
        </w:tabs>
        <w:spacing w:before="0"/>
        <w:rPr>
          <w:rFonts w:ascii="IBM Plex Sans" w:eastAsiaTheme="majorEastAsia" w:hAnsi="IBM Plex Sans" w:cs="Calibri"/>
          <w:sz w:val="22"/>
          <w:lang w:bidi="en-US"/>
        </w:rPr>
      </w:pPr>
      <w:r w:rsidRPr="00D61CCF">
        <w:rPr>
          <w:rFonts w:ascii="IBM Plex Sans" w:eastAsiaTheme="majorEastAsia" w:hAnsi="IBM Plex Sans" w:cs="Calibri"/>
          <w:sz w:val="22"/>
          <w:lang w:bidi="en-US"/>
        </w:rPr>
        <w:fldChar w:fldCharType="end"/>
      </w:r>
    </w:p>
    <w:p w14:paraId="72A07D6A" w14:textId="77777777" w:rsidR="00262438" w:rsidRDefault="00262438">
      <w:pPr>
        <w:spacing w:before="0" w:line="480" w:lineRule="auto"/>
        <w:ind w:firstLine="357"/>
        <w:rPr>
          <w:rFonts w:ascii="IBM Plex Sans" w:eastAsiaTheme="majorEastAsia" w:hAnsi="IBM Plex Sans" w:cs="Calibri"/>
          <w:sz w:val="22"/>
          <w:lang w:bidi="en-US"/>
        </w:rPr>
      </w:pPr>
      <w:r>
        <w:rPr>
          <w:rFonts w:ascii="IBM Plex Sans" w:eastAsiaTheme="majorEastAsia" w:hAnsi="IBM Plex Sans" w:cs="Calibri"/>
          <w:sz w:val="22"/>
          <w:lang w:bidi="en-US"/>
        </w:rPr>
        <w:br w:type="page"/>
      </w:r>
    </w:p>
    <w:p w14:paraId="79D60C5E" w14:textId="313FAB6F" w:rsidR="001942E5" w:rsidRPr="00C57399" w:rsidRDefault="00D72056" w:rsidP="005B400F">
      <w:pPr>
        <w:pStyle w:val="TableofFigures"/>
        <w:tabs>
          <w:tab w:val="right" w:leader="dot" w:pos="9350"/>
        </w:tabs>
        <w:spacing w:before="0"/>
        <w:outlineLvl w:val="0"/>
        <w:rPr>
          <w:rFonts w:ascii="IBM Plex Sans Light" w:eastAsiaTheme="minorHAnsi" w:hAnsi="IBM Plex Sans Light" w:cs="Calibri"/>
          <w:color w:val="5C00D6"/>
          <w:sz w:val="32"/>
          <w:szCs w:val="32"/>
        </w:rPr>
      </w:pPr>
      <w:bookmarkStart w:id="0" w:name="_Toc157514628"/>
      <w:r w:rsidRPr="00C57399">
        <w:rPr>
          <w:rFonts w:ascii="IBM Plex Sans Light" w:eastAsiaTheme="minorHAnsi" w:hAnsi="IBM Plex Sans Light" w:cs="Calibri"/>
          <w:color w:val="5C00D6"/>
          <w:sz w:val="32"/>
          <w:szCs w:val="32"/>
        </w:rPr>
        <w:lastRenderedPageBreak/>
        <w:t>Introduction and recommendations</w:t>
      </w:r>
      <w:bookmarkEnd w:id="0"/>
    </w:p>
    <w:p w14:paraId="0EC80CA4" w14:textId="090F4BE6" w:rsidR="00E3435E" w:rsidRPr="00C57399" w:rsidRDefault="00000DBD" w:rsidP="00343045">
      <w:pPr>
        <w:pStyle w:val="Heading2"/>
        <w:spacing w:before="0"/>
        <w:rPr>
          <w:rFonts w:ascii="IBM Plex Sans Medium" w:eastAsiaTheme="minorHAnsi" w:hAnsi="IBM Plex Sans Medium" w:cs="Calibri"/>
          <w:color w:val="5C00D6"/>
          <w:sz w:val="22"/>
          <w:szCs w:val="22"/>
        </w:rPr>
      </w:pPr>
      <w:bookmarkStart w:id="1" w:name="_Toc157514629"/>
      <w:r w:rsidRPr="00C57399">
        <w:rPr>
          <w:rFonts w:ascii="IBM Plex Sans Medium" w:eastAsiaTheme="minorHAnsi" w:hAnsi="IBM Plex Sans Medium" w:cs="Calibri"/>
          <w:color w:val="5C00D6"/>
          <w:sz w:val="22"/>
          <w:szCs w:val="22"/>
        </w:rPr>
        <w:t>Introduction</w:t>
      </w:r>
      <w:bookmarkEnd w:id="1"/>
    </w:p>
    <w:p w14:paraId="07C6FDE6" w14:textId="77777777" w:rsidR="00BC7C73" w:rsidRPr="0053622F" w:rsidRDefault="007A6F54" w:rsidP="0053622F">
      <w:pPr>
        <w:pStyle w:val="PlainText"/>
        <w:spacing w:line="360" w:lineRule="auto"/>
        <w:jc w:val="both"/>
        <w:rPr>
          <w:rFonts w:ascii="IBM Plex Sans" w:hAnsi="IBM Plex Sans" w:cs="Arial"/>
          <w:szCs w:val="22"/>
        </w:rPr>
      </w:pPr>
      <w:r w:rsidRPr="0066218C">
        <w:rPr>
          <w:rFonts w:ascii="IBM Plex Sans" w:hAnsi="IBM Plex Sans" w:cs="Arial"/>
        </w:rPr>
        <w:t xml:space="preserve">Public Health </w:t>
      </w:r>
      <w:r w:rsidR="00C3669E" w:rsidRPr="0066218C">
        <w:rPr>
          <w:rFonts w:ascii="IBM Plex Sans" w:hAnsi="IBM Plex Sans" w:cs="Arial"/>
        </w:rPr>
        <w:t>Wales is</w:t>
      </w:r>
      <w:r w:rsidR="00C745C2" w:rsidRPr="0066218C">
        <w:rPr>
          <w:rFonts w:ascii="IBM Plex Sans" w:hAnsi="IBM Plex Sans" w:cs="Arial"/>
        </w:rPr>
        <w:t xml:space="preserve"> the national public health organisation for Wales. With its partners, it aims to increase healthy life expectancy, improve health and well-being, and reduce inequalities for </w:t>
      </w:r>
      <w:r w:rsidR="00C745C2" w:rsidRPr="0053622F">
        <w:rPr>
          <w:rFonts w:ascii="IBM Plex Sans" w:hAnsi="IBM Plex Sans" w:cs="Arial"/>
          <w:szCs w:val="22"/>
        </w:rPr>
        <w:t xml:space="preserve">everyone in Wales, now and for future generations. </w:t>
      </w:r>
    </w:p>
    <w:p w14:paraId="5C06E4BA" w14:textId="77777777" w:rsidR="00BC7C73" w:rsidRPr="0053622F" w:rsidRDefault="00BC7C73" w:rsidP="0053622F">
      <w:pPr>
        <w:pStyle w:val="PlainText"/>
        <w:spacing w:line="360" w:lineRule="auto"/>
        <w:jc w:val="both"/>
        <w:rPr>
          <w:rFonts w:ascii="IBM Plex Sans" w:hAnsi="IBM Plex Sans" w:cs="Arial"/>
          <w:szCs w:val="22"/>
        </w:rPr>
      </w:pPr>
    </w:p>
    <w:p w14:paraId="2A050646" w14:textId="557B2A5A" w:rsidR="008B3EB3" w:rsidRPr="0053622F" w:rsidRDefault="00BC7C73" w:rsidP="0053622F">
      <w:pPr>
        <w:spacing w:before="0" w:after="0"/>
        <w:jc w:val="both"/>
        <w:rPr>
          <w:rFonts w:ascii="IBM Plex Sans" w:hAnsi="IBM Plex Sans" w:cs="Arial"/>
          <w:sz w:val="22"/>
        </w:rPr>
      </w:pPr>
      <w:r w:rsidRPr="0053622F">
        <w:rPr>
          <w:rFonts w:ascii="IBM Plex Sans" w:eastAsiaTheme="minorHAnsi" w:hAnsi="IBM Plex Sans"/>
          <w:bCs/>
          <w:iCs/>
          <w:sz w:val="22"/>
          <w:lang w:val="en-GB"/>
        </w:rPr>
        <w:t xml:space="preserve">This is the seventh year that Public Health Wales has </w:t>
      </w:r>
      <w:r w:rsidR="00774607" w:rsidRPr="0053622F">
        <w:rPr>
          <w:rFonts w:ascii="IBM Plex Sans" w:eastAsiaTheme="minorHAnsi" w:hAnsi="IBM Plex Sans"/>
          <w:bCs/>
          <w:iCs/>
          <w:sz w:val="22"/>
          <w:lang w:val="en-GB"/>
        </w:rPr>
        <w:t xml:space="preserve">reported </w:t>
      </w:r>
      <w:r w:rsidRPr="0053622F">
        <w:rPr>
          <w:rFonts w:ascii="IBM Plex Sans" w:eastAsiaTheme="minorHAnsi" w:hAnsi="IBM Plex Sans"/>
          <w:bCs/>
          <w:iCs/>
          <w:sz w:val="22"/>
          <w:lang w:val="en-GB"/>
        </w:rPr>
        <w:t xml:space="preserve">its gender pay gap </w:t>
      </w:r>
      <w:r w:rsidR="00774607" w:rsidRPr="0053622F">
        <w:rPr>
          <w:rFonts w:ascii="IBM Plex Sans" w:eastAsiaTheme="minorHAnsi" w:hAnsi="IBM Plex Sans"/>
          <w:bCs/>
          <w:iCs/>
          <w:sz w:val="22"/>
          <w:lang w:val="en-GB"/>
        </w:rPr>
        <w:t xml:space="preserve">under the statutory duty. </w:t>
      </w:r>
      <w:r w:rsidR="008B3EB3" w:rsidRPr="0053622F">
        <w:rPr>
          <w:rFonts w:ascii="IBM Plex Sans" w:hAnsi="IBM Plex Sans" w:cs="Arial"/>
          <w:sz w:val="22"/>
        </w:rPr>
        <w:t xml:space="preserve">This report examines pay gaps at Public Health Wales </w:t>
      </w:r>
      <w:r w:rsidR="00B71C67">
        <w:rPr>
          <w:rFonts w:ascii="IBM Plex Sans" w:hAnsi="IBM Plex Sans" w:cs="Arial"/>
          <w:sz w:val="22"/>
        </w:rPr>
        <w:t xml:space="preserve">based on data for 31 March 2023 </w:t>
      </w:r>
      <w:r w:rsidR="008B3EB3" w:rsidRPr="0053622F">
        <w:rPr>
          <w:rFonts w:ascii="IBM Plex Sans" w:hAnsi="IBM Plex Sans" w:cs="Arial"/>
          <w:sz w:val="22"/>
        </w:rPr>
        <w:t xml:space="preserve">using </w:t>
      </w:r>
      <w:r w:rsidR="00BF2B7C" w:rsidRPr="0053622F">
        <w:rPr>
          <w:rFonts w:ascii="IBM Plex Sans" w:hAnsi="IBM Plex Sans" w:cs="Arial"/>
          <w:sz w:val="22"/>
        </w:rPr>
        <w:t xml:space="preserve">key </w:t>
      </w:r>
      <w:r w:rsidR="008B3EB3" w:rsidRPr="0053622F">
        <w:rPr>
          <w:rFonts w:ascii="IBM Plex Sans" w:hAnsi="IBM Plex Sans" w:cs="Arial"/>
          <w:sz w:val="22"/>
        </w:rPr>
        <w:t xml:space="preserve">explanatory factors such as area of work, </w:t>
      </w:r>
      <w:r w:rsidR="00466528">
        <w:rPr>
          <w:rFonts w:ascii="IBM Plex Sans" w:hAnsi="IBM Plex Sans" w:cs="Arial"/>
          <w:sz w:val="22"/>
        </w:rPr>
        <w:t xml:space="preserve">employee </w:t>
      </w:r>
      <w:r w:rsidR="008B3EB3" w:rsidRPr="0053622F">
        <w:rPr>
          <w:rFonts w:ascii="IBM Plex Sans" w:hAnsi="IBM Plex Sans" w:cs="Arial"/>
          <w:sz w:val="22"/>
        </w:rPr>
        <w:t>age, length of service and other characteristics as appropriate</w:t>
      </w:r>
      <w:r w:rsidR="0053622F" w:rsidRPr="0053622F">
        <w:rPr>
          <w:rFonts w:ascii="IBM Plex Sans" w:hAnsi="IBM Plex Sans" w:cs="Arial"/>
          <w:sz w:val="22"/>
        </w:rPr>
        <w:t xml:space="preserve"> to better understand the causes and issues that give rise to the gender pay gap</w:t>
      </w:r>
      <w:r w:rsidR="004D273F" w:rsidRPr="0053622F">
        <w:rPr>
          <w:rFonts w:ascii="IBM Plex Sans" w:hAnsi="IBM Plex Sans" w:cs="Arial"/>
          <w:sz w:val="22"/>
        </w:rPr>
        <w:t>.</w:t>
      </w:r>
    </w:p>
    <w:p w14:paraId="1F5241E7" w14:textId="77777777" w:rsidR="00AC6A2F" w:rsidRPr="0053622F" w:rsidRDefault="00AC6A2F" w:rsidP="0053622F">
      <w:pPr>
        <w:pStyle w:val="PlainText"/>
        <w:spacing w:line="360" w:lineRule="auto"/>
        <w:jc w:val="both"/>
        <w:rPr>
          <w:rFonts w:ascii="IBM Plex Sans" w:hAnsi="IBM Plex Sans" w:cs="Arial"/>
          <w:szCs w:val="22"/>
          <w:highlight w:val="yellow"/>
        </w:rPr>
      </w:pPr>
    </w:p>
    <w:p w14:paraId="1A0A3720" w14:textId="2C819D70" w:rsidR="007D51A4" w:rsidRDefault="007D51A4" w:rsidP="007D51A4">
      <w:pPr>
        <w:pStyle w:val="Heading2"/>
        <w:spacing w:before="0"/>
        <w:rPr>
          <w:rFonts w:ascii="IBM Plex Sans Medium" w:eastAsiaTheme="minorHAnsi" w:hAnsi="IBM Plex Sans Medium" w:cs="Calibri"/>
          <w:color w:val="5C00D6"/>
          <w:sz w:val="22"/>
          <w:szCs w:val="22"/>
        </w:rPr>
      </w:pPr>
      <w:bookmarkStart w:id="2" w:name="_Toc157514630"/>
      <w:bookmarkStart w:id="3" w:name="_Toc19463143"/>
      <w:bookmarkStart w:id="4" w:name="_Toc19513548"/>
      <w:bookmarkStart w:id="5" w:name="_Toc25242591"/>
      <w:r>
        <w:rPr>
          <w:rFonts w:ascii="IBM Plex Sans Medium" w:eastAsiaTheme="minorHAnsi" w:hAnsi="IBM Plex Sans Medium" w:cs="Calibri"/>
          <w:color w:val="5C00D6"/>
          <w:sz w:val="22"/>
          <w:szCs w:val="22"/>
        </w:rPr>
        <w:t>Main points</w:t>
      </w:r>
      <w:bookmarkEnd w:id="2"/>
    </w:p>
    <w:p w14:paraId="22739A1E" w14:textId="77777777" w:rsidR="005B400F" w:rsidRPr="003F02B7" w:rsidRDefault="005B400F" w:rsidP="005B400F">
      <w:pPr>
        <w:spacing w:before="0" w:after="0"/>
        <w:jc w:val="both"/>
        <w:rPr>
          <w:rFonts w:ascii="IBM Plex Sans" w:eastAsiaTheme="minorHAnsi" w:hAnsi="IBM Plex Sans"/>
          <w:bCs/>
          <w:iCs/>
          <w:sz w:val="22"/>
          <w:szCs w:val="21"/>
          <w:lang w:val="en-GB"/>
        </w:rPr>
      </w:pPr>
      <w:r w:rsidRPr="003F02B7">
        <w:rPr>
          <w:rFonts w:ascii="IBM Plex Sans" w:eastAsiaTheme="minorHAnsi" w:hAnsi="IBM Plex Sans"/>
          <w:bCs/>
          <w:iCs/>
          <w:sz w:val="22"/>
          <w:szCs w:val="21"/>
          <w:lang w:val="en-GB"/>
        </w:rPr>
        <w:t>The main points are as follows:</w:t>
      </w:r>
    </w:p>
    <w:p w14:paraId="4EB42991" w14:textId="370D94F9" w:rsidR="005B400F" w:rsidRPr="00D14063" w:rsidRDefault="005B400F" w:rsidP="006C69C5">
      <w:pPr>
        <w:pStyle w:val="ListParagraph"/>
        <w:numPr>
          <w:ilvl w:val="0"/>
          <w:numId w:val="9"/>
        </w:numPr>
        <w:spacing w:before="0" w:after="0"/>
        <w:jc w:val="both"/>
        <w:rPr>
          <w:rFonts w:ascii="IBM Plex Sans" w:hAnsi="IBM Plex Sans"/>
          <w:sz w:val="22"/>
          <w:szCs w:val="20"/>
          <w:lang w:val="en-GB"/>
        </w:rPr>
      </w:pPr>
      <w:r w:rsidRPr="00D14063">
        <w:rPr>
          <w:rFonts w:ascii="IBM Plex Sans" w:hAnsi="IBM Plex Sans"/>
          <w:sz w:val="22"/>
          <w:szCs w:val="20"/>
          <w:lang w:val="en-GB"/>
        </w:rPr>
        <w:t>Public Health Wales employed 2,181 staff on 31 March 2023</w:t>
      </w:r>
      <w:r w:rsidR="00D14063" w:rsidRPr="00D14063">
        <w:rPr>
          <w:rFonts w:ascii="IBM Plex Sans" w:hAnsi="IBM Plex Sans"/>
          <w:sz w:val="22"/>
          <w:szCs w:val="20"/>
          <w:lang w:val="en-GB"/>
        </w:rPr>
        <w:t xml:space="preserve">. </w:t>
      </w:r>
      <w:r w:rsidRPr="00D14063">
        <w:rPr>
          <w:rFonts w:ascii="IBM Plex Sans" w:hAnsi="IBM Plex Sans"/>
          <w:sz w:val="22"/>
          <w:szCs w:val="20"/>
          <w:lang w:val="en-GB"/>
        </w:rPr>
        <w:t>Women account for 73% of the workforce and outnumber men at all levels of the organisation</w:t>
      </w:r>
      <w:r w:rsidR="00D14063">
        <w:rPr>
          <w:rFonts w:ascii="IBM Plex Sans" w:hAnsi="IBM Plex Sans"/>
          <w:sz w:val="22"/>
          <w:szCs w:val="20"/>
          <w:lang w:val="en-GB"/>
        </w:rPr>
        <w:t xml:space="preserve"> but yet the gender pay gap persists.</w:t>
      </w:r>
    </w:p>
    <w:p w14:paraId="70AB6D00" w14:textId="6A661240" w:rsidR="005B400F" w:rsidRDefault="005B400F" w:rsidP="005B400F">
      <w:pPr>
        <w:pStyle w:val="ListParagraph"/>
        <w:numPr>
          <w:ilvl w:val="0"/>
          <w:numId w:val="7"/>
        </w:numPr>
        <w:spacing w:before="0" w:after="0"/>
        <w:jc w:val="both"/>
        <w:rPr>
          <w:rFonts w:ascii="IBM Plex Sans" w:hAnsi="IBM Plex Sans"/>
          <w:sz w:val="22"/>
          <w:szCs w:val="20"/>
          <w:lang w:val="en-GB"/>
        </w:rPr>
      </w:pPr>
      <w:r w:rsidRPr="003F02B7">
        <w:rPr>
          <w:rFonts w:ascii="IBM Plex Sans" w:hAnsi="IBM Plex Sans"/>
          <w:sz w:val="22"/>
          <w:szCs w:val="20"/>
          <w:lang w:val="en-GB"/>
        </w:rPr>
        <w:t>The mean</w:t>
      </w:r>
      <w:r w:rsidR="00E57CD7">
        <w:rPr>
          <w:rStyle w:val="FootnoteReference"/>
          <w:rFonts w:ascii="IBM Plex Sans" w:hAnsi="IBM Plex Sans"/>
          <w:sz w:val="22"/>
          <w:szCs w:val="20"/>
          <w:lang w:val="en-GB"/>
        </w:rPr>
        <w:footnoteReference w:id="2"/>
      </w:r>
      <w:r w:rsidRPr="003F02B7">
        <w:rPr>
          <w:rFonts w:ascii="IBM Plex Sans" w:hAnsi="IBM Plex Sans"/>
          <w:sz w:val="22"/>
          <w:szCs w:val="20"/>
          <w:lang w:val="en-GB"/>
        </w:rPr>
        <w:t xml:space="preserve"> </w:t>
      </w:r>
      <w:r w:rsidR="0070250A">
        <w:rPr>
          <w:rFonts w:ascii="IBM Plex Sans" w:hAnsi="IBM Plex Sans"/>
          <w:sz w:val="22"/>
          <w:szCs w:val="20"/>
          <w:lang w:val="en-GB"/>
        </w:rPr>
        <w:t xml:space="preserve">(average) </w:t>
      </w:r>
      <w:r w:rsidRPr="003F02B7">
        <w:rPr>
          <w:rFonts w:ascii="IBM Plex Sans" w:hAnsi="IBM Plex Sans"/>
          <w:sz w:val="22"/>
          <w:szCs w:val="20"/>
          <w:lang w:val="en-GB"/>
        </w:rPr>
        <w:t>gender pay gap is 13.8%, and the median</w:t>
      </w:r>
      <w:r w:rsidR="008D663E">
        <w:rPr>
          <w:rStyle w:val="FootnoteReference"/>
          <w:rFonts w:ascii="IBM Plex Sans" w:hAnsi="IBM Plex Sans"/>
          <w:sz w:val="22"/>
          <w:szCs w:val="20"/>
          <w:lang w:val="en-GB"/>
        </w:rPr>
        <w:footnoteReference w:id="3"/>
      </w:r>
      <w:r w:rsidR="00B01B7C">
        <w:rPr>
          <w:rFonts w:ascii="IBM Plex Sans" w:hAnsi="IBM Plex Sans"/>
          <w:sz w:val="22"/>
          <w:szCs w:val="20"/>
          <w:lang w:val="en-GB"/>
        </w:rPr>
        <w:t xml:space="preserve"> </w:t>
      </w:r>
      <w:r w:rsidRPr="003F02B7">
        <w:rPr>
          <w:rFonts w:ascii="IBM Plex Sans" w:hAnsi="IBM Plex Sans"/>
          <w:sz w:val="22"/>
          <w:szCs w:val="20"/>
          <w:lang w:val="en-GB"/>
        </w:rPr>
        <w:t>gender pay gap is 6.4%</w:t>
      </w:r>
      <w:r>
        <w:rPr>
          <w:rFonts w:ascii="IBM Plex Sans" w:hAnsi="IBM Plex Sans"/>
          <w:sz w:val="22"/>
          <w:szCs w:val="20"/>
          <w:lang w:val="en-GB"/>
        </w:rPr>
        <w:t>. The mean pay gap is notably higher than the median and this is because of a small number of high-paid men</w:t>
      </w:r>
      <w:r w:rsidR="00D14063">
        <w:rPr>
          <w:rFonts w:ascii="IBM Plex Sans" w:hAnsi="IBM Plex Sans"/>
          <w:sz w:val="22"/>
          <w:szCs w:val="20"/>
          <w:lang w:val="en-GB"/>
        </w:rPr>
        <w:t>.</w:t>
      </w:r>
    </w:p>
    <w:p w14:paraId="7B818438" w14:textId="72795575" w:rsidR="005B400F" w:rsidRPr="007E6821" w:rsidRDefault="00D14063" w:rsidP="00240F68">
      <w:pPr>
        <w:pStyle w:val="ListParagraph"/>
        <w:numPr>
          <w:ilvl w:val="0"/>
          <w:numId w:val="7"/>
        </w:numPr>
        <w:spacing w:before="0" w:after="0"/>
        <w:ind w:left="357" w:hanging="357"/>
        <w:jc w:val="both"/>
        <w:rPr>
          <w:rFonts w:ascii="Arial" w:hAnsi="Arial" w:cs="Arial"/>
          <w:sz w:val="20"/>
          <w:szCs w:val="20"/>
        </w:rPr>
      </w:pPr>
      <w:r>
        <w:rPr>
          <w:rFonts w:ascii="IBM Plex Sans" w:hAnsi="IBM Plex Sans"/>
          <w:sz w:val="22"/>
          <w:szCs w:val="20"/>
          <w:lang w:val="en-GB"/>
        </w:rPr>
        <w:t xml:space="preserve">The mean gender pay gap has almost halved </w:t>
      </w:r>
      <w:r w:rsidR="00260611">
        <w:rPr>
          <w:rFonts w:ascii="IBM Plex Sans" w:hAnsi="IBM Plex Sans"/>
          <w:sz w:val="22"/>
          <w:szCs w:val="20"/>
          <w:lang w:val="en-GB"/>
        </w:rPr>
        <w:t>since reporting began</w:t>
      </w:r>
      <w:r>
        <w:rPr>
          <w:rFonts w:ascii="IBM Plex Sans" w:hAnsi="IBM Plex Sans"/>
          <w:sz w:val="22"/>
          <w:szCs w:val="20"/>
          <w:lang w:val="en-GB"/>
        </w:rPr>
        <w:t>, do</w:t>
      </w:r>
      <w:r w:rsidR="009871CE">
        <w:rPr>
          <w:rFonts w:ascii="IBM Plex Sans" w:hAnsi="IBM Plex Sans"/>
          <w:sz w:val="22"/>
          <w:szCs w:val="20"/>
          <w:lang w:val="en-GB"/>
        </w:rPr>
        <w:t xml:space="preserve">wn from 22.6% in 2017 </w:t>
      </w:r>
      <w:r w:rsidR="00260611">
        <w:rPr>
          <w:rFonts w:ascii="IBM Plex Sans" w:hAnsi="IBM Plex Sans"/>
          <w:sz w:val="22"/>
          <w:szCs w:val="20"/>
          <w:lang w:val="en-GB"/>
        </w:rPr>
        <w:t xml:space="preserve">to 13.8% in 2023. </w:t>
      </w:r>
      <w:r w:rsidR="00260611">
        <w:rPr>
          <w:rFonts w:ascii="IBM Plex Sans" w:eastAsiaTheme="minorHAnsi" w:hAnsi="IBM Plex Sans" w:cs="Calibri"/>
          <w:sz w:val="22"/>
          <w:lang w:val="en-GB"/>
        </w:rPr>
        <w:t>While this indicates that</w:t>
      </w:r>
      <w:r w:rsidR="00260611" w:rsidRPr="0097724C">
        <w:rPr>
          <w:rFonts w:ascii="IBM Plex Sans" w:eastAsiaTheme="minorHAnsi" w:hAnsi="IBM Plex Sans" w:cs="Calibri"/>
          <w:sz w:val="22"/>
          <w:lang w:val="en-GB"/>
        </w:rPr>
        <w:t xml:space="preserve"> efforts to address and reduce pay gaps are having a</w:t>
      </w:r>
      <w:r w:rsidR="00260611">
        <w:rPr>
          <w:rFonts w:ascii="IBM Plex Sans" w:eastAsiaTheme="minorHAnsi" w:hAnsi="IBM Plex Sans" w:cs="Calibri"/>
          <w:sz w:val="22"/>
          <w:lang w:val="en-GB"/>
        </w:rPr>
        <w:t xml:space="preserve"> positive</w:t>
      </w:r>
      <w:r w:rsidR="00260611" w:rsidRPr="0097724C">
        <w:rPr>
          <w:rFonts w:ascii="IBM Plex Sans" w:eastAsiaTheme="minorHAnsi" w:hAnsi="IBM Plex Sans" w:cs="Calibri"/>
          <w:sz w:val="22"/>
          <w:lang w:val="en-GB"/>
        </w:rPr>
        <w:t xml:space="preserve"> impact, the latest figures show that the gender pay gap </w:t>
      </w:r>
      <w:r w:rsidR="007F7277">
        <w:rPr>
          <w:rFonts w:ascii="IBM Plex Sans" w:eastAsiaTheme="minorHAnsi" w:hAnsi="IBM Plex Sans" w:cs="Calibri"/>
          <w:sz w:val="22"/>
          <w:lang w:val="en-GB"/>
        </w:rPr>
        <w:t xml:space="preserve">has </w:t>
      </w:r>
      <w:r w:rsidR="00260611" w:rsidRPr="0097724C">
        <w:rPr>
          <w:rFonts w:ascii="IBM Plex Sans" w:eastAsiaTheme="minorHAnsi" w:hAnsi="IBM Plex Sans" w:cs="Calibri"/>
          <w:sz w:val="22"/>
          <w:lang w:val="en-GB"/>
        </w:rPr>
        <w:t>widened</w:t>
      </w:r>
      <w:r w:rsidR="007E6821">
        <w:rPr>
          <w:rFonts w:ascii="IBM Plex Sans" w:eastAsiaTheme="minorHAnsi" w:hAnsi="IBM Plex Sans" w:cs="Calibri"/>
          <w:sz w:val="22"/>
          <w:lang w:val="en-GB"/>
        </w:rPr>
        <w:t xml:space="preserve"> from 11.8% in 2022</w:t>
      </w:r>
      <w:r w:rsidR="008E0961">
        <w:rPr>
          <w:rFonts w:ascii="IBM Plex Sans" w:eastAsiaTheme="minorHAnsi" w:hAnsi="IBM Plex Sans" w:cs="Calibri"/>
          <w:sz w:val="22"/>
          <w:lang w:val="en-GB"/>
        </w:rPr>
        <w:t>, which we explore in this report.</w:t>
      </w:r>
    </w:p>
    <w:p w14:paraId="2C1D0698" w14:textId="0F98F677" w:rsidR="000D4CFF" w:rsidRDefault="007E6821" w:rsidP="00E157E6">
      <w:pPr>
        <w:pStyle w:val="ListParagraph"/>
        <w:numPr>
          <w:ilvl w:val="0"/>
          <w:numId w:val="7"/>
        </w:numPr>
        <w:spacing w:before="0" w:after="0"/>
        <w:ind w:left="357" w:hanging="357"/>
        <w:jc w:val="both"/>
        <w:rPr>
          <w:rFonts w:ascii="IBM Plex Sans" w:hAnsi="IBM Plex Sans"/>
          <w:sz w:val="22"/>
          <w:szCs w:val="20"/>
          <w:lang w:val="en-GB"/>
        </w:rPr>
      </w:pPr>
      <w:r w:rsidRPr="004B4A15">
        <w:rPr>
          <w:rFonts w:ascii="IBM Plex Sans" w:hAnsi="IBM Plex Sans"/>
          <w:sz w:val="22"/>
          <w:szCs w:val="20"/>
          <w:lang w:val="en-GB"/>
        </w:rPr>
        <w:lastRenderedPageBreak/>
        <w:t xml:space="preserve">The mean gender pay gap </w:t>
      </w:r>
      <w:r w:rsidR="000D4CFF" w:rsidRPr="004B4A15">
        <w:rPr>
          <w:rFonts w:ascii="IBM Plex Sans" w:hAnsi="IBM Plex Sans"/>
          <w:sz w:val="22"/>
          <w:szCs w:val="20"/>
          <w:lang w:val="en-GB"/>
        </w:rPr>
        <w:t>at Public Health Wales is higher than that currently for the UK, in the public sector and for Wales</w:t>
      </w:r>
      <w:r w:rsidR="00A47DC9" w:rsidRPr="004B4A15">
        <w:rPr>
          <w:rFonts w:ascii="IBM Plex Sans" w:hAnsi="IBM Plex Sans"/>
          <w:sz w:val="22"/>
          <w:szCs w:val="20"/>
          <w:lang w:val="en-GB"/>
        </w:rPr>
        <w:t>.</w:t>
      </w:r>
    </w:p>
    <w:p w14:paraId="23216439" w14:textId="23E359A3" w:rsidR="004D2AA4" w:rsidRPr="004B4A15" w:rsidRDefault="009440DF" w:rsidP="004D2AA4">
      <w:pPr>
        <w:pStyle w:val="pf0"/>
        <w:numPr>
          <w:ilvl w:val="0"/>
          <w:numId w:val="7"/>
        </w:numPr>
        <w:spacing w:before="0" w:beforeAutospacing="0" w:after="0" w:afterAutospacing="0" w:line="360" w:lineRule="auto"/>
        <w:ind w:left="357" w:hanging="357"/>
        <w:jc w:val="both"/>
        <w:rPr>
          <w:rFonts w:ascii="IBM Plex Sans" w:eastAsiaTheme="minorEastAsia" w:hAnsi="IBM Plex Sans" w:cstheme="minorBidi"/>
          <w:sz w:val="22"/>
          <w:szCs w:val="20"/>
          <w:lang w:eastAsia="en-US"/>
        </w:rPr>
      </w:pPr>
      <w:r>
        <w:rPr>
          <w:rFonts w:ascii="IBM Plex Sans" w:eastAsiaTheme="minorEastAsia" w:hAnsi="IBM Plex Sans" w:cstheme="minorBidi"/>
          <w:sz w:val="22"/>
          <w:szCs w:val="20"/>
          <w:lang w:eastAsia="en-US"/>
        </w:rPr>
        <w:t>The breakdown of men and women in each pay quarter show that t</w:t>
      </w:r>
      <w:r w:rsidR="004D2AA4" w:rsidRPr="004B4A15">
        <w:rPr>
          <w:rFonts w:ascii="IBM Plex Sans" w:eastAsiaTheme="minorEastAsia" w:hAnsi="IBM Plex Sans" w:cstheme="minorBidi"/>
          <w:sz w:val="22"/>
          <w:szCs w:val="20"/>
          <w:lang w:eastAsia="en-US"/>
        </w:rPr>
        <w:t>he greatest proportion of men are in the highest-paying quarter, while the greatest proportion of women are found in the lowest-paying quarter. There is a higher proportion of men in higher paid jobs than</w:t>
      </w:r>
      <w:r w:rsidR="004D2AA4">
        <w:rPr>
          <w:rFonts w:ascii="IBM Plex Sans" w:eastAsiaTheme="minorEastAsia" w:hAnsi="IBM Plex Sans" w:cstheme="minorBidi"/>
          <w:sz w:val="22"/>
          <w:szCs w:val="20"/>
          <w:lang w:eastAsia="en-US"/>
        </w:rPr>
        <w:t xml:space="preserve"> there are</w:t>
      </w:r>
      <w:r w:rsidR="004D2AA4" w:rsidRPr="004B4A15">
        <w:rPr>
          <w:rFonts w:ascii="IBM Plex Sans" w:eastAsiaTheme="minorEastAsia" w:hAnsi="IBM Plex Sans" w:cstheme="minorBidi"/>
          <w:sz w:val="22"/>
          <w:szCs w:val="20"/>
          <w:lang w:eastAsia="en-US"/>
        </w:rPr>
        <w:t xml:space="preserve"> women</w:t>
      </w:r>
      <w:r w:rsidR="004D2AA4">
        <w:rPr>
          <w:rFonts w:ascii="IBM Plex Sans" w:eastAsiaTheme="minorEastAsia" w:hAnsi="IBM Plex Sans" w:cstheme="minorBidi"/>
          <w:sz w:val="22"/>
          <w:szCs w:val="20"/>
          <w:lang w:eastAsia="en-US"/>
        </w:rPr>
        <w:t>.</w:t>
      </w:r>
    </w:p>
    <w:p w14:paraId="14E9B4A9" w14:textId="2C817BEE" w:rsidR="00245A16" w:rsidRPr="00F01A74" w:rsidRDefault="005B400F" w:rsidP="00E157E6">
      <w:pPr>
        <w:pStyle w:val="ListParagraph"/>
        <w:numPr>
          <w:ilvl w:val="0"/>
          <w:numId w:val="12"/>
        </w:numPr>
        <w:spacing w:before="0" w:after="0"/>
        <w:jc w:val="both"/>
        <w:rPr>
          <w:rFonts w:ascii="IBM Plex Sans" w:hAnsi="IBM Plex Sans"/>
          <w:sz w:val="22"/>
        </w:rPr>
      </w:pPr>
      <w:r w:rsidRPr="009C16DB">
        <w:rPr>
          <w:rFonts w:ascii="IBM Plex Sans" w:hAnsi="IBM Plex Sans"/>
          <w:sz w:val="22"/>
        </w:rPr>
        <w:t>Analysis of pay gaps by directorate show</w:t>
      </w:r>
      <w:r w:rsidR="00F01A74">
        <w:rPr>
          <w:rFonts w:ascii="IBM Plex Sans" w:hAnsi="IBM Plex Sans"/>
          <w:sz w:val="22"/>
        </w:rPr>
        <w:t>s</w:t>
      </w:r>
      <w:r w:rsidRPr="009C16DB">
        <w:rPr>
          <w:rFonts w:ascii="IBM Plex Sans" w:hAnsi="IBM Plex Sans"/>
          <w:sz w:val="22"/>
        </w:rPr>
        <w:t xml:space="preserve"> that </w:t>
      </w:r>
      <w:r w:rsidR="00F01A74">
        <w:rPr>
          <w:rFonts w:ascii="IBM Plex Sans" w:hAnsi="IBM Plex Sans"/>
          <w:sz w:val="22"/>
        </w:rPr>
        <w:t>many</w:t>
      </w:r>
      <w:r w:rsidR="00F86313">
        <w:rPr>
          <w:rFonts w:ascii="IBM Plex Sans" w:hAnsi="IBM Plex Sans"/>
          <w:sz w:val="22"/>
        </w:rPr>
        <w:t xml:space="preserve"> gaps</w:t>
      </w:r>
      <w:r w:rsidRPr="009C16DB">
        <w:rPr>
          <w:rFonts w:ascii="IBM Plex Sans" w:hAnsi="IBM Plex Sans"/>
          <w:sz w:val="22"/>
        </w:rPr>
        <w:t xml:space="preserve"> are in favour of men, due to a concentration of men in senior roles</w:t>
      </w:r>
      <w:r w:rsidR="009C16DB" w:rsidRPr="009C16DB">
        <w:rPr>
          <w:rFonts w:ascii="IBM Plex Sans" w:hAnsi="IBM Plex Sans"/>
          <w:sz w:val="22"/>
        </w:rPr>
        <w:t>.</w:t>
      </w:r>
      <w:r w:rsidR="009C16DB" w:rsidRPr="009C16DB">
        <w:rPr>
          <w:rFonts w:ascii="IBM Plex Sans" w:hAnsi="IBM Plex Sans"/>
          <w:sz w:val="22"/>
          <w:szCs w:val="20"/>
          <w:lang w:val="en-GB"/>
        </w:rPr>
        <w:t xml:space="preserve"> </w:t>
      </w:r>
    </w:p>
    <w:p w14:paraId="1F3DFDED" w14:textId="6EC3F503" w:rsidR="00240F68" w:rsidRDefault="00CF5BD6" w:rsidP="00E157E6">
      <w:pPr>
        <w:pStyle w:val="ListParagraph"/>
        <w:numPr>
          <w:ilvl w:val="0"/>
          <w:numId w:val="12"/>
        </w:numPr>
        <w:spacing w:before="0" w:after="0"/>
        <w:jc w:val="both"/>
        <w:rPr>
          <w:rFonts w:ascii="IBM Plex Sans" w:hAnsi="IBM Plex Sans"/>
          <w:sz w:val="22"/>
        </w:rPr>
      </w:pPr>
      <w:r>
        <w:rPr>
          <w:rFonts w:ascii="IBM Plex Sans" w:hAnsi="IBM Plex Sans"/>
          <w:sz w:val="22"/>
          <w:szCs w:val="20"/>
          <w:lang w:val="en-GB"/>
        </w:rPr>
        <w:t>Analysis of pay gaps by</w:t>
      </w:r>
      <w:r w:rsidR="009C16DB">
        <w:rPr>
          <w:rFonts w:ascii="IBM Plex Sans" w:hAnsi="IBM Plex Sans"/>
          <w:sz w:val="22"/>
          <w:szCs w:val="20"/>
          <w:lang w:val="en-GB"/>
        </w:rPr>
        <w:t xml:space="preserve"> pay band</w:t>
      </w:r>
      <w:r>
        <w:rPr>
          <w:rFonts w:ascii="IBM Plex Sans" w:hAnsi="IBM Plex Sans"/>
          <w:sz w:val="22"/>
          <w:szCs w:val="20"/>
          <w:lang w:val="en-GB"/>
        </w:rPr>
        <w:t xml:space="preserve"> sho</w:t>
      </w:r>
      <w:r w:rsidR="008F7779">
        <w:rPr>
          <w:rFonts w:ascii="IBM Plex Sans" w:hAnsi="IBM Plex Sans"/>
          <w:sz w:val="22"/>
          <w:szCs w:val="20"/>
          <w:lang w:val="en-GB"/>
        </w:rPr>
        <w:t>ws that the</w:t>
      </w:r>
      <w:r w:rsidR="009C16DB" w:rsidRPr="004B4A15">
        <w:rPr>
          <w:rFonts w:ascii="IBM Plex Sans" w:hAnsi="IBM Plex Sans"/>
          <w:sz w:val="22"/>
          <w:szCs w:val="20"/>
          <w:lang w:val="en-GB"/>
        </w:rPr>
        <w:t xml:space="preserve"> gender pay </w:t>
      </w:r>
      <w:r w:rsidR="00F86313">
        <w:rPr>
          <w:rFonts w:ascii="IBM Plex Sans" w:hAnsi="IBM Plex Sans"/>
          <w:sz w:val="22"/>
          <w:szCs w:val="20"/>
          <w:lang w:val="en-GB"/>
        </w:rPr>
        <w:t xml:space="preserve">gap </w:t>
      </w:r>
      <w:r w:rsidR="009C16DB" w:rsidRPr="004B4A15">
        <w:rPr>
          <w:rFonts w:ascii="IBM Plex Sans" w:hAnsi="IBM Plex Sans"/>
          <w:sz w:val="22"/>
          <w:szCs w:val="20"/>
          <w:lang w:val="en-GB"/>
        </w:rPr>
        <w:t>is in favour of women at lower grades but</w:t>
      </w:r>
      <w:r w:rsidR="008F7779">
        <w:rPr>
          <w:rFonts w:ascii="IBM Plex Sans" w:hAnsi="IBM Plex Sans"/>
          <w:sz w:val="22"/>
          <w:szCs w:val="20"/>
          <w:lang w:val="en-GB"/>
        </w:rPr>
        <w:t xml:space="preserve"> </w:t>
      </w:r>
      <w:r w:rsidR="00BA7EAA">
        <w:rPr>
          <w:rFonts w:ascii="IBM Plex Sans" w:hAnsi="IBM Plex Sans"/>
          <w:sz w:val="22"/>
          <w:szCs w:val="20"/>
          <w:lang w:val="en-GB"/>
        </w:rPr>
        <w:t>changes</w:t>
      </w:r>
      <w:r w:rsidR="00BA7EAA" w:rsidRPr="004B4A15">
        <w:rPr>
          <w:rFonts w:ascii="IBM Plex Sans" w:hAnsi="IBM Plex Sans"/>
          <w:sz w:val="22"/>
          <w:szCs w:val="20"/>
          <w:lang w:val="en-GB"/>
        </w:rPr>
        <w:t xml:space="preserve"> </w:t>
      </w:r>
      <w:r w:rsidR="00BA7EAA">
        <w:rPr>
          <w:rFonts w:ascii="IBM Plex Sans" w:hAnsi="IBM Plex Sans"/>
          <w:sz w:val="22"/>
          <w:szCs w:val="20"/>
          <w:lang w:val="en-GB"/>
        </w:rPr>
        <w:t>to</w:t>
      </w:r>
      <w:r w:rsidR="008F7779">
        <w:rPr>
          <w:rFonts w:ascii="IBM Plex Sans" w:hAnsi="IBM Plex Sans"/>
          <w:sz w:val="22"/>
          <w:szCs w:val="20"/>
          <w:lang w:val="en-GB"/>
        </w:rPr>
        <w:t xml:space="preserve"> be in favour of men</w:t>
      </w:r>
      <w:r w:rsidR="009C16DB" w:rsidRPr="004B4A15">
        <w:rPr>
          <w:rFonts w:ascii="IBM Plex Sans" w:hAnsi="IBM Plex Sans"/>
          <w:sz w:val="22"/>
          <w:szCs w:val="20"/>
          <w:lang w:val="en-GB"/>
        </w:rPr>
        <w:t xml:space="preserve"> </w:t>
      </w:r>
      <w:r w:rsidR="00240F68">
        <w:rPr>
          <w:rFonts w:ascii="IBM Plex Sans" w:hAnsi="IBM Plex Sans"/>
          <w:sz w:val="22"/>
          <w:szCs w:val="20"/>
          <w:lang w:val="en-GB"/>
        </w:rPr>
        <w:t xml:space="preserve">at pay band 7 </w:t>
      </w:r>
      <w:r w:rsidR="009C16DB" w:rsidRPr="004B4A15">
        <w:rPr>
          <w:rFonts w:ascii="IBM Plex Sans" w:hAnsi="IBM Plex Sans"/>
          <w:sz w:val="22"/>
          <w:szCs w:val="20"/>
          <w:lang w:val="en-GB"/>
        </w:rPr>
        <w:t xml:space="preserve">and </w:t>
      </w:r>
      <w:r w:rsidR="008F7779">
        <w:rPr>
          <w:rFonts w:ascii="IBM Plex Sans" w:hAnsi="IBM Plex Sans"/>
          <w:sz w:val="22"/>
          <w:szCs w:val="20"/>
          <w:lang w:val="en-GB"/>
        </w:rPr>
        <w:t xml:space="preserve">then </w:t>
      </w:r>
      <w:r w:rsidR="009C16DB" w:rsidRPr="004B4A15">
        <w:rPr>
          <w:rFonts w:ascii="IBM Plex Sans" w:hAnsi="IBM Plex Sans"/>
          <w:sz w:val="22"/>
          <w:szCs w:val="20"/>
          <w:lang w:val="en-GB"/>
        </w:rPr>
        <w:t xml:space="preserve">widens with </w:t>
      </w:r>
      <w:r w:rsidR="00830C4B" w:rsidRPr="004B4A15">
        <w:rPr>
          <w:rFonts w:ascii="IBM Plex Sans" w:hAnsi="IBM Plex Sans"/>
          <w:sz w:val="22"/>
          <w:szCs w:val="20"/>
          <w:lang w:val="en-GB"/>
        </w:rPr>
        <w:t>seniority.</w:t>
      </w:r>
      <w:r w:rsidR="009C16DB" w:rsidRPr="004B4A15">
        <w:rPr>
          <w:rFonts w:ascii="IBM Plex Sans" w:hAnsi="IBM Plex Sans"/>
          <w:sz w:val="22"/>
          <w:szCs w:val="20"/>
          <w:lang w:val="en-GB"/>
        </w:rPr>
        <w:t xml:space="preserve"> </w:t>
      </w:r>
      <w:r w:rsidR="00240F68">
        <w:rPr>
          <w:rFonts w:ascii="IBM Plex Sans" w:hAnsi="IBM Plex Sans"/>
          <w:sz w:val="22"/>
        </w:rPr>
        <w:t xml:space="preserve">A gender pay gap evident only at managerial levels </w:t>
      </w:r>
      <w:r w:rsidR="002A1557">
        <w:rPr>
          <w:rFonts w:ascii="IBM Plex Sans" w:hAnsi="IBM Plex Sans"/>
          <w:sz w:val="22"/>
        </w:rPr>
        <w:t>can</w:t>
      </w:r>
      <w:r w:rsidR="001120E9">
        <w:rPr>
          <w:rFonts w:ascii="IBM Plex Sans" w:hAnsi="IBM Plex Sans"/>
          <w:sz w:val="22"/>
        </w:rPr>
        <w:t xml:space="preserve"> </w:t>
      </w:r>
      <w:r w:rsidR="00240F68">
        <w:rPr>
          <w:rFonts w:ascii="IBM Plex Sans" w:hAnsi="IBM Plex Sans"/>
          <w:sz w:val="22"/>
        </w:rPr>
        <w:t xml:space="preserve">indicate </w:t>
      </w:r>
      <w:r w:rsidR="000D06D6">
        <w:rPr>
          <w:rFonts w:ascii="IBM Plex Sans" w:hAnsi="IBM Plex Sans"/>
          <w:sz w:val="22"/>
        </w:rPr>
        <w:t xml:space="preserve">potential </w:t>
      </w:r>
      <w:r w:rsidR="00240F68">
        <w:rPr>
          <w:rFonts w:ascii="IBM Plex Sans" w:hAnsi="IBM Plex Sans"/>
          <w:sz w:val="22"/>
        </w:rPr>
        <w:t>biases in promotion and hiring practices.</w:t>
      </w:r>
    </w:p>
    <w:p w14:paraId="16B2C19B" w14:textId="7E425F6C" w:rsidR="00546F92" w:rsidRPr="00125E46" w:rsidRDefault="005B400F" w:rsidP="00E157E6">
      <w:pPr>
        <w:pStyle w:val="ListParagraph"/>
        <w:numPr>
          <w:ilvl w:val="0"/>
          <w:numId w:val="12"/>
        </w:numPr>
        <w:spacing w:before="0" w:after="0"/>
        <w:jc w:val="both"/>
        <w:rPr>
          <w:rFonts w:ascii="IBM Plex Sans" w:hAnsi="IBM Plex Sans"/>
          <w:sz w:val="22"/>
        </w:rPr>
      </w:pPr>
      <w:r w:rsidRPr="00AC598B">
        <w:rPr>
          <w:rFonts w:ascii="IBM Plex Sans" w:hAnsi="IBM Plex Sans"/>
          <w:sz w:val="22"/>
          <w:szCs w:val="20"/>
          <w:lang w:val="en-GB"/>
        </w:rPr>
        <w:t>Analysis by length of service shows wider</w:t>
      </w:r>
      <w:r w:rsidR="00374A3F" w:rsidRPr="00AC598B">
        <w:rPr>
          <w:rFonts w:ascii="IBM Plex Sans" w:hAnsi="IBM Plex Sans"/>
          <w:sz w:val="22"/>
          <w:szCs w:val="20"/>
          <w:lang w:val="en-GB"/>
        </w:rPr>
        <w:t xml:space="preserve"> pay</w:t>
      </w:r>
      <w:r w:rsidRPr="00AC598B">
        <w:rPr>
          <w:rFonts w:ascii="IBM Plex Sans" w:hAnsi="IBM Plex Sans"/>
          <w:sz w:val="22"/>
          <w:szCs w:val="20"/>
          <w:lang w:val="en-GB"/>
        </w:rPr>
        <w:t xml:space="preserve"> gaps between men and women with longer continuous service</w:t>
      </w:r>
      <w:r w:rsidR="00546F92" w:rsidRPr="00AC598B">
        <w:rPr>
          <w:rFonts w:ascii="IBM Plex Sans" w:hAnsi="IBM Plex Sans"/>
          <w:sz w:val="22"/>
          <w:szCs w:val="20"/>
          <w:lang w:val="en-GB"/>
        </w:rPr>
        <w:t>.</w:t>
      </w:r>
      <w:r w:rsidR="0025566E" w:rsidRPr="0025566E">
        <w:rPr>
          <w:rFonts w:ascii="IBM Plex Sans" w:hAnsi="IBM Plex Sans"/>
          <w:sz w:val="22"/>
          <w:szCs w:val="20"/>
          <w:lang w:val="en-GB"/>
        </w:rPr>
        <w:t xml:space="preserve"> </w:t>
      </w:r>
      <w:r w:rsidR="00546F92" w:rsidRPr="0025566E">
        <w:rPr>
          <w:rFonts w:ascii="IBM Plex Sans" w:hAnsi="IBM Plex Sans"/>
          <w:sz w:val="22"/>
        </w:rPr>
        <w:t xml:space="preserve">A </w:t>
      </w:r>
      <w:r w:rsidR="00FC3230">
        <w:rPr>
          <w:rFonts w:ascii="IBM Plex Sans" w:hAnsi="IBM Plex Sans"/>
          <w:sz w:val="22"/>
        </w:rPr>
        <w:t>large</w:t>
      </w:r>
      <w:r w:rsidR="00FC3230" w:rsidRPr="007D51A4">
        <w:rPr>
          <w:rFonts w:ascii="IBM Plex Sans" w:hAnsi="IBM Plex Sans"/>
          <w:sz w:val="22"/>
        </w:rPr>
        <w:t xml:space="preserve"> </w:t>
      </w:r>
      <w:r w:rsidR="00D506A0">
        <w:rPr>
          <w:rFonts w:ascii="IBM Plex Sans" w:hAnsi="IBM Plex Sans"/>
          <w:sz w:val="22"/>
        </w:rPr>
        <w:t xml:space="preserve">gender </w:t>
      </w:r>
      <w:r w:rsidR="00546F92" w:rsidRPr="007D51A4">
        <w:rPr>
          <w:rFonts w:ascii="IBM Plex Sans" w:hAnsi="IBM Plex Sans"/>
          <w:sz w:val="22"/>
        </w:rPr>
        <w:t>pay gap despite long service</w:t>
      </w:r>
      <w:r w:rsidR="00071718">
        <w:rPr>
          <w:rFonts w:ascii="IBM Plex Sans" w:hAnsi="IBM Plex Sans"/>
          <w:sz w:val="22"/>
        </w:rPr>
        <w:t xml:space="preserve"> suggests </w:t>
      </w:r>
      <w:r w:rsidR="00071718" w:rsidRPr="007D51A4">
        <w:rPr>
          <w:rFonts w:ascii="IBM Plex Sans" w:hAnsi="IBM Plex Sans"/>
          <w:sz w:val="22"/>
        </w:rPr>
        <w:t xml:space="preserve">women are not progressing in their careers </w:t>
      </w:r>
      <w:r w:rsidR="00071718" w:rsidRPr="00125E46">
        <w:rPr>
          <w:rFonts w:ascii="IBM Plex Sans" w:hAnsi="IBM Plex Sans"/>
          <w:sz w:val="22"/>
        </w:rPr>
        <w:t>at the same rate as their male counterpart</w:t>
      </w:r>
      <w:r w:rsidR="003D7015">
        <w:rPr>
          <w:rFonts w:ascii="IBM Plex Sans" w:hAnsi="IBM Plex Sans"/>
          <w:sz w:val="22"/>
        </w:rPr>
        <w:t>s. It</w:t>
      </w:r>
      <w:r w:rsidR="00546F92" w:rsidRPr="007D51A4">
        <w:rPr>
          <w:rFonts w:ascii="IBM Plex Sans" w:hAnsi="IBM Plex Sans"/>
          <w:sz w:val="22"/>
        </w:rPr>
        <w:t xml:space="preserve"> </w:t>
      </w:r>
      <w:r w:rsidR="00A42E5C">
        <w:rPr>
          <w:rFonts w:ascii="IBM Plex Sans" w:hAnsi="IBM Plex Sans"/>
          <w:sz w:val="22"/>
        </w:rPr>
        <w:t>can</w:t>
      </w:r>
      <w:r w:rsidR="00DB6379">
        <w:rPr>
          <w:rFonts w:ascii="IBM Plex Sans" w:hAnsi="IBM Plex Sans"/>
          <w:sz w:val="22"/>
        </w:rPr>
        <w:t xml:space="preserve"> be an indication of </w:t>
      </w:r>
      <w:r w:rsidR="00546F92" w:rsidRPr="007D51A4">
        <w:rPr>
          <w:rFonts w:ascii="IBM Plex Sans" w:hAnsi="IBM Plex Sans"/>
          <w:sz w:val="22"/>
        </w:rPr>
        <w:t xml:space="preserve">underlying systemic issues, such as unequal opportunities in the workplace, gender bias or discrimination. </w:t>
      </w:r>
    </w:p>
    <w:p w14:paraId="2FC66678" w14:textId="23600AC2" w:rsidR="00240F68" w:rsidRPr="00125E46" w:rsidRDefault="00240F68" w:rsidP="00E157E6">
      <w:pPr>
        <w:pStyle w:val="ListParagraph"/>
        <w:numPr>
          <w:ilvl w:val="0"/>
          <w:numId w:val="12"/>
        </w:numPr>
        <w:spacing w:before="0" w:after="0"/>
        <w:jc w:val="both"/>
        <w:rPr>
          <w:rFonts w:ascii="IBM Plex Sans" w:hAnsi="IBM Plex Sans"/>
          <w:sz w:val="22"/>
        </w:rPr>
      </w:pPr>
      <w:r w:rsidRPr="00125E46">
        <w:rPr>
          <w:rFonts w:ascii="IBM Plex Sans" w:hAnsi="IBM Plex Sans"/>
          <w:sz w:val="22"/>
          <w:szCs w:val="20"/>
          <w:lang w:val="en-GB"/>
        </w:rPr>
        <w:t xml:space="preserve">The gender pay gap </w:t>
      </w:r>
      <w:r w:rsidR="00F01A74" w:rsidRPr="00125E46">
        <w:rPr>
          <w:rFonts w:ascii="IBM Plex Sans" w:hAnsi="IBM Plex Sans"/>
          <w:sz w:val="22"/>
          <w:szCs w:val="20"/>
          <w:lang w:val="en-GB"/>
        </w:rPr>
        <w:t>is in</w:t>
      </w:r>
      <w:r w:rsidRPr="00125E46">
        <w:rPr>
          <w:rFonts w:ascii="IBM Plex Sans" w:hAnsi="IBM Plex Sans"/>
          <w:sz w:val="22"/>
          <w:szCs w:val="20"/>
          <w:lang w:val="en-GB"/>
        </w:rPr>
        <w:t xml:space="preserve"> favour of women among younger staff but shifts in favour of men after age </w:t>
      </w:r>
      <w:r w:rsidR="00125E46" w:rsidRPr="00125E46">
        <w:rPr>
          <w:rFonts w:ascii="IBM Plex Sans" w:hAnsi="IBM Plex Sans"/>
          <w:sz w:val="22"/>
          <w:szCs w:val="20"/>
          <w:lang w:val="en-GB"/>
        </w:rPr>
        <w:t>35, providing</w:t>
      </w:r>
      <w:r w:rsidR="00C40150">
        <w:rPr>
          <w:rFonts w:ascii="IBM Plex Sans" w:hAnsi="IBM Plex Sans"/>
          <w:sz w:val="22"/>
          <w:szCs w:val="20"/>
          <w:lang w:val="en-GB"/>
        </w:rPr>
        <w:t xml:space="preserve"> a</w:t>
      </w:r>
      <w:r w:rsidRPr="00125E46">
        <w:rPr>
          <w:rFonts w:ascii="IBM Plex Sans" w:hAnsi="IBM Plex Sans"/>
          <w:sz w:val="22"/>
          <w:szCs w:val="20"/>
          <w:lang w:val="en-GB"/>
        </w:rPr>
        <w:t xml:space="preserve"> </w:t>
      </w:r>
      <w:r w:rsidR="00125E46">
        <w:rPr>
          <w:rFonts w:ascii="IBM Plex Sans" w:hAnsi="IBM Plex Sans"/>
          <w:sz w:val="22"/>
          <w:szCs w:val="20"/>
          <w:lang w:val="en-GB"/>
        </w:rPr>
        <w:t>further</w:t>
      </w:r>
      <w:r w:rsidRPr="00125E46">
        <w:rPr>
          <w:rFonts w:ascii="IBM Plex Sans" w:hAnsi="IBM Plex Sans"/>
          <w:sz w:val="22"/>
          <w:szCs w:val="20"/>
          <w:lang w:val="en-GB"/>
        </w:rPr>
        <w:t xml:space="preserve"> </w:t>
      </w:r>
      <w:r w:rsidR="00C40150">
        <w:rPr>
          <w:rFonts w:ascii="IBM Plex Sans" w:hAnsi="IBM Plex Sans"/>
          <w:sz w:val="22"/>
          <w:szCs w:val="20"/>
          <w:lang w:val="en-GB"/>
        </w:rPr>
        <w:t>indication</w:t>
      </w:r>
      <w:r w:rsidRPr="00125E46">
        <w:rPr>
          <w:rFonts w:ascii="IBM Plex Sans" w:hAnsi="IBM Plex Sans"/>
          <w:sz w:val="22"/>
          <w:szCs w:val="20"/>
          <w:lang w:val="en-GB"/>
        </w:rPr>
        <w:t xml:space="preserve"> </w:t>
      </w:r>
      <w:r w:rsidR="00125E46" w:rsidRPr="00125E46">
        <w:rPr>
          <w:rFonts w:ascii="IBM Plex Sans" w:hAnsi="IBM Plex Sans"/>
          <w:sz w:val="22"/>
          <w:szCs w:val="20"/>
          <w:lang w:val="en-GB"/>
        </w:rPr>
        <w:t xml:space="preserve">that women are </w:t>
      </w:r>
      <w:r w:rsidR="00C40150">
        <w:rPr>
          <w:rFonts w:ascii="IBM Plex Sans" w:hAnsi="IBM Plex Sans"/>
          <w:sz w:val="22"/>
          <w:szCs w:val="20"/>
          <w:lang w:val="en-GB"/>
        </w:rPr>
        <w:t xml:space="preserve">potentially </w:t>
      </w:r>
      <w:r w:rsidR="00125E46" w:rsidRPr="00125E46">
        <w:rPr>
          <w:rFonts w:ascii="IBM Plex Sans" w:hAnsi="IBM Plex Sans"/>
          <w:sz w:val="22"/>
          <w:szCs w:val="20"/>
          <w:lang w:val="en-GB"/>
        </w:rPr>
        <w:t>not progressing in their careers at the same rate as men.</w:t>
      </w:r>
    </w:p>
    <w:p w14:paraId="4A7EECD0" w14:textId="77777777" w:rsidR="00125E46" w:rsidRDefault="00125E46" w:rsidP="00125E46">
      <w:pPr>
        <w:pStyle w:val="ListParagraph"/>
        <w:numPr>
          <w:ilvl w:val="0"/>
          <w:numId w:val="12"/>
        </w:numPr>
        <w:spacing w:before="0" w:after="0"/>
        <w:jc w:val="both"/>
        <w:rPr>
          <w:rFonts w:ascii="IBM Plex Sans" w:eastAsiaTheme="minorHAnsi" w:hAnsi="IBM Plex Sans" w:cs="Calibri"/>
          <w:sz w:val="22"/>
        </w:rPr>
      </w:pPr>
      <w:r w:rsidRPr="00250777">
        <w:rPr>
          <w:rFonts w:ascii="IBM Plex Sans" w:eastAsiaTheme="minorHAnsi" w:hAnsi="IBM Plex Sans" w:cs="Calibri"/>
          <w:sz w:val="22"/>
        </w:rPr>
        <w:t>Allowances have a significant effect on the mean gender pay gap: the gap based on spinal salaries only</w:t>
      </w:r>
      <w:r>
        <w:rPr>
          <w:rFonts w:ascii="IBM Plex Sans" w:eastAsiaTheme="minorHAnsi" w:hAnsi="IBM Plex Sans" w:cs="Calibri"/>
          <w:sz w:val="22"/>
        </w:rPr>
        <w:t xml:space="preserve"> (ie basic pay)</w:t>
      </w:r>
      <w:r w:rsidRPr="00250777">
        <w:rPr>
          <w:rFonts w:ascii="IBM Plex Sans" w:eastAsiaTheme="minorHAnsi" w:hAnsi="IBM Plex Sans" w:cs="Calibri"/>
          <w:sz w:val="22"/>
        </w:rPr>
        <w:t xml:space="preserve"> is 9.3% but when we include other elements of ordinary pay the gap widens to 13.8%.</w:t>
      </w:r>
    </w:p>
    <w:p w14:paraId="7F73CBF9" w14:textId="4B69CAE0" w:rsidR="00F01A74" w:rsidRDefault="00F01A74" w:rsidP="00125E46">
      <w:pPr>
        <w:pStyle w:val="ListParagraph"/>
        <w:numPr>
          <w:ilvl w:val="0"/>
          <w:numId w:val="12"/>
        </w:numPr>
        <w:spacing w:before="0" w:after="0"/>
        <w:jc w:val="both"/>
        <w:rPr>
          <w:rFonts w:ascii="IBM Plex Sans" w:eastAsiaTheme="minorHAnsi" w:hAnsi="IBM Plex Sans" w:cs="Calibri"/>
          <w:sz w:val="22"/>
        </w:rPr>
      </w:pPr>
      <w:r>
        <w:rPr>
          <w:rFonts w:ascii="IBM Plex Sans" w:eastAsiaTheme="minorHAnsi" w:hAnsi="IBM Plex Sans" w:cs="Calibri"/>
          <w:sz w:val="22"/>
        </w:rPr>
        <w:t>T</w:t>
      </w:r>
      <w:r w:rsidRPr="0043451E">
        <w:rPr>
          <w:rFonts w:ascii="IBM Plex Sans" w:eastAsiaTheme="minorHAnsi" w:hAnsi="IBM Plex Sans" w:cs="Calibri"/>
          <w:sz w:val="22"/>
        </w:rPr>
        <w:t xml:space="preserve">he overall mean </w:t>
      </w:r>
      <w:r>
        <w:rPr>
          <w:rFonts w:ascii="IBM Plex Sans" w:eastAsiaTheme="minorHAnsi" w:hAnsi="IBM Plex Sans" w:cs="Calibri"/>
          <w:sz w:val="22"/>
        </w:rPr>
        <w:t xml:space="preserve">disability </w:t>
      </w:r>
      <w:r w:rsidRPr="0043451E">
        <w:rPr>
          <w:rFonts w:ascii="IBM Plex Sans" w:eastAsiaTheme="minorHAnsi" w:hAnsi="IBM Plex Sans" w:cs="Calibri"/>
          <w:sz w:val="22"/>
        </w:rPr>
        <w:t xml:space="preserve">pay gap at Public Health Wales is </w:t>
      </w:r>
      <w:r>
        <w:rPr>
          <w:rFonts w:ascii="IBM Plex Sans" w:eastAsiaTheme="minorHAnsi" w:hAnsi="IBM Plex Sans" w:cs="Calibri"/>
          <w:sz w:val="22"/>
        </w:rPr>
        <w:t>1.5%</w:t>
      </w:r>
      <w:r w:rsidRPr="0043451E">
        <w:rPr>
          <w:rFonts w:ascii="IBM Plex Sans" w:eastAsiaTheme="minorHAnsi" w:hAnsi="IBM Plex Sans" w:cs="Calibri"/>
          <w:sz w:val="22"/>
        </w:rPr>
        <w:t xml:space="preserve"> and the median </w:t>
      </w:r>
      <w:r>
        <w:rPr>
          <w:rFonts w:ascii="IBM Plex Sans" w:eastAsiaTheme="minorHAnsi" w:hAnsi="IBM Plex Sans" w:cs="Calibri"/>
          <w:sz w:val="22"/>
        </w:rPr>
        <w:t>disability</w:t>
      </w:r>
      <w:r w:rsidRPr="0043451E">
        <w:rPr>
          <w:rFonts w:ascii="IBM Plex Sans" w:eastAsiaTheme="minorHAnsi" w:hAnsi="IBM Plex Sans" w:cs="Calibri"/>
          <w:sz w:val="22"/>
        </w:rPr>
        <w:t xml:space="preserve"> pay gap is </w:t>
      </w:r>
      <w:r>
        <w:rPr>
          <w:rFonts w:ascii="IBM Plex Sans" w:eastAsiaTheme="minorHAnsi" w:hAnsi="IBM Plex Sans" w:cs="Calibri"/>
          <w:sz w:val="22"/>
        </w:rPr>
        <w:t>3.8</w:t>
      </w:r>
      <w:r w:rsidRPr="0043451E">
        <w:rPr>
          <w:rFonts w:ascii="IBM Plex Sans" w:eastAsiaTheme="minorHAnsi" w:hAnsi="IBM Plex Sans" w:cs="Calibri"/>
          <w:sz w:val="22"/>
        </w:rPr>
        <w:t>%.</w:t>
      </w:r>
    </w:p>
    <w:p w14:paraId="31EBD7B0" w14:textId="66477A2A" w:rsidR="006848E1" w:rsidRDefault="00F01A74" w:rsidP="006848E1">
      <w:pPr>
        <w:pStyle w:val="ListParagraph"/>
        <w:numPr>
          <w:ilvl w:val="0"/>
          <w:numId w:val="12"/>
        </w:numPr>
        <w:spacing w:before="0" w:after="0"/>
        <w:jc w:val="both"/>
        <w:rPr>
          <w:rFonts w:ascii="IBM Plex Sans" w:eastAsiaTheme="minorHAnsi" w:hAnsi="IBM Plex Sans" w:cs="Calibri"/>
          <w:sz w:val="22"/>
        </w:rPr>
      </w:pPr>
      <w:r>
        <w:rPr>
          <w:rFonts w:ascii="IBM Plex Sans" w:eastAsiaTheme="minorHAnsi" w:hAnsi="IBM Plex Sans" w:cs="Calibri"/>
          <w:sz w:val="22"/>
        </w:rPr>
        <w:t>T</w:t>
      </w:r>
      <w:r w:rsidRPr="0043451E">
        <w:rPr>
          <w:rFonts w:ascii="IBM Plex Sans" w:eastAsiaTheme="minorHAnsi" w:hAnsi="IBM Plex Sans" w:cs="Calibri"/>
          <w:sz w:val="22"/>
        </w:rPr>
        <w:t xml:space="preserve">he overall mean </w:t>
      </w:r>
      <w:r>
        <w:rPr>
          <w:rFonts w:ascii="IBM Plex Sans" w:eastAsiaTheme="minorHAnsi" w:hAnsi="IBM Plex Sans" w:cs="Calibri"/>
          <w:sz w:val="22"/>
        </w:rPr>
        <w:t xml:space="preserve">LGB+ </w:t>
      </w:r>
      <w:r w:rsidRPr="0043451E">
        <w:rPr>
          <w:rFonts w:ascii="IBM Plex Sans" w:eastAsiaTheme="minorHAnsi" w:hAnsi="IBM Plex Sans" w:cs="Calibri"/>
          <w:sz w:val="22"/>
        </w:rPr>
        <w:t xml:space="preserve">pay gap at Public Health Wales is </w:t>
      </w:r>
      <w:r>
        <w:rPr>
          <w:rFonts w:ascii="IBM Plex Sans" w:eastAsiaTheme="minorHAnsi" w:hAnsi="IBM Plex Sans" w:cs="Calibri"/>
          <w:sz w:val="22"/>
        </w:rPr>
        <w:t>11.0%</w:t>
      </w:r>
      <w:r w:rsidRPr="0043451E">
        <w:rPr>
          <w:rFonts w:ascii="IBM Plex Sans" w:eastAsiaTheme="minorHAnsi" w:hAnsi="IBM Plex Sans" w:cs="Calibri"/>
          <w:sz w:val="22"/>
        </w:rPr>
        <w:t xml:space="preserve"> and the median </w:t>
      </w:r>
      <w:r>
        <w:rPr>
          <w:rFonts w:ascii="IBM Plex Sans" w:eastAsiaTheme="minorHAnsi" w:hAnsi="IBM Plex Sans" w:cs="Calibri"/>
          <w:sz w:val="22"/>
        </w:rPr>
        <w:t>LGB+</w:t>
      </w:r>
      <w:r w:rsidRPr="0043451E">
        <w:rPr>
          <w:rFonts w:ascii="IBM Plex Sans" w:eastAsiaTheme="minorHAnsi" w:hAnsi="IBM Plex Sans" w:cs="Calibri"/>
          <w:sz w:val="22"/>
        </w:rPr>
        <w:t xml:space="preserve"> pay gap is </w:t>
      </w:r>
      <w:r>
        <w:rPr>
          <w:rFonts w:ascii="IBM Plex Sans" w:eastAsiaTheme="minorHAnsi" w:hAnsi="IBM Plex Sans" w:cs="Calibri"/>
          <w:sz w:val="22"/>
        </w:rPr>
        <w:t>13.4</w:t>
      </w:r>
      <w:r w:rsidRPr="0043451E">
        <w:rPr>
          <w:rFonts w:ascii="IBM Plex Sans" w:eastAsiaTheme="minorHAnsi" w:hAnsi="IBM Plex Sans" w:cs="Calibri"/>
          <w:sz w:val="22"/>
        </w:rPr>
        <w:t>%.</w:t>
      </w:r>
    </w:p>
    <w:p w14:paraId="6EAC7C04" w14:textId="5F269BCF" w:rsidR="006848E1" w:rsidRPr="006848E1" w:rsidRDefault="006848E1" w:rsidP="004C7165">
      <w:pPr>
        <w:pStyle w:val="ListParagraph"/>
        <w:numPr>
          <w:ilvl w:val="0"/>
          <w:numId w:val="12"/>
        </w:numPr>
        <w:spacing w:before="0" w:after="0"/>
        <w:jc w:val="both"/>
        <w:rPr>
          <w:rFonts w:ascii="IBM Plex Sans" w:eastAsiaTheme="minorHAnsi" w:hAnsi="IBM Plex Sans" w:cs="Calibri"/>
          <w:sz w:val="22"/>
        </w:rPr>
      </w:pPr>
      <w:r w:rsidRPr="006848E1">
        <w:rPr>
          <w:rFonts w:ascii="IBM Plex Sans" w:eastAsiaTheme="minorHAnsi" w:hAnsi="IBM Plex Sans" w:cs="Calibri"/>
          <w:bCs/>
          <w:iCs/>
          <w:sz w:val="22"/>
        </w:rPr>
        <w:t xml:space="preserve">The overall mean ethnicity pay gap at Public Health Wales is in favour of ethnic minority staff at -8.5%, while the median ethnicity pay gap is 2.3%. However, </w:t>
      </w:r>
      <w:r w:rsidR="00BA7EAA">
        <w:rPr>
          <w:rFonts w:ascii="IBM Plex Sans" w:eastAsiaTheme="minorHAnsi" w:hAnsi="IBM Plex Sans" w:cs="Calibri"/>
          <w:bCs/>
          <w:iCs/>
          <w:sz w:val="22"/>
        </w:rPr>
        <w:t>f</w:t>
      </w:r>
      <w:r w:rsidRPr="006848E1">
        <w:rPr>
          <w:rFonts w:ascii="IBM Plex Sans" w:eastAsiaTheme="minorHAnsi" w:hAnsi="IBM Plex Sans" w:cs="Calibri"/>
          <w:bCs/>
          <w:iCs/>
          <w:sz w:val="22"/>
        </w:rPr>
        <w:t>urther analysis by ethnic group shows variations among different ethnic groups</w:t>
      </w:r>
      <w:r w:rsidR="00BA7EAA">
        <w:rPr>
          <w:rFonts w:ascii="IBM Plex Sans" w:eastAsiaTheme="minorHAnsi" w:hAnsi="IBM Plex Sans" w:cs="Calibri"/>
          <w:bCs/>
          <w:iCs/>
          <w:sz w:val="22"/>
        </w:rPr>
        <w:t>.</w:t>
      </w:r>
    </w:p>
    <w:p w14:paraId="3EF25A07" w14:textId="343C9664" w:rsidR="005B400F" w:rsidRPr="00D351E8" w:rsidRDefault="005B400F" w:rsidP="005B400F">
      <w:pPr>
        <w:pStyle w:val="ListParagraph"/>
        <w:numPr>
          <w:ilvl w:val="0"/>
          <w:numId w:val="8"/>
        </w:numPr>
        <w:spacing w:before="0" w:after="0"/>
        <w:jc w:val="both"/>
        <w:rPr>
          <w:rFonts w:ascii="IBM Plex Sans" w:hAnsi="IBM Plex Sans"/>
          <w:sz w:val="22"/>
          <w:szCs w:val="20"/>
          <w:lang w:val="en-GB"/>
        </w:rPr>
      </w:pPr>
      <w:r w:rsidRPr="00D351E8">
        <w:rPr>
          <w:rFonts w:ascii="IBM Plex Sans" w:hAnsi="IBM Plex Sans"/>
          <w:sz w:val="22"/>
          <w:szCs w:val="20"/>
          <w:lang w:val="en-GB"/>
        </w:rPr>
        <w:lastRenderedPageBreak/>
        <w:t>Efforts to improve ethnicity and disability declaration rates</w:t>
      </w:r>
      <w:r w:rsidR="00121B55">
        <w:rPr>
          <w:rFonts w:ascii="IBM Plex Sans" w:hAnsi="IBM Plex Sans"/>
          <w:sz w:val="22"/>
          <w:szCs w:val="20"/>
          <w:lang w:val="en-GB"/>
        </w:rPr>
        <w:t xml:space="preserve"> within the organisation</w:t>
      </w:r>
      <w:r w:rsidRPr="00D351E8">
        <w:rPr>
          <w:rFonts w:ascii="IBM Plex Sans" w:hAnsi="IBM Plex Sans"/>
          <w:sz w:val="22"/>
          <w:szCs w:val="20"/>
          <w:lang w:val="en-GB"/>
        </w:rPr>
        <w:t xml:space="preserve"> have had a positive impact, </w:t>
      </w:r>
      <w:r w:rsidR="00D351E8" w:rsidRPr="00D351E8">
        <w:rPr>
          <w:rFonts w:ascii="IBM Plex Sans" w:hAnsi="IBM Plex Sans"/>
          <w:sz w:val="22"/>
          <w:szCs w:val="20"/>
          <w:lang w:val="en-GB"/>
        </w:rPr>
        <w:t xml:space="preserve">providing larger samples for </w:t>
      </w:r>
      <w:r w:rsidRPr="00D351E8">
        <w:rPr>
          <w:rFonts w:ascii="IBM Plex Sans" w:hAnsi="IBM Plex Sans"/>
          <w:sz w:val="22"/>
          <w:szCs w:val="20"/>
          <w:lang w:val="en-GB"/>
        </w:rPr>
        <w:t>analysis</w:t>
      </w:r>
      <w:r w:rsidR="00F01A74">
        <w:rPr>
          <w:rFonts w:ascii="IBM Plex Sans" w:hAnsi="IBM Plex Sans"/>
          <w:sz w:val="22"/>
          <w:szCs w:val="20"/>
          <w:lang w:val="en-GB"/>
        </w:rPr>
        <w:t xml:space="preserve"> of the ethnicity, disability and sexuality pay gaps</w:t>
      </w:r>
      <w:r w:rsidR="00D351E8" w:rsidRPr="00D351E8">
        <w:rPr>
          <w:rFonts w:ascii="IBM Plex Sans" w:hAnsi="IBM Plex Sans"/>
          <w:sz w:val="22"/>
          <w:szCs w:val="20"/>
          <w:lang w:val="en-GB"/>
        </w:rPr>
        <w:t xml:space="preserve">. </w:t>
      </w:r>
    </w:p>
    <w:p w14:paraId="10B7B42B" w14:textId="77777777" w:rsidR="007D51A4" w:rsidRDefault="007D51A4" w:rsidP="007D51A4">
      <w:pPr>
        <w:pStyle w:val="Heading2"/>
        <w:spacing w:before="0"/>
        <w:rPr>
          <w:rFonts w:ascii="IBM Plex Sans Medium" w:eastAsiaTheme="minorHAnsi" w:hAnsi="IBM Plex Sans Medium" w:cs="Calibri"/>
          <w:color w:val="5C00D6"/>
          <w:sz w:val="22"/>
          <w:szCs w:val="22"/>
        </w:rPr>
      </w:pPr>
    </w:p>
    <w:p w14:paraId="0B95F6E8" w14:textId="14F1863E" w:rsidR="009D5CDD" w:rsidRPr="00E7024E" w:rsidRDefault="00E7024E" w:rsidP="007D51A4">
      <w:pPr>
        <w:pStyle w:val="Heading2"/>
        <w:spacing w:before="0"/>
        <w:rPr>
          <w:rFonts w:ascii="IBM Plex Sans Medium" w:eastAsiaTheme="minorHAnsi" w:hAnsi="IBM Plex Sans Medium" w:cs="Calibri"/>
          <w:color w:val="5C00D6"/>
          <w:sz w:val="22"/>
          <w:szCs w:val="22"/>
        </w:rPr>
      </w:pPr>
      <w:bookmarkStart w:id="6" w:name="_Toc157514631"/>
      <w:r w:rsidRPr="00E7024E">
        <w:rPr>
          <w:rFonts w:ascii="IBM Plex Sans Medium" w:eastAsiaTheme="minorHAnsi" w:hAnsi="IBM Plex Sans Medium" w:cs="Calibri"/>
          <w:color w:val="5C00D6"/>
          <w:sz w:val="22"/>
          <w:szCs w:val="22"/>
        </w:rPr>
        <w:t>Recommendations</w:t>
      </w:r>
      <w:bookmarkEnd w:id="6"/>
    </w:p>
    <w:p w14:paraId="46D53EF7" w14:textId="38CEC784" w:rsidR="00E7024E" w:rsidRDefault="007C12FD" w:rsidP="00EF0165">
      <w:pPr>
        <w:pStyle w:val="ListParagraph"/>
        <w:numPr>
          <w:ilvl w:val="0"/>
          <w:numId w:val="11"/>
        </w:numPr>
        <w:spacing w:before="0" w:after="0"/>
        <w:jc w:val="both"/>
        <w:rPr>
          <w:rFonts w:ascii="IBM Plex Sans" w:hAnsi="IBM Plex Sans"/>
          <w:sz w:val="22"/>
        </w:rPr>
      </w:pPr>
      <w:r>
        <w:rPr>
          <w:rFonts w:ascii="IBM Plex Sans" w:hAnsi="IBM Plex Sans"/>
          <w:sz w:val="22"/>
        </w:rPr>
        <w:t xml:space="preserve">We recommend </w:t>
      </w:r>
      <w:r w:rsidR="0050208B">
        <w:rPr>
          <w:rFonts w:ascii="IBM Plex Sans" w:hAnsi="IBM Plex Sans"/>
          <w:sz w:val="22"/>
        </w:rPr>
        <w:t xml:space="preserve">a </w:t>
      </w:r>
      <w:r w:rsidR="00DC1BAE">
        <w:rPr>
          <w:rFonts w:ascii="IBM Plex Sans Medium" w:hAnsi="IBM Plex Sans Medium"/>
          <w:sz w:val="22"/>
        </w:rPr>
        <w:t>r</w:t>
      </w:r>
      <w:r w:rsidR="0050208B">
        <w:rPr>
          <w:rFonts w:ascii="IBM Plex Sans Medium" w:hAnsi="IBM Plex Sans Medium"/>
          <w:sz w:val="22"/>
        </w:rPr>
        <w:t>eview of promotion and r</w:t>
      </w:r>
      <w:r w:rsidR="00DC1BAE">
        <w:rPr>
          <w:rFonts w:ascii="IBM Plex Sans Medium" w:hAnsi="IBM Plex Sans Medium"/>
          <w:sz w:val="22"/>
        </w:rPr>
        <w:t xml:space="preserve">ecruitment </w:t>
      </w:r>
      <w:r w:rsidR="000A275E">
        <w:rPr>
          <w:rFonts w:ascii="IBM Plex Sans Medium" w:hAnsi="IBM Plex Sans Medium"/>
          <w:sz w:val="22"/>
        </w:rPr>
        <w:t>policy and practice</w:t>
      </w:r>
      <w:r w:rsidR="00DC1BAE">
        <w:rPr>
          <w:rFonts w:ascii="IBM Plex Sans Medium" w:hAnsi="IBM Plex Sans Medium"/>
          <w:sz w:val="22"/>
        </w:rPr>
        <w:t xml:space="preserve"> </w:t>
      </w:r>
      <w:r w:rsidR="00384C34">
        <w:rPr>
          <w:rFonts w:ascii="IBM Plex Sans" w:hAnsi="IBM Plex Sans"/>
          <w:sz w:val="22"/>
        </w:rPr>
        <w:t xml:space="preserve">to </w:t>
      </w:r>
      <w:r w:rsidR="00830C4B">
        <w:rPr>
          <w:rFonts w:ascii="IBM Plex Sans" w:hAnsi="IBM Plex Sans"/>
          <w:sz w:val="22"/>
        </w:rPr>
        <w:t>ensure Public</w:t>
      </w:r>
      <w:r w:rsidR="00841672">
        <w:rPr>
          <w:rFonts w:ascii="IBM Plex Sans" w:hAnsi="IBM Plex Sans"/>
          <w:sz w:val="22"/>
        </w:rPr>
        <w:t xml:space="preserve"> Health Wales </w:t>
      </w:r>
      <w:r w:rsidR="00775A0B">
        <w:rPr>
          <w:rFonts w:ascii="IBM Plex Sans" w:hAnsi="IBM Plex Sans"/>
          <w:sz w:val="22"/>
        </w:rPr>
        <w:t>provides</w:t>
      </w:r>
      <w:r w:rsidR="00462CEC">
        <w:rPr>
          <w:rFonts w:ascii="IBM Plex Sans" w:hAnsi="IBM Plex Sans"/>
          <w:sz w:val="22"/>
        </w:rPr>
        <w:t xml:space="preserve"> transparent and </w:t>
      </w:r>
      <w:r w:rsidR="00384C34">
        <w:rPr>
          <w:rFonts w:ascii="IBM Plex Sans" w:hAnsi="IBM Plex Sans"/>
          <w:sz w:val="22"/>
        </w:rPr>
        <w:t xml:space="preserve">fair career advancement for all employees. </w:t>
      </w:r>
    </w:p>
    <w:p w14:paraId="4C58C01E" w14:textId="45A232DD" w:rsidR="008C42BE" w:rsidRDefault="008C42BE" w:rsidP="00EF0165">
      <w:pPr>
        <w:pStyle w:val="ListParagraph"/>
        <w:numPr>
          <w:ilvl w:val="0"/>
          <w:numId w:val="11"/>
        </w:numPr>
        <w:spacing w:before="0" w:after="0"/>
        <w:jc w:val="both"/>
        <w:rPr>
          <w:rFonts w:ascii="IBM Plex Sans" w:hAnsi="IBM Plex Sans"/>
          <w:sz w:val="22"/>
        </w:rPr>
      </w:pPr>
      <w:r w:rsidRPr="00841672">
        <w:rPr>
          <w:rFonts w:ascii="IBM Plex Sans" w:hAnsi="IBM Plex Sans"/>
          <w:sz w:val="22"/>
        </w:rPr>
        <w:t xml:space="preserve">Stereotyping and gender bias </w:t>
      </w:r>
      <w:r w:rsidR="00A31808">
        <w:rPr>
          <w:rFonts w:ascii="IBM Plex Sans" w:hAnsi="IBM Plex Sans"/>
          <w:sz w:val="22"/>
        </w:rPr>
        <w:t>can impact</w:t>
      </w:r>
      <w:r w:rsidR="0099755E">
        <w:rPr>
          <w:rFonts w:ascii="IBM Plex Sans" w:hAnsi="IBM Plex Sans"/>
          <w:sz w:val="22"/>
        </w:rPr>
        <w:t xml:space="preserve"> </w:t>
      </w:r>
      <w:r w:rsidRPr="00841672">
        <w:rPr>
          <w:rFonts w:ascii="IBM Plex Sans" w:hAnsi="IBM Plex Sans"/>
          <w:sz w:val="22"/>
        </w:rPr>
        <w:t xml:space="preserve">candidate selection. We recommend managers and others involved in the recruitment and/or promotion process </w:t>
      </w:r>
      <w:r w:rsidRPr="00841672">
        <w:rPr>
          <w:rFonts w:ascii="IBM Plex Sans Medium" w:hAnsi="IBM Plex Sans Medium"/>
          <w:sz w:val="22"/>
        </w:rPr>
        <w:t>undergo unconscious bias training</w:t>
      </w:r>
      <w:r w:rsidRPr="00841672">
        <w:rPr>
          <w:rFonts w:ascii="IBM Plex Sans" w:hAnsi="IBM Plex Sans"/>
          <w:sz w:val="22"/>
        </w:rPr>
        <w:t xml:space="preserve">. </w:t>
      </w:r>
    </w:p>
    <w:p w14:paraId="2CD7A6E6" w14:textId="45BFCAC3" w:rsidR="0039337A" w:rsidRDefault="00622D8E" w:rsidP="00EF0165">
      <w:pPr>
        <w:pStyle w:val="ListParagraph"/>
        <w:numPr>
          <w:ilvl w:val="0"/>
          <w:numId w:val="11"/>
        </w:numPr>
        <w:spacing w:before="0" w:after="0"/>
        <w:jc w:val="both"/>
        <w:rPr>
          <w:rFonts w:ascii="IBM Plex Sans" w:hAnsi="IBM Plex Sans"/>
          <w:sz w:val="22"/>
        </w:rPr>
      </w:pPr>
      <w:r w:rsidRPr="00841672">
        <w:rPr>
          <w:rFonts w:ascii="IBM Plex Sans" w:hAnsi="IBM Plex Sans"/>
          <w:sz w:val="22"/>
        </w:rPr>
        <w:t xml:space="preserve">We recommend </w:t>
      </w:r>
      <w:r w:rsidR="00841672" w:rsidRPr="00841672">
        <w:rPr>
          <w:rFonts w:ascii="IBM Plex Sans Medium" w:hAnsi="IBM Plex Sans Medium"/>
          <w:sz w:val="22"/>
        </w:rPr>
        <w:t>a review of</w:t>
      </w:r>
      <w:r w:rsidR="00120F27">
        <w:rPr>
          <w:rFonts w:ascii="IBM Plex Sans Medium" w:hAnsi="IBM Plex Sans Medium"/>
          <w:sz w:val="22"/>
        </w:rPr>
        <w:t xml:space="preserve"> potential </w:t>
      </w:r>
      <w:r w:rsidR="00120F27" w:rsidRPr="00841672">
        <w:rPr>
          <w:rFonts w:ascii="IBM Plex Sans Medium" w:hAnsi="IBM Plex Sans Medium"/>
          <w:sz w:val="22"/>
        </w:rPr>
        <w:t>language bias</w:t>
      </w:r>
      <w:r w:rsidR="00120F27">
        <w:rPr>
          <w:rFonts w:ascii="IBM Plex Sans Medium" w:hAnsi="IBM Plex Sans Medium"/>
          <w:sz w:val="22"/>
        </w:rPr>
        <w:t xml:space="preserve"> in</w:t>
      </w:r>
      <w:r w:rsidR="00841672" w:rsidRPr="00841672">
        <w:rPr>
          <w:rFonts w:ascii="IBM Plex Sans Medium" w:hAnsi="IBM Plex Sans Medium"/>
          <w:sz w:val="22"/>
        </w:rPr>
        <w:t xml:space="preserve"> job</w:t>
      </w:r>
      <w:r w:rsidR="00AD6533" w:rsidRPr="00841672">
        <w:rPr>
          <w:rFonts w:ascii="IBM Plex Sans Medium" w:hAnsi="IBM Plex Sans Medium"/>
          <w:sz w:val="22"/>
        </w:rPr>
        <w:t xml:space="preserve"> description</w:t>
      </w:r>
      <w:r w:rsidR="006C7BA7" w:rsidRPr="00841672">
        <w:rPr>
          <w:rFonts w:ascii="IBM Plex Sans Medium" w:hAnsi="IBM Plex Sans Medium"/>
          <w:sz w:val="22"/>
        </w:rPr>
        <w:t>s</w:t>
      </w:r>
      <w:r w:rsidR="00DC1BAE" w:rsidRPr="00841672">
        <w:rPr>
          <w:rFonts w:ascii="IBM Plex Sans" w:hAnsi="IBM Plex Sans"/>
          <w:sz w:val="22"/>
        </w:rPr>
        <w:t xml:space="preserve">, </w:t>
      </w:r>
      <w:r w:rsidR="004B13AB" w:rsidRPr="00841672">
        <w:rPr>
          <w:rFonts w:ascii="IBM Plex Sans" w:hAnsi="IBM Plex Sans"/>
          <w:sz w:val="22"/>
        </w:rPr>
        <w:t xml:space="preserve">which </w:t>
      </w:r>
      <w:r w:rsidR="00841672" w:rsidRPr="00841672">
        <w:rPr>
          <w:rFonts w:ascii="IBM Plex Sans" w:hAnsi="IBM Plex Sans"/>
          <w:sz w:val="22"/>
        </w:rPr>
        <w:t xml:space="preserve">may be </w:t>
      </w:r>
      <w:r w:rsidR="00F62ECD">
        <w:rPr>
          <w:rFonts w:ascii="IBM Plex Sans" w:hAnsi="IBM Plex Sans"/>
          <w:sz w:val="22"/>
        </w:rPr>
        <w:t>discouraging</w:t>
      </w:r>
      <w:r w:rsidR="004B13AB" w:rsidRPr="00841672">
        <w:rPr>
          <w:rFonts w:ascii="IBM Plex Sans" w:hAnsi="IBM Plex Sans"/>
          <w:sz w:val="22"/>
        </w:rPr>
        <w:t xml:space="preserve"> women or those from other protected groups from applying</w:t>
      </w:r>
      <w:r w:rsidR="000C0FE6">
        <w:rPr>
          <w:rFonts w:ascii="IBM Plex Sans" w:hAnsi="IBM Plex Sans"/>
          <w:sz w:val="22"/>
        </w:rPr>
        <w:t xml:space="preserve"> for certain roles</w:t>
      </w:r>
      <w:r w:rsidR="004B13AB" w:rsidRPr="00841672">
        <w:rPr>
          <w:rFonts w:ascii="IBM Plex Sans" w:hAnsi="IBM Plex Sans"/>
          <w:sz w:val="22"/>
        </w:rPr>
        <w:t>.</w:t>
      </w:r>
      <w:r w:rsidR="00F25DE3" w:rsidRPr="00841672">
        <w:rPr>
          <w:rFonts w:ascii="IBM Plex Sans" w:hAnsi="IBM Plex Sans"/>
          <w:sz w:val="22"/>
        </w:rPr>
        <w:t xml:space="preserve"> </w:t>
      </w:r>
    </w:p>
    <w:p w14:paraId="2CC38CDA" w14:textId="11338D4F" w:rsidR="00C801D7" w:rsidRDefault="00C801D7" w:rsidP="00C801D7">
      <w:pPr>
        <w:pStyle w:val="ListParagraph"/>
        <w:numPr>
          <w:ilvl w:val="0"/>
          <w:numId w:val="11"/>
        </w:numPr>
        <w:spacing w:before="0" w:after="0"/>
        <w:jc w:val="both"/>
        <w:rPr>
          <w:rFonts w:ascii="IBM Plex Sans" w:hAnsi="IBM Plex Sans"/>
          <w:sz w:val="22"/>
        </w:rPr>
      </w:pPr>
      <w:r>
        <w:rPr>
          <w:rFonts w:ascii="IBM Plex Sans" w:hAnsi="IBM Plex Sans"/>
          <w:sz w:val="22"/>
        </w:rPr>
        <w:t xml:space="preserve">We also recommend </w:t>
      </w:r>
      <w:r w:rsidRPr="00D15049">
        <w:rPr>
          <w:rFonts w:ascii="IBM Plex Sans Medium" w:hAnsi="IBM Plex Sans Medium"/>
          <w:sz w:val="22"/>
        </w:rPr>
        <w:t>analysing recruitment and promotion data</w:t>
      </w:r>
      <w:r>
        <w:rPr>
          <w:rFonts w:ascii="IBM Plex Sans" w:hAnsi="IBM Plex Sans"/>
          <w:sz w:val="22"/>
        </w:rPr>
        <w:t xml:space="preserve"> to produce detailed insights on the numbers and types of candidates to identify key trends</w:t>
      </w:r>
      <w:r w:rsidR="00A60282">
        <w:rPr>
          <w:rFonts w:ascii="IBM Plex Sans" w:hAnsi="IBM Plex Sans"/>
          <w:sz w:val="22"/>
        </w:rPr>
        <w:t xml:space="preserve"> </w:t>
      </w:r>
      <w:r w:rsidR="008C717D">
        <w:rPr>
          <w:rFonts w:ascii="IBM Plex Sans" w:hAnsi="IBM Plex Sans"/>
          <w:sz w:val="22"/>
        </w:rPr>
        <w:t>in support of</w:t>
      </w:r>
      <w:r w:rsidR="00A60282">
        <w:rPr>
          <w:rFonts w:ascii="IBM Plex Sans" w:hAnsi="IBM Plex Sans"/>
          <w:sz w:val="22"/>
        </w:rPr>
        <w:t xml:space="preserve"> an inclusive talent strategy.</w:t>
      </w:r>
    </w:p>
    <w:p w14:paraId="3E460DE0" w14:textId="666F7B9C" w:rsidR="00EC191D" w:rsidRDefault="00EC191D" w:rsidP="00EC191D">
      <w:pPr>
        <w:pStyle w:val="ListParagraph"/>
        <w:numPr>
          <w:ilvl w:val="0"/>
          <w:numId w:val="11"/>
        </w:numPr>
        <w:spacing w:before="0" w:after="0"/>
        <w:ind w:left="357" w:hanging="357"/>
        <w:jc w:val="both"/>
        <w:rPr>
          <w:rFonts w:ascii="IBM Plex Sans" w:hAnsi="IBM Plex Sans"/>
          <w:sz w:val="22"/>
        </w:rPr>
      </w:pPr>
      <w:r>
        <w:rPr>
          <w:rFonts w:ascii="IBM Plex Sans" w:hAnsi="IBM Plex Sans"/>
          <w:sz w:val="22"/>
        </w:rPr>
        <w:t xml:space="preserve">The </w:t>
      </w:r>
      <w:r w:rsidR="00325766">
        <w:rPr>
          <w:rFonts w:ascii="IBM Plex Sans" w:hAnsi="IBM Plex Sans"/>
          <w:sz w:val="22"/>
        </w:rPr>
        <w:t>organisation may</w:t>
      </w:r>
      <w:r>
        <w:rPr>
          <w:rFonts w:ascii="IBM Plex Sans" w:hAnsi="IBM Plex Sans"/>
          <w:sz w:val="22"/>
        </w:rPr>
        <w:t xml:space="preserve"> also need to </w:t>
      </w:r>
      <w:r w:rsidRPr="006C7BA7">
        <w:rPr>
          <w:rFonts w:ascii="IBM Plex Sans Medium" w:hAnsi="IBM Plex Sans Medium"/>
          <w:sz w:val="22"/>
        </w:rPr>
        <w:t>tackle perceptions</w:t>
      </w:r>
      <w:r>
        <w:rPr>
          <w:rFonts w:ascii="IBM Plex Sans" w:hAnsi="IBM Plex Sans"/>
          <w:sz w:val="22"/>
        </w:rPr>
        <w:t xml:space="preserve"> about roles </w:t>
      </w:r>
      <w:r w:rsidR="00D61502">
        <w:rPr>
          <w:rFonts w:ascii="IBM Plex Sans" w:hAnsi="IBM Plex Sans"/>
          <w:sz w:val="22"/>
        </w:rPr>
        <w:t xml:space="preserve">to </w:t>
      </w:r>
      <w:r>
        <w:rPr>
          <w:rFonts w:ascii="IBM Plex Sans" w:hAnsi="IBM Plex Sans"/>
          <w:sz w:val="22"/>
        </w:rPr>
        <w:t xml:space="preserve">which women </w:t>
      </w:r>
      <w:r w:rsidR="00D61502">
        <w:rPr>
          <w:rFonts w:ascii="IBM Plex Sans" w:hAnsi="IBM Plex Sans"/>
          <w:sz w:val="22"/>
        </w:rPr>
        <w:t xml:space="preserve">and </w:t>
      </w:r>
      <w:r w:rsidR="00D61502" w:rsidRPr="00841672">
        <w:rPr>
          <w:rFonts w:ascii="IBM Plex Sans" w:hAnsi="IBM Plex Sans"/>
          <w:sz w:val="22"/>
        </w:rPr>
        <w:t xml:space="preserve">those from other protected groups </w:t>
      </w:r>
      <w:r>
        <w:rPr>
          <w:rFonts w:ascii="IBM Plex Sans" w:hAnsi="IBM Plex Sans"/>
          <w:sz w:val="22"/>
        </w:rPr>
        <w:t xml:space="preserve">are less attracted to apply for. The use of case studies </w:t>
      </w:r>
      <w:r w:rsidR="00BA7EAA">
        <w:rPr>
          <w:rFonts w:ascii="IBM Plex Sans" w:hAnsi="IBM Plex Sans"/>
          <w:sz w:val="22"/>
        </w:rPr>
        <w:t xml:space="preserve">of women </w:t>
      </w:r>
      <w:r w:rsidR="00E92628">
        <w:rPr>
          <w:rFonts w:ascii="IBM Plex Sans" w:hAnsi="IBM Plex Sans"/>
          <w:sz w:val="22"/>
        </w:rPr>
        <w:t xml:space="preserve">and/or ethnic minority staff </w:t>
      </w:r>
      <w:r w:rsidR="00BA7EAA">
        <w:rPr>
          <w:rFonts w:ascii="IBM Plex Sans" w:hAnsi="IBM Plex Sans"/>
          <w:sz w:val="22"/>
        </w:rPr>
        <w:t xml:space="preserve">in senior and managerial roles </w:t>
      </w:r>
      <w:r>
        <w:rPr>
          <w:rFonts w:ascii="IBM Plex Sans" w:hAnsi="IBM Plex Sans"/>
          <w:sz w:val="22"/>
        </w:rPr>
        <w:t>could be useful here.</w:t>
      </w:r>
    </w:p>
    <w:p w14:paraId="04419947" w14:textId="34836E9B" w:rsidR="004F0C0D" w:rsidRPr="00540072" w:rsidRDefault="00B05233" w:rsidP="00540072">
      <w:pPr>
        <w:pStyle w:val="ListParagraph"/>
        <w:numPr>
          <w:ilvl w:val="0"/>
          <w:numId w:val="11"/>
        </w:numPr>
        <w:spacing w:before="0" w:after="0"/>
        <w:ind w:left="357"/>
        <w:jc w:val="both"/>
        <w:rPr>
          <w:rFonts w:ascii="IBM Plex Sans" w:hAnsi="IBM Plex Sans"/>
          <w:sz w:val="22"/>
        </w:rPr>
      </w:pPr>
      <w:r>
        <w:rPr>
          <w:rFonts w:ascii="IBM Plex Sans" w:eastAsiaTheme="minorHAnsi" w:hAnsi="IBM Plex Sans" w:cs="Calibri"/>
          <w:sz w:val="22"/>
        </w:rPr>
        <w:t>During the interview process</w:t>
      </w:r>
      <w:r w:rsidR="00540072" w:rsidRPr="00540072">
        <w:rPr>
          <w:rFonts w:ascii="IBM Plex Sans" w:eastAsiaTheme="minorHAnsi" w:hAnsi="IBM Plex Sans" w:cs="Calibri"/>
          <w:sz w:val="22"/>
        </w:rPr>
        <w:t xml:space="preserve">, </w:t>
      </w:r>
      <w:r w:rsidR="00540072" w:rsidRPr="00540072">
        <w:rPr>
          <w:rFonts w:ascii="IBM Plex Sans Medium" w:eastAsiaTheme="minorHAnsi" w:hAnsi="IBM Plex Sans Medium" w:cs="Calibri"/>
          <w:sz w:val="22"/>
        </w:rPr>
        <w:t>evaluating candidates comparatively</w:t>
      </w:r>
      <w:r w:rsidR="00540072" w:rsidRPr="00540072">
        <w:rPr>
          <w:rFonts w:ascii="IBM Plex Sans" w:eastAsiaTheme="minorHAnsi" w:hAnsi="IBM Plex Sans" w:cs="Calibri"/>
          <w:sz w:val="22"/>
        </w:rPr>
        <w:t xml:space="preserve"> (</w:t>
      </w:r>
      <w:proofErr w:type="spellStart"/>
      <w:proofErr w:type="gramStart"/>
      <w:r w:rsidR="00540072" w:rsidRPr="00540072">
        <w:rPr>
          <w:rFonts w:ascii="IBM Plex Sans" w:eastAsiaTheme="minorHAnsi" w:hAnsi="IBM Plex Sans" w:cs="Calibri"/>
          <w:sz w:val="22"/>
        </w:rPr>
        <w:t>ie</w:t>
      </w:r>
      <w:proofErr w:type="spellEnd"/>
      <w:proofErr w:type="gramEnd"/>
      <w:r w:rsidR="00540072" w:rsidRPr="00540072">
        <w:rPr>
          <w:rFonts w:ascii="IBM Plex Sans" w:eastAsiaTheme="minorHAnsi" w:hAnsi="IBM Plex Sans" w:cs="Calibri"/>
          <w:sz w:val="22"/>
        </w:rPr>
        <w:t xml:space="preserve"> not just individually) and hiring/promoting in batches, if at all possible, </w:t>
      </w:r>
      <w:r w:rsidR="00B80C90">
        <w:rPr>
          <w:rFonts w:ascii="IBM Plex Sans" w:eastAsiaTheme="minorHAnsi" w:hAnsi="IBM Plex Sans" w:cs="Calibri"/>
          <w:sz w:val="22"/>
        </w:rPr>
        <w:t>can support inclusive recruitment practices</w:t>
      </w:r>
      <w:r w:rsidR="00540072" w:rsidRPr="00540072">
        <w:rPr>
          <w:rFonts w:ascii="IBM Plex Sans" w:eastAsiaTheme="minorHAnsi" w:hAnsi="IBM Plex Sans" w:cs="Calibri"/>
          <w:sz w:val="22"/>
        </w:rPr>
        <w:t xml:space="preserve">. Structured interviews with balanced recruitment panels who have </w:t>
      </w:r>
      <w:r w:rsidR="004F0C0D">
        <w:rPr>
          <w:rFonts w:ascii="IBM Plex Sans" w:eastAsiaTheme="minorHAnsi" w:hAnsi="IBM Plex Sans" w:cs="Calibri"/>
          <w:sz w:val="22"/>
        </w:rPr>
        <w:t>undertaken</w:t>
      </w:r>
      <w:r w:rsidR="00540072" w:rsidRPr="00540072">
        <w:rPr>
          <w:rFonts w:ascii="IBM Plex Sans" w:eastAsiaTheme="minorHAnsi" w:hAnsi="IBM Plex Sans" w:cs="Calibri"/>
          <w:sz w:val="22"/>
        </w:rPr>
        <w:t xml:space="preserve"> unconscious-bias training is a key process change that can</w:t>
      </w:r>
      <w:r w:rsidR="004F0C0D">
        <w:rPr>
          <w:rFonts w:ascii="IBM Plex Sans" w:eastAsiaTheme="minorHAnsi" w:hAnsi="IBM Plex Sans" w:cs="Calibri"/>
          <w:sz w:val="22"/>
        </w:rPr>
        <w:t xml:space="preserve"> help</w:t>
      </w:r>
      <w:r w:rsidR="00540072" w:rsidRPr="00540072">
        <w:rPr>
          <w:rFonts w:ascii="IBM Plex Sans" w:eastAsiaTheme="minorHAnsi" w:hAnsi="IBM Plex Sans" w:cs="Calibri"/>
          <w:sz w:val="22"/>
        </w:rPr>
        <w:t xml:space="preserve"> improve access to external and internal roles for women</w:t>
      </w:r>
      <w:r w:rsidR="00BA7EAA">
        <w:rPr>
          <w:rFonts w:ascii="IBM Plex Sans" w:eastAsiaTheme="minorHAnsi" w:hAnsi="IBM Plex Sans" w:cs="Calibri"/>
          <w:sz w:val="22"/>
        </w:rPr>
        <w:t xml:space="preserve"> and other marginalized groups</w:t>
      </w:r>
      <w:r w:rsidR="00540072" w:rsidRPr="00540072">
        <w:rPr>
          <w:rFonts w:ascii="IBM Plex Sans" w:eastAsiaTheme="minorHAnsi" w:hAnsi="IBM Plex Sans" w:cs="Calibri"/>
          <w:sz w:val="22"/>
        </w:rPr>
        <w:t xml:space="preserve">. </w:t>
      </w:r>
    </w:p>
    <w:p w14:paraId="0A8A9E04" w14:textId="78F09D8E" w:rsidR="00835C73" w:rsidRPr="0070420C" w:rsidRDefault="00201413" w:rsidP="00EF0165">
      <w:pPr>
        <w:pStyle w:val="ListParagraph"/>
        <w:numPr>
          <w:ilvl w:val="0"/>
          <w:numId w:val="11"/>
        </w:numPr>
        <w:spacing w:before="0" w:after="0"/>
        <w:ind w:left="357" w:hanging="357"/>
        <w:jc w:val="both"/>
        <w:rPr>
          <w:rFonts w:ascii="IBM Plex Sans" w:hAnsi="IBM Plex Sans"/>
          <w:sz w:val="22"/>
        </w:rPr>
      </w:pPr>
      <w:r w:rsidRPr="0070420C">
        <w:rPr>
          <w:rFonts w:ascii="IBM Plex Sans" w:hAnsi="IBM Plex Sans"/>
          <w:sz w:val="22"/>
        </w:rPr>
        <w:t xml:space="preserve">A </w:t>
      </w:r>
      <w:r w:rsidRPr="00F575F7">
        <w:rPr>
          <w:rFonts w:ascii="IBM Plex Sans Medium" w:hAnsi="IBM Plex Sans Medium"/>
          <w:sz w:val="22"/>
        </w:rPr>
        <w:t>mentorship programme</w:t>
      </w:r>
      <w:r w:rsidR="00294231" w:rsidRPr="0070420C">
        <w:rPr>
          <w:rFonts w:ascii="IBM Plex Sans" w:hAnsi="IBM Plex Sans"/>
          <w:sz w:val="22"/>
        </w:rPr>
        <w:t xml:space="preserve"> or providing ‘st</w:t>
      </w:r>
      <w:r w:rsidR="003B5EA0" w:rsidRPr="0070420C">
        <w:rPr>
          <w:rFonts w:ascii="IBM Plex Sans" w:hAnsi="IBM Plex Sans"/>
          <w:sz w:val="22"/>
        </w:rPr>
        <w:t xml:space="preserve">retch’ assignments or secondments could prove useful in encouraging </w:t>
      </w:r>
      <w:r w:rsidR="00FD0E79">
        <w:rPr>
          <w:rFonts w:ascii="IBM Plex Sans" w:hAnsi="IBM Plex Sans"/>
          <w:sz w:val="22"/>
        </w:rPr>
        <w:t xml:space="preserve">more </w:t>
      </w:r>
      <w:r w:rsidR="003B5EA0" w:rsidRPr="0070420C">
        <w:rPr>
          <w:rFonts w:ascii="IBM Plex Sans" w:hAnsi="IBM Plex Sans"/>
          <w:sz w:val="22"/>
        </w:rPr>
        <w:t>women into leadership roles</w:t>
      </w:r>
      <w:r w:rsidR="0070420C" w:rsidRPr="0070420C">
        <w:rPr>
          <w:rFonts w:ascii="IBM Plex Sans" w:hAnsi="IBM Plex Sans"/>
          <w:sz w:val="22"/>
        </w:rPr>
        <w:t xml:space="preserve">. </w:t>
      </w:r>
    </w:p>
    <w:p w14:paraId="3BBC0C80" w14:textId="666F4C47" w:rsidR="00024DAC" w:rsidRPr="00B308F3" w:rsidRDefault="00EE0A08" w:rsidP="00B308F3">
      <w:pPr>
        <w:pStyle w:val="PlainText"/>
        <w:numPr>
          <w:ilvl w:val="0"/>
          <w:numId w:val="11"/>
        </w:numPr>
        <w:shd w:val="clear" w:color="auto" w:fill="FFFFFF"/>
        <w:spacing w:line="360" w:lineRule="auto"/>
        <w:jc w:val="both"/>
        <w:rPr>
          <w:rFonts w:ascii="IBM Plex Sans" w:hAnsi="IBM Plex Sans"/>
        </w:rPr>
      </w:pPr>
      <w:r w:rsidRPr="00CE346A">
        <w:rPr>
          <w:rFonts w:ascii="IBM Plex Sans" w:hAnsi="IBM Plex Sans"/>
          <w:szCs w:val="22"/>
        </w:rPr>
        <w:t>Public Health Wales</w:t>
      </w:r>
      <w:r w:rsidR="00633886" w:rsidRPr="00CE346A">
        <w:rPr>
          <w:rFonts w:ascii="IBM Plex Sans" w:hAnsi="IBM Plex Sans"/>
          <w:szCs w:val="22"/>
        </w:rPr>
        <w:t xml:space="preserve"> has </w:t>
      </w:r>
      <w:r w:rsidR="00FD0E79">
        <w:rPr>
          <w:rFonts w:ascii="IBM Plex Sans" w:hAnsi="IBM Plex Sans"/>
          <w:szCs w:val="22"/>
        </w:rPr>
        <w:t>already</w:t>
      </w:r>
      <w:r w:rsidR="009A5C0D">
        <w:rPr>
          <w:rFonts w:ascii="IBM Plex Sans" w:hAnsi="IBM Plex Sans"/>
          <w:szCs w:val="22"/>
        </w:rPr>
        <w:t xml:space="preserve"> </w:t>
      </w:r>
      <w:r w:rsidR="00817512" w:rsidRPr="00CE346A">
        <w:rPr>
          <w:rFonts w:ascii="IBM Plex Sans" w:hAnsi="IBM Plex Sans"/>
          <w:szCs w:val="22"/>
        </w:rPr>
        <w:t xml:space="preserve">implemented initiatives </w:t>
      </w:r>
      <w:r w:rsidR="00633886" w:rsidRPr="00CE346A">
        <w:rPr>
          <w:rFonts w:ascii="IBM Plex Sans" w:hAnsi="IBM Plex Sans"/>
          <w:szCs w:val="22"/>
        </w:rPr>
        <w:t>to address and reduce gender pay gaps</w:t>
      </w:r>
      <w:r w:rsidR="00812752" w:rsidRPr="00CE346A">
        <w:rPr>
          <w:rFonts w:ascii="IBM Plex Sans" w:hAnsi="IBM Plex Sans"/>
          <w:szCs w:val="22"/>
        </w:rPr>
        <w:t xml:space="preserve">, such as the </w:t>
      </w:r>
      <w:r w:rsidR="00633886" w:rsidRPr="00CE346A">
        <w:rPr>
          <w:rFonts w:ascii="IBM Plex Sans" w:hAnsi="IBM Plex Sans"/>
          <w:szCs w:val="22"/>
        </w:rPr>
        <w:t>‘Women’s Network’</w:t>
      </w:r>
      <w:r w:rsidR="00812752" w:rsidRPr="00CE346A">
        <w:rPr>
          <w:rFonts w:ascii="IBM Plex Sans" w:hAnsi="IBM Plex Sans"/>
          <w:szCs w:val="22"/>
        </w:rPr>
        <w:t xml:space="preserve"> aimed at</w:t>
      </w:r>
      <w:r w:rsidR="00633886" w:rsidRPr="00CE346A">
        <w:rPr>
          <w:rFonts w:ascii="IBM Plex Sans" w:hAnsi="IBM Plex Sans"/>
          <w:szCs w:val="22"/>
        </w:rPr>
        <w:t xml:space="preserve"> awareness-raising and developmental activities, </w:t>
      </w:r>
      <w:bookmarkStart w:id="7" w:name="_Toc151459692"/>
      <w:bookmarkStart w:id="8" w:name="_Toc151647266"/>
      <w:bookmarkStart w:id="9" w:name="_Toc151647497"/>
      <w:r w:rsidR="00633886" w:rsidRPr="00CE346A">
        <w:rPr>
          <w:rFonts w:ascii="IBM Plex Sans" w:hAnsi="IBM Plex Sans"/>
          <w:szCs w:val="22"/>
        </w:rPr>
        <w:t>‘Work How it Works Best’</w:t>
      </w:r>
      <w:r w:rsidR="00812752" w:rsidRPr="00CE346A">
        <w:rPr>
          <w:rFonts w:ascii="IBM Plex Sans" w:hAnsi="IBM Plex Sans"/>
          <w:szCs w:val="22"/>
        </w:rPr>
        <w:t xml:space="preserve"> aimed at enabling</w:t>
      </w:r>
      <w:r w:rsidR="00633886" w:rsidRPr="00CE346A">
        <w:rPr>
          <w:rFonts w:ascii="IBM Plex Sans" w:hAnsi="IBM Plex Sans"/>
          <w:szCs w:val="22"/>
        </w:rPr>
        <w:t xml:space="preserve"> more choice and flexibility</w:t>
      </w:r>
      <w:bookmarkEnd w:id="7"/>
      <w:bookmarkEnd w:id="8"/>
      <w:bookmarkEnd w:id="9"/>
      <w:r w:rsidR="00812752" w:rsidRPr="00CE346A">
        <w:rPr>
          <w:rFonts w:ascii="IBM Plex Sans" w:hAnsi="IBM Plex Sans"/>
          <w:szCs w:val="22"/>
        </w:rPr>
        <w:t xml:space="preserve"> in working patterns and other </w:t>
      </w:r>
      <w:r w:rsidR="00633886" w:rsidRPr="00CE346A">
        <w:rPr>
          <w:rFonts w:ascii="IBM Plex Sans" w:hAnsi="IBM Plex Sans"/>
        </w:rPr>
        <w:t>initiatives aimed at improving women’s experience at work</w:t>
      </w:r>
      <w:r w:rsidR="00FD0E79">
        <w:rPr>
          <w:rFonts w:ascii="IBM Plex Sans" w:hAnsi="IBM Plex Sans"/>
        </w:rPr>
        <w:t>;</w:t>
      </w:r>
      <w:r w:rsidR="00817512" w:rsidRPr="00CE346A">
        <w:rPr>
          <w:rFonts w:ascii="IBM Plex Sans" w:hAnsi="IBM Plex Sans"/>
        </w:rPr>
        <w:t xml:space="preserve"> h</w:t>
      </w:r>
      <w:r w:rsidR="00017573" w:rsidRPr="00CE346A">
        <w:rPr>
          <w:rFonts w:ascii="IBM Plex Sans" w:hAnsi="IBM Plex Sans"/>
        </w:rPr>
        <w:t xml:space="preserve">owever </w:t>
      </w:r>
      <w:r w:rsidR="00F7287B">
        <w:rPr>
          <w:rFonts w:ascii="IBM Plex Sans" w:hAnsi="IBM Plex Sans"/>
        </w:rPr>
        <w:t xml:space="preserve">the organisation </w:t>
      </w:r>
      <w:r w:rsidR="00B308F3">
        <w:rPr>
          <w:rFonts w:ascii="IBM Plex Sans" w:hAnsi="IBM Plex Sans"/>
        </w:rPr>
        <w:t>should consider</w:t>
      </w:r>
      <w:r w:rsidR="00F7287B">
        <w:rPr>
          <w:rFonts w:ascii="IBM Plex Sans" w:hAnsi="IBM Plex Sans"/>
        </w:rPr>
        <w:t xml:space="preserve"> </w:t>
      </w:r>
      <w:r w:rsidR="00F7287B" w:rsidRPr="00F575F7">
        <w:rPr>
          <w:rFonts w:ascii="IBM Plex Sans Medium" w:hAnsi="IBM Plex Sans Medium"/>
        </w:rPr>
        <w:t>establish</w:t>
      </w:r>
      <w:r w:rsidR="00B308F3">
        <w:rPr>
          <w:rFonts w:ascii="IBM Plex Sans Medium" w:hAnsi="IBM Plex Sans Medium"/>
        </w:rPr>
        <w:t>ing</w:t>
      </w:r>
      <w:r w:rsidR="00F7287B" w:rsidRPr="00F575F7">
        <w:rPr>
          <w:rFonts w:ascii="IBM Plex Sans Medium" w:hAnsi="IBM Plex Sans Medium"/>
        </w:rPr>
        <w:t xml:space="preserve"> a set of </w:t>
      </w:r>
      <w:r w:rsidR="00D61CCF">
        <w:rPr>
          <w:rFonts w:ascii="IBM Plex Sans Medium" w:hAnsi="IBM Plex Sans Medium"/>
        </w:rPr>
        <w:t>key performance indicators</w:t>
      </w:r>
      <w:r w:rsidR="00024DAC" w:rsidRPr="00017573">
        <w:rPr>
          <w:rFonts w:ascii="IBM Plex Sans" w:hAnsi="IBM Plex Sans"/>
        </w:rPr>
        <w:t xml:space="preserve"> </w:t>
      </w:r>
      <w:r w:rsidR="00EE1018">
        <w:rPr>
          <w:rFonts w:ascii="IBM Plex Sans" w:hAnsi="IBM Plex Sans"/>
        </w:rPr>
        <w:t xml:space="preserve">so that it can </w:t>
      </w:r>
      <w:r w:rsidR="00EE1018">
        <w:rPr>
          <w:rFonts w:ascii="IBM Plex Sans" w:hAnsi="IBM Plex Sans"/>
        </w:rPr>
        <w:lastRenderedPageBreak/>
        <w:t xml:space="preserve">make informed decisions </w:t>
      </w:r>
      <w:r w:rsidR="00AE578D">
        <w:rPr>
          <w:rFonts w:ascii="IBM Plex Sans" w:hAnsi="IBM Plex Sans"/>
        </w:rPr>
        <w:t xml:space="preserve">regarding </w:t>
      </w:r>
      <w:r w:rsidR="00EE1018">
        <w:rPr>
          <w:rFonts w:ascii="IBM Plex Sans" w:hAnsi="IBM Plex Sans"/>
        </w:rPr>
        <w:t xml:space="preserve">the </w:t>
      </w:r>
      <w:r w:rsidR="00024DAC" w:rsidRPr="00017573">
        <w:rPr>
          <w:rFonts w:ascii="IBM Plex Sans" w:hAnsi="IBM Plex Sans"/>
        </w:rPr>
        <w:t>effectiven</w:t>
      </w:r>
      <w:r w:rsidR="00633886" w:rsidRPr="00017573">
        <w:rPr>
          <w:rFonts w:ascii="IBM Plex Sans" w:hAnsi="IBM Plex Sans"/>
        </w:rPr>
        <w:t xml:space="preserve">ess of </w:t>
      </w:r>
      <w:r w:rsidR="00F7287B">
        <w:rPr>
          <w:rFonts w:ascii="IBM Plex Sans" w:hAnsi="IBM Plex Sans"/>
        </w:rPr>
        <w:t>such</w:t>
      </w:r>
      <w:r w:rsidR="00817512">
        <w:rPr>
          <w:rFonts w:ascii="IBM Plex Sans" w:hAnsi="IBM Plex Sans"/>
        </w:rPr>
        <w:t xml:space="preserve"> strategies. </w:t>
      </w:r>
      <w:r w:rsidR="008C0B8A" w:rsidRPr="00B308F3">
        <w:rPr>
          <w:rFonts w:ascii="IBM Plex Sans" w:hAnsi="IBM Plex Sans"/>
        </w:rPr>
        <w:t xml:space="preserve">Examples </w:t>
      </w:r>
      <w:r w:rsidR="00513FD7" w:rsidRPr="00B308F3">
        <w:rPr>
          <w:rFonts w:ascii="IBM Plex Sans" w:hAnsi="IBM Plex Sans"/>
        </w:rPr>
        <w:t xml:space="preserve">of areas that can be </w:t>
      </w:r>
      <w:r w:rsidR="000359BF" w:rsidRPr="00B308F3">
        <w:rPr>
          <w:rFonts w:ascii="IBM Plex Sans" w:hAnsi="IBM Plex Sans"/>
        </w:rPr>
        <w:t xml:space="preserve">measured </w:t>
      </w:r>
      <w:r w:rsidR="0096629B" w:rsidRPr="00B308F3">
        <w:rPr>
          <w:rFonts w:ascii="IBM Plex Sans" w:hAnsi="IBM Plex Sans"/>
        </w:rPr>
        <w:t>and</w:t>
      </w:r>
      <w:r w:rsidR="00513FD7" w:rsidRPr="00B308F3">
        <w:rPr>
          <w:rFonts w:ascii="IBM Plex Sans" w:hAnsi="IBM Plex Sans"/>
        </w:rPr>
        <w:t xml:space="preserve"> monitored </w:t>
      </w:r>
      <w:r w:rsidR="000359BF" w:rsidRPr="00B308F3">
        <w:rPr>
          <w:rFonts w:ascii="IBM Plex Sans" w:hAnsi="IBM Plex Sans"/>
        </w:rPr>
        <w:t>include:</w:t>
      </w:r>
    </w:p>
    <w:p w14:paraId="6AB18EC3" w14:textId="5A8A29D3" w:rsidR="008C0B8A" w:rsidRDefault="000359BF" w:rsidP="00EF0165">
      <w:pPr>
        <w:pStyle w:val="PlainText"/>
        <w:numPr>
          <w:ilvl w:val="1"/>
          <w:numId w:val="11"/>
        </w:numPr>
        <w:shd w:val="clear" w:color="auto" w:fill="FFFFFF"/>
        <w:spacing w:line="360" w:lineRule="auto"/>
        <w:jc w:val="both"/>
        <w:rPr>
          <w:rFonts w:ascii="IBM Plex Sans" w:hAnsi="IBM Plex Sans"/>
        </w:rPr>
      </w:pPr>
      <w:r>
        <w:rPr>
          <w:rFonts w:ascii="IBM Plex Sans" w:hAnsi="IBM Plex Sans"/>
        </w:rPr>
        <w:t xml:space="preserve">Time series data </w:t>
      </w:r>
      <w:r w:rsidR="00BA7EAA">
        <w:rPr>
          <w:rFonts w:ascii="IBM Plex Sans" w:hAnsi="IBM Plex Sans"/>
        </w:rPr>
        <w:t>on pay</w:t>
      </w:r>
      <w:r>
        <w:rPr>
          <w:rFonts w:ascii="IBM Plex Sans" w:hAnsi="IBM Plex Sans"/>
        </w:rPr>
        <w:t xml:space="preserve"> gaps</w:t>
      </w:r>
    </w:p>
    <w:p w14:paraId="2679CC6A" w14:textId="67EFADCF" w:rsidR="00CE346A" w:rsidRDefault="00513FD7" w:rsidP="00EF0165">
      <w:pPr>
        <w:pStyle w:val="PlainText"/>
        <w:numPr>
          <w:ilvl w:val="1"/>
          <w:numId w:val="11"/>
        </w:numPr>
        <w:shd w:val="clear" w:color="auto" w:fill="FFFFFF"/>
        <w:spacing w:line="360" w:lineRule="auto"/>
        <w:jc w:val="both"/>
        <w:rPr>
          <w:rFonts w:ascii="IBM Plex Sans" w:hAnsi="IBM Plex Sans"/>
        </w:rPr>
      </w:pPr>
      <w:r>
        <w:rPr>
          <w:rFonts w:ascii="IBM Plex Sans" w:hAnsi="IBM Plex Sans"/>
        </w:rPr>
        <w:t>P</w:t>
      </w:r>
      <w:r w:rsidR="00CE346A">
        <w:rPr>
          <w:rFonts w:ascii="IBM Plex Sans" w:hAnsi="IBM Plex Sans"/>
        </w:rPr>
        <w:t>roportion of women in managerial and leadership positions</w:t>
      </w:r>
    </w:p>
    <w:p w14:paraId="45CE3CFE" w14:textId="08625486" w:rsidR="00CE346A" w:rsidRDefault="00513FD7" w:rsidP="00EF0165">
      <w:pPr>
        <w:pStyle w:val="PlainText"/>
        <w:numPr>
          <w:ilvl w:val="1"/>
          <w:numId w:val="11"/>
        </w:numPr>
        <w:shd w:val="clear" w:color="auto" w:fill="FFFFFF"/>
        <w:spacing w:line="360" w:lineRule="auto"/>
        <w:jc w:val="both"/>
        <w:rPr>
          <w:rFonts w:ascii="IBM Plex Sans" w:hAnsi="IBM Plex Sans"/>
        </w:rPr>
      </w:pPr>
      <w:r>
        <w:rPr>
          <w:rFonts w:ascii="IBM Plex Sans" w:hAnsi="IBM Plex Sans"/>
        </w:rPr>
        <w:t>Rate at which men and women are promoted</w:t>
      </w:r>
    </w:p>
    <w:p w14:paraId="33191481" w14:textId="6AC5D614" w:rsidR="00E7024E" w:rsidRDefault="007153BE" w:rsidP="00EF0165">
      <w:pPr>
        <w:pStyle w:val="PlainText"/>
        <w:numPr>
          <w:ilvl w:val="1"/>
          <w:numId w:val="11"/>
        </w:numPr>
        <w:shd w:val="clear" w:color="auto" w:fill="FFFFFF"/>
        <w:spacing w:line="360" w:lineRule="auto"/>
        <w:jc w:val="both"/>
        <w:rPr>
          <w:rFonts w:ascii="IBM Plex Sans" w:hAnsi="IBM Plex Sans"/>
        </w:rPr>
      </w:pPr>
      <w:r>
        <w:rPr>
          <w:rFonts w:ascii="IBM Plex Sans" w:hAnsi="IBM Plex Sans"/>
        </w:rPr>
        <w:t>Employee perception of equality and fairness via employee engagement surveys</w:t>
      </w:r>
    </w:p>
    <w:p w14:paraId="2F91DBA7" w14:textId="2252BEAC" w:rsidR="003E7B0B" w:rsidRPr="00C3714F" w:rsidRDefault="003E7B0B" w:rsidP="00EF0165">
      <w:pPr>
        <w:pStyle w:val="PlainText"/>
        <w:numPr>
          <w:ilvl w:val="1"/>
          <w:numId w:val="11"/>
        </w:numPr>
        <w:shd w:val="clear" w:color="auto" w:fill="FFFFFF"/>
        <w:spacing w:line="360" w:lineRule="auto"/>
        <w:jc w:val="both"/>
        <w:rPr>
          <w:rFonts w:ascii="IBM Plex Sans" w:hAnsi="IBM Plex Sans"/>
        </w:rPr>
      </w:pPr>
      <w:r w:rsidRPr="00C3714F">
        <w:rPr>
          <w:rFonts w:ascii="IBM Plex Sans" w:hAnsi="IBM Plex Sans"/>
        </w:rPr>
        <w:t>Retention rates for men and women</w:t>
      </w:r>
    </w:p>
    <w:p w14:paraId="3895A73D" w14:textId="20A1397F" w:rsidR="00F63C5D" w:rsidRDefault="002B6EB6" w:rsidP="002B6EB6">
      <w:pPr>
        <w:pStyle w:val="ListParagraph"/>
        <w:numPr>
          <w:ilvl w:val="0"/>
          <w:numId w:val="11"/>
        </w:numPr>
        <w:spacing w:before="0" w:after="0"/>
        <w:jc w:val="both"/>
        <w:rPr>
          <w:rFonts w:ascii="IBM Plex Sans" w:eastAsiaTheme="minorHAnsi" w:hAnsi="IBM Plex Sans"/>
          <w:sz w:val="22"/>
          <w:lang w:val="en-GB"/>
        </w:rPr>
      </w:pPr>
      <w:r w:rsidRPr="00C3714F">
        <w:rPr>
          <w:rFonts w:ascii="IBM Plex Sans" w:eastAsiaTheme="minorHAnsi" w:hAnsi="IBM Plex Sans"/>
          <w:sz w:val="22"/>
          <w:lang w:val="en-GB"/>
        </w:rPr>
        <w:t xml:space="preserve">We recommend Public Health Wales </w:t>
      </w:r>
      <w:r w:rsidR="00F63C5D" w:rsidRPr="00C3714F">
        <w:rPr>
          <w:rFonts w:ascii="IBM Plex Sans Medium" w:eastAsiaTheme="minorHAnsi" w:hAnsi="IBM Plex Sans Medium"/>
          <w:sz w:val="22"/>
          <w:lang w:val="en-GB"/>
        </w:rPr>
        <w:t xml:space="preserve">review </w:t>
      </w:r>
      <w:r w:rsidR="00BA7EAA">
        <w:rPr>
          <w:rFonts w:ascii="IBM Plex Sans Medium" w:eastAsiaTheme="minorHAnsi" w:hAnsi="IBM Plex Sans Medium"/>
          <w:sz w:val="22"/>
          <w:lang w:val="en-GB"/>
        </w:rPr>
        <w:t xml:space="preserve">this gender pay gap report alongside </w:t>
      </w:r>
      <w:r w:rsidR="00F63C5D" w:rsidRPr="00C3714F">
        <w:rPr>
          <w:rFonts w:ascii="IBM Plex Sans Medium" w:eastAsiaTheme="minorHAnsi" w:hAnsi="IBM Plex Sans Medium"/>
          <w:sz w:val="22"/>
          <w:lang w:val="en-GB"/>
        </w:rPr>
        <w:t xml:space="preserve">results </w:t>
      </w:r>
      <w:r w:rsidR="00AE578D">
        <w:rPr>
          <w:rFonts w:ascii="IBM Plex Sans Medium" w:eastAsiaTheme="minorHAnsi" w:hAnsi="IBM Plex Sans Medium"/>
          <w:sz w:val="22"/>
          <w:lang w:val="en-GB"/>
        </w:rPr>
        <w:t>of</w:t>
      </w:r>
      <w:r w:rsidR="00F63C5D" w:rsidRPr="00C3714F">
        <w:rPr>
          <w:rFonts w:ascii="IBM Plex Sans Medium" w:eastAsiaTheme="minorHAnsi" w:hAnsi="IBM Plex Sans Medium"/>
          <w:sz w:val="22"/>
          <w:lang w:val="en-GB"/>
        </w:rPr>
        <w:t xml:space="preserve"> t</w:t>
      </w:r>
      <w:r w:rsidRPr="00C3714F">
        <w:rPr>
          <w:rFonts w:ascii="IBM Plex Sans Medium" w:eastAsiaTheme="minorHAnsi" w:hAnsi="IBM Plex Sans Medium"/>
          <w:sz w:val="22"/>
          <w:lang w:val="en-GB"/>
        </w:rPr>
        <w:t xml:space="preserve">he recent organisation-wide survey </w:t>
      </w:r>
      <w:r w:rsidR="00F63C5D" w:rsidRPr="00C3714F">
        <w:rPr>
          <w:rFonts w:ascii="IBM Plex Sans" w:eastAsiaTheme="minorHAnsi" w:hAnsi="IBM Plex Sans"/>
          <w:sz w:val="22"/>
          <w:lang w:val="en-GB"/>
        </w:rPr>
        <w:t xml:space="preserve">to pinpoint </w:t>
      </w:r>
      <w:r w:rsidR="00C3714F" w:rsidRPr="00C3714F">
        <w:rPr>
          <w:rFonts w:ascii="IBM Plex Sans" w:eastAsiaTheme="minorHAnsi" w:hAnsi="IBM Plex Sans"/>
          <w:sz w:val="22"/>
          <w:lang w:val="en-GB"/>
        </w:rPr>
        <w:t xml:space="preserve">wider cultural issues that are </w:t>
      </w:r>
      <w:r w:rsidR="00837CF1">
        <w:rPr>
          <w:rFonts w:ascii="IBM Plex Sans" w:eastAsiaTheme="minorHAnsi" w:hAnsi="IBM Plex Sans"/>
          <w:sz w:val="22"/>
          <w:lang w:val="en-GB"/>
        </w:rPr>
        <w:t>impacting</w:t>
      </w:r>
      <w:r w:rsidR="00837CF1" w:rsidRPr="00C3714F">
        <w:rPr>
          <w:rFonts w:ascii="IBM Plex Sans" w:eastAsiaTheme="minorHAnsi" w:hAnsi="IBM Plex Sans"/>
          <w:sz w:val="22"/>
          <w:lang w:val="en-GB"/>
        </w:rPr>
        <w:t xml:space="preserve"> </w:t>
      </w:r>
      <w:r w:rsidR="005B400F" w:rsidRPr="005B400F">
        <w:rPr>
          <w:rFonts w:ascii="IBM Plex Sans" w:eastAsiaTheme="minorHAnsi" w:hAnsi="IBM Plex Sans"/>
          <w:sz w:val="22"/>
          <w:lang w:val="en-GB"/>
        </w:rPr>
        <w:t>diversity, equality and inclusion</w:t>
      </w:r>
      <w:r w:rsidR="00C3714F" w:rsidRPr="00C3714F">
        <w:rPr>
          <w:rFonts w:ascii="IBM Plex Sans" w:eastAsiaTheme="minorHAnsi" w:hAnsi="IBM Plex Sans"/>
          <w:sz w:val="22"/>
          <w:lang w:val="en-GB"/>
        </w:rPr>
        <w:t xml:space="preserve">. </w:t>
      </w:r>
      <w:r w:rsidR="00F63C5D" w:rsidRPr="00C3714F">
        <w:rPr>
          <w:rFonts w:ascii="IBM Plex Sans" w:eastAsiaTheme="minorHAnsi" w:hAnsi="IBM Plex Sans"/>
          <w:sz w:val="22"/>
          <w:lang w:val="en-GB"/>
        </w:rPr>
        <w:t xml:space="preserve"> </w:t>
      </w:r>
    </w:p>
    <w:p w14:paraId="6172291F" w14:textId="77777777" w:rsidR="009A5C0D" w:rsidRDefault="009A5C0D" w:rsidP="009A5C0D">
      <w:pPr>
        <w:pStyle w:val="ListParagraph"/>
        <w:numPr>
          <w:ilvl w:val="0"/>
          <w:numId w:val="11"/>
        </w:numPr>
        <w:spacing w:before="0" w:after="0"/>
        <w:jc w:val="both"/>
        <w:rPr>
          <w:rFonts w:ascii="IBM Plex Sans" w:hAnsi="IBM Plex Sans"/>
          <w:sz w:val="22"/>
        </w:rPr>
      </w:pPr>
      <w:r w:rsidRPr="00841672">
        <w:rPr>
          <w:rFonts w:ascii="IBM Plex Sans" w:hAnsi="IBM Plex Sans"/>
          <w:sz w:val="22"/>
        </w:rPr>
        <w:t xml:space="preserve">We recommend Public Health Wales </w:t>
      </w:r>
      <w:r w:rsidRPr="00841672">
        <w:rPr>
          <w:rFonts w:ascii="IBM Plex Sans Medium" w:hAnsi="IBM Plex Sans Medium"/>
          <w:sz w:val="22"/>
        </w:rPr>
        <w:t>examines access to flexible working, training, and development opportunities</w:t>
      </w:r>
      <w:r>
        <w:rPr>
          <w:rFonts w:ascii="IBM Plex Sans Medium" w:hAnsi="IBM Plex Sans Medium"/>
          <w:sz w:val="22"/>
        </w:rPr>
        <w:t xml:space="preserve"> </w:t>
      </w:r>
      <w:r w:rsidRPr="00FA4E1F">
        <w:rPr>
          <w:rFonts w:ascii="IBM Plex Sans" w:hAnsi="IBM Plex Sans"/>
          <w:sz w:val="22"/>
        </w:rPr>
        <w:t>across the organisation</w:t>
      </w:r>
      <w:r w:rsidRPr="00841672">
        <w:rPr>
          <w:rFonts w:ascii="IBM Plex Sans" w:hAnsi="IBM Plex Sans"/>
          <w:sz w:val="22"/>
        </w:rPr>
        <w:t>.</w:t>
      </w:r>
    </w:p>
    <w:p w14:paraId="06CB9649" w14:textId="73018720" w:rsidR="00E952CD" w:rsidRDefault="00E952CD" w:rsidP="00E952CD">
      <w:pPr>
        <w:pStyle w:val="ListParagraph"/>
        <w:numPr>
          <w:ilvl w:val="0"/>
          <w:numId w:val="11"/>
        </w:numPr>
        <w:spacing w:before="0" w:after="0"/>
        <w:jc w:val="both"/>
        <w:rPr>
          <w:rFonts w:ascii="IBM Plex Sans" w:eastAsiaTheme="minorHAnsi" w:hAnsi="IBM Plex Sans" w:cs="Calibri"/>
          <w:sz w:val="22"/>
        </w:rPr>
      </w:pPr>
      <w:r w:rsidRPr="00841A37">
        <w:rPr>
          <w:rFonts w:ascii="IBM Plex Sans" w:eastAsiaTheme="minorHAnsi" w:hAnsi="IBM Plex Sans" w:cs="Calibri"/>
          <w:sz w:val="22"/>
        </w:rPr>
        <w:t xml:space="preserve">The organisation may also wish to undertake </w:t>
      </w:r>
      <w:r w:rsidRPr="001C08C2">
        <w:rPr>
          <w:rFonts w:ascii="IBM Plex Sans Medium" w:eastAsiaTheme="minorHAnsi" w:hAnsi="IBM Plex Sans Medium" w:cs="Calibri"/>
          <w:sz w:val="22"/>
        </w:rPr>
        <w:t>analysis of trends in maternity</w:t>
      </w:r>
      <w:r w:rsidR="00BA7EAA">
        <w:rPr>
          <w:rFonts w:ascii="IBM Plex Sans Medium" w:eastAsiaTheme="minorHAnsi" w:hAnsi="IBM Plex Sans Medium" w:cs="Calibri"/>
          <w:sz w:val="22"/>
        </w:rPr>
        <w:t xml:space="preserve"> and adoption</w:t>
      </w:r>
      <w:r w:rsidRPr="00066A4F">
        <w:rPr>
          <w:rFonts w:ascii="IBM Plex Sans Medium" w:eastAsiaTheme="minorHAnsi" w:hAnsi="IBM Plex Sans Medium" w:cs="Calibri"/>
          <w:sz w:val="22"/>
        </w:rPr>
        <w:t xml:space="preserve"> leave</w:t>
      </w:r>
      <w:r w:rsidRPr="00841A37">
        <w:rPr>
          <w:rFonts w:ascii="IBM Plex Sans" w:eastAsiaTheme="minorHAnsi" w:hAnsi="IBM Plex Sans" w:cs="Calibri"/>
          <w:sz w:val="22"/>
        </w:rPr>
        <w:t>, including examining rates of return and working patterns upon return</w:t>
      </w:r>
      <w:r>
        <w:rPr>
          <w:rFonts w:ascii="IBM Plex Sans" w:eastAsiaTheme="minorHAnsi" w:hAnsi="IBM Plex Sans" w:cs="Calibri"/>
          <w:sz w:val="22"/>
        </w:rPr>
        <w:t>,</w:t>
      </w:r>
      <w:r w:rsidRPr="00841A37">
        <w:rPr>
          <w:rFonts w:ascii="IBM Plex Sans" w:eastAsiaTheme="minorHAnsi" w:hAnsi="IBM Plex Sans" w:cs="Calibri"/>
          <w:sz w:val="22"/>
        </w:rPr>
        <w:t xml:space="preserve"> </w:t>
      </w:r>
      <w:r>
        <w:rPr>
          <w:rFonts w:ascii="IBM Plex Sans" w:eastAsiaTheme="minorHAnsi" w:hAnsi="IBM Plex Sans" w:cs="Calibri"/>
          <w:sz w:val="22"/>
        </w:rPr>
        <w:t xml:space="preserve">in order </w:t>
      </w:r>
      <w:r w:rsidRPr="00841A37">
        <w:rPr>
          <w:rFonts w:ascii="IBM Plex Sans" w:eastAsiaTheme="minorHAnsi" w:hAnsi="IBM Plex Sans" w:cs="Calibri"/>
          <w:sz w:val="22"/>
        </w:rPr>
        <w:t xml:space="preserve">to better understand how </w:t>
      </w:r>
      <w:proofErr w:type="gramStart"/>
      <w:r w:rsidRPr="00841A37">
        <w:rPr>
          <w:rFonts w:ascii="IBM Plex Sans" w:eastAsiaTheme="minorHAnsi" w:hAnsi="IBM Plex Sans" w:cs="Calibri"/>
          <w:sz w:val="22"/>
        </w:rPr>
        <w:t>children</w:t>
      </w:r>
      <w:proofErr w:type="gramEnd"/>
      <w:r w:rsidRPr="00841A37">
        <w:rPr>
          <w:rFonts w:ascii="IBM Plex Sans" w:eastAsiaTheme="minorHAnsi" w:hAnsi="IBM Plex Sans" w:cs="Calibri"/>
          <w:sz w:val="22"/>
        </w:rPr>
        <w:t xml:space="preserve"> affect women’s careers. </w:t>
      </w:r>
      <w:r>
        <w:rPr>
          <w:rFonts w:ascii="IBM Plex Sans" w:eastAsiaTheme="minorHAnsi" w:hAnsi="IBM Plex Sans" w:cs="Calibri"/>
          <w:sz w:val="22"/>
        </w:rPr>
        <w:t>Opportunities to</w:t>
      </w:r>
      <w:r w:rsidRPr="00841A37">
        <w:rPr>
          <w:rFonts w:ascii="IBM Plex Sans" w:eastAsiaTheme="minorHAnsi" w:hAnsi="IBM Plex Sans" w:cs="Calibri"/>
          <w:sz w:val="22"/>
        </w:rPr>
        <w:t xml:space="preserve"> improve maternity and care leave arrangements</w:t>
      </w:r>
      <w:r>
        <w:rPr>
          <w:rFonts w:ascii="IBM Plex Sans" w:eastAsiaTheme="minorHAnsi" w:hAnsi="IBM Plex Sans" w:cs="Calibri"/>
          <w:sz w:val="22"/>
        </w:rPr>
        <w:t xml:space="preserve"> could also be explored</w:t>
      </w:r>
      <w:r w:rsidRPr="00841A37">
        <w:rPr>
          <w:rFonts w:ascii="IBM Plex Sans" w:eastAsiaTheme="minorHAnsi" w:hAnsi="IBM Plex Sans" w:cs="Calibri"/>
          <w:sz w:val="22"/>
        </w:rPr>
        <w:t xml:space="preserve">, as well </w:t>
      </w:r>
      <w:r>
        <w:rPr>
          <w:rFonts w:ascii="IBM Plex Sans" w:eastAsiaTheme="minorHAnsi" w:hAnsi="IBM Plex Sans" w:cs="Calibri"/>
          <w:sz w:val="22"/>
        </w:rPr>
        <w:t xml:space="preserve">as </w:t>
      </w:r>
      <w:r w:rsidRPr="00841A37">
        <w:rPr>
          <w:rFonts w:ascii="IBM Plex Sans" w:eastAsiaTheme="minorHAnsi" w:hAnsi="IBM Plex Sans" w:cs="Calibri"/>
          <w:sz w:val="22"/>
        </w:rPr>
        <w:t>promot</w:t>
      </w:r>
      <w:r>
        <w:rPr>
          <w:rFonts w:ascii="IBM Plex Sans" w:eastAsiaTheme="minorHAnsi" w:hAnsi="IBM Plex Sans" w:cs="Calibri"/>
          <w:sz w:val="22"/>
        </w:rPr>
        <w:t>ing</w:t>
      </w:r>
      <w:r w:rsidRPr="00841A37">
        <w:rPr>
          <w:rFonts w:ascii="IBM Plex Sans" w:eastAsiaTheme="minorHAnsi" w:hAnsi="IBM Plex Sans" w:cs="Calibri"/>
          <w:sz w:val="22"/>
        </w:rPr>
        <w:t xml:space="preserve"> shared parental leave and flexible working arrangements.</w:t>
      </w:r>
    </w:p>
    <w:p w14:paraId="67FF538A" w14:textId="27B09E3D" w:rsidR="009A5C0D" w:rsidRPr="00841672" w:rsidRDefault="009A5C0D" w:rsidP="009A5C0D">
      <w:pPr>
        <w:pStyle w:val="ListParagraph"/>
        <w:numPr>
          <w:ilvl w:val="0"/>
          <w:numId w:val="11"/>
        </w:numPr>
        <w:spacing w:before="0" w:after="0"/>
        <w:jc w:val="both"/>
        <w:rPr>
          <w:rFonts w:ascii="IBM Plex Sans" w:hAnsi="IBM Plex Sans"/>
          <w:sz w:val="22"/>
        </w:rPr>
      </w:pPr>
      <w:r w:rsidRPr="00841672">
        <w:rPr>
          <w:rFonts w:ascii="IBM Plex Sans" w:eastAsiaTheme="minorHAnsi" w:hAnsi="IBM Plex Sans" w:cs="Calibri"/>
          <w:sz w:val="22"/>
        </w:rPr>
        <w:t xml:space="preserve">Gender pay gaps </w:t>
      </w:r>
      <w:r>
        <w:rPr>
          <w:rFonts w:ascii="IBM Plex Sans" w:eastAsiaTheme="minorHAnsi" w:hAnsi="IBM Plex Sans" w:cs="Calibri"/>
          <w:sz w:val="22"/>
        </w:rPr>
        <w:t xml:space="preserve">in Public Health Wales </w:t>
      </w:r>
      <w:r w:rsidRPr="00841672">
        <w:rPr>
          <w:rFonts w:ascii="IBM Plex Sans" w:eastAsiaTheme="minorHAnsi" w:hAnsi="IBM Plex Sans" w:cs="Calibri"/>
          <w:sz w:val="22"/>
        </w:rPr>
        <w:t>are</w:t>
      </w:r>
      <w:r>
        <w:rPr>
          <w:rFonts w:ascii="IBM Plex Sans" w:eastAsiaTheme="minorHAnsi" w:hAnsi="IBM Plex Sans" w:cs="Calibri"/>
          <w:sz w:val="22"/>
        </w:rPr>
        <w:t xml:space="preserve"> found to be</w:t>
      </w:r>
      <w:r w:rsidRPr="00841672">
        <w:rPr>
          <w:rFonts w:ascii="IBM Plex Sans" w:eastAsiaTheme="minorHAnsi" w:hAnsi="IBM Plex Sans" w:cs="Calibri"/>
          <w:sz w:val="22"/>
        </w:rPr>
        <w:t xml:space="preserve"> wider when based on ‘ordinary pay’ (which includes extra payments) </w:t>
      </w:r>
      <w:r>
        <w:rPr>
          <w:rFonts w:ascii="IBM Plex Sans" w:eastAsiaTheme="minorHAnsi" w:hAnsi="IBM Plex Sans" w:cs="Calibri"/>
          <w:sz w:val="22"/>
        </w:rPr>
        <w:t>compared to the pay gaps calculated on</w:t>
      </w:r>
      <w:r w:rsidRPr="00841672">
        <w:rPr>
          <w:rFonts w:ascii="IBM Plex Sans" w:eastAsiaTheme="minorHAnsi" w:hAnsi="IBM Plex Sans" w:cs="Calibri"/>
          <w:sz w:val="22"/>
        </w:rPr>
        <w:t xml:space="preserve"> spinal point salaries only</w:t>
      </w:r>
      <w:r>
        <w:rPr>
          <w:rFonts w:ascii="IBM Plex Sans" w:eastAsiaTheme="minorHAnsi" w:hAnsi="IBM Plex Sans" w:cs="Calibri"/>
          <w:sz w:val="22"/>
        </w:rPr>
        <w:t xml:space="preserve">. </w:t>
      </w:r>
      <w:r w:rsidR="00BA7EAA">
        <w:rPr>
          <w:rFonts w:ascii="IBM Plex Sans" w:eastAsiaTheme="minorHAnsi" w:hAnsi="IBM Plex Sans" w:cs="Calibri"/>
          <w:sz w:val="22"/>
        </w:rPr>
        <w:t>Therefore,</w:t>
      </w:r>
      <w:r w:rsidRPr="00841672">
        <w:rPr>
          <w:rFonts w:ascii="IBM Plex Sans" w:eastAsiaTheme="minorHAnsi" w:hAnsi="IBM Plex Sans" w:cs="Calibri"/>
          <w:sz w:val="22"/>
        </w:rPr>
        <w:t xml:space="preserve"> we recommend that Public Health Wales </w:t>
      </w:r>
      <w:r w:rsidRPr="00841672">
        <w:rPr>
          <w:rFonts w:ascii="IBM Plex Sans Medium" w:eastAsiaTheme="minorHAnsi" w:hAnsi="IBM Plex Sans Medium" w:cs="Calibri"/>
          <w:sz w:val="22"/>
        </w:rPr>
        <w:t>examines the allocation of allowances by gender</w:t>
      </w:r>
      <w:r w:rsidRPr="00841672">
        <w:rPr>
          <w:rFonts w:ascii="IBM Plex Sans" w:eastAsiaTheme="minorHAnsi" w:hAnsi="IBM Plex Sans" w:cs="Calibri"/>
          <w:sz w:val="22"/>
        </w:rPr>
        <w:t xml:space="preserve">. </w:t>
      </w:r>
    </w:p>
    <w:p w14:paraId="59E2A6F7" w14:textId="129E7014" w:rsidR="0070420C" w:rsidRPr="0070420C" w:rsidRDefault="0070420C" w:rsidP="00EF0165">
      <w:pPr>
        <w:pStyle w:val="PlainText"/>
        <w:numPr>
          <w:ilvl w:val="0"/>
          <w:numId w:val="11"/>
        </w:numPr>
        <w:shd w:val="clear" w:color="auto" w:fill="FFFFFF"/>
        <w:spacing w:line="360" w:lineRule="auto"/>
        <w:jc w:val="both"/>
        <w:rPr>
          <w:rFonts w:ascii="IBM Plex Sans" w:hAnsi="IBM Plex Sans"/>
        </w:rPr>
      </w:pPr>
      <w:r>
        <w:rPr>
          <w:rFonts w:ascii="IBM Plex Sans" w:hAnsi="IBM Plex Sans"/>
        </w:rPr>
        <w:t>The organisation might</w:t>
      </w:r>
      <w:r w:rsidR="00E952CD">
        <w:rPr>
          <w:rFonts w:ascii="IBM Plex Sans" w:hAnsi="IBM Plex Sans"/>
        </w:rPr>
        <w:t xml:space="preserve"> also</w:t>
      </w:r>
      <w:r>
        <w:rPr>
          <w:rFonts w:ascii="IBM Plex Sans" w:hAnsi="IBM Plex Sans"/>
        </w:rPr>
        <w:t xml:space="preserve"> consider setting up networks across the health or public sector </w:t>
      </w:r>
      <w:r w:rsidR="00474E15">
        <w:rPr>
          <w:rFonts w:ascii="IBM Plex Sans" w:hAnsi="IBM Plex Sans"/>
        </w:rPr>
        <w:t>to learn from others</w:t>
      </w:r>
      <w:r w:rsidR="0000626D">
        <w:rPr>
          <w:rFonts w:ascii="IBM Plex Sans" w:hAnsi="IBM Plex Sans"/>
        </w:rPr>
        <w:t>’</w:t>
      </w:r>
      <w:r w:rsidR="00474E15">
        <w:rPr>
          <w:rFonts w:ascii="IBM Plex Sans" w:hAnsi="IBM Plex Sans"/>
        </w:rPr>
        <w:t xml:space="preserve"> experiences and </w:t>
      </w:r>
      <w:r w:rsidR="00474E15" w:rsidRPr="00F575F7">
        <w:rPr>
          <w:rFonts w:ascii="IBM Plex Sans Medium" w:hAnsi="IBM Plex Sans Medium"/>
        </w:rPr>
        <w:t>share best practice</w:t>
      </w:r>
      <w:r w:rsidR="00474E15">
        <w:rPr>
          <w:rFonts w:ascii="IBM Plex Sans" w:hAnsi="IBM Plex Sans"/>
        </w:rPr>
        <w:t xml:space="preserve">. </w:t>
      </w:r>
    </w:p>
    <w:p w14:paraId="1FC7D83C" w14:textId="525D5EF1" w:rsidR="00E7024E" w:rsidRPr="001C08C2" w:rsidRDefault="00093D01" w:rsidP="00EF0165">
      <w:pPr>
        <w:pStyle w:val="ListParagraph"/>
        <w:numPr>
          <w:ilvl w:val="0"/>
          <w:numId w:val="8"/>
        </w:numPr>
        <w:spacing w:before="0" w:after="0"/>
        <w:jc w:val="both"/>
        <w:rPr>
          <w:rFonts w:ascii="IBM Plex Sans" w:hAnsi="IBM Plex Sans"/>
          <w:sz w:val="22"/>
        </w:rPr>
      </w:pPr>
      <w:r w:rsidRPr="001C08C2">
        <w:rPr>
          <w:rFonts w:ascii="IBM Plex Sans" w:eastAsiaTheme="minorHAnsi" w:hAnsi="IBM Plex Sans" w:cs="Calibri"/>
          <w:sz w:val="22"/>
        </w:rPr>
        <w:t xml:space="preserve">We recommend </w:t>
      </w:r>
      <w:r w:rsidR="00F81072">
        <w:rPr>
          <w:rFonts w:ascii="IBM Plex Sans" w:eastAsiaTheme="minorHAnsi" w:hAnsi="IBM Plex Sans" w:cs="Calibri"/>
          <w:sz w:val="22"/>
        </w:rPr>
        <w:t xml:space="preserve">that </w:t>
      </w:r>
      <w:r w:rsidRPr="001C08C2">
        <w:rPr>
          <w:rFonts w:ascii="IBM Plex Sans" w:eastAsiaTheme="minorHAnsi" w:hAnsi="IBM Plex Sans" w:cs="Calibri"/>
          <w:sz w:val="22"/>
        </w:rPr>
        <w:t>t</w:t>
      </w:r>
      <w:r w:rsidR="008D6BF4" w:rsidRPr="001C08C2">
        <w:rPr>
          <w:rFonts w:ascii="IBM Plex Sans" w:eastAsiaTheme="minorHAnsi" w:hAnsi="IBM Plex Sans" w:cs="Calibri"/>
          <w:sz w:val="22"/>
        </w:rPr>
        <w:t xml:space="preserve">he organisation </w:t>
      </w:r>
      <w:r w:rsidRPr="001C08C2">
        <w:rPr>
          <w:rFonts w:ascii="IBM Plex Sans" w:eastAsiaTheme="minorHAnsi" w:hAnsi="IBM Plex Sans" w:cs="Calibri"/>
          <w:sz w:val="22"/>
        </w:rPr>
        <w:t>continues to</w:t>
      </w:r>
      <w:r w:rsidR="00E952CD">
        <w:rPr>
          <w:rFonts w:ascii="IBM Plex Sans" w:eastAsiaTheme="minorHAnsi" w:hAnsi="IBM Plex Sans" w:cs="Calibri"/>
          <w:sz w:val="22"/>
        </w:rPr>
        <w:t xml:space="preserve"> work to</w:t>
      </w:r>
      <w:r w:rsidRPr="001C08C2">
        <w:rPr>
          <w:rFonts w:ascii="IBM Plex Sans" w:eastAsiaTheme="minorHAnsi" w:hAnsi="IBM Plex Sans" w:cs="Calibri"/>
          <w:sz w:val="22"/>
        </w:rPr>
        <w:t xml:space="preserve"> </w:t>
      </w:r>
      <w:r w:rsidR="008D6BF4" w:rsidRPr="001C08C2">
        <w:rPr>
          <w:rFonts w:ascii="IBM Plex Sans Medium" w:eastAsiaTheme="minorHAnsi" w:hAnsi="IBM Plex Sans Medium" w:cs="Calibri"/>
          <w:sz w:val="22"/>
        </w:rPr>
        <w:t>improve declaration rates</w:t>
      </w:r>
      <w:r w:rsidR="00BA7EAA">
        <w:rPr>
          <w:rFonts w:ascii="IBM Plex Sans Medium" w:eastAsiaTheme="minorHAnsi" w:hAnsi="IBM Plex Sans Medium" w:cs="Calibri"/>
          <w:sz w:val="22"/>
        </w:rPr>
        <w:t xml:space="preserve"> on ethnicity, disability and sexual orientation</w:t>
      </w:r>
      <w:r w:rsidR="008C779A">
        <w:rPr>
          <w:rFonts w:ascii="IBM Plex Sans" w:eastAsiaTheme="minorHAnsi" w:hAnsi="IBM Plex Sans" w:cs="Calibri"/>
          <w:sz w:val="22"/>
        </w:rPr>
        <w:t>.</w:t>
      </w:r>
    </w:p>
    <w:p w14:paraId="50871602" w14:textId="77777777" w:rsidR="001C08C2" w:rsidRPr="001C08C2" w:rsidRDefault="001C08C2" w:rsidP="001C08C2">
      <w:pPr>
        <w:spacing w:before="0" w:after="0"/>
        <w:jc w:val="both"/>
        <w:rPr>
          <w:rFonts w:ascii="IBM Plex Sans" w:hAnsi="IBM Plex Sans"/>
          <w:sz w:val="22"/>
        </w:rPr>
      </w:pPr>
    </w:p>
    <w:p w14:paraId="3A79D5E7" w14:textId="3B108880" w:rsidR="00AC6A2F" w:rsidRPr="00E7024E" w:rsidRDefault="00AC6A2F" w:rsidP="00E7024E">
      <w:pPr>
        <w:spacing w:before="0" w:after="0"/>
        <w:jc w:val="both"/>
        <w:rPr>
          <w:rFonts w:ascii="IBM Plex Sans" w:eastAsiaTheme="minorHAnsi" w:hAnsi="IBM Plex Sans" w:cs="Calibri"/>
          <w:bCs/>
          <w:iCs/>
          <w:color w:val="5C00D6"/>
          <w:sz w:val="22"/>
        </w:rPr>
      </w:pPr>
      <w:r w:rsidRPr="00E7024E">
        <w:rPr>
          <w:rFonts w:ascii="IBM Plex Sans" w:eastAsiaTheme="minorHAnsi" w:hAnsi="IBM Plex Sans" w:cs="Calibri"/>
          <w:color w:val="5C00D6"/>
          <w:sz w:val="22"/>
        </w:rPr>
        <w:br w:type="page"/>
      </w:r>
    </w:p>
    <w:p w14:paraId="4CF296A7" w14:textId="0F7B2425" w:rsidR="00AC6A2F" w:rsidRPr="00AC6A2F" w:rsidRDefault="00932BD5" w:rsidP="00AC6A2F">
      <w:pPr>
        <w:pStyle w:val="TableofFigures"/>
        <w:tabs>
          <w:tab w:val="right" w:leader="dot" w:pos="9350"/>
        </w:tabs>
        <w:spacing w:before="0"/>
        <w:outlineLvl w:val="0"/>
        <w:rPr>
          <w:rStyle w:val="Hyperlink"/>
          <w:rFonts w:ascii="IBM Plex Sans Light" w:hAnsi="IBM Plex Sans Light" w:cs="Calibri"/>
          <w:noProof/>
          <w:color w:val="5C00D6"/>
          <w:sz w:val="32"/>
          <w:szCs w:val="32"/>
          <w:u w:val="none"/>
        </w:rPr>
      </w:pPr>
      <w:bookmarkStart w:id="10" w:name="_Toc157514632"/>
      <w:r w:rsidRPr="00AC6A2F">
        <w:rPr>
          <w:rStyle w:val="Hyperlink"/>
          <w:rFonts w:ascii="IBM Plex Sans Light" w:hAnsi="IBM Plex Sans Light" w:cs="Calibri"/>
          <w:noProof/>
          <w:color w:val="5C00D6"/>
          <w:sz w:val="32"/>
          <w:szCs w:val="32"/>
          <w:u w:val="none"/>
        </w:rPr>
        <w:lastRenderedPageBreak/>
        <w:t xml:space="preserve">Gender </w:t>
      </w:r>
      <w:bookmarkEnd w:id="3"/>
      <w:bookmarkEnd w:id="4"/>
      <w:bookmarkEnd w:id="5"/>
      <w:r w:rsidR="004335A4" w:rsidRPr="00AC6A2F">
        <w:rPr>
          <w:rStyle w:val="Hyperlink"/>
          <w:rFonts w:ascii="IBM Plex Sans Light" w:hAnsi="IBM Plex Sans Light" w:cs="Calibri"/>
          <w:noProof/>
          <w:color w:val="5C00D6"/>
          <w:sz w:val="32"/>
          <w:szCs w:val="32"/>
          <w:u w:val="none"/>
        </w:rPr>
        <w:t>p</w:t>
      </w:r>
      <w:r w:rsidR="00445006" w:rsidRPr="00AC6A2F">
        <w:rPr>
          <w:rStyle w:val="Hyperlink"/>
          <w:rFonts w:ascii="IBM Plex Sans Light" w:hAnsi="IBM Plex Sans Light" w:cs="Calibri"/>
          <w:noProof/>
          <w:color w:val="5C00D6"/>
          <w:sz w:val="32"/>
          <w:szCs w:val="32"/>
          <w:u w:val="none"/>
        </w:rPr>
        <w:t xml:space="preserve">ay </w:t>
      </w:r>
      <w:r w:rsidR="004335A4" w:rsidRPr="00AC6A2F">
        <w:rPr>
          <w:rStyle w:val="Hyperlink"/>
          <w:rFonts w:ascii="IBM Plex Sans Light" w:hAnsi="IBM Plex Sans Light" w:cs="Calibri"/>
          <w:noProof/>
          <w:color w:val="5C00D6"/>
          <w:sz w:val="32"/>
          <w:szCs w:val="32"/>
          <w:u w:val="none"/>
        </w:rPr>
        <w:t>g</w:t>
      </w:r>
      <w:r w:rsidR="00445006" w:rsidRPr="00AC6A2F">
        <w:rPr>
          <w:rStyle w:val="Hyperlink"/>
          <w:rFonts w:ascii="IBM Plex Sans Light" w:hAnsi="IBM Plex Sans Light" w:cs="Calibri"/>
          <w:noProof/>
          <w:color w:val="5C00D6"/>
          <w:sz w:val="32"/>
          <w:szCs w:val="32"/>
          <w:u w:val="none"/>
        </w:rPr>
        <w:t>ap</w:t>
      </w:r>
      <w:r w:rsidR="00080D8A" w:rsidRPr="00AC6A2F">
        <w:rPr>
          <w:rStyle w:val="Hyperlink"/>
          <w:rFonts w:ascii="IBM Plex Sans Light" w:hAnsi="IBM Plex Sans Light" w:cs="Calibri"/>
          <w:noProof/>
          <w:color w:val="5C00D6"/>
          <w:sz w:val="32"/>
          <w:szCs w:val="32"/>
          <w:u w:val="none"/>
        </w:rPr>
        <w:t xml:space="preserve"> </w:t>
      </w:r>
      <w:r w:rsidR="00D42DE8">
        <w:rPr>
          <w:rStyle w:val="Hyperlink"/>
          <w:rFonts w:ascii="IBM Plex Sans Light" w:hAnsi="IBM Plex Sans Light" w:cs="Calibri"/>
          <w:noProof/>
          <w:color w:val="5C00D6"/>
          <w:sz w:val="32"/>
          <w:szCs w:val="32"/>
          <w:u w:val="none"/>
        </w:rPr>
        <w:t>reporting</w:t>
      </w:r>
      <w:bookmarkEnd w:id="10"/>
    </w:p>
    <w:p w14:paraId="6203DB89" w14:textId="43A6E557" w:rsidR="00E90D17" w:rsidRPr="00B37EED" w:rsidRDefault="00E90D17" w:rsidP="0046453B">
      <w:pPr>
        <w:pStyle w:val="TableofFigures"/>
        <w:tabs>
          <w:tab w:val="right" w:leader="dot" w:pos="9350"/>
        </w:tabs>
        <w:spacing w:before="0"/>
        <w:jc w:val="both"/>
        <w:outlineLvl w:val="0"/>
        <w:rPr>
          <w:rFonts w:ascii="IBM Plex Sans" w:hAnsi="IBM Plex Sans"/>
          <w:sz w:val="22"/>
          <w:shd w:val="clear" w:color="auto" w:fill="FFFFFF"/>
        </w:rPr>
      </w:pPr>
      <w:bookmarkStart w:id="11" w:name="_Toc156746207"/>
      <w:bookmarkStart w:id="12" w:name="_Toc156746356"/>
      <w:bookmarkStart w:id="13" w:name="_Toc156829904"/>
      <w:bookmarkStart w:id="14" w:name="_Toc157507519"/>
      <w:bookmarkStart w:id="15" w:name="_Toc157514633"/>
      <w:r w:rsidRPr="00B37EED">
        <w:rPr>
          <w:rFonts w:ascii="IBM Plex Sans" w:hAnsi="IBM Plex Sans"/>
          <w:sz w:val="22"/>
          <w:shd w:val="clear" w:color="auto" w:fill="FFFFFF"/>
        </w:rPr>
        <w:t>The</w:t>
      </w:r>
      <w:r w:rsidR="00D42DE8" w:rsidRPr="00B37EED">
        <w:rPr>
          <w:rFonts w:ascii="IBM Plex Sans" w:hAnsi="IBM Plex Sans"/>
          <w:sz w:val="22"/>
          <w:shd w:val="clear" w:color="auto" w:fill="FFFFFF"/>
        </w:rPr>
        <w:t xml:space="preserve"> </w:t>
      </w:r>
      <w:r w:rsidR="008E6364" w:rsidRPr="00531CCC">
        <w:rPr>
          <w:rFonts w:ascii="IBM Plex Sans" w:hAnsi="IBM Plex Sans"/>
          <w:sz w:val="22"/>
          <w:shd w:val="clear" w:color="auto" w:fill="FFFFFF"/>
        </w:rPr>
        <w:t>Equality Act 2010 (Gender Pay Gap Information) Regulations 2017</w:t>
      </w:r>
      <w:r w:rsidR="00531CCC">
        <w:rPr>
          <w:rFonts w:ascii="IBM Plex Sans" w:hAnsi="IBM Plex Sans"/>
          <w:sz w:val="22"/>
          <w:shd w:val="clear" w:color="auto" w:fill="FFFFFF"/>
        </w:rPr>
        <w:t xml:space="preserve"> </w:t>
      </w:r>
      <w:r w:rsidRPr="00B37EED">
        <w:rPr>
          <w:rFonts w:ascii="IBM Plex Sans" w:hAnsi="IBM Plex Sans"/>
          <w:sz w:val="22"/>
          <w:shd w:val="clear" w:color="auto" w:fill="FFFFFF"/>
        </w:rPr>
        <w:t xml:space="preserve">require employers </w:t>
      </w:r>
      <w:r w:rsidR="00A25661" w:rsidRPr="00B37EED">
        <w:rPr>
          <w:rFonts w:ascii="IBM Plex Sans" w:hAnsi="IBM Plex Sans"/>
          <w:sz w:val="22"/>
          <w:shd w:val="clear" w:color="auto" w:fill="FFFFFF"/>
        </w:rPr>
        <w:t xml:space="preserve">with 250 or more employees </w:t>
      </w:r>
      <w:r w:rsidRPr="00B37EED">
        <w:rPr>
          <w:rFonts w:ascii="IBM Plex Sans" w:hAnsi="IBM Plex Sans"/>
          <w:sz w:val="22"/>
          <w:shd w:val="clear" w:color="auto" w:fill="FFFFFF"/>
        </w:rPr>
        <w:t xml:space="preserve">to </w:t>
      </w:r>
      <w:r w:rsidR="009853B3" w:rsidRPr="00B37EED">
        <w:rPr>
          <w:rFonts w:ascii="IBM Plex Sans" w:hAnsi="IBM Plex Sans"/>
          <w:sz w:val="22"/>
          <w:shd w:val="clear" w:color="auto" w:fill="FFFFFF"/>
        </w:rPr>
        <w:t xml:space="preserve">annually </w:t>
      </w:r>
      <w:r w:rsidRPr="00B37EED">
        <w:rPr>
          <w:rFonts w:ascii="IBM Plex Sans" w:hAnsi="IBM Plex Sans"/>
          <w:sz w:val="22"/>
          <w:shd w:val="clear" w:color="auto" w:fill="FFFFFF"/>
        </w:rPr>
        <w:t>publish information on their gender pay gap, and the distribution of men and women in each pay quarte</w:t>
      </w:r>
      <w:r w:rsidR="005B79EE" w:rsidRPr="00B37EED">
        <w:rPr>
          <w:rFonts w:ascii="IBM Plex Sans" w:hAnsi="IBM Plex Sans"/>
          <w:sz w:val="22"/>
          <w:shd w:val="clear" w:color="auto" w:fill="FFFFFF"/>
        </w:rPr>
        <w:t>r</w:t>
      </w:r>
      <w:r w:rsidRPr="00B37EED">
        <w:rPr>
          <w:rFonts w:ascii="IBM Plex Sans" w:hAnsi="IBM Plex Sans"/>
          <w:sz w:val="22"/>
          <w:shd w:val="clear" w:color="auto" w:fill="FFFFFF"/>
        </w:rPr>
        <w:t>.</w:t>
      </w:r>
      <w:bookmarkEnd w:id="11"/>
      <w:bookmarkEnd w:id="12"/>
      <w:bookmarkEnd w:id="13"/>
      <w:bookmarkEnd w:id="14"/>
      <w:bookmarkEnd w:id="15"/>
      <w:r w:rsidRPr="00B37EED">
        <w:rPr>
          <w:rFonts w:ascii="IBM Plex Sans" w:hAnsi="IBM Plex Sans"/>
          <w:sz w:val="22"/>
          <w:shd w:val="clear" w:color="auto" w:fill="FFFFFF"/>
        </w:rPr>
        <w:t> </w:t>
      </w:r>
    </w:p>
    <w:p w14:paraId="348377DA" w14:textId="77777777" w:rsidR="00045804" w:rsidRDefault="00045804" w:rsidP="0046453B">
      <w:pPr>
        <w:spacing w:before="0" w:after="0"/>
      </w:pPr>
    </w:p>
    <w:p w14:paraId="2CE641DC" w14:textId="6E0C614C" w:rsidR="0046453B" w:rsidRPr="0046453B" w:rsidRDefault="0046453B" w:rsidP="0046453B">
      <w:pPr>
        <w:pStyle w:val="Caption"/>
        <w:spacing w:before="0" w:after="0"/>
        <w:rPr>
          <w:rFonts w:ascii="IBM Plex Sans Medium" w:hAnsi="IBM Plex Sans Medium" w:cs="Calibri"/>
          <w:b w:val="0"/>
          <w:bCs w:val="0"/>
          <w:sz w:val="20"/>
          <w:szCs w:val="20"/>
        </w:rPr>
      </w:pPr>
      <w:bookmarkStart w:id="16" w:name="_Toc157514669"/>
      <w:r w:rsidRPr="0046453B">
        <w:rPr>
          <w:rFonts w:ascii="IBM Plex Sans Medium" w:hAnsi="IBM Plex Sans Medium" w:cs="Calibri"/>
          <w:b w:val="0"/>
          <w:bCs w:val="0"/>
          <w:sz w:val="20"/>
          <w:szCs w:val="20"/>
        </w:rPr>
        <w:t xml:space="preserve">Table </w:t>
      </w:r>
      <w:r w:rsidRPr="0046453B">
        <w:rPr>
          <w:rFonts w:ascii="IBM Plex Sans Medium" w:hAnsi="IBM Plex Sans Medium" w:cs="Calibri"/>
          <w:b w:val="0"/>
          <w:bCs w:val="0"/>
          <w:sz w:val="20"/>
          <w:szCs w:val="20"/>
        </w:rPr>
        <w:fldChar w:fldCharType="begin"/>
      </w:r>
      <w:r w:rsidRPr="0046453B">
        <w:rPr>
          <w:rFonts w:ascii="IBM Plex Sans Medium" w:hAnsi="IBM Plex Sans Medium" w:cs="Calibri"/>
          <w:b w:val="0"/>
          <w:bCs w:val="0"/>
          <w:sz w:val="20"/>
          <w:szCs w:val="20"/>
        </w:rPr>
        <w:instrText xml:space="preserve"> SEQ Table \* ARABIC </w:instrText>
      </w:r>
      <w:r w:rsidRPr="0046453B">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1</w:t>
      </w:r>
      <w:r w:rsidRPr="0046453B">
        <w:rPr>
          <w:rFonts w:ascii="IBM Plex Sans Medium" w:hAnsi="IBM Plex Sans Medium" w:cs="Calibri"/>
          <w:b w:val="0"/>
          <w:bCs w:val="0"/>
          <w:sz w:val="20"/>
          <w:szCs w:val="20"/>
        </w:rPr>
        <w:fldChar w:fldCharType="end"/>
      </w:r>
      <w:r w:rsidRPr="0046453B">
        <w:rPr>
          <w:rFonts w:ascii="IBM Plex Sans Medium" w:hAnsi="IBM Plex Sans Medium" w:cs="Calibri"/>
          <w:b w:val="0"/>
          <w:bCs w:val="0"/>
          <w:sz w:val="20"/>
          <w:szCs w:val="20"/>
        </w:rPr>
        <w:t xml:space="preserve"> Gender pay gap: what to report</w:t>
      </w:r>
      <w:bookmarkEnd w:id="16"/>
      <w:r w:rsidRPr="0046453B">
        <w:rPr>
          <w:rFonts w:ascii="IBM Plex Sans Medium" w:hAnsi="IBM Plex Sans Medium" w:cs="Calibri"/>
          <w:b w:val="0"/>
          <w:bCs w:val="0"/>
          <w:sz w:val="20"/>
          <w:szCs w:val="20"/>
        </w:rPr>
        <w:tab/>
      </w:r>
    </w:p>
    <w:tbl>
      <w:tblPr>
        <w:tblStyle w:val="ListTable4-Accent5"/>
        <w:tblW w:w="5000" w:type="pct"/>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9350"/>
      </w:tblGrid>
      <w:tr w:rsidR="008D22ED" w:rsidRPr="000E5B57" w14:paraId="260F3FF2" w14:textId="77777777" w:rsidTr="008D22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top w:val="single" w:sz="4" w:space="0" w:color="5C00D6"/>
              <w:left w:val="single" w:sz="4" w:space="0" w:color="5C00D6"/>
              <w:bottom w:val="single" w:sz="4" w:space="0" w:color="5C00D6"/>
              <w:right w:val="single" w:sz="4" w:space="0" w:color="FFFFFF" w:themeColor="background1"/>
            </w:tcBorders>
            <w:shd w:val="clear" w:color="auto" w:fill="5C00D6"/>
          </w:tcPr>
          <w:p w14:paraId="17F9791E" w14:textId="4B64C748" w:rsidR="008D22ED" w:rsidRPr="00D3346B" w:rsidRDefault="008D22ED" w:rsidP="00526D91">
            <w:pPr>
              <w:spacing w:before="0"/>
              <w:jc w:val="both"/>
              <w:rPr>
                <w:rFonts w:ascii="IBM Plex Sans Medium" w:eastAsiaTheme="minorHAnsi" w:hAnsi="IBM Plex Sans Medium" w:cs="Calibri"/>
                <w:b w:val="0"/>
                <w:bCs w:val="0"/>
                <w:color w:val="auto"/>
                <w:sz w:val="20"/>
                <w:szCs w:val="20"/>
                <w:lang w:val="en-GB"/>
              </w:rPr>
            </w:pPr>
            <w:r>
              <w:rPr>
                <w:rFonts w:ascii="IBM Plex Sans Medium" w:eastAsiaTheme="minorHAnsi" w:hAnsi="IBM Plex Sans Medium" w:cs="Calibri"/>
                <w:b w:val="0"/>
                <w:bCs w:val="0"/>
                <w:color w:val="auto"/>
                <w:sz w:val="20"/>
                <w:szCs w:val="20"/>
                <w:lang w:val="en-GB"/>
              </w:rPr>
              <w:t xml:space="preserve">Key </w:t>
            </w:r>
            <w:r w:rsidR="00996A3B">
              <w:rPr>
                <w:rFonts w:ascii="IBM Plex Sans Medium" w:eastAsiaTheme="minorHAnsi" w:hAnsi="IBM Plex Sans Medium" w:cs="Calibri"/>
                <w:b w:val="0"/>
                <w:bCs w:val="0"/>
                <w:color w:val="auto"/>
                <w:sz w:val="20"/>
                <w:szCs w:val="20"/>
                <w:lang w:val="en-GB"/>
              </w:rPr>
              <w:t>statistics</w:t>
            </w:r>
          </w:p>
        </w:tc>
      </w:tr>
      <w:tr w:rsidR="008D22ED" w:rsidRPr="000E5B57" w14:paraId="3875F63F" w14:textId="77777777" w:rsidTr="008D22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top w:val="single" w:sz="4" w:space="0" w:color="5C00D6"/>
            </w:tcBorders>
            <w:shd w:val="clear" w:color="auto" w:fill="auto"/>
          </w:tcPr>
          <w:p w14:paraId="05E47E23" w14:textId="3A20E0CF" w:rsidR="008D22ED" w:rsidRPr="0046453B" w:rsidRDefault="0046453B" w:rsidP="00262438">
            <w:p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 xml:space="preserve">The </w:t>
            </w:r>
            <w:r w:rsidR="00531CCC">
              <w:rPr>
                <w:rFonts w:ascii="IBM Plex Sans" w:eastAsiaTheme="minorHAnsi" w:hAnsi="IBM Plex Sans" w:cs="Calibri"/>
                <w:b w:val="0"/>
                <w:bCs w:val="0"/>
                <w:sz w:val="20"/>
                <w:szCs w:val="20"/>
                <w:lang w:val="en-GB"/>
              </w:rPr>
              <w:t>g</w:t>
            </w:r>
            <w:r w:rsidRPr="0046453B">
              <w:rPr>
                <w:rFonts w:ascii="IBM Plex Sans" w:eastAsiaTheme="minorHAnsi" w:hAnsi="IBM Plex Sans" w:cs="Calibri"/>
                <w:b w:val="0"/>
                <w:bCs w:val="0"/>
                <w:sz w:val="20"/>
                <w:szCs w:val="20"/>
                <w:lang w:val="en-GB"/>
              </w:rPr>
              <w:t xml:space="preserve">ender </w:t>
            </w:r>
            <w:r w:rsidR="00531CCC">
              <w:rPr>
                <w:rFonts w:ascii="IBM Plex Sans" w:eastAsiaTheme="minorHAnsi" w:hAnsi="IBM Plex Sans" w:cs="Calibri"/>
                <w:b w:val="0"/>
                <w:bCs w:val="0"/>
                <w:sz w:val="20"/>
                <w:szCs w:val="20"/>
                <w:lang w:val="en-GB"/>
              </w:rPr>
              <w:t>p</w:t>
            </w:r>
            <w:r w:rsidRPr="0046453B">
              <w:rPr>
                <w:rFonts w:ascii="IBM Plex Sans" w:eastAsiaTheme="minorHAnsi" w:hAnsi="IBM Plex Sans" w:cs="Calibri"/>
                <w:b w:val="0"/>
                <w:bCs w:val="0"/>
                <w:sz w:val="20"/>
                <w:szCs w:val="20"/>
                <w:lang w:val="en-GB"/>
              </w:rPr>
              <w:t xml:space="preserve">ay </w:t>
            </w:r>
            <w:r w:rsidR="00531CCC">
              <w:rPr>
                <w:rFonts w:ascii="IBM Plex Sans" w:eastAsiaTheme="minorHAnsi" w:hAnsi="IBM Plex Sans" w:cs="Calibri"/>
                <w:b w:val="0"/>
                <w:bCs w:val="0"/>
                <w:sz w:val="20"/>
                <w:szCs w:val="20"/>
                <w:lang w:val="en-GB"/>
              </w:rPr>
              <w:t>ga</w:t>
            </w:r>
            <w:r w:rsidRPr="0046453B">
              <w:rPr>
                <w:rFonts w:ascii="IBM Plex Sans" w:eastAsiaTheme="minorHAnsi" w:hAnsi="IBM Plex Sans" w:cs="Calibri"/>
                <w:b w:val="0"/>
                <w:bCs w:val="0"/>
                <w:sz w:val="20"/>
                <w:szCs w:val="20"/>
                <w:lang w:val="en-GB"/>
              </w:rPr>
              <w:t xml:space="preserve">p </w:t>
            </w:r>
            <w:r w:rsidR="00531CCC">
              <w:rPr>
                <w:rFonts w:ascii="IBM Plex Sans" w:eastAsiaTheme="minorHAnsi" w:hAnsi="IBM Plex Sans" w:cs="Calibri"/>
                <w:b w:val="0"/>
                <w:bCs w:val="0"/>
                <w:sz w:val="20"/>
                <w:szCs w:val="20"/>
                <w:lang w:val="en-GB"/>
              </w:rPr>
              <w:t>r</w:t>
            </w:r>
            <w:r w:rsidRPr="0046453B">
              <w:rPr>
                <w:rFonts w:ascii="IBM Plex Sans" w:eastAsiaTheme="minorHAnsi" w:hAnsi="IBM Plex Sans" w:cs="Calibri"/>
                <w:b w:val="0"/>
                <w:bCs w:val="0"/>
                <w:sz w:val="20"/>
                <w:szCs w:val="20"/>
                <w:lang w:val="en-GB"/>
              </w:rPr>
              <w:t>eporting regulations state that employers with 250 or more employees must provide statistics on:</w:t>
            </w:r>
          </w:p>
          <w:p w14:paraId="6A1E1067" w14:textId="4E463632"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the percentage of men and women in each pay quarter</w:t>
            </w:r>
          </w:p>
          <w:p w14:paraId="6CB1D7F5" w14:textId="77777777"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mean (average) gender pay gap for hourly pay</w:t>
            </w:r>
          </w:p>
          <w:p w14:paraId="546032D9" w14:textId="77777777"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median gender pay gap for hourly pay</w:t>
            </w:r>
          </w:p>
          <w:p w14:paraId="01C8F4C6" w14:textId="77777777"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percentage of men and women receiving bonus pay</w:t>
            </w:r>
          </w:p>
          <w:p w14:paraId="7896CDD1" w14:textId="77777777"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b w:val="0"/>
                <w:bCs w:val="0"/>
                <w:sz w:val="20"/>
                <w:szCs w:val="20"/>
                <w:lang w:val="en-GB"/>
              </w:rPr>
            </w:pPr>
            <w:r w:rsidRPr="0046453B">
              <w:rPr>
                <w:rFonts w:ascii="IBM Plex Sans" w:eastAsiaTheme="minorHAnsi" w:hAnsi="IBM Plex Sans" w:cs="Calibri"/>
                <w:b w:val="0"/>
                <w:bCs w:val="0"/>
                <w:sz w:val="20"/>
                <w:szCs w:val="20"/>
                <w:lang w:val="en-GB"/>
              </w:rPr>
              <w:t>mean (average) gender pay gap for bonus pay</w:t>
            </w:r>
          </w:p>
          <w:p w14:paraId="3214DCDD" w14:textId="17BE16BB" w:rsidR="0046453B" w:rsidRPr="0046453B" w:rsidRDefault="0046453B" w:rsidP="00262438">
            <w:pPr>
              <w:pStyle w:val="ListParagraph"/>
              <w:numPr>
                <w:ilvl w:val="0"/>
                <w:numId w:val="13"/>
              </w:numPr>
              <w:spacing w:after="120" w:line="240" w:lineRule="auto"/>
              <w:jc w:val="both"/>
              <w:rPr>
                <w:rFonts w:ascii="IBM Plex Sans" w:eastAsiaTheme="minorHAnsi" w:hAnsi="IBM Plex Sans" w:cs="Calibri"/>
                <w:sz w:val="20"/>
                <w:szCs w:val="20"/>
                <w:lang w:val="en-GB"/>
              </w:rPr>
            </w:pPr>
            <w:r w:rsidRPr="0046453B">
              <w:rPr>
                <w:rFonts w:ascii="IBM Plex Sans" w:eastAsiaTheme="minorHAnsi" w:hAnsi="IBM Plex Sans" w:cs="Calibri"/>
                <w:b w:val="0"/>
                <w:bCs w:val="0"/>
                <w:sz w:val="20"/>
                <w:szCs w:val="20"/>
                <w:lang w:val="en-GB"/>
              </w:rPr>
              <w:t>median gender pay gap for bonus pay</w:t>
            </w:r>
          </w:p>
        </w:tc>
      </w:tr>
    </w:tbl>
    <w:p w14:paraId="4BEAF329" w14:textId="6814C945" w:rsidR="00045804" w:rsidRDefault="00996A3B" w:rsidP="00D7641B">
      <w:pPr>
        <w:spacing w:before="0" w:after="0" w:line="240" w:lineRule="auto"/>
        <w:rPr>
          <w:rStyle w:val="Hyperlink"/>
          <w:rFonts w:ascii="IBM Plex Sans" w:hAnsi="IBM Plex Sans"/>
          <w:sz w:val="20"/>
          <w:szCs w:val="18"/>
        </w:rPr>
      </w:pPr>
      <w:r w:rsidRPr="00D7641B">
        <w:rPr>
          <w:rFonts w:ascii="IBM Plex Sans" w:hAnsi="IBM Plex Sans"/>
          <w:sz w:val="20"/>
          <w:szCs w:val="18"/>
        </w:rPr>
        <w:t xml:space="preserve">Source: </w:t>
      </w:r>
      <w:hyperlink r:id="rId12" w:history="1">
        <w:r w:rsidR="00D7641B" w:rsidRPr="00D7641B">
          <w:rPr>
            <w:rStyle w:val="Hyperlink"/>
            <w:rFonts w:ascii="IBM Plex Sans" w:hAnsi="IBM Plex Sans"/>
            <w:sz w:val="20"/>
            <w:szCs w:val="18"/>
          </w:rPr>
          <w:t>Gov.UK</w:t>
        </w:r>
      </w:hyperlink>
    </w:p>
    <w:p w14:paraId="23829D2A" w14:textId="77777777" w:rsidR="005B400F" w:rsidRDefault="005B400F" w:rsidP="00D7641B">
      <w:pPr>
        <w:spacing w:before="0" w:after="0" w:line="240" w:lineRule="auto"/>
        <w:rPr>
          <w:rStyle w:val="Hyperlink"/>
          <w:rFonts w:ascii="IBM Plex Sans" w:hAnsi="IBM Plex Sans"/>
          <w:sz w:val="20"/>
          <w:szCs w:val="18"/>
        </w:rPr>
      </w:pPr>
    </w:p>
    <w:tbl>
      <w:tblPr>
        <w:tblStyle w:val="Style2"/>
        <w:tblW w:w="5000" w:type="pct"/>
        <w:tblLook w:val="04A0" w:firstRow="1" w:lastRow="0" w:firstColumn="1" w:lastColumn="0" w:noHBand="0" w:noVBand="1"/>
      </w:tblPr>
      <w:tblGrid>
        <w:gridCol w:w="9350"/>
      </w:tblGrid>
      <w:tr w:rsidR="005B400F" w:rsidRPr="00B75613" w14:paraId="2467C974" w14:textId="77777777" w:rsidTr="005A4F4D">
        <w:trPr>
          <w:cnfStyle w:val="100000000000" w:firstRow="1" w:lastRow="0" w:firstColumn="0" w:lastColumn="0" w:oddVBand="0" w:evenVBand="0" w:oddHBand="0" w:evenHBand="0" w:firstRowFirstColumn="0" w:firstRowLastColumn="0" w:lastRowFirstColumn="0" w:lastRowLastColumn="0"/>
        </w:trPr>
        <w:tc>
          <w:tcPr>
            <w:tcW w:w="5000" w:type="pct"/>
          </w:tcPr>
          <w:p w14:paraId="20B6EB26" w14:textId="77777777" w:rsidR="005B400F" w:rsidRPr="00B75613" w:rsidRDefault="005B400F" w:rsidP="005A4F4D">
            <w:pPr>
              <w:spacing w:before="0"/>
              <w:jc w:val="both"/>
              <w:rPr>
                <w:rFonts w:ascii="IBM Plex Sans Medium" w:hAnsi="IBM Plex Sans Medium" w:cs="Calibri"/>
                <w:sz w:val="20"/>
                <w:szCs w:val="20"/>
              </w:rPr>
            </w:pPr>
            <w:r w:rsidRPr="00B75613">
              <w:rPr>
                <w:rFonts w:ascii="IBM Plex Sans Medium" w:hAnsi="IBM Plex Sans Medium" w:cs="Calibri"/>
                <w:sz w:val="20"/>
                <w:szCs w:val="20"/>
              </w:rPr>
              <w:t>Key terms</w:t>
            </w:r>
          </w:p>
        </w:tc>
      </w:tr>
      <w:tr w:rsidR="005B400F" w:rsidRPr="000E5B57" w14:paraId="4063234B" w14:textId="77777777" w:rsidTr="005A4F4D">
        <w:trPr>
          <w:cnfStyle w:val="000000100000" w:firstRow="0" w:lastRow="0" w:firstColumn="0" w:lastColumn="0" w:oddVBand="0" w:evenVBand="0" w:oddHBand="1" w:evenHBand="0" w:firstRowFirstColumn="0" w:firstRowLastColumn="0" w:lastRowFirstColumn="0" w:lastRowLastColumn="0"/>
        </w:trPr>
        <w:tc>
          <w:tcPr>
            <w:tcW w:w="5000" w:type="pct"/>
            <w:shd w:val="clear" w:color="auto" w:fill="auto"/>
          </w:tcPr>
          <w:p w14:paraId="3CA826E8" w14:textId="4BAFE548"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Gender pay gap</w:t>
            </w:r>
            <w:r w:rsidRPr="000E5B57">
              <w:rPr>
                <w:rFonts w:ascii="IBM Plex Sans" w:hAnsi="IBM Plex Sans" w:cs="Calibri"/>
                <w:sz w:val="20"/>
                <w:szCs w:val="20"/>
              </w:rPr>
              <w:t xml:space="preserve"> figures show the difference between the average earnings of men and women, expressed as a percentage of men’s earnings. Where men’s pay is higher on average than women’s the result is a positive </w:t>
            </w:r>
            <w:r w:rsidR="00775A0B" w:rsidRPr="000E5B57">
              <w:rPr>
                <w:rFonts w:ascii="IBM Plex Sans" w:hAnsi="IBM Plex Sans" w:cs="Calibri"/>
                <w:sz w:val="20"/>
                <w:szCs w:val="20"/>
              </w:rPr>
              <w:t>percentage</w:t>
            </w:r>
            <w:r w:rsidR="00775A0B">
              <w:rPr>
                <w:rFonts w:ascii="IBM Plex Sans" w:hAnsi="IBM Plex Sans" w:cs="Calibri"/>
                <w:sz w:val="20"/>
                <w:szCs w:val="20"/>
              </w:rPr>
              <w:t>;</w:t>
            </w:r>
            <w:r w:rsidR="00775A0B" w:rsidRPr="000E5B57">
              <w:rPr>
                <w:rFonts w:ascii="IBM Plex Sans" w:hAnsi="IBM Plex Sans" w:cs="Calibri"/>
                <w:sz w:val="20"/>
                <w:szCs w:val="20"/>
              </w:rPr>
              <w:t xml:space="preserve"> where</w:t>
            </w:r>
            <w:r w:rsidRPr="000E5B57">
              <w:rPr>
                <w:rFonts w:ascii="IBM Plex Sans" w:hAnsi="IBM Plex Sans" w:cs="Calibri"/>
                <w:sz w:val="20"/>
                <w:szCs w:val="20"/>
              </w:rPr>
              <w:t xml:space="preserve"> women’s pay is higher the result is a negative percentage.</w:t>
            </w:r>
          </w:p>
          <w:p w14:paraId="19E95BDD"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Equal work</w:t>
            </w:r>
            <w:r w:rsidRPr="000E5B57">
              <w:rPr>
                <w:rFonts w:ascii="IBM Plex Sans" w:hAnsi="IBM Plex Sans" w:cs="Calibri"/>
                <w:sz w:val="20"/>
                <w:szCs w:val="20"/>
              </w:rPr>
              <w:t xml:space="preserve"> is work rated as equivalent under the NHS </w:t>
            </w:r>
            <w:r>
              <w:rPr>
                <w:rFonts w:ascii="IBM Plex Sans" w:hAnsi="IBM Plex Sans" w:cs="Calibri"/>
                <w:sz w:val="20"/>
                <w:szCs w:val="20"/>
              </w:rPr>
              <w:t xml:space="preserve">points-based analytical </w:t>
            </w:r>
            <w:r w:rsidRPr="000E5B57">
              <w:rPr>
                <w:rFonts w:ascii="IBM Plex Sans" w:hAnsi="IBM Plex Sans" w:cs="Calibri"/>
                <w:sz w:val="20"/>
                <w:szCs w:val="20"/>
              </w:rPr>
              <w:t xml:space="preserve">job evaluation scheme.  </w:t>
            </w:r>
          </w:p>
          <w:p w14:paraId="2875EF00" w14:textId="23461559" w:rsidR="005B400F" w:rsidRPr="000E5B57" w:rsidRDefault="00775A0B" w:rsidP="005A4F4D">
            <w:pPr>
              <w:spacing w:before="0"/>
              <w:jc w:val="both"/>
              <w:rPr>
                <w:rFonts w:ascii="IBM Plex Sans" w:hAnsi="IBM Plex Sans" w:cs="Calibri"/>
                <w:sz w:val="20"/>
                <w:szCs w:val="20"/>
              </w:rPr>
            </w:pPr>
            <w:r w:rsidRPr="000E5B57">
              <w:rPr>
                <w:rFonts w:ascii="IBM Plex Sans Medium" w:hAnsi="IBM Plex Sans Medium" w:cs="Calibri"/>
                <w:sz w:val="20"/>
                <w:szCs w:val="20"/>
              </w:rPr>
              <w:t>The effective</w:t>
            </w:r>
            <w:r w:rsidR="005B400F" w:rsidRPr="000E5B57">
              <w:rPr>
                <w:rFonts w:ascii="IBM Plex Sans Medium" w:hAnsi="IBM Plex Sans Medium" w:cs="Calibri"/>
                <w:sz w:val="20"/>
                <w:szCs w:val="20"/>
              </w:rPr>
              <w:t xml:space="preserve"> date </w:t>
            </w:r>
            <w:r w:rsidR="005B400F" w:rsidRPr="000E5B57">
              <w:rPr>
                <w:rFonts w:ascii="IBM Plex Sans" w:hAnsi="IBM Plex Sans" w:cs="Calibri"/>
                <w:sz w:val="20"/>
                <w:szCs w:val="20"/>
              </w:rPr>
              <w:t>for the information on pay on which we conducted analysis is 31 March 2023.</w:t>
            </w:r>
          </w:p>
          <w:p w14:paraId="4F5E91F0" w14:textId="77777777" w:rsidR="005B400F" w:rsidRDefault="005B400F" w:rsidP="005A4F4D">
            <w:pPr>
              <w:spacing w:before="0"/>
              <w:jc w:val="both"/>
              <w:rPr>
                <w:rFonts w:ascii="Arial" w:hAnsi="Arial" w:cs="Arial"/>
                <w:color w:val="1D1C1D"/>
                <w:sz w:val="23"/>
                <w:szCs w:val="23"/>
                <w:shd w:val="clear" w:color="auto" w:fill="FFFFFF"/>
              </w:rPr>
            </w:pPr>
            <w:r>
              <w:rPr>
                <w:rFonts w:ascii="IBM Plex Sans Medium" w:hAnsi="IBM Plex Sans Medium" w:cs="Calibri"/>
                <w:sz w:val="20"/>
                <w:szCs w:val="20"/>
              </w:rPr>
              <w:t xml:space="preserve">Each contract </w:t>
            </w:r>
            <w:r>
              <w:rPr>
                <w:rFonts w:ascii="IBM Plex Sans" w:hAnsi="IBM Plex Sans" w:cs="Calibri"/>
                <w:sz w:val="20"/>
                <w:szCs w:val="20"/>
              </w:rPr>
              <w:t xml:space="preserve">of employment with Public Health Wales is counted separately. The hourly rate is based on </w:t>
            </w:r>
            <w:r w:rsidRPr="00837461">
              <w:rPr>
                <w:rFonts w:ascii="IBM Plex Sans" w:hAnsi="IBM Plex Sans" w:cs="Calibri"/>
                <w:sz w:val="20"/>
                <w:szCs w:val="20"/>
              </w:rPr>
              <w:t>all relevant</w:t>
            </w:r>
            <w:r>
              <w:rPr>
                <w:rFonts w:ascii="IBM Plex Sans" w:hAnsi="IBM Plex Sans" w:cs="Calibri"/>
                <w:sz w:val="20"/>
                <w:szCs w:val="20"/>
              </w:rPr>
              <w:t xml:space="preserve"> </w:t>
            </w:r>
            <w:r w:rsidRPr="00837461">
              <w:rPr>
                <w:rFonts w:ascii="IBM Plex Sans" w:hAnsi="IBM Plex Sans" w:cs="Calibri"/>
                <w:sz w:val="20"/>
                <w:szCs w:val="20"/>
              </w:rPr>
              <w:t>pay divided by total hours worked.</w:t>
            </w:r>
            <w:r>
              <w:rPr>
                <w:rFonts w:ascii="Arial" w:hAnsi="Arial" w:cs="Arial"/>
                <w:color w:val="1D1C1D"/>
                <w:sz w:val="23"/>
                <w:szCs w:val="23"/>
                <w:shd w:val="clear" w:color="auto" w:fill="FFFFFF"/>
              </w:rPr>
              <w:t xml:space="preserve"> </w:t>
            </w:r>
          </w:p>
          <w:p w14:paraId="7A119434" w14:textId="77777777" w:rsidR="005B400F" w:rsidRPr="000E5B57" w:rsidRDefault="005B400F" w:rsidP="005A4F4D">
            <w:pPr>
              <w:pStyle w:val="PlainText"/>
              <w:spacing w:line="360" w:lineRule="auto"/>
              <w:jc w:val="both"/>
              <w:rPr>
                <w:rFonts w:ascii="IBM Plex Sans" w:eastAsia="Microsoft Sans Serif" w:hAnsi="IBM Plex Sans" w:cs="Calibri"/>
                <w:sz w:val="20"/>
                <w:szCs w:val="20"/>
                <w:lang w:val="en-US"/>
              </w:rPr>
            </w:pPr>
            <w:r w:rsidRPr="000E5B57">
              <w:rPr>
                <w:rFonts w:ascii="IBM Plex Sans Medium" w:eastAsia="Microsoft Sans Serif" w:hAnsi="IBM Plex Sans Medium" w:cs="Calibri"/>
                <w:sz w:val="20"/>
                <w:szCs w:val="20"/>
                <w:lang w:val="en-US"/>
              </w:rPr>
              <w:t>Pay data</w:t>
            </w:r>
            <w:r w:rsidRPr="000E5B57">
              <w:rPr>
                <w:rFonts w:ascii="IBM Plex Sans" w:eastAsia="Microsoft Sans Serif" w:hAnsi="IBM Plex Sans" w:cs="Calibri"/>
                <w:sz w:val="20"/>
                <w:szCs w:val="20"/>
                <w:lang w:val="en-US"/>
              </w:rPr>
              <w:t xml:space="preserve"> </w:t>
            </w:r>
            <w:r>
              <w:rPr>
                <w:rFonts w:ascii="IBM Plex Sans" w:eastAsia="Microsoft Sans Serif" w:hAnsi="IBM Plex Sans" w:cs="Calibri"/>
                <w:sz w:val="20"/>
                <w:szCs w:val="20"/>
                <w:lang w:val="en-US"/>
              </w:rPr>
              <w:t xml:space="preserve">is </w:t>
            </w:r>
            <w:r w:rsidRPr="000E5B57">
              <w:rPr>
                <w:rFonts w:ascii="IBM Plex Sans" w:eastAsia="Microsoft Sans Serif" w:hAnsi="IBM Plex Sans" w:cs="Calibri"/>
                <w:sz w:val="20"/>
                <w:szCs w:val="20"/>
                <w:lang w:val="en-US"/>
              </w:rPr>
              <w:t xml:space="preserve">the anonymised dataset </w:t>
            </w:r>
            <w:r>
              <w:rPr>
                <w:rFonts w:ascii="IBM Plex Sans" w:eastAsia="Microsoft Sans Serif" w:hAnsi="IBM Plex Sans" w:cs="Calibri"/>
                <w:sz w:val="20"/>
                <w:szCs w:val="20"/>
                <w:lang w:val="en-US"/>
              </w:rPr>
              <w:t>used</w:t>
            </w:r>
            <w:r w:rsidRPr="000E5B57">
              <w:rPr>
                <w:rFonts w:ascii="IBM Plex Sans" w:eastAsia="Microsoft Sans Serif" w:hAnsi="IBM Plex Sans" w:cs="Calibri"/>
                <w:sz w:val="20"/>
                <w:szCs w:val="20"/>
                <w:lang w:val="en-US"/>
              </w:rPr>
              <w:t xml:space="preserve"> for analysis.</w:t>
            </w:r>
          </w:p>
          <w:p w14:paraId="0F6F7DF0"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Hourly pay</w:t>
            </w:r>
            <w:r w:rsidRPr="000E5B57">
              <w:rPr>
                <w:rFonts w:ascii="IBM Plex Sans" w:hAnsi="IBM Plex Sans" w:cs="Calibri"/>
                <w:sz w:val="20"/>
                <w:szCs w:val="20"/>
              </w:rPr>
              <w:t xml:space="preserve"> equals all gross cash payments before deductions but after salary sacrifice divided by the number of hours worked.</w:t>
            </w:r>
          </w:p>
          <w:p w14:paraId="433F1B28"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Ordinary pay</w:t>
            </w:r>
            <w:r w:rsidRPr="000E5B57">
              <w:rPr>
                <w:rFonts w:ascii="IBM Plex Sans" w:hAnsi="IBM Plex Sans" w:cs="Calibri"/>
                <w:sz w:val="20"/>
                <w:szCs w:val="20"/>
              </w:rPr>
              <w:t xml:space="preserve"> includes basic pay, allowances, holiday pay and shift premium pay.</w:t>
            </w:r>
          </w:p>
          <w:p w14:paraId="6701A57F"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Spinal point salary</w:t>
            </w:r>
            <w:r w:rsidRPr="000E5B57">
              <w:rPr>
                <w:rFonts w:ascii="IBM Plex Sans" w:hAnsi="IBM Plex Sans" w:cs="Calibri"/>
                <w:sz w:val="20"/>
                <w:szCs w:val="20"/>
              </w:rPr>
              <w:t xml:space="preserve"> is the value of the basic annual NHS salary.</w:t>
            </w:r>
          </w:p>
          <w:p w14:paraId="4536DC6B"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Length of service</w:t>
            </w:r>
            <w:r w:rsidRPr="000E5B57">
              <w:rPr>
                <w:rFonts w:ascii="IBM Plex Sans" w:hAnsi="IBM Plex Sans" w:cs="Calibri"/>
                <w:sz w:val="20"/>
                <w:szCs w:val="20"/>
              </w:rPr>
              <w:t xml:space="preserve"> is defined as continuous length of service.</w:t>
            </w:r>
          </w:p>
          <w:p w14:paraId="64B2C232"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Mean</w:t>
            </w:r>
            <w:r w:rsidRPr="000E5B57">
              <w:rPr>
                <w:rFonts w:ascii="IBM Plex Sans" w:hAnsi="IBM Plex Sans" w:cs="Calibri"/>
                <w:sz w:val="20"/>
                <w:szCs w:val="20"/>
              </w:rPr>
              <w:t xml:space="preserve"> is the total sum of all salaries</w:t>
            </w:r>
            <w:r>
              <w:rPr>
                <w:rFonts w:ascii="IBM Plex Sans" w:hAnsi="IBM Plex Sans" w:cs="Calibri"/>
                <w:sz w:val="20"/>
                <w:szCs w:val="20"/>
              </w:rPr>
              <w:t xml:space="preserve"> per hour</w:t>
            </w:r>
            <w:r w:rsidRPr="000E5B57">
              <w:rPr>
                <w:rFonts w:ascii="IBM Plex Sans" w:hAnsi="IBM Plex Sans" w:cs="Calibri"/>
                <w:sz w:val="20"/>
                <w:szCs w:val="20"/>
              </w:rPr>
              <w:t xml:space="preserve"> divided by the number of salaries.</w:t>
            </w:r>
          </w:p>
          <w:p w14:paraId="38D0E363" w14:textId="67BEC7A4" w:rsidR="005B400F"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Median</w:t>
            </w:r>
            <w:r w:rsidRPr="000E5B57">
              <w:rPr>
                <w:rFonts w:ascii="IBM Plex Sans" w:hAnsi="IBM Plex Sans" w:cs="Calibri"/>
                <w:sz w:val="20"/>
                <w:szCs w:val="20"/>
              </w:rPr>
              <w:t xml:space="preserve"> is the middle value when all values are </w:t>
            </w:r>
            <w:r w:rsidR="00BB7C89">
              <w:rPr>
                <w:rFonts w:ascii="IBM Plex Sans" w:hAnsi="IBM Plex Sans" w:cs="Calibri"/>
                <w:sz w:val="20"/>
                <w:szCs w:val="20"/>
              </w:rPr>
              <w:t xml:space="preserve">arranged </w:t>
            </w:r>
            <w:r w:rsidRPr="000E5B57">
              <w:rPr>
                <w:rFonts w:ascii="IBM Plex Sans" w:hAnsi="IBM Plex Sans" w:cs="Calibri"/>
                <w:sz w:val="20"/>
                <w:szCs w:val="20"/>
              </w:rPr>
              <w:t>in numerical order from smallest to largest.</w:t>
            </w:r>
          </w:p>
          <w:p w14:paraId="40B02408" w14:textId="77777777" w:rsidR="005B400F" w:rsidRPr="000E5B57" w:rsidRDefault="005B400F" w:rsidP="005A4F4D">
            <w:pPr>
              <w:spacing w:before="0"/>
              <w:jc w:val="both"/>
              <w:rPr>
                <w:rFonts w:ascii="IBM Plex Sans" w:hAnsi="IBM Plex Sans" w:cs="Calibri"/>
                <w:sz w:val="20"/>
                <w:szCs w:val="20"/>
              </w:rPr>
            </w:pPr>
            <w:r w:rsidRPr="000E5B57">
              <w:rPr>
                <w:rFonts w:ascii="IBM Plex Sans Medium" w:hAnsi="IBM Plex Sans Medium" w:cs="Calibri"/>
                <w:sz w:val="20"/>
                <w:szCs w:val="20"/>
              </w:rPr>
              <w:t>Pay quarter</w:t>
            </w:r>
            <w:r w:rsidRPr="000E5B57">
              <w:rPr>
                <w:rFonts w:ascii="IBM Plex Sans" w:hAnsi="IBM Plex Sans" w:cs="Calibri"/>
                <w:sz w:val="20"/>
                <w:szCs w:val="20"/>
              </w:rPr>
              <w:t xml:space="preserve"> refers to a quarter of the workforce, ranked by their hourly pay. </w:t>
            </w:r>
          </w:p>
        </w:tc>
      </w:tr>
    </w:tbl>
    <w:p w14:paraId="39BB18FD" w14:textId="4909FF98" w:rsidR="0014035D" w:rsidRPr="00AC6A2F" w:rsidRDefault="00AC6A2F" w:rsidP="00147803">
      <w:pPr>
        <w:pStyle w:val="TableofFigures"/>
        <w:tabs>
          <w:tab w:val="right" w:leader="dot" w:pos="9350"/>
        </w:tabs>
        <w:spacing w:before="0"/>
        <w:outlineLvl w:val="1"/>
        <w:rPr>
          <w:rStyle w:val="Hyperlink"/>
          <w:rFonts w:ascii="IBM Plex Sans Medium" w:hAnsi="IBM Plex Sans Medium"/>
          <w:noProof/>
          <w:color w:val="5C00D6"/>
          <w:sz w:val="22"/>
          <w:u w:val="none"/>
        </w:rPr>
      </w:pPr>
      <w:bookmarkStart w:id="17" w:name="_Toc157514634"/>
      <w:r w:rsidRPr="00AC6A2F">
        <w:rPr>
          <w:rStyle w:val="Hyperlink"/>
          <w:rFonts w:ascii="IBM Plex Sans Medium" w:hAnsi="IBM Plex Sans Medium"/>
          <w:noProof/>
          <w:color w:val="5C00D6"/>
          <w:sz w:val="22"/>
          <w:u w:val="none"/>
        </w:rPr>
        <w:lastRenderedPageBreak/>
        <w:t>Gender pay gap</w:t>
      </w:r>
      <w:bookmarkEnd w:id="17"/>
      <w:r w:rsidR="0065168F" w:rsidRPr="00AC6A2F">
        <w:rPr>
          <w:rStyle w:val="Hyperlink"/>
          <w:rFonts w:ascii="IBM Plex Sans Medium" w:hAnsi="IBM Plex Sans Medium"/>
          <w:noProof/>
          <w:color w:val="5C00D6"/>
          <w:sz w:val="22"/>
          <w:u w:val="none"/>
        </w:rPr>
        <w:t xml:space="preserve"> </w:t>
      </w:r>
    </w:p>
    <w:p w14:paraId="760F3A29" w14:textId="5C9E05AE" w:rsidR="00D07ABB" w:rsidRDefault="007C7BDD" w:rsidP="00126DFF">
      <w:pPr>
        <w:spacing w:before="0" w:after="0"/>
        <w:jc w:val="both"/>
        <w:rPr>
          <w:rFonts w:ascii="IBM Plex Sans" w:eastAsiaTheme="minorHAnsi" w:hAnsi="IBM Plex Sans" w:cs="Calibri"/>
          <w:sz w:val="22"/>
          <w:lang w:val="en-GB"/>
        </w:rPr>
      </w:pPr>
      <w:r>
        <w:rPr>
          <w:rFonts w:ascii="IBM Plex Sans" w:eastAsiaTheme="minorHAnsi" w:hAnsi="IBM Plex Sans" w:cs="Calibri"/>
          <w:sz w:val="22"/>
          <w:lang w:val="en-GB"/>
        </w:rPr>
        <w:t xml:space="preserve">The gender pay gap is the </w:t>
      </w:r>
      <w:r w:rsidR="00B97569">
        <w:rPr>
          <w:rFonts w:ascii="IBM Plex Sans" w:eastAsiaTheme="minorHAnsi" w:hAnsi="IBM Plex Sans" w:cs="Calibri"/>
          <w:sz w:val="22"/>
          <w:lang w:val="en-GB"/>
        </w:rPr>
        <w:t>difference in average earnings between men and women expressed as a percentage</w:t>
      </w:r>
      <w:r w:rsidR="006817CD">
        <w:rPr>
          <w:rFonts w:ascii="IBM Plex Sans" w:eastAsiaTheme="minorHAnsi" w:hAnsi="IBM Plex Sans" w:cs="Calibri"/>
          <w:sz w:val="22"/>
          <w:lang w:val="en-GB"/>
        </w:rPr>
        <w:t xml:space="preserve"> and we report on both the mean and median</w:t>
      </w:r>
      <w:r w:rsidR="00B97569">
        <w:rPr>
          <w:rFonts w:ascii="IBM Plex Sans" w:eastAsiaTheme="minorHAnsi" w:hAnsi="IBM Plex Sans" w:cs="Calibri"/>
          <w:sz w:val="22"/>
          <w:lang w:val="en-GB"/>
        </w:rPr>
        <w:t>.</w:t>
      </w:r>
      <w:r w:rsidR="00C40603">
        <w:rPr>
          <w:rFonts w:ascii="IBM Plex Sans" w:eastAsiaTheme="minorHAnsi" w:hAnsi="IBM Plex Sans" w:cs="Calibri"/>
          <w:sz w:val="22"/>
          <w:lang w:val="en-GB"/>
        </w:rPr>
        <w:t xml:space="preserve"> </w:t>
      </w:r>
      <w:r w:rsidR="00C40603" w:rsidRPr="005425C8">
        <w:rPr>
          <w:rFonts w:ascii="IBM Plex Sans" w:eastAsiaTheme="minorHAnsi" w:hAnsi="IBM Plex Sans" w:cs="Calibri"/>
          <w:sz w:val="22"/>
          <w:lang w:val="en-GB"/>
        </w:rPr>
        <w:t>The mean and median are two measures of central tendency used to describe the average value of a dataset</w:t>
      </w:r>
      <w:r w:rsidR="004D35F9" w:rsidRPr="005425C8">
        <w:rPr>
          <w:rFonts w:ascii="IBM Plex Sans" w:eastAsiaTheme="minorHAnsi" w:hAnsi="IBM Plex Sans" w:cs="Calibri"/>
          <w:sz w:val="22"/>
          <w:lang w:val="en-GB"/>
        </w:rPr>
        <w:t xml:space="preserve">. The mean is calculated by adding up all the values in a dataset and then </w:t>
      </w:r>
      <w:r w:rsidR="005425C8" w:rsidRPr="005425C8">
        <w:rPr>
          <w:rFonts w:ascii="IBM Plex Sans" w:eastAsiaTheme="minorHAnsi" w:hAnsi="IBM Plex Sans" w:cs="Calibri"/>
          <w:sz w:val="22"/>
          <w:lang w:val="en-GB"/>
        </w:rPr>
        <w:t>dividing them</w:t>
      </w:r>
      <w:r w:rsidR="004D35F9" w:rsidRPr="005425C8">
        <w:rPr>
          <w:rFonts w:ascii="IBM Plex Sans" w:eastAsiaTheme="minorHAnsi" w:hAnsi="IBM Plex Sans" w:cs="Calibri"/>
          <w:sz w:val="22"/>
          <w:lang w:val="en-GB"/>
        </w:rPr>
        <w:t xml:space="preserve"> by the total number of values. It is sensitive to outl</w:t>
      </w:r>
      <w:r w:rsidR="00076095" w:rsidRPr="005425C8">
        <w:rPr>
          <w:rFonts w:ascii="IBM Plex Sans" w:eastAsiaTheme="minorHAnsi" w:hAnsi="IBM Plex Sans" w:cs="Calibri"/>
          <w:sz w:val="22"/>
          <w:lang w:val="en-GB"/>
        </w:rPr>
        <w:t>iers, in this case very high or very low pay, and ca</w:t>
      </w:r>
      <w:r w:rsidR="00300EB9" w:rsidRPr="005425C8">
        <w:rPr>
          <w:rFonts w:ascii="IBM Plex Sans" w:eastAsiaTheme="minorHAnsi" w:hAnsi="IBM Plex Sans" w:cs="Calibri"/>
          <w:sz w:val="22"/>
          <w:lang w:val="en-GB"/>
        </w:rPr>
        <w:t>n be skewed by them, pulling the mean in their direction</w:t>
      </w:r>
      <w:r w:rsidR="005425C8" w:rsidRPr="005425C8">
        <w:rPr>
          <w:rFonts w:ascii="IBM Plex Sans" w:eastAsiaTheme="minorHAnsi" w:hAnsi="IBM Plex Sans" w:cs="Calibri"/>
          <w:sz w:val="22"/>
          <w:lang w:val="en-GB"/>
        </w:rPr>
        <w:t>. The</w:t>
      </w:r>
      <w:r w:rsidR="00300EB9" w:rsidRPr="005425C8">
        <w:rPr>
          <w:rFonts w:ascii="IBM Plex Sans" w:eastAsiaTheme="minorHAnsi" w:hAnsi="IBM Plex Sans" w:cs="Calibri"/>
          <w:sz w:val="22"/>
          <w:lang w:val="en-GB"/>
        </w:rPr>
        <w:t xml:space="preserve"> median is the middle value and is therefore less sensitive to extreme values. </w:t>
      </w:r>
    </w:p>
    <w:p w14:paraId="1D01BC75" w14:textId="77777777" w:rsidR="00D07ABB" w:rsidRDefault="00D07ABB" w:rsidP="00126DFF">
      <w:pPr>
        <w:spacing w:before="0" w:after="0"/>
        <w:jc w:val="both"/>
        <w:rPr>
          <w:rFonts w:ascii="IBM Plex Sans" w:eastAsiaTheme="minorHAnsi" w:hAnsi="IBM Plex Sans" w:cs="Calibri"/>
          <w:sz w:val="22"/>
          <w:lang w:val="en-GB"/>
        </w:rPr>
      </w:pPr>
    </w:p>
    <w:p w14:paraId="5EF1F84F" w14:textId="6BD1256C" w:rsidR="00490F50" w:rsidRDefault="00AC6A2F" w:rsidP="00126DFF">
      <w:pPr>
        <w:spacing w:before="0" w:after="0"/>
        <w:jc w:val="both"/>
        <w:rPr>
          <w:rFonts w:ascii="IBM Plex Sans" w:eastAsiaTheme="minorHAnsi" w:hAnsi="IBM Plex Sans" w:cs="Calibri"/>
          <w:sz w:val="22"/>
          <w:lang w:val="en-GB"/>
        </w:rPr>
      </w:pPr>
      <w:r>
        <w:rPr>
          <w:rFonts w:ascii="IBM Plex Sans" w:eastAsiaTheme="minorHAnsi" w:hAnsi="IBM Plex Sans" w:cs="Calibri"/>
          <w:sz w:val="22"/>
          <w:lang w:val="en-GB"/>
        </w:rPr>
        <w:t>T</w:t>
      </w:r>
      <w:r w:rsidR="004E0A00" w:rsidRPr="00A01DE2">
        <w:rPr>
          <w:rFonts w:ascii="IBM Plex Sans" w:eastAsiaTheme="minorHAnsi" w:hAnsi="IBM Plex Sans" w:cs="Calibri"/>
          <w:sz w:val="22"/>
          <w:lang w:val="en-GB"/>
        </w:rPr>
        <w:t xml:space="preserve">he overall mean (average) </w:t>
      </w:r>
      <w:r w:rsidR="00B226AC" w:rsidRPr="00A01DE2">
        <w:rPr>
          <w:rFonts w:ascii="IBM Plex Sans" w:eastAsiaTheme="minorHAnsi" w:hAnsi="IBM Plex Sans" w:cs="Calibri"/>
          <w:sz w:val="22"/>
          <w:lang w:val="en-GB"/>
        </w:rPr>
        <w:t xml:space="preserve">gender </w:t>
      </w:r>
      <w:r w:rsidR="004E0A00" w:rsidRPr="00A01DE2">
        <w:rPr>
          <w:rFonts w:ascii="IBM Plex Sans" w:eastAsiaTheme="minorHAnsi" w:hAnsi="IBM Plex Sans" w:cs="Calibri"/>
          <w:sz w:val="22"/>
          <w:lang w:val="en-GB"/>
        </w:rPr>
        <w:t>pay gap</w:t>
      </w:r>
      <w:r w:rsidR="00045E2C" w:rsidRPr="00A01DE2">
        <w:rPr>
          <w:rFonts w:ascii="IBM Plex Sans" w:eastAsiaTheme="minorHAnsi" w:hAnsi="IBM Plex Sans" w:cs="Calibri"/>
          <w:sz w:val="22"/>
          <w:lang w:val="en-GB"/>
        </w:rPr>
        <w:t xml:space="preserve"> at Public Health Wales</w:t>
      </w:r>
      <w:r w:rsidR="004E0A00" w:rsidRPr="00A01DE2">
        <w:rPr>
          <w:rFonts w:ascii="IBM Plex Sans" w:eastAsiaTheme="minorHAnsi" w:hAnsi="IBM Plex Sans" w:cs="Calibri"/>
          <w:sz w:val="22"/>
          <w:lang w:val="en-GB"/>
        </w:rPr>
        <w:t xml:space="preserve"> is </w:t>
      </w:r>
      <w:r w:rsidR="00030EC7" w:rsidRPr="00A01DE2">
        <w:rPr>
          <w:rFonts w:ascii="IBM Plex Sans" w:eastAsiaTheme="minorHAnsi" w:hAnsi="IBM Plex Sans" w:cs="Calibri"/>
          <w:sz w:val="22"/>
          <w:lang w:val="en-GB"/>
        </w:rPr>
        <w:t>13.8%</w:t>
      </w:r>
      <w:r w:rsidR="00CD3ED6">
        <w:rPr>
          <w:rFonts w:ascii="IBM Plex Sans" w:eastAsiaTheme="minorHAnsi" w:hAnsi="IBM Plex Sans" w:cs="Calibri"/>
          <w:sz w:val="22"/>
          <w:lang w:val="en-GB"/>
        </w:rPr>
        <w:t xml:space="preserve"> and the median gender pay gap is </w:t>
      </w:r>
      <w:r w:rsidR="004500C6">
        <w:rPr>
          <w:rFonts w:ascii="IBM Plex Sans" w:eastAsiaTheme="minorHAnsi" w:hAnsi="IBM Plex Sans" w:cs="Calibri"/>
          <w:sz w:val="22"/>
          <w:lang w:val="en-GB"/>
        </w:rPr>
        <w:t>6</w:t>
      </w:r>
      <w:r w:rsidR="00CD3ED6">
        <w:rPr>
          <w:rFonts w:ascii="IBM Plex Sans" w:eastAsiaTheme="minorHAnsi" w:hAnsi="IBM Plex Sans" w:cs="Calibri"/>
          <w:sz w:val="22"/>
          <w:lang w:val="en-GB"/>
        </w:rPr>
        <w:t>.</w:t>
      </w:r>
      <w:r w:rsidR="004500C6">
        <w:rPr>
          <w:rFonts w:ascii="IBM Plex Sans" w:eastAsiaTheme="minorHAnsi" w:hAnsi="IBM Plex Sans" w:cs="Calibri"/>
          <w:sz w:val="22"/>
          <w:lang w:val="en-GB"/>
        </w:rPr>
        <w:t>4</w:t>
      </w:r>
      <w:r w:rsidR="00CD3ED6">
        <w:rPr>
          <w:rFonts w:ascii="IBM Plex Sans" w:eastAsiaTheme="minorHAnsi" w:hAnsi="IBM Plex Sans" w:cs="Calibri"/>
          <w:sz w:val="22"/>
          <w:lang w:val="en-GB"/>
        </w:rPr>
        <w:t>%</w:t>
      </w:r>
      <w:r w:rsidR="00807AF8">
        <w:rPr>
          <w:rFonts w:ascii="IBM Plex Sans" w:eastAsiaTheme="minorHAnsi" w:hAnsi="IBM Plex Sans" w:cs="Calibri"/>
          <w:sz w:val="22"/>
          <w:lang w:val="en-GB"/>
        </w:rPr>
        <w:t xml:space="preserve"> (Table 2)</w:t>
      </w:r>
      <w:r w:rsidR="00CD3ED6">
        <w:rPr>
          <w:rFonts w:ascii="IBM Plex Sans" w:eastAsiaTheme="minorHAnsi" w:hAnsi="IBM Plex Sans" w:cs="Calibri"/>
          <w:sz w:val="22"/>
          <w:lang w:val="en-GB"/>
        </w:rPr>
        <w:t xml:space="preserve">. </w:t>
      </w:r>
      <w:r w:rsidR="005425C8">
        <w:rPr>
          <w:rFonts w:ascii="IBM Plex Sans" w:eastAsiaTheme="minorHAnsi" w:hAnsi="IBM Plex Sans" w:cs="Calibri"/>
          <w:sz w:val="22"/>
          <w:lang w:val="en-GB"/>
        </w:rPr>
        <w:t xml:space="preserve">It is evident that a small number of very high salaries </w:t>
      </w:r>
      <w:r w:rsidR="00B938DA">
        <w:rPr>
          <w:rFonts w:ascii="IBM Plex Sans" w:eastAsiaTheme="minorHAnsi" w:hAnsi="IBM Plex Sans" w:cs="Calibri"/>
          <w:sz w:val="22"/>
          <w:lang w:val="en-GB"/>
        </w:rPr>
        <w:t>among</w:t>
      </w:r>
      <w:r w:rsidR="005425C8">
        <w:rPr>
          <w:rFonts w:ascii="IBM Plex Sans" w:eastAsiaTheme="minorHAnsi" w:hAnsi="IBM Plex Sans" w:cs="Calibri"/>
          <w:sz w:val="22"/>
          <w:lang w:val="en-GB"/>
        </w:rPr>
        <w:t xml:space="preserve"> men </w:t>
      </w:r>
      <w:r w:rsidR="0097442B">
        <w:rPr>
          <w:rFonts w:ascii="IBM Plex Sans" w:eastAsiaTheme="minorHAnsi" w:hAnsi="IBM Plex Sans" w:cs="Calibri"/>
          <w:sz w:val="22"/>
          <w:lang w:val="en-GB"/>
        </w:rPr>
        <w:t xml:space="preserve">has skewed mean hourly pay, resulting in a </w:t>
      </w:r>
      <w:r w:rsidR="00526D91">
        <w:rPr>
          <w:rFonts w:ascii="IBM Plex Sans" w:eastAsiaTheme="minorHAnsi" w:hAnsi="IBM Plex Sans" w:cs="Calibri"/>
          <w:sz w:val="22"/>
          <w:lang w:val="en-GB"/>
        </w:rPr>
        <w:t>substantially wider pay gap</w:t>
      </w:r>
      <w:r w:rsidR="008658A8">
        <w:rPr>
          <w:rFonts w:ascii="IBM Plex Sans" w:eastAsiaTheme="minorHAnsi" w:hAnsi="IBM Plex Sans" w:cs="Calibri"/>
          <w:sz w:val="22"/>
          <w:lang w:val="en-GB"/>
        </w:rPr>
        <w:t xml:space="preserve"> at the mean</w:t>
      </w:r>
      <w:r w:rsidR="002A4138">
        <w:rPr>
          <w:rFonts w:ascii="IBM Plex Sans" w:eastAsiaTheme="minorHAnsi" w:hAnsi="IBM Plex Sans" w:cs="Calibri"/>
          <w:sz w:val="22"/>
          <w:lang w:val="en-GB"/>
        </w:rPr>
        <w:t xml:space="preserve">, compared </w:t>
      </w:r>
      <w:r w:rsidR="00775A0B">
        <w:rPr>
          <w:rFonts w:ascii="IBM Plex Sans" w:eastAsiaTheme="minorHAnsi" w:hAnsi="IBM Plex Sans" w:cs="Calibri"/>
          <w:sz w:val="22"/>
          <w:lang w:val="en-GB"/>
        </w:rPr>
        <w:t>to median</w:t>
      </w:r>
      <w:r w:rsidR="00526D91">
        <w:rPr>
          <w:rFonts w:ascii="IBM Plex Sans" w:eastAsiaTheme="minorHAnsi" w:hAnsi="IBM Plex Sans" w:cs="Calibri"/>
          <w:sz w:val="22"/>
          <w:lang w:val="en-GB"/>
        </w:rPr>
        <w:t xml:space="preserve"> hourly pay. </w:t>
      </w:r>
    </w:p>
    <w:p w14:paraId="4B38FA33" w14:textId="77777777" w:rsidR="00262438" w:rsidRDefault="00262438" w:rsidP="00126DFF">
      <w:pPr>
        <w:spacing w:before="0" w:after="0"/>
        <w:jc w:val="both"/>
        <w:rPr>
          <w:rFonts w:ascii="IBM Plex Sans" w:eastAsiaTheme="minorHAnsi" w:hAnsi="IBM Plex Sans" w:cs="Calibri"/>
          <w:sz w:val="22"/>
          <w:lang w:val="en-GB"/>
        </w:rPr>
      </w:pPr>
    </w:p>
    <w:p w14:paraId="31DB282A" w14:textId="08347FAF" w:rsidR="001D1312" w:rsidRPr="00DF4A1B" w:rsidRDefault="001D1312" w:rsidP="001D1312">
      <w:pPr>
        <w:pStyle w:val="Caption"/>
        <w:spacing w:before="0" w:after="0"/>
        <w:rPr>
          <w:rFonts w:ascii="IBM Plex Sans Medium" w:hAnsi="IBM Plex Sans Medium" w:cs="Calibri"/>
          <w:b w:val="0"/>
          <w:bCs w:val="0"/>
          <w:sz w:val="20"/>
          <w:szCs w:val="20"/>
        </w:rPr>
      </w:pPr>
      <w:bookmarkStart w:id="18" w:name="_Toc157514670"/>
      <w:r w:rsidRPr="00DF4A1B">
        <w:rPr>
          <w:rFonts w:ascii="IBM Plex Sans Medium" w:hAnsi="IBM Plex Sans Medium" w:cs="Calibri"/>
          <w:b w:val="0"/>
          <w:bCs w:val="0"/>
          <w:sz w:val="20"/>
          <w:szCs w:val="20"/>
        </w:rPr>
        <w:t xml:space="preserve">Table </w:t>
      </w:r>
      <w:r w:rsidR="00811BA5" w:rsidRPr="00DF4A1B">
        <w:rPr>
          <w:rFonts w:ascii="IBM Plex Sans Medium" w:hAnsi="IBM Plex Sans Medium" w:cs="Calibri"/>
          <w:b w:val="0"/>
          <w:bCs w:val="0"/>
          <w:sz w:val="20"/>
          <w:szCs w:val="20"/>
        </w:rPr>
        <w:fldChar w:fldCharType="begin"/>
      </w:r>
      <w:r w:rsidR="00811BA5" w:rsidRPr="00DF4A1B">
        <w:rPr>
          <w:rFonts w:ascii="IBM Plex Sans Medium" w:hAnsi="IBM Plex Sans Medium" w:cs="Calibri"/>
          <w:b w:val="0"/>
          <w:bCs w:val="0"/>
          <w:sz w:val="20"/>
          <w:szCs w:val="20"/>
        </w:rPr>
        <w:instrText xml:space="preserve"> SEQ Table \* ARABIC </w:instrText>
      </w:r>
      <w:r w:rsidR="00811BA5" w:rsidRPr="00DF4A1B">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2</w:t>
      </w:r>
      <w:r w:rsidR="00811BA5" w:rsidRPr="00DF4A1B">
        <w:rPr>
          <w:rFonts w:ascii="IBM Plex Sans Medium" w:hAnsi="IBM Plex Sans Medium" w:cs="Calibri"/>
          <w:b w:val="0"/>
          <w:bCs w:val="0"/>
          <w:sz w:val="20"/>
          <w:szCs w:val="20"/>
        </w:rPr>
        <w:fldChar w:fldCharType="end"/>
      </w:r>
      <w:r w:rsidRPr="00DF4A1B">
        <w:rPr>
          <w:rFonts w:ascii="IBM Plex Sans Medium" w:hAnsi="IBM Plex Sans Medium" w:cs="Calibri"/>
          <w:b w:val="0"/>
          <w:bCs w:val="0"/>
          <w:sz w:val="20"/>
          <w:szCs w:val="20"/>
        </w:rPr>
        <w:t xml:space="preserve"> </w:t>
      </w:r>
      <w:r w:rsidR="00BD70B2">
        <w:rPr>
          <w:rFonts w:ascii="IBM Plex Sans Medium" w:hAnsi="IBM Plex Sans Medium" w:cs="Calibri"/>
          <w:b w:val="0"/>
          <w:bCs w:val="0"/>
          <w:sz w:val="20"/>
          <w:szCs w:val="20"/>
        </w:rPr>
        <w:t>Public Health Wa</w:t>
      </w:r>
      <w:r w:rsidR="002A4138">
        <w:rPr>
          <w:rFonts w:ascii="IBM Plex Sans Medium" w:hAnsi="IBM Plex Sans Medium" w:cs="Calibri"/>
          <w:b w:val="0"/>
          <w:bCs w:val="0"/>
          <w:sz w:val="20"/>
          <w:szCs w:val="20"/>
        </w:rPr>
        <w:t>l</w:t>
      </w:r>
      <w:r w:rsidR="00BD70B2">
        <w:rPr>
          <w:rFonts w:ascii="IBM Plex Sans Medium" w:hAnsi="IBM Plex Sans Medium" w:cs="Calibri"/>
          <w:b w:val="0"/>
          <w:bCs w:val="0"/>
          <w:sz w:val="20"/>
          <w:szCs w:val="20"/>
        </w:rPr>
        <w:t>es g</w:t>
      </w:r>
      <w:r w:rsidRPr="00DF4A1B">
        <w:rPr>
          <w:rFonts w:ascii="IBM Plex Sans Medium" w:hAnsi="IBM Plex Sans Medium" w:cs="Calibri"/>
          <w:b w:val="0"/>
          <w:bCs w:val="0"/>
          <w:sz w:val="20"/>
          <w:szCs w:val="20"/>
        </w:rPr>
        <w:t xml:space="preserve">ender pay gap </w:t>
      </w:r>
      <w:r w:rsidR="00DF4A1B" w:rsidRPr="00DF4A1B">
        <w:rPr>
          <w:rFonts w:ascii="IBM Plex Sans Medium" w:hAnsi="IBM Plex Sans Medium" w:cs="Calibri"/>
          <w:b w:val="0"/>
          <w:bCs w:val="0"/>
          <w:sz w:val="20"/>
          <w:szCs w:val="20"/>
        </w:rPr>
        <w:t>at 31 March 2023</w:t>
      </w:r>
      <w:bookmarkEnd w:id="18"/>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3116"/>
        <w:gridCol w:w="3117"/>
        <w:gridCol w:w="3117"/>
      </w:tblGrid>
      <w:tr w:rsidR="000E5B57" w:rsidRPr="00BD70B2" w14:paraId="71927CE2" w14:textId="77777777" w:rsidTr="006963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left w:val="single" w:sz="4" w:space="0" w:color="5C00D6"/>
              <w:bottom w:val="single" w:sz="4" w:space="0" w:color="5C00D6"/>
              <w:right w:val="single" w:sz="4" w:space="0" w:color="FFFFFF" w:themeColor="background1"/>
            </w:tcBorders>
            <w:shd w:val="clear" w:color="auto" w:fill="5C00D6"/>
          </w:tcPr>
          <w:p w14:paraId="20047235" w14:textId="3EB419CA" w:rsidR="00F70049" w:rsidRPr="00BD70B2" w:rsidRDefault="00F70049" w:rsidP="0046453B">
            <w:pPr>
              <w:spacing w:before="0"/>
              <w:jc w:val="both"/>
              <w:rPr>
                <w:rFonts w:ascii="IBM Plex Sans Medium" w:eastAsiaTheme="minorHAnsi" w:hAnsi="IBM Plex Sans Medium" w:cs="Calibri"/>
                <w:b w:val="0"/>
                <w:bCs w:val="0"/>
                <w:color w:val="auto"/>
                <w:sz w:val="20"/>
                <w:szCs w:val="20"/>
                <w:lang w:val="en-GB"/>
              </w:rPr>
            </w:pPr>
          </w:p>
        </w:tc>
        <w:tc>
          <w:tcPr>
            <w:tcW w:w="3117" w:type="dxa"/>
            <w:tcBorders>
              <w:top w:val="single" w:sz="4" w:space="0" w:color="5C00D6"/>
              <w:left w:val="single" w:sz="4" w:space="0" w:color="FFFFFF" w:themeColor="background1"/>
              <w:bottom w:val="single" w:sz="4" w:space="0" w:color="5C00D6"/>
              <w:right w:val="single" w:sz="4" w:space="0" w:color="FFFFFF" w:themeColor="background1"/>
            </w:tcBorders>
            <w:shd w:val="clear" w:color="auto" w:fill="5C00D6"/>
          </w:tcPr>
          <w:p w14:paraId="659E2E1F" w14:textId="10BA4F96" w:rsidR="00F70049" w:rsidRPr="00BD70B2" w:rsidRDefault="006453E9" w:rsidP="0046453B">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Mean</w:t>
            </w:r>
          </w:p>
        </w:tc>
        <w:tc>
          <w:tcPr>
            <w:tcW w:w="3117"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005C576C" w14:textId="321BD96F" w:rsidR="00F70049" w:rsidRPr="00BD70B2" w:rsidRDefault="006453E9" w:rsidP="0046453B">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Median</w:t>
            </w:r>
          </w:p>
        </w:tc>
      </w:tr>
      <w:tr w:rsidR="000E5B57" w:rsidRPr="000E5B57" w14:paraId="456DBE1F" w14:textId="77777777" w:rsidTr="006963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tcBorders>
            <w:shd w:val="clear" w:color="auto" w:fill="auto"/>
          </w:tcPr>
          <w:p w14:paraId="1BCDE237" w14:textId="692E98CB" w:rsidR="00130B89" w:rsidRPr="00D3346B" w:rsidRDefault="008E089A" w:rsidP="0046453B">
            <w:pPr>
              <w:spacing w:before="0"/>
              <w:jc w:val="both"/>
              <w:rPr>
                <w:rFonts w:ascii="IBM Plex Sans" w:eastAsiaTheme="minorHAnsi" w:hAnsi="IBM Plex Sans" w:cs="Calibri"/>
                <w:b w:val="0"/>
                <w:bCs w:val="0"/>
                <w:sz w:val="20"/>
                <w:szCs w:val="20"/>
                <w:lang w:val="en-GB"/>
              </w:rPr>
            </w:pPr>
            <w:r w:rsidRPr="00D3346B">
              <w:rPr>
                <w:rFonts w:ascii="IBM Plex Sans" w:eastAsia="Times New Roman" w:hAnsi="IBM Plex Sans" w:cs="Arial"/>
                <w:b w:val="0"/>
                <w:bCs w:val="0"/>
                <w:sz w:val="20"/>
                <w:szCs w:val="20"/>
                <w:lang w:eastAsia="en-GB"/>
              </w:rPr>
              <w:t>Men</w:t>
            </w:r>
            <w:r w:rsidR="00E142EA">
              <w:rPr>
                <w:rFonts w:ascii="IBM Plex Sans" w:eastAsia="Times New Roman" w:hAnsi="IBM Plex Sans" w:cs="Arial"/>
                <w:b w:val="0"/>
                <w:bCs w:val="0"/>
                <w:sz w:val="20"/>
                <w:szCs w:val="20"/>
                <w:lang w:eastAsia="en-GB"/>
              </w:rPr>
              <w:t xml:space="preserve"> </w:t>
            </w:r>
          </w:p>
        </w:tc>
        <w:tc>
          <w:tcPr>
            <w:tcW w:w="3117" w:type="dxa"/>
            <w:tcBorders>
              <w:top w:val="single" w:sz="4" w:space="0" w:color="5C00D6"/>
            </w:tcBorders>
            <w:shd w:val="clear" w:color="auto" w:fill="auto"/>
          </w:tcPr>
          <w:p w14:paraId="446C2070" w14:textId="23A2F8F3" w:rsidR="00130B89" w:rsidRPr="00D3346B" w:rsidRDefault="0090243B" w:rsidP="0046453B">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£23.47</w:t>
            </w:r>
          </w:p>
        </w:tc>
        <w:tc>
          <w:tcPr>
            <w:tcW w:w="3117" w:type="dxa"/>
            <w:tcBorders>
              <w:top w:val="single" w:sz="4" w:space="0" w:color="5C00D6"/>
            </w:tcBorders>
            <w:shd w:val="clear" w:color="auto" w:fill="auto"/>
          </w:tcPr>
          <w:p w14:paraId="032534F8" w14:textId="142832C5" w:rsidR="00130B89" w:rsidRPr="00D3346B" w:rsidRDefault="00D9769D" w:rsidP="0046453B">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£18.41</w:t>
            </w:r>
          </w:p>
        </w:tc>
      </w:tr>
      <w:tr w:rsidR="000E5B57" w:rsidRPr="000E5B57" w14:paraId="309B5E5B" w14:textId="77777777" w:rsidTr="008B5E5D">
        <w:tc>
          <w:tcPr>
            <w:cnfStyle w:val="001000000000" w:firstRow="0" w:lastRow="0" w:firstColumn="1" w:lastColumn="0" w:oddVBand="0" w:evenVBand="0" w:oddHBand="0" w:evenHBand="0" w:firstRowFirstColumn="0" w:firstRowLastColumn="0" w:lastRowFirstColumn="0" w:lastRowLastColumn="0"/>
            <w:tcW w:w="3116" w:type="dxa"/>
            <w:shd w:val="clear" w:color="auto" w:fill="auto"/>
          </w:tcPr>
          <w:p w14:paraId="1E2395AA" w14:textId="54E0F3EA" w:rsidR="00130B89" w:rsidRPr="00D3346B" w:rsidRDefault="008E089A" w:rsidP="0046453B">
            <w:pPr>
              <w:spacing w:before="0"/>
              <w:jc w:val="both"/>
              <w:rPr>
                <w:rFonts w:ascii="IBM Plex Sans" w:eastAsiaTheme="minorHAnsi" w:hAnsi="IBM Plex Sans" w:cs="Calibri"/>
                <w:b w:val="0"/>
                <w:bCs w:val="0"/>
                <w:sz w:val="20"/>
                <w:szCs w:val="20"/>
                <w:lang w:val="en-GB"/>
              </w:rPr>
            </w:pPr>
            <w:r w:rsidRPr="00D3346B">
              <w:rPr>
                <w:rFonts w:ascii="IBM Plex Sans" w:eastAsiaTheme="minorHAnsi" w:hAnsi="IBM Plex Sans" w:cs="Calibri"/>
                <w:b w:val="0"/>
                <w:bCs w:val="0"/>
                <w:sz w:val="20"/>
                <w:szCs w:val="20"/>
                <w:lang w:val="en-GB"/>
              </w:rPr>
              <w:t>Women</w:t>
            </w:r>
          </w:p>
        </w:tc>
        <w:tc>
          <w:tcPr>
            <w:tcW w:w="3117" w:type="dxa"/>
            <w:shd w:val="clear" w:color="auto" w:fill="auto"/>
          </w:tcPr>
          <w:p w14:paraId="5631628A" w14:textId="273E2AA0" w:rsidR="00130B89" w:rsidRPr="00D3346B" w:rsidRDefault="00030EC7" w:rsidP="0046453B">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£20.24</w:t>
            </w:r>
          </w:p>
        </w:tc>
        <w:tc>
          <w:tcPr>
            <w:tcW w:w="3117" w:type="dxa"/>
            <w:shd w:val="clear" w:color="auto" w:fill="auto"/>
          </w:tcPr>
          <w:p w14:paraId="3F9E226C" w14:textId="5AF753AD" w:rsidR="00130B89" w:rsidRPr="00D3346B" w:rsidRDefault="00D9769D" w:rsidP="0046453B">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£17.24</w:t>
            </w:r>
          </w:p>
        </w:tc>
      </w:tr>
      <w:tr w:rsidR="000E5B57" w:rsidRPr="000E5B57" w14:paraId="6657D5F6" w14:textId="77777777" w:rsidTr="008E08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bottom w:val="single" w:sz="18" w:space="0" w:color="5C00D6"/>
            </w:tcBorders>
            <w:shd w:val="clear" w:color="auto" w:fill="auto"/>
          </w:tcPr>
          <w:p w14:paraId="537F89B9" w14:textId="65DC90A6" w:rsidR="00130B89" w:rsidRPr="00D3346B" w:rsidRDefault="008E089A" w:rsidP="0046453B">
            <w:pPr>
              <w:spacing w:before="0"/>
              <w:jc w:val="both"/>
              <w:rPr>
                <w:rFonts w:ascii="IBM Plex Sans" w:eastAsiaTheme="minorHAnsi" w:hAnsi="IBM Plex Sans" w:cs="Calibri"/>
                <w:b w:val="0"/>
                <w:bCs w:val="0"/>
                <w:sz w:val="20"/>
                <w:szCs w:val="20"/>
                <w:lang w:val="en-GB"/>
              </w:rPr>
            </w:pPr>
            <w:r w:rsidRPr="00D3346B">
              <w:rPr>
                <w:rFonts w:ascii="IBM Plex Sans" w:eastAsiaTheme="minorHAnsi" w:hAnsi="IBM Plex Sans" w:cs="Calibri"/>
                <w:b w:val="0"/>
                <w:bCs w:val="0"/>
                <w:sz w:val="20"/>
                <w:szCs w:val="20"/>
                <w:lang w:val="en-GB"/>
              </w:rPr>
              <w:t>£ difference</w:t>
            </w:r>
          </w:p>
        </w:tc>
        <w:tc>
          <w:tcPr>
            <w:tcW w:w="3117" w:type="dxa"/>
            <w:tcBorders>
              <w:bottom w:val="single" w:sz="18" w:space="0" w:color="5C00D6"/>
            </w:tcBorders>
            <w:shd w:val="clear" w:color="auto" w:fill="auto"/>
          </w:tcPr>
          <w:p w14:paraId="5ED34EAE" w14:textId="2C4EFB1E" w:rsidR="00130B89" w:rsidRPr="00D3346B" w:rsidRDefault="00030EC7" w:rsidP="0046453B">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£3.23</w:t>
            </w:r>
          </w:p>
        </w:tc>
        <w:tc>
          <w:tcPr>
            <w:tcW w:w="3117" w:type="dxa"/>
            <w:tcBorders>
              <w:bottom w:val="single" w:sz="18" w:space="0" w:color="5C00D6"/>
            </w:tcBorders>
            <w:shd w:val="clear" w:color="auto" w:fill="auto"/>
          </w:tcPr>
          <w:p w14:paraId="6B7E4632" w14:textId="50B44792" w:rsidR="00130B89" w:rsidRPr="00D3346B" w:rsidRDefault="00021CFC" w:rsidP="00D61CCF">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ab/>
            </w:r>
            <w:r>
              <w:rPr>
                <w:rFonts w:ascii="IBM Plex Sans" w:eastAsiaTheme="minorHAnsi" w:hAnsi="IBM Plex Sans" w:cs="Calibri"/>
                <w:sz w:val="20"/>
                <w:szCs w:val="20"/>
                <w:lang w:val="en-GB"/>
              </w:rPr>
              <w:tab/>
            </w:r>
            <w:r w:rsidR="00D9769D">
              <w:rPr>
                <w:rFonts w:ascii="IBM Plex Sans" w:eastAsiaTheme="minorHAnsi" w:hAnsi="IBM Plex Sans" w:cs="Calibri"/>
                <w:sz w:val="20"/>
                <w:szCs w:val="20"/>
                <w:lang w:val="en-GB"/>
              </w:rPr>
              <w:t>£1.18</w:t>
            </w:r>
          </w:p>
        </w:tc>
      </w:tr>
      <w:tr w:rsidR="000E5B57" w:rsidRPr="000E5B57" w14:paraId="5B1A8E2F" w14:textId="77777777" w:rsidTr="008E089A">
        <w:tc>
          <w:tcPr>
            <w:cnfStyle w:val="001000000000" w:firstRow="0" w:lastRow="0" w:firstColumn="1" w:lastColumn="0" w:oddVBand="0" w:evenVBand="0" w:oddHBand="0" w:evenHBand="0" w:firstRowFirstColumn="0" w:firstRowLastColumn="0" w:lastRowFirstColumn="0" w:lastRowLastColumn="0"/>
            <w:tcW w:w="3116" w:type="dxa"/>
            <w:tcBorders>
              <w:top w:val="single" w:sz="18" w:space="0" w:color="5C00D6"/>
              <w:bottom w:val="single" w:sz="18" w:space="0" w:color="5C00D6"/>
            </w:tcBorders>
            <w:shd w:val="clear" w:color="auto" w:fill="auto"/>
          </w:tcPr>
          <w:p w14:paraId="52B82A7D" w14:textId="185EF9D4" w:rsidR="008B5E5D" w:rsidRPr="00DF4A1B" w:rsidRDefault="00DD1EC5" w:rsidP="0046453B">
            <w:pPr>
              <w:spacing w:before="0"/>
              <w:jc w:val="both"/>
              <w:rPr>
                <w:rFonts w:ascii="IBM Plex Sans Medium" w:eastAsia="Times New Roman" w:hAnsi="IBM Plex Sans Medium" w:cs="Arial"/>
                <w:b w:val="0"/>
                <w:bCs w:val="0"/>
                <w:sz w:val="20"/>
                <w:szCs w:val="20"/>
                <w:lang w:eastAsia="en-GB"/>
              </w:rPr>
            </w:pPr>
            <w:r w:rsidRPr="00DF4A1B">
              <w:rPr>
                <w:rFonts w:ascii="IBM Plex Sans Medium" w:eastAsia="Times New Roman" w:hAnsi="IBM Plex Sans Medium" w:cs="Arial"/>
                <w:b w:val="0"/>
                <w:bCs w:val="0"/>
                <w:sz w:val="20"/>
                <w:szCs w:val="20"/>
                <w:lang w:eastAsia="en-GB"/>
              </w:rPr>
              <w:t xml:space="preserve">Gender </w:t>
            </w:r>
            <w:r w:rsidR="00C819EB">
              <w:rPr>
                <w:rFonts w:ascii="IBM Plex Sans Medium" w:eastAsia="Times New Roman" w:hAnsi="IBM Plex Sans Medium" w:cs="Arial"/>
                <w:b w:val="0"/>
                <w:bCs w:val="0"/>
                <w:sz w:val="20"/>
                <w:szCs w:val="20"/>
                <w:lang w:eastAsia="en-GB"/>
              </w:rPr>
              <w:t>p</w:t>
            </w:r>
            <w:r w:rsidR="00130B89" w:rsidRPr="00DF4A1B">
              <w:rPr>
                <w:rFonts w:ascii="IBM Plex Sans Medium" w:eastAsia="Times New Roman" w:hAnsi="IBM Plex Sans Medium" w:cs="Arial"/>
                <w:b w:val="0"/>
                <w:bCs w:val="0"/>
                <w:sz w:val="20"/>
                <w:szCs w:val="20"/>
                <w:lang w:eastAsia="en-GB"/>
              </w:rPr>
              <w:t xml:space="preserve">ay </w:t>
            </w:r>
            <w:r w:rsidR="00C819EB">
              <w:rPr>
                <w:rFonts w:ascii="IBM Plex Sans Medium" w:eastAsia="Times New Roman" w:hAnsi="IBM Plex Sans Medium" w:cs="Arial"/>
                <w:b w:val="0"/>
                <w:bCs w:val="0"/>
                <w:sz w:val="20"/>
                <w:szCs w:val="20"/>
                <w:lang w:eastAsia="en-GB"/>
              </w:rPr>
              <w:t>g</w:t>
            </w:r>
            <w:r w:rsidR="00130B89" w:rsidRPr="00DF4A1B">
              <w:rPr>
                <w:rFonts w:ascii="IBM Plex Sans Medium" w:eastAsia="Times New Roman" w:hAnsi="IBM Plex Sans Medium" w:cs="Arial"/>
                <w:b w:val="0"/>
                <w:bCs w:val="0"/>
                <w:sz w:val="20"/>
                <w:szCs w:val="20"/>
                <w:lang w:eastAsia="en-GB"/>
              </w:rPr>
              <w:t>ap</w:t>
            </w:r>
          </w:p>
        </w:tc>
        <w:tc>
          <w:tcPr>
            <w:tcW w:w="3117" w:type="dxa"/>
            <w:tcBorders>
              <w:top w:val="single" w:sz="18" w:space="0" w:color="5C00D6"/>
              <w:bottom w:val="single" w:sz="18" w:space="0" w:color="5C00D6"/>
            </w:tcBorders>
            <w:shd w:val="clear" w:color="auto" w:fill="auto"/>
          </w:tcPr>
          <w:p w14:paraId="7E42DB5E" w14:textId="0D519CC8" w:rsidR="008B5E5D" w:rsidRPr="00DF4A1B" w:rsidRDefault="009F21BD" w:rsidP="0046453B">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13.8</w:t>
            </w:r>
            <w:r w:rsidR="008E089A" w:rsidRPr="00DF4A1B">
              <w:rPr>
                <w:rFonts w:ascii="IBM Plex Sans Medium" w:eastAsia="Times New Roman" w:hAnsi="IBM Plex Sans Medium" w:cs="Arial"/>
                <w:sz w:val="20"/>
                <w:szCs w:val="20"/>
                <w:lang w:eastAsia="en-GB"/>
              </w:rPr>
              <w:t>%</w:t>
            </w:r>
          </w:p>
        </w:tc>
        <w:tc>
          <w:tcPr>
            <w:tcW w:w="3117" w:type="dxa"/>
            <w:tcBorders>
              <w:top w:val="single" w:sz="18" w:space="0" w:color="5C00D6"/>
              <w:bottom w:val="single" w:sz="18" w:space="0" w:color="5C00D6"/>
            </w:tcBorders>
            <w:shd w:val="clear" w:color="auto" w:fill="auto"/>
          </w:tcPr>
          <w:p w14:paraId="65E69CCF" w14:textId="1CFE184E" w:rsidR="008B5E5D" w:rsidRPr="00DF4A1B" w:rsidRDefault="009F21BD" w:rsidP="0046453B">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6.4</w:t>
            </w:r>
            <w:r w:rsidR="008E089A" w:rsidRPr="00DF4A1B">
              <w:rPr>
                <w:rFonts w:ascii="IBM Plex Sans Medium" w:eastAsia="Times New Roman" w:hAnsi="IBM Plex Sans Medium" w:cs="Arial"/>
                <w:sz w:val="20"/>
                <w:szCs w:val="20"/>
                <w:lang w:eastAsia="en-GB"/>
              </w:rPr>
              <w:t>%</w:t>
            </w:r>
          </w:p>
        </w:tc>
      </w:tr>
    </w:tbl>
    <w:p w14:paraId="5BDFC9DE" w14:textId="4EF63CCD" w:rsidR="008B5E5D" w:rsidRDefault="00E82C3D" w:rsidP="00DA1372">
      <w:pPr>
        <w:spacing w:before="0" w:after="0"/>
        <w:jc w:val="both"/>
        <w:rPr>
          <w:rFonts w:ascii="IBM Plex Sans" w:eastAsiaTheme="minorHAnsi" w:hAnsi="IBM Plex Sans" w:cs="Calibri"/>
          <w:sz w:val="20"/>
          <w:szCs w:val="20"/>
          <w:lang w:val="en-GB"/>
        </w:rPr>
      </w:pPr>
      <w:r w:rsidRPr="00604B6C">
        <w:rPr>
          <w:rFonts w:ascii="IBM Plex Sans" w:eastAsiaTheme="minorHAnsi" w:hAnsi="IBM Plex Sans" w:cs="Calibri"/>
          <w:sz w:val="20"/>
          <w:szCs w:val="20"/>
          <w:lang w:val="en-GB"/>
        </w:rPr>
        <w:t xml:space="preserve">Note: hourly pay is shown to two decimal places. </w:t>
      </w:r>
    </w:p>
    <w:p w14:paraId="0748D374" w14:textId="77777777" w:rsidR="00604B6C" w:rsidRPr="00604B6C" w:rsidRDefault="00604B6C" w:rsidP="00DA1372">
      <w:pPr>
        <w:spacing w:before="0" w:after="0"/>
        <w:jc w:val="both"/>
        <w:rPr>
          <w:rFonts w:ascii="IBM Plex Sans" w:eastAsiaTheme="minorHAnsi" w:hAnsi="IBM Plex Sans" w:cs="Calibri"/>
          <w:sz w:val="20"/>
          <w:szCs w:val="20"/>
          <w:lang w:val="en-GB"/>
        </w:rPr>
      </w:pPr>
    </w:p>
    <w:p w14:paraId="713186F9" w14:textId="1CFDD63E" w:rsidR="002F7A30" w:rsidRPr="004500C6" w:rsidRDefault="006B1967" w:rsidP="001C2867">
      <w:pPr>
        <w:spacing w:before="0" w:after="0"/>
        <w:jc w:val="both"/>
        <w:rPr>
          <w:rFonts w:ascii="IBM Plex Sans" w:eastAsiaTheme="minorHAnsi" w:hAnsi="IBM Plex Sans" w:cs="Calibri"/>
          <w:sz w:val="22"/>
          <w:lang w:val="en-GB"/>
        </w:rPr>
      </w:pPr>
      <w:r>
        <w:rPr>
          <w:rFonts w:ascii="IBM Plex Sans" w:eastAsiaTheme="minorHAnsi" w:hAnsi="IBM Plex Sans" w:cs="Calibri"/>
          <w:sz w:val="22"/>
          <w:lang w:val="en-GB"/>
        </w:rPr>
        <w:t>National statistics on the gender pay gap</w:t>
      </w:r>
      <w:r w:rsidR="001C3DB6">
        <w:rPr>
          <w:rFonts w:ascii="IBM Plex Sans" w:eastAsiaTheme="minorHAnsi" w:hAnsi="IBM Plex Sans" w:cs="Calibri"/>
          <w:sz w:val="22"/>
          <w:lang w:val="en-GB"/>
        </w:rPr>
        <w:t xml:space="preserve"> in the UK</w:t>
      </w:r>
      <w:r w:rsidR="00464948">
        <w:rPr>
          <w:rFonts w:ascii="IBM Plex Sans" w:eastAsiaTheme="minorHAnsi" w:hAnsi="IBM Plex Sans" w:cs="Calibri"/>
          <w:sz w:val="22"/>
          <w:lang w:val="en-GB"/>
        </w:rPr>
        <w:t>, produced by the Office for National Statistics,</w:t>
      </w:r>
      <w:r>
        <w:rPr>
          <w:rFonts w:ascii="IBM Plex Sans" w:eastAsiaTheme="minorHAnsi" w:hAnsi="IBM Plex Sans" w:cs="Calibri"/>
          <w:sz w:val="22"/>
          <w:lang w:val="en-GB"/>
        </w:rPr>
        <w:t xml:space="preserve"> </w:t>
      </w:r>
      <w:r w:rsidR="0099749B">
        <w:rPr>
          <w:rFonts w:ascii="IBM Plex Sans" w:eastAsiaTheme="minorHAnsi" w:hAnsi="IBM Plex Sans" w:cs="Calibri"/>
          <w:sz w:val="22"/>
          <w:lang w:val="en-GB"/>
        </w:rPr>
        <w:t>serv</w:t>
      </w:r>
      <w:r w:rsidR="003D6E96">
        <w:rPr>
          <w:rFonts w:ascii="IBM Plex Sans" w:eastAsiaTheme="minorHAnsi" w:hAnsi="IBM Plex Sans" w:cs="Calibri"/>
          <w:sz w:val="22"/>
          <w:lang w:val="en-GB"/>
        </w:rPr>
        <w:t>e</w:t>
      </w:r>
      <w:r w:rsidR="0099749B">
        <w:rPr>
          <w:rFonts w:ascii="IBM Plex Sans" w:eastAsiaTheme="minorHAnsi" w:hAnsi="IBM Plex Sans" w:cs="Calibri"/>
          <w:sz w:val="22"/>
          <w:lang w:val="en-GB"/>
        </w:rPr>
        <w:t xml:space="preserve"> as a </w:t>
      </w:r>
      <w:r w:rsidR="00D274B5">
        <w:rPr>
          <w:rFonts w:ascii="IBM Plex Sans" w:eastAsiaTheme="minorHAnsi" w:hAnsi="IBM Plex Sans" w:cs="Calibri"/>
          <w:sz w:val="22"/>
          <w:lang w:val="en-GB"/>
        </w:rPr>
        <w:t xml:space="preserve">useful </w:t>
      </w:r>
      <w:r w:rsidR="0099749B">
        <w:rPr>
          <w:rFonts w:ascii="IBM Plex Sans" w:eastAsiaTheme="minorHAnsi" w:hAnsi="IBM Plex Sans" w:cs="Calibri"/>
          <w:sz w:val="22"/>
          <w:lang w:val="en-GB"/>
        </w:rPr>
        <w:t xml:space="preserve">benchmark. Figure 1 shows how the gender pay gap at Public Health Wales compares </w:t>
      </w:r>
      <w:r w:rsidR="00A65521">
        <w:rPr>
          <w:rFonts w:ascii="IBM Plex Sans" w:eastAsiaTheme="minorHAnsi" w:hAnsi="IBM Plex Sans" w:cs="Calibri"/>
          <w:sz w:val="22"/>
          <w:lang w:val="en-GB"/>
        </w:rPr>
        <w:t xml:space="preserve">nationally. </w:t>
      </w:r>
      <w:r w:rsidR="00464948">
        <w:rPr>
          <w:rFonts w:ascii="IBM Plex Sans" w:eastAsiaTheme="minorHAnsi" w:hAnsi="IBM Plex Sans" w:cs="Calibri"/>
          <w:sz w:val="22"/>
          <w:lang w:val="en-GB"/>
        </w:rPr>
        <w:t>T</w:t>
      </w:r>
      <w:r w:rsidR="001C2867" w:rsidRPr="004500C6">
        <w:rPr>
          <w:rFonts w:ascii="IBM Plex Sans" w:eastAsiaTheme="minorHAnsi" w:hAnsi="IBM Plex Sans" w:cs="Calibri"/>
          <w:sz w:val="22"/>
          <w:lang w:val="en-GB"/>
        </w:rPr>
        <w:t xml:space="preserve">he </w:t>
      </w:r>
      <w:r w:rsidR="001C2867">
        <w:rPr>
          <w:rFonts w:ascii="IBM Plex Sans" w:eastAsiaTheme="minorHAnsi" w:hAnsi="IBM Plex Sans" w:cs="Calibri"/>
          <w:sz w:val="22"/>
          <w:lang w:val="en-GB"/>
        </w:rPr>
        <w:t xml:space="preserve">mean </w:t>
      </w:r>
      <w:r w:rsidR="001C2867" w:rsidRPr="004500C6">
        <w:rPr>
          <w:rFonts w:ascii="IBM Plex Sans" w:eastAsiaTheme="minorHAnsi" w:hAnsi="IBM Plex Sans" w:cs="Calibri"/>
          <w:sz w:val="22"/>
          <w:lang w:val="en-GB"/>
        </w:rPr>
        <w:t>gender pay gap at Public Health Wales</w:t>
      </w:r>
      <w:r w:rsidR="00464948">
        <w:rPr>
          <w:rFonts w:ascii="IBM Plex Sans" w:eastAsiaTheme="minorHAnsi" w:hAnsi="IBM Plex Sans" w:cs="Calibri"/>
          <w:sz w:val="22"/>
          <w:lang w:val="en-GB"/>
        </w:rPr>
        <w:t xml:space="preserve"> (13.8%)</w:t>
      </w:r>
      <w:r w:rsidR="001C2867" w:rsidRPr="004500C6">
        <w:rPr>
          <w:rFonts w:ascii="IBM Plex Sans" w:eastAsiaTheme="minorHAnsi" w:hAnsi="IBM Plex Sans" w:cs="Calibri"/>
          <w:sz w:val="22"/>
          <w:lang w:val="en-GB"/>
        </w:rPr>
        <w:t xml:space="preserve"> is </w:t>
      </w:r>
      <w:r w:rsidR="001C2867">
        <w:rPr>
          <w:rFonts w:ascii="IBM Plex Sans" w:eastAsiaTheme="minorHAnsi" w:hAnsi="IBM Plex Sans" w:cs="Calibri"/>
          <w:sz w:val="22"/>
          <w:lang w:val="en-GB"/>
        </w:rPr>
        <w:t>higher than th</w:t>
      </w:r>
      <w:r w:rsidR="00A64BED">
        <w:rPr>
          <w:rFonts w:ascii="IBM Plex Sans" w:eastAsiaTheme="minorHAnsi" w:hAnsi="IBM Plex Sans" w:cs="Calibri"/>
          <w:sz w:val="22"/>
          <w:lang w:val="en-GB"/>
        </w:rPr>
        <w:t>e mean</w:t>
      </w:r>
      <w:r w:rsidR="001C2867">
        <w:rPr>
          <w:rFonts w:ascii="IBM Plex Sans" w:eastAsiaTheme="minorHAnsi" w:hAnsi="IBM Plex Sans" w:cs="Calibri"/>
          <w:sz w:val="22"/>
          <w:lang w:val="en-GB"/>
        </w:rPr>
        <w:t xml:space="preserve"> currently for the UK</w:t>
      </w:r>
      <w:r w:rsidR="00CD6A5F">
        <w:rPr>
          <w:rFonts w:ascii="IBM Plex Sans" w:eastAsiaTheme="minorHAnsi" w:hAnsi="IBM Plex Sans" w:cs="Calibri"/>
          <w:sz w:val="22"/>
          <w:lang w:val="en-GB"/>
        </w:rPr>
        <w:t xml:space="preserve"> (13.2%)</w:t>
      </w:r>
      <w:r w:rsidR="001C2867">
        <w:rPr>
          <w:rFonts w:ascii="IBM Plex Sans" w:eastAsiaTheme="minorHAnsi" w:hAnsi="IBM Plex Sans" w:cs="Calibri"/>
          <w:sz w:val="22"/>
          <w:lang w:val="en-GB"/>
        </w:rPr>
        <w:t xml:space="preserve">, in the public sector </w:t>
      </w:r>
      <w:r w:rsidR="00CD6A5F">
        <w:rPr>
          <w:rFonts w:ascii="IBM Plex Sans" w:eastAsiaTheme="minorHAnsi" w:hAnsi="IBM Plex Sans" w:cs="Calibri"/>
          <w:sz w:val="22"/>
          <w:lang w:val="en-GB"/>
        </w:rPr>
        <w:t xml:space="preserve">(11.5%) </w:t>
      </w:r>
      <w:r w:rsidR="001C2867">
        <w:rPr>
          <w:rFonts w:ascii="IBM Plex Sans" w:eastAsiaTheme="minorHAnsi" w:hAnsi="IBM Plex Sans" w:cs="Calibri"/>
          <w:sz w:val="22"/>
          <w:lang w:val="en-GB"/>
        </w:rPr>
        <w:t>and for Wales</w:t>
      </w:r>
      <w:r w:rsidR="00CD6A5F">
        <w:rPr>
          <w:rFonts w:ascii="IBM Plex Sans" w:eastAsiaTheme="minorHAnsi" w:hAnsi="IBM Plex Sans" w:cs="Calibri"/>
          <w:sz w:val="22"/>
          <w:lang w:val="en-GB"/>
        </w:rPr>
        <w:t xml:space="preserve"> (</w:t>
      </w:r>
      <w:r w:rsidR="004B1969">
        <w:rPr>
          <w:rFonts w:ascii="IBM Plex Sans" w:eastAsiaTheme="minorHAnsi" w:hAnsi="IBM Plex Sans" w:cs="Calibri"/>
          <w:sz w:val="22"/>
          <w:lang w:val="en-GB"/>
        </w:rPr>
        <w:t>8.1%)</w:t>
      </w:r>
      <w:r w:rsidR="00A64BED">
        <w:rPr>
          <w:rFonts w:ascii="IBM Plex Sans" w:eastAsiaTheme="minorHAnsi" w:hAnsi="IBM Plex Sans" w:cs="Calibri"/>
          <w:sz w:val="22"/>
          <w:lang w:val="en-GB"/>
        </w:rPr>
        <w:t xml:space="preserve">. However, </w:t>
      </w:r>
      <w:r w:rsidR="001C2867">
        <w:rPr>
          <w:rFonts w:ascii="IBM Plex Sans" w:eastAsiaTheme="minorHAnsi" w:hAnsi="IBM Plex Sans" w:cs="Calibri"/>
          <w:sz w:val="22"/>
          <w:lang w:val="en-GB"/>
        </w:rPr>
        <w:t xml:space="preserve">the median is substantially lower </w:t>
      </w:r>
      <w:r w:rsidR="0012692D">
        <w:rPr>
          <w:rFonts w:ascii="IBM Plex Sans" w:eastAsiaTheme="minorHAnsi" w:hAnsi="IBM Plex Sans" w:cs="Calibri"/>
          <w:sz w:val="22"/>
          <w:lang w:val="en-GB"/>
        </w:rPr>
        <w:t xml:space="preserve">than all three benchmarks, </w:t>
      </w:r>
      <w:r w:rsidR="001C2867">
        <w:rPr>
          <w:rFonts w:ascii="IBM Plex Sans" w:eastAsiaTheme="minorHAnsi" w:hAnsi="IBM Plex Sans" w:cs="Calibri"/>
          <w:sz w:val="22"/>
          <w:lang w:val="en-GB"/>
        </w:rPr>
        <w:t xml:space="preserve">at 6.4%. </w:t>
      </w:r>
      <w:r w:rsidR="002F7A30">
        <w:rPr>
          <w:rFonts w:ascii="IBM Plex Sans" w:eastAsiaTheme="minorHAnsi" w:hAnsi="IBM Plex Sans" w:cs="Calibri"/>
          <w:sz w:val="22"/>
          <w:lang w:val="en-GB"/>
        </w:rPr>
        <w:t>While the median compares favourably</w:t>
      </w:r>
      <w:r w:rsidR="00C536C0">
        <w:rPr>
          <w:rFonts w:ascii="IBM Plex Sans" w:eastAsiaTheme="minorHAnsi" w:hAnsi="IBM Plex Sans" w:cs="Calibri"/>
          <w:sz w:val="22"/>
          <w:lang w:val="en-GB"/>
        </w:rPr>
        <w:t>,</w:t>
      </w:r>
      <w:r w:rsidR="002F7A30">
        <w:rPr>
          <w:rFonts w:ascii="IBM Plex Sans" w:eastAsiaTheme="minorHAnsi" w:hAnsi="IBM Plex Sans" w:cs="Calibri"/>
          <w:sz w:val="22"/>
          <w:lang w:val="en-GB"/>
        </w:rPr>
        <w:t xml:space="preserve"> </w:t>
      </w:r>
      <w:r w:rsidR="00260066">
        <w:rPr>
          <w:rFonts w:ascii="IBM Plex Sans" w:eastAsiaTheme="minorHAnsi" w:hAnsi="IBM Plex Sans" w:cs="Calibri"/>
          <w:sz w:val="22"/>
          <w:lang w:val="en-GB"/>
        </w:rPr>
        <w:t xml:space="preserve">the </w:t>
      </w:r>
      <w:r w:rsidR="00C536C0">
        <w:rPr>
          <w:rFonts w:ascii="IBM Plex Sans" w:eastAsiaTheme="minorHAnsi" w:hAnsi="IBM Plex Sans" w:cs="Calibri"/>
          <w:sz w:val="22"/>
          <w:lang w:val="en-GB"/>
        </w:rPr>
        <w:t xml:space="preserve">higher mean gender pay gap </w:t>
      </w:r>
      <w:r w:rsidR="00791690">
        <w:rPr>
          <w:rFonts w:ascii="IBM Plex Sans" w:eastAsiaTheme="minorHAnsi" w:hAnsi="IBM Plex Sans" w:cs="Calibri"/>
          <w:sz w:val="22"/>
          <w:lang w:val="en-GB"/>
        </w:rPr>
        <w:t xml:space="preserve">indicates </w:t>
      </w:r>
      <w:r w:rsidR="00C536C0">
        <w:rPr>
          <w:rFonts w:ascii="IBM Plex Sans" w:eastAsiaTheme="minorHAnsi" w:hAnsi="IBM Plex Sans" w:cs="Calibri"/>
          <w:sz w:val="22"/>
          <w:lang w:val="en-GB"/>
        </w:rPr>
        <w:t xml:space="preserve">that the difference between high </w:t>
      </w:r>
      <w:r w:rsidR="00341C64">
        <w:rPr>
          <w:rFonts w:ascii="IBM Plex Sans" w:eastAsiaTheme="minorHAnsi" w:hAnsi="IBM Plex Sans" w:cs="Calibri"/>
          <w:sz w:val="22"/>
          <w:lang w:val="en-GB"/>
        </w:rPr>
        <w:t xml:space="preserve">pay for men and women </w:t>
      </w:r>
      <w:r w:rsidR="005A0F41">
        <w:rPr>
          <w:rFonts w:ascii="IBM Plex Sans" w:eastAsiaTheme="minorHAnsi" w:hAnsi="IBM Plex Sans" w:cs="Calibri"/>
          <w:sz w:val="22"/>
          <w:lang w:val="en-GB"/>
        </w:rPr>
        <w:t xml:space="preserve">at Public Health Wales </w:t>
      </w:r>
      <w:r w:rsidR="00341C64">
        <w:rPr>
          <w:rFonts w:ascii="IBM Plex Sans" w:eastAsiaTheme="minorHAnsi" w:hAnsi="IBM Plex Sans" w:cs="Calibri"/>
          <w:sz w:val="22"/>
          <w:lang w:val="en-GB"/>
        </w:rPr>
        <w:t>is greater</w:t>
      </w:r>
      <w:r w:rsidR="0039556F">
        <w:rPr>
          <w:rFonts w:ascii="IBM Plex Sans" w:eastAsiaTheme="minorHAnsi" w:hAnsi="IBM Plex Sans" w:cs="Calibri"/>
          <w:sz w:val="22"/>
          <w:lang w:val="en-GB"/>
        </w:rPr>
        <w:t xml:space="preserve"> than</w:t>
      </w:r>
      <w:r w:rsidR="00C4189C">
        <w:rPr>
          <w:rFonts w:ascii="IBM Plex Sans" w:eastAsiaTheme="minorHAnsi" w:hAnsi="IBM Plex Sans" w:cs="Calibri"/>
          <w:sz w:val="22"/>
          <w:lang w:val="en-GB"/>
        </w:rPr>
        <w:t xml:space="preserve"> national and </w:t>
      </w:r>
      <w:r w:rsidR="00E8020B">
        <w:rPr>
          <w:rFonts w:ascii="IBM Plex Sans" w:eastAsiaTheme="minorHAnsi" w:hAnsi="IBM Plex Sans" w:cs="Calibri"/>
          <w:sz w:val="22"/>
          <w:lang w:val="en-GB"/>
        </w:rPr>
        <w:t xml:space="preserve">public </w:t>
      </w:r>
      <w:r w:rsidR="00C4189C">
        <w:rPr>
          <w:rFonts w:ascii="IBM Plex Sans" w:eastAsiaTheme="minorHAnsi" w:hAnsi="IBM Plex Sans" w:cs="Calibri"/>
          <w:sz w:val="22"/>
          <w:lang w:val="en-GB"/>
        </w:rPr>
        <w:t xml:space="preserve">sector benchmarks. </w:t>
      </w:r>
    </w:p>
    <w:p w14:paraId="619BF478" w14:textId="74C9E88F" w:rsidR="00346FC1" w:rsidRPr="004500C6" w:rsidRDefault="005B400F" w:rsidP="006453E9">
      <w:pPr>
        <w:spacing w:before="0" w:line="480" w:lineRule="auto"/>
        <w:ind w:firstLine="357"/>
        <w:rPr>
          <w:rFonts w:ascii="IBM Plex Sans Medium" w:hAnsi="IBM Plex Sans Medium" w:cs="Calibri"/>
          <w:sz w:val="20"/>
          <w:szCs w:val="20"/>
        </w:rPr>
      </w:pPr>
      <w:r>
        <w:rPr>
          <w:rFonts w:ascii="IBM Plex Sans Medium" w:hAnsi="IBM Plex Sans Medium" w:cs="Calibri"/>
          <w:b/>
          <w:bCs/>
          <w:sz w:val="20"/>
          <w:szCs w:val="20"/>
        </w:rPr>
        <w:br w:type="page"/>
      </w:r>
      <w:bookmarkStart w:id="19" w:name="_Toc157514653"/>
      <w:r w:rsidR="00346FC1" w:rsidRPr="004500C6">
        <w:rPr>
          <w:rFonts w:ascii="IBM Plex Sans Medium" w:hAnsi="IBM Plex Sans Medium" w:cs="Calibri"/>
          <w:sz w:val="20"/>
          <w:szCs w:val="20"/>
        </w:rPr>
        <w:lastRenderedPageBreak/>
        <w:t xml:space="preserve">Figure </w:t>
      </w:r>
      <w:r w:rsidR="00346FC1" w:rsidRPr="004500C6">
        <w:rPr>
          <w:rFonts w:ascii="IBM Plex Sans Medium" w:hAnsi="IBM Plex Sans Medium" w:cs="Calibri"/>
          <w:b/>
          <w:bCs/>
          <w:sz w:val="20"/>
          <w:szCs w:val="20"/>
        </w:rPr>
        <w:fldChar w:fldCharType="begin"/>
      </w:r>
      <w:r w:rsidR="00346FC1" w:rsidRPr="004500C6">
        <w:rPr>
          <w:rFonts w:ascii="IBM Plex Sans Medium" w:hAnsi="IBM Plex Sans Medium" w:cs="Calibri"/>
          <w:sz w:val="20"/>
          <w:szCs w:val="20"/>
        </w:rPr>
        <w:instrText xml:space="preserve"> SEQ Figure \* ARABIC </w:instrText>
      </w:r>
      <w:r w:rsidR="00346FC1" w:rsidRPr="004500C6">
        <w:rPr>
          <w:rFonts w:ascii="IBM Plex Sans Medium" w:hAnsi="IBM Plex Sans Medium" w:cs="Calibri"/>
          <w:b/>
          <w:bCs/>
          <w:sz w:val="20"/>
          <w:szCs w:val="20"/>
        </w:rPr>
        <w:fldChar w:fldCharType="separate"/>
      </w:r>
      <w:r w:rsidR="006E5383">
        <w:rPr>
          <w:rFonts w:ascii="IBM Plex Sans Medium" w:hAnsi="IBM Plex Sans Medium" w:cs="Calibri"/>
          <w:noProof/>
          <w:sz w:val="20"/>
          <w:szCs w:val="20"/>
        </w:rPr>
        <w:t>1</w:t>
      </w:r>
      <w:r w:rsidR="00346FC1" w:rsidRPr="004500C6">
        <w:rPr>
          <w:rFonts w:ascii="IBM Plex Sans Medium" w:hAnsi="IBM Plex Sans Medium" w:cs="Calibri"/>
          <w:b/>
          <w:bCs/>
          <w:sz w:val="20"/>
          <w:szCs w:val="20"/>
        </w:rPr>
        <w:fldChar w:fldCharType="end"/>
      </w:r>
      <w:r w:rsidR="00BD2798" w:rsidRPr="004500C6">
        <w:rPr>
          <w:rFonts w:ascii="IBM Plex Sans Medium" w:hAnsi="IBM Plex Sans Medium" w:cs="Calibri"/>
          <w:sz w:val="20"/>
          <w:szCs w:val="20"/>
        </w:rPr>
        <w:t xml:space="preserve"> Public Health </w:t>
      </w:r>
      <w:r w:rsidR="00970679" w:rsidRPr="004500C6">
        <w:rPr>
          <w:rFonts w:ascii="IBM Plex Sans Medium" w:hAnsi="IBM Plex Sans Medium" w:cs="Calibri"/>
          <w:sz w:val="20"/>
          <w:szCs w:val="20"/>
        </w:rPr>
        <w:t xml:space="preserve">Wales compared to </w:t>
      </w:r>
      <w:r w:rsidR="002B3B5C" w:rsidRPr="004500C6">
        <w:rPr>
          <w:rFonts w:ascii="IBM Plex Sans Medium" w:hAnsi="IBM Plex Sans Medium" w:cs="Calibri"/>
          <w:sz w:val="20"/>
          <w:szCs w:val="20"/>
        </w:rPr>
        <w:t>national statistics on the gender pay gap</w:t>
      </w:r>
      <w:bookmarkEnd w:id="19"/>
    </w:p>
    <w:p w14:paraId="60610A5C" w14:textId="6783881F" w:rsidR="005C1358" w:rsidRDefault="005C1358" w:rsidP="00E65FA8">
      <w:pPr>
        <w:spacing w:before="0" w:after="0" w:line="240" w:lineRule="auto"/>
        <w:jc w:val="both"/>
        <w:rPr>
          <w:rFonts w:ascii="IBM Plex Sans" w:eastAsiaTheme="minorHAnsi" w:hAnsi="IBM Plex Sans" w:cs="Calibri"/>
          <w:sz w:val="20"/>
          <w:szCs w:val="20"/>
          <w:lang w:val="en-GB"/>
        </w:rPr>
      </w:pPr>
      <w:r>
        <w:rPr>
          <w:noProof/>
        </w:rPr>
        <w:drawing>
          <wp:inline distT="0" distB="0" distL="0" distR="0" wp14:anchorId="3C0A0BE4" wp14:editId="6842C267">
            <wp:extent cx="5940000" cy="2988000"/>
            <wp:effectExtent l="0" t="0" r="3810" b="3175"/>
            <wp:docPr id="606617727" name="Chart 1">
              <a:extLst xmlns:a="http://schemas.openxmlformats.org/drawingml/2006/main">
                <a:ext uri="{FF2B5EF4-FFF2-40B4-BE49-F238E27FC236}">
                  <a16:creationId xmlns:a16="http://schemas.microsoft.com/office/drawing/2014/main" id="{3A78C6BF-550C-1E25-AEB9-7D7533FAA0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CE5B106" w14:textId="3DC0B027" w:rsidR="00733A72" w:rsidRPr="003C04E3" w:rsidRDefault="00862633" w:rsidP="00E65FA8">
      <w:pPr>
        <w:spacing w:before="0" w:after="0" w:line="240" w:lineRule="auto"/>
        <w:jc w:val="both"/>
        <w:rPr>
          <w:rFonts w:ascii="IBM Plex Sans" w:eastAsiaTheme="minorHAnsi" w:hAnsi="IBM Plex Sans" w:cs="Calibri"/>
          <w:sz w:val="20"/>
          <w:szCs w:val="20"/>
          <w:lang w:val="en-GB"/>
        </w:rPr>
      </w:pPr>
      <w:r w:rsidRPr="003C04E3">
        <w:rPr>
          <w:rFonts w:ascii="IBM Plex Sans" w:eastAsiaTheme="minorHAnsi" w:hAnsi="IBM Plex Sans" w:cs="Calibri"/>
          <w:sz w:val="20"/>
          <w:szCs w:val="20"/>
          <w:lang w:val="en-GB"/>
        </w:rPr>
        <w:t>Source: Annual S</w:t>
      </w:r>
      <w:r w:rsidR="006900EB" w:rsidRPr="003C04E3">
        <w:rPr>
          <w:rFonts w:ascii="IBM Plex Sans" w:eastAsiaTheme="minorHAnsi" w:hAnsi="IBM Plex Sans" w:cs="Calibri"/>
          <w:sz w:val="20"/>
          <w:szCs w:val="20"/>
          <w:lang w:val="en-GB"/>
        </w:rPr>
        <w:t>urvey of Hours and Earnings 2023, Office for National Statistics (all employees).</w:t>
      </w:r>
    </w:p>
    <w:p w14:paraId="209B5612" w14:textId="77777777" w:rsidR="00CD436B" w:rsidRDefault="00CD436B" w:rsidP="00DA1372">
      <w:pPr>
        <w:spacing w:before="0" w:after="0"/>
        <w:jc w:val="both"/>
        <w:rPr>
          <w:rFonts w:ascii="IBM Plex Sans" w:eastAsiaTheme="minorHAnsi" w:hAnsi="IBM Plex Sans" w:cs="Calibri"/>
          <w:sz w:val="22"/>
          <w:highlight w:val="yellow"/>
          <w:lang w:val="en-GB"/>
        </w:rPr>
      </w:pPr>
    </w:p>
    <w:p w14:paraId="0D964D58" w14:textId="23DDCE61" w:rsidR="00A17B16" w:rsidRDefault="00C77080" w:rsidP="0097724C">
      <w:pPr>
        <w:spacing w:before="0" w:after="0"/>
        <w:jc w:val="both"/>
        <w:rPr>
          <w:rFonts w:ascii="IBM Plex Sans" w:eastAsiaTheme="minorHAnsi" w:hAnsi="IBM Plex Sans" w:cs="Calibri"/>
          <w:sz w:val="22"/>
          <w:lang w:val="en-GB"/>
        </w:rPr>
      </w:pPr>
      <w:r w:rsidRPr="0097724C">
        <w:rPr>
          <w:rFonts w:ascii="IBM Plex Sans" w:eastAsiaTheme="minorHAnsi" w:hAnsi="IBM Plex Sans" w:cs="Calibri"/>
          <w:sz w:val="22"/>
          <w:lang w:val="en-GB"/>
        </w:rPr>
        <w:t>Public Health Wales has been monitoring its gender pay gap internally and annually publishing statistics under the UK’s reporting regulations since 2017</w:t>
      </w:r>
      <w:r w:rsidR="00182054">
        <w:rPr>
          <w:rFonts w:ascii="IBM Plex Sans" w:eastAsiaTheme="minorHAnsi" w:hAnsi="IBM Plex Sans" w:cs="Calibri"/>
          <w:sz w:val="22"/>
          <w:lang w:val="en-GB"/>
        </w:rPr>
        <w:t>.</w:t>
      </w:r>
      <w:r w:rsidRPr="0097724C">
        <w:rPr>
          <w:rFonts w:ascii="IBM Plex Sans" w:eastAsiaTheme="minorHAnsi" w:hAnsi="IBM Plex Sans" w:cs="Calibri"/>
          <w:sz w:val="22"/>
          <w:lang w:val="en-GB"/>
        </w:rPr>
        <w:t xml:space="preserve"> </w:t>
      </w:r>
      <w:r w:rsidR="00182054">
        <w:rPr>
          <w:rFonts w:ascii="IBM Plex Sans" w:eastAsiaTheme="minorHAnsi" w:hAnsi="IBM Plex Sans" w:cs="Calibri"/>
          <w:sz w:val="22"/>
          <w:lang w:val="en-GB"/>
        </w:rPr>
        <w:t>O</w:t>
      </w:r>
      <w:r w:rsidRPr="0097724C">
        <w:rPr>
          <w:rFonts w:ascii="IBM Plex Sans" w:eastAsiaTheme="minorHAnsi" w:hAnsi="IBM Plex Sans" w:cs="Calibri"/>
          <w:sz w:val="22"/>
          <w:lang w:val="en-GB"/>
        </w:rPr>
        <w:t>ver that time</w:t>
      </w:r>
      <w:r w:rsidR="00182054">
        <w:rPr>
          <w:rFonts w:ascii="IBM Plex Sans" w:eastAsiaTheme="minorHAnsi" w:hAnsi="IBM Plex Sans" w:cs="Calibri"/>
          <w:sz w:val="22"/>
          <w:lang w:val="en-GB"/>
        </w:rPr>
        <w:t>, significant progress has been made and</w:t>
      </w:r>
      <w:r w:rsidRPr="0097724C">
        <w:rPr>
          <w:rFonts w:ascii="IBM Plex Sans" w:eastAsiaTheme="minorHAnsi" w:hAnsi="IBM Plex Sans" w:cs="Calibri"/>
          <w:sz w:val="22"/>
          <w:lang w:val="en-GB"/>
        </w:rPr>
        <w:t xml:space="preserve"> the </w:t>
      </w:r>
      <w:r w:rsidR="004944F3" w:rsidRPr="0097724C">
        <w:rPr>
          <w:rFonts w:ascii="IBM Plex Sans" w:eastAsiaTheme="minorHAnsi" w:hAnsi="IBM Plex Sans" w:cs="Calibri"/>
          <w:sz w:val="22"/>
          <w:lang w:val="en-GB"/>
        </w:rPr>
        <w:t xml:space="preserve">mean </w:t>
      </w:r>
      <w:r w:rsidRPr="0097724C">
        <w:rPr>
          <w:rFonts w:ascii="IBM Plex Sans" w:eastAsiaTheme="minorHAnsi" w:hAnsi="IBM Plex Sans" w:cs="Calibri"/>
          <w:sz w:val="22"/>
          <w:lang w:val="en-GB"/>
        </w:rPr>
        <w:t>gender pay gap has almost halved</w:t>
      </w:r>
      <w:r w:rsidR="004944F3" w:rsidRPr="0097724C">
        <w:rPr>
          <w:rFonts w:ascii="IBM Plex Sans" w:eastAsiaTheme="minorHAnsi" w:hAnsi="IBM Plex Sans" w:cs="Calibri"/>
          <w:sz w:val="22"/>
          <w:lang w:val="en-GB"/>
        </w:rPr>
        <w:t>.</w:t>
      </w:r>
      <w:r w:rsidR="004944F3">
        <w:rPr>
          <w:rFonts w:ascii="IBM Plex Sans" w:eastAsiaTheme="minorHAnsi" w:hAnsi="IBM Plex Sans" w:cs="Calibri"/>
          <w:sz w:val="22"/>
          <w:lang w:val="en-GB"/>
        </w:rPr>
        <w:t xml:space="preserve"> </w:t>
      </w:r>
      <w:r w:rsidR="00E01767">
        <w:rPr>
          <w:rFonts w:ascii="IBM Plex Sans" w:eastAsiaTheme="minorHAnsi" w:hAnsi="IBM Plex Sans" w:cs="Calibri"/>
          <w:sz w:val="22"/>
          <w:lang w:val="en-GB"/>
        </w:rPr>
        <w:t xml:space="preserve">While </w:t>
      </w:r>
      <w:r w:rsidR="0097724C">
        <w:rPr>
          <w:rFonts w:ascii="IBM Plex Sans" w:eastAsiaTheme="minorHAnsi" w:hAnsi="IBM Plex Sans" w:cs="Calibri"/>
          <w:sz w:val="22"/>
          <w:lang w:val="en-GB"/>
        </w:rPr>
        <w:t>this</w:t>
      </w:r>
      <w:r w:rsidR="00E01767">
        <w:rPr>
          <w:rFonts w:ascii="IBM Plex Sans" w:eastAsiaTheme="minorHAnsi" w:hAnsi="IBM Plex Sans" w:cs="Calibri"/>
          <w:sz w:val="22"/>
          <w:lang w:val="en-GB"/>
        </w:rPr>
        <w:t xml:space="preserve"> </w:t>
      </w:r>
      <w:r>
        <w:rPr>
          <w:rFonts w:ascii="IBM Plex Sans" w:eastAsiaTheme="minorHAnsi" w:hAnsi="IBM Plex Sans" w:cs="Calibri"/>
          <w:sz w:val="22"/>
          <w:lang w:val="en-GB"/>
        </w:rPr>
        <w:t xml:space="preserve">indicates </w:t>
      </w:r>
      <w:r w:rsidR="00EB6E4D">
        <w:rPr>
          <w:rFonts w:ascii="IBM Plex Sans" w:eastAsiaTheme="minorHAnsi" w:hAnsi="IBM Plex Sans" w:cs="Calibri"/>
          <w:sz w:val="22"/>
          <w:lang w:val="en-GB"/>
        </w:rPr>
        <w:t>that</w:t>
      </w:r>
      <w:r w:rsidR="00CD436B" w:rsidRPr="0097724C">
        <w:rPr>
          <w:rFonts w:ascii="IBM Plex Sans" w:eastAsiaTheme="minorHAnsi" w:hAnsi="IBM Plex Sans" w:cs="Calibri"/>
          <w:sz w:val="22"/>
          <w:lang w:val="en-GB"/>
        </w:rPr>
        <w:t xml:space="preserve"> efforts to address and reduce pay gaps are having a</w:t>
      </w:r>
      <w:r w:rsidR="0097724C">
        <w:rPr>
          <w:rFonts w:ascii="IBM Plex Sans" w:eastAsiaTheme="minorHAnsi" w:hAnsi="IBM Plex Sans" w:cs="Calibri"/>
          <w:sz w:val="22"/>
          <w:lang w:val="en-GB"/>
        </w:rPr>
        <w:t xml:space="preserve"> positive</w:t>
      </w:r>
      <w:r w:rsidR="00CD436B" w:rsidRPr="0097724C">
        <w:rPr>
          <w:rFonts w:ascii="IBM Plex Sans" w:eastAsiaTheme="minorHAnsi" w:hAnsi="IBM Plex Sans" w:cs="Calibri"/>
          <w:sz w:val="22"/>
          <w:lang w:val="en-GB"/>
        </w:rPr>
        <w:t xml:space="preserve"> impact</w:t>
      </w:r>
      <w:r w:rsidR="00EB6E4D" w:rsidRPr="0097724C">
        <w:rPr>
          <w:rFonts w:ascii="IBM Plex Sans" w:eastAsiaTheme="minorHAnsi" w:hAnsi="IBM Plex Sans" w:cs="Calibri"/>
          <w:sz w:val="22"/>
          <w:lang w:val="en-GB"/>
        </w:rPr>
        <w:t xml:space="preserve">, </w:t>
      </w:r>
      <w:r w:rsidR="00E01767" w:rsidRPr="0097724C">
        <w:rPr>
          <w:rFonts w:ascii="IBM Plex Sans" w:eastAsiaTheme="minorHAnsi" w:hAnsi="IBM Plex Sans" w:cs="Calibri"/>
          <w:sz w:val="22"/>
          <w:lang w:val="en-GB"/>
        </w:rPr>
        <w:t xml:space="preserve">the latest figures show </w:t>
      </w:r>
      <w:r w:rsidR="00124036" w:rsidRPr="0097724C">
        <w:rPr>
          <w:rFonts w:ascii="IBM Plex Sans" w:eastAsiaTheme="minorHAnsi" w:hAnsi="IBM Plex Sans" w:cs="Calibri"/>
          <w:sz w:val="22"/>
          <w:lang w:val="en-GB"/>
        </w:rPr>
        <w:t>that the g</w:t>
      </w:r>
      <w:r w:rsidR="005142BC" w:rsidRPr="0097724C">
        <w:rPr>
          <w:rFonts w:ascii="IBM Plex Sans" w:eastAsiaTheme="minorHAnsi" w:hAnsi="IBM Plex Sans" w:cs="Calibri"/>
          <w:sz w:val="22"/>
          <w:lang w:val="en-GB"/>
        </w:rPr>
        <w:t xml:space="preserve">ender pay gap </w:t>
      </w:r>
      <w:r w:rsidR="00C2125C">
        <w:rPr>
          <w:rFonts w:ascii="IBM Plex Sans" w:eastAsiaTheme="minorHAnsi" w:hAnsi="IBM Plex Sans" w:cs="Calibri"/>
          <w:sz w:val="22"/>
          <w:lang w:val="en-GB"/>
        </w:rPr>
        <w:t xml:space="preserve">has </w:t>
      </w:r>
      <w:r w:rsidR="002F2C68" w:rsidRPr="0097724C">
        <w:rPr>
          <w:rFonts w:ascii="IBM Plex Sans" w:eastAsiaTheme="minorHAnsi" w:hAnsi="IBM Plex Sans" w:cs="Calibri"/>
          <w:sz w:val="22"/>
          <w:lang w:val="en-GB"/>
        </w:rPr>
        <w:t>widened</w:t>
      </w:r>
      <w:r w:rsidR="005142BC" w:rsidRPr="0097724C">
        <w:rPr>
          <w:rFonts w:ascii="IBM Plex Sans" w:eastAsiaTheme="minorHAnsi" w:hAnsi="IBM Plex Sans" w:cs="Calibri"/>
          <w:sz w:val="22"/>
          <w:lang w:val="en-GB"/>
        </w:rPr>
        <w:t xml:space="preserve"> </w:t>
      </w:r>
      <w:r w:rsidR="0097724C">
        <w:rPr>
          <w:rFonts w:ascii="IBM Plex Sans" w:eastAsiaTheme="minorHAnsi" w:hAnsi="IBM Plex Sans" w:cs="Calibri"/>
          <w:sz w:val="22"/>
          <w:lang w:val="en-GB"/>
        </w:rPr>
        <w:t>again i</w:t>
      </w:r>
      <w:r w:rsidR="00591095" w:rsidRPr="0097724C">
        <w:rPr>
          <w:rFonts w:ascii="IBM Plex Sans" w:eastAsiaTheme="minorHAnsi" w:hAnsi="IBM Plex Sans" w:cs="Calibri"/>
          <w:sz w:val="22"/>
          <w:lang w:val="en-GB"/>
        </w:rPr>
        <w:t>n 2023</w:t>
      </w:r>
      <w:r w:rsidR="0097724C" w:rsidRPr="0097724C">
        <w:rPr>
          <w:rFonts w:ascii="IBM Plex Sans" w:eastAsiaTheme="minorHAnsi" w:hAnsi="IBM Plex Sans" w:cs="Calibri"/>
          <w:sz w:val="22"/>
          <w:lang w:val="en-GB"/>
        </w:rPr>
        <w:t>.</w:t>
      </w:r>
      <w:r w:rsidR="002F2C68" w:rsidRPr="0097724C">
        <w:rPr>
          <w:rFonts w:ascii="IBM Plex Sans" w:eastAsiaTheme="minorHAnsi" w:hAnsi="IBM Plex Sans" w:cs="Calibri"/>
          <w:sz w:val="22"/>
          <w:lang w:val="en-GB"/>
        </w:rPr>
        <w:t xml:space="preserve"> </w:t>
      </w:r>
    </w:p>
    <w:p w14:paraId="30416479" w14:textId="77777777" w:rsidR="005142BC" w:rsidRDefault="005142BC" w:rsidP="0097724C">
      <w:pPr>
        <w:spacing w:before="0" w:after="0"/>
        <w:jc w:val="both"/>
        <w:rPr>
          <w:rFonts w:ascii="IBM Plex Sans" w:eastAsiaTheme="minorHAnsi" w:hAnsi="IBM Plex Sans" w:cs="Calibri"/>
          <w:sz w:val="22"/>
          <w:lang w:val="en-GB"/>
        </w:rPr>
      </w:pPr>
    </w:p>
    <w:p w14:paraId="48260E6E" w14:textId="50BDE6E8" w:rsidR="00033EC3" w:rsidRDefault="0097724C" w:rsidP="0097724C">
      <w:pPr>
        <w:spacing w:before="0" w:after="0"/>
        <w:jc w:val="both"/>
        <w:rPr>
          <w:rFonts w:ascii="IBM Plex Sans" w:eastAsiaTheme="minorHAnsi" w:hAnsi="IBM Plex Sans" w:cs="Calibri"/>
          <w:sz w:val="22"/>
          <w:lang w:val="en-GB"/>
        </w:rPr>
      </w:pPr>
      <w:r>
        <w:rPr>
          <w:rFonts w:ascii="IBM Plex Sans" w:eastAsiaTheme="minorHAnsi" w:hAnsi="IBM Plex Sans" w:cs="Calibri"/>
          <w:sz w:val="22"/>
          <w:lang w:val="en-GB"/>
        </w:rPr>
        <w:t>As Figure 2 shows, i</w:t>
      </w:r>
      <w:r w:rsidR="005142BC" w:rsidRPr="005825E6">
        <w:rPr>
          <w:rFonts w:ascii="IBM Plex Sans" w:eastAsiaTheme="minorHAnsi" w:hAnsi="IBM Plex Sans" w:cs="Calibri"/>
          <w:sz w:val="22"/>
          <w:lang w:val="en-GB"/>
        </w:rPr>
        <w:t xml:space="preserve">n 2017 the mean gender pay gap was 22.6%. There was a gradual decline over the </w:t>
      </w:r>
      <w:r w:rsidR="00C36220">
        <w:rPr>
          <w:rFonts w:ascii="IBM Plex Sans" w:eastAsiaTheme="minorHAnsi" w:hAnsi="IBM Plex Sans" w:cs="Calibri"/>
          <w:sz w:val="22"/>
          <w:lang w:val="en-GB"/>
        </w:rPr>
        <w:t xml:space="preserve">following </w:t>
      </w:r>
      <w:r w:rsidR="005142BC" w:rsidRPr="005825E6">
        <w:rPr>
          <w:rFonts w:ascii="IBM Plex Sans" w:eastAsiaTheme="minorHAnsi" w:hAnsi="IBM Plex Sans" w:cs="Calibri"/>
          <w:sz w:val="22"/>
          <w:lang w:val="en-GB"/>
        </w:rPr>
        <w:t xml:space="preserve">years, </w:t>
      </w:r>
      <w:r w:rsidR="002A4DCF">
        <w:rPr>
          <w:rFonts w:ascii="IBM Plex Sans" w:eastAsiaTheme="minorHAnsi" w:hAnsi="IBM Plex Sans" w:cs="Calibri"/>
          <w:sz w:val="22"/>
          <w:lang w:val="en-GB"/>
        </w:rPr>
        <w:t>with</w:t>
      </w:r>
      <w:r w:rsidR="005142BC" w:rsidRPr="005825E6">
        <w:rPr>
          <w:rFonts w:ascii="IBM Plex Sans" w:eastAsiaTheme="minorHAnsi" w:hAnsi="IBM Plex Sans" w:cs="Calibri"/>
          <w:sz w:val="22"/>
          <w:lang w:val="en-GB"/>
        </w:rPr>
        <w:t xml:space="preserve"> a sharp d</w:t>
      </w:r>
      <w:r w:rsidR="002A4DCF">
        <w:rPr>
          <w:rFonts w:ascii="IBM Plex Sans" w:eastAsiaTheme="minorHAnsi" w:hAnsi="IBM Plex Sans" w:cs="Calibri"/>
          <w:sz w:val="22"/>
          <w:lang w:val="en-GB"/>
        </w:rPr>
        <w:t>ecline</w:t>
      </w:r>
      <w:r w:rsidR="005142BC" w:rsidRPr="005825E6">
        <w:rPr>
          <w:rFonts w:ascii="IBM Plex Sans" w:eastAsiaTheme="minorHAnsi" w:hAnsi="IBM Plex Sans" w:cs="Calibri"/>
          <w:sz w:val="22"/>
          <w:lang w:val="en-GB"/>
        </w:rPr>
        <w:t xml:space="preserve"> in 2021</w:t>
      </w:r>
      <w:r w:rsidR="0025189E">
        <w:rPr>
          <w:rFonts w:ascii="IBM Plex Sans" w:eastAsiaTheme="minorHAnsi" w:hAnsi="IBM Plex Sans" w:cs="Calibri"/>
          <w:sz w:val="22"/>
          <w:lang w:val="en-GB"/>
        </w:rPr>
        <w:t xml:space="preserve"> – </w:t>
      </w:r>
      <w:r w:rsidR="0025189E" w:rsidRPr="00640C79">
        <w:rPr>
          <w:rFonts w:ascii="IBM Plex Sans" w:eastAsiaTheme="minorHAnsi" w:hAnsi="IBM Plex Sans" w:cs="Calibri"/>
          <w:sz w:val="22"/>
          <w:lang w:val="en-GB"/>
        </w:rPr>
        <w:t>explained by temporary changes to working practices during the pandemic</w:t>
      </w:r>
      <w:r w:rsidR="0025189E" w:rsidRPr="00640C79">
        <w:rPr>
          <w:rFonts w:ascii="IBM Plex Sans" w:hAnsi="IBM Plex Sans" w:cs="Arial"/>
          <w:sz w:val="22"/>
        </w:rPr>
        <w:t xml:space="preserve"> which had the impact of raising women’s pay</w:t>
      </w:r>
      <w:r w:rsidR="002A4DCF">
        <w:rPr>
          <w:rFonts w:ascii="IBM Plex Sans" w:hAnsi="IBM Plex Sans" w:cs="Arial"/>
          <w:sz w:val="22"/>
        </w:rPr>
        <w:t>. Thereafter</w:t>
      </w:r>
      <w:r w:rsidR="004E19A0">
        <w:rPr>
          <w:rFonts w:ascii="IBM Plex Sans" w:eastAsiaTheme="minorHAnsi" w:hAnsi="IBM Plex Sans" w:cs="Calibri"/>
          <w:sz w:val="22"/>
          <w:lang w:val="en-GB"/>
        </w:rPr>
        <w:t xml:space="preserve">, there was </w:t>
      </w:r>
      <w:r w:rsidR="00812F92">
        <w:rPr>
          <w:rFonts w:ascii="IBM Plex Sans" w:eastAsiaTheme="minorHAnsi" w:hAnsi="IBM Plex Sans" w:cs="Calibri"/>
          <w:sz w:val="22"/>
          <w:lang w:val="en-GB"/>
        </w:rPr>
        <w:t>a</w:t>
      </w:r>
      <w:r w:rsidR="005142BC" w:rsidRPr="005825E6">
        <w:rPr>
          <w:rFonts w:ascii="IBM Plex Sans" w:eastAsiaTheme="minorHAnsi" w:hAnsi="IBM Plex Sans" w:cs="Calibri"/>
          <w:sz w:val="22"/>
          <w:lang w:val="en-GB"/>
        </w:rPr>
        <w:t xml:space="preserve"> continued decline </w:t>
      </w:r>
      <w:r w:rsidR="00AF0F7D">
        <w:rPr>
          <w:rFonts w:ascii="IBM Plex Sans" w:eastAsiaTheme="minorHAnsi" w:hAnsi="IBM Plex Sans" w:cs="Calibri"/>
          <w:sz w:val="22"/>
          <w:lang w:val="en-GB"/>
        </w:rPr>
        <w:t xml:space="preserve">in the mean gender pay gap </w:t>
      </w:r>
      <w:r w:rsidR="005142BC" w:rsidRPr="005825E6">
        <w:rPr>
          <w:rFonts w:ascii="IBM Plex Sans" w:eastAsiaTheme="minorHAnsi" w:hAnsi="IBM Plex Sans" w:cs="Calibri"/>
          <w:sz w:val="22"/>
          <w:lang w:val="en-GB"/>
        </w:rPr>
        <w:t xml:space="preserve">to reach its lowest </w:t>
      </w:r>
      <w:r w:rsidR="004E19A0">
        <w:rPr>
          <w:rFonts w:ascii="IBM Plex Sans" w:eastAsiaTheme="minorHAnsi" w:hAnsi="IBM Plex Sans" w:cs="Calibri"/>
          <w:sz w:val="22"/>
          <w:lang w:val="en-GB"/>
        </w:rPr>
        <w:t>level</w:t>
      </w:r>
      <w:r w:rsidR="005142BC" w:rsidRPr="005825E6">
        <w:rPr>
          <w:rFonts w:ascii="IBM Plex Sans" w:eastAsiaTheme="minorHAnsi" w:hAnsi="IBM Plex Sans" w:cs="Calibri"/>
          <w:sz w:val="22"/>
          <w:lang w:val="en-GB"/>
        </w:rPr>
        <w:t xml:space="preserve"> in 2022 at 11.8%. However, th</w:t>
      </w:r>
      <w:r w:rsidR="00F40BC8">
        <w:rPr>
          <w:rFonts w:ascii="IBM Plex Sans" w:eastAsiaTheme="minorHAnsi" w:hAnsi="IBM Plex Sans" w:cs="Calibri"/>
          <w:sz w:val="22"/>
          <w:lang w:val="en-GB"/>
        </w:rPr>
        <w:t xml:space="preserve">is </w:t>
      </w:r>
      <w:r w:rsidR="00812F92">
        <w:rPr>
          <w:rFonts w:ascii="IBM Plex Sans" w:eastAsiaTheme="minorHAnsi" w:hAnsi="IBM Plex Sans" w:cs="Calibri"/>
          <w:sz w:val="22"/>
          <w:lang w:val="en-GB"/>
        </w:rPr>
        <w:t>has ticked up</w:t>
      </w:r>
      <w:r w:rsidR="0019351A">
        <w:rPr>
          <w:rFonts w:ascii="IBM Plex Sans" w:eastAsiaTheme="minorHAnsi" w:hAnsi="IBM Plex Sans" w:cs="Calibri"/>
          <w:sz w:val="22"/>
          <w:lang w:val="en-GB"/>
        </w:rPr>
        <w:t xml:space="preserve"> to </w:t>
      </w:r>
      <w:r w:rsidR="00F40BC8">
        <w:rPr>
          <w:rFonts w:ascii="IBM Plex Sans" w:eastAsiaTheme="minorHAnsi" w:hAnsi="IBM Plex Sans" w:cs="Calibri"/>
          <w:sz w:val="22"/>
          <w:lang w:val="en-GB"/>
        </w:rPr>
        <w:t>13.8%</w:t>
      </w:r>
      <w:r w:rsidR="005142BC" w:rsidRPr="005825E6">
        <w:rPr>
          <w:rFonts w:ascii="IBM Plex Sans" w:eastAsiaTheme="minorHAnsi" w:hAnsi="IBM Plex Sans" w:cs="Calibri"/>
          <w:sz w:val="22"/>
          <w:lang w:val="en-GB"/>
        </w:rPr>
        <w:t xml:space="preserve"> in </w:t>
      </w:r>
      <w:r w:rsidR="0019351A">
        <w:rPr>
          <w:rFonts w:ascii="IBM Plex Sans" w:eastAsiaTheme="minorHAnsi" w:hAnsi="IBM Plex Sans" w:cs="Calibri"/>
          <w:sz w:val="22"/>
          <w:lang w:val="en-GB"/>
        </w:rPr>
        <w:t xml:space="preserve">the latest analysis for </w:t>
      </w:r>
      <w:r w:rsidR="005142BC" w:rsidRPr="005825E6">
        <w:rPr>
          <w:rFonts w:ascii="IBM Plex Sans" w:eastAsiaTheme="minorHAnsi" w:hAnsi="IBM Plex Sans" w:cs="Calibri"/>
          <w:sz w:val="22"/>
          <w:lang w:val="en-GB"/>
        </w:rPr>
        <w:t>2023</w:t>
      </w:r>
      <w:r w:rsidR="00F40BC8">
        <w:rPr>
          <w:rFonts w:ascii="IBM Plex Sans" w:eastAsiaTheme="minorHAnsi" w:hAnsi="IBM Plex Sans" w:cs="Calibri"/>
          <w:sz w:val="22"/>
          <w:lang w:val="en-GB"/>
        </w:rPr>
        <w:t xml:space="preserve">. </w:t>
      </w:r>
    </w:p>
    <w:p w14:paraId="538774C4" w14:textId="77777777" w:rsidR="00033EC3" w:rsidRDefault="00033EC3" w:rsidP="0097724C">
      <w:pPr>
        <w:spacing w:before="0" w:after="0"/>
        <w:jc w:val="both"/>
        <w:rPr>
          <w:rFonts w:ascii="IBM Plex Sans" w:eastAsiaTheme="minorHAnsi" w:hAnsi="IBM Plex Sans" w:cs="Calibri"/>
          <w:sz w:val="22"/>
          <w:lang w:val="en-GB"/>
        </w:rPr>
      </w:pPr>
    </w:p>
    <w:p w14:paraId="72539A7F" w14:textId="7E86BC0D" w:rsidR="005B400F" w:rsidRDefault="0025189E" w:rsidP="00DD5BF8">
      <w:pPr>
        <w:spacing w:before="0" w:after="0"/>
        <w:jc w:val="both"/>
        <w:rPr>
          <w:rFonts w:ascii="IBM Plex Sans Medium" w:hAnsi="IBM Plex Sans Medium" w:cs="Calibri"/>
          <w:sz w:val="20"/>
          <w:szCs w:val="20"/>
        </w:rPr>
      </w:pPr>
      <w:r>
        <w:rPr>
          <w:rFonts w:ascii="IBM Plex Sans" w:eastAsiaTheme="minorHAnsi" w:hAnsi="IBM Plex Sans" w:cs="Calibri"/>
          <w:sz w:val="22"/>
          <w:lang w:val="en-GB"/>
        </w:rPr>
        <w:t xml:space="preserve">The median gender pay gap </w:t>
      </w:r>
      <w:r w:rsidR="00C248EE">
        <w:rPr>
          <w:rFonts w:ascii="IBM Plex Sans" w:eastAsiaTheme="minorHAnsi" w:hAnsi="IBM Plex Sans" w:cs="Calibri"/>
          <w:sz w:val="22"/>
          <w:lang w:val="en-GB"/>
        </w:rPr>
        <w:t xml:space="preserve">has </w:t>
      </w:r>
      <w:r>
        <w:rPr>
          <w:rFonts w:ascii="IBM Plex Sans" w:eastAsiaTheme="minorHAnsi" w:hAnsi="IBM Plex Sans" w:cs="Calibri"/>
          <w:sz w:val="22"/>
          <w:lang w:val="en-GB"/>
        </w:rPr>
        <w:t xml:space="preserve">followed a similar </w:t>
      </w:r>
      <w:r w:rsidR="00C248EE">
        <w:rPr>
          <w:rFonts w:ascii="IBM Plex Sans" w:eastAsiaTheme="minorHAnsi" w:hAnsi="IBM Plex Sans" w:cs="Calibri"/>
          <w:sz w:val="22"/>
          <w:lang w:val="en-GB"/>
        </w:rPr>
        <w:t>trend</w:t>
      </w:r>
      <w:r>
        <w:rPr>
          <w:rFonts w:ascii="IBM Plex Sans" w:eastAsiaTheme="minorHAnsi" w:hAnsi="IBM Plex Sans" w:cs="Calibri"/>
          <w:sz w:val="22"/>
          <w:lang w:val="en-GB"/>
        </w:rPr>
        <w:t xml:space="preserve">, although it fell more dramatically in 2021 and </w:t>
      </w:r>
      <w:r w:rsidR="00DD5BF8">
        <w:rPr>
          <w:rFonts w:ascii="IBM Plex Sans" w:eastAsiaTheme="minorHAnsi" w:hAnsi="IBM Plex Sans" w:cs="Calibri"/>
          <w:sz w:val="22"/>
          <w:lang w:val="en-GB"/>
        </w:rPr>
        <w:t xml:space="preserve">it </w:t>
      </w:r>
      <w:r>
        <w:rPr>
          <w:rFonts w:ascii="IBM Plex Sans" w:eastAsiaTheme="minorHAnsi" w:hAnsi="IBM Plex Sans" w:cs="Calibri"/>
          <w:sz w:val="22"/>
          <w:lang w:val="en-GB"/>
        </w:rPr>
        <w:t xml:space="preserve">is notably lower than the mean gender pay gap. </w:t>
      </w:r>
      <w:r w:rsidR="00C639BF">
        <w:rPr>
          <w:rFonts w:ascii="IBM Plex Sans" w:eastAsiaTheme="minorHAnsi" w:hAnsi="IBM Plex Sans" w:cs="Calibri"/>
          <w:sz w:val="22"/>
          <w:lang w:val="en-GB"/>
        </w:rPr>
        <w:t xml:space="preserve">The recent rise in the gender pay gap </w:t>
      </w:r>
      <w:r w:rsidR="00C45595">
        <w:rPr>
          <w:rFonts w:ascii="IBM Plex Sans" w:eastAsiaTheme="minorHAnsi" w:hAnsi="IBM Plex Sans" w:cs="Calibri"/>
          <w:sz w:val="22"/>
          <w:lang w:val="en-GB"/>
        </w:rPr>
        <w:t>can be attributed</w:t>
      </w:r>
      <w:r w:rsidR="00577D54">
        <w:rPr>
          <w:rFonts w:ascii="IBM Plex Sans" w:eastAsiaTheme="minorHAnsi" w:hAnsi="IBM Plex Sans" w:cs="Calibri"/>
          <w:sz w:val="22"/>
          <w:lang w:val="en-GB"/>
        </w:rPr>
        <w:t>,</w:t>
      </w:r>
      <w:r w:rsidR="00C45595">
        <w:rPr>
          <w:rFonts w:ascii="IBM Plex Sans" w:eastAsiaTheme="minorHAnsi" w:hAnsi="IBM Plex Sans" w:cs="Calibri"/>
          <w:sz w:val="22"/>
          <w:lang w:val="en-GB"/>
        </w:rPr>
        <w:t xml:space="preserve"> in part</w:t>
      </w:r>
      <w:r w:rsidR="009B4D93">
        <w:rPr>
          <w:rFonts w:ascii="IBM Plex Sans" w:eastAsiaTheme="minorHAnsi" w:hAnsi="IBM Plex Sans" w:cs="Calibri"/>
          <w:sz w:val="22"/>
          <w:lang w:val="en-GB"/>
        </w:rPr>
        <w:t>,</w:t>
      </w:r>
      <w:r w:rsidR="00C45595">
        <w:rPr>
          <w:rFonts w:ascii="IBM Plex Sans" w:eastAsiaTheme="minorHAnsi" w:hAnsi="IBM Plex Sans" w:cs="Calibri"/>
          <w:sz w:val="22"/>
          <w:lang w:val="en-GB"/>
        </w:rPr>
        <w:t xml:space="preserve"> to </w:t>
      </w:r>
      <w:r w:rsidR="00C96E01">
        <w:rPr>
          <w:rFonts w:ascii="IBM Plex Sans" w:eastAsiaTheme="minorHAnsi" w:hAnsi="IBM Plex Sans" w:cs="Calibri"/>
          <w:sz w:val="22"/>
          <w:lang w:val="en-GB"/>
        </w:rPr>
        <w:t xml:space="preserve">a change in the gender composition of the workforce. </w:t>
      </w:r>
    </w:p>
    <w:p w14:paraId="4A1EB35C" w14:textId="7A80D995" w:rsidR="005142BC" w:rsidRDefault="005142BC" w:rsidP="005142BC">
      <w:pPr>
        <w:pStyle w:val="Caption"/>
        <w:spacing w:before="0" w:after="0"/>
        <w:rPr>
          <w:rFonts w:ascii="IBM Plex Sans Medium" w:hAnsi="IBM Plex Sans Medium" w:cs="Calibri"/>
          <w:b w:val="0"/>
          <w:bCs w:val="0"/>
          <w:sz w:val="20"/>
          <w:szCs w:val="20"/>
        </w:rPr>
      </w:pPr>
      <w:bookmarkStart w:id="20" w:name="_Toc157514654"/>
      <w:r w:rsidRPr="003A7DB5">
        <w:rPr>
          <w:rFonts w:ascii="IBM Plex Sans Medium" w:hAnsi="IBM Plex Sans Medium" w:cs="Calibri"/>
          <w:b w:val="0"/>
          <w:bCs w:val="0"/>
          <w:sz w:val="20"/>
          <w:szCs w:val="20"/>
        </w:rPr>
        <w:lastRenderedPageBreak/>
        <w:t xml:space="preserve">Figure </w:t>
      </w:r>
      <w:r w:rsidRPr="003A7DB5">
        <w:rPr>
          <w:rFonts w:ascii="IBM Plex Sans Medium" w:hAnsi="IBM Plex Sans Medium" w:cs="Calibri"/>
          <w:b w:val="0"/>
          <w:bCs w:val="0"/>
          <w:sz w:val="20"/>
          <w:szCs w:val="20"/>
        </w:rPr>
        <w:fldChar w:fldCharType="begin"/>
      </w:r>
      <w:r w:rsidRPr="003A7DB5">
        <w:rPr>
          <w:rFonts w:ascii="IBM Plex Sans Medium" w:hAnsi="IBM Plex Sans Medium" w:cs="Calibri"/>
          <w:b w:val="0"/>
          <w:bCs w:val="0"/>
          <w:sz w:val="20"/>
          <w:szCs w:val="20"/>
        </w:rPr>
        <w:instrText xml:space="preserve"> SEQ Figure \* ARABIC </w:instrText>
      </w:r>
      <w:r w:rsidRPr="003A7DB5">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2</w:t>
      </w:r>
      <w:r w:rsidRPr="003A7DB5">
        <w:rPr>
          <w:rFonts w:ascii="IBM Plex Sans Medium" w:hAnsi="IBM Plex Sans Medium" w:cs="Calibri"/>
          <w:b w:val="0"/>
          <w:bCs w:val="0"/>
          <w:sz w:val="20"/>
          <w:szCs w:val="20"/>
        </w:rPr>
        <w:fldChar w:fldCharType="end"/>
      </w:r>
      <w:r>
        <w:rPr>
          <w:rFonts w:ascii="IBM Plex Sans Medium" w:hAnsi="IBM Plex Sans Medium" w:cs="Calibri"/>
          <w:b w:val="0"/>
          <w:bCs w:val="0"/>
          <w:sz w:val="20"/>
          <w:szCs w:val="20"/>
        </w:rPr>
        <w:t xml:space="preserve"> </w:t>
      </w:r>
      <w:r w:rsidRPr="00EB3E85">
        <w:rPr>
          <w:rFonts w:ascii="IBM Plex Sans Medium" w:hAnsi="IBM Plex Sans Medium" w:cs="Calibri"/>
          <w:b w:val="0"/>
          <w:bCs w:val="0"/>
          <w:sz w:val="20"/>
          <w:szCs w:val="20"/>
        </w:rPr>
        <w:t xml:space="preserve">Public Health Wales gender pay gap </w:t>
      </w:r>
      <w:r>
        <w:rPr>
          <w:rFonts w:ascii="IBM Plex Sans Medium" w:hAnsi="IBM Plex Sans Medium" w:cs="Calibri"/>
          <w:b w:val="0"/>
          <w:bCs w:val="0"/>
          <w:sz w:val="20"/>
          <w:szCs w:val="20"/>
        </w:rPr>
        <w:t>2017 to 2023</w:t>
      </w:r>
      <w:bookmarkEnd w:id="20"/>
    </w:p>
    <w:p w14:paraId="16D3B13C" w14:textId="78BE4436" w:rsidR="005142BC" w:rsidRPr="00854B8C" w:rsidRDefault="001D1473" w:rsidP="005142BC">
      <w:r>
        <w:rPr>
          <w:noProof/>
        </w:rPr>
        <w:drawing>
          <wp:inline distT="0" distB="0" distL="0" distR="0" wp14:anchorId="364BC36E" wp14:editId="16D8AF31">
            <wp:extent cx="5940000" cy="3060000"/>
            <wp:effectExtent l="0" t="0" r="3810" b="7620"/>
            <wp:docPr id="529622992" name="Chart 1">
              <a:extLst xmlns:a="http://schemas.openxmlformats.org/drawingml/2006/main">
                <a:ext uri="{FF2B5EF4-FFF2-40B4-BE49-F238E27FC236}">
                  <a16:creationId xmlns:a16="http://schemas.microsoft.com/office/drawing/2014/main" id="{A6214177-B017-EFD8-63B8-77891D0432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B186DD" w14:textId="77777777" w:rsidR="005142BC" w:rsidRPr="006671FA" w:rsidRDefault="005142BC" w:rsidP="00DA1372">
      <w:pPr>
        <w:spacing w:before="0" w:after="0"/>
        <w:jc w:val="both"/>
        <w:rPr>
          <w:rFonts w:ascii="IBM Plex Sans" w:eastAsiaTheme="minorHAnsi" w:hAnsi="IBM Plex Sans" w:cs="Calibri"/>
          <w:sz w:val="22"/>
          <w:lang w:val="en-GB"/>
        </w:rPr>
      </w:pPr>
    </w:p>
    <w:p w14:paraId="0AE784AA" w14:textId="3EDA4B9C" w:rsidR="00DD0EF8" w:rsidRPr="00147803" w:rsidRDefault="00DD7118" w:rsidP="00147803">
      <w:pPr>
        <w:pStyle w:val="TableofFigures"/>
        <w:tabs>
          <w:tab w:val="right" w:leader="dot" w:pos="9350"/>
        </w:tabs>
        <w:spacing w:before="0"/>
        <w:outlineLvl w:val="1"/>
        <w:rPr>
          <w:rStyle w:val="Hyperlink"/>
          <w:rFonts w:ascii="IBM Plex Sans Medium" w:hAnsi="IBM Plex Sans Medium"/>
          <w:noProof/>
          <w:color w:val="5C00D6"/>
          <w:sz w:val="22"/>
          <w:u w:val="none"/>
        </w:rPr>
      </w:pPr>
      <w:bookmarkStart w:id="21" w:name="_Toc157514635"/>
      <w:r>
        <w:rPr>
          <w:rStyle w:val="Hyperlink"/>
          <w:rFonts w:ascii="IBM Plex Sans Medium" w:hAnsi="IBM Plex Sans Medium"/>
          <w:noProof/>
          <w:color w:val="5C00D6"/>
          <w:sz w:val="22"/>
          <w:u w:val="none"/>
        </w:rPr>
        <w:t>Pay quarters</w:t>
      </w:r>
      <w:bookmarkEnd w:id="21"/>
    </w:p>
    <w:p w14:paraId="7294A4CE" w14:textId="43A36D49" w:rsidR="00D55EE7" w:rsidRPr="00147803" w:rsidRDefault="00395E4D" w:rsidP="005B6C64">
      <w:pPr>
        <w:spacing w:before="0" w:after="0"/>
        <w:jc w:val="both"/>
        <w:rPr>
          <w:rFonts w:ascii="IBM Plex Sans" w:hAnsi="IBM Plex Sans" w:cs="Calibri"/>
          <w:sz w:val="22"/>
          <w:lang w:val="en-GB"/>
        </w:rPr>
      </w:pPr>
      <w:r w:rsidRPr="00147803">
        <w:rPr>
          <w:rFonts w:ascii="IBM Plex Sans" w:hAnsi="IBM Plex Sans" w:cs="Calibri"/>
          <w:sz w:val="22"/>
        </w:rPr>
        <w:t>Overall</w:t>
      </w:r>
      <w:r w:rsidR="00A47F5E" w:rsidRPr="00147803">
        <w:rPr>
          <w:rFonts w:ascii="IBM Plex Sans" w:hAnsi="IBM Plex Sans" w:cs="Calibri"/>
          <w:sz w:val="22"/>
        </w:rPr>
        <w:t>,</w:t>
      </w:r>
      <w:r w:rsidRPr="00147803">
        <w:rPr>
          <w:rFonts w:ascii="IBM Plex Sans" w:hAnsi="IBM Plex Sans" w:cs="Calibri"/>
          <w:sz w:val="22"/>
        </w:rPr>
        <w:t xml:space="preserve"> women account for 73% of the workforce and they outnumber men at all levels of the organisation.</w:t>
      </w:r>
      <w:r w:rsidR="00147803" w:rsidRPr="00147803">
        <w:rPr>
          <w:rFonts w:ascii="IBM Plex Sans" w:hAnsi="IBM Plex Sans" w:cs="Calibri"/>
          <w:sz w:val="22"/>
        </w:rPr>
        <w:t xml:space="preserve"> W</w:t>
      </w:r>
      <w:r w:rsidR="001066BA" w:rsidRPr="00147803">
        <w:rPr>
          <w:rFonts w:ascii="IBM Plex Sans" w:hAnsi="IBM Plex Sans" w:cs="Calibri"/>
          <w:sz w:val="22"/>
          <w:lang w:val="en-GB"/>
        </w:rPr>
        <w:t>omen</w:t>
      </w:r>
      <w:r w:rsidR="00D55EE7" w:rsidRPr="00147803">
        <w:rPr>
          <w:rFonts w:ascii="IBM Plex Sans" w:eastAsiaTheme="minorHAnsi" w:hAnsi="IBM Plex Sans" w:cs="Calibri"/>
          <w:sz w:val="22"/>
          <w:lang w:val="en-GB"/>
        </w:rPr>
        <w:t xml:space="preserve"> </w:t>
      </w:r>
      <w:r w:rsidR="007D6A30" w:rsidRPr="00147803">
        <w:rPr>
          <w:rFonts w:ascii="IBM Plex Sans" w:eastAsiaTheme="minorHAnsi" w:hAnsi="IBM Plex Sans" w:cs="Calibri"/>
          <w:sz w:val="22"/>
          <w:lang w:val="en-GB"/>
        </w:rPr>
        <w:t xml:space="preserve">occupy </w:t>
      </w:r>
      <w:r w:rsidR="005F7AC3">
        <w:rPr>
          <w:rFonts w:ascii="IBM Plex Sans" w:eastAsiaTheme="minorHAnsi" w:hAnsi="IBM Plex Sans" w:cs="Calibri"/>
          <w:sz w:val="22"/>
          <w:lang w:val="en-GB"/>
        </w:rPr>
        <w:t>68</w:t>
      </w:r>
      <w:r w:rsidR="007D6A30" w:rsidRPr="00147803">
        <w:rPr>
          <w:rFonts w:ascii="IBM Plex Sans" w:eastAsiaTheme="minorHAnsi" w:hAnsi="IBM Plex Sans" w:cs="Calibri"/>
          <w:sz w:val="22"/>
          <w:lang w:val="en-GB"/>
        </w:rPr>
        <w:t xml:space="preserve">% of </w:t>
      </w:r>
      <w:r w:rsidR="00373781" w:rsidRPr="00147803">
        <w:rPr>
          <w:rFonts w:ascii="IBM Plex Sans" w:eastAsiaTheme="minorHAnsi" w:hAnsi="IBM Plex Sans" w:cs="Calibri"/>
          <w:sz w:val="22"/>
          <w:lang w:val="en-GB"/>
        </w:rPr>
        <w:t xml:space="preserve">the </w:t>
      </w:r>
      <w:r w:rsidR="00B03FA3" w:rsidRPr="00147803">
        <w:rPr>
          <w:rFonts w:ascii="IBM Plex Sans" w:eastAsiaTheme="minorHAnsi" w:hAnsi="IBM Plex Sans" w:cs="Calibri"/>
          <w:sz w:val="22"/>
          <w:lang w:val="en-GB"/>
        </w:rPr>
        <w:t>highest-paid jobs</w:t>
      </w:r>
      <w:r w:rsidR="005B40DE">
        <w:rPr>
          <w:rFonts w:ascii="IBM Plex Sans" w:eastAsiaTheme="minorHAnsi" w:hAnsi="IBM Plex Sans" w:cs="Calibri"/>
          <w:sz w:val="22"/>
          <w:lang w:val="en-GB"/>
        </w:rPr>
        <w:t xml:space="preserve"> </w:t>
      </w:r>
      <w:r w:rsidR="00B03FA3" w:rsidRPr="00147803">
        <w:rPr>
          <w:rFonts w:ascii="IBM Plex Sans" w:eastAsiaTheme="minorHAnsi" w:hAnsi="IBM Plex Sans" w:cs="Calibri"/>
          <w:sz w:val="22"/>
          <w:lang w:val="en-GB"/>
        </w:rPr>
        <w:t xml:space="preserve">and a </w:t>
      </w:r>
      <w:r w:rsidR="009656B5" w:rsidRPr="00147803">
        <w:rPr>
          <w:rFonts w:ascii="IBM Plex Sans" w:eastAsiaTheme="minorHAnsi" w:hAnsi="IBM Plex Sans" w:cs="Calibri"/>
          <w:sz w:val="22"/>
          <w:lang w:val="en-GB"/>
        </w:rPr>
        <w:t>woman</w:t>
      </w:r>
      <w:r w:rsidR="00B03FA3" w:rsidRPr="00147803">
        <w:rPr>
          <w:rFonts w:ascii="IBM Plex Sans" w:eastAsiaTheme="minorHAnsi" w:hAnsi="IBM Plex Sans" w:cs="Calibri"/>
          <w:sz w:val="22"/>
          <w:lang w:val="en-GB"/>
        </w:rPr>
        <w:t xml:space="preserve"> currently hold</w:t>
      </w:r>
      <w:r w:rsidR="001066BA" w:rsidRPr="00147803">
        <w:rPr>
          <w:rFonts w:ascii="IBM Plex Sans" w:eastAsiaTheme="minorHAnsi" w:hAnsi="IBM Plex Sans" w:cs="Calibri"/>
          <w:sz w:val="22"/>
          <w:lang w:val="en-GB"/>
        </w:rPr>
        <w:t>s</w:t>
      </w:r>
      <w:r w:rsidR="00B03FA3" w:rsidRPr="00147803">
        <w:rPr>
          <w:rFonts w:ascii="IBM Plex Sans" w:eastAsiaTheme="minorHAnsi" w:hAnsi="IBM Plex Sans" w:cs="Calibri"/>
          <w:sz w:val="22"/>
          <w:lang w:val="en-GB"/>
        </w:rPr>
        <w:t xml:space="preserve"> the highest-paying position</w:t>
      </w:r>
      <w:r w:rsidR="009B4D93">
        <w:rPr>
          <w:rFonts w:ascii="IBM Plex Sans" w:eastAsiaTheme="minorHAnsi" w:hAnsi="IBM Plex Sans" w:cs="Calibri"/>
          <w:sz w:val="22"/>
          <w:lang w:val="en-GB"/>
        </w:rPr>
        <w:t>, however</w:t>
      </w:r>
      <w:r w:rsidR="00B30F07">
        <w:rPr>
          <w:rFonts w:ascii="IBM Plex Sans" w:eastAsiaTheme="minorHAnsi" w:hAnsi="IBM Plex Sans" w:cs="Calibri"/>
          <w:sz w:val="22"/>
          <w:lang w:val="en-GB"/>
        </w:rPr>
        <w:t>,</w:t>
      </w:r>
      <w:r w:rsidR="005B40DE">
        <w:rPr>
          <w:rFonts w:ascii="IBM Plex Sans" w:eastAsiaTheme="minorHAnsi" w:hAnsi="IBM Plex Sans" w:cs="Calibri"/>
          <w:sz w:val="22"/>
          <w:lang w:val="en-GB"/>
        </w:rPr>
        <w:t xml:space="preserve"> the gender pay gap persists. This is because t</w:t>
      </w:r>
      <w:r w:rsidR="00262E12" w:rsidRPr="00147803">
        <w:rPr>
          <w:rFonts w:ascii="IBM Plex Sans" w:hAnsi="IBM Plex Sans" w:cs="Calibri"/>
          <w:sz w:val="22"/>
          <w:lang w:val="en-GB"/>
        </w:rPr>
        <w:t xml:space="preserve">he </w:t>
      </w:r>
      <w:r w:rsidR="00373781" w:rsidRPr="00147803">
        <w:rPr>
          <w:rFonts w:ascii="IBM Plex Sans" w:hAnsi="IBM Plex Sans" w:cs="Calibri"/>
          <w:sz w:val="22"/>
          <w:lang w:val="en-GB"/>
        </w:rPr>
        <w:t xml:space="preserve">greatest </w:t>
      </w:r>
      <w:r w:rsidR="00262E12" w:rsidRPr="00147803">
        <w:rPr>
          <w:rFonts w:ascii="IBM Plex Sans" w:hAnsi="IBM Plex Sans" w:cs="Calibri"/>
          <w:sz w:val="22"/>
          <w:lang w:val="en-GB"/>
        </w:rPr>
        <w:t xml:space="preserve">representation of men is in the </w:t>
      </w:r>
      <w:r w:rsidR="008272AF">
        <w:rPr>
          <w:rFonts w:ascii="IBM Plex Sans" w:hAnsi="IBM Plex Sans" w:cs="Calibri"/>
          <w:sz w:val="22"/>
          <w:lang w:val="en-GB"/>
        </w:rPr>
        <w:t>highest-pay</w:t>
      </w:r>
      <w:r w:rsidR="00262E12" w:rsidRPr="00147803">
        <w:rPr>
          <w:rFonts w:ascii="IBM Plex Sans" w:hAnsi="IBM Plex Sans" w:cs="Calibri"/>
          <w:sz w:val="22"/>
          <w:lang w:val="en-GB"/>
        </w:rPr>
        <w:t xml:space="preserve"> quarter.</w:t>
      </w:r>
      <w:r w:rsidR="001F291E" w:rsidRPr="00147803">
        <w:rPr>
          <w:rFonts w:ascii="IBM Plex Sans" w:hAnsi="IBM Plex Sans" w:cs="Calibri"/>
          <w:sz w:val="22"/>
          <w:lang w:val="en-GB"/>
        </w:rPr>
        <w:t xml:space="preserve"> Th</w:t>
      </w:r>
      <w:r w:rsidR="00F26F68" w:rsidRPr="00147803">
        <w:rPr>
          <w:rFonts w:ascii="IBM Plex Sans" w:hAnsi="IBM Plex Sans" w:cs="Calibri"/>
          <w:sz w:val="22"/>
          <w:lang w:val="en-GB"/>
        </w:rPr>
        <w:t xml:space="preserve">is </w:t>
      </w:r>
      <w:r w:rsidR="00B32F28" w:rsidRPr="00147803">
        <w:rPr>
          <w:rFonts w:ascii="IBM Plex Sans" w:hAnsi="IBM Plex Sans" w:cs="Calibri"/>
          <w:sz w:val="22"/>
          <w:lang w:val="en-GB"/>
        </w:rPr>
        <w:t xml:space="preserve">distribution of gender </w:t>
      </w:r>
      <w:r w:rsidR="007F3263" w:rsidRPr="00147803">
        <w:rPr>
          <w:rFonts w:ascii="IBM Plex Sans" w:hAnsi="IBM Plex Sans" w:cs="Calibri"/>
          <w:sz w:val="22"/>
          <w:lang w:val="en-GB"/>
        </w:rPr>
        <w:t xml:space="preserve">affects pay averages by </w:t>
      </w:r>
      <w:r w:rsidR="001F291E" w:rsidRPr="00147803">
        <w:rPr>
          <w:rFonts w:ascii="IBM Plex Sans" w:hAnsi="IBM Plex Sans" w:cs="Calibri"/>
          <w:sz w:val="22"/>
          <w:lang w:val="en-GB"/>
        </w:rPr>
        <w:t>lower</w:t>
      </w:r>
      <w:r w:rsidR="00F26F68" w:rsidRPr="00147803">
        <w:rPr>
          <w:rFonts w:ascii="IBM Plex Sans" w:hAnsi="IBM Plex Sans" w:cs="Calibri"/>
          <w:sz w:val="22"/>
          <w:lang w:val="en-GB"/>
        </w:rPr>
        <w:t>ing</w:t>
      </w:r>
      <w:r w:rsidR="007F3263" w:rsidRPr="00147803">
        <w:rPr>
          <w:rFonts w:ascii="IBM Plex Sans" w:hAnsi="IBM Plex Sans" w:cs="Calibri"/>
          <w:sz w:val="22"/>
          <w:lang w:val="en-GB"/>
        </w:rPr>
        <w:t xml:space="preserve"> </w:t>
      </w:r>
      <w:r w:rsidR="00B32F28" w:rsidRPr="00147803">
        <w:rPr>
          <w:rFonts w:ascii="IBM Plex Sans" w:hAnsi="IBM Plex Sans" w:cs="Calibri"/>
          <w:sz w:val="22"/>
          <w:lang w:val="en-GB"/>
        </w:rPr>
        <w:t xml:space="preserve">average </w:t>
      </w:r>
      <w:r w:rsidR="007F3263" w:rsidRPr="00147803">
        <w:rPr>
          <w:rFonts w:ascii="IBM Plex Sans" w:hAnsi="IBM Plex Sans" w:cs="Calibri"/>
          <w:sz w:val="22"/>
          <w:lang w:val="en-GB"/>
        </w:rPr>
        <w:t xml:space="preserve">hourly </w:t>
      </w:r>
      <w:r w:rsidR="00D4552B" w:rsidRPr="00147803">
        <w:rPr>
          <w:rFonts w:ascii="IBM Plex Sans" w:hAnsi="IBM Plex Sans" w:cs="Calibri"/>
          <w:sz w:val="22"/>
          <w:lang w:val="en-GB"/>
        </w:rPr>
        <w:t>pay</w:t>
      </w:r>
      <w:r w:rsidR="007F3263" w:rsidRPr="00147803">
        <w:rPr>
          <w:rFonts w:ascii="IBM Plex Sans" w:hAnsi="IBM Plex Sans" w:cs="Calibri"/>
          <w:sz w:val="22"/>
          <w:lang w:val="en-GB"/>
        </w:rPr>
        <w:t xml:space="preserve"> for women</w:t>
      </w:r>
      <w:r w:rsidR="001F291E" w:rsidRPr="00147803">
        <w:rPr>
          <w:rFonts w:ascii="IBM Plex Sans" w:hAnsi="IBM Plex Sans" w:cs="Calibri"/>
          <w:sz w:val="22"/>
          <w:lang w:val="en-GB"/>
        </w:rPr>
        <w:t xml:space="preserve">, while </w:t>
      </w:r>
      <w:r w:rsidR="004E4D3A" w:rsidRPr="00147803">
        <w:rPr>
          <w:rFonts w:ascii="IBM Plex Sans" w:hAnsi="IBM Plex Sans" w:cs="Calibri"/>
          <w:sz w:val="22"/>
          <w:lang w:val="en-GB"/>
        </w:rPr>
        <w:t xml:space="preserve">boosting </w:t>
      </w:r>
      <w:r w:rsidR="00B32F28" w:rsidRPr="00147803">
        <w:rPr>
          <w:rFonts w:ascii="IBM Plex Sans" w:hAnsi="IBM Plex Sans" w:cs="Calibri"/>
          <w:sz w:val="22"/>
          <w:lang w:val="en-GB"/>
        </w:rPr>
        <w:t xml:space="preserve">average </w:t>
      </w:r>
      <w:r w:rsidR="007F3263" w:rsidRPr="00147803">
        <w:rPr>
          <w:rFonts w:ascii="IBM Plex Sans" w:hAnsi="IBM Plex Sans" w:cs="Calibri"/>
          <w:sz w:val="22"/>
          <w:lang w:val="en-GB"/>
        </w:rPr>
        <w:t>hourly pay for men</w:t>
      </w:r>
      <w:r w:rsidR="00773864" w:rsidRPr="00147803">
        <w:rPr>
          <w:rFonts w:ascii="IBM Plex Sans" w:hAnsi="IBM Plex Sans" w:cs="Calibri"/>
          <w:sz w:val="22"/>
          <w:lang w:val="en-GB"/>
        </w:rPr>
        <w:t>, there</w:t>
      </w:r>
      <w:r w:rsidR="006A525E" w:rsidRPr="00147803">
        <w:rPr>
          <w:rFonts w:ascii="IBM Plex Sans" w:hAnsi="IBM Plex Sans" w:cs="Calibri"/>
          <w:sz w:val="22"/>
          <w:lang w:val="en-GB"/>
        </w:rPr>
        <w:t>by</w:t>
      </w:r>
      <w:r w:rsidR="00773864" w:rsidRPr="00147803">
        <w:rPr>
          <w:rFonts w:ascii="IBM Plex Sans" w:hAnsi="IBM Plex Sans" w:cs="Calibri"/>
          <w:sz w:val="22"/>
          <w:lang w:val="en-GB"/>
        </w:rPr>
        <w:t xml:space="preserve"> producing a</w:t>
      </w:r>
      <w:r w:rsidR="00F001E4" w:rsidRPr="00147803">
        <w:rPr>
          <w:rFonts w:ascii="IBM Plex Sans" w:hAnsi="IBM Plex Sans" w:cs="Calibri"/>
          <w:sz w:val="22"/>
          <w:lang w:val="en-GB"/>
        </w:rPr>
        <w:t>n overall</w:t>
      </w:r>
      <w:r w:rsidR="00773864" w:rsidRPr="00147803">
        <w:rPr>
          <w:rFonts w:ascii="IBM Plex Sans" w:hAnsi="IBM Plex Sans" w:cs="Calibri"/>
          <w:sz w:val="22"/>
          <w:lang w:val="en-GB"/>
        </w:rPr>
        <w:t xml:space="preserve"> gender pay gap in favour of m</w:t>
      </w:r>
      <w:r w:rsidR="006A525E" w:rsidRPr="00147803">
        <w:rPr>
          <w:rFonts w:ascii="IBM Plex Sans" w:hAnsi="IBM Plex Sans" w:cs="Calibri"/>
          <w:sz w:val="22"/>
          <w:lang w:val="en-GB"/>
        </w:rPr>
        <w:t>en</w:t>
      </w:r>
      <w:r w:rsidR="001F291E" w:rsidRPr="00147803">
        <w:rPr>
          <w:rFonts w:ascii="IBM Plex Sans" w:hAnsi="IBM Plex Sans" w:cs="Calibri"/>
          <w:sz w:val="22"/>
          <w:lang w:val="en-GB"/>
        </w:rPr>
        <w:t>.</w:t>
      </w:r>
    </w:p>
    <w:p w14:paraId="55512E54" w14:textId="77777777" w:rsidR="00414163" w:rsidRPr="000E5B57" w:rsidRDefault="00414163" w:rsidP="0058766F">
      <w:pPr>
        <w:spacing w:before="0" w:after="0"/>
        <w:jc w:val="both"/>
        <w:rPr>
          <w:rFonts w:ascii="IBM Plex Sans" w:eastAsiaTheme="minorHAnsi" w:hAnsi="IBM Plex Sans" w:cs="Calibri"/>
          <w:sz w:val="22"/>
          <w:highlight w:val="yellow"/>
          <w:lang w:val="en-GB"/>
        </w:rPr>
      </w:pPr>
    </w:p>
    <w:p w14:paraId="1953EC94" w14:textId="77777777" w:rsidR="005B400F" w:rsidRDefault="005B400F">
      <w:pPr>
        <w:spacing w:before="0" w:line="480" w:lineRule="auto"/>
        <w:ind w:firstLine="357"/>
        <w:rPr>
          <w:rFonts w:ascii="IBM Plex Sans Medium" w:hAnsi="IBM Plex Sans Medium" w:cs="Calibri"/>
          <w:sz w:val="20"/>
          <w:szCs w:val="20"/>
        </w:rPr>
      </w:pPr>
      <w:r>
        <w:rPr>
          <w:rFonts w:ascii="IBM Plex Sans Medium" w:hAnsi="IBM Plex Sans Medium" w:cs="Calibri"/>
          <w:b/>
          <w:bCs/>
          <w:sz w:val="20"/>
          <w:szCs w:val="20"/>
        </w:rPr>
        <w:br w:type="page"/>
      </w:r>
    </w:p>
    <w:p w14:paraId="3E1AD673" w14:textId="41DF6777" w:rsidR="00950AA6" w:rsidRPr="00DA1C60" w:rsidRDefault="00AC7D04" w:rsidP="004E4D3A">
      <w:pPr>
        <w:pStyle w:val="Caption"/>
        <w:spacing w:before="0" w:after="0" w:line="240" w:lineRule="auto"/>
        <w:rPr>
          <w:rFonts w:ascii="IBM Plex Sans Medium" w:hAnsi="IBM Plex Sans Medium" w:cs="Calibri"/>
          <w:b w:val="0"/>
          <w:bCs w:val="0"/>
          <w:sz w:val="20"/>
          <w:szCs w:val="20"/>
        </w:rPr>
      </w:pPr>
      <w:bookmarkStart w:id="22" w:name="_Toc157514655"/>
      <w:r w:rsidRPr="00DA1C60">
        <w:rPr>
          <w:rFonts w:ascii="IBM Plex Sans Medium" w:hAnsi="IBM Plex Sans Medium" w:cs="Calibri"/>
          <w:b w:val="0"/>
          <w:bCs w:val="0"/>
          <w:sz w:val="20"/>
          <w:szCs w:val="20"/>
        </w:rPr>
        <w:lastRenderedPageBreak/>
        <w:t xml:space="preserve">Figure </w:t>
      </w:r>
      <w:r w:rsidRPr="00DA1C60">
        <w:rPr>
          <w:rFonts w:ascii="IBM Plex Sans Medium" w:hAnsi="IBM Plex Sans Medium" w:cs="Calibri"/>
          <w:b w:val="0"/>
          <w:bCs w:val="0"/>
          <w:sz w:val="20"/>
          <w:szCs w:val="20"/>
        </w:rPr>
        <w:fldChar w:fldCharType="begin"/>
      </w:r>
      <w:r w:rsidRPr="00DA1C60">
        <w:rPr>
          <w:rFonts w:ascii="IBM Plex Sans Medium" w:hAnsi="IBM Plex Sans Medium" w:cs="Calibri"/>
          <w:b w:val="0"/>
          <w:bCs w:val="0"/>
          <w:sz w:val="20"/>
          <w:szCs w:val="20"/>
        </w:rPr>
        <w:instrText xml:space="preserve"> SEQ Figure \* ARABIC </w:instrText>
      </w:r>
      <w:r w:rsidRPr="00DA1C60">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3</w:t>
      </w:r>
      <w:r w:rsidRPr="00DA1C60">
        <w:rPr>
          <w:rFonts w:ascii="IBM Plex Sans Medium" w:hAnsi="IBM Plex Sans Medium" w:cs="Calibri"/>
          <w:b w:val="0"/>
          <w:bCs w:val="0"/>
          <w:sz w:val="20"/>
          <w:szCs w:val="20"/>
        </w:rPr>
        <w:fldChar w:fldCharType="end"/>
      </w:r>
      <w:r w:rsidR="00950AA6" w:rsidRPr="00DA1C60">
        <w:rPr>
          <w:rFonts w:ascii="IBM Plex Sans Medium" w:hAnsi="IBM Plex Sans Medium" w:cs="Calibri"/>
          <w:b w:val="0"/>
          <w:bCs w:val="0"/>
          <w:sz w:val="20"/>
          <w:szCs w:val="20"/>
        </w:rPr>
        <w:t xml:space="preserve"> </w:t>
      </w:r>
      <w:r w:rsidR="00347ED7" w:rsidRPr="00DA1C60">
        <w:rPr>
          <w:rFonts w:ascii="IBM Plex Sans Medium" w:hAnsi="IBM Plex Sans Medium" w:cs="Calibri"/>
          <w:b w:val="0"/>
          <w:bCs w:val="0"/>
          <w:sz w:val="20"/>
          <w:szCs w:val="20"/>
        </w:rPr>
        <w:t>Proportion of men and women in each pay quarter</w:t>
      </w:r>
      <w:bookmarkEnd w:id="22"/>
      <w:r w:rsidR="00950AA6" w:rsidRPr="00DA1C60">
        <w:rPr>
          <w:rFonts w:ascii="IBM Plex Sans Medium" w:hAnsi="IBM Plex Sans Medium" w:cs="Calibri"/>
          <w:b w:val="0"/>
          <w:bCs w:val="0"/>
          <w:sz w:val="20"/>
          <w:szCs w:val="20"/>
        </w:rPr>
        <w:t xml:space="preserve"> </w:t>
      </w:r>
    </w:p>
    <w:p w14:paraId="599E50A6" w14:textId="5F992911" w:rsidR="00EE1EAC" w:rsidRDefault="00172BF6" w:rsidP="00EE1EAC">
      <w:pPr>
        <w:pStyle w:val="Caption"/>
        <w:spacing w:before="0" w:after="0"/>
        <w:jc w:val="both"/>
        <w:rPr>
          <w:rFonts w:ascii="IBM Plex Sans" w:hAnsi="IBM Plex Sans" w:cs="Calibri"/>
          <w:b w:val="0"/>
          <w:bCs w:val="0"/>
          <w:sz w:val="22"/>
          <w:szCs w:val="22"/>
        </w:rPr>
      </w:pPr>
      <w:r>
        <w:rPr>
          <w:noProof/>
        </w:rPr>
        <w:drawing>
          <wp:inline distT="0" distB="0" distL="0" distR="0" wp14:anchorId="11C961CC" wp14:editId="550EFDA7">
            <wp:extent cx="5940000" cy="3060000"/>
            <wp:effectExtent l="0" t="0" r="3810" b="7620"/>
            <wp:docPr id="852837292" name="Chart 1">
              <a:extLst xmlns:a="http://schemas.openxmlformats.org/drawingml/2006/main">
                <a:ext uri="{FF2B5EF4-FFF2-40B4-BE49-F238E27FC236}">
                  <a16:creationId xmlns:a16="http://schemas.microsoft.com/office/drawing/2014/main" id="{66FC9B0A-5DD0-0850-4B63-3C61298E4A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D71F9BD" w14:textId="77777777" w:rsidR="00D61CCF" w:rsidRDefault="00D61CCF" w:rsidP="00B47AD7">
      <w:pPr>
        <w:pStyle w:val="Caption"/>
        <w:spacing w:before="0" w:after="0"/>
        <w:jc w:val="both"/>
        <w:rPr>
          <w:rFonts w:ascii="IBM Plex Sans" w:hAnsi="IBM Plex Sans" w:cs="Calibri"/>
          <w:b w:val="0"/>
          <w:bCs w:val="0"/>
          <w:sz w:val="22"/>
          <w:szCs w:val="22"/>
        </w:rPr>
      </w:pPr>
    </w:p>
    <w:p w14:paraId="004F78A7" w14:textId="56CE2518" w:rsidR="00EE1EAC" w:rsidRDefault="00EE1EAC" w:rsidP="00B47AD7">
      <w:pPr>
        <w:pStyle w:val="Caption"/>
        <w:spacing w:before="0" w:after="0"/>
        <w:jc w:val="both"/>
        <w:rPr>
          <w:rFonts w:ascii="IBM Plex Sans" w:hAnsi="IBM Plex Sans" w:cs="Calibri"/>
          <w:b w:val="0"/>
          <w:bCs w:val="0"/>
          <w:sz w:val="22"/>
          <w:szCs w:val="22"/>
        </w:rPr>
      </w:pPr>
      <w:r>
        <w:rPr>
          <w:rFonts w:ascii="IBM Plex Sans" w:hAnsi="IBM Plex Sans" w:cs="Calibri"/>
          <w:b w:val="0"/>
          <w:bCs w:val="0"/>
          <w:sz w:val="22"/>
          <w:szCs w:val="22"/>
        </w:rPr>
        <w:t>Over the period</w:t>
      </w:r>
      <w:r w:rsidR="00C63237">
        <w:rPr>
          <w:rFonts w:ascii="IBM Plex Sans" w:hAnsi="IBM Plex Sans" w:cs="Calibri"/>
          <w:b w:val="0"/>
          <w:bCs w:val="0"/>
          <w:sz w:val="22"/>
          <w:szCs w:val="22"/>
        </w:rPr>
        <w:t xml:space="preserve"> 2017 to 2023 </w:t>
      </w:r>
      <w:r>
        <w:rPr>
          <w:rFonts w:ascii="IBM Plex Sans" w:hAnsi="IBM Plex Sans" w:cs="Calibri"/>
          <w:b w:val="0"/>
          <w:bCs w:val="0"/>
          <w:sz w:val="22"/>
          <w:szCs w:val="22"/>
        </w:rPr>
        <w:t>th</w:t>
      </w:r>
      <w:r w:rsidR="00057EA9">
        <w:rPr>
          <w:rFonts w:ascii="IBM Plex Sans" w:hAnsi="IBM Plex Sans" w:cs="Calibri"/>
          <w:b w:val="0"/>
          <w:bCs w:val="0"/>
          <w:sz w:val="22"/>
          <w:szCs w:val="22"/>
        </w:rPr>
        <w:t>e proportion of women in the highest pay quarter</w:t>
      </w:r>
      <w:r w:rsidR="000D2F82">
        <w:rPr>
          <w:rFonts w:ascii="IBM Plex Sans" w:hAnsi="IBM Plex Sans" w:cs="Calibri"/>
          <w:b w:val="0"/>
          <w:bCs w:val="0"/>
          <w:sz w:val="22"/>
          <w:szCs w:val="22"/>
        </w:rPr>
        <w:t xml:space="preserve"> has </w:t>
      </w:r>
      <w:r w:rsidR="00F82200">
        <w:rPr>
          <w:rFonts w:ascii="IBM Plex Sans" w:hAnsi="IBM Plex Sans" w:cs="Calibri"/>
          <w:b w:val="0"/>
          <w:bCs w:val="0"/>
          <w:sz w:val="22"/>
          <w:szCs w:val="22"/>
        </w:rPr>
        <w:t xml:space="preserve">grown by 3.3 percentage points, while the proportion of women </w:t>
      </w:r>
      <w:r w:rsidR="00C63237">
        <w:rPr>
          <w:rFonts w:ascii="IBM Plex Sans" w:hAnsi="IBM Plex Sans" w:cs="Calibri"/>
          <w:b w:val="0"/>
          <w:bCs w:val="0"/>
          <w:sz w:val="22"/>
          <w:szCs w:val="22"/>
        </w:rPr>
        <w:t xml:space="preserve">in each of the </w:t>
      </w:r>
      <w:r w:rsidR="00F82200">
        <w:rPr>
          <w:rFonts w:ascii="IBM Plex Sans" w:hAnsi="IBM Plex Sans" w:cs="Calibri"/>
          <w:b w:val="0"/>
          <w:bCs w:val="0"/>
          <w:sz w:val="22"/>
          <w:szCs w:val="22"/>
        </w:rPr>
        <w:t xml:space="preserve">other </w:t>
      </w:r>
      <w:r w:rsidR="00C63237">
        <w:rPr>
          <w:rFonts w:ascii="IBM Plex Sans" w:hAnsi="IBM Plex Sans" w:cs="Calibri"/>
          <w:b w:val="0"/>
          <w:bCs w:val="0"/>
          <w:sz w:val="22"/>
          <w:szCs w:val="22"/>
        </w:rPr>
        <w:t xml:space="preserve">(lower) </w:t>
      </w:r>
      <w:r w:rsidR="00F82200">
        <w:rPr>
          <w:rFonts w:ascii="IBM Plex Sans" w:hAnsi="IBM Plex Sans" w:cs="Calibri"/>
          <w:b w:val="0"/>
          <w:bCs w:val="0"/>
          <w:sz w:val="22"/>
          <w:szCs w:val="22"/>
        </w:rPr>
        <w:t>pay quarters</w:t>
      </w:r>
      <w:r w:rsidR="00C63237">
        <w:rPr>
          <w:rFonts w:ascii="IBM Plex Sans" w:hAnsi="IBM Plex Sans" w:cs="Calibri"/>
          <w:b w:val="0"/>
          <w:bCs w:val="0"/>
          <w:sz w:val="22"/>
          <w:szCs w:val="22"/>
        </w:rPr>
        <w:t xml:space="preserve"> has fallen</w:t>
      </w:r>
      <w:r w:rsidR="00F82200">
        <w:rPr>
          <w:rFonts w:ascii="IBM Plex Sans" w:hAnsi="IBM Plex Sans" w:cs="Calibri"/>
          <w:b w:val="0"/>
          <w:bCs w:val="0"/>
          <w:sz w:val="22"/>
          <w:szCs w:val="22"/>
        </w:rPr>
        <w:t xml:space="preserve">, notably </w:t>
      </w:r>
      <w:r w:rsidR="00B22C19">
        <w:rPr>
          <w:rFonts w:ascii="IBM Plex Sans" w:hAnsi="IBM Plex Sans" w:cs="Calibri"/>
          <w:b w:val="0"/>
          <w:bCs w:val="0"/>
          <w:sz w:val="22"/>
          <w:szCs w:val="22"/>
        </w:rPr>
        <w:t>so</w:t>
      </w:r>
      <w:r w:rsidR="001F3ACB">
        <w:rPr>
          <w:rFonts w:ascii="IBM Plex Sans" w:hAnsi="IBM Plex Sans" w:cs="Calibri"/>
          <w:b w:val="0"/>
          <w:bCs w:val="0"/>
          <w:sz w:val="22"/>
          <w:szCs w:val="22"/>
        </w:rPr>
        <w:t>,</w:t>
      </w:r>
      <w:r w:rsidR="00B22C19">
        <w:rPr>
          <w:rFonts w:ascii="IBM Plex Sans" w:hAnsi="IBM Plex Sans" w:cs="Calibri"/>
          <w:b w:val="0"/>
          <w:bCs w:val="0"/>
          <w:sz w:val="22"/>
          <w:szCs w:val="22"/>
        </w:rPr>
        <w:t xml:space="preserve"> for the </w:t>
      </w:r>
      <w:r w:rsidR="00F82200">
        <w:rPr>
          <w:rFonts w:ascii="IBM Plex Sans" w:hAnsi="IBM Plex Sans" w:cs="Calibri"/>
          <w:b w:val="0"/>
          <w:bCs w:val="0"/>
          <w:sz w:val="22"/>
          <w:szCs w:val="22"/>
        </w:rPr>
        <w:t xml:space="preserve">lowest </w:t>
      </w:r>
      <w:r w:rsidR="00B22C19">
        <w:rPr>
          <w:rFonts w:ascii="IBM Plex Sans" w:hAnsi="IBM Plex Sans" w:cs="Calibri"/>
          <w:b w:val="0"/>
          <w:bCs w:val="0"/>
          <w:sz w:val="22"/>
          <w:szCs w:val="22"/>
        </w:rPr>
        <w:t xml:space="preserve">pay </w:t>
      </w:r>
      <w:r w:rsidR="00F82200">
        <w:rPr>
          <w:rFonts w:ascii="IBM Plex Sans" w:hAnsi="IBM Plex Sans" w:cs="Calibri"/>
          <w:b w:val="0"/>
          <w:bCs w:val="0"/>
          <w:sz w:val="22"/>
          <w:szCs w:val="22"/>
        </w:rPr>
        <w:t>quarter w</w:t>
      </w:r>
      <w:r w:rsidR="00B22C19">
        <w:rPr>
          <w:rFonts w:ascii="IBM Plex Sans" w:hAnsi="IBM Plex Sans" w:cs="Calibri"/>
          <w:b w:val="0"/>
          <w:bCs w:val="0"/>
          <w:sz w:val="22"/>
          <w:szCs w:val="22"/>
        </w:rPr>
        <w:t xml:space="preserve">here the proportion of women has fallen by 7.4 percentage points since 2017. </w:t>
      </w:r>
      <w:r w:rsidR="00257B9A">
        <w:rPr>
          <w:rFonts w:ascii="IBM Plex Sans" w:hAnsi="IBM Plex Sans" w:cs="Calibri"/>
          <w:b w:val="0"/>
          <w:bCs w:val="0"/>
          <w:sz w:val="22"/>
          <w:szCs w:val="22"/>
        </w:rPr>
        <w:t xml:space="preserve">This </w:t>
      </w:r>
      <w:r w:rsidR="00DA48AC">
        <w:rPr>
          <w:rFonts w:ascii="IBM Plex Sans" w:hAnsi="IBM Plex Sans" w:cs="Calibri"/>
          <w:b w:val="0"/>
          <w:bCs w:val="0"/>
          <w:sz w:val="22"/>
          <w:szCs w:val="22"/>
        </w:rPr>
        <w:t xml:space="preserve">helps </w:t>
      </w:r>
      <w:r w:rsidR="00886FD4">
        <w:rPr>
          <w:rFonts w:ascii="IBM Plex Sans" w:hAnsi="IBM Plex Sans" w:cs="Calibri"/>
          <w:b w:val="0"/>
          <w:bCs w:val="0"/>
          <w:sz w:val="22"/>
          <w:szCs w:val="22"/>
        </w:rPr>
        <w:t>explain the overall downward trend o</w:t>
      </w:r>
      <w:r w:rsidR="00202066">
        <w:rPr>
          <w:rFonts w:ascii="IBM Plex Sans" w:hAnsi="IBM Plex Sans" w:cs="Calibri"/>
          <w:b w:val="0"/>
          <w:bCs w:val="0"/>
          <w:sz w:val="22"/>
          <w:szCs w:val="22"/>
        </w:rPr>
        <w:t>f</w:t>
      </w:r>
      <w:r w:rsidR="00886FD4">
        <w:rPr>
          <w:rFonts w:ascii="IBM Plex Sans" w:hAnsi="IBM Plex Sans" w:cs="Calibri"/>
          <w:b w:val="0"/>
          <w:bCs w:val="0"/>
          <w:sz w:val="22"/>
          <w:szCs w:val="22"/>
        </w:rPr>
        <w:t xml:space="preserve"> the gender pay gap shown in Figure 2.</w:t>
      </w:r>
      <w:r w:rsidR="00257B9A">
        <w:rPr>
          <w:rFonts w:ascii="IBM Plex Sans" w:hAnsi="IBM Plex Sans" w:cs="Calibri"/>
          <w:b w:val="0"/>
          <w:bCs w:val="0"/>
          <w:sz w:val="22"/>
          <w:szCs w:val="22"/>
        </w:rPr>
        <w:t xml:space="preserve"> </w:t>
      </w:r>
    </w:p>
    <w:p w14:paraId="25FE19C7" w14:textId="77777777" w:rsidR="00B47AD7" w:rsidRPr="00B47AD7" w:rsidRDefault="00B47AD7" w:rsidP="00B47AD7">
      <w:pPr>
        <w:spacing w:before="0" w:after="0"/>
        <w:jc w:val="both"/>
      </w:pPr>
    </w:p>
    <w:p w14:paraId="5BA28D31" w14:textId="5F8C6B48" w:rsidR="00B47AD7" w:rsidRDefault="00B47AD7" w:rsidP="00B47AD7">
      <w:pPr>
        <w:spacing w:before="0" w:after="0"/>
        <w:jc w:val="both"/>
        <w:rPr>
          <w:rFonts w:ascii="IBM Plex Sans" w:hAnsi="IBM Plex Sans" w:cs="Calibri"/>
          <w:sz w:val="22"/>
        </w:rPr>
      </w:pPr>
      <w:r>
        <w:rPr>
          <w:rFonts w:ascii="IBM Plex Sans" w:hAnsi="IBM Plex Sans" w:cs="Calibri"/>
          <w:sz w:val="22"/>
        </w:rPr>
        <w:t>Looking specifically for explanations as to why the gender pay gap widened in 2023, data on pay quarters shows that</w:t>
      </w:r>
      <w:r w:rsidR="00BC3376">
        <w:rPr>
          <w:rFonts w:ascii="IBM Plex Sans" w:hAnsi="IBM Plex Sans" w:cs="Calibri"/>
          <w:sz w:val="22"/>
        </w:rPr>
        <w:t xml:space="preserve"> the </w:t>
      </w:r>
      <w:r w:rsidR="005B6F1D">
        <w:rPr>
          <w:rFonts w:ascii="IBM Plex Sans" w:hAnsi="IBM Plex Sans" w:cs="Calibri"/>
          <w:sz w:val="22"/>
        </w:rPr>
        <w:t xml:space="preserve">representation </w:t>
      </w:r>
      <w:r>
        <w:rPr>
          <w:rFonts w:ascii="IBM Plex Sans" w:hAnsi="IBM Plex Sans" w:cs="Calibri"/>
          <w:sz w:val="22"/>
        </w:rPr>
        <w:t xml:space="preserve">of women in the upper half of the earnings distribution has fallen, while </w:t>
      </w:r>
      <w:r w:rsidR="00F10069">
        <w:rPr>
          <w:rFonts w:ascii="IBM Plex Sans" w:hAnsi="IBM Plex Sans" w:cs="Calibri"/>
          <w:sz w:val="22"/>
        </w:rPr>
        <w:t xml:space="preserve">their </w:t>
      </w:r>
      <w:r w:rsidR="00485935">
        <w:rPr>
          <w:rFonts w:ascii="IBM Plex Sans" w:hAnsi="IBM Plex Sans" w:cs="Calibri"/>
          <w:sz w:val="22"/>
        </w:rPr>
        <w:t xml:space="preserve">representation </w:t>
      </w:r>
      <w:r>
        <w:rPr>
          <w:rFonts w:ascii="IBM Plex Sans" w:hAnsi="IBM Plex Sans" w:cs="Calibri"/>
          <w:sz w:val="22"/>
        </w:rPr>
        <w:t>in the lower half has grown. This will have shifted the position of median pay for women down</w:t>
      </w:r>
      <w:r w:rsidR="00161F44">
        <w:rPr>
          <w:rFonts w:ascii="IBM Plex Sans" w:hAnsi="IBM Plex Sans" w:cs="Calibri"/>
          <w:sz w:val="22"/>
        </w:rPr>
        <w:t>wards</w:t>
      </w:r>
      <w:r>
        <w:rPr>
          <w:rFonts w:ascii="IBM Plex Sans" w:hAnsi="IBM Plex Sans" w:cs="Calibri"/>
          <w:sz w:val="22"/>
        </w:rPr>
        <w:t>. Mean pay will also be affected, although to less</w:t>
      </w:r>
      <w:r w:rsidR="0077149F">
        <w:rPr>
          <w:rFonts w:ascii="IBM Plex Sans" w:hAnsi="IBM Plex Sans" w:cs="Calibri"/>
          <w:sz w:val="22"/>
        </w:rPr>
        <w:t>er</w:t>
      </w:r>
      <w:r>
        <w:rPr>
          <w:rFonts w:ascii="IBM Plex Sans" w:hAnsi="IBM Plex Sans" w:cs="Calibri"/>
          <w:sz w:val="22"/>
        </w:rPr>
        <w:t xml:space="preserve"> extent, </w:t>
      </w:r>
      <w:r w:rsidR="00FD3DE0">
        <w:rPr>
          <w:rFonts w:ascii="IBM Plex Sans" w:hAnsi="IBM Plex Sans" w:cs="Calibri"/>
          <w:sz w:val="22"/>
        </w:rPr>
        <w:t xml:space="preserve">as </w:t>
      </w:r>
      <w:r>
        <w:rPr>
          <w:rFonts w:ascii="IBM Plex Sans" w:hAnsi="IBM Plex Sans" w:cs="Calibri"/>
          <w:sz w:val="22"/>
        </w:rPr>
        <w:t>there are fewer outliers at the top affecting mean pay for women, as demonstrated by the relatively close mean and median pay averages for women compared to men. [The difference between the median and mean hourly pay for men is £5.06, while that for women is £3.00.]</w:t>
      </w:r>
    </w:p>
    <w:p w14:paraId="7893DD6D" w14:textId="77777777" w:rsidR="00B47AD7" w:rsidRPr="00B47AD7" w:rsidRDefault="00B47AD7" w:rsidP="00B47AD7">
      <w:pPr>
        <w:spacing w:before="0" w:after="0"/>
        <w:jc w:val="both"/>
      </w:pPr>
    </w:p>
    <w:p w14:paraId="134D6269" w14:textId="77777777" w:rsidR="005B400F" w:rsidRDefault="005B400F">
      <w:pPr>
        <w:spacing w:before="0" w:line="480" w:lineRule="auto"/>
        <w:ind w:firstLine="357"/>
        <w:rPr>
          <w:rFonts w:ascii="IBM Plex Sans Medium" w:hAnsi="IBM Plex Sans Medium" w:cs="Calibri"/>
          <w:sz w:val="20"/>
          <w:szCs w:val="20"/>
        </w:rPr>
      </w:pPr>
      <w:r>
        <w:rPr>
          <w:rFonts w:ascii="IBM Plex Sans Medium" w:hAnsi="IBM Plex Sans Medium" w:cs="Calibri"/>
          <w:b/>
          <w:bCs/>
          <w:sz w:val="20"/>
          <w:szCs w:val="20"/>
        </w:rPr>
        <w:br w:type="page"/>
      </w:r>
    </w:p>
    <w:p w14:paraId="2E9F6BD5" w14:textId="0F3FCF4E" w:rsidR="00F54C32" w:rsidRPr="00DA1C60" w:rsidRDefault="00F54C32" w:rsidP="00F54C32">
      <w:pPr>
        <w:pStyle w:val="Caption"/>
        <w:spacing w:before="0" w:after="0" w:line="240" w:lineRule="auto"/>
        <w:rPr>
          <w:rFonts w:ascii="IBM Plex Sans Medium" w:hAnsi="IBM Plex Sans Medium" w:cs="Calibri"/>
          <w:b w:val="0"/>
          <w:bCs w:val="0"/>
          <w:sz w:val="20"/>
          <w:szCs w:val="20"/>
        </w:rPr>
      </w:pPr>
      <w:bookmarkStart w:id="23" w:name="_Toc157514656"/>
      <w:r w:rsidRPr="00DA1C60">
        <w:rPr>
          <w:rFonts w:ascii="IBM Plex Sans Medium" w:hAnsi="IBM Plex Sans Medium" w:cs="Calibri"/>
          <w:b w:val="0"/>
          <w:bCs w:val="0"/>
          <w:sz w:val="20"/>
          <w:szCs w:val="20"/>
        </w:rPr>
        <w:lastRenderedPageBreak/>
        <w:t xml:space="preserve">Figure </w:t>
      </w:r>
      <w:r w:rsidRPr="00DA1C60">
        <w:rPr>
          <w:rFonts w:ascii="IBM Plex Sans Medium" w:hAnsi="IBM Plex Sans Medium" w:cs="Calibri"/>
          <w:b w:val="0"/>
          <w:bCs w:val="0"/>
          <w:sz w:val="20"/>
          <w:szCs w:val="20"/>
        </w:rPr>
        <w:fldChar w:fldCharType="begin"/>
      </w:r>
      <w:r w:rsidRPr="00DA1C60">
        <w:rPr>
          <w:rFonts w:ascii="IBM Plex Sans Medium" w:hAnsi="IBM Plex Sans Medium" w:cs="Calibri"/>
          <w:b w:val="0"/>
          <w:bCs w:val="0"/>
          <w:sz w:val="20"/>
          <w:szCs w:val="20"/>
        </w:rPr>
        <w:instrText xml:space="preserve"> SEQ Figure \* ARABIC </w:instrText>
      </w:r>
      <w:r w:rsidRPr="00DA1C60">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4</w:t>
      </w:r>
      <w:r w:rsidRPr="00DA1C60">
        <w:rPr>
          <w:rFonts w:ascii="IBM Plex Sans Medium" w:hAnsi="IBM Plex Sans Medium" w:cs="Calibri"/>
          <w:b w:val="0"/>
          <w:bCs w:val="0"/>
          <w:sz w:val="20"/>
          <w:szCs w:val="20"/>
        </w:rPr>
        <w:fldChar w:fldCharType="end"/>
      </w:r>
      <w:r w:rsidRPr="00DA1C60">
        <w:rPr>
          <w:rFonts w:ascii="IBM Plex Sans Medium" w:hAnsi="IBM Plex Sans Medium" w:cs="Calibri"/>
          <w:b w:val="0"/>
          <w:bCs w:val="0"/>
          <w:sz w:val="20"/>
          <w:szCs w:val="20"/>
        </w:rPr>
        <w:t xml:space="preserve"> Proportion of men and women in each pay quarter </w:t>
      </w:r>
      <w:r w:rsidR="00FD0209">
        <w:rPr>
          <w:rFonts w:ascii="IBM Plex Sans Medium" w:hAnsi="IBM Plex Sans Medium" w:cs="Calibri"/>
          <w:b w:val="0"/>
          <w:bCs w:val="0"/>
          <w:sz w:val="20"/>
          <w:szCs w:val="20"/>
        </w:rPr>
        <w:t>2017 to 2023</w:t>
      </w:r>
      <w:bookmarkEnd w:id="23"/>
    </w:p>
    <w:p w14:paraId="321DFA47" w14:textId="00DF374E" w:rsidR="00796E6D" w:rsidRDefault="00422B2E" w:rsidP="00F54C32">
      <w:pPr>
        <w:rPr>
          <w:rFonts w:ascii="IBM Plex Sans" w:eastAsiaTheme="minorHAnsi" w:hAnsi="IBM Plex Sans" w:cs="Calibri"/>
          <w:color w:val="5C00D6"/>
        </w:rPr>
      </w:pPr>
      <w:r>
        <w:rPr>
          <w:noProof/>
        </w:rPr>
        <w:drawing>
          <wp:inline distT="0" distB="0" distL="0" distR="0" wp14:anchorId="0E594BA2" wp14:editId="69982065">
            <wp:extent cx="5940000" cy="3060000"/>
            <wp:effectExtent l="0" t="0" r="3810" b="7620"/>
            <wp:docPr id="160554073" name="Chart 1">
              <a:extLst xmlns:a="http://schemas.openxmlformats.org/drawingml/2006/main">
                <a:ext uri="{FF2B5EF4-FFF2-40B4-BE49-F238E27FC236}">
                  <a16:creationId xmlns:a16="http://schemas.microsoft.com/office/drawing/2014/main" id="{B643CB52-D18E-5464-4D02-0B25C42D9A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D5C3ACA" w14:textId="77777777" w:rsidR="00D61CCF" w:rsidRDefault="00D61CCF" w:rsidP="00AE4BBA">
      <w:pPr>
        <w:pStyle w:val="Caption"/>
        <w:spacing w:before="0" w:after="0"/>
        <w:rPr>
          <w:rFonts w:ascii="IBM Plex Sans Medium" w:hAnsi="IBM Plex Sans Medium" w:cs="Calibri"/>
          <w:b w:val="0"/>
          <w:bCs w:val="0"/>
          <w:sz w:val="20"/>
          <w:szCs w:val="20"/>
        </w:rPr>
      </w:pPr>
      <w:bookmarkStart w:id="24" w:name="_Toc157514671"/>
    </w:p>
    <w:p w14:paraId="6D593EF5" w14:textId="6E4DDC66" w:rsidR="00AE4BBA" w:rsidRPr="00DF4A1B" w:rsidRDefault="00AE4BBA" w:rsidP="00AE4BBA">
      <w:pPr>
        <w:pStyle w:val="Caption"/>
        <w:spacing w:before="0" w:after="0"/>
        <w:rPr>
          <w:rFonts w:ascii="IBM Plex Sans Medium" w:hAnsi="IBM Plex Sans Medium" w:cs="Calibri"/>
          <w:b w:val="0"/>
          <w:bCs w:val="0"/>
          <w:sz w:val="20"/>
          <w:szCs w:val="20"/>
        </w:rPr>
      </w:pPr>
      <w:r w:rsidRPr="00DF4A1B">
        <w:rPr>
          <w:rFonts w:ascii="IBM Plex Sans Medium" w:hAnsi="IBM Plex Sans Medium" w:cs="Calibri"/>
          <w:b w:val="0"/>
          <w:bCs w:val="0"/>
          <w:sz w:val="20"/>
          <w:szCs w:val="20"/>
        </w:rPr>
        <w:t xml:space="preserve">Table </w:t>
      </w:r>
      <w:r w:rsidRPr="00DF4A1B">
        <w:rPr>
          <w:rFonts w:ascii="IBM Plex Sans Medium" w:hAnsi="IBM Plex Sans Medium" w:cs="Calibri"/>
          <w:b w:val="0"/>
          <w:bCs w:val="0"/>
          <w:sz w:val="20"/>
          <w:szCs w:val="20"/>
        </w:rPr>
        <w:fldChar w:fldCharType="begin"/>
      </w:r>
      <w:r w:rsidRPr="00DF4A1B">
        <w:rPr>
          <w:rFonts w:ascii="IBM Plex Sans Medium" w:hAnsi="IBM Plex Sans Medium" w:cs="Calibri"/>
          <w:b w:val="0"/>
          <w:bCs w:val="0"/>
          <w:sz w:val="20"/>
          <w:szCs w:val="20"/>
        </w:rPr>
        <w:instrText xml:space="preserve"> SEQ Table \* ARABIC </w:instrText>
      </w:r>
      <w:r w:rsidRPr="00DF4A1B">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3</w:t>
      </w:r>
      <w:r w:rsidRPr="00DF4A1B">
        <w:rPr>
          <w:rFonts w:ascii="IBM Plex Sans Medium" w:hAnsi="IBM Plex Sans Medium" w:cs="Calibri"/>
          <w:b w:val="0"/>
          <w:bCs w:val="0"/>
          <w:sz w:val="20"/>
          <w:szCs w:val="20"/>
        </w:rPr>
        <w:fldChar w:fldCharType="end"/>
      </w:r>
      <w:r w:rsidRPr="00DF4A1B">
        <w:rPr>
          <w:rFonts w:ascii="IBM Plex Sans Medium" w:hAnsi="IBM Plex Sans Medium" w:cs="Calibri"/>
          <w:b w:val="0"/>
          <w:bCs w:val="0"/>
          <w:sz w:val="20"/>
          <w:szCs w:val="20"/>
        </w:rPr>
        <w:t xml:space="preserve"> </w:t>
      </w:r>
      <w:r w:rsidR="00B22C19">
        <w:rPr>
          <w:rFonts w:ascii="IBM Plex Sans Medium" w:hAnsi="IBM Plex Sans Medium" w:cs="Calibri"/>
          <w:b w:val="0"/>
          <w:bCs w:val="0"/>
          <w:sz w:val="20"/>
          <w:szCs w:val="20"/>
        </w:rPr>
        <w:t>Proportion of men and women in each pay quarter</w:t>
      </w:r>
      <w:r>
        <w:rPr>
          <w:rFonts w:ascii="IBM Plex Sans Medium" w:hAnsi="IBM Plex Sans Medium" w:cs="Calibri"/>
          <w:b w:val="0"/>
          <w:bCs w:val="0"/>
          <w:sz w:val="20"/>
          <w:szCs w:val="20"/>
        </w:rPr>
        <w:t xml:space="preserve"> 2017</w:t>
      </w:r>
      <w:r w:rsidR="00FD0209">
        <w:rPr>
          <w:rFonts w:ascii="IBM Plex Sans Medium" w:hAnsi="IBM Plex Sans Medium" w:cs="Calibri"/>
          <w:b w:val="0"/>
          <w:bCs w:val="0"/>
          <w:sz w:val="20"/>
          <w:szCs w:val="20"/>
        </w:rPr>
        <w:t xml:space="preserve"> to 2023</w:t>
      </w:r>
      <w:bookmarkEnd w:id="24"/>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2072"/>
        <w:gridCol w:w="1888"/>
        <w:gridCol w:w="1888"/>
        <w:gridCol w:w="1751"/>
        <w:gridCol w:w="1751"/>
      </w:tblGrid>
      <w:tr w:rsidR="00502DA6" w:rsidRPr="000E5B57" w14:paraId="4AA3E845" w14:textId="22F821E0" w:rsidTr="00502D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2" w:type="dxa"/>
            <w:tcBorders>
              <w:top w:val="single" w:sz="4" w:space="0" w:color="5C00D6"/>
              <w:left w:val="single" w:sz="4" w:space="0" w:color="5C00D6"/>
              <w:bottom w:val="single" w:sz="4" w:space="0" w:color="5C00D6"/>
              <w:right w:val="single" w:sz="4" w:space="0" w:color="FFFFFF" w:themeColor="background1"/>
            </w:tcBorders>
            <w:shd w:val="clear" w:color="auto" w:fill="5C00D6"/>
          </w:tcPr>
          <w:p w14:paraId="42C3992C" w14:textId="77777777" w:rsidR="003D4CDD" w:rsidRDefault="003D4CDD" w:rsidP="00D459D4">
            <w:pPr>
              <w:spacing w:before="0" w:line="240" w:lineRule="auto"/>
              <w:rPr>
                <w:rFonts w:ascii="IBM Plex Sans Medium" w:eastAsiaTheme="minorHAnsi" w:hAnsi="IBM Plex Sans Medium" w:cs="Calibri"/>
                <w:sz w:val="20"/>
                <w:szCs w:val="20"/>
                <w:lang w:val="en-GB"/>
              </w:rPr>
            </w:pPr>
            <w:r>
              <w:rPr>
                <w:rFonts w:ascii="IBM Plex Sans Medium" w:eastAsiaTheme="minorHAnsi" w:hAnsi="IBM Plex Sans Medium" w:cs="Calibri"/>
                <w:b w:val="0"/>
                <w:bCs w:val="0"/>
                <w:color w:val="auto"/>
                <w:sz w:val="20"/>
                <w:szCs w:val="20"/>
                <w:lang w:val="en-GB"/>
              </w:rPr>
              <w:t xml:space="preserve">Year </w:t>
            </w:r>
          </w:p>
          <w:p w14:paraId="13D13E2F" w14:textId="27CEC761" w:rsidR="00502DA6" w:rsidRPr="00D3346B" w:rsidRDefault="003D4CDD" w:rsidP="00D459D4">
            <w:pPr>
              <w:spacing w:before="0" w:line="240" w:lineRule="auto"/>
              <w:rPr>
                <w:rFonts w:ascii="IBM Plex Sans Medium" w:eastAsiaTheme="minorHAnsi" w:hAnsi="IBM Plex Sans Medium" w:cs="Calibri"/>
                <w:b w:val="0"/>
                <w:bCs w:val="0"/>
                <w:color w:val="auto"/>
                <w:sz w:val="20"/>
                <w:szCs w:val="20"/>
                <w:lang w:val="en-GB"/>
              </w:rPr>
            </w:pPr>
            <w:r>
              <w:rPr>
                <w:rFonts w:ascii="IBM Plex Sans Medium" w:eastAsiaTheme="minorHAnsi" w:hAnsi="IBM Plex Sans Medium" w:cs="Calibri"/>
                <w:b w:val="0"/>
                <w:bCs w:val="0"/>
                <w:color w:val="auto"/>
                <w:sz w:val="20"/>
                <w:szCs w:val="20"/>
                <w:lang w:val="en-GB"/>
              </w:rPr>
              <w:t>(as at 31 March)</w:t>
            </w:r>
          </w:p>
        </w:tc>
        <w:tc>
          <w:tcPr>
            <w:tcW w:w="1888" w:type="dxa"/>
            <w:tcBorders>
              <w:top w:val="single" w:sz="4" w:space="0" w:color="5C00D6"/>
              <w:left w:val="single" w:sz="4" w:space="0" w:color="FFFFFF" w:themeColor="background1"/>
              <w:bottom w:val="single" w:sz="4" w:space="0" w:color="5C00D6"/>
              <w:right w:val="single" w:sz="4" w:space="0" w:color="FFFFFF" w:themeColor="background1"/>
            </w:tcBorders>
            <w:shd w:val="clear" w:color="auto" w:fill="5C00D6"/>
          </w:tcPr>
          <w:p w14:paraId="5D4B4A3E" w14:textId="10038B5D" w:rsidR="00502DA6" w:rsidRPr="00D3346B" w:rsidRDefault="00FB5109" w:rsidP="00D459D4">
            <w:pPr>
              <w:spacing w:before="0" w:line="240" w:lineRule="auto"/>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heme="minorHAnsi" w:hAnsi="IBM Plex Sans Medium" w:cs="Calibri"/>
                <w:b w:val="0"/>
                <w:bCs w:val="0"/>
                <w:color w:val="auto"/>
                <w:sz w:val="20"/>
                <w:szCs w:val="20"/>
                <w:lang w:val="en-GB"/>
              </w:rPr>
              <w:t xml:space="preserve">% women, </w:t>
            </w:r>
            <w:r w:rsidR="00D459D4">
              <w:rPr>
                <w:rFonts w:ascii="IBM Plex Sans Medium" w:eastAsiaTheme="minorHAnsi" w:hAnsi="IBM Plex Sans Medium" w:cs="Calibri"/>
                <w:b w:val="0"/>
                <w:bCs w:val="0"/>
                <w:color w:val="auto"/>
                <w:sz w:val="20"/>
                <w:szCs w:val="20"/>
                <w:lang w:val="en-GB"/>
              </w:rPr>
              <w:t xml:space="preserve">upper </w:t>
            </w:r>
            <w:r w:rsidR="007E0400">
              <w:rPr>
                <w:rFonts w:ascii="IBM Plex Sans Medium" w:eastAsiaTheme="minorHAnsi" w:hAnsi="IBM Plex Sans Medium" w:cs="Calibri"/>
                <w:b w:val="0"/>
                <w:bCs w:val="0"/>
                <w:color w:val="auto"/>
                <w:sz w:val="20"/>
                <w:szCs w:val="20"/>
                <w:lang w:val="en-GB"/>
              </w:rPr>
              <w:t xml:space="preserve">pay </w:t>
            </w:r>
            <w:r w:rsidR="00D459D4">
              <w:rPr>
                <w:rFonts w:ascii="IBM Plex Sans Medium" w:eastAsiaTheme="minorHAnsi" w:hAnsi="IBM Plex Sans Medium" w:cs="Calibri"/>
                <w:b w:val="0"/>
                <w:bCs w:val="0"/>
                <w:color w:val="auto"/>
                <w:sz w:val="20"/>
                <w:szCs w:val="20"/>
                <w:lang w:val="en-GB"/>
              </w:rPr>
              <w:t>quarter</w:t>
            </w:r>
          </w:p>
        </w:tc>
        <w:tc>
          <w:tcPr>
            <w:tcW w:w="1888"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2C6C1D11" w14:textId="7C8169A2" w:rsidR="00502DA6" w:rsidRPr="00D3346B" w:rsidRDefault="00D459D4" w:rsidP="00D459D4">
            <w:pPr>
              <w:spacing w:before="0" w:line="240" w:lineRule="auto"/>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heme="minorHAnsi" w:hAnsi="IBM Plex Sans Medium" w:cs="Calibri"/>
                <w:b w:val="0"/>
                <w:bCs w:val="0"/>
                <w:color w:val="auto"/>
                <w:sz w:val="20"/>
                <w:szCs w:val="20"/>
                <w:lang w:val="en-GB"/>
              </w:rPr>
              <w:t xml:space="preserve">% women, middle-upper </w:t>
            </w:r>
            <w:r w:rsidR="007E0400">
              <w:rPr>
                <w:rFonts w:ascii="IBM Plex Sans Medium" w:eastAsiaTheme="minorHAnsi" w:hAnsi="IBM Plex Sans Medium" w:cs="Calibri"/>
                <w:b w:val="0"/>
                <w:bCs w:val="0"/>
                <w:color w:val="auto"/>
                <w:sz w:val="20"/>
                <w:szCs w:val="20"/>
                <w:lang w:val="en-GB"/>
              </w:rPr>
              <w:t xml:space="preserve">pay </w:t>
            </w:r>
            <w:r>
              <w:rPr>
                <w:rFonts w:ascii="IBM Plex Sans Medium" w:eastAsiaTheme="minorHAnsi" w:hAnsi="IBM Plex Sans Medium" w:cs="Calibri"/>
                <w:b w:val="0"/>
                <w:bCs w:val="0"/>
                <w:color w:val="auto"/>
                <w:sz w:val="20"/>
                <w:szCs w:val="20"/>
                <w:lang w:val="en-GB"/>
              </w:rPr>
              <w:t>quarter</w:t>
            </w:r>
          </w:p>
        </w:tc>
        <w:tc>
          <w:tcPr>
            <w:tcW w:w="1751"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22DF3FD3" w14:textId="3291CD4E" w:rsidR="00502DA6" w:rsidRPr="00D3346B" w:rsidRDefault="00D459D4" w:rsidP="00D459D4">
            <w:pPr>
              <w:spacing w:before="0" w:line="240" w:lineRule="auto"/>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sz w:val="20"/>
                <w:szCs w:val="20"/>
                <w:lang w:val="en-GB"/>
              </w:rPr>
            </w:pPr>
            <w:r>
              <w:rPr>
                <w:rFonts w:ascii="IBM Plex Sans Medium" w:eastAsiaTheme="minorHAnsi" w:hAnsi="IBM Plex Sans Medium" w:cs="Calibri"/>
                <w:b w:val="0"/>
                <w:bCs w:val="0"/>
                <w:sz w:val="20"/>
                <w:szCs w:val="20"/>
                <w:lang w:val="en-GB"/>
              </w:rPr>
              <w:t xml:space="preserve">% women, </w:t>
            </w:r>
            <w:r w:rsidR="007E0400">
              <w:rPr>
                <w:rFonts w:ascii="IBM Plex Sans Medium" w:eastAsiaTheme="minorHAnsi" w:hAnsi="IBM Plex Sans Medium" w:cs="Calibri"/>
                <w:b w:val="0"/>
                <w:bCs w:val="0"/>
                <w:sz w:val="20"/>
                <w:szCs w:val="20"/>
                <w:lang w:val="en-GB"/>
              </w:rPr>
              <w:t>middle-lower pay quarter</w:t>
            </w:r>
          </w:p>
        </w:tc>
        <w:tc>
          <w:tcPr>
            <w:tcW w:w="1751"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243847EC" w14:textId="71EA7699" w:rsidR="00502DA6" w:rsidRPr="00D3346B" w:rsidRDefault="007E0400" w:rsidP="00D459D4">
            <w:pPr>
              <w:spacing w:before="0" w:line="240" w:lineRule="auto"/>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sz w:val="20"/>
                <w:szCs w:val="20"/>
                <w:lang w:val="en-GB"/>
              </w:rPr>
            </w:pPr>
            <w:r>
              <w:rPr>
                <w:rFonts w:ascii="IBM Plex Sans Medium" w:eastAsiaTheme="minorHAnsi" w:hAnsi="IBM Plex Sans Medium" w:cs="Calibri"/>
                <w:b w:val="0"/>
                <w:bCs w:val="0"/>
                <w:sz w:val="20"/>
                <w:szCs w:val="20"/>
                <w:lang w:val="en-GB"/>
              </w:rPr>
              <w:t>% women, lower pay quarter</w:t>
            </w:r>
          </w:p>
        </w:tc>
      </w:tr>
      <w:tr w:rsidR="00FB5109" w:rsidRPr="000E5B57" w14:paraId="734955C0" w14:textId="088C3549" w:rsidTr="00F13D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2" w:type="dxa"/>
            <w:tcBorders>
              <w:top w:val="single" w:sz="4" w:space="0" w:color="5C00D6"/>
            </w:tcBorders>
            <w:shd w:val="clear" w:color="auto" w:fill="auto"/>
            <w:vAlign w:val="bottom"/>
          </w:tcPr>
          <w:p w14:paraId="0D1289C5" w14:textId="564FD96B"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2017</w:t>
            </w:r>
          </w:p>
        </w:tc>
        <w:tc>
          <w:tcPr>
            <w:tcW w:w="1888" w:type="dxa"/>
            <w:tcBorders>
              <w:top w:val="single" w:sz="4" w:space="0" w:color="5C00D6"/>
            </w:tcBorders>
            <w:shd w:val="clear" w:color="auto" w:fill="auto"/>
            <w:vAlign w:val="bottom"/>
          </w:tcPr>
          <w:p w14:paraId="1B3BF0DB" w14:textId="14BDAFD7"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64.4%</w:t>
            </w:r>
          </w:p>
        </w:tc>
        <w:tc>
          <w:tcPr>
            <w:tcW w:w="1888" w:type="dxa"/>
            <w:tcBorders>
              <w:top w:val="single" w:sz="4" w:space="0" w:color="5C00D6"/>
            </w:tcBorders>
            <w:shd w:val="clear" w:color="auto" w:fill="auto"/>
            <w:vAlign w:val="bottom"/>
          </w:tcPr>
          <w:p w14:paraId="6593D46D" w14:textId="4C0F8B18"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77.1%</w:t>
            </w:r>
          </w:p>
        </w:tc>
        <w:tc>
          <w:tcPr>
            <w:tcW w:w="1751" w:type="dxa"/>
            <w:tcBorders>
              <w:top w:val="single" w:sz="4" w:space="0" w:color="5C00D6"/>
            </w:tcBorders>
            <w:shd w:val="clear" w:color="auto" w:fill="auto"/>
            <w:vAlign w:val="bottom"/>
          </w:tcPr>
          <w:p w14:paraId="1AC8107E" w14:textId="0B57F635"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79.2%</w:t>
            </w:r>
          </w:p>
        </w:tc>
        <w:tc>
          <w:tcPr>
            <w:tcW w:w="1751" w:type="dxa"/>
            <w:tcBorders>
              <w:top w:val="single" w:sz="4" w:space="0" w:color="5C00D6"/>
            </w:tcBorders>
            <w:shd w:val="clear" w:color="auto" w:fill="auto"/>
            <w:vAlign w:val="bottom"/>
          </w:tcPr>
          <w:p w14:paraId="05E4EC91" w14:textId="488D049A"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84.4%</w:t>
            </w:r>
          </w:p>
        </w:tc>
      </w:tr>
      <w:tr w:rsidR="00FB5109" w:rsidRPr="000E5B57" w14:paraId="15914408" w14:textId="77777777" w:rsidTr="00F13DF4">
        <w:tc>
          <w:tcPr>
            <w:cnfStyle w:val="001000000000" w:firstRow="0" w:lastRow="0" w:firstColumn="1" w:lastColumn="0" w:oddVBand="0" w:evenVBand="0" w:oddHBand="0" w:evenHBand="0" w:firstRowFirstColumn="0" w:firstRowLastColumn="0" w:lastRowFirstColumn="0" w:lastRowLastColumn="0"/>
            <w:tcW w:w="2072" w:type="dxa"/>
            <w:shd w:val="clear" w:color="auto" w:fill="auto"/>
            <w:vAlign w:val="bottom"/>
          </w:tcPr>
          <w:p w14:paraId="27411723" w14:textId="6B25DD1A"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2018</w:t>
            </w:r>
          </w:p>
        </w:tc>
        <w:tc>
          <w:tcPr>
            <w:tcW w:w="1888" w:type="dxa"/>
            <w:shd w:val="clear" w:color="auto" w:fill="auto"/>
            <w:vAlign w:val="bottom"/>
          </w:tcPr>
          <w:p w14:paraId="07215596" w14:textId="64F66E5F" w:rsidR="00FB5109"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67.1%</w:t>
            </w:r>
          </w:p>
        </w:tc>
        <w:tc>
          <w:tcPr>
            <w:tcW w:w="1888" w:type="dxa"/>
            <w:shd w:val="clear" w:color="auto" w:fill="auto"/>
            <w:vAlign w:val="bottom"/>
          </w:tcPr>
          <w:p w14:paraId="24DD13FD" w14:textId="5CF517F7" w:rsidR="00FB5109"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78.1%</w:t>
            </w:r>
          </w:p>
        </w:tc>
        <w:tc>
          <w:tcPr>
            <w:tcW w:w="1751" w:type="dxa"/>
            <w:vAlign w:val="bottom"/>
          </w:tcPr>
          <w:p w14:paraId="5054A91A" w14:textId="41A53652" w:rsidR="00FB5109"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76.8%</w:t>
            </w:r>
          </w:p>
        </w:tc>
        <w:tc>
          <w:tcPr>
            <w:tcW w:w="1751" w:type="dxa"/>
            <w:vAlign w:val="bottom"/>
          </w:tcPr>
          <w:p w14:paraId="5AE81C44" w14:textId="7A21CE96" w:rsidR="00FB5109"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84.9%</w:t>
            </w:r>
          </w:p>
        </w:tc>
      </w:tr>
      <w:tr w:rsidR="00FB5109" w:rsidRPr="000E5B57" w14:paraId="34865883" w14:textId="45D5910F" w:rsidTr="00F13D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2" w:type="dxa"/>
            <w:shd w:val="clear" w:color="auto" w:fill="auto"/>
            <w:vAlign w:val="bottom"/>
          </w:tcPr>
          <w:p w14:paraId="3FBF3614" w14:textId="60593BAC"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2019</w:t>
            </w:r>
          </w:p>
        </w:tc>
        <w:tc>
          <w:tcPr>
            <w:tcW w:w="1888" w:type="dxa"/>
            <w:shd w:val="clear" w:color="auto" w:fill="auto"/>
            <w:vAlign w:val="bottom"/>
          </w:tcPr>
          <w:p w14:paraId="258A76CF" w14:textId="7DFF58C9" w:rsidR="00FB5109"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67.3%</w:t>
            </w:r>
          </w:p>
        </w:tc>
        <w:tc>
          <w:tcPr>
            <w:tcW w:w="1888" w:type="dxa"/>
            <w:shd w:val="clear" w:color="auto" w:fill="auto"/>
            <w:vAlign w:val="bottom"/>
          </w:tcPr>
          <w:p w14:paraId="4BFC98FF" w14:textId="47FE0072" w:rsidR="00FB5109"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78.1%</w:t>
            </w:r>
          </w:p>
        </w:tc>
        <w:tc>
          <w:tcPr>
            <w:tcW w:w="1751" w:type="dxa"/>
            <w:shd w:val="clear" w:color="auto" w:fill="auto"/>
            <w:vAlign w:val="bottom"/>
          </w:tcPr>
          <w:p w14:paraId="7EF486E1" w14:textId="7663DEC4" w:rsidR="00FB5109"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77.5%</w:t>
            </w:r>
          </w:p>
        </w:tc>
        <w:tc>
          <w:tcPr>
            <w:tcW w:w="1751" w:type="dxa"/>
            <w:shd w:val="clear" w:color="auto" w:fill="auto"/>
            <w:vAlign w:val="bottom"/>
          </w:tcPr>
          <w:p w14:paraId="2D2AD427" w14:textId="7065FEBC" w:rsidR="00FB5109"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84.7%</w:t>
            </w:r>
          </w:p>
        </w:tc>
      </w:tr>
      <w:tr w:rsidR="00FB5109" w:rsidRPr="000E5B57" w14:paraId="52F2B385" w14:textId="77777777" w:rsidTr="00F13DF4">
        <w:tc>
          <w:tcPr>
            <w:cnfStyle w:val="001000000000" w:firstRow="0" w:lastRow="0" w:firstColumn="1" w:lastColumn="0" w:oddVBand="0" w:evenVBand="0" w:oddHBand="0" w:evenHBand="0" w:firstRowFirstColumn="0" w:firstRowLastColumn="0" w:lastRowFirstColumn="0" w:lastRowLastColumn="0"/>
            <w:tcW w:w="2072" w:type="dxa"/>
            <w:shd w:val="clear" w:color="auto" w:fill="auto"/>
            <w:vAlign w:val="bottom"/>
          </w:tcPr>
          <w:p w14:paraId="4976452F" w14:textId="4296E9FC"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2020</w:t>
            </w:r>
          </w:p>
        </w:tc>
        <w:tc>
          <w:tcPr>
            <w:tcW w:w="1888" w:type="dxa"/>
            <w:shd w:val="clear" w:color="auto" w:fill="auto"/>
            <w:vAlign w:val="bottom"/>
          </w:tcPr>
          <w:p w14:paraId="594903D9" w14:textId="13EA641E"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65.0%</w:t>
            </w:r>
          </w:p>
        </w:tc>
        <w:tc>
          <w:tcPr>
            <w:tcW w:w="1888" w:type="dxa"/>
            <w:shd w:val="clear" w:color="auto" w:fill="auto"/>
            <w:vAlign w:val="bottom"/>
          </w:tcPr>
          <w:p w14:paraId="61258BA0" w14:textId="220F8314"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77.7%</w:t>
            </w:r>
          </w:p>
        </w:tc>
        <w:tc>
          <w:tcPr>
            <w:tcW w:w="1751" w:type="dxa"/>
            <w:shd w:val="clear" w:color="auto" w:fill="auto"/>
            <w:vAlign w:val="bottom"/>
          </w:tcPr>
          <w:p w14:paraId="786A5343" w14:textId="4824683D"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77.0%</w:t>
            </w:r>
          </w:p>
        </w:tc>
        <w:tc>
          <w:tcPr>
            <w:tcW w:w="1751" w:type="dxa"/>
            <w:shd w:val="clear" w:color="auto" w:fill="auto"/>
            <w:vAlign w:val="bottom"/>
          </w:tcPr>
          <w:p w14:paraId="22091EE3" w14:textId="37BFBB0F"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85.0%</w:t>
            </w:r>
          </w:p>
        </w:tc>
      </w:tr>
      <w:tr w:rsidR="00FB5109" w:rsidRPr="000E5B57" w14:paraId="5A11DC8C" w14:textId="77777777" w:rsidTr="00F13D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2" w:type="dxa"/>
            <w:shd w:val="clear" w:color="auto" w:fill="auto"/>
            <w:vAlign w:val="bottom"/>
          </w:tcPr>
          <w:p w14:paraId="77579FE7" w14:textId="7DAC243C"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2021</w:t>
            </w:r>
          </w:p>
        </w:tc>
        <w:tc>
          <w:tcPr>
            <w:tcW w:w="1888" w:type="dxa"/>
            <w:shd w:val="clear" w:color="auto" w:fill="auto"/>
            <w:vAlign w:val="bottom"/>
          </w:tcPr>
          <w:p w14:paraId="779E64DD" w14:textId="5178128D"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68.5%</w:t>
            </w:r>
          </w:p>
        </w:tc>
        <w:tc>
          <w:tcPr>
            <w:tcW w:w="1888" w:type="dxa"/>
            <w:shd w:val="clear" w:color="auto" w:fill="auto"/>
            <w:vAlign w:val="bottom"/>
          </w:tcPr>
          <w:p w14:paraId="12906D8C" w14:textId="066C9ED7"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74.9%</w:t>
            </w:r>
          </w:p>
        </w:tc>
        <w:tc>
          <w:tcPr>
            <w:tcW w:w="1751" w:type="dxa"/>
            <w:shd w:val="clear" w:color="auto" w:fill="auto"/>
            <w:vAlign w:val="bottom"/>
          </w:tcPr>
          <w:p w14:paraId="49C73FB1" w14:textId="10165C00"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76.3%</w:t>
            </w:r>
          </w:p>
        </w:tc>
        <w:tc>
          <w:tcPr>
            <w:tcW w:w="1751" w:type="dxa"/>
            <w:shd w:val="clear" w:color="auto" w:fill="auto"/>
            <w:vAlign w:val="bottom"/>
          </w:tcPr>
          <w:p w14:paraId="7BE34D1A" w14:textId="44D420D3"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79.3%</w:t>
            </w:r>
          </w:p>
        </w:tc>
      </w:tr>
      <w:tr w:rsidR="00FB5109" w:rsidRPr="000E5B57" w14:paraId="348AAC23" w14:textId="6C10E08E" w:rsidTr="00F13DF4">
        <w:tc>
          <w:tcPr>
            <w:cnfStyle w:val="001000000000" w:firstRow="0" w:lastRow="0" w:firstColumn="1" w:lastColumn="0" w:oddVBand="0" w:evenVBand="0" w:oddHBand="0" w:evenHBand="0" w:firstRowFirstColumn="0" w:firstRowLastColumn="0" w:lastRowFirstColumn="0" w:lastRowLastColumn="0"/>
            <w:tcW w:w="2072" w:type="dxa"/>
            <w:shd w:val="clear" w:color="auto" w:fill="auto"/>
            <w:vAlign w:val="bottom"/>
          </w:tcPr>
          <w:p w14:paraId="5F6BA620" w14:textId="7375E4E4"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2022</w:t>
            </w:r>
          </w:p>
        </w:tc>
        <w:tc>
          <w:tcPr>
            <w:tcW w:w="1888" w:type="dxa"/>
            <w:shd w:val="clear" w:color="auto" w:fill="auto"/>
            <w:vAlign w:val="bottom"/>
          </w:tcPr>
          <w:p w14:paraId="3FD111BC" w14:textId="18FC1AAB"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67.4%</w:t>
            </w:r>
          </w:p>
        </w:tc>
        <w:tc>
          <w:tcPr>
            <w:tcW w:w="1888" w:type="dxa"/>
            <w:shd w:val="clear" w:color="auto" w:fill="auto"/>
            <w:vAlign w:val="bottom"/>
          </w:tcPr>
          <w:p w14:paraId="52A239A7" w14:textId="1A97C7B3"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77.2%</w:t>
            </w:r>
          </w:p>
        </w:tc>
        <w:tc>
          <w:tcPr>
            <w:tcW w:w="1751" w:type="dxa"/>
            <w:shd w:val="clear" w:color="auto" w:fill="auto"/>
            <w:vAlign w:val="bottom"/>
          </w:tcPr>
          <w:p w14:paraId="77536316" w14:textId="4BD4CCA2"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72.8%</w:t>
            </w:r>
          </w:p>
        </w:tc>
        <w:tc>
          <w:tcPr>
            <w:tcW w:w="1751" w:type="dxa"/>
            <w:shd w:val="clear" w:color="auto" w:fill="auto"/>
            <w:vAlign w:val="bottom"/>
          </w:tcPr>
          <w:p w14:paraId="5E839A73" w14:textId="3DBB3BF1" w:rsidR="00FB5109" w:rsidRPr="00D3346B" w:rsidRDefault="00FB5109" w:rsidP="00FB5109">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79.5%</w:t>
            </w:r>
          </w:p>
        </w:tc>
      </w:tr>
      <w:tr w:rsidR="00FB5109" w:rsidRPr="000E5B57" w14:paraId="3A9DBD45" w14:textId="7089F857" w:rsidTr="00F13D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2" w:type="dxa"/>
            <w:tcBorders>
              <w:bottom w:val="single" w:sz="18" w:space="0" w:color="5C00D6"/>
            </w:tcBorders>
            <w:shd w:val="clear" w:color="auto" w:fill="auto"/>
            <w:vAlign w:val="bottom"/>
          </w:tcPr>
          <w:p w14:paraId="46FA86D8" w14:textId="26A3F3C7" w:rsidR="00FB5109" w:rsidRPr="00207DE5" w:rsidRDefault="00FB5109" w:rsidP="00FB5109">
            <w:pPr>
              <w:spacing w:before="0"/>
              <w:jc w:val="both"/>
              <w:rPr>
                <w:rFonts w:ascii="IBM Plex Sans" w:eastAsiaTheme="minorHAnsi" w:hAnsi="IBM Plex Sans" w:cs="Calibri"/>
                <w:b w:val="0"/>
                <w:bCs w:val="0"/>
                <w:sz w:val="20"/>
                <w:szCs w:val="20"/>
                <w:lang w:val="en-GB"/>
              </w:rPr>
            </w:pPr>
            <w:r w:rsidRPr="00207DE5">
              <w:rPr>
                <w:rFonts w:ascii="IBM Plex Sans" w:hAnsi="IBM Plex Sans" w:cs="Calibri"/>
                <w:b w:val="0"/>
                <w:bCs w:val="0"/>
                <w:color w:val="000000"/>
                <w:sz w:val="20"/>
                <w:szCs w:val="20"/>
              </w:rPr>
              <w:t>2023</w:t>
            </w:r>
          </w:p>
        </w:tc>
        <w:tc>
          <w:tcPr>
            <w:tcW w:w="1888" w:type="dxa"/>
            <w:tcBorders>
              <w:bottom w:val="single" w:sz="18" w:space="0" w:color="5C00D6"/>
            </w:tcBorders>
            <w:shd w:val="clear" w:color="auto" w:fill="auto"/>
            <w:vAlign w:val="bottom"/>
          </w:tcPr>
          <w:p w14:paraId="1413D4ED" w14:textId="52F76544"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67.7%</w:t>
            </w:r>
          </w:p>
        </w:tc>
        <w:tc>
          <w:tcPr>
            <w:tcW w:w="1888" w:type="dxa"/>
            <w:tcBorders>
              <w:bottom w:val="single" w:sz="18" w:space="0" w:color="5C00D6"/>
            </w:tcBorders>
            <w:shd w:val="clear" w:color="auto" w:fill="auto"/>
            <w:vAlign w:val="bottom"/>
          </w:tcPr>
          <w:p w14:paraId="57DC5460" w14:textId="77F4BDF0"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73.5%</w:t>
            </w:r>
          </w:p>
        </w:tc>
        <w:tc>
          <w:tcPr>
            <w:tcW w:w="1751" w:type="dxa"/>
            <w:tcBorders>
              <w:bottom w:val="single" w:sz="18" w:space="0" w:color="5C00D6"/>
            </w:tcBorders>
            <w:shd w:val="clear" w:color="auto" w:fill="auto"/>
            <w:vAlign w:val="bottom"/>
          </w:tcPr>
          <w:p w14:paraId="1082A48F" w14:textId="03279109"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75.4%</w:t>
            </w:r>
          </w:p>
        </w:tc>
        <w:tc>
          <w:tcPr>
            <w:tcW w:w="1751" w:type="dxa"/>
            <w:tcBorders>
              <w:bottom w:val="single" w:sz="18" w:space="0" w:color="5C00D6"/>
            </w:tcBorders>
            <w:shd w:val="clear" w:color="auto" w:fill="auto"/>
            <w:vAlign w:val="bottom"/>
          </w:tcPr>
          <w:p w14:paraId="78092121" w14:textId="1FF3A8AA" w:rsidR="00FB5109" w:rsidRPr="00D3346B" w:rsidRDefault="00FB5109" w:rsidP="00FB5109">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hAnsi="IBM Plex Sans" w:cs="Calibri"/>
                <w:color w:val="000000"/>
                <w:sz w:val="20"/>
                <w:szCs w:val="20"/>
              </w:rPr>
              <w:t>77.0%</w:t>
            </w:r>
          </w:p>
        </w:tc>
      </w:tr>
      <w:tr w:rsidR="00502DA6" w:rsidRPr="000E5B57" w14:paraId="5D219220" w14:textId="21427E79" w:rsidTr="00502DA6">
        <w:tc>
          <w:tcPr>
            <w:cnfStyle w:val="001000000000" w:firstRow="0" w:lastRow="0" w:firstColumn="1" w:lastColumn="0" w:oddVBand="0" w:evenVBand="0" w:oddHBand="0" w:evenHBand="0" w:firstRowFirstColumn="0" w:firstRowLastColumn="0" w:lastRowFirstColumn="0" w:lastRowLastColumn="0"/>
            <w:tcW w:w="2072" w:type="dxa"/>
            <w:tcBorders>
              <w:top w:val="single" w:sz="18" w:space="0" w:color="5C00D6"/>
              <w:bottom w:val="single" w:sz="18" w:space="0" w:color="5C00D6"/>
            </w:tcBorders>
            <w:shd w:val="clear" w:color="auto" w:fill="auto"/>
          </w:tcPr>
          <w:p w14:paraId="5072C41A" w14:textId="14B55AC3" w:rsidR="00502DA6" w:rsidRPr="00DF4A1B" w:rsidRDefault="00502DA6" w:rsidP="00F13DF4">
            <w:pPr>
              <w:spacing w:before="0"/>
              <w:jc w:val="both"/>
              <w:rPr>
                <w:rFonts w:ascii="IBM Plex Sans Medium" w:eastAsia="Times New Roman" w:hAnsi="IBM Plex Sans Medium" w:cs="Arial"/>
                <w:b w:val="0"/>
                <w:bCs w:val="0"/>
                <w:sz w:val="20"/>
                <w:szCs w:val="20"/>
                <w:lang w:eastAsia="en-GB"/>
              </w:rPr>
            </w:pPr>
            <w:r>
              <w:rPr>
                <w:rFonts w:ascii="IBM Plex Sans Medium" w:eastAsia="Times New Roman" w:hAnsi="IBM Plex Sans Medium" w:cs="Arial"/>
                <w:b w:val="0"/>
                <w:bCs w:val="0"/>
                <w:sz w:val="20"/>
                <w:szCs w:val="20"/>
                <w:lang w:eastAsia="en-GB"/>
              </w:rPr>
              <w:t>Change (ppt)</w:t>
            </w:r>
          </w:p>
        </w:tc>
        <w:tc>
          <w:tcPr>
            <w:tcW w:w="1888" w:type="dxa"/>
            <w:tcBorders>
              <w:top w:val="single" w:sz="18" w:space="0" w:color="5C00D6"/>
              <w:bottom w:val="single" w:sz="18" w:space="0" w:color="5C00D6"/>
            </w:tcBorders>
            <w:shd w:val="clear" w:color="auto" w:fill="auto"/>
          </w:tcPr>
          <w:p w14:paraId="5DD9F096" w14:textId="1C8F959D" w:rsidR="00502DA6" w:rsidRPr="00DF4A1B" w:rsidRDefault="00502DA6" w:rsidP="00F13DF4">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3.3</w:t>
            </w:r>
          </w:p>
        </w:tc>
        <w:tc>
          <w:tcPr>
            <w:tcW w:w="1888" w:type="dxa"/>
            <w:tcBorders>
              <w:top w:val="single" w:sz="18" w:space="0" w:color="5C00D6"/>
              <w:bottom w:val="single" w:sz="18" w:space="0" w:color="5C00D6"/>
            </w:tcBorders>
            <w:shd w:val="clear" w:color="auto" w:fill="auto"/>
          </w:tcPr>
          <w:p w14:paraId="0CEF8DDA" w14:textId="789CC3C7" w:rsidR="00502DA6" w:rsidRPr="00DF4A1B" w:rsidRDefault="00502DA6" w:rsidP="00F13DF4">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-3.6</w:t>
            </w:r>
          </w:p>
        </w:tc>
        <w:tc>
          <w:tcPr>
            <w:tcW w:w="1751" w:type="dxa"/>
            <w:tcBorders>
              <w:top w:val="single" w:sz="18" w:space="0" w:color="5C00D6"/>
              <w:bottom w:val="single" w:sz="18" w:space="0" w:color="5C00D6"/>
            </w:tcBorders>
            <w:shd w:val="clear" w:color="auto" w:fill="auto"/>
          </w:tcPr>
          <w:p w14:paraId="2989951C" w14:textId="4EA8036F" w:rsidR="00502DA6" w:rsidRDefault="00502DA6" w:rsidP="00F13DF4">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-3.8</w:t>
            </w:r>
          </w:p>
        </w:tc>
        <w:tc>
          <w:tcPr>
            <w:tcW w:w="1751" w:type="dxa"/>
            <w:tcBorders>
              <w:top w:val="single" w:sz="18" w:space="0" w:color="5C00D6"/>
              <w:bottom w:val="single" w:sz="18" w:space="0" w:color="5C00D6"/>
            </w:tcBorders>
            <w:shd w:val="clear" w:color="auto" w:fill="auto"/>
          </w:tcPr>
          <w:p w14:paraId="0EFAA9AC" w14:textId="1DFB7788" w:rsidR="00502DA6" w:rsidRDefault="00502DA6" w:rsidP="00F13DF4">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-7.4</w:t>
            </w:r>
          </w:p>
        </w:tc>
      </w:tr>
    </w:tbl>
    <w:p w14:paraId="23CE756E" w14:textId="77777777" w:rsidR="00FF5FE5" w:rsidRDefault="00FF5FE5" w:rsidP="00FF5FE5">
      <w:pPr>
        <w:spacing w:before="0" w:after="0"/>
        <w:rPr>
          <w:rFonts w:ascii="IBM Plex Sans" w:hAnsi="IBM Plex Sans" w:cs="Calibri"/>
          <w:sz w:val="22"/>
        </w:rPr>
      </w:pPr>
    </w:p>
    <w:p w14:paraId="1496045C" w14:textId="77777777" w:rsidR="005B400F" w:rsidRDefault="005B400F">
      <w:pPr>
        <w:spacing w:before="0" w:line="480" w:lineRule="auto"/>
        <w:ind w:firstLine="357"/>
        <w:rPr>
          <w:rStyle w:val="Hyperlink"/>
          <w:rFonts w:ascii="IBM Plex Sans Medium" w:hAnsi="IBM Plex Sans Medium"/>
          <w:noProof/>
          <w:color w:val="5C00D6"/>
          <w:u w:val="none"/>
        </w:rPr>
      </w:pPr>
      <w:r>
        <w:rPr>
          <w:rStyle w:val="Hyperlink"/>
          <w:rFonts w:ascii="IBM Plex Sans Medium" w:hAnsi="IBM Plex Sans Medium"/>
          <w:noProof/>
          <w:color w:val="5C00D6"/>
          <w:u w:val="none"/>
        </w:rPr>
        <w:br w:type="page"/>
      </w:r>
    </w:p>
    <w:p w14:paraId="71C8CF67" w14:textId="1AC50D25" w:rsidR="00DD7118" w:rsidRPr="00911FAE" w:rsidRDefault="00911FAE" w:rsidP="00911FAE">
      <w:pPr>
        <w:pStyle w:val="TableofFigures"/>
        <w:tabs>
          <w:tab w:val="right" w:leader="dot" w:pos="9350"/>
        </w:tabs>
        <w:spacing w:before="0"/>
        <w:outlineLvl w:val="1"/>
        <w:rPr>
          <w:rStyle w:val="Hyperlink"/>
          <w:rFonts w:ascii="IBM Plex Sans Medium" w:hAnsi="IBM Plex Sans Medium"/>
          <w:noProof/>
          <w:color w:val="5C00D6"/>
          <w:u w:val="none"/>
        </w:rPr>
      </w:pPr>
      <w:bookmarkStart w:id="25" w:name="_Toc157514636"/>
      <w:r w:rsidRPr="00911FAE">
        <w:rPr>
          <w:rStyle w:val="Hyperlink"/>
          <w:rFonts w:ascii="IBM Plex Sans Medium" w:hAnsi="IBM Plex Sans Medium"/>
          <w:noProof/>
          <w:color w:val="5C00D6"/>
          <w:u w:val="none"/>
        </w:rPr>
        <w:lastRenderedPageBreak/>
        <w:t>Earnings distribution</w:t>
      </w:r>
      <w:bookmarkEnd w:id="25"/>
    </w:p>
    <w:p w14:paraId="7EC85670" w14:textId="5110BF12" w:rsidR="006134A6" w:rsidRDefault="00096E70" w:rsidP="00420BFB">
      <w:pPr>
        <w:jc w:val="both"/>
        <w:rPr>
          <w:rFonts w:ascii="IBM Plex Sans" w:hAnsi="IBM Plex Sans" w:cs="Calibri"/>
          <w:sz w:val="22"/>
        </w:rPr>
      </w:pPr>
      <w:r w:rsidRPr="00096E70">
        <w:rPr>
          <w:rFonts w:ascii="IBM Plex Sans" w:hAnsi="IBM Plex Sans" w:cs="Calibri"/>
          <w:sz w:val="22"/>
        </w:rPr>
        <w:t xml:space="preserve">The distribution of </w:t>
      </w:r>
      <w:r w:rsidR="007F3A64">
        <w:rPr>
          <w:rFonts w:ascii="IBM Plex Sans" w:hAnsi="IBM Plex Sans" w:cs="Calibri"/>
          <w:sz w:val="22"/>
        </w:rPr>
        <w:t xml:space="preserve">hourly </w:t>
      </w:r>
      <w:r w:rsidR="00242559">
        <w:rPr>
          <w:rFonts w:ascii="IBM Plex Sans" w:hAnsi="IBM Plex Sans" w:cs="Calibri"/>
          <w:sz w:val="22"/>
        </w:rPr>
        <w:t xml:space="preserve">pay for </w:t>
      </w:r>
      <w:r w:rsidRPr="00096E70">
        <w:rPr>
          <w:rFonts w:ascii="IBM Plex Sans" w:hAnsi="IBM Plex Sans" w:cs="Calibri"/>
          <w:sz w:val="22"/>
        </w:rPr>
        <w:t>men and women</w:t>
      </w:r>
      <w:r w:rsidR="00242559">
        <w:rPr>
          <w:rFonts w:ascii="IBM Plex Sans" w:hAnsi="IBM Plex Sans" w:cs="Calibri"/>
          <w:sz w:val="22"/>
        </w:rPr>
        <w:t xml:space="preserve"> at Public Health Wales </w:t>
      </w:r>
      <w:r w:rsidR="0074133A">
        <w:rPr>
          <w:rFonts w:ascii="IBM Plex Sans" w:hAnsi="IBM Plex Sans" w:cs="Calibri"/>
          <w:sz w:val="22"/>
        </w:rPr>
        <w:t xml:space="preserve">shows a </w:t>
      </w:r>
      <w:r w:rsidR="00420BFB">
        <w:rPr>
          <w:rFonts w:ascii="IBM Plex Sans" w:hAnsi="IBM Plex Sans" w:cs="Calibri"/>
          <w:sz w:val="22"/>
        </w:rPr>
        <w:t xml:space="preserve">clear spike </w:t>
      </w:r>
      <w:r w:rsidR="002843A0">
        <w:rPr>
          <w:rFonts w:ascii="IBM Plex Sans" w:hAnsi="IBM Plex Sans" w:cs="Calibri"/>
          <w:sz w:val="22"/>
        </w:rPr>
        <w:t xml:space="preserve">in the proportion of </w:t>
      </w:r>
      <w:r w:rsidR="00420BFB">
        <w:rPr>
          <w:rFonts w:ascii="IBM Plex Sans" w:hAnsi="IBM Plex Sans" w:cs="Calibri"/>
          <w:sz w:val="22"/>
        </w:rPr>
        <w:t xml:space="preserve">men at the very top of the </w:t>
      </w:r>
      <w:r w:rsidR="007E75C7">
        <w:rPr>
          <w:rFonts w:ascii="IBM Plex Sans" w:hAnsi="IBM Plex Sans" w:cs="Calibri"/>
          <w:sz w:val="22"/>
        </w:rPr>
        <w:t xml:space="preserve">earnings </w:t>
      </w:r>
      <w:r w:rsidR="00420BFB">
        <w:rPr>
          <w:rFonts w:ascii="IBM Plex Sans" w:hAnsi="IBM Plex Sans" w:cs="Calibri"/>
          <w:sz w:val="22"/>
        </w:rPr>
        <w:t>distribution</w:t>
      </w:r>
      <w:r w:rsidR="00804C58">
        <w:rPr>
          <w:rFonts w:ascii="IBM Plex Sans" w:hAnsi="IBM Plex Sans" w:cs="Calibri"/>
          <w:sz w:val="22"/>
        </w:rPr>
        <w:t xml:space="preserve"> (see Figure 5)</w:t>
      </w:r>
      <w:r w:rsidR="007E75C7">
        <w:rPr>
          <w:rFonts w:ascii="IBM Plex Sans" w:hAnsi="IBM Plex Sans" w:cs="Calibri"/>
          <w:sz w:val="22"/>
        </w:rPr>
        <w:t>. This is a clear</w:t>
      </w:r>
      <w:r w:rsidR="00420BFB">
        <w:rPr>
          <w:rFonts w:ascii="IBM Plex Sans" w:hAnsi="IBM Plex Sans" w:cs="Calibri"/>
          <w:sz w:val="22"/>
        </w:rPr>
        <w:t xml:space="preserve"> driv</w:t>
      </w:r>
      <w:r w:rsidR="007E75C7">
        <w:rPr>
          <w:rFonts w:ascii="IBM Plex Sans" w:hAnsi="IBM Plex Sans" w:cs="Calibri"/>
          <w:sz w:val="22"/>
        </w:rPr>
        <w:t>er of</w:t>
      </w:r>
      <w:r w:rsidR="00420BFB">
        <w:rPr>
          <w:rFonts w:ascii="IBM Plex Sans" w:hAnsi="IBM Plex Sans" w:cs="Calibri"/>
          <w:sz w:val="22"/>
        </w:rPr>
        <w:t xml:space="preserve"> the high</w:t>
      </w:r>
      <w:r w:rsidR="00405E4A">
        <w:rPr>
          <w:rFonts w:ascii="IBM Plex Sans" w:hAnsi="IBM Plex Sans" w:cs="Calibri"/>
          <w:sz w:val="22"/>
        </w:rPr>
        <w:t xml:space="preserve"> mean</w:t>
      </w:r>
      <w:r w:rsidR="00420BFB">
        <w:rPr>
          <w:rFonts w:ascii="IBM Plex Sans" w:hAnsi="IBM Plex Sans" w:cs="Calibri"/>
          <w:sz w:val="22"/>
        </w:rPr>
        <w:t xml:space="preserve"> gender</w:t>
      </w:r>
      <w:r w:rsidR="00405E4A">
        <w:rPr>
          <w:rFonts w:ascii="IBM Plex Sans" w:hAnsi="IBM Plex Sans" w:cs="Calibri"/>
          <w:sz w:val="22"/>
        </w:rPr>
        <w:t xml:space="preserve"> pay gap</w:t>
      </w:r>
      <w:r w:rsidR="00804C58">
        <w:rPr>
          <w:rFonts w:ascii="IBM Plex Sans" w:hAnsi="IBM Plex Sans" w:cs="Calibri"/>
          <w:sz w:val="22"/>
        </w:rPr>
        <w:t xml:space="preserve"> as</w:t>
      </w:r>
      <w:r w:rsidR="00405E4A">
        <w:rPr>
          <w:rFonts w:ascii="IBM Plex Sans" w:hAnsi="IBM Plex Sans" w:cs="Calibri"/>
          <w:sz w:val="22"/>
        </w:rPr>
        <w:t xml:space="preserve"> compared to the low median </w:t>
      </w:r>
      <w:r w:rsidR="00420BFB">
        <w:rPr>
          <w:rFonts w:ascii="IBM Plex Sans" w:hAnsi="IBM Plex Sans" w:cs="Calibri"/>
          <w:sz w:val="22"/>
        </w:rPr>
        <w:t>gender pay gap</w:t>
      </w:r>
      <w:r w:rsidR="000750B7">
        <w:rPr>
          <w:rFonts w:ascii="IBM Plex Sans" w:hAnsi="IBM Plex Sans" w:cs="Calibri"/>
          <w:sz w:val="22"/>
        </w:rPr>
        <w:t>.</w:t>
      </w:r>
      <w:r w:rsidR="00420BFB">
        <w:rPr>
          <w:rFonts w:ascii="IBM Plex Sans" w:hAnsi="IBM Plex Sans" w:cs="Calibri"/>
          <w:sz w:val="22"/>
        </w:rPr>
        <w:t xml:space="preserve"> </w:t>
      </w:r>
      <w:r w:rsidR="006134A6">
        <w:rPr>
          <w:rFonts w:ascii="IBM Plex Sans" w:hAnsi="IBM Plex Sans" w:cs="Calibri"/>
          <w:sz w:val="22"/>
        </w:rPr>
        <w:t xml:space="preserve">The proportion of men </w:t>
      </w:r>
      <w:r w:rsidR="00C715C2">
        <w:rPr>
          <w:rFonts w:ascii="IBM Plex Sans" w:hAnsi="IBM Plex Sans" w:cs="Calibri"/>
          <w:sz w:val="22"/>
        </w:rPr>
        <w:t>with the highest earnings</w:t>
      </w:r>
      <w:r w:rsidR="005666BA">
        <w:rPr>
          <w:rFonts w:ascii="IBM Plex Sans" w:hAnsi="IBM Plex Sans" w:cs="Calibri"/>
          <w:sz w:val="22"/>
        </w:rPr>
        <w:t>,</w:t>
      </w:r>
      <w:r w:rsidR="00C715C2">
        <w:rPr>
          <w:rFonts w:ascii="IBM Plex Sans" w:hAnsi="IBM Plex Sans" w:cs="Calibri"/>
          <w:sz w:val="22"/>
        </w:rPr>
        <w:t xml:space="preserve"> (£</w:t>
      </w:r>
      <w:r w:rsidR="006134A6">
        <w:rPr>
          <w:rFonts w:ascii="IBM Plex Sans" w:hAnsi="IBM Plex Sans" w:cs="Calibri"/>
          <w:sz w:val="22"/>
        </w:rPr>
        <w:t>55.</w:t>
      </w:r>
      <w:r w:rsidR="00963BEC">
        <w:rPr>
          <w:rFonts w:ascii="IBM Plex Sans" w:hAnsi="IBM Plex Sans" w:cs="Calibri"/>
          <w:sz w:val="22"/>
        </w:rPr>
        <w:t>72</w:t>
      </w:r>
      <w:r w:rsidR="006134A6">
        <w:rPr>
          <w:rFonts w:ascii="IBM Plex Sans" w:hAnsi="IBM Plex Sans" w:cs="Calibri"/>
          <w:sz w:val="22"/>
        </w:rPr>
        <w:t xml:space="preserve"> an hour and more</w:t>
      </w:r>
      <w:r w:rsidR="00C715C2">
        <w:rPr>
          <w:rFonts w:ascii="IBM Plex Sans" w:hAnsi="IBM Plex Sans" w:cs="Calibri"/>
          <w:sz w:val="22"/>
        </w:rPr>
        <w:t>)</w:t>
      </w:r>
      <w:r w:rsidR="00C17DEF">
        <w:rPr>
          <w:rFonts w:ascii="IBM Plex Sans" w:hAnsi="IBM Plex Sans" w:cs="Calibri"/>
          <w:sz w:val="22"/>
        </w:rPr>
        <w:t>,</w:t>
      </w:r>
      <w:r w:rsidR="00C715C2">
        <w:rPr>
          <w:rFonts w:ascii="IBM Plex Sans" w:hAnsi="IBM Plex Sans" w:cs="Calibri"/>
          <w:sz w:val="22"/>
        </w:rPr>
        <w:t xml:space="preserve"> </w:t>
      </w:r>
      <w:r w:rsidR="006134A6">
        <w:rPr>
          <w:rFonts w:ascii="IBM Plex Sans" w:hAnsi="IBM Plex Sans" w:cs="Calibri"/>
          <w:sz w:val="22"/>
        </w:rPr>
        <w:t xml:space="preserve">is </w:t>
      </w:r>
      <w:r w:rsidR="00963BEC">
        <w:rPr>
          <w:rFonts w:ascii="IBM Plex Sans" w:hAnsi="IBM Plex Sans" w:cs="Calibri"/>
          <w:sz w:val="22"/>
        </w:rPr>
        <w:t>4.4</w:t>
      </w:r>
      <w:r w:rsidR="006134A6">
        <w:rPr>
          <w:rFonts w:ascii="IBM Plex Sans" w:hAnsi="IBM Plex Sans" w:cs="Calibri"/>
          <w:sz w:val="22"/>
        </w:rPr>
        <w:t>%</w:t>
      </w:r>
      <w:r w:rsidR="00C56F2D">
        <w:rPr>
          <w:rFonts w:ascii="IBM Plex Sans" w:hAnsi="IBM Plex Sans" w:cs="Calibri"/>
          <w:sz w:val="22"/>
        </w:rPr>
        <w:t>;</w:t>
      </w:r>
      <w:r w:rsidR="00BF53CC">
        <w:rPr>
          <w:rFonts w:ascii="IBM Plex Sans" w:hAnsi="IBM Plex Sans" w:cs="Calibri"/>
          <w:sz w:val="22"/>
        </w:rPr>
        <w:t xml:space="preserve"> </w:t>
      </w:r>
      <w:r w:rsidR="00C56F2D">
        <w:rPr>
          <w:rFonts w:ascii="IBM Plex Sans" w:hAnsi="IBM Plex Sans" w:cs="Calibri"/>
          <w:sz w:val="22"/>
        </w:rPr>
        <w:t xml:space="preserve">this is </w:t>
      </w:r>
      <w:r w:rsidR="007C19E2">
        <w:rPr>
          <w:rFonts w:ascii="IBM Plex Sans" w:hAnsi="IBM Plex Sans" w:cs="Calibri"/>
          <w:sz w:val="22"/>
        </w:rPr>
        <w:t xml:space="preserve">more than double </w:t>
      </w:r>
      <w:r w:rsidR="00286BB7">
        <w:rPr>
          <w:rFonts w:ascii="IBM Plex Sans" w:hAnsi="IBM Plex Sans" w:cs="Calibri"/>
          <w:sz w:val="22"/>
        </w:rPr>
        <w:t>the 2</w:t>
      </w:r>
      <w:r w:rsidR="00963BEC">
        <w:rPr>
          <w:rFonts w:ascii="IBM Plex Sans" w:hAnsi="IBM Plex Sans" w:cs="Calibri"/>
          <w:sz w:val="22"/>
        </w:rPr>
        <w:t xml:space="preserve">.0% of </w:t>
      </w:r>
      <w:r w:rsidR="00BF53CC">
        <w:rPr>
          <w:rFonts w:ascii="IBM Plex Sans" w:hAnsi="IBM Plex Sans" w:cs="Calibri"/>
          <w:sz w:val="22"/>
        </w:rPr>
        <w:t>women with earnings at this level</w:t>
      </w:r>
      <w:r w:rsidR="00F96A0F">
        <w:rPr>
          <w:rFonts w:ascii="IBM Plex Sans" w:hAnsi="IBM Plex Sans" w:cs="Calibri"/>
          <w:sz w:val="22"/>
        </w:rPr>
        <w:t>.</w:t>
      </w:r>
      <w:r w:rsidR="004F304A">
        <w:rPr>
          <w:rFonts w:ascii="IBM Plex Sans" w:hAnsi="IBM Plex Sans" w:cs="Calibri"/>
          <w:sz w:val="22"/>
        </w:rPr>
        <w:t xml:space="preserve"> </w:t>
      </w:r>
      <w:r w:rsidR="00F96A0F">
        <w:rPr>
          <w:rFonts w:ascii="IBM Plex Sans" w:hAnsi="IBM Plex Sans" w:cs="Calibri"/>
          <w:sz w:val="22"/>
        </w:rPr>
        <w:t xml:space="preserve">This </w:t>
      </w:r>
      <w:r w:rsidR="00E01436">
        <w:rPr>
          <w:rFonts w:ascii="IBM Plex Sans" w:hAnsi="IBM Plex Sans" w:cs="Calibri"/>
          <w:sz w:val="22"/>
        </w:rPr>
        <w:t xml:space="preserve">is also </w:t>
      </w:r>
      <w:r w:rsidR="00F96A0F">
        <w:rPr>
          <w:rFonts w:ascii="IBM Plex Sans" w:hAnsi="IBM Plex Sans" w:cs="Calibri"/>
          <w:sz w:val="22"/>
        </w:rPr>
        <w:t xml:space="preserve">the largest </w:t>
      </w:r>
      <w:r w:rsidR="003423C5">
        <w:rPr>
          <w:rFonts w:ascii="IBM Plex Sans" w:hAnsi="IBM Plex Sans" w:cs="Calibri"/>
          <w:sz w:val="22"/>
        </w:rPr>
        <w:t>differen</w:t>
      </w:r>
      <w:r w:rsidR="004F304A">
        <w:rPr>
          <w:rFonts w:ascii="IBM Plex Sans" w:hAnsi="IBM Plex Sans" w:cs="Calibri"/>
          <w:sz w:val="22"/>
        </w:rPr>
        <w:t>ce in the proportion</w:t>
      </w:r>
      <w:r w:rsidR="00282D44">
        <w:rPr>
          <w:rFonts w:ascii="IBM Plex Sans" w:hAnsi="IBM Plex Sans" w:cs="Calibri"/>
          <w:sz w:val="22"/>
        </w:rPr>
        <w:t>s</w:t>
      </w:r>
      <w:r w:rsidR="004F304A">
        <w:rPr>
          <w:rFonts w:ascii="IBM Plex Sans" w:hAnsi="IBM Plex Sans" w:cs="Calibri"/>
          <w:sz w:val="22"/>
        </w:rPr>
        <w:t xml:space="preserve"> of m</w:t>
      </w:r>
      <w:r w:rsidR="003423C5">
        <w:rPr>
          <w:rFonts w:ascii="IBM Plex Sans" w:hAnsi="IBM Plex Sans" w:cs="Calibri"/>
          <w:sz w:val="22"/>
        </w:rPr>
        <w:t xml:space="preserve">en and women </w:t>
      </w:r>
      <w:r w:rsidR="00B03621">
        <w:rPr>
          <w:rFonts w:ascii="IBM Plex Sans" w:hAnsi="IBM Plex Sans" w:cs="Calibri"/>
          <w:sz w:val="22"/>
        </w:rPr>
        <w:t xml:space="preserve">across the entire distribution. </w:t>
      </w:r>
    </w:p>
    <w:p w14:paraId="2B24B834" w14:textId="41089172" w:rsidR="0026619D" w:rsidRDefault="0026619D" w:rsidP="005C6676">
      <w:pPr>
        <w:pStyle w:val="Caption"/>
        <w:spacing w:before="0" w:after="0"/>
        <w:rPr>
          <w:rFonts w:ascii="IBM Plex Sans Medium" w:hAnsi="IBM Plex Sans Medium" w:cs="Calibri"/>
          <w:b w:val="0"/>
          <w:bCs w:val="0"/>
          <w:sz w:val="20"/>
          <w:szCs w:val="20"/>
        </w:rPr>
      </w:pPr>
      <w:bookmarkStart w:id="26" w:name="_Toc157514657"/>
      <w:r w:rsidRPr="005C6676">
        <w:rPr>
          <w:rFonts w:ascii="IBM Plex Sans Medium" w:hAnsi="IBM Plex Sans Medium" w:cs="Calibri"/>
          <w:b w:val="0"/>
          <w:bCs w:val="0"/>
          <w:sz w:val="20"/>
          <w:szCs w:val="20"/>
        </w:rPr>
        <w:t xml:space="preserve">Figure </w:t>
      </w:r>
      <w:r w:rsidRPr="005C6676">
        <w:rPr>
          <w:rFonts w:ascii="IBM Plex Sans Medium" w:hAnsi="IBM Plex Sans Medium" w:cs="Calibri"/>
          <w:b w:val="0"/>
          <w:bCs w:val="0"/>
          <w:sz w:val="20"/>
          <w:szCs w:val="20"/>
        </w:rPr>
        <w:fldChar w:fldCharType="begin"/>
      </w:r>
      <w:r w:rsidRPr="005C6676">
        <w:rPr>
          <w:rFonts w:ascii="IBM Plex Sans Medium" w:hAnsi="IBM Plex Sans Medium" w:cs="Calibri"/>
          <w:b w:val="0"/>
          <w:bCs w:val="0"/>
          <w:sz w:val="20"/>
          <w:szCs w:val="20"/>
        </w:rPr>
        <w:instrText xml:space="preserve"> SEQ Figure \* ARABIC </w:instrText>
      </w:r>
      <w:r w:rsidRPr="005C6676">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5</w:t>
      </w:r>
      <w:r w:rsidRPr="005C6676">
        <w:rPr>
          <w:rFonts w:ascii="IBM Plex Sans Medium" w:hAnsi="IBM Plex Sans Medium" w:cs="Calibri"/>
          <w:b w:val="0"/>
          <w:bCs w:val="0"/>
          <w:sz w:val="20"/>
          <w:szCs w:val="20"/>
        </w:rPr>
        <w:fldChar w:fldCharType="end"/>
      </w:r>
      <w:r w:rsidRPr="005C6676">
        <w:rPr>
          <w:rFonts w:ascii="IBM Plex Sans Medium" w:hAnsi="IBM Plex Sans Medium" w:cs="Calibri"/>
          <w:b w:val="0"/>
          <w:bCs w:val="0"/>
          <w:sz w:val="20"/>
          <w:szCs w:val="20"/>
        </w:rPr>
        <w:t xml:space="preserve"> </w:t>
      </w:r>
      <w:r w:rsidR="005C6676" w:rsidRPr="005C6676">
        <w:rPr>
          <w:rFonts w:ascii="IBM Plex Sans Medium" w:hAnsi="IBM Plex Sans Medium" w:cs="Calibri"/>
          <w:b w:val="0"/>
          <w:bCs w:val="0"/>
          <w:sz w:val="20"/>
          <w:szCs w:val="20"/>
        </w:rPr>
        <w:t>Earnings d</w:t>
      </w:r>
      <w:r w:rsidRPr="005C6676">
        <w:rPr>
          <w:rFonts w:ascii="IBM Plex Sans Medium" w:hAnsi="IBM Plex Sans Medium" w:cs="Calibri"/>
          <w:b w:val="0"/>
          <w:bCs w:val="0"/>
          <w:sz w:val="20"/>
          <w:szCs w:val="20"/>
        </w:rPr>
        <w:t xml:space="preserve">istribution </w:t>
      </w:r>
      <w:r w:rsidR="005C6676" w:rsidRPr="005C6676">
        <w:rPr>
          <w:rFonts w:ascii="IBM Plex Sans Medium" w:hAnsi="IBM Plex Sans Medium" w:cs="Calibri"/>
          <w:b w:val="0"/>
          <w:bCs w:val="0"/>
          <w:sz w:val="20"/>
          <w:szCs w:val="20"/>
        </w:rPr>
        <w:t>for men and women at Public Health Wales</w:t>
      </w:r>
      <w:bookmarkEnd w:id="26"/>
      <w:r w:rsidR="005C6676" w:rsidRPr="005C6676">
        <w:rPr>
          <w:rFonts w:ascii="IBM Plex Sans Medium" w:hAnsi="IBM Plex Sans Medium" w:cs="Calibri"/>
          <w:b w:val="0"/>
          <w:bCs w:val="0"/>
          <w:sz w:val="20"/>
          <w:szCs w:val="20"/>
        </w:rPr>
        <w:tab/>
      </w:r>
    </w:p>
    <w:p w14:paraId="6D2ACA2A" w14:textId="40DBC040" w:rsidR="00096E70" w:rsidRDefault="00DC2514" w:rsidP="00F54C32">
      <w:pPr>
        <w:rPr>
          <w:rFonts w:ascii="IBM Plex Sans" w:eastAsiaTheme="minorHAnsi" w:hAnsi="IBM Plex Sans" w:cs="Calibri"/>
          <w:color w:val="5C00D6"/>
        </w:rPr>
      </w:pPr>
      <w:r>
        <w:rPr>
          <w:noProof/>
        </w:rPr>
        <w:drawing>
          <wp:inline distT="0" distB="0" distL="0" distR="0" wp14:anchorId="496B25D9" wp14:editId="3963DBC6">
            <wp:extent cx="5940000" cy="4212000"/>
            <wp:effectExtent l="0" t="0" r="3810" b="0"/>
            <wp:docPr id="350529112" name="Chart 1">
              <a:extLst xmlns:a="http://schemas.openxmlformats.org/drawingml/2006/main">
                <a:ext uri="{FF2B5EF4-FFF2-40B4-BE49-F238E27FC236}">
                  <a16:creationId xmlns:a16="http://schemas.microsoft.com/office/drawing/2014/main" id="{1232E04E-1F9E-A97C-A37D-980983DF5F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B82C753" w14:textId="540E0BE8" w:rsidR="00C32EE4" w:rsidRDefault="00C32EE4">
      <w:pPr>
        <w:spacing w:before="0" w:line="480" w:lineRule="auto"/>
        <w:ind w:firstLine="357"/>
        <w:rPr>
          <w:rFonts w:ascii="IBM Plex Sans" w:eastAsiaTheme="minorHAnsi" w:hAnsi="IBM Plex Sans" w:cs="Calibri"/>
          <w:color w:val="5C00D6"/>
        </w:rPr>
      </w:pPr>
      <w:r>
        <w:rPr>
          <w:rFonts w:ascii="IBM Plex Sans" w:eastAsiaTheme="minorHAnsi" w:hAnsi="IBM Plex Sans" w:cs="Calibri"/>
          <w:color w:val="5C00D6"/>
        </w:rPr>
        <w:br w:type="page"/>
      </w:r>
    </w:p>
    <w:p w14:paraId="452F5A7F" w14:textId="181D1A1B" w:rsidR="008F71F3" w:rsidRPr="00AC6A2F" w:rsidRDefault="008F71F3" w:rsidP="00C101C5">
      <w:pPr>
        <w:pStyle w:val="TableofFigures"/>
        <w:tabs>
          <w:tab w:val="right" w:leader="dot" w:pos="9350"/>
        </w:tabs>
        <w:spacing w:before="0"/>
        <w:jc w:val="both"/>
        <w:outlineLvl w:val="0"/>
        <w:rPr>
          <w:rStyle w:val="Hyperlink"/>
          <w:rFonts w:ascii="IBM Plex Sans Light" w:hAnsi="IBM Plex Sans Light" w:cs="Calibri"/>
          <w:noProof/>
          <w:color w:val="5C00D6"/>
          <w:sz w:val="32"/>
          <w:szCs w:val="32"/>
          <w:u w:val="none"/>
        </w:rPr>
      </w:pPr>
      <w:bookmarkStart w:id="27" w:name="_Toc157514637"/>
      <w:r>
        <w:rPr>
          <w:rStyle w:val="Hyperlink"/>
          <w:rFonts w:ascii="IBM Plex Sans Light" w:hAnsi="IBM Plex Sans Light" w:cs="Calibri"/>
          <w:noProof/>
          <w:color w:val="5C00D6"/>
          <w:sz w:val="32"/>
          <w:szCs w:val="32"/>
          <w:u w:val="none"/>
        </w:rPr>
        <w:lastRenderedPageBreak/>
        <w:t>The gender pay gap in detail</w:t>
      </w:r>
      <w:bookmarkEnd w:id="27"/>
    </w:p>
    <w:p w14:paraId="18414BC0" w14:textId="57F9FE8B" w:rsidR="00C101C5" w:rsidRDefault="00B977CE" w:rsidP="00C101C5">
      <w:pPr>
        <w:pStyle w:val="TableofFigures"/>
        <w:tabs>
          <w:tab w:val="right" w:leader="dot" w:pos="9350"/>
        </w:tabs>
        <w:spacing w:before="0"/>
        <w:jc w:val="both"/>
        <w:rPr>
          <w:rFonts w:ascii="IBM Plex Sans" w:eastAsiaTheme="minorHAnsi" w:hAnsi="IBM Plex Sans" w:cs="Calibri"/>
          <w:sz w:val="22"/>
        </w:rPr>
      </w:pPr>
      <w:r>
        <w:rPr>
          <w:rFonts w:ascii="IBM Plex Sans" w:eastAsiaTheme="minorHAnsi" w:hAnsi="IBM Plex Sans" w:cs="Calibri"/>
          <w:sz w:val="22"/>
        </w:rPr>
        <w:t>Headline g</w:t>
      </w:r>
      <w:r w:rsidR="00A878A6">
        <w:rPr>
          <w:rFonts w:ascii="IBM Plex Sans" w:eastAsiaTheme="minorHAnsi" w:hAnsi="IBM Plex Sans" w:cs="Calibri"/>
          <w:sz w:val="22"/>
        </w:rPr>
        <w:t xml:space="preserve">ender pay gap reporting </w:t>
      </w:r>
      <w:r w:rsidR="00C101C5" w:rsidRPr="00C101C5">
        <w:rPr>
          <w:rFonts w:ascii="IBM Plex Sans" w:eastAsiaTheme="minorHAnsi" w:hAnsi="IBM Plex Sans" w:cs="Calibri"/>
          <w:sz w:val="22"/>
        </w:rPr>
        <w:t xml:space="preserve">figures are useful for providing a broad indication of average pay gaps, but they are not designed to </w:t>
      </w:r>
      <w:r w:rsidR="00533CF4">
        <w:rPr>
          <w:rFonts w:ascii="IBM Plex Sans" w:eastAsiaTheme="minorHAnsi" w:hAnsi="IBM Plex Sans" w:cs="Calibri"/>
          <w:sz w:val="22"/>
        </w:rPr>
        <w:t>reveal</w:t>
      </w:r>
      <w:r w:rsidR="00C101C5" w:rsidRPr="00C101C5">
        <w:rPr>
          <w:rFonts w:ascii="IBM Plex Sans" w:eastAsiaTheme="minorHAnsi" w:hAnsi="IBM Plex Sans" w:cs="Calibri"/>
          <w:sz w:val="22"/>
        </w:rPr>
        <w:t xml:space="preserve"> whether employers might be discriminating against women either directly or indirectly</w:t>
      </w:r>
      <w:r w:rsidR="00A878A6">
        <w:rPr>
          <w:rFonts w:ascii="IBM Plex Sans" w:eastAsiaTheme="minorHAnsi" w:hAnsi="IBM Plex Sans" w:cs="Calibri"/>
          <w:sz w:val="22"/>
        </w:rPr>
        <w:t xml:space="preserve">. </w:t>
      </w:r>
      <w:r w:rsidR="004A6EBF">
        <w:rPr>
          <w:rFonts w:ascii="IBM Plex Sans" w:eastAsiaTheme="minorHAnsi" w:hAnsi="IBM Plex Sans" w:cs="Calibri"/>
          <w:sz w:val="22"/>
        </w:rPr>
        <w:t xml:space="preserve">On their own </w:t>
      </w:r>
      <w:r w:rsidR="0054141E">
        <w:rPr>
          <w:rFonts w:ascii="IBM Plex Sans" w:eastAsiaTheme="minorHAnsi" w:hAnsi="IBM Plex Sans" w:cs="Calibri"/>
          <w:sz w:val="22"/>
        </w:rPr>
        <w:t xml:space="preserve">these </w:t>
      </w:r>
      <w:r>
        <w:rPr>
          <w:rFonts w:ascii="IBM Plex Sans" w:eastAsiaTheme="minorHAnsi" w:hAnsi="IBM Plex Sans" w:cs="Calibri"/>
          <w:sz w:val="22"/>
        </w:rPr>
        <w:t xml:space="preserve">headline </w:t>
      </w:r>
      <w:r w:rsidR="0054141E">
        <w:rPr>
          <w:rFonts w:ascii="IBM Plex Sans" w:eastAsiaTheme="minorHAnsi" w:hAnsi="IBM Plex Sans" w:cs="Calibri"/>
          <w:sz w:val="22"/>
        </w:rPr>
        <w:t>statistics ar</w:t>
      </w:r>
      <w:r w:rsidR="004A6EBF" w:rsidRPr="004858C2">
        <w:rPr>
          <w:rFonts w:ascii="IBM Plex Sans" w:eastAsiaTheme="minorHAnsi" w:hAnsi="IBM Plex Sans" w:cs="Calibri"/>
          <w:sz w:val="22"/>
        </w:rPr>
        <w:t xml:space="preserve">e not enough to </w:t>
      </w:r>
      <w:r w:rsidR="00FD3712">
        <w:rPr>
          <w:rFonts w:ascii="IBM Plex Sans" w:eastAsiaTheme="minorHAnsi" w:hAnsi="IBM Plex Sans" w:cs="Calibri"/>
          <w:sz w:val="22"/>
        </w:rPr>
        <w:t>establish</w:t>
      </w:r>
      <w:r w:rsidR="004A6EBF" w:rsidRPr="004858C2">
        <w:rPr>
          <w:rFonts w:ascii="IBM Plex Sans" w:eastAsiaTheme="minorHAnsi" w:hAnsi="IBM Plex Sans" w:cs="Calibri"/>
          <w:sz w:val="22"/>
        </w:rPr>
        <w:t xml:space="preserve"> the causes of pay gaps.</w:t>
      </w:r>
      <w:r w:rsidR="004A6EBF">
        <w:rPr>
          <w:rFonts w:ascii="IBM Plex Sans" w:eastAsiaTheme="minorHAnsi" w:hAnsi="IBM Plex Sans" w:cs="Calibri"/>
          <w:sz w:val="22"/>
        </w:rPr>
        <w:t xml:space="preserve"> </w:t>
      </w:r>
      <w:r w:rsidR="00A878A6">
        <w:rPr>
          <w:rFonts w:ascii="IBM Plex Sans" w:eastAsiaTheme="minorHAnsi" w:hAnsi="IBM Plex Sans" w:cs="Calibri"/>
          <w:sz w:val="22"/>
        </w:rPr>
        <w:t>For this</w:t>
      </w:r>
      <w:r>
        <w:rPr>
          <w:rFonts w:ascii="IBM Plex Sans" w:eastAsiaTheme="minorHAnsi" w:hAnsi="IBM Plex Sans" w:cs="Calibri"/>
          <w:sz w:val="22"/>
        </w:rPr>
        <w:t>,</w:t>
      </w:r>
      <w:r w:rsidR="00A878A6">
        <w:rPr>
          <w:rFonts w:ascii="IBM Plex Sans" w:eastAsiaTheme="minorHAnsi" w:hAnsi="IBM Plex Sans" w:cs="Calibri"/>
          <w:sz w:val="22"/>
        </w:rPr>
        <w:t xml:space="preserve"> employers </w:t>
      </w:r>
      <w:r w:rsidR="00A1537B">
        <w:rPr>
          <w:rFonts w:ascii="IBM Plex Sans" w:eastAsiaTheme="minorHAnsi" w:hAnsi="IBM Plex Sans" w:cs="Calibri"/>
          <w:sz w:val="22"/>
        </w:rPr>
        <w:t>must</w:t>
      </w:r>
      <w:r w:rsidR="00A878A6">
        <w:rPr>
          <w:rFonts w:ascii="IBM Plex Sans" w:eastAsiaTheme="minorHAnsi" w:hAnsi="IBM Plex Sans" w:cs="Calibri"/>
          <w:sz w:val="22"/>
        </w:rPr>
        <w:t xml:space="preserve"> undertake a more detailed assessment of their pay gaps to understand where and why </w:t>
      </w:r>
      <w:r w:rsidR="00D90E84">
        <w:rPr>
          <w:rFonts w:ascii="IBM Plex Sans" w:eastAsiaTheme="minorHAnsi" w:hAnsi="IBM Plex Sans" w:cs="Calibri"/>
          <w:sz w:val="22"/>
        </w:rPr>
        <w:t xml:space="preserve">the gaps </w:t>
      </w:r>
      <w:r w:rsidR="00A878A6">
        <w:rPr>
          <w:rFonts w:ascii="IBM Plex Sans" w:eastAsiaTheme="minorHAnsi" w:hAnsi="IBM Plex Sans" w:cs="Calibri"/>
          <w:sz w:val="22"/>
        </w:rPr>
        <w:t xml:space="preserve">arise. </w:t>
      </w:r>
      <w:r w:rsidR="006F4B19">
        <w:rPr>
          <w:rFonts w:ascii="IBM Plex Sans" w:eastAsiaTheme="minorHAnsi" w:hAnsi="IBM Plex Sans" w:cs="Calibri"/>
          <w:sz w:val="22"/>
        </w:rPr>
        <w:t xml:space="preserve">This section explores </w:t>
      </w:r>
      <w:r w:rsidR="006F4B19" w:rsidRPr="0019016E">
        <w:rPr>
          <w:rFonts w:ascii="IBM Plex Sans" w:eastAsiaTheme="minorHAnsi" w:hAnsi="IBM Plex Sans" w:cs="Calibri"/>
          <w:sz w:val="22"/>
        </w:rPr>
        <w:t xml:space="preserve">gender pay gaps at Public Health Wales using key explanatory factors such as </w:t>
      </w:r>
      <w:r w:rsidR="00621A12" w:rsidRPr="0019016E">
        <w:rPr>
          <w:rFonts w:ascii="IBM Plex Sans" w:eastAsiaTheme="minorHAnsi" w:hAnsi="IBM Plex Sans" w:cs="Calibri"/>
          <w:sz w:val="22"/>
        </w:rPr>
        <w:t xml:space="preserve">pay </w:t>
      </w:r>
      <w:r w:rsidR="005A07A5">
        <w:rPr>
          <w:rFonts w:ascii="IBM Plex Sans" w:eastAsiaTheme="minorHAnsi" w:hAnsi="IBM Plex Sans" w:cs="Calibri"/>
          <w:sz w:val="22"/>
        </w:rPr>
        <w:t>band</w:t>
      </w:r>
      <w:r w:rsidR="00621A12" w:rsidRPr="0019016E">
        <w:rPr>
          <w:rFonts w:ascii="IBM Plex Sans" w:eastAsiaTheme="minorHAnsi" w:hAnsi="IBM Plex Sans" w:cs="Calibri"/>
          <w:sz w:val="22"/>
        </w:rPr>
        <w:t xml:space="preserve">, </w:t>
      </w:r>
      <w:r w:rsidR="006F4B19" w:rsidRPr="0019016E">
        <w:rPr>
          <w:rFonts w:ascii="IBM Plex Sans" w:eastAsiaTheme="minorHAnsi" w:hAnsi="IBM Plex Sans" w:cs="Calibri"/>
          <w:sz w:val="22"/>
        </w:rPr>
        <w:t xml:space="preserve">area of work, </w:t>
      </w:r>
      <w:r w:rsidR="00466528">
        <w:rPr>
          <w:rFonts w:ascii="IBM Plex Sans" w:eastAsiaTheme="minorHAnsi" w:hAnsi="IBM Plex Sans" w:cs="Calibri"/>
          <w:sz w:val="22"/>
        </w:rPr>
        <w:t xml:space="preserve">employee </w:t>
      </w:r>
      <w:r w:rsidR="006F4B19" w:rsidRPr="0019016E">
        <w:rPr>
          <w:rFonts w:ascii="IBM Plex Sans" w:eastAsiaTheme="minorHAnsi" w:hAnsi="IBM Plex Sans" w:cs="Calibri"/>
          <w:sz w:val="22"/>
        </w:rPr>
        <w:t>age</w:t>
      </w:r>
      <w:r w:rsidR="00621A12" w:rsidRPr="0019016E">
        <w:rPr>
          <w:rFonts w:ascii="IBM Plex Sans" w:eastAsiaTheme="minorHAnsi" w:hAnsi="IBM Plex Sans" w:cs="Calibri"/>
          <w:sz w:val="22"/>
        </w:rPr>
        <w:t xml:space="preserve"> and</w:t>
      </w:r>
      <w:r w:rsidR="006F4B19" w:rsidRPr="0019016E">
        <w:rPr>
          <w:rFonts w:ascii="IBM Plex Sans" w:eastAsiaTheme="minorHAnsi" w:hAnsi="IBM Plex Sans" w:cs="Calibri"/>
          <w:sz w:val="22"/>
        </w:rPr>
        <w:t xml:space="preserve"> length of service.</w:t>
      </w:r>
    </w:p>
    <w:p w14:paraId="52C92E8C" w14:textId="77777777" w:rsidR="00C101C5" w:rsidRPr="004858C2" w:rsidRDefault="00C101C5" w:rsidP="00C101C5">
      <w:pPr>
        <w:spacing w:before="0" w:after="0"/>
        <w:jc w:val="both"/>
        <w:rPr>
          <w:rFonts w:ascii="IBM Plex Sans" w:eastAsiaTheme="minorHAnsi" w:hAnsi="IBM Plex Sans" w:cs="Calibri"/>
          <w:sz w:val="22"/>
        </w:rPr>
      </w:pPr>
    </w:p>
    <w:p w14:paraId="44AFA50F" w14:textId="6D3057DE" w:rsidR="008F71F3" w:rsidRPr="00AC6A2F" w:rsidRDefault="008F71F3" w:rsidP="008F71F3">
      <w:pPr>
        <w:pStyle w:val="TableofFigures"/>
        <w:tabs>
          <w:tab w:val="right" w:leader="dot" w:pos="9350"/>
        </w:tabs>
        <w:spacing w:before="0"/>
        <w:outlineLvl w:val="0"/>
        <w:rPr>
          <w:rStyle w:val="Hyperlink"/>
          <w:rFonts w:ascii="IBM Plex Sans Medium" w:hAnsi="IBM Plex Sans Medium"/>
          <w:noProof/>
          <w:color w:val="5C00D6"/>
          <w:sz w:val="22"/>
          <w:u w:val="none"/>
        </w:rPr>
      </w:pPr>
      <w:bookmarkStart w:id="28" w:name="_Toc157514638"/>
      <w:r w:rsidRPr="00AC6A2F">
        <w:rPr>
          <w:rStyle w:val="Hyperlink"/>
          <w:rFonts w:ascii="IBM Plex Sans Medium" w:hAnsi="IBM Plex Sans Medium"/>
          <w:noProof/>
          <w:color w:val="5C00D6"/>
          <w:sz w:val="22"/>
          <w:u w:val="none"/>
        </w:rPr>
        <w:t>Gender pay gap</w:t>
      </w:r>
      <w:r w:rsidR="007E6CEC">
        <w:rPr>
          <w:rStyle w:val="Hyperlink"/>
          <w:rFonts w:ascii="IBM Plex Sans Medium" w:hAnsi="IBM Plex Sans Medium"/>
          <w:noProof/>
          <w:color w:val="5C00D6"/>
          <w:sz w:val="22"/>
          <w:u w:val="none"/>
        </w:rPr>
        <w:t>s</w:t>
      </w:r>
      <w:r w:rsidRPr="00AC6A2F">
        <w:rPr>
          <w:rStyle w:val="Hyperlink"/>
          <w:rFonts w:ascii="IBM Plex Sans Medium" w:hAnsi="IBM Plex Sans Medium"/>
          <w:noProof/>
          <w:color w:val="5C00D6"/>
          <w:sz w:val="22"/>
          <w:u w:val="none"/>
        </w:rPr>
        <w:t xml:space="preserve"> </w:t>
      </w:r>
      <w:r>
        <w:rPr>
          <w:rStyle w:val="Hyperlink"/>
          <w:rFonts w:ascii="IBM Plex Sans Medium" w:hAnsi="IBM Plex Sans Medium"/>
          <w:noProof/>
          <w:color w:val="5C00D6"/>
          <w:sz w:val="22"/>
          <w:u w:val="none"/>
        </w:rPr>
        <w:t>by pay band</w:t>
      </w:r>
      <w:bookmarkEnd w:id="28"/>
    </w:p>
    <w:p w14:paraId="56055D09" w14:textId="52052CDE" w:rsidR="001657C8" w:rsidRPr="00D30048" w:rsidRDefault="00E44334" w:rsidP="00E7652C">
      <w:pPr>
        <w:spacing w:before="0" w:after="0"/>
        <w:jc w:val="both"/>
        <w:rPr>
          <w:rFonts w:ascii="IBM Plex Sans" w:eastAsiaTheme="minorHAnsi" w:hAnsi="IBM Plex Sans" w:cs="Calibri"/>
          <w:sz w:val="22"/>
          <w:highlight w:val="yellow"/>
        </w:rPr>
      </w:pPr>
      <w:r w:rsidRPr="002B51CB">
        <w:rPr>
          <w:rFonts w:ascii="IBM Plex Sans" w:eastAsiaTheme="minorHAnsi" w:hAnsi="IBM Plex Sans" w:cs="Calibri"/>
          <w:sz w:val="22"/>
        </w:rPr>
        <w:t>A useful way</w:t>
      </w:r>
      <w:r w:rsidR="001657C8" w:rsidRPr="002B51CB">
        <w:rPr>
          <w:rFonts w:ascii="IBM Plex Sans" w:eastAsiaTheme="minorHAnsi" w:hAnsi="IBM Plex Sans" w:cs="Calibri"/>
          <w:sz w:val="22"/>
        </w:rPr>
        <w:t xml:space="preserve"> of analysing gender pay gaps is by </w:t>
      </w:r>
      <w:r w:rsidRPr="002B51CB">
        <w:rPr>
          <w:rFonts w:ascii="IBM Plex Sans" w:eastAsiaTheme="minorHAnsi" w:hAnsi="IBM Plex Sans" w:cs="Calibri"/>
          <w:sz w:val="22"/>
        </w:rPr>
        <w:t>pay band</w:t>
      </w:r>
      <w:r w:rsidR="009023E0" w:rsidRPr="002B51CB">
        <w:rPr>
          <w:rFonts w:ascii="IBM Plex Sans" w:eastAsiaTheme="minorHAnsi" w:hAnsi="IBM Plex Sans" w:cs="Calibri"/>
          <w:sz w:val="22"/>
        </w:rPr>
        <w:t xml:space="preserve">. </w:t>
      </w:r>
      <w:r w:rsidR="001657C8" w:rsidRPr="002B51CB">
        <w:rPr>
          <w:rFonts w:ascii="IBM Plex Sans" w:eastAsiaTheme="minorHAnsi" w:hAnsi="IBM Plex Sans" w:cs="Calibri"/>
          <w:sz w:val="22"/>
        </w:rPr>
        <w:t xml:space="preserve">Public Health Wales </w:t>
      </w:r>
      <w:r w:rsidR="009023E0" w:rsidRPr="002B51CB">
        <w:rPr>
          <w:rFonts w:ascii="IBM Plex Sans" w:eastAsiaTheme="minorHAnsi" w:hAnsi="IBM Plex Sans" w:cs="Calibri"/>
          <w:sz w:val="22"/>
        </w:rPr>
        <w:t xml:space="preserve">operates </w:t>
      </w:r>
      <w:r w:rsidR="001657C8" w:rsidRPr="002B51CB">
        <w:rPr>
          <w:rFonts w:ascii="IBM Plex Sans" w:eastAsiaTheme="minorHAnsi" w:hAnsi="IBM Plex Sans" w:cs="Calibri"/>
          <w:sz w:val="22"/>
        </w:rPr>
        <w:t>more than one grading system, with some</w:t>
      </w:r>
      <w:r w:rsidR="002D34E3" w:rsidRPr="002B51CB">
        <w:rPr>
          <w:rFonts w:ascii="IBM Plex Sans" w:eastAsiaTheme="minorHAnsi" w:hAnsi="IBM Plex Sans" w:cs="Calibri"/>
          <w:sz w:val="22"/>
        </w:rPr>
        <w:t xml:space="preserve"> staff</w:t>
      </w:r>
      <w:r w:rsidR="001657C8" w:rsidRPr="002B51CB">
        <w:rPr>
          <w:rFonts w:ascii="IBM Plex Sans" w:eastAsiaTheme="minorHAnsi" w:hAnsi="IBM Plex Sans" w:cs="Calibri"/>
          <w:sz w:val="22"/>
        </w:rPr>
        <w:t xml:space="preserve"> on the NHS Agenda for Change pay s</w:t>
      </w:r>
      <w:r w:rsidR="00B418F8" w:rsidRPr="002B51CB">
        <w:rPr>
          <w:rFonts w:ascii="IBM Plex Sans" w:eastAsiaTheme="minorHAnsi" w:hAnsi="IBM Plex Sans" w:cs="Calibri"/>
          <w:sz w:val="22"/>
        </w:rPr>
        <w:t>tructure</w:t>
      </w:r>
      <w:r w:rsidR="001657C8" w:rsidRPr="002B51CB">
        <w:rPr>
          <w:rFonts w:ascii="IBM Plex Sans" w:eastAsiaTheme="minorHAnsi" w:hAnsi="IBM Plex Sans" w:cs="Calibri"/>
          <w:sz w:val="22"/>
        </w:rPr>
        <w:t xml:space="preserve"> and others covered by the Doctors’ and Dentist’ Review Body</w:t>
      </w:r>
      <w:r w:rsidR="00F308A3" w:rsidRPr="002B51CB">
        <w:rPr>
          <w:rFonts w:ascii="IBM Plex Sans" w:eastAsiaTheme="minorHAnsi" w:hAnsi="IBM Plex Sans" w:cs="Calibri"/>
          <w:sz w:val="22"/>
        </w:rPr>
        <w:t xml:space="preserve"> pay scales</w:t>
      </w:r>
      <w:r w:rsidR="001657C8" w:rsidRPr="002B51CB">
        <w:rPr>
          <w:rFonts w:ascii="IBM Plex Sans" w:eastAsiaTheme="minorHAnsi" w:hAnsi="IBM Plex Sans" w:cs="Calibri"/>
          <w:sz w:val="22"/>
        </w:rPr>
        <w:t xml:space="preserve">. </w:t>
      </w:r>
      <w:r w:rsidR="002D34E3" w:rsidRPr="002B51CB">
        <w:rPr>
          <w:rFonts w:ascii="IBM Plex Sans" w:eastAsiaTheme="minorHAnsi" w:hAnsi="IBM Plex Sans" w:cs="Calibri"/>
          <w:sz w:val="22"/>
        </w:rPr>
        <w:t xml:space="preserve">For this analysis we have grouped staff </w:t>
      </w:r>
      <w:r w:rsidR="002E643A" w:rsidRPr="002B51CB">
        <w:rPr>
          <w:rFonts w:ascii="IBM Plex Sans" w:eastAsiaTheme="minorHAnsi" w:hAnsi="IBM Plex Sans" w:cs="Calibri"/>
          <w:sz w:val="22"/>
        </w:rPr>
        <w:t xml:space="preserve">from the </w:t>
      </w:r>
      <w:r w:rsidR="003A664D" w:rsidRPr="002B51CB">
        <w:rPr>
          <w:rFonts w:ascii="IBM Plex Sans" w:eastAsiaTheme="minorHAnsi" w:hAnsi="IBM Plex Sans" w:cs="Calibri"/>
          <w:sz w:val="22"/>
        </w:rPr>
        <w:t xml:space="preserve">separate pay </w:t>
      </w:r>
      <w:r w:rsidR="00DB6489" w:rsidRPr="002B51CB">
        <w:rPr>
          <w:rFonts w:ascii="IBM Plex Sans" w:eastAsiaTheme="minorHAnsi" w:hAnsi="IBM Plex Sans" w:cs="Calibri"/>
          <w:sz w:val="22"/>
        </w:rPr>
        <w:t>structures</w:t>
      </w:r>
      <w:r w:rsidR="003A664D" w:rsidRPr="002B51CB">
        <w:rPr>
          <w:rFonts w:ascii="IBM Plex Sans" w:eastAsiaTheme="minorHAnsi" w:hAnsi="IBM Plex Sans" w:cs="Calibri"/>
          <w:sz w:val="22"/>
        </w:rPr>
        <w:t xml:space="preserve"> into </w:t>
      </w:r>
      <w:r w:rsidR="002E643A" w:rsidRPr="002B51CB">
        <w:rPr>
          <w:rFonts w:ascii="IBM Plex Sans" w:eastAsiaTheme="minorHAnsi" w:hAnsi="IBM Plex Sans" w:cs="Calibri"/>
          <w:sz w:val="22"/>
        </w:rPr>
        <w:t xml:space="preserve">combined </w:t>
      </w:r>
      <w:r w:rsidR="00420EE5" w:rsidRPr="002B51CB">
        <w:rPr>
          <w:rFonts w:ascii="IBM Plex Sans" w:eastAsiaTheme="minorHAnsi" w:hAnsi="IBM Plex Sans" w:cs="Calibri"/>
          <w:sz w:val="22"/>
        </w:rPr>
        <w:t>pay bands</w:t>
      </w:r>
      <w:r w:rsidR="00247083" w:rsidRPr="002B51CB">
        <w:rPr>
          <w:rFonts w:ascii="IBM Plex Sans" w:eastAsiaTheme="minorHAnsi" w:hAnsi="IBM Plex Sans" w:cs="Calibri"/>
          <w:sz w:val="22"/>
        </w:rPr>
        <w:t xml:space="preserve"> based on </w:t>
      </w:r>
      <w:r w:rsidR="00A40C19" w:rsidRPr="002B51CB">
        <w:rPr>
          <w:rFonts w:ascii="IBM Plex Sans" w:eastAsiaTheme="minorHAnsi" w:hAnsi="IBM Plex Sans" w:cs="Calibri"/>
          <w:sz w:val="22"/>
        </w:rPr>
        <w:t>previous work</w:t>
      </w:r>
      <w:r w:rsidR="00F65291" w:rsidRPr="002B51CB">
        <w:rPr>
          <w:rFonts w:ascii="IBM Plex Sans" w:eastAsiaTheme="minorHAnsi" w:hAnsi="IBM Plex Sans" w:cs="Calibri"/>
          <w:sz w:val="22"/>
        </w:rPr>
        <w:t xml:space="preserve"> </w:t>
      </w:r>
      <w:r w:rsidR="009A3645" w:rsidRPr="002B51CB">
        <w:rPr>
          <w:rFonts w:ascii="IBM Plex Sans" w:eastAsiaTheme="minorHAnsi" w:hAnsi="IBM Plex Sans" w:cs="Calibri"/>
          <w:sz w:val="22"/>
        </w:rPr>
        <w:t xml:space="preserve">which </w:t>
      </w:r>
      <w:r w:rsidR="00A40C19" w:rsidRPr="002B51CB">
        <w:rPr>
          <w:rFonts w:ascii="IBM Plex Sans" w:eastAsiaTheme="minorHAnsi" w:hAnsi="IBM Plex Sans" w:cs="Calibri"/>
          <w:sz w:val="22"/>
        </w:rPr>
        <w:t>assess</w:t>
      </w:r>
      <w:r w:rsidR="009A3645" w:rsidRPr="002B51CB">
        <w:rPr>
          <w:rFonts w:ascii="IBM Plex Sans" w:eastAsiaTheme="minorHAnsi" w:hAnsi="IBM Plex Sans" w:cs="Calibri"/>
          <w:sz w:val="22"/>
        </w:rPr>
        <w:t>ed</w:t>
      </w:r>
      <w:r w:rsidR="00A40C19" w:rsidRPr="002B51CB">
        <w:rPr>
          <w:rFonts w:ascii="IBM Plex Sans" w:eastAsiaTheme="minorHAnsi" w:hAnsi="IBM Plex Sans" w:cs="Calibri"/>
          <w:sz w:val="22"/>
        </w:rPr>
        <w:t xml:space="preserve"> the relative size of jobs found </w:t>
      </w:r>
      <w:r w:rsidR="00DA3817" w:rsidRPr="002B51CB">
        <w:rPr>
          <w:rFonts w:ascii="IBM Plex Sans" w:eastAsiaTheme="minorHAnsi" w:hAnsi="IBM Plex Sans" w:cs="Calibri"/>
          <w:sz w:val="22"/>
        </w:rPr>
        <w:t>across the NHS</w:t>
      </w:r>
      <w:r w:rsidR="006E38FC" w:rsidRPr="002B51CB">
        <w:rPr>
          <w:rFonts w:ascii="IBM Plex Sans" w:eastAsiaTheme="minorHAnsi" w:hAnsi="IBM Plex Sans" w:cs="Calibri"/>
          <w:sz w:val="22"/>
        </w:rPr>
        <w:t>, covering both medical and non-medical roles.</w:t>
      </w:r>
      <w:r w:rsidR="006E38FC" w:rsidRPr="002B51CB">
        <w:rPr>
          <w:rStyle w:val="FootnoteReference"/>
          <w:rFonts w:ascii="IBM Plex Sans" w:eastAsiaTheme="minorHAnsi" w:hAnsi="IBM Plex Sans" w:cs="Calibri"/>
          <w:sz w:val="22"/>
        </w:rPr>
        <w:footnoteReference w:id="4"/>
      </w:r>
      <w:r w:rsidR="0005298F" w:rsidRPr="002B51CB">
        <w:rPr>
          <w:rFonts w:ascii="IBM Plex Sans" w:eastAsiaTheme="minorHAnsi" w:hAnsi="IBM Plex Sans" w:cs="Calibri"/>
          <w:sz w:val="22"/>
        </w:rPr>
        <w:t xml:space="preserve"> </w:t>
      </w:r>
      <w:r w:rsidR="0005298F" w:rsidRPr="00AD3E7F">
        <w:rPr>
          <w:rFonts w:ascii="IBM Plex Sans" w:eastAsiaTheme="minorHAnsi" w:hAnsi="IBM Plex Sans" w:cs="Calibri"/>
          <w:sz w:val="22"/>
        </w:rPr>
        <w:t>Th</w:t>
      </w:r>
      <w:r w:rsidR="005C25A1" w:rsidRPr="00AD3E7F">
        <w:rPr>
          <w:rFonts w:ascii="IBM Plex Sans" w:eastAsiaTheme="minorHAnsi" w:hAnsi="IBM Plex Sans" w:cs="Calibri"/>
          <w:sz w:val="22"/>
        </w:rPr>
        <w:t xml:space="preserve">is results in </w:t>
      </w:r>
      <w:r w:rsidR="009247EA">
        <w:rPr>
          <w:rFonts w:ascii="IBM Plex Sans" w:eastAsiaTheme="minorHAnsi" w:hAnsi="IBM Plex Sans" w:cs="Calibri"/>
          <w:sz w:val="22"/>
        </w:rPr>
        <w:t>10</w:t>
      </w:r>
      <w:r w:rsidR="005C25A1" w:rsidRPr="00AD3E7F">
        <w:rPr>
          <w:rFonts w:ascii="IBM Plex Sans" w:eastAsiaTheme="minorHAnsi" w:hAnsi="IBM Plex Sans" w:cs="Calibri"/>
          <w:sz w:val="22"/>
        </w:rPr>
        <w:t xml:space="preserve"> </w:t>
      </w:r>
      <w:r w:rsidR="003531DF" w:rsidRPr="00AD3E7F">
        <w:rPr>
          <w:rFonts w:ascii="IBM Plex Sans" w:eastAsiaTheme="minorHAnsi" w:hAnsi="IBM Plex Sans" w:cs="Calibri"/>
          <w:sz w:val="22"/>
        </w:rPr>
        <w:t>groups in total</w:t>
      </w:r>
      <w:r w:rsidR="00471A5C">
        <w:rPr>
          <w:rFonts w:ascii="IBM Plex Sans" w:eastAsiaTheme="minorHAnsi" w:hAnsi="IBM Plex Sans" w:cs="Calibri"/>
          <w:sz w:val="22"/>
        </w:rPr>
        <w:t xml:space="preserve">, from pay band 2 to </w:t>
      </w:r>
      <w:r w:rsidR="00E63D0B">
        <w:rPr>
          <w:rFonts w:ascii="IBM Plex Sans" w:eastAsiaTheme="minorHAnsi" w:hAnsi="IBM Plex Sans" w:cs="Calibri"/>
          <w:sz w:val="22"/>
        </w:rPr>
        <w:t xml:space="preserve">pay band 11 for the CEO. </w:t>
      </w:r>
      <w:r w:rsidR="003531DF" w:rsidRPr="00AD3E7F">
        <w:rPr>
          <w:rFonts w:ascii="IBM Plex Sans" w:eastAsiaTheme="minorHAnsi" w:hAnsi="IBM Plex Sans" w:cs="Calibri"/>
          <w:sz w:val="22"/>
        </w:rPr>
        <w:t xml:space="preserve"> </w:t>
      </w:r>
    </w:p>
    <w:p w14:paraId="66E3DD64" w14:textId="77777777" w:rsidR="00830D1B" w:rsidRPr="00D30048" w:rsidRDefault="00830D1B" w:rsidP="00E7652C">
      <w:pPr>
        <w:spacing w:before="0" w:after="0"/>
        <w:jc w:val="both"/>
        <w:rPr>
          <w:rFonts w:ascii="IBM Plex Sans" w:eastAsiaTheme="minorHAnsi" w:hAnsi="IBM Plex Sans" w:cs="Calibri"/>
          <w:sz w:val="22"/>
          <w:highlight w:val="yellow"/>
        </w:rPr>
      </w:pPr>
    </w:p>
    <w:p w14:paraId="4EF765FE" w14:textId="5FF44893" w:rsidR="001D128E" w:rsidRDefault="003779AF" w:rsidP="007128C7">
      <w:pPr>
        <w:pStyle w:val="pf0"/>
        <w:spacing w:before="0" w:beforeAutospacing="0" w:after="0" w:afterAutospacing="0" w:line="360" w:lineRule="auto"/>
        <w:jc w:val="both"/>
        <w:rPr>
          <w:rFonts w:ascii="IBM Plex Sans" w:eastAsiaTheme="minorHAnsi" w:hAnsi="IBM Plex Sans" w:cs="Calibri"/>
          <w:sz w:val="22"/>
          <w:szCs w:val="22"/>
        </w:rPr>
      </w:pPr>
      <w:r w:rsidRPr="007128C7">
        <w:rPr>
          <w:rFonts w:ascii="IBM Plex Sans" w:eastAsiaTheme="minorHAnsi" w:hAnsi="IBM Plex Sans" w:cs="Calibri"/>
          <w:sz w:val="22"/>
          <w:szCs w:val="22"/>
        </w:rPr>
        <w:t xml:space="preserve">This analysis shows that </w:t>
      </w:r>
      <w:r w:rsidR="004E6A05" w:rsidRPr="007128C7">
        <w:rPr>
          <w:rFonts w:ascii="IBM Plex Sans" w:eastAsiaTheme="minorHAnsi" w:hAnsi="IBM Plex Sans" w:cs="Calibri"/>
          <w:sz w:val="22"/>
          <w:szCs w:val="22"/>
        </w:rPr>
        <w:t>the gender pay gap</w:t>
      </w:r>
      <w:r w:rsidR="009A3645" w:rsidRPr="007128C7">
        <w:rPr>
          <w:rFonts w:ascii="IBM Plex Sans" w:eastAsiaTheme="minorHAnsi" w:hAnsi="IBM Plex Sans" w:cs="Calibri"/>
          <w:sz w:val="22"/>
          <w:szCs w:val="22"/>
        </w:rPr>
        <w:t xml:space="preserve"> at </w:t>
      </w:r>
      <w:r w:rsidR="000E6921" w:rsidRPr="007128C7">
        <w:rPr>
          <w:rFonts w:ascii="IBM Plex Sans" w:eastAsiaTheme="minorHAnsi" w:hAnsi="IBM Plex Sans" w:cs="Calibri"/>
          <w:sz w:val="22"/>
          <w:szCs w:val="22"/>
        </w:rPr>
        <w:t xml:space="preserve">Public </w:t>
      </w:r>
      <w:r w:rsidR="00B810BE" w:rsidRPr="007128C7">
        <w:rPr>
          <w:rFonts w:ascii="IBM Plex Sans" w:eastAsiaTheme="minorHAnsi" w:hAnsi="IBM Plex Sans" w:cs="Calibri"/>
          <w:sz w:val="22"/>
          <w:szCs w:val="22"/>
        </w:rPr>
        <w:t>Health Wales</w:t>
      </w:r>
      <w:r w:rsidR="004E6A05" w:rsidRPr="007128C7">
        <w:rPr>
          <w:rFonts w:ascii="IBM Plex Sans" w:eastAsiaTheme="minorHAnsi" w:hAnsi="IBM Plex Sans" w:cs="Calibri"/>
          <w:sz w:val="22"/>
          <w:szCs w:val="22"/>
        </w:rPr>
        <w:t xml:space="preserve"> is in favour of women until pay </w:t>
      </w:r>
      <w:r w:rsidR="004D128F" w:rsidRPr="007128C7">
        <w:rPr>
          <w:rFonts w:ascii="IBM Plex Sans" w:eastAsiaTheme="minorHAnsi" w:hAnsi="IBM Plex Sans" w:cs="Calibri"/>
          <w:sz w:val="22"/>
          <w:szCs w:val="22"/>
        </w:rPr>
        <w:t>band</w:t>
      </w:r>
      <w:r w:rsidR="00AF6CED" w:rsidRPr="007128C7">
        <w:rPr>
          <w:rFonts w:ascii="IBM Plex Sans" w:eastAsiaTheme="minorHAnsi" w:hAnsi="IBM Plex Sans" w:cs="Calibri"/>
          <w:sz w:val="22"/>
          <w:szCs w:val="22"/>
        </w:rPr>
        <w:t xml:space="preserve"> 7</w:t>
      </w:r>
      <w:r w:rsidR="00E81456" w:rsidRPr="007128C7">
        <w:rPr>
          <w:rFonts w:ascii="IBM Plex Sans" w:eastAsiaTheme="minorHAnsi" w:hAnsi="IBM Plex Sans" w:cs="Calibri"/>
          <w:sz w:val="22"/>
          <w:szCs w:val="22"/>
        </w:rPr>
        <w:t>.</w:t>
      </w:r>
      <w:r w:rsidR="00AF6CED" w:rsidRPr="007128C7">
        <w:rPr>
          <w:rFonts w:ascii="IBM Plex Sans" w:eastAsiaTheme="minorHAnsi" w:hAnsi="IBM Plex Sans" w:cs="Calibri"/>
          <w:sz w:val="22"/>
          <w:szCs w:val="22"/>
        </w:rPr>
        <w:t xml:space="preserve"> </w:t>
      </w:r>
      <w:r w:rsidR="00366940">
        <w:rPr>
          <w:rFonts w:ascii="IBM Plex Sans" w:eastAsiaTheme="minorHAnsi" w:hAnsi="IBM Plex Sans" w:cs="Calibri"/>
          <w:sz w:val="22"/>
          <w:szCs w:val="22"/>
        </w:rPr>
        <w:t>Pay band 7</w:t>
      </w:r>
      <w:r w:rsidR="00AF6CED" w:rsidRPr="007128C7">
        <w:rPr>
          <w:rFonts w:ascii="IBM Plex Sans" w:eastAsiaTheme="minorHAnsi" w:hAnsi="IBM Plex Sans" w:cs="Calibri"/>
          <w:sz w:val="22"/>
          <w:szCs w:val="22"/>
        </w:rPr>
        <w:t xml:space="preserve"> </w:t>
      </w:r>
      <w:r w:rsidR="00104965" w:rsidRPr="007128C7">
        <w:rPr>
          <w:rFonts w:ascii="IBM Plex Sans" w:eastAsiaTheme="minorHAnsi" w:hAnsi="IBM Plex Sans" w:cs="Calibri"/>
          <w:sz w:val="22"/>
          <w:szCs w:val="22"/>
        </w:rPr>
        <w:t xml:space="preserve">represents </w:t>
      </w:r>
      <w:r w:rsidR="00AF6CED" w:rsidRPr="007128C7">
        <w:rPr>
          <w:rFonts w:ascii="IBM Plex Sans" w:eastAsiaTheme="minorHAnsi" w:hAnsi="IBM Plex Sans" w:cs="Calibri"/>
          <w:sz w:val="22"/>
          <w:szCs w:val="22"/>
        </w:rPr>
        <w:t>the lower of two professional and managerial levels</w:t>
      </w:r>
      <w:r w:rsidR="00DE78D3" w:rsidRPr="007128C7">
        <w:rPr>
          <w:rFonts w:ascii="IBM Plex Sans" w:eastAsiaTheme="minorHAnsi" w:hAnsi="IBM Plex Sans" w:cs="Calibri"/>
          <w:sz w:val="22"/>
          <w:szCs w:val="22"/>
        </w:rPr>
        <w:t xml:space="preserve"> </w:t>
      </w:r>
      <w:r w:rsidR="00AF6CED" w:rsidRPr="007128C7">
        <w:rPr>
          <w:rFonts w:ascii="IBM Plex Sans" w:eastAsiaTheme="minorHAnsi" w:hAnsi="IBM Plex Sans" w:cs="Calibri"/>
          <w:sz w:val="22"/>
          <w:szCs w:val="22"/>
        </w:rPr>
        <w:t xml:space="preserve">and </w:t>
      </w:r>
      <w:r w:rsidR="00965827">
        <w:rPr>
          <w:rFonts w:ascii="IBM Plex Sans" w:eastAsiaTheme="minorHAnsi" w:hAnsi="IBM Plex Sans" w:cs="Calibri"/>
          <w:sz w:val="22"/>
          <w:szCs w:val="22"/>
        </w:rPr>
        <w:t>includes</w:t>
      </w:r>
      <w:r w:rsidR="00AF6CED" w:rsidRPr="007128C7">
        <w:rPr>
          <w:rFonts w:ascii="IBM Plex Sans" w:eastAsiaTheme="minorHAnsi" w:hAnsi="IBM Plex Sans" w:cs="Calibri"/>
          <w:sz w:val="22"/>
          <w:szCs w:val="22"/>
        </w:rPr>
        <w:t xml:space="preserve"> professionals </w:t>
      </w:r>
      <w:r w:rsidR="00F83787" w:rsidRPr="007128C7">
        <w:rPr>
          <w:rFonts w:ascii="IBM Plex Sans" w:eastAsiaTheme="minorHAnsi" w:hAnsi="IBM Plex Sans" w:cs="Calibri"/>
          <w:sz w:val="22"/>
          <w:szCs w:val="22"/>
        </w:rPr>
        <w:t>such as</w:t>
      </w:r>
      <w:r w:rsidR="003E0B06" w:rsidRPr="007128C7">
        <w:rPr>
          <w:rFonts w:ascii="IBM Plex Sans" w:eastAsiaTheme="minorHAnsi" w:hAnsi="IBM Plex Sans" w:cs="Calibri"/>
          <w:sz w:val="22"/>
          <w:szCs w:val="22"/>
        </w:rPr>
        <w:t xml:space="preserve"> </w:t>
      </w:r>
      <w:r w:rsidR="00523F7D" w:rsidRPr="007128C7">
        <w:rPr>
          <w:rFonts w:ascii="IBM Plex Sans" w:eastAsiaTheme="minorHAnsi" w:hAnsi="IBM Plex Sans" w:cs="Calibri"/>
          <w:sz w:val="22"/>
          <w:szCs w:val="22"/>
        </w:rPr>
        <w:t>accountants</w:t>
      </w:r>
      <w:r w:rsidR="00291423">
        <w:rPr>
          <w:rFonts w:ascii="IBM Plex Sans" w:eastAsiaTheme="minorHAnsi" w:hAnsi="IBM Plex Sans" w:cs="Calibri"/>
          <w:sz w:val="22"/>
          <w:szCs w:val="22"/>
        </w:rPr>
        <w:t>,</w:t>
      </w:r>
      <w:r w:rsidR="00523F7D" w:rsidRPr="007128C7">
        <w:rPr>
          <w:rFonts w:ascii="IBM Plex Sans" w:eastAsiaTheme="minorHAnsi" w:hAnsi="IBM Plex Sans" w:cs="Calibri"/>
          <w:sz w:val="22"/>
          <w:szCs w:val="22"/>
        </w:rPr>
        <w:t xml:space="preserve"> scientists</w:t>
      </w:r>
      <w:r w:rsidR="00F83787" w:rsidRPr="007128C7">
        <w:rPr>
          <w:rFonts w:ascii="IBM Plex Sans" w:eastAsiaTheme="minorHAnsi" w:hAnsi="IBM Plex Sans" w:cs="Calibri"/>
          <w:sz w:val="22"/>
          <w:szCs w:val="22"/>
        </w:rPr>
        <w:t xml:space="preserve"> </w:t>
      </w:r>
      <w:r w:rsidR="00AF6CED" w:rsidRPr="007128C7">
        <w:rPr>
          <w:rFonts w:ascii="IBM Plex Sans" w:eastAsiaTheme="minorHAnsi" w:hAnsi="IBM Plex Sans" w:cs="Calibri"/>
          <w:sz w:val="22"/>
          <w:szCs w:val="22"/>
        </w:rPr>
        <w:t xml:space="preserve">and middle managers. From </w:t>
      </w:r>
      <w:r w:rsidR="00F83787" w:rsidRPr="007128C7">
        <w:rPr>
          <w:rFonts w:ascii="IBM Plex Sans" w:eastAsiaTheme="minorHAnsi" w:hAnsi="IBM Plex Sans" w:cs="Calibri"/>
          <w:sz w:val="22"/>
          <w:szCs w:val="22"/>
        </w:rPr>
        <w:t xml:space="preserve">this </w:t>
      </w:r>
      <w:r w:rsidR="00AF6CED" w:rsidRPr="007128C7">
        <w:rPr>
          <w:rFonts w:ascii="IBM Plex Sans" w:eastAsiaTheme="minorHAnsi" w:hAnsi="IBM Plex Sans" w:cs="Calibri"/>
          <w:sz w:val="22"/>
          <w:szCs w:val="22"/>
        </w:rPr>
        <w:t>level onwards</w:t>
      </w:r>
      <w:r w:rsidR="00B7145F">
        <w:rPr>
          <w:rFonts w:ascii="IBM Plex Sans" w:eastAsiaTheme="minorHAnsi" w:hAnsi="IBM Plex Sans" w:cs="Calibri"/>
          <w:sz w:val="22"/>
          <w:szCs w:val="22"/>
        </w:rPr>
        <w:t>,</w:t>
      </w:r>
      <w:r w:rsidR="00AF6CED" w:rsidRPr="007128C7">
        <w:rPr>
          <w:rFonts w:ascii="IBM Plex Sans" w:eastAsiaTheme="minorHAnsi" w:hAnsi="IBM Plex Sans" w:cs="Calibri"/>
          <w:sz w:val="22"/>
          <w:szCs w:val="22"/>
        </w:rPr>
        <w:t xml:space="preserve"> </w:t>
      </w:r>
      <w:r w:rsidR="006A4A61" w:rsidRPr="007128C7">
        <w:rPr>
          <w:rFonts w:ascii="IBM Plex Sans" w:eastAsiaTheme="minorHAnsi" w:hAnsi="IBM Plex Sans" w:cs="Calibri"/>
          <w:sz w:val="22"/>
          <w:szCs w:val="22"/>
        </w:rPr>
        <w:t xml:space="preserve">a </w:t>
      </w:r>
      <w:r w:rsidR="00AF6CED" w:rsidRPr="007128C7">
        <w:rPr>
          <w:rFonts w:ascii="IBM Plex Sans" w:eastAsiaTheme="minorHAnsi" w:hAnsi="IBM Plex Sans" w:cs="Calibri"/>
          <w:sz w:val="22"/>
          <w:szCs w:val="22"/>
        </w:rPr>
        <w:t xml:space="preserve">gender pay gap </w:t>
      </w:r>
      <w:r w:rsidR="00291423">
        <w:rPr>
          <w:rFonts w:ascii="IBM Plex Sans" w:eastAsiaTheme="minorHAnsi" w:hAnsi="IBM Plex Sans" w:cs="Calibri"/>
          <w:sz w:val="22"/>
          <w:szCs w:val="22"/>
        </w:rPr>
        <w:t xml:space="preserve">in favour of men </w:t>
      </w:r>
      <w:r w:rsidR="006A4A61" w:rsidRPr="007128C7">
        <w:rPr>
          <w:rFonts w:ascii="IBM Plex Sans" w:eastAsiaTheme="minorHAnsi" w:hAnsi="IBM Plex Sans" w:cs="Calibri"/>
          <w:sz w:val="22"/>
          <w:szCs w:val="22"/>
        </w:rPr>
        <w:t xml:space="preserve">emerges and </w:t>
      </w:r>
      <w:r w:rsidR="00AF6CED" w:rsidRPr="007128C7">
        <w:rPr>
          <w:rFonts w:ascii="IBM Plex Sans" w:eastAsiaTheme="minorHAnsi" w:hAnsi="IBM Plex Sans" w:cs="Calibri"/>
          <w:sz w:val="22"/>
          <w:szCs w:val="22"/>
        </w:rPr>
        <w:t>widens with seniority</w:t>
      </w:r>
      <w:r w:rsidR="00324BB9">
        <w:rPr>
          <w:rFonts w:ascii="IBM Plex Sans" w:eastAsiaTheme="minorHAnsi" w:hAnsi="IBM Plex Sans" w:cs="Calibri"/>
          <w:sz w:val="22"/>
          <w:szCs w:val="22"/>
        </w:rPr>
        <w:t xml:space="preserve"> </w:t>
      </w:r>
      <w:r w:rsidR="006A670F">
        <w:rPr>
          <w:rFonts w:ascii="IBM Plex Sans" w:eastAsiaTheme="minorHAnsi" w:hAnsi="IBM Plex Sans" w:cs="Calibri"/>
          <w:sz w:val="22"/>
          <w:szCs w:val="22"/>
        </w:rPr>
        <w:t>(</w:t>
      </w:r>
      <w:r w:rsidR="00324BB9">
        <w:rPr>
          <w:rFonts w:ascii="IBM Plex Sans" w:eastAsiaTheme="minorHAnsi" w:hAnsi="IBM Plex Sans" w:cs="Calibri"/>
          <w:sz w:val="22"/>
          <w:szCs w:val="22"/>
        </w:rPr>
        <w:t>with</w:t>
      </w:r>
      <w:r w:rsidR="00A839B9">
        <w:rPr>
          <w:rFonts w:ascii="IBM Plex Sans" w:eastAsiaTheme="minorHAnsi" w:hAnsi="IBM Plex Sans" w:cs="Calibri"/>
          <w:sz w:val="22"/>
          <w:szCs w:val="22"/>
        </w:rPr>
        <w:t xml:space="preserve"> the</w:t>
      </w:r>
      <w:r w:rsidR="00324BB9">
        <w:rPr>
          <w:rFonts w:ascii="IBM Plex Sans" w:eastAsiaTheme="minorHAnsi" w:hAnsi="IBM Plex Sans" w:cs="Calibri"/>
          <w:sz w:val="22"/>
          <w:szCs w:val="22"/>
        </w:rPr>
        <w:t xml:space="preserve"> exception of </w:t>
      </w:r>
      <w:r w:rsidR="007F567D" w:rsidRPr="007128C7">
        <w:rPr>
          <w:rFonts w:ascii="IBM Plex Sans" w:eastAsiaTheme="minorHAnsi" w:hAnsi="IBM Plex Sans" w:cs="Calibri"/>
          <w:sz w:val="22"/>
          <w:szCs w:val="22"/>
        </w:rPr>
        <w:t>band 10</w:t>
      </w:r>
      <w:r w:rsidR="005721F2">
        <w:rPr>
          <w:rFonts w:ascii="IBM Plex Sans" w:eastAsiaTheme="minorHAnsi" w:hAnsi="IBM Plex Sans" w:cs="Calibri"/>
          <w:sz w:val="22"/>
          <w:szCs w:val="22"/>
        </w:rPr>
        <w:t>, which includes experienced consultants and directors</w:t>
      </w:r>
      <w:r w:rsidR="006A670F">
        <w:rPr>
          <w:rFonts w:ascii="IBM Plex Sans" w:eastAsiaTheme="minorHAnsi" w:hAnsi="IBM Plex Sans" w:cs="Calibri"/>
          <w:sz w:val="22"/>
          <w:szCs w:val="22"/>
        </w:rPr>
        <w:t>)</w:t>
      </w:r>
      <w:r w:rsidR="00C13883" w:rsidRPr="007128C7">
        <w:rPr>
          <w:rFonts w:ascii="IBM Plex Sans" w:eastAsiaTheme="minorHAnsi" w:hAnsi="IBM Plex Sans" w:cs="Calibri"/>
          <w:sz w:val="22"/>
          <w:szCs w:val="22"/>
        </w:rPr>
        <w:t>.</w:t>
      </w:r>
      <w:r w:rsidR="006A4A61" w:rsidRPr="007128C7">
        <w:rPr>
          <w:rFonts w:ascii="IBM Plex Sans" w:eastAsiaTheme="minorHAnsi" w:hAnsi="IBM Plex Sans" w:cs="Calibri"/>
          <w:sz w:val="22"/>
          <w:szCs w:val="22"/>
        </w:rPr>
        <w:t xml:space="preserve"> </w:t>
      </w:r>
    </w:p>
    <w:p w14:paraId="0E1E0210" w14:textId="77777777" w:rsidR="001D128E" w:rsidRDefault="001D128E" w:rsidP="007128C7">
      <w:pPr>
        <w:pStyle w:val="pf0"/>
        <w:spacing w:before="0" w:beforeAutospacing="0" w:after="0" w:afterAutospacing="0" w:line="360" w:lineRule="auto"/>
        <w:jc w:val="both"/>
        <w:rPr>
          <w:rFonts w:ascii="IBM Plex Sans" w:eastAsiaTheme="minorHAnsi" w:hAnsi="IBM Plex Sans" w:cs="Calibri"/>
          <w:sz w:val="22"/>
          <w:szCs w:val="22"/>
        </w:rPr>
      </w:pPr>
    </w:p>
    <w:p w14:paraId="112BAE8D" w14:textId="3EA8918E" w:rsidR="007128C7" w:rsidRDefault="00522FD5" w:rsidP="007128C7">
      <w:pPr>
        <w:pStyle w:val="pf0"/>
        <w:spacing w:before="0" w:beforeAutospacing="0" w:after="0" w:afterAutospacing="0" w:line="360" w:lineRule="auto"/>
        <w:jc w:val="both"/>
        <w:rPr>
          <w:rStyle w:val="cf01"/>
          <w:rFonts w:ascii="IBM Plex Sans" w:hAnsi="IBM Plex Sans"/>
          <w:sz w:val="22"/>
          <w:szCs w:val="22"/>
        </w:rPr>
      </w:pPr>
      <w:r w:rsidRPr="007128C7">
        <w:rPr>
          <w:rFonts w:ascii="IBM Plex Sans" w:eastAsiaTheme="minorHAnsi" w:hAnsi="IBM Plex Sans" w:cs="Calibri"/>
          <w:sz w:val="22"/>
          <w:szCs w:val="22"/>
        </w:rPr>
        <w:t>The largest</w:t>
      </w:r>
      <w:r w:rsidR="003F44ED">
        <w:rPr>
          <w:rFonts w:ascii="IBM Plex Sans" w:eastAsiaTheme="minorHAnsi" w:hAnsi="IBM Plex Sans" w:cs="Calibri"/>
          <w:sz w:val="22"/>
          <w:szCs w:val="22"/>
        </w:rPr>
        <w:t xml:space="preserve"> </w:t>
      </w:r>
      <w:r w:rsidR="00DA5F9C">
        <w:rPr>
          <w:rFonts w:ascii="IBM Plex Sans" w:eastAsiaTheme="minorHAnsi" w:hAnsi="IBM Plex Sans" w:cs="Calibri"/>
          <w:sz w:val="22"/>
          <w:szCs w:val="22"/>
        </w:rPr>
        <w:t>g</w:t>
      </w:r>
      <w:r w:rsidRPr="007128C7">
        <w:rPr>
          <w:rFonts w:ascii="IBM Plex Sans" w:eastAsiaTheme="minorHAnsi" w:hAnsi="IBM Plex Sans" w:cs="Calibri"/>
          <w:sz w:val="22"/>
          <w:szCs w:val="22"/>
        </w:rPr>
        <w:t>ap is</w:t>
      </w:r>
      <w:r w:rsidR="003E306E">
        <w:rPr>
          <w:rFonts w:ascii="IBM Plex Sans" w:eastAsiaTheme="minorHAnsi" w:hAnsi="IBM Plex Sans" w:cs="Calibri"/>
          <w:sz w:val="22"/>
          <w:szCs w:val="22"/>
        </w:rPr>
        <w:t xml:space="preserve"> found at</w:t>
      </w:r>
      <w:r w:rsidRPr="007128C7">
        <w:rPr>
          <w:rFonts w:ascii="IBM Plex Sans" w:eastAsiaTheme="minorHAnsi" w:hAnsi="IBM Plex Sans" w:cs="Calibri"/>
          <w:sz w:val="22"/>
          <w:szCs w:val="22"/>
        </w:rPr>
        <w:t xml:space="preserve"> pay band 9</w:t>
      </w:r>
      <w:r w:rsidR="00DA5F9C">
        <w:rPr>
          <w:rFonts w:ascii="IBM Plex Sans" w:eastAsiaTheme="minorHAnsi" w:hAnsi="IBM Plex Sans" w:cs="Calibri"/>
          <w:sz w:val="22"/>
          <w:szCs w:val="22"/>
        </w:rPr>
        <w:t>, where the mean gender pay gap is 12.3%,</w:t>
      </w:r>
      <w:r w:rsidR="00450A56">
        <w:rPr>
          <w:rFonts w:ascii="IBM Plex Sans" w:eastAsiaTheme="minorHAnsi" w:hAnsi="IBM Plex Sans" w:cs="Calibri"/>
          <w:sz w:val="22"/>
          <w:szCs w:val="22"/>
        </w:rPr>
        <w:t xml:space="preserve"> and this difference is clearly driving the organisation-wide pay gap</w:t>
      </w:r>
      <w:r w:rsidR="00CA0A0C">
        <w:rPr>
          <w:rFonts w:ascii="IBM Plex Sans" w:eastAsiaTheme="minorHAnsi" w:hAnsi="IBM Plex Sans" w:cs="Calibri"/>
          <w:sz w:val="22"/>
          <w:szCs w:val="22"/>
        </w:rPr>
        <w:t xml:space="preserve">. </w:t>
      </w:r>
      <w:r w:rsidR="007128C7" w:rsidRPr="007128C7">
        <w:rPr>
          <w:rFonts w:ascii="IBM Plex Sans" w:eastAsiaTheme="minorHAnsi" w:hAnsi="IBM Plex Sans" w:cs="Calibri"/>
          <w:sz w:val="22"/>
          <w:szCs w:val="22"/>
        </w:rPr>
        <w:t xml:space="preserve">This band contains the largest </w:t>
      </w:r>
      <w:r w:rsidR="007128C7" w:rsidRPr="007128C7">
        <w:rPr>
          <w:rFonts w:ascii="IBM Plex Sans" w:eastAsiaTheme="minorHAnsi" w:hAnsi="IBM Plex Sans" w:cs="Calibri"/>
          <w:sz w:val="22"/>
          <w:szCs w:val="22"/>
        </w:rPr>
        <w:lastRenderedPageBreak/>
        <w:t xml:space="preserve">proportion of men </w:t>
      </w:r>
      <w:r w:rsidR="001D128E">
        <w:rPr>
          <w:rStyle w:val="cf01"/>
          <w:rFonts w:ascii="IBM Plex Sans" w:hAnsi="IBM Plex Sans"/>
          <w:sz w:val="22"/>
          <w:szCs w:val="22"/>
        </w:rPr>
        <w:t xml:space="preserve">and </w:t>
      </w:r>
      <w:r w:rsidR="00BE3DF0">
        <w:rPr>
          <w:rStyle w:val="cf01"/>
          <w:rFonts w:ascii="IBM Plex Sans" w:hAnsi="IBM Plex Sans"/>
          <w:sz w:val="22"/>
          <w:szCs w:val="22"/>
        </w:rPr>
        <w:t xml:space="preserve">includes </w:t>
      </w:r>
      <w:r w:rsidR="00571CEF">
        <w:rPr>
          <w:rStyle w:val="cf01"/>
          <w:rFonts w:ascii="IBM Plex Sans" w:hAnsi="IBM Plex Sans"/>
          <w:sz w:val="22"/>
          <w:szCs w:val="22"/>
        </w:rPr>
        <w:t>primarily k</w:t>
      </w:r>
      <w:r w:rsidR="001D128E">
        <w:rPr>
          <w:rStyle w:val="cf01"/>
          <w:rFonts w:ascii="IBM Plex Sans" w:hAnsi="IBM Plex Sans"/>
          <w:sz w:val="22"/>
          <w:szCs w:val="22"/>
        </w:rPr>
        <w:t>ey managerial roles</w:t>
      </w:r>
      <w:r w:rsidR="00571CEF">
        <w:rPr>
          <w:rStyle w:val="cf01"/>
          <w:rFonts w:ascii="IBM Plex Sans" w:hAnsi="IBM Plex Sans"/>
          <w:sz w:val="22"/>
          <w:szCs w:val="22"/>
        </w:rPr>
        <w:t>, such as heads of</w:t>
      </w:r>
      <w:r w:rsidR="003E0955">
        <w:rPr>
          <w:rStyle w:val="cf01"/>
          <w:rFonts w:ascii="IBM Plex Sans" w:hAnsi="IBM Plex Sans"/>
          <w:sz w:val="22"/>
          <w:szCs w:val="22"/>
        </w:rPr>
        <w:t xml:space="preserve"> function</w:t>
      </w:r>
      <w:r w:rsidR="00571CEF">
        <w:rPr>
          <w:rStyle w:val="cf01"/>
          <w:rFonts w:ascii="IBM Plex Sans" w:hAnsi="IBM Plex Sans"/>
          <w:sz w:val="22"/>
          <w:szCs w:val="22"/>
        </w:rPr>
        <w:t>, a</w:t>
      </w:r>
      <w:r w:rsidR="00F02823">
        <w:rPr>
          <w:rStyle w:val="cf01"/>
          <w:rFonts w:ascii="IBM Plex Sans" w:hAnsi="IBM Plex Sans"/>
          <w:sz w:val="22"/>
          <w:szCs w:val="22"/>
        </w:rPr>
        <w:t>s well as</w:t>
      </w:r>
      <w:r w:rsidR="00571CEF">
        <w:rPr>
          <w:rStyle w:val="cf01"/>
          <w:rFonts w:ascii="IBM Plex Sans" w:hAnsi="IBM Plex Sans"/>
          <w:sz w:val="22"/>
          <w:szCs w:val="22"/>
        </w:rPr>
        <w:t xml:space="preserve"> </w:t>
      </w:r>
      <w:r w:rsidR="007562FA">
        <w:rPr>
          <w:rStyle w:val="cf01"/>
          <w:rFonts w:ascii="IBM Plex Sans" w:hAnsi="IBM Plex Sans"/>
          <w:sz w:val="22"/>
          <w:szCs w:val="22"/>
        </w:rPr>
        <w:t>junior consultant</w:t>
      </w:r>
      <w:r w:rsidR="00861E8D">
        <w:rPr>
          <w:rStyle w:val="cf01"/>
          <w:rFonts w:ascii="IBM Plex Sans" w:hAnsi="IBM Plex Sans"/>
          <w:sz w:val="22"/>
          <w:szCs w:val="22"/>
        </w:rPr>
        <w:t>s</w:t>
      </w:r>
      <w:r w:rsidR="00344F47">
        <w:rPr>
          <w:rStyle w:val="cf01"/>
          <w:rFonts w:ascii="IBM Plex Sans" w:hAnsi="IBM Plex Sans"/>
          <w:sz w:val="22"/>
          <w:szCs w:val="22"/>
        </w:rPr>
        <w:t xml:space="preserve">. </w:t>
      </w:r>
    </w:p>
    <w:p w14:paraId="46A2C8EB" w14:textId="77777777" w:rsidR="00DA5F9C" w:rsidRDefault="00DA5F9C" w:rsidP="007128C7">
      <w:pPr>
        <w:pStyle w:val="pf0"/>
        <w:spacing w:before="0" w:beforeAutospacing="0" w:after="0" w:afterAutospacing="0" w:line="360" w:lineRule="auto"/>
        <w:jc w:val="both"/>
        <w:rPr>
          <w:rStyle w:val="cf01"/>
          <w:rFonts w:ascii="IBM Plex Sans" w:hAnsi="IBM Plex Sans"/>
          <w:sz w:val="22"/>
          <w:szCs w:val="22"/>
        </w:rPr>
      </w:pPr>
    </w:p>
    <w:p w14:paraId="7A1F1F85" w14:textId="6FD9A118" w:rsidR="00AF6CED" w:rsidRPr="00A02AA2" w:rsidRDefault="00AF6CED" w:rsidP="00E7652C">
      <w:pPr>
        <w:spacing w:before="0" w:after="0"/>
        <w:jc w:val="both"/>
        <w:rPr>
          <w:rFonts w:ascii="IBM Plex Sans Medium" w:eastAsiaTheme="minorHAnsi" w:hAnsi="IBM Plex Sans Medium" w:cs="Calibri"/>
          <w:sz w:val="20"/>
          <w:szCs w:val="20"/>
        </w:rPr>
      </w:pPr>
      <w:bookmarkStart w:id="29" w:name="_Toc157514658"/>
      <w:r w:rsidRPr="00A02AA2">
        <w:rPr>
          <w:rFonts w:ascii="IBM Plex Sans Medium" w:eastAsiaTheme="minorHAnsi" w:hAnsi="IBM Plex Sans Medium" w:cs="Calibri"/>
          <w:sz w:val="20"/>
          <w:szCs w:val="20"/>
        </w:rPr>
        <w:t xml:space="preserve">Figure </w:t>
      </w:r>
      <w:r w:rsidR="00AC7D04" w:rsidRPr="00A02AA2">
        <w:rPr>
          <w:rFonts w:ascii="IBM Plex Sans Medium" w:eastAsiaTheme="minorHAnsi" w:hAnsi="IBM Plex Sans Medium" w:cs="Calibri"/>
          <w:sz w:val="20"/>
          <w:szCs w:val="20"/>
        </w:rPr>
        <w:fldChar w:fldCharType="begin"/>
      </w:r>
      <w:r w:rsidR="00AC7D04" w:rsidRPr="00A02AA2">
        <w:rPr>
          <w:rFonts w:ascii="IBM Plex Sans Medium" w:eastAsiaTheme="minorHAnsi" w:hAnsi="IBM Plex Sans Medium" w:cs="Calibri"/>
          <w:sz w:val="20"/>
          <w:szCs w:val="20"/>
        </w:rPr>
        <w:instrText xml:space="preserve"> SEQ Figure \* ARABIC </w:instrText>
      </w:r>
      <w:r w:rsidR="00AC7D04" w:rsidRPr="00A02AA2">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6</w:t>
      </w:r>
      <w:r w:rsidR="00AC7D04" w:rsidRPr="00A02AA2">
        <w:rPr>
          <w:rFonts w:ascii="IBM Plex Sans Medium" w:eastAsiaTheme="minorHAnsi" w:hAnsi="IBM Plex Sans Medium" w:cs="Calibri"/>
          <w:sz w:val="20"/>
          <w:szCs w:val="20"/>
        </w:rPr>
        <w:fldChar w:fldCharType="end"/>
      </w:r>
      <w:r w:rsidRPr="00A02AA2">
        <w:rPr>
          <w:rFonts w:ascii="IBM Plex Sans Medium" w:eastAsiaTheme="minorHAnsi" w:hAnsi="IBM Plex Sans Medium" w:cs="Calibri"/>
          <w:sz w:val="20"/>
          <w:szCs w:val="20"/>
        </w:rPr>
        <w:t xml:space="preserve"> </w:t>
      </w:r>
      <w:r w:rsidR="002E2838" w:rsidRPr="00A02AA2">
        <w:rPr>
          <w:rFonts w:ascii="IBM Plex Sans Medium" w:eastAsiaTheme="minorHAnsi" w:hAnsi="IBM Plex Sans Medium" w:cs="Calibri"/>
          <w:sz w:val="20"/>
          <w:szCs w:val="20"/>
        </w:rPr>
        <w:t>G</w:t>
      </w:r>
      <w:r w:rsidRPr="00A02AA2">
        <w:rPr>
          <w:rFonts w:ascii="IBM Plex Sans Medium" w:eastAsiaTheme="minorHAnsi" w:hAnsi="IBM Plex Sans Medium" w:cs="Calibri"/>
          <w:sz w:val="20"/>
          <w:szCs w:val="20"/>
        </w:rPr>
        <w:t xml:space="preserve">ender pay gaps by </w:t>
      </w:r>
      <w:r w:rsidR="00A5740D" w:rsidRPr="00A02AA2">
        <w:rPr>
          <w:rFonts w:ascii="IBM Plex Sans Medium" w:eastAsiaTheme="minorHAnsi" w:hAnsi="IBM Plex Sans Medium" w:cs="Calibri"/>
          <w:sz w:val="20"/>
          <w:szCs w:val="20"/>
        </w:rPr>
        <w:t>pay band</w:t>
      </w:r>
      <w:bookmarkEnd w:id="29"/>
    </w:p>
    <w:p w14:paraId="074F62B6" w14:textId="67721164" w:rsidR="00B9780C" w:rsidRDefault="00B9780C" w:rsidP="004F0EA5">
      <w:pPr>
        <w:spacing w:before="0" w:after="0"/>
        <w:jc w:val="both"/>
        <w:rPr>
          <w:rFonts w:ascii="IBM Plex Sans Medium" w:eastAsiaTheme="minorHAnsi" w:hAnsi="IBM Plex Sans Medium" w:cs="Calibri"/>
          <w:sz w:val="20"/>
          <w:szCs w:val="20"/>
        </w:rPr>
      </w:pPr>
      <w:r>
        <w:rPr>
          <w:noProof/>
        </w:rPr>
        <w:drawing>
          <wp:inline distT="0" distB="0" distL="0" distR="0" wp14:anchorId="1E120AE3" wp14:editId="18F7CAC8">
            <wp:extent cx="5943600" cy="3060000"/>
            <wp:effectExtent l="0" t="0" r="0" b="7620"/>
            <wp:docPr id="744126832" name="Chart 1">
              <a:extLst xmlns:a="http://schemas.openxmlformats.org/drawingml/2006/main">
                <a:ext uri="{FF2B5EF4-FFF2-40B4-BE49-F238E27FC236}">
                  <a16:creationId xmlns:a16="http://schemas.microsoft.com/office/drawing/2014/main" id="{1F620B9E-91EA-84FA-DBC0-3EF1BD1197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17AEC17" w14:textId="77777777" w:rsidR="00B9780C" w:rsidRDefault="00B9780C" w:rsidP="004F0EA5">
      <w:pPr>
        <w:spacing w:before="0" w:after="0"/>
        <w:jc w:val="both"/>
        <w:rPr>
          <w:rFonts w:ascii="IBM Plex Sans Medium" w:eastAsiaTheme="minorHAnsi" w:hAnsi="IBM Plex Sans Medium" w:cs="Calibri"/>
          <w:sz w:val="20"/>
          <w:szCs w:val="20"/>
        </w:rPr>
      </w:pPr>
    </w:p>
    <w:p w14:paraId="5F77CAEA" w14:textId="0DCC1E27" w:rsidR="004F0EA5" w:rsidRPr="00EA1E93" w:rsidRDefault="004F0EA5" w:rsidP="004F0EA5">
      <w:pPr>
        <w:spacing w:before="0" w:after="0"/>
        <w:jc w:val="both"/>
        <w:rPr>
          <w:rFonts w:ascii="IBM Plex Sans Medium" w:eastAsiaTheme="minorHAnsi" w:hAnsi="IBM Plex Sans Medium" w:cs="Calibri"/>
          <w:sz w:val="20"/>
          <w:szCs w:val="20"/>
        </w:rPr>
      </w:pPr>
      <w:bookmarkStart w:id="30" w:name="_Toc157514659"/>
      <w:r w:rsidRPr="00EA1E93">
        <w:rPr>
          <w:rFonts w:ascii="IBM Plex Sans Medium" w:eastAsiaTheme="minorHAnsi" w:hAnsi="IBM Plex Sans Medium" w:cs="Calibri"/>
          <w:sz w:val="20"/>
          <w:szCs w:val="20"/>
        </w:rPr>
        <w:t xml:space="preserve">Figure </w:t>
      </w:r>
      <w:r w:rsidRPr="00EA1E93">
        <w:rPr>
          <w:rFonts w:ascii="IBM Plex Sans Medium" w:eastAsiaTheme="minorHAnsi" w:hAnsi="IBM Plex Sans Medium" w:cs="Calibri"/>
          <w:sz w:val="20"/>
          <w:szCs w:val="20"/>
        </w:rPr>
        <w:fldChar w:fldCharType="begin"/>
      </w:r>
      <w:r w:rsidRPr="00EA1E93">
        <w:rPr>
          <w:rFonts w:ascii="IBM Plex Sans Medium" w:eastAsiaTheme="minorHAnsi" w:hAnsi="IBM Plex Sans Medium" w:cs="Calibri"/>
          <w:sz w:val="20"/>
          <w:szCs w:val="20"/>
        </w:rPr>
        <w:instrText xml:space="preserve"> SEQ Figure \* ARABIC </w:instrText>
      </w:r>
      <w:r w:rsidRPr="00EA1E93">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7</w:t>
      </w:r>
      <w:r w:rsidRPr="00EA1E93">
        <w:rPr>
          <w:rFonts w:ascii="IBM Plex Sans Medium" w:eastAsiaTheme="minorHAnsi" w:hAnsi="IBM Plex Sans Medium" w:cs="Calibri"/>
          <w:sz w:val="20"/>
          <w:szCs w:val="20"/>
        </w:rPr>
        <w:fldChar w:fldCharType="end"/>
      </w:r>
      <w:r w:rsidRPr="00EA1E93">
        <w:rPr>
          <w:rFonts w:ascii="IBM Plex Sans Medium" w:eastAsiaTheme="minorHAnsi" w:hAnsi="IBM Plex Sans Medium" w:cs="Calibri"/>
          <w:sz w:val="20"/>
          <w:szCs w:val="20"/>
        </w:rPr>
        <w:t xml:space="preserve"> Proportion of men and women in each pay band</w:t>
      </w:r>
      <w:bookmarkEnd w:id="30"/>
    </w:p>
    <w:p w14:paraId="718CC74F" w14:textId="5BA1E74E" w:rsidR="00982AC1" w:rsidRDefault="00CC0742" w:rsidP="00CF1A49">
      <w:pPr>
        <w:spacing w:before="0" w:after="0"/>
        <w:jc w:val="both"/>
        <w:rPr>
          <w:rFonts w:ascii="IBM Plex Sans" w:eastAsiaTheme="minorHAnsi" w:hAnsi="IBM Plex Sans" w:cs="Calibri"/>
          <w:sz w:val="22"/>
        </w:rPr>
      </w:pPr>
      <w:r>
        <w:rPr>
          <w:noProof/>
        </w:rPr>
        <w:drawing>
          <wp:inline distT="0" distB="0" distL="0" distR="0" wp14:anchorId="6D33703A" wp14:editId="682EC5CB">
            <wp:extent cx="5940000" cy="3060000"/>
            <wp:effectExtent l="0" t="0" r="3810" b="7620"/>
            <wp:docPr id="1409868254" name="Chart 1">
              <a:extLst xmlns:a="http://schemas.openxmlformats.org/drawingml/2006/main">
                <a:ext uri="{FF2B5EF4-FFF2-40B4-BE49-F238E27FC236}">
                  <a16:creationId xmlns:a16="http://schemas.microsoft.com/office/drawing/2014/main" id="{99E720E0-5E67-BAE7-BAE9-1FCF9FFD7C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F6A0F53" w14:textId="77777777" w:rsidR="00982AC1" w:rsidRDefault="00982AC1" w:rsidP="00CF1A49">
      <w:pPr>
        <w:spacing w:before="0" w:after="0"/>
        <w:jc w:val="both"/>
        <w:rPr>
          <w:rFonts w:ascii="IBM Plex Sans" w:eastAsiaTheme="minorHAnsi" w:hAnsi="IBM Plex Sans" w:cs="Calibri"/>
          <w:sz w:val="22"/>
        </w:rPr>
      </w:pPr>
    </w:p>
    <w:p w14:paraId="1F4238D9" w14:textId="1AEA3297" w:rsidR="00557B89" w:rsidRDefault="00450A56" w:rsidP="00CF1A49">
      <w:pPr>
        <w:spacing w:before="0" w:after="0"/>
        <w:jc w:val="both"/>
        <w:rPr>
          <w:rFonts w:ascii="IBM Plex Sans" w:eastAsiaTheme="minorHAnsi" w:hAnsi="IBM Plex Sans" w:cs="Calibri"/>
          <w:sz w:val="22"/>
        </w:rPr>
      </w:pPr>
      <w:r>
        <w:rPr>
          <w:rFonts w:ascii="IBM Plex Sans" w:eastAsiaTheme="minorHAnsi" w:hAnsi="IBM Plex Sans" w:cs="Calibri"/>
          <w:sz w:val="22"/>
        </w:rPr>
        <w:lastRenderedPageBreak/>
        <w:t>Further analysis</w:t>
      </w:r>
      <w:r w:rsidR="00613058">
        <w:rPr>
          <w:rFonts w:ascii="IBM Plex Sans" w:eastAsiaTheme="minorHAnsi" w:hAnsi="IBM Plex Sans" w:cs="Calibri"/>
          <w:sz w:val="22"/>
        </w:rPr>
        <w:t xml:space="preserve"> </w:t>
      </w:r>
      <w:r w:rsidR="00CF1A49" w:rsidRPr="001D3B2A">
        <w:rPr>
          <w:rFonts w:ascii="IBM Plex Sans" w:eastAsiaTheme="minorHAnsi" w:hAnsi="IBM Plex Sans" w:cs="Calibri"/>
          <w:sz w:val="22"/>
        </w:rPr>
        <w:t>explore</w:t>
      </w:r>
      <w:r w:rsidR="00613058">
        <w:rPr>
          <w:rFonts w:ascii="IBM Plex Sans" w:eastAsiaTheme="minorHAnsi" w:hAnsi="IBM Plex Sans" w:cs="Calibri"/>
          <w:sz w:val="22"/>
        </w:rPr>
        <w:t>s</w:t>
      </w:r>
      <w:r w:rsidR="00CF1A49" w:rsidRPr="001D3B2A">
        <w:rPr>
          <w:rFonts w:ascii="IBM Plex Sans" w:eastAsiaTheme="minorHAnsi" w:hAnsi="IBM Plex Sans" w:cs="Calibri"/>
          <w:sz w:val="22"/>
        </w:rPr>
        <w:t xml:space="preserve"> the impact of additio</w:t>
      </w:r>
      <w:r w:rsidR="00B50C81" w:rsidRPr="001D3B2A">
        <w:rPr>
          <w:rFonts w:ascii="IBM Plex Sans" w:eastAsiaTheme="minorHAnsi" w:hAnsi="IBM Plex Sans" w:cs="Calibri"/>
          <w:sz w:val="22"/>
        </w:rPr>
        <w:t xml:space="preserve">ns to basic pay </w:t>
      </w:r>
      <w:r w:rsidR="00CF1A49" w:rsidRPr="001D3B2A">
        <w:rPr>
          <w:rFonts w:ascii="IBM Plex Sans" w:eastAsiaTheme="minorHAnsi" w:hAnsi="IBM Plex Sans" w:cs="Calibri"/>
          <w:sz w:val="22"/>
        </w:rPr>
        <w:t xml:space="preserve">on the gender pay </w:t>
      </w:r>
      <w:r w:rsidR="00416498" w:rsidRPr="001D3B2A">
        <w:rPr>
          <w:rFonts w:ascii="IBM Plex Sans" w:eastAsiaTheme="minorHAnsi" w:hAnsi="IBM Plex Sans" w:cs="Calibri"/>
          <w:sz w:val="22"/>
        </w:rPr>
        <w:t>gap</w:t>
      </w:r>
      <w:r w:rsidR="00AB619D">
        <w:rPr>
          <w:rFonts w:ascii="IBM Plex Sans" w:eastAsiaTheme="minorHAnsi" w:hAnsi="IBM Plex Sans" w:cs="Calibri"/>
          <w:sz w:val="22"/>
        </w:rPr>
        <w:t xml:space="preserve"> by pay band</w:t>
      </w:r>
      <w:r w:rsidR="001D5EAA">
        <w:rPr>
          <w:rFonts w:ascii="IBM Plex Sans" w:eastAsiaTheme="minorHAnsi" w:hAnsi="IBM Plex Sans" w:cs="Calibri"/>
          <w:sz w:val="22"/>
        </w:rPr>
        <w:t>. This analysis</w:t>
      </w:r>
      <w:r w:rsidR="00AB619D">
        <w:rPr>
          <w:rFonts w:ascii="IBM Plex Sans" w:eastAsiaTheme="minorHAnsi" w:hAnsi="IBM Plex Sans" w:cs="Calibri"/>
          <w:sz w:val="22"/>
        </w:rPr>
        <w:t xml:space="preserve"> shows </w:t>
      </w:r>
      <w:r w:rsidR="00E051B7">
        <w:rPr>
          <w:rFonts w:ascii="IBM Plex Sans" w:eastAsiaTheme="minorHAnsi" w:hAnsi="IBM Plex Sans" w:cs="Calibri"/>
          <w:sz w:val="22"/>
        </w:rPr>
        <w:t xml:space="preserve">that other </w:t>
      </w:r>
      <w:r w:rsidR="00FE7986">
        <w:rPr>
          <w:rFonts w:ascii="IBM Plex Sans" w:eastAsiaTheme="minorHAnsi" w:hAnsi="IBM Plex Sans" w:cs="Calibri"/>
          <w:sz w:val="22"/>
        </w:rPr>
        <w:t xml:space="preserve">elements of pay </w:t>
      </w:r>
      <w:r w:rsidR="00E051B7">
        <w:rPr>
          <w:rFonts w:ascii="IBM Plex Sans" w:eastAsiaTheme="minorHAnsi" w:hAnsi="IBM Plex Sans" w:cs="Calibri"/>
          <w:sz w:val="22"/>
        </w:rPr>
        <w:t xml:space="preserve">contribute to the gender pay gap </w:t>
      </w:r>
      <w:r w:rsidR="003B7200">
        <w:rPr>
          <w:rFonts w:ascii="IBM Plex Sans" w:eastAsiaTheme="minorHAnsi" w:hAnsi="IBM Plex Sans" w:cs="Calibri"/>
          <w:sz w:val="22"/>
        </w:rPr>
        <w:t xml:space="preserve">as </w:t>
      </w:r>
      <w:r w:rsidR="00B03BE3">
        <w:rPr>
          <w:rFonts w:ascii="IBM Plex Sans" w:eastAsiaTheme="minorHAnsi" w:hAnsi="IBM Plex Sans" w:cs="Calibri"/>
          <w:sz w:val="22"/>
        </w:rPr>
        <w:t>the gap i</w:t>
      </w:r>
      <w:r w:rsidR="003B7200">
        <w:rPr>
          <w:rFonts w:ascii="IBM Plex Sans" w:eastAsiaTheme="minorHAnsi" w:hAnsi="IBM Plex Sans" w:cs="Calibri"/>
          <w:sz w:val="22"/>
        </w:rPr>
        <w:t xml:space="preserve">s wider when we compare </w:t>
      </w:r>
      <w:r w:rsidR="00B61B2E">
        <w:rPr>
          <w:rFonts w:ascii="IBM Plex Sans" w:eastAsiaTheme="minorHAnsi" w:hAnsi="IBM Plex Sans" w:cs="Calibri"/>
          <w:sz w:val="22"/>
        </w:rPr>
        <w:t xml:space="preserve">pay for men and women including </w:t>
      </w:r>
      <w:r w:rsidR="009459E6">
        <w:rPr>
          <w:rFonts w:ascii="IBM Plex Sans" w:eastAsiaTheme="minorHAnsi" w:hAnsi="IBM Plex Sans" w:cs="Calibri"/>
          <w:sz w:val="22"/>
        </w:rPr>
        <w:t xml:space="preserve">such </w:t>
      </w:r>
      <w:r w:rsidR="009155C0">
        <w:rPr>
          <w:rFonts w:ascii="IBM Plex Sans" w:eastAsiaTheme="minorHAnsi" w:hAnsi="IBM Plex Sans" w:cs="Calibri"/>
          <w:sz w:val="22"/>
        </w:rPr>
        <w:t>additions</w:t>
      </w:r>
      <w:r w:rsidR="007C7D01">
        <w:rPr>
          <w:rFonts w:ascii="IBM Plex Sans" w:eastAsiaTheme="minorHAnsi" w:hAnsi="IBM Plex Sans" w:cs="Calibri"/>
          <w:sz w:val="22"/>
        </w:rPr>
        <w:t xml:space="preserve">, than </w:t>
      </w:r>
      <w:r w:rsidR="008D21DA">
        <w:rPr>
          <w:rFonts w:ascii="IBM Plex Sans" w:eastAsiaTheme="minorHAnsi" w:hAnsi="IBM Plex Sans" w:cs="Calibri"/>
          <w:sz w:val="22"/>
        </w:rPr>
        <w:t xml:space="preserve">when based </w:t>
      </w:r>
      <w:r w:rsidR="007C7D01">
        <w:rPr>
          <w:rFonts w:ascii="IBM Plex Sans" w:eastAsiaTheme="minorHAnsi" w:hAnsi="IBM Plex Sans" w:cs="Calibri"/>
          <w:sz w:val="22"/>
        </w:rPr>
        <w:t>on basic pay alone</w:t>
      </w:r>
      <w:r w:rsidR="009459E6">
        <w:rPr>
          <w:rFonts w:ascii="IBM Plex Sans" w:eastAsiaTheme="minorHAnsi" w:hAnsi="IBM Plex Sans" w:cs="Calibri"/>
          <w:sz w:val="22"/>
        </w:rPr>
        <w:t xml:space="preserve">. This </w:t>
      </w:r>
      <w:r w:rsidR="00346B2F">
        <w:rPr>
          <w:rFonts w:ascii="IBM Plex Sans" w:eastAsiaTheme="minorHAnsi" w:hAnsi="IBM Plex Sans" w:cs="Calibri"/>
          <w:sz w:val="22"/>
        </w:rPr>
        <w:t>effect</w:t>
      </w:r>
      <w:r w:rsidR="009459E6">
        <w:rPr>
          <w:rFonts w:ascii="IBM Plex Sans" w:eastAsiaTheme="minorHAnsi" w:hAnsi="IBM Plex Sans" w:cs="Calibri"/>
          <w:sz w:val="22"/>
        </w:rPr>
        <w:t xml:space="preserve"> is</w:t>
      </w:r>
      <w:r w:rsidR="00394507">
        <w:rPr>
          <w:rFonts w:ascii="IBM Plex Sans" w:eastAsiaTheme="minorHAnsi" w:hAnsi="IBM Plex Sans" w:cs="Calibri"/>
          <w:sz w:val="22"/>
        </w:rPr>
        <w:t xml:space="preserve"> found more </w:t>
      </w:r>
      <w:r w:rsidR="009155C0">
        <w:rPr>
          <w:rFonts w:ascii="IBM Plex Sans" w:eastAsiaTheme="minorHAnsi" w:hAnsi="IBM Plex Sans" w:cs="Calibri"/>
          <w:sz w:val="22"/>
        </w:rPr>
        <w:t>significantly on the mean measure</w:t>
      </w:r>
      <w:r w:rsidR="00E05165">
        <w:rPr>
          <w:rFonts w:ascii="IBM Plex Sans" w:eastAsiaTheme="minorHAnsi" w:hAnsi="IBM Plex Sans" w:cs="Calibri"/>
          <w:sz w:val="22"/>
        </w:rPr>
        <w:t xml:space="preserve"> </w:t>
      </w:r>
      <w:r w:rsidR="00DA277B">
        <w:rPr>
          <w:rFonts w:ascii="IBM Plex Sans" w:eastAsiaTheme="minorHAnsi" w:hAnsi="IBM Plex Sans" w:cs="Calibri"/>
          <w:sz w:val="22"/>
        </w:rPr>
        <w:t xml:space="preserve">and particularly for bands 9 and 10. </w:t>
      </w:r>
    </w:p>
    <w:p w14:paraId="72551F8F" w14:textId="77777777" w:rsidR="00AE3445" w:rsidRPr="001D3B2A" w:rsidRDefault="00AE3445" w:rsidP="00CF1A49">
      <w:pPr>
        <w:spacing w:before="0" w:after="0"/>
        <w:jc w:val="both"/>
        <w:rPr>
          <w:rFonts w:ascii="IBM Plex Sans" w:eastAsiaTheme="minorHAnsi" w:hAnsi="IBM Plex Sans" w:cs="Calibri"/>
          <w:sz w:val="22"/>
        </w:rPr>
      </w:pPr>
    </w:p>
    <w:p w14:paraId="45AC15D8" w14:textId="35C22D53" w:rsidR="00FB3561" w:rsidRDefault="0063243C" w:rsidP="00D648DB">
      <w:pPr>
        <w:spacing w:before="0" w:after="0"/>
        <w:jc w:val="both"/>
        <w:rPr>
          <w:rFonts w:ascii="IBM Plex Sans" w:eastAsiaTheme="minorHAnsi" w:hAnsi="IBM Plex Sans" w:cs="Calibri"/>
          <w:sz w:val="22"/>
        </w:rPr>
      </w:pPr>
      <w:r w:rsidRPr="001D3B2A">
        <w:rPr>
          <w:rFonts w:ascii="IBM Plex Sans" w:eastAsiaTheme="minorHAnsi" w:hAnsi="IBM Plex Sans" w:cs="Calibri"/>
          <w:sz w:val="22"/>
        </w:rPr>
        <w:t xml:space="preserve">Table </w:t>
      </w:r>
      <w:r w:rsidR="00DA277B">
        <w:rPr>
          <w:rFonts w:ascii="IBM Plex Sans" w:eastAsiaTheme="minorHAnsi" w:hAnsi="IBM Plex Sans" w:cs="Calibri"/>
          <w:sz w:val="22"/>
        </w:rPr>
        <w:t>4</w:t>
      </w:r>
      <w:r w:rsidRPr="001D3B2A">
        <w:rPr>
          <w:rFonts w:ascii="IBM Plex Sans" w:eastAsiaTheme="minorHAnsi" w:hAnsi="IBM Plex Sans" w:cs="Calibri"/>
          <w:sz w:val="22"/>
        </w:rPr>
        <w:t xml:space="preserve"> provides gender pay gap </w:t>
      </w:r>
      <w:r w:rsidR="00FA2BDF">
        <w:rPr>
          <w:rFonts w:ascii="IBM Plex Sans" w:eastAsiaTheme="minorHAnsi" w:hAnsi="IBM Plex Sans" w:cs="Calibri"/>
          <w:sz w:val="22"/>
        </w:rPr>
        <w:t>calculations</w:t>
      </w:r>
      <w:r w:rsidR="00FA2BDF" w:rsidRPr="001D3B2A">
        <w:rPr>
          <w:rFonts w:ascii="IBM Plex Sans" w:eastAsiaTheme="minorHAnsi" w:hAnsi="IBM Plex Sans" w:cs="Calibri"/>
          <w:sz w:val="22"/>
        </w:rPr>
        <w:t xml:space="preserve"> </w:t>
      </w:r>
      <w:r w:rsidR="00571A0C" w:rsidRPr="001D3B2A">
        <w:rPr>
          <w:rFonts w:ascii="IBM Plex Sans" w:eastAsiaTheme="minorHAnsi" w:hAnsi="IBM Plex Sans" w:cs="Calibri"/>
          <w:sz w:val="22"/>
        </w:rPr>
        <w:t xml:space="preserve">on </w:t>
      </w:r>
      <w:r w:rsidR="00D43CC3" w:rsidRPr="001D3B2A">
        <w:rPr>
          <w:rFonts w:ascii="IBM Plex Sans" w:eastAsiaTheme="minorHAnsi" w:hAnsi="IBM Plex Sans" w:cs="Calibri"/>
          <w:sz w:val="22"/>
        </w:rPr>
        <w:t xml:space="preserve">the basis </w:t>
      </w:r>
      <w:r w:rsidR="007060C6">
        <w:rPr>
          <w:rFonts w:ascii="IBM Plex Sans" w:eastAsiaTheme="minorHAnsi" w:hAnsi="IBM Plex Sans" w:cs="Calibri"/>
          <w:sz w:val="22"/>
        </w:rPr>
        <w:t xml:space="preserve">of </w:t>
      </w:r>
      <w:r w:rsidR="00571A0C" w:rsidRPr="001D3B2A">
        <w:rPr>
          <w:rFonts w:ascii="IBM Plex Sans" w:eastAsiaTheme="minorHAnsi" w:hAnsi="IBM Plex Sans" w:cs="Calibri"/>
          <w:sz w:val="22"/>
        </w:rPr>
        <w:t>spinal point salarie</w:t>
      </w:r>
      <w:r w:rsidR="007060C6">
        <w:rPr>
          <w:rFonts w:ascii="IBM Plex Sans" w:eastAsiaTheme="minorHAnsi" w:hAnsi="IBM Plex Sans" w:cs="Calibri"/>
          <w:sz w:val="22"/>
        </w:rPr>
        <w:t>s,</w:t>
      </w:r>
      <w:r w:rsidR="00C512A6" w:rsidRPr="001D3B2A">
        <w:rPr>
          <w:rFonts w:ascii="IBM Plex Sans" w:eastAsiaTheme="minorHAnsi" w:hAnsi="IBM Plex Sans" w:cs="Calibri"/>
          <w:sz w:val="22"/>
        </w:rPr>
        <w:t xml:space="preserve"> or basic pay only</w:t>
      </w:r>
      <w:r w:rsidR="007060C6">
        <w:rPr>
          <w:rFonts w:ascii="IBM Plex Sans" w:eastAsiaTheme="minorHAnsi" w:hAnsi="IBM Plex Sans" w:cs="Calibri"/>
          <w:sz w:val="22"/>
        </w:rPr>
        <w:t>, and ‘</w:t>
      </w:r>
      <w:r w:rsidR="007060C6" w:rsidRPr="001D3B2A">
        <w:rPr>
          <w:rFonts w:ascii="IBM Plex Sans" w:eastAsiaTheme="minorHAnsi" w:hAnsi="IBM Plex Sans" w:cs="Calibri"/>
          <w:sz w:val="22"/>
        </w:rPr>
        <w:t>ordinary pay’,</w:t>
      </w:r>
      <w:r w:rsidR="001A59EA" w:rsidRPr="001D3B2A">
        <w:rPr>
          <w:rFonts w:ascii="IBM Plex Sans" w:eastAsiaTheme="minorHAnsi" w:hAnsi="IBM Plex Sans" w:cs="Calibri"/>
          <w:sz w:val="22"/>
        </w:rPr>
        <w:t xml:space="preserve"> </w:t>
      </w:r>
      <w:r w:rsidR="007060C6" w:rsidRPr="001D3B2A">
        <w:rPr>
          <w:rFonts w:ascii="IBM Plex Sans" w:eastAsiaTheme="minorHAnsi" w:hAnsi="IBM Plex Sans" w:cs="Calibri"/>
          <w:sz w:val="22"/>
        </w:rPr>
        <w:t xml:space="preserve">which includes </w:t>
      </w:r>
      <w:r w:rsidR="00932941">
        <w:rPr>
          <w:rFonts w:ascii="IBM Plex Sans" w:eastAsiaTheme="minorHAnsi" w:hAnsi="IBM Plex Sans" w:cs="Calibri"/>
          <w:sz w:val="22"/>
        </w:rPr>
        <w:t>allowances and other regular pay</w:t>
      </w:r>
      <w:r w:rsidR="00FD4B5D">
        <w:rPr>
          <w:rFonts w:ascii="IBM Plex Sans" w:eastAsiaTheme="minorHAnsi" w:hAnsi="IBM Plex Sans" w:cs="Calibri"/>
          <w:sz w:val="22"/>
        </w:rPr>
        <w:t xml:space="preserve">. The latter </w:t>
      </w:r>
      <w:r w:rsidR="007060C6" w:rsidRPr="001D3B2A">
        <w:rPr>
          <w:rFonts w:ascii="IBM Plex Sans" w:eastAsiaTheme="minorHAnsi" w:hAnsi="IBM Plex Sans" w:cs="Calibri"/>
          <w:sz w:val="22"/>
        </w:rPr>
        <w:t xml:space="preserve">is the main measure for calculating </w:t>
      </w:r>
      <w:r w:rsidR="00932941">
        <w:rPr>
          <w:rFonts w:ascii="IBM Plex Sans" w:eastAsiaTheme="minorHAnsi" w:hAnsi="IBM Plex Sans" w:cs="Calibri"/>
          <w:sz w:val="22"/>
        </w:rPr>
        <w:t xml:space="preserve">the </w:t>
      </w:r>
      <w:r w:rsidR="00DE3525">
        <w:rPr>
          <w:rFonts w:ascii="IBM Plex Sans" w:eastAsiaTheme="minorHAnsi" w:hAnsi="IBM Plex Sans" w:cs="Calibri"/>
          <w:sz w:val="22"/>
        </w:rPr>
        <w:t xml:space="preserve">headline </w:t>
      </w:r>
      <w:r w:rsidR="00932941">
        <w:rPr>
          <w:rFonts w:ascii="IBM Plex Sans" w:eastAsiaTheme="minorHAnsi" w:hAnsi="IBM Plex Sans" w:cs="Calibri"/>
          <w:sz w:val="22"/>
        </w:rPr>
        <w:t>gender pay gap</w:t>
      </w:r>
      <w:r w:rsidR="00DE3525">
        <w:rPr>
          <w:rFonts w:ascii="IBM Plex Sans" w:eastAsiaTheme="minorHAnsi" w:hAnsi="IBM Plex Sans" w:cs="Calibri"/>
          <w:sz w:val="22"/>
        </w:rPr>
        <w:t xml:space="preserve"> figures</w:t>
      </w:r>
      <w:r w:rsidR="00932941">
        <w:rPr>
          <w:rFonts w:ascii="IBM Plex Sans" w:eastAsiaTheme="minorHAnsi" w:hAnsi="IBM Plex Sans" w:cs="Calibri"/>
          <w:sz w:val="22"/>
        </w:rPr>
        <w:t xml:space="preserve">. </w:t>
      </w:r>
      <w:r w:rsidR="00DE3525">
        <w:rPr>
          <w:rFonts w:ascii="IBM Plex Sans" w:eastAsiaTheme="minorHAnsi" w:hAnsi="IBM Plex Sans" w:cs="Calibri"/>
          <w:sz w:val="22"/>
        </w:rPr>
        <w:t>The table</w:t>
      </w:r>
      <w:r w:rsidR="00D648DB">
        <w:rPr>
          <w:rFonts w:ascii="IBM Plex Sans" w:eastAsiaTheme="minorHAnsi" w:hAnsi="IBM Plex Sans" w:cs="Calibri"/>
          <w:sz w:val="22"/>
        </w:rPr>
        <w:t xml:space="preserve"> s</w:t>
      </w:r>
      <w:r w:rsidR="00850BA5">
        <w:rPr>
          <w:rFonts w:ascii="IBM Plex Sans" w:eastAsiaTheme="minorHAnsi" w:hAnsi="IBM Plex Sans" w:cs="Calibri"/>
          <w:sz w:val="22"/>
        </w:rPr>
        <w:t>hows that</w:t>
      </w:r>
      <w:r w:rsidR="008D06AA">
        <w:rPr>
          <w:rFonts w:ascii="IBM Plex Sans" w:eastAsiaTheme="minorHAnsi" w:hAnsi="IBM Plex Sans" w:cs="Calibri"/>
          <w:sz w:val="22"/>
        </w:rPr>
        <w:t xml:space="preserve"> </w:t>
      </w:r>
      <w:r w:rsidR="00850BA5">
        <w:rPr>
          <w:rFonts w:ascii="IBM Plex Sans" w:eastAsiaTheme="minorHAnsi" w:hAnsi="IBM Plex Sans" w:cs="Calibri"/>
          <w:sz w:val="22"/>
        </w:rPr>
        <w:t xml:space="preserve">gender pay gaps </w:t>
      </w:r>
      <w:r w:rsidR="008D06AA">
        <w:rPr>
          <w:rFonts w:ascii="IBM Plex Sans" w:eastAsiaTheme="minorHAnsi" w:hAnsi="IBM Plex Sans" w:cs="Calibri"/>
          <w:sz w:val="22"/>
        </w:rPr>
        <w:t>calculated using</w:t>
      </w:r>
      <w:r w:rsidR="00850BA5">
        <w:rPr>
          <w:rFonts w:ascii="IBM Plex Sans" w:eastAsiaTheme="minorHAnsi" w:hAnsi="IBM Plex Sans" w:cs="Calibri"/>
          <w:sz w:val="22"/>
        </w:rPr>
        <w:t xml:space="preserve"> basic pay </w:t>
      </w:r>
      <w:r w:rsidR="001672A2">
        <w:rPr>
          <w:rFonts w:ascii="IBM Plex Sans" w:eastAsiaTheme="minorHAnsi" w:hAnsi="IBM Plex Sans" w:cs="Calibri"/>
          <w:sz w:val="22"/>
        </w:rPr>
        <w:t>are</w:t>
      </w:r>
      <w:r w:rsidR="00FA0264">
        <w:rPr>
          <w:rFonts w:ascii="IBM Plex Sans" w:eastAsiaTheme="minorHAnsi" w:hAnsi="IBM Plex Sans" w:cs="Calibri"/>
          <w:sz w:val="22"/>
        </w:rPr>
        <w:t xml:space="preserve"> broadly </w:t>
      </w:r>
      <w:r w:rsidR="00D93A43">
        <w:rPr>
          <w:rFonts w:ascii="IBM Plex Sans" w:eastAsiaTheme="minorHAnsi" w:hAnsi="IBM Plex Sans" w:cs="Calibri"/>
          <w:sz w:val="22"/>
        </w:rPr>
        <w:t xml:space="preserve">similar </w:t>
      </w:r>
      <w:r w:rsidR="001672A2">
        <w:rPr>
          <w:rFonts w:ascii="IBM Plex Sans" w:eastAsiaTheme="minorHAnsi" w:hAnsi="IBM Plex Sans" w:cs="Calibri"/>
          <w:sz w:val="22"/>
        </w:rPr>
        <w:t>to</w:t>
      </w:r>
      <w:r w:rsidR="00D93A43">
        <w:rPr>
          <w:rFonts w:ascii="IBM Plex Sans" w:eastAsiaTheme="minorHAnsi" w:hAnsi="IBM Plex Sans" w:cs="Calibri"/>
          <w:sz w:val="22"/>
        </w:rPr>
        <w:t xml:space="preserve"> those</w:t>
      </w:r>
      <w:r w:rsidR="00FA0264">
        <w:rPr>
          <w:rFonts w:ascii="IBM Plex Sans" w:eastAsiaTheme="minorHAnsi" w:hAnsi="IBM Plex Sans" w:cs="Calibri"/>
          <w:sz w:val="22"/>
        </w:rPr>
        <w:t xml:space="preserve"> based on </w:t>
      </w:r>
      <w:r w:rsidR="00A379D8">
        <w:rPr>
          <w:rFonts w:ascii="IBM Plex Sans" w:eastAsiaTheme="minorHAnsi" w:hAnsi="IBM Plex Sans" w:cs="Calibri"/>
          <w:sz w:val="22"/>
        </w:rPr>
        <w:t>ordinary</w:t>
      </w:r>
      <w:r w:rsidR="00FA0264">
        <w:rPr>
          <w:rFonts w:ascii="IBM Plex Sans" w:eastAsiaTheme="minorHAnsi" w:hAnsi="IBM Plex Sans" w:cs="Calibri"/>
          <w:sz w:val="22"/>
        </w:rPr>
        <w:t xml:space="preserve"> </w:t>
      </w:r>
      <w:r w:rsidR="00FA0264" w:rsidRPr="000E4EA1">
        <w:rPr>
          <w:rFonts w:ascii="IBM Plex Sans" w:eastAsiaTheme="minorHAnsi" w:hAnsi="IBM Plex Sans" w:cs="Calibri"/>
          <w:sz w:val="22"/>
        </w:rPr>
        <w:t>pay</w:t>
      </w:r>
      <w:r w:rsidR="00CF5B14">
        <w:rPr>
          <w:rFonts w:ascii="IBM Plex Sans" w:eastAsiaTheme="minorHAnsi" w:hAnsi="IBM Plex Sans" w:cs="Calibri"/>
          <w:sz w:val="22"/>
        </w:rPr>
        <w:t xml:space="preserve"> – </w:t>
      </w:r>
      <w:r w:rsidR="001672A2" w:rsidRPr="000E4EA1">
        <w:rPr>
          <w:rFonts w:ascii="IBM Plex Sans" w:eastAsiaTheme="minorHAnsi" w:hAnsi="IBM Plex Sans" w:cs="Calibri"/>
          <w:sz w:val="22"/>
        </w:rPr>
        <w:t>m</w:t>
      </w:r>
      <w:r w:rsidR="00172237">
        <w:rPr>
          <w:rFonts w:ascii="IBM Plex Sans" w:eastAsiaTheme="minorHAnsi" w:hAnsi="IBM Plex Sans" w:cs="Calibri"/>
          <w:sz w:val="22"/>
        </w:rPr>
        <w:t>ost</w:t>
      </w:r>
      <w:r w:rsidR="001672A2" w:rsidRPr="000E4EA1">
        <w:rPr>
          <w:rFonts w:ascii="IBM Plex Sans" w:eastAsiaTheme="minorHAnsi" w:hAnsi="IBM Plex Sans" w:cs="Calibri"/>
          <w:sz w:val="22"/>
        </w:rPr>
        <w:t xml:space="preserve"> are negative</w:t>
      </w:r>
      <w:r w:rsidR="00172237">
        <w:rPr>
          <w:rFonts w:ascii="IBM Plex Sans" w:eastAsiaTheme="minorHAnsi" w:hAnsi="IBM Plex Sans" w:cs="Calibri"/>
          <w:sz w:val="22"/>
        </w:rPr>
        <w:t>,</w:t>
      </w:r>
      <w:r w:rsidR="001672A2" w:rsidRPr="000E4EA1">
        <w:rPr>
          <w:rFonts w:ascii="IBM Plex Sans" w:eastAsiaTheme="minorHAnsi" w:hAnsi="IBM Plex Sans" w:cs="Calibri"/>
          <w:sz w:val="22"/>
        </w:rPr>
        <w:t xml:space="preserve"> in favour of women</w:t>
      </w:r>
      <w:r w:rsidR="000E4EA1" w:rsidRPr="000E4EA1">
        <w:rPr>
          <w:rFonts w:ascii="IBM Plex Sans" w:eastAsiaTheme="minorHAnsi" w:hAnsi="IBM Plex Sans" w:cs="Calibri"/>
          <w:sz w:val="22"/>
        </w:rPr>
        <w:t xml:space="preserve">, </w:t>
      </w:r>
      <w:r w:rsidR="00172237">
        <w:rPr>
          <w:rFonts w:ascii="IBM Plex Sans" w:eastAsiaTheme="minorHAnsi" w:hAnsi="IBM Plex Sans" w:cs="Calibri"/>
          <w:sz w:val="22"/>
        </w:rPr>
        <w:t xml:space="preserve">with the </w:t>
      </w:r>
      <w:r w:rsidR="0071561D">
        <w:rPr>
          <w:rFonts w:ascii="IBM Plex Sans" w:eastAsiaTheme="minorHAnsi" w:hAnsi="IBM Plex Sans" w:cs="Calibri"/>
          <w:sz w:val="22"/>
        </w:rPr>
        <w:t>except</w:t>
      </w:r>
      <w:r w:rsidR="00172237">
        <w:rPr>
          <w:rFonts w:ascii="IBM Plex Sans" w:eastAsiaTheme="minorHAnsi" w:hAnsi="IBM Plex Sans" w:cs="Calibri"/>
          <w:sz w:val="22"/>
        </w:rPr>
        <w:t>ions of</w:t>
      </w:r>
      <w:r w:rsidR="0071561D">
        <w:rPr>
          <w:rFonts w:ascii="IBM Plex Sans" w:eastAsiaTheme="minorHAnsi" w:hAnsi="IBM Plex Sans" w:cs="Calibri"/>
          <w:sz w:val="22"/>
        </w:rPr>
        <w:t xml:space="preserve"> </w:t>
      </w:r>
      <w:r w:rsidR="00C40F48" w:rsidRPr="000E4EA1">
        <w:rPr>
          <w:rFonts w:ascii="IBM Plex Sans" w:eastAsiaTheme="minorHAnsi" w:hAnsi="IBM Plex Sans" w:cs="Calibri"/>
          <w:sz w:val="22"/>
        </w:rPr>
        <w:t>bands</w:t>
      </w:r>
      <w:r w:rsidR="00C40F48">
        <w:rPr>
          <w:rFonts w:ascii="IBM Plex Sans" w:eastAsiaTheme="minorHAnsi" w:hAnsi="IBM Plex Sans" w:cs="Calibri"/>
          <w:sz w:val="22"/>
        </w:rPr>
        <w:t xml:space="preserve"> 9 and 10 whic</w:t>
      </w:r>
      <w:r w:rsidR="000E4EA1">
        <w:rPr>
          <w:rFonts w:ascii="IBM Plex Sans" w:eastAsiaTheme="minorHAnsi" w:hAnsi="IBM Plex Sans" w:cs="Calibri"/>
          <w:sz w:val="22"/>
        </w:rPr>
        <w:t>h are very different.</w:t>
      </w:r>
      <w:r w:rsidR="003D4BC0">
        <w:rPr>
          <w:rFonts w:ascii="IBM Plex Sans" w:eastAsiaTheme="minorHAnsi" w:hAnsi="IBM Plex Sans" w:cs="Calibri"/>
          <w:sz w:val="22"/>
        </w:rPr>
        <w:t xml:space="preserve"> </w:t>
      </w:r>
    </w:p>
    <w:p w14:paraId="1B793D1D" w14:textId="77777777" w:rsidR="00FB3561" w:rsidRDefault="00FB3561" w:rsidP="00D648DB">
      <w:pPr>
        <w:spacing w:before="0" w:after="0"/>
        <w:jc w:val="both"/>
        <w:rPr>
          <w:rFonts w:ascii="IBM Plex Sans" w:eastAsiaTheme="minorHAnsi" w:hAnsi="IBM Plex Sans" w:cs="Calibri"/>
          <w:sz w:val="22"/>
        </w:rPr>
      </w:pPr>
    </w:p>
    <w:p w14:paraId="2E24BFF6" w14:textId="39B8A858" w:rsidR="00134716" w:rsidRPr="00CB4DD2" w:rsidRDefault="003D4BC0" w:rsidP="00CF1A49">
      <w:pPr>
        <w:spacing w:before="0" w:after="0"/>
        <w:jc w:val="both"/>
        <w:rPr>
          <w:rFonts w:ascii="IBM Plex Sans" w:eastAsiaTheme="minorHAnsi" w:hAnsi="IBM Plex Sans" w:cs="Calibri"/>
          <w:sz w:val="22"/>
        </w:rPr>
      </w:pPr>
      <w:r>
        <w:rPr>
          <w:rFonts w:ascii="IBM Plex Sans" w:eastAsiaTheme="minorHAnsi" w:hAnsi="IBM Plex Sans" w:cs="Calibri"/>
          <w:sz w:val="22"/>
        </w:rPr>
        <w:t xml:space="preserve">The mean pay gap is significantly larger for band 9 </w:t>
      </w:r>
      <w:r w:rsidR="00731BFB">
        <w:rPr>
          <w:rFonts w:ascii="IBM Plex Sans" w:eastAsiaTheme="minorHAnsi" w:hAnsi="IBM Plex Sans" w:cs="Calibri"/>
          <w:sz w:val="22"/>
        </w:rPr>
        <w:t>using</w:t>
      </w:r>
      <w:r>
        <w:rPr>
          <w:rFonts w:ascii="IBM Plex Sans" w:eastAsiaTheme="minorHAnsi" w:hAnsi="IBM Plex Sans" w:cs="Calibri"/>
          <w:sz w:val="22"/>
        </w:rPr>
        <w:t xml:space="preserve"> ordinary pay</w:t>
      </w:r>
      <w:r w:rsidR="008D3663">
        <w:rPr>
          <w:rFonts w:ascii="IBM Plex Sans" w:eastAsiaTheme="minorHAnsi" w:hAnsi="IBM Plex Sans" w:cs="Calibri"/>
          <w:sz w:val="22"/>
        </w:rPr>
        <w:t xml:space="preserve"> than</w:t>
      </w:r>
      <w:r w:rsidR="00134716">
        <w:rPr>
          <w:rFonts w:ascii="IBM Plex Sans" w:eastAsiaTheme="minorHAnsi" w:hAnsi="IBM Plex Sans" w:cs="Calibri"/>
          <w:sz w:val="22"/>
        </w:rPr>
        <w:t xml:space="preserve"> when </w:t>
      </w:r>
      <w:r w:rsidR="00134716" w:rsidRPr="00CB4DD2">
        <w:rPr>
          <w:rFonts w:ascii="IBM Plex Sans" w:eastAsiaTheme="minorHAnsi" w:hAnsi="IBM Plex Sans" w:cs="Calibri"/>
          <w:sz w:val="22"/>
        </w:rPr>
        <w:t>based on basic pay only</w:t>
      </w:r>
      <w:r w:rsidR="00731BFB">
        <w:rPr>
          <w:rFonts w:ascii="IBM Plex Sans" w:eastAsiaTheme="minorHAnsi" w:hAnsi="IBM Plex Sans" w:cs="Calibri"/>
          <w:sz w:val="22"/>
        </w:rPr>
        <w:t>. This</w:t>
      </w:r>
      <w:r w:rsidR="00134716" w:rsidRPr="00CB4DD2">
        <w:rPr>
          <w:rFonts w:ascii="IBM Plex Sans" w:eastAsiaTheme="minorHAnsi" w:hAnsi="IBM Plex Sans" w:cs="Calibri"/>
          <w:sz w:val="22"/>
        </w:rPr>
        <w:t xml:space="preserve"> illustrat</w:t>
      </w:r>
      <w:r w:rsidR="00731BFB">
        <w:rPr>
          <w:rFonts w:ascii="IBM Plex Sans" w:eastAsiaTheme="minorHAnsi" w:hAnsi="IBM Plex Sans" w:cs="Calibri"/>
          <w:sz w:val="22"/>
        </w:rPr>
        <w:t>es</w:t>
      </w:r>
      <w:r w:rsidR="00134716" w:rsidRPr="00CB4DD2">
        <w:rPr>
          <w:rFonts w:ascii="IBM Plex Sans" w:eastAsiaTheme="minorHAnsi" w:hAnsi="IBM Plex Sans" w:cs="Calibri"/>
          <w:sz w:val="22"/>
        </w:rPr>
        <w:t xml:space="preserve"> the impact of allowances on the pay gap between men and women at this level.</w:t>
      </w:r>
      <w:r w:rsidR="0015179F" w:rsidRPr="00CB4DD2">
        <w:rPr>
          <w:rFonts w:ascii="IBM Plex Sans" w:eastAsiaTheme="minorHAnsi" w:hAnsi="IBM Plex Sans" w:cs="Calibri"/>
          <w:sz w:val="22"/>
        </w:rPr>
        <w:t xml:space="preserve"> </w:t>
      </w:r>
      <w:r w:rsidR="00134716" w:rsidRPr="00CB4DD2">
        <w:rPr>
          <w:rFonts w:ascii="IBM Plex Sans" w:eastAsiaTheme="minorHAnsi" w:hAnsi="IBM Plex Sans" w:cs="Calibri"/>
          <w:sz w:val="22"/>
        </w:rPr>
        <w:t>At band 10 the median pay gap is</w:t>
      </w:r>
      <w:r w:rsidR="00F47023" w:rsidRPr="00CB4DD2">
        <w:rPr>
          <w:rFonts w:ascii="IBM Plex Sans" w:eastAsiaTheme="minorHAnsi" w:hAnsi="IBM Plex Sans" w:cs="Calibri"/>
          <w:sz w:val="22"/>
        </w:rPr>
        <w:t xml:space="preserve"> significantly </w:t>
      </w:r>
      <w:r w:rsidR="002C3B96" w:rsidRPr="00CB4DD2">
        <w:rPr>
          <w:rFonts w:ascii="IBM Plex Sans" w:eastAsiaTheme="minorHAnsi" w:hAnsi="IBM Plex Sans" w:cs="Calibri"/>
          <w:sz w:val="22"/>
        </w:rPr>
        <w:t>larger</w:t>
      </w:r>
      <w:r w:rsidR="00077F2E">
        <w:rPr>
          <w:rFonts w:ascii="IBM Plex Sans" w:eastAsiaTheme="minorHAnsi" w:hAnsi="IBM Plex Sans" w:cs="Calibri"/>
          <w:sz w:val="22"/>
        </w:rPr>
        <w:t xml:space="preserve"> than the mean,</w:t>
      </w:r>
      <w:r w:rsidR="002C3B96" w:rsidRPr="00CB4DD2">
        <w:rPr>
          <w:rFonts w:ascii="IBM Plex Sans" w:eastAsiaTheme="minorHAnsi" w:hAnsi="IBM Plex Sans" w:cs="Calibri"/>
          <w:sz w:val="22"/>
        </w:rPr>
        <w:t xml:space="preserve"> but in favour of women</w:t>
      </w:r>
      <w:r w:rsidR="00C80C2F">
        <w:rPr>
          <w:rFonts w:ascii="IBM Plex Sans" w:eastAsiaTheme="minorHAnsi" w:hAnsi="IBM Plex Sans" w:cs="Calibri"/>
          <w:sz w:val="22"/>
        </w:rPr>
        <w:t xml:space="preserve">. The data shows that men and women in this band </w:t>
      </w:r>
      <w:r w:rsidR="00357D26" w:rsidRPr="00CB4DD2">
        <w:rPr>
          <w:rFonts w:ascii="IBM Plex Sans" w:eastAsiaTheme="minorHAnsi" w:hAnsi="IBM Plex Sans" w:cs="Calibri"/>
          <w:sz w:val="22"/>
        </w:rPr>
        <w:t>are</w:t>
      </w:r>
      <w:r w:rsidR="002C3B96" w:rsidRPr="00CB4DD2">
        <w:rPr>
          <w:rFonts w:ascii="IBM Plex Sans" w:eastAsiaTheme="minorHAnsi" w:hAnsi="IBM Plex Sans" w:cs="Calibri"/>
          <w:sz w:val="22"/>
        </w:rPr>
        <w:t xml:space="preserve"> typically employed</w:t>
      </w:r>
      <w:r w:rsidR="00357D26" w:rsidRPr="00CB4DD2">
        <w:rPr>
          <w:rFonts w:ascii="IBM Plex Sans" w:eastAsiaTheme="minorHAnsi" w:hAnsi="IBM Plex Sans" w:cs="Calibri"/>
          <w:sz w:val="22"/>
        </w:rPr>
        <w:t xml:space="preserve"> in </w:t>
      </w:r>
      <w:r w:rsidR="00E379F4" w:rsidRPr="00CB4DD2">
        <w:rPr>
          <w:rFonts w:ascii="IBM Plex Sans" w:eastAsiaTheme="minorHAnsi" w:hAnsi="IBM Plex Sans" w:cs="Calibri"/>
          <w:sz w:val="22"/>
        </w:rPr>
        <w:t xml:space="preserve">different roles. </w:t>
      </w:r>
    </w:p>
    <w:p w14:paraId="6BCE1B95" w14:textId="77777777" w:rsidR="0079487F" w:rsidRPr="00CB4DD2" w:rsidRDefault="0079487F" w:rsidP="00CF1A49">
      <w:pPr>
        <w:spacing w:before="0" w:after="0"/>
        <w:jc w:val="both"/>
        <w:rPr>
          <w:rFonts w:ascii="IBM Plex Sans" w:eastAsiaTheme="minorHAnsi" w:hAnsi="IBM Plex Sans" w:cs="Calibri"/>
          <w:sz w:val="22"/>
        </w:rPr>
      </w:pPr>
    </w:p>
    <w:p w14:paraId="484612F4" w14:textId="2C30D237" w:rsidR="00CF1A49" w:rsidRPr="00670893" w:rsidRDefault="00811BA5" w:rsidP="00811BA5">
      <w:pPr>
        <w:spacing w:before="0" w:after="0"/>
        <w:jc w:val="both"/>
        <w:rPr>
          <w:rFonts w:ascii="IBM Plex Sans Medium" w:eastAsiaTheme="minorHAnsi" w:hAnsi="IBM Plex Sans Medium" w:cs="Calibri"/>
          <w:sz w:val="20"/>
          <w:szCs w:val="20"/>
        </w:rPr>
      </w:pPr>
      <w:bookmarkStart w:id="31" w:name="_Toc157514672"/>
      <w:r w:rsidRPr="00CB4DD2">
        <w:rPr>
          <w:rFonts w:ascii="IBM Plex Sans Medium" w:eastAsiaTheme="minorHAnsi" w:hAnsi="IBM Plex Sans Medium" w:cs="Calibri"/>
          <w:sz w:val="20"/>
          <w:szCs w:val="20"/>
        </w:rPr>
        <w:t xml:space="preserve">Table </w:t>
      </w:r>
      <w:r w:rsidRPr="00CB4DD2">
        <w:rPr>
          <w:rFonts w:ascii="IBM Plex Sans Medium" w:eastAsiaTheme="minorHAnsi" w:hAnsi="IBM Plex Sans Medium" w:cs="Calibri"/>
          <w:sz w:val="20"/>
          <w:szCs w:val="20"/>
        </w:rPr>
        <w:fldChar w:fldCharType="begin"/>
      </w:r>
      <w:r w:rsidRPr="00CB4DD2">
        <w:rPr>
          <w:rFonts w:ascii="IBM Plex Sans Medium" w:eastAsiaTheme="minorHAnsi" w:hAnsi="IBM Plex Sans Medium" w:cs="Calibri"/>
          <w:sz w:val="20"/>
          <w:szCs w:val="20"/>
        </w:rPr>
        <w:instrText xml:space="preserve"> SEQ Table \* ARABIC </w:instrText>
      </w:r>
      <w:r w:rsidRPr="00CB4DD2">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4</w:t>
      </w:r>
      <w:r w:rsidRPr="00CB4DD2">
        <w:rPr>
          <w:rFonts w:ascii="IBM Plex Sans Medium" w:eastAsiaTheme="minorHAnsi" w:hAnsi="IBM Plex Sans Medium" w:cs="Calibri"/>
          <w:sz w:val="20"/>
          <w:szCs w:val="20"/>
        </w:rPr>
        <w:fldChar w:fldCharType="end"/>
      </w:r>
      <w:r w:rsidRPr="00CB4DD2">
        <w:rPr>
          <w:rFonts w:ascii="IBM Plex Sans Medium" w:eastAsiaTheme="minorHAnsi" w:hAnsi="IBM Plex Sans Medium" w:cs="Calibri"/>
          <w:sz w:val="20"/>
          <w:szCs w:val="20"/>
        </w:rPr>
        <w:t xml:space="preserve"> </w:t>
      </w:r>
      <w:r w:rsidR="00CF1A49" w:rsidRPr="00CB4DD2">
        <w:rPr>
          <w:rFonts w:ascii="IBM Plex Sans Medium" w:eastAsiaTheme="minorHAnsi" w:hAnsi="IBM Plex Sans Medium" w:cs="Calibri"/>
          <w:sz w:val="20"/>
          <w:szCs w:val="20"/>
        </w:rPr>
        <w:t xml:space="preserve">Gender pay gaps by </w:t>
      </w:r>
      <w:r w:rsidR="00222F6A" w:rsidRPr="00CB4DD2">
        <w:rPr>
          <w:rFonts w:ascii="IBM Plex Sans Medium" w:eastAsiaTheme="minorHAnsi" w:hAnsi="IBM Plex Sans Medium" w:cs="Calibri"/>
          <w:sz w:val="20"/>
          <w:szCs w:val="20"/>
        </w:rPr>
        <w:t>pay band</w:t>
      </w:r>
      <w:bookmarkEnd w:id="31"/>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1129"/>
        <w:gridCol w:w="2055"/>
        <w:gridCol w:w="2055"/>
        <w:gridCol w:w="2055"/>
        <w:gridCol w:w="2056"/>
      </w:tblGrid>
      <w:tr w:rsidR="000E5B57" w:rsidRPr="00670893" w14:paraId="2F79586B" w14:textId="77777777" w:rsidTr="00771E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Borders>
              <w:top w:val="single" w:sz="4" w:space="0" w:color="5C00D6"/>
              <w:left w:val="single" w:sz="4" w:space="0" w:color="5C00D6"/>
              <w:bottom w:val="single" w:sz="4" w:space="0" w:color="FFFFFF" w:themeColor="background1"/>
              <w:right w:val="single" w:sz="4" w:space="0" w:color="FFFFFF" w:themeColor="background1"/>
            </w:tcBorders>
            <w:shd w:val="clear" w:color="auto" w:fill="5C00D6"/>
            <w:vAlign w:val="center"/>
          </w:tcPr>
          <w:p w14:paraId="649969DF" w14:textId="77777777" w:rsidR="00430C81" w:rsidRPr="00670893" w:rsidRDefault="00430C81" w:rsidP="00430C81">
            <w:pPr>
              <w:spacing w:before="0" w:line="240" w:lineRule="auto"/>
              <w:jc w:val="both"/>
              <w:rPr>
                <w:rFonts w:ascii="IBM Plex Sans Medium" w:eastAsiaTheme="minorHAnsi" w:hAnsi="IBM Plex Sans Medium" w:cs="Calibri"/>
                <w:color w:val="auto"/>
                <w:sz w:val="20"/>
                <w:szCs w:val="20"/>
                <w:lang w:val="en-GB"/>
              </w:rPr>
            </w:pPr>
          </w:p>
        </w:tc>
        <w:tc>
          <w:tcPr>
            <w:tcW w:w="4110" w:type="dxa"/>
            <w:gridSpan w:val="2"/>
            <w:tcBorders>
              <w:top w:val="single" w:sz="4" w:space="0" w:color="5C00D6"/>
              <w:left w:val="single" w:sz="4" w:space="0" w:color="FFFFFF" w:themeColor="background1"/>
              <w:bottom w:val="single" w:sz="4" w:space="0" w:color="FFFFFF" w:themeColor="background1"/>
              <w:right w:val="single" w:sz="4" w:space="0" w:color="FFFFFF" w:themeColor="background1"/>
            </w:tcBorders>
            <w:shd w:val="clear" w:color="auto" w:fill="5C00D6"/>
            <w:vAlign w:val="center"/>
          </w:tcPr>
          <w:p w14:paraId="6FD01912" w14:textId="2A23BE7D" w:rsidR="00430C81" w:rsidRPr="00670893" w:rsidRDefault="00430C81" w:rsidP="00430C81">
            <w:pPr>
              <w:spacing w:before="0" w:line="240" w:lineRule="auto"/>
              <w:jc w:val="center"/>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sidRPr="00670893">
              <w:rPr>
                <w:rFonts w:ascii="IBM Plex Sans Medium" w:eastAsiaTheme="minorHAnsi" w:hAnsi="IBM Plex Sans Medium" w:cs="Calibri"/>
                <w:b w:val="0"/>
                <w:bCs w:val="0"/>
                <w:color w:val="auto"/>
                <w:sz w:val="20"/>
                <w:szCs w:val="20"/>
                <w:lang w:val="en-GB"/>
              </w:rPr>
              <w:t>Ordinary pay</w:t>
            </w:r>
          </w:p>
        </w:tc>
        <w:tc>
          <w:tcPr>
            <w:tcW w:w="4111" w:type="dxa"/>
            <w:gridSpan w:val="2"/>
            <w:tcBorders>
              <w:top w:val="single" w:sz="4" w:space="0" w:color="5C00D6"/>
              <w:left w:val="single" w:sz="4" w:space="0" w:color="FFFFFF" w:themeColor="background1"/>
              <w:bottom w:val="single" w:sz="4" w:space="0" w:color="FFFFFF" w:themeColor="background1"/>
              <w:right w:val="single" w:sz="4" w:space="0" w:color="5C00D6"/>
            </w:tcBorders>
            <w:shd w:val="clear" w:color="auto" w:fill="5C00D6"/>
            <w:vAlign w:val="center"/>
          </w:tcPr>
          <w:p w14:paraId="5655AA76" w14:textId="6D6A1934" w:rsidR="00430C81" w:rsidRPr="00670893" w:rsidRDefault="00430C81" w:rsidP="00430C81">
            <w:pPr>
              <w:spacing w:before="0" w:line="240" w:lineRule="auto"/>
              <w:jc w:val="center"/>
              <w:cnfStyle w:val="100000000000" w:firstRow="1" w:lastRow="0" w:firstColumn="0" w:lastColumn="0" w:oddVBand="0" w:evenVBand="0" w:oddHBand="0" w:evenHBand="0" w:firstRowFirstColumn="0" w:firstRowLastColumn="0" w:lastRowFirstColumn="0" w:lastRowLastColumn="0"/>
              <w:rPr>
                <w:rFonts w:ascii="IBM Plex Sans Medium" w:eastAsia="Times New Roman" w:hAnsi="IBM Plex Sans Medium" w:cs="Arial"/>
                <w:b w:val="0"/>
                <w:bCs w:val="0"/>
                <w:color w:val="auto"/>
                <w:sz w:val="20"/>
                <w:szCs w:val="20"/>
                <w:lang w:eastAsia="en-GB"/>
              </w:rPr>
            </w:pPr>
            <w:r w:rsidRPr="00670893">
              <w:rPr>
                <w:rFonts w:ascii="IBM Plex Sans Medium" w:eastAsia="Times New Roman" w:hAnsi="IBM Plex Sans Medium" w:cs="Arial"/>
                <w:b w:val="0"/>
                <w:bCs w:val="0"/>
                <w:color w:val="auto"/>
                <w:sz w:val="20"/>
                <w:szCs w:val="20"/>
                <w:lang w:eastAsia="en-GB"/>
              </w:rPr>
              <w:t xml:space="preserve">Spinal </w:t>
            </w:r>
            <w:r w:rsidR="009E5C18" w:rsidRPr="00670893">
              <w:rPr>
                <w:rFonts w:ascii="IBM Plex Sans Medium" w:eastAsia="Times New Roman" w:hAnsi="IBM Plex Sans Medium" w:cs="Arial"/>
                <w:b w:val="0"/>
                <w:bCs w:val="0"/>
                <w:color w:val="auto"/>
                <w:sz w:val="20"/>
                <w:szCs w:val="20"/>
                <w:lang w:eastAsia="en-GB"/>
              </w:rPr>
              <w:t xml:space="preserve">point </w:t>
            </w:r>
            <w:r w:rsidRPr="00670893">
              <w:rPr>
                <w:rFonts w:ascii="IBM Plex Sans Medium" w:eastAsia="Times New Roman" w:hAnsi="IBM Plex Sans Medium" w:cs="Arial"/>
                <w:b w:val="0"/>
                <w:bCs w:val="0"/>
                <w:color w:val="auto"/>
                <w:sz w:val="20"/>
                <w:szCs w:val="20"/>
                <w:lang w:eastAsia="en-GB"/>
              </w:rPr>
              <w:t>salary</w:t>
            </w:r>
          </w:p>
        </w:tc>
      </w:tr>
      <w:tr w:rsidR="000E5B57" w:rsidRPr="00670893" w14:paraId="4E8E3DB3" w14:textId="4869CD17" w:rsidTr="00771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Borders>
              <w:top w:val="single" w:sz="4" w:space="0" w:color="FFFFFF" w:themeColor="background1"/>
              <w:right w:val="single" w:sz="4" w:space="0" w:color="FFFFFF" w:themeColor="background1"/>
            </w:tcBorders>
            <w:shd w:val="clear" w:color="auto" w:fill="5C00D6"/>
            <w:vAlign w:val="center"/>
          </w:tcPr>
          <w:p w14:paraId="1F6B3EB7" w14:textId="10D7D8BB" w:rsidR="00222F6A" w:rsidRPr="00670893" w:rsidRDefault="00222F6A" w:rsidP="00430C81">
            <w:pPr>
              <w:spacing w:before="0" w:line="240" w:lineRule="auto"/>
              <w:jc w:val="both"/>
              <w:rPr>
                <w:rFonts w:ascii="IBM Plex Sans Medium" w:eastAsiaTheme="minorHAnsi" w:hAnsi="IBM Plex Sans Medium" w:cs="Calibri"/>
                <w:b w:val="0"/>
                <w:bCs w:val="0"/>
                <w:sz w:val="20"/>
                <w:szCs w:val="20"/>
                <w:lang w:val="en-GB"/>
              </w:rPr>
            </w:pPr>
            <w:r w:rsidRPr="00670893">
              <w:rPr>
                <w:rFonts w:ascii="IBM Plex Sans Medium" w:eastAsiaTheme="minorHAnsi" w:hAnsi="IBM Plex Sans Medium" w:cs="Calibri"/>
                <w:b w:val="0"/>
                <w:bCs w:val="0"/>
                <w:sz w:val="20"/>
                <w:szCs w:val="20"/>
                <w:lang w:val="en-GB"/>
              </w:rPr>
              <w:t>Pay band</w:t>
            </w:r>
          </w:p>
        </w:tc>
        <w:tc>
          <w:tcPr>
            <w:tcW w:w="2055" w:type="dxa"/>
            <w:tcBorders>
              <w:top w:val="single" w:sz="4" w:space="0" w:color="FFFFFF" w:themeColor="background1"/>
              <w:left w:val="single" w:sz="4" w:space="0" w:color="FFFFFF" w:themeColor="background1"/>
              <w:right w:val="single" w:sz="4" w:space="0" w:color="FFFFFF" w:themeColor="background1"/>
            </w:tcBorders>
            <w:shd w:val="clear" w:color="auto" w:fill="5C00D6"/>
            <w:vAlign w:val="center"/>
          </w:tcPr>
          <w:p w14:paraId="7051A9DA" w14:textId="48E67723" w:rsidR="00222F6A" w:rsidRPr="00670893" w:rsidRDefault="00222F6A" w:rsidP="00430C81">
            <w:pPr>
              <w:spacing w:before="0" w:line="240" w:lineRule="auto"/>
              <w:jc w:val="both"/>
              <w:cnfStyle w:val="000000100000" w:firstRow="0" w:lastRow="0" w:firstColumn="0" w:lastColumn="0" w:oddVBand="0" w:evenVBand="0" w:oddHBand="1" w:evenHBand="0" w:firstRowFirstColumn="0" w:firstRowLastColumn="0" w:lastRowFirstColumn="0" w:lastRowLastColumn="0"/>
              <w:rPr>
                <w:rFonts w:ascii="IBM Plex Sans Medium" w:eastAsiaTheme="minorHAnsi" w:hAnsi="IBM Plex Sans Medium" w:cs="Calibri"/>
                <w:sz w:val="20"/>
                <w:szCs w:val="20"/>
                <w:lang w:val="en-GB"/>
              </w:rPr>
            </w:pPr>
            <w:r w:rsidRPr="00670893">
              <w:rPr>
                <w:rFonts w:ascii="IBM Plex Sans Medium" w:eastAsia="Times New Roman" w:hAnsi="IBM Plex Sans Medium" w:cs="Arial"/>
                <w:sz w:val="20"/>
                <w:szCs w:val="20"/>
                <w:lang w:eastAsia="en-GB"/>
              </w:rPr>
              <w:t>Mean pay gap</w:t>
            </w:r>
          </w:p>
        </w:tc>
        <w:tc>
          <w:tcPr>
            <w:tcW w:w="2055" w:type="dxa"/>
            <w:tcBorders>
              <w:top w:val="single" w:sz="4" w:space="0" w:color="FFFFFF" w:themeColor="background1"/>
              <w:left w:val="single" w:sz="4" w:space="0" w:color="FFFFFF" w:themeColor="background1"/>
              <w:right w:val="single" w:sz="4" w:space="0" w:color="FFFFFF" w:themeColor="background1"/>
            </w:tcBorders>
            <w:shd w:val="clear" w:color="auto" w:fill="5C00D6"/>
            <w:vAlign w:val="center"/>
          </w:tcPr>
          <w:p w14:paraId="07EDF2F4" w14:textId="27223C58" w:rsidR="00222F6A" w:rsidRPr="00670893" w:rsidRDefault="00222F6A" w:rsidP="00430C81">
            <w:pPr>
              <w:spacing w:before="0" w:line="240" w:lineRule="auto"/>
              <w:jc w:val="both"/>
              <w:cnfStyle w:val="000000100000" w:firstRow="0" w:lastRow="0" w:firstColumn="0" w:lastColumn="0" w:oddVBand="0" w:evenVBand="0" w:oddHBand="1" w:evenHBand="0" w:firstRowFirstColumn="0" w:firstRowLastColumn="0" w:lastRowFirstColumn="0" w:lastRowLastColumn="0"/>
              <w:rPr>
                <w:rFonts w:ascii="IBM Plex Sans Medium" w:eastAsiaTheme="minorHAnsi" w:hAnsi="IBM Plex Sans Medium" w:cs="Calibri"/>
                <w:sz w:val="20"/>
                <w:szCs w:val="20"/>
                <w:lang w:val="en-GB"/>
              </w:rPr>
            </w:pPr>
            <w:r w:rsidRPr="00670893">
              <w:rPr>
                <w:rFonts w:ascii="IBM Plex Sans Medium" w:eastAsiaTheme="minorHAnsi" w:hAnsi="IBM Plex Sans Medium" w:cs="Calibri"/>
                <w:sz w:val="20"/>
                <w:szCs w:val="20"/>
                <w:lang w:val="en-GB"/>
              </w:rPr>
              <w:t>Median pay gap</w:t>
            </w:r>
          </w:p>
        </w:tc>
        <w:tc>
          <w:tcPr>
            <w:tcW w:w="2055" w:type="dxa"/>
            <w:tcBorders>
              <w:top w:val="single" w:sz="4" w:space="0" w:color="FFFFFF" w:themeColor="background1"/>
              <w:left w:val="single" w:sz="4" w:space="0" w:color="FFFFFF" w:themeColor="background1"/>
              <w:right w:val="single" w:sz="4" w:space="0" w:color="FFFFFF" w:themeColor="background1"/>
            </w:tcBorders>
            <w:shd w:val="clear" w:color="auto" w:fill="5C00D6"/>
            <w:vAlign w:val="center"/>
          </w:tcPr>
          <w:p w14:paraId="39B022DD" w14:textId="001F7E13" w:rsidR="00222F6A" w:rsidRPr="00670893" w:rsidRDefault="00222F6A" w:rsidP="00430C81">
            <w:pPr>
              <w:spacing w:before="0" w:line="240" w:lineRule="auto"/>
              <w:jc w:val="both"/>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670893">
              <w:rPr>
                <w:rFonts w:ascii="IBM Plex Sans Medium" w:eastAsia="Times New Roman" w:hAnsi="IBM Plex Sans Medium" w:cs="Arial"/>
                <w:sz w:val="20"/>
                <w:szCs w:val="20"/>
                <w:lang w:eastAsia="en-GB"/>
              </w:rPr>
              <w:t>Mean pay gap</w:t>
            </w:r>
          </w:p>
        </w:tc>
        <w:tc>
          <w:tcPr>
            <w:tcW w:w="2056" w:type="dxa"/>
            <w:tcBorders>
              <w:top w:val="single" w:sz="4" w:space="0" w:color="FFFFFF" w:themeColor="background1"/>
              <w:left w:val="single" w:sz="4" w:space="0" w:color="FFFFFF" w:themeColor="background1"/>
            </w:tcBorders>
            <w:shd w:val="clear" w:color="auto" w:fill="5C00D6"/>
            <w:vAlign w:val="center"/>
          </w:tcPr>
          <w:p w14:paraId="1DEDB982" w14:textId="5334474A" w:rsidR="00222F6A" w:rsidRPr="00670893" w:rsidRDefault="00222F6A" w:rsidP="00430C81">
            <w:pPr>
              <w:spacing w:before="0" w:line="240" w:lineRule="auto"/>
              <w:jc w:val="both"/>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670893">
              <w:rPr>
                <w:rFonts w:ascii="IBM Plex Sans Medium" w:eastAsiaTheme="minorHAnsi" w:hAnsi="IBM Plex Sans Medium" w:cs="Calibri"/>
                <w:sz w:val="20"/>
                <w:szCs w:val="20"/>
                <w:lang w:val="en-GB"/>
              </w:rPr>
              <w:t>Median pay gap</w:t>
            </w:r>
          </w:p>
        </w:tc>
      </w:tr>
      <w:tr w:rsidR="00300A6A" w:rsidRPr="00300A6A" w14:paraId="5484C8D1" w14:textId="77777777" w:rsidTr="00771E6F">
        <w:trPr>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15C6E9BA" w14:textId="6497EE9D" w:rsidR="00300A6A" w:rsidRPr="00300A6A" w:rsidRDefault="00300A6A"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2</w:t>
            </w:r>
          </w:p>
        </w:tc>
        <w:tc>
          <w:tcPr>
            <w:tcW w:w="2055" w:type="dxa"/>
            <w:shd w:val="clear" w:color="auto" w:fill="auto"/>
            <w:vAlign w:val="center"/>
          </w:tcPr>
          <w:p w14:paraId="0B0146BC" w14:textId="3A60346A" w:rsidR="00300A6A" w:rsidRPr="00300A6A" w:rsidRDefault="005B472C"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0.9%</w:t>
            </w:r>
          </w:p>
        </w:tc>
        <w:tc>
          <w:tcPr>
            <w:tcW w:w="2055" w:type="dxa"/>
            <w:shd w:val="clear" w:color="auto" w:fill="auto"/>
            <w:vAlign w:val="center"/>
          </w:tcPr>
          <w:p w14:paraId="4B035CAF" w14:textId="09E26CA0" w:rsidR="00300A6A" w:rsidRPr="00300A6A" w:rsidRDefault="005B472C"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2.4%</w:t>
            </w:r>
          </w:p>
        </w:tc>
        <w:tc>
          <w:tcPr>
            <w:tcW w:w="2055" w:type="dxa"/>
            <w:shd w:val="clear" w:color="auto" w:fill="FFFFFF" w:themeFill="background1"/>
            <w:vAlign w:val="center"/>
          </w:tcPr>
          <w:p w14:paraId="5B077CDD" w14:textId="64C5B88C" w:rsidR="00300A6A" w:rsidRPr="005C0697" w:rsidRDefault="00581A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1.5%</w:t>
            </w:r>
          </w:p>
        </w:tc>
        <w:tc>
          <w:tcPr>
            <w:tcW w:w="2056" w:type="dxa"/>
            <w:shd w:val="clear" w:color="auto" w:fill="FFFFFF" w:themeFill="background1"/>
            <w:vAlign w:val="center"/>
          </w:tcPr>
          <w:p w14:paraId="494E1B94" w14:textId="6FAA81E8" w:rsidR="00300A6A" w:rsidRPr="005C0697" w:rsidRDefault="00ED19CB"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2.6%</w:t>
            </w:r>
          </w:p>
        </w:tc>
      </w:tr>
      <w:tr w:rsidR="004C3C11" w:rsidRPr="00300A6A" w14:paraId="1ED49F06" w14:textId="0BBE6882" w:rsidTr="00771E6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4A550B51" w14:textId="3112F8B4"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3</w:t>
            </w:r>
          </w:p>
        </w:tc>
        <w:tc>
          <w:tcPr>
            <w:tcW w:w="2055" w:type="dxa"/>
            <w:shd w:val="clear" w:color="auto" w:fill="auto"/>
            <w:vAlign w:val="center"/>
          </w:tcPr>
          <w:p w14:paraId="3BA00974" w14:textId="5762CA8B" w:rsidR="004C3C11" w:rsidRPr="00300A6A" w:rsidRDefault="005B472C"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0.5</w:t>
            </w:r>
            <w:r w:rsidR="004C3C11" w:rsidRPr="00300A6A">
              <w:rPr>
                <w:rFonts w:ascii="IBM Plex Sans" w:eastAsiaTheme="minorHAnsi" w:hAnsi="IBM Plex Sans" w:cs="Calibri"/>
                <w:sz w:val="20"/>
                <w:szCs w:val="20"/>
                <w:lang w:val="en-GB"/>
              </w:rPr>
              <w:t>%</w:t>
            </w:r>
          </w:p>
        </w:tc>
        <w:tc>
          <w:tcPr>
            <w:tcW w:w="2055" w:type="dxa"/>
            <w:shd w:val="clear" w:color="auto" w:fill="auto"/>
            <w:vAlign w:val="center"/>
          </w:tcPr>
          <w:p w14:paraId="0597779E" w14:textId="43741FB1"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w:t>
            </w:r>
            <w:r w:rsidR="005B472C">
              <w:rPr>
                <w:rFonts w:ascii="IBM Plex Sans" w:eastAsiaTheme="minorHAnsi" w:hAnsi="IBM Plex Sans" w:cs="Calibri"/>
                <w:sz w:val="20"/>
                <w:szCs w:val="20"/>
                <w:lang w:val="en-GB"/>
              </w:rPr>
              <w:t>3.3</w:t>
            </w:r>
            <w:r w:rsidRPr="00300A6A">
              <w:rPr>
                <w:rFonts w:ascii="IBM Plex Sans" w:eastAsiaTheme="minorHAnsi" w:hAnsi="IBM Plex Sans" w:cs="Calibri"/>
                <w:sz w:val="20"/>
                <w:szCs w:val="20"/>
                <w:lang w:val="en-GB"/>
              </w:rPr>
              <w:t>%</w:t>
            </w:r>
          </w:p>
        </w:tc>
        <w:tc>
          <w:tcPr>
            <w:tcW w:w="2055" w:type="dxa"/>
            <w:shd w:val="clear" w:color="auto" w:fill="FFFFFF" w:themeFill="background1"/>
            <w:vAlign w:val="center"/>
          </w:tcPr>
          <w:p w14:paraId="5C3C090B" w14:textId="7C8E0356"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-1.9%</w:t>
            </w:r>
          </w:p>
        </w:tc>
        <w:tc>
          <w:tcPr>
            <w:tcW w:w="2056" w:type="dxa"/>
            <w:shd w:val="clear" w:color="auto" w:fill="FFFFFF" w:themeFill="background1"/>
            <w:vAlign w:val="center"/>
          </w:tcPr>
          <w:p w14:paraId="22BBF069" w14:textId="11B5622C"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-6.7%</w:t>
            </w:r>
          </w:p>
        </w:tc>
      </w:tr>
      <w:tr w:rsidR="004C3C11" w:rsidRPr="00300A6A" w14:paraId="5AD85A1C" w14:textId="0DE75C16" w:rsidTr="00771E6F">
        <w:trPr>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69053C1A" w14:textId="3FDBCF6E"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4</w:t>
            </w:r>
          </w:p>
        </w:tc>
        <w:tc>
          <w:tcPr>
            <w:tcW w:w="2055" w:type="dxa"/>
            <w:shd w:val="clear" w:color="auto" w:fill="auto"/>
            <w:vAlign w:val="center"/>
          </w:tcPr>
          <w:p w14:paraId="08DFAE0E" w14:textId="1AB7B2F7"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-1.1%</w:t>
            </w:r>
          </w:p>
        </w:tc>
        <w:tc>
          <w:tcPr>
            <w:tcW w:w="2055" w:type="dxa"/>
            <w:shd w:val="clear" w:color="auto" w:fill="auto"/>
            <w:vAlign w:val="center"/>
          </w:tcPr>
          <w:p w14:paraId="08250530" w14:textId="35BF0D9D"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-4.2%</w:t>
            </w:r>
          </w:p>
        </w:tc>
        <w:tc>
          <w:tcPr>
            <w:tcW w:w="2055" w:type="dxa"/>
            <w:shd w:val="clear" w:color="auto" w:fill="FFFFFF" w:themeFill="background1"/>
            <w:vAlign w:val="center"/>
          </w:tcPr>
          <w:p w14:paraId="0F44BB76" w14:textId="5181B798" w:rsidR="004C3C11" w:rsidRPr="005C0697" w:rsidRDefault="00A31E03"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-1.3%</w:t>
            </w:r>
          </w:p>
        </w:tc>
        <w:tc>
          <w:tcPr>
            <w:tcW w:w="2056" w:type="dxa"/>
            <w:shd w:val="clear" w:color="auto" w:fill="FFFFFF" w:themeFill="background1"/>
            <w:vAlign w:val="center"/>
          </w:tcPr>
          <w:p w14:paraId="7FC478A7" w14:textId="7CADB169" w:rsidR="004C3C11" w:rsidRPr="005C0697" w:rsidRDefault="00A31E03"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0.0%</w:t>
            </w:r>
          </w:p>
        </w:tc>
      </w:tr>
      <w:tr w:rsidR="004C3C11" w:rsidRPr="00300A6A" w14:paraId="7998D035" w14:textId="415DF85F" w:rsidTr="00771E6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0BE87788" w14:textId="6EB19815"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5</w:t>
            </w:r>
          </w:p>
        </w:tc>
        <w:tc>
          <w:tcPr>
            <w:tcW w:w="2055" w:type="dxa"/>
            <w:shd w:val="clear" w:color="auto" w:fill="auto"/>
            <w:vAlign w:val="center"/>
          </w:tcPr>
          <w:p w14:paraId="703E4BFC" w14:textId="5BB6B563"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w:t>
            </w:r>
            <w:r w:rsidR="00655C2D">
              <w:rPr>
                <w:rFonts w:ascii="IBM Plex Sans" w:eastAsiaTheme="minorHAnsi" w:hAnsi="IBM Plex Sans" w:cs="Calibri"/>
                <w:sz w:val="20"/>
                <w:szCs w:val="20"/>
                <w:lang w:val="en-GB"/>
              </w:rPr>
              <w:t>2.5</w:t>
            </w:r>
            <w:r w:rsidRPr="00300A6A">
              <w:rPr>
                <w:rFonts w:ascii="IBM Plex Sans" w:eastAsiaTheme="minorHAnsi" w:hAnsi="IBM Plex Sans" w:cs="Calibri"/>
                <w:sz w:val="20"/>
                <w:szCs w:val="20"/>
                <w:lang w:val="en-GB"/>
              </w:rPr>
              <w:t>%</w:t>
            </w:r>
          </w:p>
        </w:tc>
        <w:tc>
          <w:tcPr>
            <w:tcW w:w="2055" w:type="dxa"/>
            <w:shd w:val="clear" w:color="auto" w:fill="auto"/>
            <w:vAlign w:val="center"/>
          </w:tcPr>
          <w:p w14:paraId="20F5E980" w14:textId="6A195965"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w:t>
            </w:r>
            <w:r w:rsidR="005B472C">
              <w:rPr>
                <w:rFonts w:ascii="IBM Plex Sans" w:eastAsiaTheme="minorHAnsi" w:hAnsi="IBM Plex Sans" w:cs="Calibri"/>
                <w:sz w:val="20"/>
                <w:szCs w:val="20"/>
                <w:lang w:val="en-GB"/>
              </w:rPr>
              <w:t>7.9</w:t>
            </w:r>
            <w:r w:rsidRPr="00300A6A">
              <w:rPr>
                <w:rFonts w:ascii="IBM Plex Sans" w:eastAsiaTheme="minorHAnsi" w:hAnsi="IBM Plex Sans" w:cs="Calibri"/>
                <w:sz w:val="20"/>
                <w:szCs w:val="20"/>
                <w:lang w:val="en-GB"/>
              </w:rPr>
              <w:t>%</w:t>
            </w:r>
          </w:p>
        </w:tc>
        <w:tc>
          <w:tcPr>
            <w:tcW w:w="2055" w:type="dxa"/>
            <w:shd w:val="clear" w:color="auto" w:fill="FFFFFF" w:themeFill="background1"/>
            <w:vAlign w:val="center"/>
          </w:tcPr>
          <w:p w14:paraId="150B9D28" w14:textId="0ED5FBD7"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-3.6%</w:t>
            </w:r>
          </w:p>
        </w:tc>
        <w:tc>
          <w:tcPr>
            <w:tcW w:w="2056" w:type="dxa"/>
            <w:shd w:val="clear" w:color="auto" w:fill="FFFFFF" w:themeFill="background1"/>
            <w:vAlign w:val="center"/>
          </w:tcPr>
          <w:p w14:paraId="4D0E3864" w14:textId="3D74CD45"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-7.9%</w:t>
            </w:r>
          </w:p>
        </w:tc>
      </w:tr>
      <w:tr w:rsidR="004C3C11" w:rsidRPr="00300A6A" w14:paraId="63732C24" w14:textId="79DFB7CC" w:rsidTr="00771E6F">
        <w:trPr>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31113E79" w14:textId="2E2457C3"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6</w:t>
            </w:r>
          </w:p>
        </w:tc>
        <w:tc>
          <w:tcPr>
            <w:tcW w:w="2055" w:type="dxa"/>
            <w:shd w:val="clear" w:color="auto" w:fill="auto"/>
            <w:vAlign w:val="center"/>
          </w:tcPr>
          <w:p w14:paraId="7D967EB8" w14:textId="46EF9D86"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-2.5%</w:t>
            </w:r>
          </w:p>
        </w:tc>
        <w:tc>
          <w:tcPr>
            <w:tcW w:w="2055" w:type="dxa"/>
            <w:shd w:val="clear" w:color="auto" w:fill="auto"/>
            <w:vAlign w:val="center"/>
          </w:tcPr>
          <w:p w14:paraId="11886616" w14:textId="66448B91"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0.0%</w:t>
            </w:r>
          </w:p>
        </w:tc>
        <w:tc>
          <w:tcPr>
            <w:tcW w:w="2055" w:type="dxa"/>
            <w:shd w:val="clear" w:color="auto" w:fill="FFFFFF" w:themeFill="background1"/>
            <w:vAlign w:val="center"/>
          </w:tcPr>
          <w:p w14:paraId="38C11C9B" w14:textId="5790F9E6" w:rsidR="004C3C11" w:rsidRPr="005C0697" w:rsidRDefault="00A31E03"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-1.3%</w:t>
            </w:r>
          </w:p>
        </w:tc>
        <w:tc>
          <w:tcPr>
            <w:tcW w:w="2056" w:type="dxa"/>
            <w:shd w:val="clear" w:color="auto" w:fill="FFFFFF" w:themeFill="background1"/>
            <w:vAlign w:val="center"/>
          </w:tcPr>
          <w:p w14:paraId="169B06A5" w14:textId="1DA3C83B" w:rsidR="004C3C11" w:rsidRPr="005C0697" w:rsidRDefault="00A31E03"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0.0%</w:t>
            </w:r>
          </w:p>
        </w:tc>
      </w:tr>
      <w:tr w:rsidR="004C3C11" w:rsidRPr="00300A6A" w14:paraId="1CAB4493" w14:textId="598FEFE6" w:rsidTr="00771E6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4F56782A" w14:textId="4347B0AD"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7</w:t>
            </w:r>
          </w:p>
        </w:tc>
        <w:tc>
          <w:tcPr>
            <w:tcW w:w="2055" w:type="dxa"/>
            <w:shd w:val="clear" w:color="auto" w:fill="auto"/>
            <w:vAlign w:val="center"/>
          </w:tcPr>
          <w:p w14:paraId="434CC2CB" w14:textId="4FA8C645"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1.6%</w:t>
            </w:r>
          </w:p>
        </w:tc>
        <w:tc>
          <w:tcPr>
            <w:tcW w:w="2055" w:type="dxa"/>
            <w:shd w:val="clear" w:color="auto" w:fill="auto"/>
            <w:vAlign w:val="center"/>
          </w:tcPr>
          <w:p w14:paraId="72D9AFEC" w14:textId="45BBD740"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0.0%</w:t>
            </w:r>
          </w:p>
        </w:tc>
        <w:tc>
          <w:tcPr>
            <w:tcW w:w="2055" w:type="dxa"/>
            <w:shd w:val="clear" w:color="auto" w:fill="FFFFFF" w:themeFill="background1"/>
            <w:vAlign w:val="center"/>
          </w:tcPr>
          <w:p w14:paraId="243EEA32" w14:textId="09A4EB19"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-0.1%</w:t>
            </w:r>
          </w:p>
        </w:tc>
        <w:tc>
          <w:tcPr>
            <w:tcW w:w="2056" w:type="dxa"/>
            <w:shd w:val="clear" w:color="auto" w:fill="FFFFFF" w:themeFill="background1"/>
            <w:vAlign w:val="center"/>
          </w:tcPr>
          <w:p w14:paraId="01F31D94" w14:textId="603D2E1E" w:rsidR="004C3C11" w:rsidRPr="005C0697" w:rsidRDefault="003142B8"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0.0%</w:t>
            </w:r>
          </w:p>
        </w:tc>
      </w:tr>
      <w:tr w:rsidR="004C3C11" w:rsidRPr="00300A6A" w14:paraId="6E8B2F59" w14:textId="637A6E1F" w:rsidTr="00771E6F">
        <w:trPr>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37CCAE94" w14:textId="3051B8B6"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8</w:t>
            </w:r>
          </w:p>
        </w:tc>
        <w:tc>
          <w:tcPr>
            <w:tcW w:w="2055" w:type="dxa"/>
            <w:shd w:val="clear" w:color="auto" w:fill="auto"/>
            <w:vAlign w:val="center"/>
          </w:tcPr>
          <w:p w14:paraId="4252465F" w14:textId="18CB23EE"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3.3%</w:t>
            </w:r>
          </w:p>
        </w:tc>
        <w:tc>
          <w:tcPr>
            <w:tcW w:w="2055" w:type="dxa"/>
            <w:shd w:val="clear" w:color="auto" w:fill="auto"/>
            <w:vAlign w:val="center"/>
          </w:tcPr>
          <w:p w14:paraId="696285D9" w14:textId="387B13B8" w:rsidR="004C3C11" w:rsidRPr="00300A6A" w:rsidRDefault="004C3C11"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8.4%</w:t>
            </w:r>
          </w:p>
        </w:tc>
        <w:tc>
          <w:tcPr>
            <w:tcW w:w="2055" w:type="dxa"/>
            <w:shd w:val="clear" w:color="auto" w:fill="FFFFFF" w:themeFill="background1"/>
            <w:vAlign w:val="center"/>
          </w:tcPr>
          <w:p w14:paraId="03B5BFC9" w14:textId="47422FE9" w:rsidR="004C3C11" w:rsidRPr="005C0697" w:rsidRDefault="00A31E03"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2.2%</w:t>
            </w:r>
          </w:p>
        </w:tc>
        <w:tc>
          <w:tcPr>
            <w:tcW w:w="2056" w:type="dxa"/>
            <w:shd w:val="clear" w:color="auto" w:fill="FFFFFF" w:themeFill="background1"/>
            <w:vAlign w:val="center"/>
          </w:tcPr>
          <w:p w14:paraId="6ADF91DF" w14:textId="20CE1578" w:rsidR="004C3C11" w:rsidRPr="005C0697" w:rsidRDefault="003142B8"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11.2%</w:t>
            </w:r>
          </w:p>
        </w:tc>
      </w:tr>
      <w:tr w:rsidR="004C3C11" w:rsidRPr="00300A6A" w14:paraId="49A35FD7" w14:textId="2EF2E2B7" w:rsidTr="00771E6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485F9B03" w14:textId="4A27EC1E" w:rsidR="004C3C11" w:rsidRPr="00300A6A" w:rsidRDefault="004C3C11"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9</w:t>
            </w:r>
          </w:p>
        </w:tc>
        <w:tc>
          <w:tcPr>
            <w:tcW w:w="2055" w:type="dxa"/>
            <w:shd w:val="clear" w:color="auto" w:fill="auto"/>
            <w:vAlign w:val="center"/>
          </w:tcPr>
          <w:p w14:paraId="16CA9F14" w14:textId="442E134A"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12.3%</w:t>
            </w:r>
          </w:p>
        </w:tc>
        <w:tc>
          <w:tcPr>
            <w:tcW w:w="2055" w:type="dxa"/>
            <w:shd w:val="clear" w:color="auto" w:fill="auto"/>
            <w:vAlign w:val="center"/>
          </w:tcPr>
          <w:p w14:paraId="764585B3" w14:textId="36A6CFB5" w:rsidR="004C3C11" w:rsidRPr="00300A6A" w:rsidRDefault="004C3C11"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300A6A">
              <w:rPr>
                <w:rFonts w:ascii="IBM Plex Sans" w:eastAsiaTheme="minorHAnsi" w:hAnsi="IBM Plex Sans" w:cs="Calibri"/>
                <w:sz w:val="20"/>
                <w:szCs w:val="20"/>
                <w:lang w:val="en-GB"/>
              </w:rPr>
              <w:t>5.1%</w:t>
            </w:r>
          </w:p>
        </w:tc>
        <w:tc>
          <w:tcPr>
            <w:tcW w:w="2055" w:type="dxa"/>
            <w:shd w:val="clear" w:color="auto" w:fill="FFFFFF" w:themeFill="background1"/>
            <w:vAlign w:val="center"/>
          </w:tcPr>
          <w:p w14:paraId="64271026" w14:textId="2EFF7239" w:rsidR="004C3C11" w:rsidRPr="005C0697" w:rsidRDefault="00A31E03"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0.9%</w:t>
            </w:r>
          </w:p>
        </w:tc>
        <w:tc>
          <w:tcPr>
            <w:tcW w:w="2056" w:type="dxa"/>
            <w:shd w:val="clear" w:color="auto" w:fill="FFFFFF" w:themeFill="background1"/>
            <w:vAlign w:val="center"/>
          </w:tcPr>
          <w:p w14:paraId="36F04067" w14:textId="189520BC" w:rsidR="004C3C11" w:rsidRPr="005C0697" w:rsidRDefault="003142B8" w:rsidP="004C3C11">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13.3%</w:t>
            </w:r>
          </w:p>
        </w:tc>
      </w:tr>
      <w:tr w:rsidR="00300A6A" w:rsidRPr="00300A6A" w14:paraId="7ECA2613" w14:textId="77777777" w:rsidTr="00771E6F">
        <w:trPr>
          <w:trHeight w:val="340"/>
        </w:trPr>
        <w:tc>
          <w:tcPr>
            <w:cnfStyle w:val="001000000000" w:firstRow="0" w:lastRow="0" w:firstColumn="1" w:lastColumn="0" w:oddVBand="0" w:evenVBand="0" w:oddHBand="0" w:evenHBand="0" w:firstRowFirstColumn="0" w:firstRowLastColumn="0" w:lastRowFirstColumn="0" w:lastRowLastColumn="0"/>
            <w:tcW w:w="1129" w:type="dxa"/>
            <w:shd w:val="clear" w:color="auto" w:fill="auto"/>
            <w:vAlign w:val="center"/>
          </w:tcPr>
          <w:p w14:paraId="66C6D11C" w14:textId="705E16A7" w:rsidR="00300A6A" w:rsidRPr="00300A6A" w:rsidRDefault="00300A6A" w:rsidP="004C3C11">
            <w:pPr>
              <w:spacing w:before="0" w:line="240" w:lineRule="auto"/>
              <w:jc w:val="both"/>
              <w:rPr>
                <w:rFonts w:ascii="IBM Plex Sans" w:eastAsiaTheme="minorHAnsi" w:hAnsi="IBM Plex Sans" w:cs="Calibri"/>
                <w:b w:val="0"/>
                <w:bCs w:val="0"/>
                <w:sz w:val="20"/>
                <w:szCs w:val="20"/>
                <w:lang w:val="en-GB"/>
              </w:rPr>
            </w:pPr>
            <w:r w:rsidRPr="00300A6A">
              <w:rPr>
                <w:rFonts w:ascii="IBM Plex Sans" w:eastAsiaTheme="minorHAnsi" w:hAnsi="IBM Plex Sans" w:cs="Calibri"/>
                <w:b w:val="0"/>
                <w:bCs w:val="0"/>
                <w:sz w:val="20"/>
                <w:szCs w:val="20"/>
                <w:lang w:val="en-GB"/>
              </w:rPr>
              <w:t>10</w:t>
            </w:r>
          </w:p>
        </w:tc>
        <w:tc>
          <w:tcPr>
            <w:tcW w:w="2055" w:type="dxa"/>
            <w:shd w:val="clear" w:color="auto" w:fill="auto"/>
            <w:vAlign w:val="center"/>
          </w:tcPr>
          <w:p w14:paraId="74511302" w14:textId="3050CC99" w:rsidR="00300A6A" w:rsidRPr="00300A6A" w:rsidRDefault="00300E34"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-4.4%</w:t>
            </w:r>
          </w:p>
        </w:tc>
        <w:tc>
          <w:tcPr>
            <w:tcW w:w="2055" w:type="dxa"/>
            <w:shd w:val="clear" w:color="auto" w:fill="auto"/>
            <w:vAlign w:val="center"/>
          </w:tcPr>
          <w:p w14:paraId="65532CE2" w14:textId="50CBC4B6" w:rsidR="00300A6A" w:rsidRPr="00300A6A" w:rsidRDefault="005B472C"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0.0%</w:t>
            </w:r>
          </w:p>
        </w:tc>
        <w:tc>
          <w:tcPr>
            <w:tcW w:w="2055" w:type="dxa"/>
            <w:shd w:val="clear" w:color="auto" w:fill="FFFFFF" w:themeFill="background1"/>
            <w:vAlign w:val="center"/>
          </w:tcPr>
          <w:p w14:paraId="42EDCF5D" w14:textId="3BCE7CAF" w:rsidR="00300A6A" w:rsidRPr="005C0697" w:rsidRDefault="00F05CBE"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-25.3%</w:t>
            </w:r>
          </w:p>
        </w:tc>
        <w:tc>
          <w:tcPr>
            <w:tcW w:w="2056" w:type="dxa"/>
            <w:shd w:val="clear" w:color="auto" w:fill="FFFFFF" w:themeFill="background1"/>
            <w:vAlign w:val="center"/>
          </w:tcPr>
          <w:p w14:paraId="383906E4" w14:textId="27E86A1F" w:rsidR="00300A6A" w:rsidRPr="005C0697" w:rsidRDefault="006B2736" w:rsidP="004C3C11">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C0697">
              <w:rPr>
                <w:rFonts w:ascii="IBM Plex Sans" w:eastAsiaTheme="minorHAnsi" w:hAnsi="IBM Plex Sans" w:cs="Calibri"/>
                <w:sz w:val="20"/>
                <w:szCs w:val="20"/>
                <w:lang w:val="en-GB"/>
              </w:rPr>
              <w:t>-15.1%</w:t>
            </w:r>
          </w:p>
        </w:tc>
      </w:tr>
      <w:tr w:rsidR="00771E6F" w:rsidRPr="000E5B57" w14:paraId="05637FD0" w14:textId="062E1BD0" w:rsidTr="00771E6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dxa"/>
            <w:tcBorders>
              <w:top w:val="single" w:sz="18" w:space="0" w:color="5C00D6"/>
              <w:bottom w:val="single" w:sz="18" w:space="0" w:color="5C00D6"/>
            </w:tcBorders>
            <w:shd w:val="clear" w:color="auto" w:fill="auto"/>
            <w:vAlign w:val="center"/>
          </w:tcPr>
          <w:p w14:paraId="3DAFBD73" w14:textId="03F6F18C" w:rsidR="00771E6F" w:rsidRPr="00670893" w:rsidRDefault="00771E6F" w:rsidP="00771E6F">
            <w:pPr>
              <w:spacing w:before="0" w:line="240" w:lineRule="auto"/>
              <w:jc w:val="both"/>
              <w:rPr>
                <w:rFonts w:ascii="IBM Plex Sans Medium" w:eastAsia="Times New Roman" w:hAnsi="IBM Plex Sans Medium" w:cs="Arial"/>
                <w:b w:val="0"/>
                <w:bCs w:val="0"/>
                <w:sz w:val="20"/>
                <w:szCs w:val="20"/>
                <w:lang w:eastAsia="en-GB"/>
              </w:rPr>
            </w:pPr>
            <w:r w:rsidRPr="00670893">
              <w:rPr>
                <w:rFonts w:ascii="IBM Plex Sans Medium" w:eastAsia="Times New Roman" w:hAnsi="IBM Plex Sans Medium" w:cs="Arial"/>
                <w:b w:val="0"/>
                <w:bCs w:val="0"/>
                <w:sz w:val="20"/>
                <w:szCs w:val="20"/>
                <w:lang w:eastAsia="en-GB"/>
              </w:rPr>
              <w:t xml:space="preserve">Pay </w:t>
            </w:r>
            <w:r w:rsidR="002C4427">
              <w:rPr>
                <w:rFonts w:ascii="IBM Plex Sans Medium" w:eastAsia="Times New Roman" w:hAnsi="IBM Plex Sans Medium" w:cs="Arial"/>
                <w:b w:val="0"/>
                <w:bCs w:val="0"/>
                <w:sz w:val="20"/>
                <w:szCs w:val="20"/>
                <w:lang w:eastAsia="en-GB"/>
              </w:rPr>
              <w:t>g</w:t>
            </w:r>
            <w:r w:rsidRPr="00670893">
              <w:rPr>
                <w:rFonts w:ascii="IBM Plex Sans Medium" w:eastAsia="Times New Roman" w:hAnsi="IBM Plex Sans Medium" w:cs="Arial"/>
                <w:b w:val="0"/>
                <w:bCs w:val="0"/>
                <w:sz w:val="20"/>
                <w:szCs w:val="20"/>
                <w:lang w:eastAsia="en-GB"/>
              </w:rPr>
              <w:t>ap</w:t>
            </w:r>
          </w:p>
        </w:tc>
        <w:tc>
          <w:tcPr>
            <w:tcW w:w="2055" w:type="dxa"/>
            <w:tcBorders>
              <w:top w:val="single" w:sz="18" w:space="0" w:color="5C00D6"/>
              <w:bottom w:val="single" w:sz="18" w:space="0" w:color="5C00D6"/>
            </w:tcBorders>
            <w:shd w:val="clear" w:color="auto" w:fill="auto"/>
            <w:vAlign w:val="center"/>
          </w:tcPr>
          <w:p w14:paraId="1A03C79C" w14:textId="1C99D070" w:rsidR="00771E6F" w:rsidRPr="00670893" w:rsidRDefault="00771E6F" w:rsidP="00771E6F">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13.8</w:t>
            </w:r>
            <w:r w:rsidRPr="00DF4A1B">
              <w:rPr>
                <w:rFonts w:ascii="IBM Plex Sans Medium" w:eastAsia="Times New Roman" w:hAnsi="IBM Plex Sans Medium" w:cs="Arial"/>
                <w:sz w:val="20"/>
                <w:szCs w:val="20"/>
                <w:lang w:eastAsia="en-GB"/>
              </w:rPr>
              <w:t>%</w:t>
            </w:r>
          </w:p>
        </w:tc>
        <w:tc>
          <w:tcPr>
            <w:tcW w:w="2055" w:type="dxa"/>
            <w:tcBorders>
              <w:top w:val="single" w:sz="18" w:space="0" w:color="5C00D6"/>
              <w:bottom w:val="single" w:sz="18" w:space="0" w:color="5C00D6"/>
            </w:tcBorders>
            <w:shd w:val="clear" w:color="auto" w:fill="auto"/>
            <w:vAlign w:val="center"/>
          </w:tcPr>
          <w:p w14:paraId="1E0D758E" w14:textId="53DE08B7" w:rsidR="00771E6F" w:rsidRPr="00670893" w:rsidRDefault="00771E6F" w:rsidP="00771E6F">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6.4</w:t>
            </w:r>
            <w:r w:rsidRPr="00DF4A1B">
              <w:rPr>
                <w:rFonts w:ascii="IBM Plex Sans Medium" w:eastAsia="Times New Roman" w:hAnsi="IBM Plex Sans Medium" w:cs="Arial"/>
                <w:sz w:val="20"/>
                <w:szCs w:val="20"/>
                <w:lang w:eastAsia="en-GB"/>
              </w:rPr>
              <w:t>%</w:t>
            </w:r>
          </w:p>
        </w:tc>
        <w:tc>
          <w:tcPr>
            <w:tcW w:w="2055" w:type="dxa"/>
            <w:tcBorders>
              <w:top w:val="single" w:sz="18" w:space="0" w:color="5C00D6"/>
              <w:bottom w:val="single" w:sz="18" w:space="0" w:color="5C00D6"/>
            </w:tcBorders>
            <w:shd w:val="clear" w:color="auto" w:fill="FFFFFF" w:themeFill="background1"/>
            <w:vAlign w:val="center"/>
          </w:tcPr>
          <w:p w14:paraId="4C56F2DD" w14:textId="550F1A65" w:rsidR="00771E6F" w:rsidRPr="00670893" w:rsidRDefault="00771E6F" w:rsidP="00771E6F">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9.3%</w:t>
            </w:r>
          </w:p>
        </w:tc>
        <w:tc>
          <w:tcPr>
            <w:tcW w:w="2056" w:type="dxa"/>
            <w:tcBorders>
              <w:top w:val="single" w:sz="18" w:space="0" w:color="5C00D6"/>
              <w:bottom w:val="single" w:sz="18" w:space="0" w:color="5C00D6"/>
            </w:tcBorders>
            <w:shd w:val="clear" w:color="auto" w:fill="FFFFFF" w:themeFill="background1"/>
            <w:vAlign w:val="center"/>
          </w:tcPr>
          <w:p w14:paraId="31EDA6B2" w14:textId="7FF91C38" w:rsidR="00771E6F" w:rsidRPr="00670893" w:rsidRDefault="00771E6F" w:rsidP="00771E6F">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5.2%</w:t>
            </w:r>
          </w:p>
        </w:tc>
      </w:tr>
    </w:tbl>
    <w:p w14:paraId="676EADCE" w14:textId="77777777" w:rsidR="00A3004C" w:rsidRDefault="00A3004C" w:rsidP="00A3004C">
      <w:pPr>
        <w:spacing w:before="0" w:after="0"/>
        <w:jc w:val="both"/>
        <w:rPr>
          <w:rFonts w:ascii="IBM Plex Sans" w:eastAsiaTheme="minorHAnsi" w:hAnsi="IBM Plex Sans" w:cs="Calibri"/>
          <w:sz w:val="22"/>
        </w:rPr>
      </w:pPr>
    </w:p>
    <w:p w14:paraId="5DC5E8E5" w14:textId="6985D1C3" w:rsidR="00DA277B" w:rsidRPr="00BA620C" w:rsidRDefault="00DA277B" w:rsidP="005C6FCD">
      <w:pPr>
        <w:spacing w:before="0" w:after="0"/>
        <w:jc w:val="both"/>
        <w:rPr>
          <w:rFonts w:ascii="IBM Plex Sans Medium" w:eastAsiaTheme="minorHAnsi" w:hAnsi="IBM Plex Sans Medium" w:cs="Calibri"/>
          <w:sz w:val="20"/>
          <w:szCs w:val="20"/>
        </w:rPr>
      </w:pPr>
      <w:bookmarkStart w:id="32" w:name="_Toc157514660"/>
      <w:r w:rsidRPr="00BA620C">
        <w:rPr>
          <w:rFonts w:ascii="IBM Plex Sans Medium" w:eastAsiaTheme="minorHAnsi" w:hAnsi="IBM Plex Sans Medium" w:cs="Calibri"/>
          <w:sz w:val="20"/>
          <w:szCs w:val="20"/>
        </w:rPr>
        <w:lastRenderedPageBreak/>
        <w:t xml:space="preserve">Figure </w:t>
      </w:r>
      <w:r w:rsidRPr="00BA620C">
        <w:rPr>
          <w:rFonts w:ascii="IBM Plex Sans Medium" w:eastAsiaTheme="minorHAnsi" w:hAnsi="IBM Plex Sans Medium" w:cs="Calibri"/>
          <w:sz w:val="20"/>
          <w:szCs w:val="20"/>
        </w:rPr>
        <w:fldChar w:fldCharType="begin"/>
      </w:r>
      <w:r w:rsidRPr="00BA620C">
        <w:rPr>
          <w:rFonts w:ascii="IBM Plex Sans Medium" w:eastAsiaTheme="minorHAnsi" w:hAnsi="IBM Plex Sans Medium" w:cs="Calibri"/>
          <w:sz w:val="20"/>
          <w:szCs w:val="20"/>
        </w:rPr>
        <w:instrText xml:space="preserve"> SEQ Figure \* ARABIC </w:instrText>
      </w:r>
      <w:r w:rsidRPr="00BA620C">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8</w:t>
      </w:r>
      <w:r w:rsidRPr="00BA620C">
        <w:rPr>
          <w:rFonts w:ascii="IBM Plex Sans Medium" w:eastAsiaTheme="minorHAnsi" w:hAnsi="IBM Plex Sans Medium" w:cs="Calibri"/>
          <w:sz w:val="20"/>
          <w:szCs w:val="20"/>
        </w:rPr>
        <w:fldChar w:fldCharType="end"/>
      </w:r>
      <w:r w:rsidRPr="00BA620C">
        <w:rPr>
          <w:rFonts w:ascii="IBM Plex Sans Medium" w:eastAsiaTheme="minorHAnsi" w:hAnsi="IBM Plex Sans Medium" w:cs="Calibri"/>
          <w:sz w:val="20"/>
          <w:szCs w:val="20"/>
        </w:rPr>
        <w:t xml:space="preserve"> Gender pay gaps for ordinary and basic pay</w:t>
      </w:r>
      <w:bookmarkEnd w:id="32"/>
    </w:p>
    <w:p w14:paraId="0C84919B" w14:textId="77777777" w:rsidR="00DA277B" w:rsidRPr="001D3B2A" w:rsidRDefault="00DA277B" w:rsidP="00DA277B">
      <w:pPr>
        <w:spacing w:before="0" w:after="0"/>
        <w:jc w:val="both"/>
        <w:rPr>
          <w:rFonts w:ascii="IBM Plex Sans" w:eastAsiaTheme="minorHAnsi" w:hAnsi="IBM Plex Sans" w:cs="Calibri"/>
          <w:sz w:val="22"/>
        </w:rPr>
      </w:pPr>
      <w:r>
        <w:rPr>
          <w:noProof/>
        </w:rPr>
        <w:drawing>
          <wp:inline distT="0" distB="0" distL="0" distR="0" wp14:anchorId="54D296D0" wp14:editId="2DF0898C">
            <wp:extent cx="5940000" cy="3060000"/>
            <wp:effectExtent l="0" t="0" r="3810" b="7620"/>
            <wp:docPr id="198550209" name="Chart 1">
              <a:extLst xmlns:a="http://schemas.openxmlformats.org/drawingml/2006/main">
                <a:ext uri="{FF2B5EF4-FFF2-40B4-BE49-F238E27FC236}">
                  <a16:creationId xmlns:a16="http://schemas.microsoft.com/office/drawing/2014/main" id="{7724C83B-5395-93E2-AD9F-B608613125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DFDCDEC" w14:textId="77777777" w:rsidR="00A3004C" w:rsidRDefault="00A3004C" w:rsidP="009B7DC6">
      <w:pPr>
        <w:spacing w:before="0" w:after="0"/>
        <w:rPr>
          <w:rFonts w:ascii="IBM Plex Sans Medium" w:eastAsiaTheme="minorHAnsi" w:hAnsi="IBM Plex Sans Medium" w:cs="Calibri"/>
          <w:sz w:val="22"/>
          <w:szCs w:val="24"/>
        </w:rPr>
      </w:pPr>
    </w:p>
    <w:p w14:paraId="3CA7AFC1" w14:textId="1C76AD50" w:rsidR="00EC6346" w:rsidRPr="004858C2" w:rsidRDefault="007E6CEC" w:rsidP="00B17FB0">
      <w:pPr>
        <w:pStyle w:val="Heading1"/>
        <w:spacing w:before="0" w:line="360" w:lineRule="auto"/>
        <w:rPr>
          <w:rFonts w:ascii="IBM Plex Sans" w:eastAsiaTheme="minorHAnsi" w:hAnsi="IBM Plex Sans" w:cs="Calibri"/>
          <w:color w:val="5C00D6"/>
          <w:sz w:val="24"/>
        </w:rPr>
      </w:pPr>
      <w:bookmarkStart w:id="33" w:name="_Toc157514639"/>
      <w:r>
        <w:rPr>
          <w:rFonts w:ascii="IBM Plex Sans" w:eastAsiaTheme="minorHAnsi" w:hAnsi="IBM Plex Sans" w:cs="Calibri"/>
          <w:color w:val="5C00D6"/>
          <w:sz w:val="24"/>
        </w:rPr>
        <w:t>Gender pay g</w:t>
      </w:r>
      <w:r w:rsidR="00037D56" w:rsidRPr="004858C2">
        <w:rPr>
          <w:rFonts w:ascii="IBM Plex Sans" w:eastAsiaTheme="minorHAnsi" w:hAnsi="IBM Plex Sans" w:cs="Calibri"/>
          <w:color w:val="5C00D6"/>
          <w:sz w:val="24"/>
        </w:rPr>
        <w:t>aps by d</w:t>
      </w:r>
      <w:r w:rsidR="009128BF" w:rsidRPr="004858C2">
        <w:rPr>
          <w:rFonts w:ascii="IBM Plex Sans" w:eastAsiaTheme="minorHAnsi" w:hAnsi="IBM Plex Sans" w:cs="Calibri"/>
          <w:color w:val="5C00D6"/>
          <w:sz w:val="24"/>
        </w:rPr>
        <w:t>irectorate</w:t>
      </w:r>
      <w:bookmarkEnd w:id="33"/>
    </w:p>
    <w:p w14:paraId="33DFAF1D" w14:textId="3D0B24C1" w:rsidR="001C7344" w:rsidRDefault="00A37942" w:rsidP="00D05022">
      <w:pPr>
        <w:spacing w:before="0" w:after="0"/>
        <w:jc w:val="both"/>
        <w:rPr>
          <w:rFonts w:ascii="IBM Plex Sans" w:hAnsi="IBM Plex Sans"/>
          <w:sz w:val="22"/>
        </w:rPr>
      </w:pPr>
      <w:r w:rsidRPr="004858C2">
        <w:rPr>
          <w:rFonts w:ascii="IBM Plex Sans" w:hAnsi="IBM Plex Sans"/>
          <w:sz w:val="22"/>
        </w:rPr>
        <w:t xml:space="preserve">Analysis of </w:t>
      </w:r>
      <w:r w:rsidR="00B05FCF" w:rsidRPr="004858C2">
        <w:rPr>
          <w:rFonts w:ascii="IBM Plex Sans" w:hAnsi="IBM Plex Sans"/>
          <w:sz w:val="22"/>
        </w:rPr>
        <w:t xml:space="preserve">gender pay gaps by directorate shows </w:t>
      </w:r>
      <w:r w:rsidR="00BB532F">
        <w:rPr>
          <w:rFonts w:ascii="IBM Plex Sans" w:hAnsi="IBM Plex Sans"/>
          <w:sz w:val="22"/>
        </w:rPr>
        <w:t xml:space="preserve">a </w:t>
      </w:r>
      <w:r w:rsidR="006A420E">
        <w:rPr>
          <w:rFonts w:ascii="IBM Plex Sans" w:hAnsi="IBM Plex Sans"/>
          <w:sz w:val="22"/>
        </w:rPr>
        <w:t xml:space="preserve">varied picture. </w:t>
      </w:r>
      <w:r w:rsidR="007B79A5">
        <w:rPr>
          <w:rFonts w:ascii="IBM Plex Sans" w:hAnsi="IBM Plex Sans"/>
          <w:sz w:val="22"/>
        </w:rPr>
        <w:t>The People and Organisat</w:t>
      </w:r>
      <w:r w:rsidR="009F5455">
        <w:rPr>
          <w:rFonts w:ascii="IBM Plex Sans" w:hAnsi="IBM Plex Sans"/>
          <w:sz w:val="22"/>
        </w:rPr>
        <w:t>i</w:t>
      </w:r>
      <w:r w:rsidR="007B79A5">
        <w:rPr>
          <w:rFonts w:ascii="IBM Plex Sans" w:hAnsi="IBM Plex Sans"/>
          <w:sz w:val="22"/>
        </w:rPr>
        <w:t xml:space="preserve">onal Development (OD) directorate has the largest pay gap in favour of women. This directorate </w:t>
      </w:r>
      <w:r w:rsidR="007F46FC">
        <w:rPr>
          <w:rFonts w:ascii="IBM Plex Sans" w:hAnsi="IBM Plex Sans"/>
          <w:sz w:val="22"/>
        </w:rPr>
        <w:t>also has the largest proportion of women</w:t>
      </w:r>
      <w:r w:rsidR="00A833DC">
        <w:rPr>
          <w:rFonts w:ascii="IBM Plex Sans" w:hAnsi="IBM Plex Sans"/>
          <w:sz w:val="22"/>
        </w:rPr>
        <w:t xml:space="preserve"> of any directorate</w:t>
      </w:r>
      <w:r w:rsidR="007F46FC">
        <w:rPr>
          <w:rFonts w:ascii="IBM Plex Sans" w:hAnsi="IBM Plex Sans"/>
          <w:sz w:val="22"/>
        </w:rPr>
        <w:t xml:space="preserve">. </w:t>
      </w:r>
      <w:r w:rsidR="001C7344">
        <w:rPr>
          <w:rFonts w:ascii="IBM Plex Sans" w:hAnsi="IBM Plex Sans"/>
          <w:sz w:val="22"/>
        </w:rPr>
        <w:t xml:space="preserve">The SPRs directorate </w:t>
      </w:r>
      <w:r w:rsidR="006D243D">
        <w:rPr>
          <w:rFonts w:ascii="IBM Plex Sans" w:hAnsi="IBM Plex Sans"/>
          <w:sz w:val="22"/>
        </w:rPr>
        <w:t>also has</w:t>
      </w:r>
      <w:r w:rsidR="001C7344">
        <w:rPr>
          <w:rFonts w:ascii="IBM Plex Sans" w:hAnsi="IBM Plex Sans"/>
          <w:sz w:val="22"/>
        </w:rPr>
        <w:t xml:space="preserve"> a pay gap in favour of women, and again the proportion of women</w:t>
      </w:r>
      <w:r w:rsidR="006D243D">
        <w:rPr>
          <w:rFonts w:ascii="IBM Plex Sans" w:hAnsi="IBM Plex Sans"/>
          <w:sz w:val="22"/>
        </w:rPr>
        <w:t xml:space="preserve"> in this directorate</w:t>
      </w:r>
      <w:r w:rsidR="001C7344">
        <w:rPr>
          <w:rFonts w:ascii="IBM Plex Sans" w:hAnsi="IBM Plex Sans"/>
          <w:sz w:val="22"/>
        </w:rPr>
        <w:t xml:space="preserve"> is far </w:t>
      </w:r>
      <w:r w:rsidR="006D243D">
        <w:rPr>
          <w:rFonts w:ascii="IBM Plex Sans" w:hAnsi="IBM Plex Sans"/>
          <w:sz w:val="22"/>
        </w:rPr>
        <w:t>larger</w:t>
      </w:r>
      <w:r w:rsidR="001C7344">
        <w:rPr>
          <w:rFonts w:ascii="IBM Plex Sans" w:hAnsi="IBM Plex Sans"/>
          <w:sz w:val="22"/>
        </w:rPr>
        <w:t xml:space="preserve"> than </w:t>
      </w:r>
      <w:r w:rsidR="006D243D">
        <w:rPr>
          <w:rFonts w:ascii="IBM Plex Sans" w:hAnsi="IBM Plex Sans"/>
          <w:sz w:val="22"/>
        </w:rPr>
        <w:t>the proportion of men</w:t>
      </w:r>
      <w:r w:rsidR="001C7344">
        <w:rPr>
          <w:rFonts w:ascii="IBM Plex Sans" w:hAnsi="IBM Plex Sans"/>
          <w:sz w:val="22"/>
        </w:rPr>
        <w:t xml:space="preserve">. </w:t>
      </w:r>
    </w:p>
    <w:p w14:paraId="245C9B87" w14:textId="77777777" w:rsidR="001C7344" w:rsidRDefault="001C7344" w:rsidP="00D05022">
      <w:pPr>
        <w:spacing w:before="0" w:after="0"/>
        <w:jc w:val="both"/>
        <w:rPr>
          <w:rFonts w:ascii="IBM Plex Sans" w:hAnsi="IBM Plex Sans"/>
          <w:sz w:val="22"/>
        </w:rPr>
      </w:pPr>
    </w:p>
    <w:p w14:paraId="5F370B9E" w14:textId="50426316" w:rsidR="007B79A5" w:rsidRDefault="001C7344" w:rsidP="00D05022">
      <w:pPr>
        <w:spacing w:before="0" w:after="0"/>
        <w:jc w:val="both"/>
        <w:rPr>
          <w:rFonts w:ascii="IBM Plex Sans" w:hAnsi="IBM Plex Sans"/>
          <w:sz w:val="22"/>
        </w:rPr>
      </w:pPr>
      <w:r>
        <w:rPr>
          <w:rFonts w:ascii="IBM Plex Sans" w:hAnsi="IBM Plex Sans"/>
          <w:sz w:val="22"/>
        </w:rPr>
        <w:t xml:space="preserve">The largest pay gap in favour of men is in the Corporate directorate and at the median. At 62.2% the gender pay gap </w:t>
      </w:r>
      <w:r w:rsidR="00A833DC">
        <w:rPr>
          <w:rFonts w:ascii="IBM Plex Sans" w:hAnsi="IBM Plex Sans"/>
          <w:sz w:val="22"/>
        </w:rPr>
        <w:t xml:space="preserve">is extremely </w:t>
      </w:r>
      <w:r>
        <w:rPr>
          <w:rFonts w:ascii="IBM Plex Sans" w:hAnsi="IBM Plex Sans"/>
          <w:sz w:val="22"/>
        </w:rPr>
        <w:t>wide</w:t>
      </w:r>
      <w:r w:rsidR="00A833DC">
        <w:rPr>
          <w:rFonts w:ascii="IBM Plex Sans" w:hAnsi="IBM Plex Sans"/>
          <w:sz w:val="22"/>
        </w:rPr>
        <w:t xml:space="preserve">. The next largest pay gaps </w:t>
      </w:r>
      <w:r w:rsidR="006D243D" w:rsidRPr="004858C2">
        <w:rPr>
          <w:rFonts w:ascii="IBM Plex Sans" w:hAnsi="IBM Plex Sans"/>
          <w:sz w:val="22"/>
        </w:rPr>
        <w:t>occur in the NHS Executive, and Health Protection and Screening directorates, where the mean pay gap</w:t>
      </w:r>
      <w:r w:rsidR="006D243D">
        <w:rPr>
          <w:rFonts w:ascii="IBM Plex Sans" w:hAnsi="IBM Plex Sans"/>
          <w:sz w:val="22"/>
        </w:rPr>
        <w:t>s</w:t>
      </w:r>
      <w:r w:rsidR="006D243D" w:rsidRPr="004858C2">
        <w:rPr>
          <w:rFonts w:ascii="IBM Plex Sans" w:hAnsi="IBM Plex Sans"/>
          <w:sz w:val="22"/>
        </w:rPr>
        <w:t xml:space="preserve"> </w:t>
      </w:r>
      <w:r w:rsidR="006D243D">
        <w:rPr>
          <w:rFonts w:ascii="IBM Plex Sans" w:hAnsi="IBM Plex Sans"/>
          <w:sz w:val="22"/>
        </w:rPr>
        <w:t>are</w:t>
      </w:r>
      <w:r w:rsidR="006D243D" w:rsidRPr="004858C2">
        <w:rPr>
          <w:rFonts w:ascii="IBM Plex Sans" w:hAnsi="IBM Plex Sans"/>
          <w:sz w:val="22"/>
        </w:rPr>
        <w:t xml:space="preserve"> 20.7% and 19.3% respectively. In both these d</w:t>
      </w:r>
      <w:r w:rsidR="006D243D">
        <w:rPr>
          <w:rFonts w:ascii="IBM Plex Sans" w:hAnsi="IBM Plex Sans"/>
          <w:sz w:val="22"/>
        </w:rPr>
        <w:t>irectorates</w:t>
      </w:r>
      <w:r w:rsidR="006D243D" w:rsidRPr="004858C2">
        <w:rPr>
          <w:rFonts w:ascii="IBM Plex Sans" w:hAnsi="IBM Plex Sans"/>
          <w:sz w:val="22"/>
        </w:rPr>
        <w:t xml:space="preserve"> men</w:t>
      </w:r>
      <w:r w:rsidR="006D243D">
        <w:rPr>
          <w:rFonts w:ascii="IBM Plex Sans" w:hAnsi="IBM Plex Sans"/>
          <w:sz w:val="22"/>
        </w:rPr>
        <w:t xml:space="preserve"> are </w:t>
      </w:r>
      <w:r w:rsidR="006D243D" w:rsidRPr="004858C2">
        <w:rPr>
          <w:rFonts w:ascii="IBM Plex Sans" w:hAnsi="IBM Plex Sans"/>
          <w:sz w:val="22"/>
        </w:rPr>
        <w:t xml:space="preserve">concentrated in </w:t>
      </w:r>
      <w:r w:rsidR="006D243D">
        <w:rPr>
          <w:rFonts w:ascii="IBM Plex Sans" w:hAnsi="IBM Plex Sans"/>
          <w:sz w:val="22"/>
        </w:rPr>
        <w:t xml:space="preserve">the </w:t>
      </w:r>
      <w:r w:rsidR="006D243D" w:rsidRPr="004858C2">
        <w:rPr>
          <w:rFonts w:ascii="IBM Plex Sans" w:hAnsi="IBM Plex Sans"/>
          <w:sz w:val="22"/>
        </w:rPr>
        <w:t>higher-paying roles, raising average pay for men relative to that for women.</w:t>
      </w:r>
    </w:p>
    <w:p w14:paraId="0B943C15" w14:textId="46A8B413" w:rsidR="00AE3445" w:rsidRDefault="00AE3445">
      <w:pPr>
        <w:spacing w:before="0" w:line="480" w:lineRule="auto"/>
        <w:ind w:firstLine="357"/>
        <w:rPr>
          <w:rFonts w:ascii="IBM Plex Sans" w:hAnsi="IBM Plex Sans"/>
          <w:sz w:val="22"/>
        </w:rPr>
      </w:pPr>
      <w:r>
        <w:rPr>
          <w:rFonts w:ascii="IBM Plex Sans" w:hAnsi="IBM Plex Sans"/>
          <w:sz w:val="22"/>
        </w:rPr>
        <w:br w:type="page"/>
      </w:r>
    </w:p>
    <w:p w14:paraId="0453E564" w14:textId="74FA413F" w:rsidR="00415766" w:rsidRDefault="00F3522D" w:rsidP="00D05022">
      <w:pPr>
        <w:spacing w:before="0" w:after="0"/>
        <w:jc w:val="both"/>
        <w:rPr>
          <w:rFonts w:ascii="IBM Plex Sans Medium" w:eastAsiaTheme="minorHAnsi" w:hAnsi="IBM Plex Sans Medium" w:cs="Calibri"/>
          <w:sz w:val="20"/>
          <w:szCs w:val="20"/>
        </w:rPr>
      </w:pPr>
      <w:bookmarkStart w:id="34" w:name="_Toc157514673"/>
      <w:r w:rsidRPr="00F3522D">
        <w:rPr>
          <w:rFonts w:ascii="IBM Plex Sans Medium" w:eastAsiaTheme="minorHAnsi" w:hAnsi="IBM Plex Sans Medium" w:cs="Calibri"/>
          <w:sz w:val="20"/>
          <w:szCs w:val="20"/>
        </w:rPr>
        <w:lastRenderedPageBreak/>
        <w:t xml:space="preserve">Table </w:t>
      </w:r>
      <w:r w:rsidRPr="00F3522D">
        <w:rPr>
          <w:rFonts w:ascii="IBM Plex Sans Medium" w:eastAsiaTheme="minorHAnsi" w:hAnsi="IBM Plex Sans Medium" w:cs="Calibri"/>
          <w:sz w:val="20"/>
          <w:szCs w:val="20"/>
        </w:rPr>
        <w:fldChar w:fldCharType="begin"/>
      </w:r>
      <w:r w:rsidRPr="00F3522D">
        <w:rPr>
          <w:rFonts w:ascii="IBM Plex Sans Medium" w:eastAsiaTheme="minorHAnsi" w:hAnsi="IBM Plex Sans Medium" w:cs="Calibri"/>
          <w:sz w:val="20"/>
          <w:szCs w:val="20"/>
        </w:rPr>
        <w:instrText xml:space="preserve"> SEQ Table \* ARABIC </w:instrText>
      </w:r>
      <w:r w:rsidRPr="00F3522D">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5</w:t>
      </w:r>
      <w:r w:rsidRPr="00F3522D">
        <w:rPr>
          <w:rFonts w:ascii="IBM Plex Sans Medium" w:eastAsiaTheme="minorHAnsi" w:hAnsi="IBM Plex Sans Medium" w:cs="Calibri"/>
          <w:sz w:val="20"/>
          <w:szCs w:val="20"/>
        </w:rPr>
        <w:fldChar w:fldCharType="end"/>
      </w:r>
      <w:r w:rsidRPr="00F3522D">
        <w:rPr>
          <w:rFonts w:ascii="IBM Plex Sans Medium" w:eastAsiaTheme="minorHAnsi" w:hAnsi="IBM Plex Sans Medium" w:cs="Calibri"/>
          <w:sz w:val="20"/>
          <w:szCs w:val="20"/>
        </w:rPr>
        <w:t xml:space="preserve"> </w:t>
      </w:r>
      <w:r w:rsidR="00415766" w:rsidRPr="00F3522D">
        <w:rPr>
          <w:rFonts w:ascii="IBM Plex Sans Medium" w:eastAsiaTheme="minorHAnsi" w:hAnsi="IBM Plex Sans Medium" w:cs="Calibri"/>
          <w:sz w:val="20"/>
          <w:szCs w:val="20"/>
        </w:rPr>
        <w:t>Gender pay gaps by directorate</w:t>
      </w:r>
      <w:bookmarkEnd w:id="34"/>
    </w:p>
    <w:tbl>
      <w:tblPr>
        <w:tblStyle w:val="ListTable4-Accent5"/>
        <w:tblW w:w="5000" w:type="pct"/>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3116"/>
        <w:gridCol w:w="3117"/>
        <w:gridCol w:w="3117"/>
      </w:tblGrid>
      <w:tr w:rsidR="005A4981" w:rsidRPr="009179C7" w14:paraId="5BB7CF5E" w14:textId="77777777" w:rsidTr="005A49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4" w:space="0" w:color="FFFFFF" w:themeColor="background1"/>
              <w:right w:val="single" w:sz="4" w:space="0" w:color="FFFFFF" w:themeColor="background1"/>
            </w:tcBorders>
            <w:shd w:val="clear" w:color="auto" w:fill="5C00D6"/>
            <w:vAlign w:val="center"/>
          </w:tcPr>
          <w:p w14:paraId="124AA041" w14:textId="17D0C110" w:rsidR="005A4981" w:rsidRPr="009179C7" w:rsidRDefault="005A4981" w:rsidP="00FE6DBD">
            <w:pPr>
              <w:spacing w:before="0" w:line="240" w:lineRule="auto"/>
              <w:jc w:val="both"/>
              <w:rPr>
                <w:rFonts w:ascii="IBM Plex Sans Medium" w:eastAsiaTheme="minorHAnsi" w:hAnsi="IBM Plex Sans Medium" w:cs="Calibri"/>
                <w:b w:val="0"/>
                <w:bCs w:val="0"/>
                <w:sz w:val="20"/>
                <w:szCs w:val="20"/>
                <w:lang w:val="en-GB"/>
              </w:rPr>
            </w:pPr>
            <w:r w:rsidRPr="009179C7">
              <w:rPr>
                <w:rFonts w:ascii="IBM Plex Sans Medium" w:eastAsiaTheme="minorHAnsi" w:hAnsi="IBM Plex Sans Medium" w:cs="Calibri"/>
                <w:b w:val="0"/>
                <w:bCs w:val="0"/>
                <w:sz w:val="20"/>
                <w:szCs w:val="20"/>
                <w:lang w:val="en-GB"/>
              </w:rPr>
              <w:t>Directorate</w:t>
            </w:r>
          </w:p>
        </w:tc>
        <w:tc>
          <w:tcPr>
            <w:tcW w:w="1667" w:type="pct"/>
            <w:tcBorders>
              <w:top w:val="single" w:sz="4" w:space="0" w:color="FFFFFF" w:themeColor="background1"/>
              <w:left w:val="single" w:sz="4" w:space="0" w:color="FFFFFF" w:themeColor="background1"/>
              <w:right w:val="single" w:sz="4" w:space="0" w:color="FFFFFF" w:themeColor="background1"/>
            </w:tcBorders>
            <w:shd w:val="clear" w:color="auto" w:fill="5C00D6"/>
            <w:vAlign w:val="center"/>
          </w:tcPr>
          <w:p w14:paraId="53F29EE0" w14:textId="436E89DA" w:rsidR="005A4981" w:rsidRPr="009179C7" w:rsidRDefault="005A4981" w:rsidP="00FE6DBD">
            <w:pPr>
              <w:spacing w:before="0" w:line="240" w:lineRule="auto"/>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sz w:val="20"/>
                <w:szCs w:val="20"/>
                <w:lang w:val="en-GB"/>
              </w:rPr>
            </w:pPr>
            <w:r w:rsidRPr="009179C7">
              <w:rPr>
                <w:rFonts w:ascii="IBM Plex Sans Medium" w:eastAsiaTheme="minorHAnsi" w:hAnsi="IBM Plex Sans Medium" w:cs="Calibri"/>
                <w:b w:val="0"/>
                <w:bCs w:val="0"/>
                <w:sz w:val="20"/>
                <w:szCs w:val="20"/>
                <w:lang w:val="en-GB"/>
              </w:rPr>
              <w:t>Mean</w:t>
            </w:r>
            <w:r w:rsidR="000B6AEC">
              <w:rPr>
                <w:rFonts w:ascii="IBM Plex Sans Medium" w:eastAsiaTheme="minorHAnsi" w:hAnsi="IBM Plex Sans Medium" w:cs="Calibri"/>
                <w:b w:val="0"/>
                <w:bCs w:val="0"/>
                <w:sz w:val="20"/>
                <w:szCs w:val="20"/>
                <w:lang w:val="en-GB"/>
              </w:rPr>
              <w:t xml:space="preserve"> gender pay gap</w:t>
            </w:r>
          </w:p>
        </w:tc>
        <w:tc>
          <w:tcPr>
            <w:tcW w:w="1667" w:type="pct"/>
            <w:tcBorders>
              <w:top w:val="single" w:sz="4" w:space="0" w:color="FFFFFF" w:themeColor="background1"/>
              <w:left w:val="single" w:sz="4" w:space="0" w:color="FFFFFF" w:themeColor="background1"/>
              <w:right w:val="single" w:sz="4" w:space="0" w:color="FFFFFF" w:themeColor="background1"/>
            </w:tcBorders>
            <w:shd w:val="clear" w:color="auto" w:fill="5C00D6"/>
            <w:vAlign w:val="center"/>
          </w:tcPr>
          <w:p w14:paraId="1DC5D93C" w14:textId="45D94EBD" w:rsidR="005A4981" w:rsidRPr="009179C7" w:rsidRDefault="005A4981" w:rsidP="00FE6DBD">
            <w:pPr>
              <w:spacing w:before="0" w:line="240" w:lineRule="auto"/>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sz w:val="20"/>
                <w:szCs w:val="20"/>
                <w:lang w:val="en-GB"/>
              </w:rPr>
            </w:pPr>
            <w:r w:rsidRPr="009179C7">
              <w:rPr>
                <w:rFonts w:ascii="IBM Plex Sans Medium" w:eastAsiaTheme="minorHAnsi" w:hAnsi="IBM Plex Sans Medium" w:cs="Calibri"/>
                <w:b w:val="0"/>
                <w:bCs w:val="0"/>
                <w:sz w:val="20"/>
                <w:szCs w:val="20"/>
                <w:lang w:val="en-GB"/>
              </w:rPr>
              <w:t>Median</w:t>
            </w:r>
            <w:r w:rsidR="000B6AEC">
              <w:rPr>
                <w:rFonts w:ascii="IBM Plex Sans Medium" w:eastAsiaTheme="minorHAnsi" w:hAnsi="IBM Plex Sans Medium" w:cs="Calibri"/>
                <w:b w:val="0"/>
                <w:bCs w:val="0"/>
                <w:sz w:val="20"/>
                <w:szCs w:val="20"/>
                <w:lang w:val="en-GB"/>
              </w:rPr>
              <w:t xml:space="preserve"> gender pay gap</w:t>
            </w:r>
          </w:p>
        </w:tc>
      </w:tr>
      <w:tr w:rsidR="0084420E" w:rsidRPr="0084420E" w14:paraId="16137C4C" w14:textId="77777777" w:rsidTr="005D61F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62639300" w14:textId="1A99921B" w:rsidR="0084420E" w:rsidRPr="0084420E" w:rsidRDefault="0084420E" w:rsidP="005D61F0">
            <w:pPr>
              <w:spacing w:before="0" w:line="240" w:lineRule="auto"/>
              <w:rPr>
                <w:rFonts w:ascii="IBM Plex Sans" w:hAnsi="IBM Plex Sans"/>
                <w:b w:val="0"/>
                <w:bCs w:val="0"/>
                <w:sz w:val="20"/>
                <w:szCs w:val="18"/>
              </w:rPr>
            </w:pPr>
            <w:r w:rsidRPr="0084420E">
              <w:rPr>
                <w:rFonts w:ascii="IBM Plex Sans" w:hAnsi="IBM Plex Sans"/>
                <w:b w:val="0"/>
                <w:bCs w:val="0"/>
                <w:sz w:val="20"/>
                <w:szCs w:val="18"/>
              </w:rPr>
              <w:t>Corporate</w:t>
            </w:r>
          </w:p>
        </w:tc>
        <w:tc>
          <w:tcPr>
            <w:tcW w:w="1667" w:type="pct"/>
            <w:shd w:val="clear" w:color="auto" w:fill="auto"/>
            <w:vAlign w:val="center"/>
          </w:tcPr>
          <w:p w14:paraId="210B47F6" w14:textId="79F1D404" w:rsidR="0084420E" w:rsidRPr="00562535" w:rsidRDefault="00562535" w:rsidP="005D61F0">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hAnsi="IBM Plex Sans"/>
                <w:sz w:val="20"/>
                <w:szCs w:val="18"/>
              </w:rPr>
            </w:pPr>
            <w:r w:rsidRPr="00562535">
              <w:rPr>
                <w:rFonts w:ascii="IBM Plex Sans" w:hAnsi="IBM Plex Sans"/>
                <w:sz w:val="20"/>
                <w:szCs w:val="18"/>
              </w:rPr>
              <w:t>-9.2%</w:t>
            </w:r>
          </w:p>
        </w:tc>
        <w:tc>
          <w:tcPr>
            <w:tcW w:w="1667" w:type="pct"/>
            <w:shd w:val="clear" w:color="auto" w:fill="auto"/>
            <w:vAlign w:val="center"/>
          </w:tcPr>
          <w:p w14:paraId="48D45D7E" w14:textId="04DF6349" w:rsidR="0084420E" w:rsidRPr="00562535" w:rsidRDefault="00562535" w:rsidP="005D61F0">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hAnsi="IBM Plex Sans"/>
                <w:sz w:val="20"/>
                <w:szCs w:val="18"/>
              </w:rPr>
            </w:pPr>
            <w:r w:rsidRPr="00562535">
              <w:rPr>
                <w:rFonts w:ascii="IBM Plex Sans" w:hAnsi="IBM Plex Sans"/>
                <w:sz w:val="20"/>
                <w:szCs w:val="18"/>
              </w:rPr>
              <w:t>62.2%</w:t>
            </w:r>
          </w:p>
        </w:tc>
      </w:tr>
      <w:tr w:rsidR="00562535" w:rsidRPr="00AD5F80" w14:paraId="3B767156" w14:textId="77777777" w:rsidTr="005D61F0">
        <w:trPr>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0F2CE253" w14:textId="52EF7ACB" w:rsidR="00562535" w:rsidRPr="00AD5F80" w:rsidRDefault="00562535" w:rsidP="00562535">
            <w:pPr>
              <w:spacing w:before="0" w:line="240" w:lineRule="auto"/>
              <w:rPr>
                <w:rFonts w:ascii="IBM Plex Sans" w:hAnsi="IBM Plex Sans"/>
                <w:sz w:val="20"/>
                <w:szCs w:val="18"/>
              </w:rPr>
            </w:pPr>
            <w:r w:rsidRPr="00AD5F80">
              <w:rPr>
                <w:rFonts w:ascii="IBM Plex Sans" w:hAnsi="IBM Plex Sans"/>
                <w:b w:val="0"/>
                <w:bCs w:val="0"/>
                <w:sz w:val="20"/>
                <w:szCs w:val="18"/>
              </w:rPr>
              <w:t>Data, Knowledge and Research</w:t>
            </w:r>
          </w:p>
        </w:tc>
        <w:tc>
          <w:tcPr>
            <w:tcW w:w="1667" w:type="pct"/>
            <w:shd w:val="clear" w:color="auto" w:fill="auto"/>
            <w:vAlign w:val="center"/>
          </w:tcPr>
          <w:p w14:paraId="47F34472" w14:textId="4846A645" w:rsidR="00562535" w:rsidRPr="00AD5F80" w:rsidRDefault="00562535" w:rsidP="00562535">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hAnsi="IBM Plex Sans"/>
                <w:sz w:val="20"/>
                <w:szCs w:val="18"/>
              </w:rPr>
            </w:pPr>
            <w:r w:rsidRPr="00AD5F80">
              <w:rPr>
                <w:rFonts w:ascii="IBM Plex Sans" w:hAnsi="IBM Plex Sans"/>
                <w:sz w:val="20"/>
                <w:szCs w:val="18"/>
              </w:rPr>
              <w:t>4.3%</w:t>
            </w:r>
          </w:p>
        </w:tc>
        <w:tc>
          <w:tcPr>
            <w:tcW w:w="1667" w:type="pct"/>
            <w:shd w:val="clear" w:color="auto" w:fill="auto"/>
            <w:vAlign w:val="center"/>
          </w:tcPr>
          <w:p w14:paraId="5A95AF64" w14:textId="59658DD1" w:rsidR="00562535" w:rsidRPr="00AD5F80" w:rsidRDefault="00562535" w:rsidP="00562535">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hAnsi="IBM Plex Sans"/>
                <w:sz w:val="20"/>
                <w:szCs w:val="18"/>
              </w:rPr>
            </w:pPr>
            <w:r w:rsidRPr="00AD5F80">
              <w:rPr>
                <w:rFonts w:ascii="IBM Plex Sans" w:hAnsi="IBM Plex Sans"/>
                <w:sz w:val="20"/>
                <w:szCs w:val="18"/>
              </w:rPr>
              <w:t>13.9%</w:t>
            </w:r>
          </w:p>
        </w:tc>
      </w:tr>
      <w:tr w:rsidR="005B3427" w:rsidRPr="00670893" w14:paraId="554244C9" w14:textId="77777777" w:rsidTr="00FE6DB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31678677" w14:textId="77777777" w:rsidR="005B3427" w:rsidRPr="005B3427" w:rsidRDefault="005B3427" w:rsidP="00FE6DBD">
            <w:pPr>
              <w:spacing w:before="0" w:line="240" w:lineRule="auto"/>
              <w:rPr>
                <w:rFonts w:ascii="IBM Plex Sans" w:eastAsiaTheme="minorHAnsi" w:hAnsi="IBM Plex Sans" w:cs="Calibri"/>
                <w:b w:val="0"/>
                <w:bCs w:val="0"/>
                <w:sz w:val="20"/>
                <w:szCs w:val="18"/>
                <w:lang w:val="en-GB"/>
              </w:rPr>
            </w:pPr>
            <w:r w:rsidRPr="005B3427">
              <w:rPr>
                <w:rFonts w:ascii="IBM Plex Sans" w:hAnsi="IBM Plex Sans"/>
                <w:b w:val="0"/>
                <w:bCs w:val="0"/>
                <w:sz w:val="20"/>
                <w:szCs w:val="18"/>
              </w:rPr>
              <w:t>Health and Wellbeing</w:t>
            </w:r>
          </w:p>
        </w:tc>
        <w:tc>
          <w:tcPr>
            <w:tcW w:w="1667" w:type="pct"/>
            <w:shd w:val="clear" w:color="auto" w:fill="auto"/>
            <w:vAlign w:val="center"/>
          </w:tcPr>
          <w:p w14:paraId="6B9E586C" w14:textId="77777777" w:rsidR="005B3427" w:rsidRPr="005B3427" w:rsidRDefault="005B3427"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5B3427">
              <w:rPr>
                <w:rFonts w:ascii="IBM Plex Sans" w:hAnsi="IBM Plex Sans"/>
                <w:sz w:val="20"/>
                <w:szCs w:val="18"/>
              </w:rPr>
              <w:t>5.6%</w:t>
            </w:r>
          </w:p>
        </w:tc>
        <w:tc>
          <w:tcPr>
            <w:tcW w:w="1667" w:type="pct"/>
            <w:shd w:val="clear" w:color="auto" w:fill="auto"/>
            <w:vAlign w:val="center"/>
          </w:tcPr>
          <w:p w14:paraId="34B3153B" w14:textId="77777777" w:rsidR="005B3427" w:rsidRPr="005B3427" w:rsidRDefault="005B3427"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5B3427">
              <w:rPr>
                <w:rFonts w:ascii="IBM Plex Sans" w:hAnsi="IBM Plex Sans"/>
                <w:sz w:val="20"/>
                <w:szCs w:val="18"/>
              </w:rPr>
              <w:t>-14.1%</w:t>
            </w:r>
          </w:p>
        </w:tc>
      </w:tr>
      <w:tr w:rsidR="007371F3" w:rsidRPr="007371F3" w14:paraId="39209100" w14:textId="77777777" w:rsidTr="005D61F0">
        <w:trPr>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665CFC85" w14:textId="7976B7C7" w:rsidR="007371F3" w:rsidRPr="007371F3" w:rsidRDefault="007371F3" w:rsidP="007371F3">
            <w:pPr>
              <w:spacing w:before="0" w:line="240" w:lineRule="auto"/>
              <w:rPr>
                <w:rFonts w:ascii="IBM Plex Sans" w:hAnsi="IBM Plex Sans"/>
                <w:sz w:val="20"/>
                <w:szCs w:val="18"/>
              </w:rPr>
            </w:pPr>
            <w:r w:rsidRPr="007371F3">
              <w:rPr>
                <w:rFonts w:ascii="IBM Plex Sans" w:hAnsi="IBM Plex Sans"/>
                <w:b w:val="0"/>
                <w:bCs w:val="0"/>
                <w:sz w:val="20"/>
                <w:szCs w:val="18"/>
              </w:rPr>
              <w:t>Health Protection and Screening</w:t>
            </w:r>
          </w:p>
        </w:tc>
        <w:tc>
          <w:tcPr>
            <w:tcW w:w="1667" w:type="pct"/>
            <w:shd w:val="clear" w:color="auto" w:fill="auto"/>
            <w:vAlign w:val="center"/>
          </w:tcPr>
          <w:p w14:paraId="18505668" w14:textId="5A755463" w:rsidR="007371F3" w:rsidRPr="007371F3" w:rsidRDefault="007371F3" w:rsidP="007371F3">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hAnsi="IBM Plex Sans"/>
                <w:sz w:val="20"/>
                <w:szCs w:val="18"/>
              </w:rPr>
            </w:pPr>
            <w:r w:rsidRPr="007371F3">
              <w:rPr>
                <w:rFonts w:ascii="IBM Plex Sans" w:hAnsi="IBM Plex Sans"/>
                <w:sz w:val="20"/>
                <w:szCs w:val="18"/>
              </w:rPr>
              <w:t>19.3%</w:t>
            </w:r>
          </w:p>
        </w:tc>
        <w:tc>
          <w:tcPr>
            <w:tcW w:w="1667" w:type="pct"/>
            <w:shd w:val="clear" w:color="auto" w:fill="auto"/>
            <w:vAlign w:val="center"/>
          </w:tcPr>
          <w:p w14:paraId="5D0F9052" w14:textId="623346FC" w:rsidR="007371F3" w:rsidRPr="007371F3" w:rsidRDefault="007371F3" w:rsidP="007371F3">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hAnsi="IBM Plex Sans"/>
                <w:sz w:val="20"/>
                <w:szCs w:val="18"/>
              </w:rPr>
            </w:pPr>
            <w:r w:rsidRPr="007371F3">
              <w:rPr>
                <w:rFonts w:ascii="IBM Plex Sans" w:hAnsi="IBM Plex Sans"/>
                <w:sz w:val="20"/>
                <w:szCs w:val="18"/>
              </w:rPr>
              <w:t>13.3%</w:t>
            </w:r>
          </w:p>
        </w:tc>
      </w:tr>
      <w:tr w:rsidR="002B549B" w:rsidRPr="00670893" w14:paraId="3EF8F95E" w14:textId="77777777" w:rsidTr="00FE6DB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248342BE" w14:textId="77777777" w:rsidR="002B549B" w:rsidRPr="002B549B" w:rsidRDefault="002B549B" w:rsidP="00FE6DBD">
            <w:pPr>
              <w:spacing w:before="0" w:line="240" w:lineRule="auto"/>
              <w:rPr>
                <w:rFonts w:ascii="IBM Plex Sans" w:eastAsiaTheme="minorHAnsi" w:hAnsi="IBM Plex Sans" w:cs="Calibri"/>
                <w:b w:val="0"/>
                <w:bCs w:val="0"/>
                <w:sz w:val="20"/>
                <w:szCs w:val="18"/>
                <w:lang w:val="en-GB"/>
              </w:rPr>
            </w:pPr>
            <w:r w:rsidRPr="002B549B">
              <w:rPr>
                <w:rFonts w:ascii="IBM Plex Sans" w:hAnsi="IBM Plex Sans"/>
                <w:b w:val="0"/>
                <w:bCs w:val="0"/>
                <w:sz w:val="20"/>
                <w:szCs w:val="18"/>
              </w:rPr>
              <w:t>Improvement Cymru</w:t>
            </w:r>
          </w:p>
        </w:tc>
        <w:tc>
          <w:tcPr>
            <w:tcW w:w="1667" w:type="pct"/>
            <w:shd w:val="clear" w:color="auto" w:fill="auto"/>
            <w:vAlign w:val="center"/>
          </w:tcPr>
          <w:p w14:paraId="5AA43436" w14:textId="77777777" w:rsidR="002B549B" w:rsidRPr="002B549B" w:rsidRDefault="002B549B"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2B549B">
              <w:rPr>
                <w:rFonts w:ascii="IBM Plex Sans" w:hAnsi="IBM Plex Sans"/>
                <w:sz w:val="20"/>
                <w:szCs w:val="18"/>
              </w:rPr>
              <w:t>2.0%</w:t>
            </w:r>
          </w:p>
        </w:tc>
        <w:tc>
          <w:tcPr>
            <w:tcW w:w="1667" w:type="pct"/>
            <w:shd w:val="clear" w:color="auto" w:fill="auto"/>
            <w:vAlign w:val="center"/>
          </w:tcPr>
          <w:p w14:paraId="6873D681" w14:textId="77777777" w:rsidR="002B549B" w:rsidRPr="002B549B" w:rsidRDefault="002B549B"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2B549B">
              <w:rPr>
                <w:rFonts w:ascii="IBM Plex Sans" w:hAnsi="IBM Plex Sans"/>
                <w:sz w:val="20"/>
                <w:szCs w:val="18"/>
              </w:rPr>
              <w:t>-5.2%</w:t>
            </w:r>
          </w:p>
        </w:tc>
      </w:tr>
      <w:tr w:rsidR="0099575F" w:rsidRPr="00670893" w14:paraId="69769AFD" w14:textId="77777777" w:rsidTr="00FE6DBD">
        <w:trPr>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10B537BD" w14:textId="77777777" w:rsidR="0099575F" w:rsidRPr="0099575F" w:rsidRDefault="0099575F" w:rsidP="00FE6DBD">
            <w:pPr>
              <w:spacing w:before="0" w:line="240" w:lineRule="auto"/>
              <w:rPr>
                <w:rFonts w:ascii="IBM Plex Sans" w:eastAsiaTheme="minorHAnsi" w:hAnsi="IBM Plex Sans" w:cs="Calibri"/>
                <w:b w:val="0"/>
                <w:bCs w:val="0"/>
                <w:sz w:val="20"/>
                <w:szCs w:val="18"/>
                <w:lang w:val="en-GB"/>
              </w:rPr>
            </w:pPr>
            <w:r w:rsidRPr="0099575F">
              <w:rPr>
                <w:rFonts w:ascii="IBM Plex Sans" w:hAnsi="IBM Plex Sans"/>
                <w:b w:val="0"/>
                <w:bCs w:val="0"/>
                <w:sz w:val="20"/>
                <w:szCs w:val="18"/>
              </w:rPr>
              <w:t>NHS Executive</w:t>
            </w:r>
          </w:p>
        </w:tc>
        <w:tc>
          <w:tcPr>
            <w:tcW w:w="1667" w:type="pct"/>
            <w:shd w:val="clear" w:color="auto" w:fill="auto"/>
            <w:vAlign w:val="center"/>
          </w:tcPr>
          <w:p w14:paraId="1327FB38" w14:textId="77777777" w:rsidR="0099575F" w:rsidRPr="0099575F" w:rsidRDefault="0099575F" w:rsidP="00FE6DBD">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99575F">
              <w:rPr>
                <w:rFonts w:ascii="IBM Plex Sans" w:hAnsi="IBM Plex Sans"/>
                <w:sz w:val="20"/>
                <w:szCs w:val="18"/>
              </w:rPr>
              <w:t>20.7%</w:t>
            </w:r>
          </w:p>
        </w:tc>
        <w:tc>
          <w:tcPr>
            <w:tcW w:w="1667" w:type="pct"/>
            <w:shd w:val="clear" w:color="auto" w:fill="auto"/>
            <w:vAlign w:val="center"/>
          </w:tcPr>
          <w:p w14:paraId="7FDD579A" w14:textId="77777777" w:rsidR="0099575F" w:rsidRPr="0099575F" w:rsidRDefault="0099575F" w:rsidP="00FE6DBD">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99575F">
              <w:rPr>
                <w:rFonts w:ascii="IBM Plex Sans" w:hAnsi="IBM Plex Sans"/>
                <w:sz w:val="20"/>
                <w:szCs w:val="18"/>
              </w:rPr>
              <w:t>14.2%</w:t>
            </w:r>
          </w:p>
        </w:tc>
      </w:tr>
      <w:tr w:rsidR="004329B7" w:rsidRPr="00670893" w14:paraId="55325580" w14:textId="77777777" w:rsidTr="00FE6DB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2498D447" w14:textId="77777777" w:rsidR="004329B7" w:rsidRPr="00954DE4" w:rsidRDefault="004329B7" w:rsidP="00FE6DBD">
            <w:pPr>
              <w:spacing w:before="0" w:line="240" w:lineRule="auto"/>
              <w:rPr>
                <w:rFonts w:ascii="IBM Plex Sans" w:eastAsiaTheme="minorHAnsi" w:hAnsi="IBM Plex Sans" w:cs="Calibri"/>
                <w:b w:val="0"/>
                <w:bCs w:val="0"/>
                <w:sz w:val="20"/>
                <w:szCs w:val="18"/>
                <w:lang w:val="en-GB"/>
              </w:rPr>
            </w:pPr>
            <w:r w:rsidRPr="00954DE4">
              <w:rPr>
                <w:rFonts w:ascii="IBM Plex Sans" w:hAnsi="IBM Plex Sans"/>
                <w:b w:val="0"/>
                <w:bCs w:val="0"/>
                <w:sz w:val="20"/>
                <w:szCs w:val="18"/>
              </w:rPr>
              <w:t>Operations and Finance</w:t>
            </w:r>
          </w:p>
        </w:tc>
        <w:tc>
          <w:tcPr>
            <w:tcW w:w="1667" w:type="pct"/>
            <w:shd w:val="clear" w:color="auto" w:fill="auto"/>
            <w:vAlign w:val="center"/>
          </w:tcPr>
          <w:p w14:paraId="161477BF" w14:textId="77777777" w:rsidR="004329B7" w:rsidRPr="00954DE4" w:rsidRDefault="004329B7"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954DE4">
              <w:rPr>
                <w:rFonts w:ascii="IBM Plex Sans" w:hAnsi="IBM Plex Sans"/>
                <w:sz w:val="20"/>
                <w:szCs w:val="18"/>
              </w:rPr>
              <w:t>-2.7%</w:t>
            </w:r>
          </w:p>
        </w:tc>
        <w:tc>
          <w:tcPr>
            <w:tcW w:w="1667" w:type="pct"/>
            <w:shd w:val="clear" w:color="auto" w:fill="auto"/>
            <w:vAlign w:val="center"/>
          </w:tcPr>
          <w:p w14:paraId="2A428699" w14:textId="77777777" w:rsidR="004329B7" w:rsidRPr="00954DE4" w:rsidRDefault="004329B7"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954DE4">
              <w:rPr>
                <w:rFonts w:ascii="IBM Plex Sans" w:hAnsi="IBM Plex Sans"/>
                <w:sz w:val="20"/>
                <w:szCs w:val="18"/>
              </w:rPr>
              <w:t>0.0%</w:t>
            </w:r>
          </w:p>
        </w:tc>
      </w:tr>
      <w:tr w:rsidR="005D61F0" w:rsidRPr="00670893" w14:paraId="4E699B66" w14:textId="77777777" w:rsidTr="005D61F0">
        <w:trPr>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359B4215" w14:textId="316AC1E0" w:rsidR="005D61F0" w:rsidRPr="00B77872" w:rsidRDefault="008E1EFC" w:rsidP="005D61F0">
            <w:pPr>
              <w:spacing w:before="0" w:line="240" w:lineRule="auto"/>
              <w:rPr>
                <w:rFonts w:ascii="IBM Plex Sans" w:eastAsiaTheme="minorHAnsi" w:hAnsi="IBM Plex Sans" w:cs="Calibri"/>
                <w:b w:val="0"/>
                <w:bCs w:val="0"/>
                <w:sz w:val="20"/>
                <w:szCs w:val="18"/>
                <w:lang w:val="en-GB"/>
              </w:rPr>
            </w:pPr>
            <w:r w:rsidRPr="00B77872">
              <w:rPr>
                <w:rFonts w:ascii="IBM Plex Sans" w:eastAsiaTheme="minorHAnsi" w:hAnsi="IBM Plex Sans" w:cs="Calibri"/>
                <w:b w:val="0"/>
                <w:bCs w:val="0"/>
                <w:sz w:val="20"/>
                <w:szCs w:val="18"/>
                <w:lang w:val="en-GB"/>
              </w:rPr>
              <w:t>People and OD</w:t>
            </w:r>
          </w:p>
        </w:tc>
        <w:tc>
          <w:tcPr>
            <w:tcW w:w="1667" w:type="pct"/>
            <w:shd w:val="clear" w:color="auto" w:fill="auto"/>
            <w:vAlign w:val="center"/>
          </w:tcPr>
          <w:p w14:paraId="2042FFEA" w14:textId="3BE67E99" w:rsidR="005D61F0" w:rsidRPr="00B77872" w:rsidRDefault="000B7658" w:rsidP="005D61F0">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B77872">
              <w:rPr>
                <w:rFonts w:ascii="IBM Plex Sans" w:eastAsiaTheme="minorHAnsi" w:hAnsi="IBM Plex Sans" w:cs="Calibri"/>
                <w:sz w:val="20"/>
                <w:szCs w:val="18"/>
                <w:lang w:val="en-GB"/>
              </w:rPr>
              <w:t>-40.7%</w:t>
            </w:r>
          </w:p>
        </w:tc>
        <w:tc>
          <w:tcPr>
            <w:tcW w:w="1667" w:type="pct"/>
            <w:shd w:val="clear" w:color="auto" w:fill="auto"/>
            <w:vAlign w:val="center"/>
          </w:tcPr>
          <w:p w14:paraId="45607725" w14:textId="1396BA1B" w:rsidR="005D61F0" w:rsidRPr="00B77872" w:rsidRDefault="00A81725" w:rsidP="005D61F0">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B77872">
              <w:rPr>
                <w:rFonts w:ascii="IBM Plex Sans" w:eastAsiaTheme="minorHAnsi" w:hAnsi="IBM Plex Sans" w:cs="Calibri"/>
                <w:sz w:val="20"/>
                <w:szCs w:val="18"/>
                <w:lang w:val="en-GB"/>
              </w:rPr>
              <w:t>-39.6%</w:t>
            </w:r>
          </w:p>
        </w:tc>
      </w:tr>
      <w:tr w:rsidR="005D61F0" w:rsidRPr="00670893" w14:paraId="3D686B95" w14:textId="77777777" w:rsidTr="005D61F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447B830D" w14:textId="4A4C9A95" w:rsidR="005D61F0" w:rsidRPr="009C62B7" w:rsidRDefault="000A2BDC" w:rsidP="005D61F0">
            <w:pPr>
              <w:spacing w:before="0" w:line="240" w:lineRule="auto"/>
              <w:rPr>
                <w:rFonts w:ascii="IBM Plex Sans" w:eastAsiaTheme="minorHAnsi" w:hAnsi="IBM Plex Sans" w:cs="Calibri"/>
                <w:b w:val="0"/>
                <w:bCs w:val="0"/>
                <w:sz w:val="20"/>
                <w:szCs w:val="18"/>
                <w:lang w:val="en-GB"/>
              </w:rPr>
            </w:pPr>
            <w:r w:rsidRPr="009C62B7">
              <w:rPr>
                <w:rFonts w:ascii="IBM Plex Sans" w:eastAsiaTheme="minorHAnsi" w:hAnsi="IBM Plex Sans" w:cs="Calibri"/>
                <w:b w:val="0"/>
                <w:bCs w:val="0"/>
                <w:sz w:val="20"/>
                <w:szCs w:val="18"/>
                <w:lang w:val="en-GB"/>
              </w:rPr>
              <w:t xml:space="preserve">Quality Nursing and </w:t>
            </w:r>
            <w:r w:rsidR="00C86F9F" w:rsidRPr="009C62B7">
              <w:rPr>
                <w:rFonts w:ascii="IBM Plex Sans" w:eastAsiaTheme="minorHAnsi" w:hAnsi="IBM Plex Sans" w:cs="Calibri"/>
                <w:b w:val="0"/>
                <w:bCs w:val="0"/>
                <w:sz w:val="20"/>
                <w:szCs w:val="18"/>
                <w:lang w:val="en-GB"/>
              </w:rPr>
              <w:t>A</w:t>
            </w:r>
            <w:r w:rsidRPr="009C62B7">
              <w:rPr>
                <w:rFonts w:ascii="IBM Plex Sans" w:eastAsiaTheme="minorHAnsi" w:hAnsi="IBM Plex Sans" w:cs="Calibri"/>
                <w:b w:val="0"/>
                <w:bCs w:val="0"/>
                <w:sz w:val="20"/>
                <w:szCs w:val="18"/>
                <w:lang w:val="en-GB"/>
              </w:rPr>
              <w:t>llie</w:t>
            </w:r>
            <w:r w:rsidR="00C86F9F" w:rsidRPr="009C62B7">
              <w:rPr>
                <w:rFonts w:ascii="IBM Plex Sans" w:eastAsiaTheme="minorHAnsi" w:hAnsi="IBM Plex Sans" w:cs="Calibri"/>
                <w:b w:val="0"/>
                <w:bCs w:val="0"/>
                <w:sz w:val="20"/>
                <w:szCs w:val="18"/>
                <w:lang w:val="en-GB"/>
              </w:rPr>
              <w:t>d Profs</w:t>
            </w:r>
          </w:p>
        </w:tc>
        <w:tc>
          <w:tcPr>
            <w:tcW w:w="1667" w:type="pct"/>
            <w:shd w:val="clear" w:color="auto" w:fill="auto"/>
            <w:vAlign w:val="center"/>
          </w:tcPr>
          <w:p w14:paraId="515F723F" w14:textId="28FC788F" w:rsidR="005D61F0" w:rsidRPr="009C62B7" w:rsidRDefault="00BF49BF" w:rsidP="005D61F0">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9C62B7">
              <w:rPr>
                <w:rFonts w:ascii="IBM Plex Sans" w:eastAsiaTheme="minorHAnsi" w:hAnsi="IBM Plex Sans" w:cs="Calibri"/>
                <w:sz w:val="20"/>
                <w:szCs w:val="18"/>
                <w:lang w:val="en-GB"/>
              </w:rPr>
              <w:t>-3.6%</w:t>
            </w:r>
          </w:p>
        </w:tc>
        <w:tc>
          <w:tcPr>
            <w:tcW w:w="1667" w:type="pct"/>
            <w:shd w:val="clear" w:color="auto" w:fill="auto"/>
            <w:vAlign w:val="center"/>
          </w:tcPr>
          <w:p w14:paraId="55AEC3A3" w14:textId="1755AC2C" w:rsidR="005D61F0" w:rsidRPr="009C62B7" w:rsidRDefault="004E500B" w:rsidP="005D61F0">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9C62B7">
              <w:rPr>
                <w:rFonts w:ascii="IBM Plex Sans" w:eastAsiaTheme="minorHAnsi" w:hAnsi="IBM Plex Sans" w:cs="Calibri"/>
                <w:sz w:val="20"/>
                <w:szCs w:val="18"/>
                <w:lang w:val="en-GB"/>
              </w:rPr>
              <w:t>16.9%</w:t>
            </w:r>
          </w:p>
        </w:tc>
      </w:tr>
      <w:tr w:rsidR="00D4436A" w:rsidRPr="00670893" w14:paraId="3ABED60E" w14:textId="77777777" w:rsidTr="005D61F0">
        <w:trPr>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275B7BDD" w14:textId="6955F511" w:rsidR="00D4436A" w:rsidRPr="005D61F0" w:rsidRDefault="00B27F02" w:rsidP="00D4436A">
            <w:pPr>
              <w:spacing w:before="0" w:line="240" w:lineRule="auto"/>
              <w:rPr>
                <w:rFonts w:ascii="IBM Plex Sans" w:eastAsiaTheme="minorHAnsi" w:hAnsi="IBM Plex Sans" w:cs="Calibri"/>
                <w:b w:val="0"/>
                <w:bCs w:val="0"/>
                <w:sz w:val="20"/>
                <w:szCs w:val="18"/>
                <w:lang w:val="en-GB"/>
              </w:rPr>
            </w:pPr>
            <w:r>
              <w:rPr>
                <w:rFonts w:ascii="IBM Plex Sans" w:eastAsiaTheme="minorHAnsi" w:hAnsi="IBM Plex Sans" w:cs="Calibri"/>
                <w:b w:val="0"/>
                <w:bCs w:val="0"/>
                <w:sz w:val="20"/>
                <w:szCs w:val="18"/>
                <w:lang w:val="en-GB"/>
              </w:rPr>
              <w:t>SPRs</w:t>
            </w:r>
          </w:p>
        </w:tc>
        <w:tc>
          <w:tcPr>
            <w:tcW w:w="1667" w:type="pct"/>
            <w:shd w:val="clear" w:color="auto" w:fill="auto"/>
            <w:vAlign w:val="center"/>
          </w:tcPr>
          <w:p w14:paraId="7BAB936A" w14:textId="72154735" w:rsidR="00D4436A" w:rsidRPr="00227ECB" w:rsidRDefault="008C210D" w:rsidP="00D4436A">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227ECB">
              <w:rPr>
                <w:rFonts w:ascii="IBM Plex Sans" w:eastAsiaTheme="minorHAnsi" w:hAnsi="IBM Plex Sans" w:cs="Calibri"/>
                <w:sz w:val="20"/>
                <w:szCs w:val="18"/>
                <w:lang w:val="en-GB"/>
              </w:rPr>
              <w:t>-5.2%</w:t>
            </w:r>
          </w:p>
        </w:tc>
        <w:tc>
          <w:tcPr>
            <w:tcW w:w="1667" w:type="pct"/>
            <w:shd w:val="clear" w:color="auto" w:fill="auto"/>
            <w:vAlign w:val="center"/>
          </w:tcPr>
          <w:p w14:paraId="00434A50" w14:textId="445C07F3" w:rsidR="00D4436A" w:rsidRPr="00227ECB" w:rsidRDefault="00391D49" w:rsidP="00D4436A">
            <w:pPr>
              <w:spacing w:before="0" w:line="240" w:lineRule="auto"/>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18"/>
                <w:lang w:val="en-GB"/>
              </w:rPr>
            </w:pPr>
            <w:r w:rsidRPr="00227ECB">
              <w:rPr>
                <w:rFonts w:ascii="IBM Plex Sans" w:eastAsiaTheme="minorHAnsi" w:hAnsi="IBM Plex Sans" w:cs="Calibri"/>
                <w:sz w:val="20"/>
                <w:szCs w:val="18"/>
                <w:lang w:val="en-GB"/>
              </w:rPr>
              <w:t>-28.1%</w:t>
            </w:r>
          </w:p>
        </w:tc>
      </w:tr>
      <w:tr w:rsidR="00B27F02" w:rsidRPr="00670893" w14:paraId="4470FB60" w14:textId="77777777" w:rsidTr="00FE6DBD">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vAlign w:val="center"/>
          </w:tcPr>
          <w:p w14:paraId="3AEC8D00" w14:textId="77777777" w:rsidR="00B27F02" w:rsidRPr="005D61F0" w:rsidRDefault="00B27F02" w:rsidP="00FE6DBD">
            <w:pPr>
              <w:spacing w:before="0" w:line="240" w:lineRule="auto"/>
              <w:rPr>
                <w:rFonts w:ascii="IBM Plex Sans" w:eastAsiaTheme="minorHAnsi" w:hAnsi="IBM Plex Sans" w:cs="Calibri"/>
                <w:b w:val="0"/>
                <w:bCs w:val="0"/>
                <w:sz w:val="20"/>
                <w:szCs w:val="18"/>
                <w:lang w:val="en-GB"/>
              </w:rPr>
            </w:pPr>
            <w:r w:rsidRPr="005D61F0">
              <w:rPr>
                <w:rFonts w:ascii="IBM Plex Sans" w:hAnsi="IBM Plex Sans"/>
                <w:b w:val="0"/>
                <w:bCs w:val="0"/>
                <w:sz w:val="20"/>
                <w:szCs w:val="18"/>
              </w:rPr>
              <w:t>WHO Collaborating Centre</w:t>
            </w:r>
          </w:p>
        </w:tc>
        <w:tc>
          <w:tcPr>
            <w:tcW w:w="1667" w:type="pct"/>
            <w:shd w:val="clear" w:color="auto" w:fill="auto"/>
            <w:vAlign w:val="center"/>
          </w:tcPr>
          <w:p w14:paraId="1FEA1D55" w14:textId="77777777" w:rsidR="00B27F02" w:rsidRPr="00227ECB" w:rsidRDefault="00B27F02"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227ECB">
              <w:rPr>
                <w:rFonts w:ascii="IBM Plex Sans" w:eastAsiaTheme="minorHAnsi" w:hAnsi="IBM Plex Sans" w:cs="Calibri"/>
                <w:sz w:val="20"/>
                <w:szCs w:val="18"/>
                <w:lang w:val="en-GB"/>
              </w:rPr>
              <w:t>7.9%</w:t>
            </w:r>
          </w:p>
        </w:tc>
        <w:tc>
          <w:tcPr>
            <w:tcW w:w="1667" w:type="pct"/>
            <w:shd w:val="clear" w:color="auto" w:fill="auto"/>
            <w:vAlign w:val="center"/>
          </w:tcPr>
          <w:p w14:paraId="737401AB" w14:textId="77777777" w:rsidR="00B27F02" w:rsidRPr="00227ECB" w:rsidRDefault="00B27F02" w:rsidP="00FE6DBD">
            <w:pPr>
              <w:spacing w:before="0" w:line="240" w:lineRule="auto"/>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18"/>
                <w:lang w:val="en-GB"/>
              </w:rPr>
            </w:pPr>
            <w:r w:rsidRPr="00227ECB">
              <w:rPr>
                <w:rFonts w:ascii="IBM Plex Sans" w:eastAsiaTheme="minorHAnsi" w:hAnsi="IBM Plex Sans" w:cs="Calibri"/>
                <w:sz w:val="20"/>
                <w:szCs w:val="18"/>
                <w:lang w:val="en-GB"/>
              </w:rPr>
              <w:t>0.0%</w:t>
            </w:r>
          </w:p>
        </w:tc>
      </w:tr>
    </w:tbl>
    <w:p w14:paraId="0AA82CD9" w14:textId="77777777" w:rsidR="00C151AE" w:rsidRDefault="00C151AE" w:rsidP="00EC6346">
      <w:pPr>
        <w:spacing w:before="0" w:after="0"/>
        <w:jc w:val="both"/>
        <w:rPr>
          <w:rFonts w:ascii="IBM Plex Sans" w:hAnsi="IBM Plex Sans"/>
          <w:sz w:val="22"/>
          <w:highlight w:val="yellow"/>
        </w:rPr>
      </w:pPr>
    </w:p>
    <w:p w14:paraId="31A34FAF" w14:textId="68264A14" w:rsidR="00147B83" w:rsidRPr="0021410E" w:rsidRDefault="00147B83" w:rsidP="00147B83">
      <w:pPr>
        <w:spacing w:before="0" w:after="0"/>
        <w:jc w:val="both"/>
        <w:rPr>
          <w:rFonts w:ascii="IBM Plex Sans Medium" w:eastAsiaTheme="minorHAnsi" w:hAnsi="IBM Plex Sans Medium" w:cs="Calibri"/>
          <w:sz w:val="20"/>
          <w:szCs w:val="20"/>
        </w:rPr>
      </w:pPr>
      <w:bookmarkStart w:id="35" w:name="_Toc157514661"/>
      <w:r w:rsidRPr="0021410E">
        <w:rPr>
          <w:rFonts w:ascii="IBM Plex Sans Medium" w:eastAsiaTheme="minorHAnsi" w:hAnsi="IBM Plex Sans Medium" w:cs="Calibri"/>
          <w:sz w:val="20"/>
          <w:szCs w:val="20"/>
        </w:rPr>
        <w:t xml:space="preserve">Figure </w:t>
      </w:r>
      <w:r w:rsidR="00AC7D04" w:rsidRPr="0021410E">
        <w:rPr>
          <w:rFonts w:ascii="IBM Plex Sans Medium" w:eastAsiaTheme="minorHAnsi" w:hAnsi="IBM Plex Sans Medium" w:cs="Calibri"/>
          <w:sz w:val="20"/>
          <w:szCs w:val="20"/>
        </w:rPr>
        <w:fldChar w:fldCharType="begin"/>
      </w:r>
      <w:r w:rsidR="00AC7D04" w:rsidRPr="0021410E">
        <w:rPr>
          <w:rFonts w:ascii="IBM Plex Sans Medium" w:eastAsiaTheme="minorHAnsi" w:hAnsi="IBM Plex Sans Medium" w:cs="Calibri"/>
          <w:sz w:val="20"/>
          <w:szCs w:val="20"/>
        </w:rPr>
        <w:instrText xml:space="preserve"> SEQ Figure \* ARABIC </w:instrText>
      </w:r>
      <w:r w:rsidR="00AC7D04" w:rsidRPr="0021410E">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9</w:t>
      </w:r>
      <w:r w:rsidR="00AC7D04" w:rsidRPr="0021410E">
        <w:rPr>
          <w:rFonts w:ascii="IBM Plex Sans Medium" w:eastAsiaTheme="minorHAnsi" w:hAnsi="IBM Plex Sans Medium" w:cs="Calibri"/>
          <w:sz w:val="20"/>
          <w:szCs w:val="20"/>
        </w:rPr>
        <w:fldChar w:fldCharType="end"/>
      </w:r>
      <w:r w:rsidRPr="0021410E">
        <w:rPr>
          <w:rFonts w:ascii="IBM Plex Sans Medium" w:eastAsiaTheme="minorHAnsi" w:hAnsi="IBM Plex Sans Medium" w:cs="Calibri"/>
          <w:sz w:val="20"/>
          <w:szCs w:val="20"/>
        </w:rPr>
        <w:t xml:space="preserve"> Proportion of men and women in each directorate</w:t>
      </w:r>
      <w:bookmarkEnd w:id="35"/>
    </w:p>
    <w:p w14:paraId="37BC4144" w14:textId="0A03D0A5" w:rsidR="00C36405" w:rsidRDefault="00AA2185" w:rsidP="00147B83">
      <w:pPr>
        <w:spacing w:before="0" w:after="0"/>
        <w:jc w:val="both"/>
        <w:rPr>
          <w:rFonts w:ascii="IBM Plex Sans Medium" w:eastAsiaTheme="minorHAnsi" w:hAnsi="IBM Plex Sans Medium" w:cs="Calibri"/>
          <w:sz w:val="20"/>
          <w:szCs w:val="20"/>
          <w:highlight w:val="yellow"/>
        </w:rPr>
      </w:pPr>
      <w:r>
        <w:rPr>
          <w:noProof/>
        </w:rPr>
        <w:drawing>
          <wp:inline distT="0" distB="0" distL="0" distR="0" wp14:anchorId="4F67F699" wp14:editId="038F5FD3">
            <wp:extent cx="5940000" cy="3168000"/>
            <wp:effectExtent l="0" t="0" r="3810" b="0"/>
            <wp:docPr id="1131196023" name="Chart 1">
              <a:extLst xmlns:a="http://schemas.openxmlformats.org/drawingml/2006/main">
                <a:ext uri="{FF2B5EF4-FFF2-40B4-BE49-F238E27FC236}">
                  <a16:creationId xmlns:a16="http://schemas.microsoft.com/office/drawing/2014/main" id="{D4729A52-7B18-4968-8CD6-FEB87067E6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4E6B5EF" w14:textId="776A9D26" w:rsidR="0091320C" w:rsidRDefault="0091320C">
      <w:pPr>
        <w:spacing w:before="0" w:line="480" w:lineRule="auto"/>
        <w:ind w:firstLine="357"/>
        <w:rPr>
          <w:rFonts w:ascii="IBM Plex Sans Medium" w:eastAsiaTheme="minorHAnsi" w:hAnsi="IBM Plex Sans Medium" w:cs="Calibri"/>
          <w:sz w:val="20"/>
          <w:szCs w:val="20"/>
          <w:highlight w:val="yellow"/>
        </w:rPr>
      </w:pPr>
      <w:r>
        <w:rPr>
          <w:rFonts w:ascii="IBM Plex Sans Medium" w:eastAsiaTheme="minorHAnsi" w:hAnsi="IBM Plex Sans Medium" w:cs="Calibri"/>
          <w:sz w:val="20"/>
          <w:szCs w:val="20"/>
          <w:highlight w:val="yellow"/>
        </w:rPr>
        <w:br w:type="page"/>
      </w:r>
    </w:p>
    <w:p w14:paraId="6970BA50" w14:textId="05A8EDF9" w:rsidR="00847BB0" w:rsidRPr="00B17FB0" w:rsidRDefault="00847BB0" w:rsidP="00B17FB0">
      <w:pPr>
        <w:pStyle w:val="Heading1"/>
        <w:spacing w:before="0" w:line="360" w:lineRule="auto"/>
        <w:rPr>
          <w:rFonts w:ascii="IBM Plex Sans" w:eastAsiaTheme="minorHAnsi" w:hAnsi="IBM Plex Sans" w:cs="Calibri"/>
          <w:color w:val="5C00D6"/>
          <w:sz w:val="24"/>
        </w:rPr>
      </w:pPr>
      <w:bookmarkStart w:id="36" w:name="_Toc157514640"/>
      <w:r w:rsidRPr="00B17FB0">
        <w:rPr>
          <w:rFonts w:ascii="IBM Plex Sans" w:eastAsiaTheme="minorHAnsi" w:hAnsi="IBM Plex Sans" w:cs="Calibri"/>
          <w:color w:val="5C00D6"/>
          <w:sz w:val="24"/>
        </w:rPr>
        <w:lastRenderedPageBreak/>
        <w:t>Length of service</w:t>
      </w:r>
      <w:bookmarkEnd w:id="36"/>
    </w:p>
    <w:p w14:paraId="0E45AE0D" w14:textId="46D8758B" w:rsidR="00385561" w:rsidRDefault="00B405CF" w:rsidP="00847BB0">
      <w:pPr>
        <w:spacing w:before="0" w:after="0"/>
        <w:jc w:val="both"/>
        <w:rPr>
          <w:rFonts w:ascii="IBM Plex Sans" w:eastAsiaTheme="minorHAnsi" w:hAnsi="IBM Plex Sans" w:cs="Calibri"/>
          <w:sz w:val="22"/>
          <w:lang w:val="en-GB"/>
        </w:rPr>
      </w:pPr>
      <w:r w:rsidRPr="0074149B">
        <w:rPr>
          <w:rFonts w:ascii="IBM Plex Sans" w:eastAsiaTheme="minorHAnsi" w:hAnsi="IBM Plex Sans" w:cs="Calibri"/>
          <w:sz w:val="22"/>
          <w:lang w:val="en-GB"/>
        </w:rPr>
        <w:t xml:space="preserve">Analysis of gender pay gaps by length of service shows that </w:t>
      </w:r>
      <w:r w:rsidR="0084317D" w:rsidRPr="0074149B">
        <w:rPr>
          <w:rFonts w:ascii="IBM Plex Sans" w:eastAsiaTheme="minorHAnsi" w:hAnsi="IBM Plex Sans" w:cs="Calibri"/>
          <w:sz w:val="22"/>
          <w:lang w:val="en-GB"/>
        </w:rPr>
        <w:t xml:space="preserve">gaps </w:t>
      </w:r>
      <w:r w:rsidR="009279B2" w:rsidRPr="0074149B">
        <w:rPr>
          <w:rFonts w:ascii="IBM Plex Sans" w:eastAsiaTheme="minorHAnsi" w:hAnsi="IBM Plex Sans" w:cs="Calibri"/>
          <w:sz w:val="22"/>
          <w:lang w:val="en-GB"/>
        </w:rPr>
        <w:t xml:space="preserve">are </w:t>
      </w:r>
      <w:bookmarkStart w:id="37" w:name="_Hlk27389104"/>
      <w:r w:rsidR="00FC3993" w:rsidRPr="0074149B">
        <w:rPr>
          <w:rFonts w:ascii="IBM Plex Sans" w:eastAsiaTheme="minorHAnsi" w:hAnsi="IBM Plex Sans" w:cs="Calibri"/>
          <w:sz w:val="22"/>
          <w:lang w:val="en-GB"/>
        </w:rPr>
        <w:t>wider between men and women with longer</w:t>
      </w:r>
      <w:r w:rsidR="00CD15AF" w:rsidRPr="0074149B">
        <w:rPr>
          <w:rFonts w:ascii="IBM Plex Sans" w:eastAsiaTheme="minorHAnsi" w:hAnsi="IBM Plex Sans" w:cs="Calibri"/>
          <w:sz w:val="22"/>
          <w:lang w:val="en-GB"/>
        </w:rPr>
        <w:t xml:space="preserve"> conti</w:t>
      </w:r>
      <w:r w:rsidR="005233B5" w:rsidRPr="0074149B">
        <w:rPr>
          <w:rFonts w:ascii="IBM Plex Sans" w:eastAsiaTheme="minorHAnsi" w:hAnsi="IBM Plex Sans" w:cs="Calibri"/>
          <w:sz w:val="22"/>
          <w:lang w:val="en-GB"/>
        </w:rPr>
        <w:t>n</w:t>
      </w:r>
      <w:r w:rsidR="00CD15AF" w:rsidRPr="0074149B">
        <w:rPr>
          <w:rFonts w:ascii="IBM Plex Sans" w:eastAsiaTheme="minorHAnsi" w:hAnsi="IBM Plex Sans" w:cs="Calibri"/>
          <w:sz w:val="22"/>
          <w:lang w:val="en-GB"/>
        </w:rPr>
        <w:t>uous</w:t>
      </w:r>
      <w:r w:rsidR="00FC3993" w:rsidRPr="0074149B">
        <w:rPr>
          <w:rFonts w:ascii="IBM Plex Sans" w:eastAsiaTheme="minorHAnsi" w:hAnsi="IBM Plex Sans" w:cs="Calibri"/>
          <w:sz w:val="22"/>
          <w:lang w:val="en-GB"/>
        </w:rPr>
        <w:t xml:space="preserve"> service</w:t>
      </w:r>
      <w:r w:rsidR="00150D95" w:rsidRPr="0074149B">
        <w:rPr>
          <w:rFonts w:ascii="IBM Plex Sans" w:eastAsiaTheme="minorHAnsi" w:hAnsi="IBM Plex Sans" w:cs="Calibri"/>
          <w:sz w:val="22"/>
          <w:lang w:val="en-GB"/>
        </w:rPr>
        <w:t xml:space="preserve">, indicating </w:t>
      </w:r>
      <w:r w:rsidR="00150D95" w:rsidRPr="00382E2F">
        <w:rPr>
          <w:rFonts w:ascii="IBM Plex Sans" w:eastAsiaTheme="minorHAnsi" w:hAnsi="IBM Plex Sans" w:cs="Calibri"/>
          <w:sz w:val="22"/>
          <w:lang w:val="en-GB"/>
        </w:rPr>
        <w:t xml:space="preserve">that the </w:t>
      </w:r>
      <w:r w:rsidR="00053314" w:rsidRPr="00382E2F">
        <w:rPr>
          <w:rFonts w:ascii="IBM Plex Sans" w:eastAsiaTheme="minorHAnsi" w:hAnsi="IBM Plex Sans" w:cs="Calibri"/>
          <w:sz w:val="22"/>
          <w:lang w:val="en-GB"/>
        </w:rPr>
        <w:t xml:space="preserve">difference in </w:t>
      </w:r>
      <w:r w:rsidR="00D35683">
        <w:rPr>
          <w:rFonts w:ascii="IBM Plex Sans" w:eastAsiaTheme="minorHAnsi" w:hAnsi="IBM Plex Sans" w:cs="Calibri"/>
          <w:sz w:val="22"/>
          <w:lang w:val="en-GB"/>
        </w:rPr>
        <w:t xml:space="preserve">average </w:t>
      </w:r>
      <w:r w:rsidR="00053314" w:rsidRPr="00382E2F">
        <w:rPr>
          <w:rFonts w:ascii="IBM Plex Sans" w:eastAsiaTheme="minorHAnsi" w:hAnsi="IBM Plex Sans" w:cs="Calibri"/>
          <w:sz w:val="22"/>
          <w:lang w:val="en-GB"/>
        </w:rPr>
        <w:t xml:space="preserve">pay between </w:t>
      </w:r>
      <w:r w:rsidR="004472B7">
        <w:rPr>
          <w:rFonts w:ascii="IBM Plex Sans" w:eastAsiaTheme="minorHAnsi" w:hAnsi="IBM Plex Sans" w:cs="Calibri"/>
          <w:sz w:val="22"/>
          <w:lang w:val="en-GB"/>
        </w:rPr>
        <w:t xml:space="preserve">the </w:t>
      </w:r>
      <w:r w:rsidR="00053314" w:rsidRPr="00382E2F">
        <w:rPr>
          <w:rFonts w:ascii="IBM Plex Sans" w:eastAsiaTheme="minorHAnsi" w:hAnsi="IBM Plex Sans" w:cs="Calibri"/>
          <w:sz w:val="22"/>
          <w:lang w:val="en-GB"/>
        </w:rPr>
        <w:t xml:space="preserve">genders is </w:t>
      </w:r>
      <w:r w:rsidR="00053314" w:rsidRPr="006B18E9">
        <w:rPr>
          <w:rFonts w:ascii="IBM Plex Sans" w:eastAsiaTheme="minorHAnsi" w:hAnsi="IBM Plex Sans" w:cs="Calibri"/>
          <w:b/>
          <w:bCs/>
          <w:sz w:val="22"/>
          <w:lang w:val="en-GB"/>
        </w:rPr>
        <w:t>not due to men having longer average service than women</w:t>
      </w:r>
      <w:bookmarkEnd w:id="37"/>
      <w:r w:rsidR="0072054B" w:rsidRPr="006B18E9">
        <w:rPr>
          <w:rFonts w:ascii="IBM Plex Sans" w:eastAsiaTheme="minorHAnsi" w:hAnsi="IBM Plex Sans" w:cs="Calibri"/>
          <w:b/>
          <w:bCs/>
          <w:sz w:val="22"/>
          <w:lang w:val="en-GB"/>
        </w:rPr>
        <w:t>.</w:t>
      </w:r>
      <w:r w:rsidR="0072054B" w:rsidRPr="00382E2F">
        <w:rPr>
          <w:rFonts w:ascii="IBM Plex Sans" w:eastAsiaTheme="minorHAnsi" w:hAnsi="IBM Plex Sans" w:cs="Calibri"/>
          <w:sz w:val="22"/>
          <w:lang w:val="en-GB"/>
        </w:rPr>
        <w:t xml:space="preserve"> </w:t>
      </w:r>
      <w:r w:rsidR="00773F68" w:rsidRPr="00382E2F">
        <w:rPr>
          <w:rFonts w:ascii="IBM Plex Sans" w:eastAsiaTheme="minorHAnsi" w:hAnsi="IBM Plex Sans" w:cs="Calibri"/>
          <w:sz w:val="22"/>
          <w:lang w:val="en-GB"/>
        </w:rPr>
        <w:t xml:space="preserve">Rather, </w:t>
      </w:r>
      <w:r w:rsidR="001F3389" w:rsidRPr="00382E2F">
        <w:rPr>
          <w:rFonts w:ascii="IBM Plex Sans" w:eastAsiaTheme="minorHAnsi" w:hAnsi="IBM Plex Sans" w:cs="Calibri"/>
          <w:sz w:val="22"/>
          <w:lang w:val="en-GB"/>
        </w:rPr>
        <w:t xml:space="preserve">pay gaps by </w:t>
      </w:r>
      <w:r w:rsidR="0072054B" w:rsidRPr="00382E2F">
        <w:rPr>
          <w:rFonts w:ascii="IBM Plex Sans" w:eastAsiaTheme="minorHAnsi" w:hAnsi="IBM Plex Sans" w:cs="Calibri"/>
          <w:sz w:val="22"/>
          <w:lang w:val="en-GB"/>
        </w:rPr>
        <w:t xml:space="preserve">length of service </w:t>
      </w:r>
      <w:r w:rsidR="004019DD" w:rsidRPr="00382E2F">
        <w:rPr>
          <w:rFonts w:ascii="IBM Plex Sans" w:eastAsiaTheme="minorHAnsi" w:hAnsi="IBM Plex Sans" w:cs="Calibri"/>
          <w:sz w:val="22"/>
          <w:lang w:val="en-GB"/>
        </w:rPr>
        <w:t xml:space="preserve">appear to </w:t>
      </w:r>
      <w:r w:rsidR="0003550E">
        <w:rPr>
          <w:rFonts w:ascii="IBM Plex Sans" w:eastAsiaTheme="minorHAnsi" w:hAnsi="IBM Plex Sans" w:cs="Calibri"/>
          <w:sz w:val="22"/>
          <w:lang w:val="en-GB"/>
        </w:rPr>
        <w:t>indicate</w:t>
      </w:r>
      <w:r w:rsidR="00D16042" w:rsidRPr="00382E2F">
        <w:rPr>
          <w:rFonts w:ascii="IBM Plex Sans" w:eastAsiaTheme="minorHAnsi" w:hAnsi="IBM Plex Sans" w:cs="Calibri"/>
          <w:sz w:val="22"/>
          <w:lang w:val="en-GB"/>
        </w:rPr>
        <w:t xml:space="preserve"> </w:t>
      </w:r>
      <w:r w:rsidR="0003550E">
        <w:rPr>
          <w:rFonts w:ascii="IBM Plex Sans" w:eastAsiaTheme="minorHAnsi" w:hAnsi="IBM Plex Sans" w:cs="Calibri"/>
          <w:sz w:val="22"/>
          <w:lang w:val="en-GB"/>
        </w:rPr>
        <w:t xml:space="preserve">there are </w:t>
      </w:r>
      <w:r w:rsidR="00DD77C9" w:rsidRPr="00382E2F">
        <w:rPr>
          <w:rFonts w:ascii="IBM Plex Sans" w:eastAsiaTheme="minorHAnsi" w:hAnsi="IBM Plex Sans" w:cs="Calibri"/>
          <w:sz w:val="22"/>
          <w:lang w:val="en-GB"/>
        </w:rPr>
        <w:t>differences in pro</w:t>
      </w:r>
      <w:r w:rsidR="0009241A" w:rsidRPr="00382E2F">
        <w:rPr>
          <w:rFonts w:ascii="IBM Plex Sans" w:eastAsiaTheme="minorHAnsi" w:hAnsi="IBM Plex Sans" w:cs="Calibri"/>
          <w:sz w:val="22"/>
          <w:lang w:val="en-GB"/>
        </w:rPr>
        <w:t>gression and career development</w:t>
      </w:r>
      <w:r w:rsidR="00545635">
        <w:rPr>
          <w:rFonts w:ascii="IBM Plex Sans" w:eastAsiaTheme="minorHAnsi" w:hAnsi="IBM Plex Sans" w:cs="Calibri"/>
          <w:sz w:val="22"/>
          <w:lang w:val="en-GB"/>
        </w:rPr>
        <w:t xml:space="preserve"> opportunities</w:t>
      </w:r>
      <w:r w:rsidR="001F3389" w:rsidRPr="00382E2F">
        <w:rPr>
          <w:rFonts w:ascii="IBM Plex Sans" w:eastAsiaTheme="minorHAnsi" w:hAnsi="IBM Plex Sans" w:cs="Calibri"/>
          <w:sz w:val="22"/>
          <w:lang w:val="en-GB"/>
        </w:rPr>
        <w:t xml:space="preserve"> for men and women,</w:t>
      </w:r>
      <w:r w:rsidR="0003550E">
        <w:rPr>
          <w:rFonts w:ascii="IBM Plex Sans" w:eastAsiaTheme="minorHAnsi" w:hAnsi="IBM Plex Sans" w:cs="Calibri"/>
          <w:sz w:val="22"/>
          <w:lang w:val="en-GB"/>
        </w:rPr>
        <w:t xml:space="preserve"> </w:t>
      </w:r>
      <w:r w:rsidR="00382E2F" w:rsidRPr="00382E2F">
        <w:rPr>
          <w:rFonts w:ascii="IBM Plex Sans" w:eastAsiaTheme="minorHAnsi" w:hAnsi="IBM Plex Sans" w:cs="Calibri"/>
          <w:sz w:val="22"/>
          <w:lang w:val="en-GB"/>
        </w:rPr>
        <w:t>the same factors that affect the gender pay gap by age</w:t>
      </w:r>
      <w:r w:rsidR="00CC5FC2">
        <w:rPr>
          <w:rFonts w:ascii="IBM Plex Sans" w:eastAsiaTheme="minorHAnsi" w:hAnsi="IBM Plex Sans" w:cs="Calibri"/>
          <w:sz w:val="22"/>
          <w:lang w:val="en-GB"/>
        </w:rPr>
        <w:t xml:space="preserve"> (see further on).</w:t>
      </w:r>
    </w:p>
    <w:p w14:paraId="3F1437AE" w14:textId="77777777" w:rsidR="00B17FB0" w:rsidRPr="00382E2F" w:rsidRDefault="00B17FB0" w:rsidP="00847BB0">
      <w:pPr>
        <w:spacing w:before="0" w:after="0"/>
        <w:jc w:val="both"/>
        <w:rPr>
          <w:rFonts w:ascii="IBM Plex Sans" w:eastAsiaTheme="minorHAnsi" w:hAnsi="IBM Plex Sans" w:cs="Calibri"/>
          <w:sz w:val="22"/>
          <w:lang w:val="en-GB"/>
        </w:rPr>
      </w:pPr>
    </w:p>
    <w:p w14:paraId="6E7FD6B7" w14:textId="5FF914F8" w:rsidR="00B405CF" w:rsidRDefault="00B62D29" w:rsidP="00847BB0">
      <w:pPr>
        <w:spacing w:before="0" w:after="0"/>
        <w:jc w:val="both"/>
        <w:rPr>
          <w:rFonts w:ascii="IBM Plex Sans" w:eastAsiaTheme="minorHAnsi" w:hAnsi="IBM Plex Sans" w:cs="Calibri"/>
          <w:sz w:val="22"/>
          <w:lang w:val="en-GB"/>
        </w:rPr>
      </w:pPr>
      <w:r w:rsidRPr="00382E2F">
        <w:rPr>
          <w:rFonts w:ascii="IBM Plex Sans" w:eastAsiaTheme="minorHAnsi" w:hAnsi="IBM Plex Sans" w:cs="Calibri"/>
          <w:sz w:val="22"/>
          <w:lang w:val="en-GB"/>
        </w:rPr>
        <w:t xml:space="preserve">The gender pay gap </w:t>
      </w:r>
      <w:r w:rsidR="007F2E36">
        <w:rPr>
          <w:rFonts w:ascii="IBM Plex Sans" w:eastAsiaTheme="minorHAnsi" w:hAnsi="IBM Plex Sans" w:cs="Calibri"/>
          <w:sz w:val="22"/>
          <w:lang w:val="en-GB"/>
        </w:rPr>
        <w:t>among employees</w:t>
      </w:r>
      <w:r w:rsidR="001C7791">
        <w:rPr>
          <w:rFonts w:ascii="IBM Plex Sans" w:eastAsiaTheme="minorHAnsi" w:hAnsi="IBM Plex Sans" w:cs="Calibri"/>
          <w:sz w:val="22"/>
          <w:lang w:val="en-GB"/>
        </w:rPr>
        <w:t xml:space="preserve"> with less than </w:t>
      </w:r>
      <w:r w:rsidR="005C6FCD">
        <w:rPr>
          <w:rFonts w:ascii="IBM Plex Sans" w:eastAsiaTheme="minorHAnsi" w:hAnsi="IBM Plex Sans" w:cs="Calibri"/>
          <w:sz w:val="22"/>
          <w:lang w:val="en-GB"/>
        </w:rPr>
        <w:t>one</w:t>
      </w:r>
      <w:r w:rsidR="001C7791">
        <w:rPr>
          <w:rFonts w:ascii="IBM Plex Sans" w:eastAsiaTheme="minorHAnsi" w:hAnsi="IBM Plex Sans" w:cs="Calibri"/>
          <w:sz w:val="22"/>
          <w:lang w:val="en-GB"/>
        </w:rPr>
        <w:t xml:space="preserve"> years’ service </w:t>
      </w:r>
      <w:r w:rsidRPr="00AE62D8">
        <w:rPr>
          <w:rFonts w:ascii="IBM Plex Sans" w:eastAsiaTheme="minorHAnsi" w:hAnsi="IBM Plex Sans" w:cs="Calibri"/>
          <w:sz w:val="22"/>
          <w:lang w:val="en-GB"/>
        </w:rPr>
        <w:t>is in favour of women</w:t>
      </w:r>
      <w:r w:rsidR="007F2E36">
        <w:rPr>
          <w:rFonts w:ascii="IBM Plex Sans" w:eastAsiaTheme="minorHAnsi" w:hAnsi="IBM Plex Sans" w:cs="Calibri"/>
          <w:sz w:val="22"/>
          <w:lang w:val="en-GB"/>
        </w:rPr>
        <w:t xml:space="preserve">. But beyond this, the gender pay gap </w:t>
      </w:r>
      <w:r w:rsidR="00593454">
        <w:rPr>
          <w:rFonts w:ascii="IBM Plex Sans" w:eastAsiaTheme="minorHAnsi" w:hAnsi="IBM Plex Sans" w:cs="Calibri"/>
          <w:sz w:val="22"/>
          <w:lang w:val="en-GB"/>
        </w:rPr>
        <w:t xml:space="preserve">is </w:t>
      </w:r>
      <w:r w:rsidR="004B7537">
        <w:rPr>
          <w:rFonts w:ascii="IBM Plex Sans" w:eastAsiaTheme="minorHAnsi" w:hAnsi="IBM Plex Sans" w:cs="Calibri"/>
          <w:sz w:val="22"/>
          <w:lang w:val="en-GB"/>
        </w:rPr>
        <w:t>i</w:t>
      </w:r>
      <w:r w:rsidR="00593454">
        <w:rPr>
          <w:rFonts w:ascii="IBM Plex Sans" w:eastAsiaTheme="minorHAnsi" w:hAnsi="IBM Plex Sans" w:cs="Calibri"/>
          <w:sz w:val="22"/>
          <w:lang w:val="en-GB"/>
        </w:rPr>
        <w:t>n favour of men</w:t>
      </w:r>
      <w:r w:rsidR="00FC3323">
        <w:rPr>
          <w:rFonts w:ascii="IBM Plex Sans" w:eastAsiaTheme="minorHAnsi" w:hAnsi="IBM Plex Sans" w:cs="Calibri"/>
          <w:sz w:val="22"/>
          <w:lang w:val="en-GB"/>
        </w:rPr>
        <w:t xml:space="preserve">, </w:t>
      </w:r>
      <w:r w:rsidR="00BA3561">
        <w:rPr>
          <w:rFonts w:ascii="IBM Plex Sans" w:eastAsiaTheme="minorHAnsi" w:hAnsi="IBM Plex Sans" w:cs="Calibri"/>
          <w:sz w:val="22"/>
          <w:lang w:val="en-GB"/>
        </w:rPr>
        <w:t xml:space="preserve">typically </w:t>
      </w:r>
      <w:r w:rsidR="00593454">
        <w:rPr>
          <w:rFonts w:ascii="IBM Plex Sans" w:eastAsiaTheme="minorHAnsi" w:hAnsi="IBM Plex Sans" w:cs="Calibri"/>
          <w:sz w:val="22"/>
          <w:lang w:val="en-GB"/>
        </w:rPr>
        <w:t xml:space="preserve">widening </w:t>
      </w:r>
      <w:r w:rsidR="006C6B4C">
        <w:rPr>
          <w:rFonts w:ascii="IBM Plex Sans" w:eastAsiaTheme="minorHAnsi" w:hAnsi="IBM Plex Sans" w:cs="Calibri"/>
          <w:sz w:val="22"/>
          <w:lang w:val="en-GB"/>
        </w:rPr>
        <w:t>with service</w:t>
      </w:r>
      <w:r w:rsidR="00BC32F6">
        <w:rPr>
          <w:rFonts w:ascii="IBM Plex Sans" w:eastAsiaTheme="minorHAnsi" w:hAnsi="IBM Plex Sans" w:cs="Calibri"/>
          <w:sz w:val="22"/>
          <w:lang w:val="en-GB"/>
        </w:rPr>
        <w:t xml:space="preserve"> </w:t>
      </w:r>
      <w:r w:rsidR="00761DE5" w:rsidRPr="00FE4859">
        <w:rPr>
          <w:rFonts w:ascii="IBM Plex Sans" w:eastAsiaTheme="minorHAnsi" w:hAnsi="IBM Plex Sans" w:cs="Calibri"/>
          <w:sz w:val="22"/>
          <w:lang w:val="en-GB"/>
        </w:rPr>
        <w:t xml:space="preserve">and is </w:t>
      </w:r>
      <w:r w:rsidR="004B7537">
        <w:rPr>
          <w:rFonts w:ascii="IBM Plex Sans" w:eastAsiaTheme="minorHAnsi" w:hAnsi="IBM Plex Sans" w:cs="Calibri"/>
          <w:sz w:val="22"/>
          <w:lang w:val="en-GB"/>
        </w:rPr>
        <w:t>widest</w:t>
      </w:r>
      <w:r w:rsidR="00BA3561">
        <w:rPr>
          <w:rFonts w:ascii="IBM Plex Sans" w:eastAsiaTheme="minorHAnsi" w:hAnsi="IBM Plex Sans" w:cs="Calibri"/>
          <w:sz w:val="22"/>
          <w:lang w:val="en-GB"/>
        </w:rPr>
        <w:t xml:space="preserve"> among</w:t>
      </w:r>
      <w:r w:rsidR="00761DE5" w:rsidRPr="00FE4859">
        <w:rPr>
          <w:rFonts w:ascii="IBM Plex Sans" w:eastAsiaTheme="minorHAnsi" w:hAnsi="IBM Plex Sans" w:cs="Calibri"/>
          <w:sz w:val="22"/>
          <w:lang w:val="en-GB"/>
        </w:rPr>
        <w:t xml:space="preserve"> men and women</w:t>
      </w:r>
      <w:r w:rsidR="00B405CF" w:rsidRPr="00FE4859">
        <w:rPr>
          <w:rFonts w:ascii="IBM Plex Sans" w:eastAsiaTheme="minorHAnsi" w:hAnsi="IBM Plex Sans" w:cs="Calibri"/>
          <w:sz w:val="22"/>
          <w:lang w:val="en-GB"/>
        </w:rPr>
        <w:t xml:space="preserve"> with </w:t>
      </w:r>
      <w:r w:rsidR="00893D5F" w:rsidRPr="00FE4859">
        <w:rPr>
          <w:rFonts w:ascii="IBM Plex Sans" w:eastAsiaTheme="minorHAnsi" w:hAnsi="IBM Plex Sans" w:cs="Calibri"/>
          <w:sz w:val="22"/>
          <w:lang w:val="en-GB"/>
        </w:rPr>
        <w:t>2</w:t>
      </w:r>
      <w:r w:rsidR="00B405CF" w:rsidRPr="00FE4859">
        <w:rPr>
          <w:rFonts w:ascii="IBM Plex Sans" w:eastAsiaTheme="minorHAnsi" w:hAnsi="IBM Plex Sans" w:cs="Calibri"/>
          <w:sz w:val="22"/>
          <w:lang w:val="en-GB"/>
        </w:rPr>
        <w:t>0</w:t>
      </w:r>
      <w:r w:rsidR="004A5680">
        <w:rPr>
          <w:rFonts w:ascii="IBM Plex Sans" w:eastAsiaTheme="minorHAnsi" w:hAnsi="IBM Plex Sans" w:cs="Calibri"/>
          <w:sz w:val="22"/>
          <w:lang w:val="en-GB"/>
        </w:rPr>
        <w:t>-plus</w:t>
      </w:r>
      <w:r w:rsidR="00B405CF" w:rsidRPr="00FE4859">
        <w:rPr>
          <w:rFonts w:ascii="IBM Plex Sans" w:eastAsiaTheme="minorHAnsi" w:hAnsi="IBM Plex Sans" w:cs="Calibri"/>
          <w:sz w:val="22"/>
          <w:lang w:val="en-GB"/>
        </w:rPr>
        <w:t xml:space="preserve"> years’ service</w:t>
      </w:r>
      <w:r w:rsidR="00FC3323">
        <w:rPr>
          <w:rFonts w:ascii="IBM Plex Sans" w:eastAsiaTheme="minorHAnsi" w:hAnsi="IBM Plex Sans" w:cs="Calibri"/>
          <w:sz w:val="22"/>
          <w:lang w:val="en-GB"/>
        </w:rPr>
        <w:t xml:space="preserve">. </w:t>
      </w:r>
      <w:r w:rsidR="007414FC">
        <w:rPr>
          <w:rFonts w:ascii="IBM Plex Sans" w:eastAsiaTheme="minorHAnsi" w:hAnsi="IBM Plex Sans" w:cs="Calibri"/>
          <w:sz w:val="22"/>
          <w:lang w:val="en-GB"/>
        </w:rPr>
        <w:t>Th</w:t>
      </w:r>
      <w:r w:rsidR="00BC32F6">
        <w:rPr>
          <w:rFonts w:ascii="IBM Plex Sans" w:eastAsiaTheme="minorHAnsi" w:hAnsi="IBM Plex Sans" w:cs="Calibri"/>
          <w:sz w:val="22"/>
          <w:lang w:val="en-GB"/>
        </w:rPr>
        <w:t>is</w:t>
      </w:r>
      <w:r w:rsidR="007414FC">
        <w:rPr>
          <w:rFonts w:ascii="IBM Plex Sans" w:eastAsiaTheme="minorHAnsi" w:hAnsi="IBM Plex Sans" w:cs="Calibri"/>
          <w:sz w:val="22"/>
          <w:lang w:val="en-GB"/>
        </w:rPr>
        <w:t xml:space="preserve"> pay gap between men and women with the longest con</w:t>
      </w:r>
      <w:r w:rsidR="0009068F">
        <w:rPr>
          <w:rFonts w:ascii="IBM Plex Sans" w:eastAsiaTheme="minorHAnsi" w:hAnsi="IBM Plex Sans" w:cs="Calibri"/>
          <w:sz w:val="22"/>
          <w:lang w:val="en-GB"/>
        </w:rPr>
        <w:t>tinuous service is</w:t>
      </w:r>
      <w:r w:rsidR="00985E2C" w:rsidRPr="00FE4859">
        <w:rPr>
          <w:rFonts w:ascii="IBM Plex Sans" w:eastAsiaTheme="minorHAnsi" w:hAnsi="IBM Plex Sans" w:cs="Calibri"/>
          <w:sz w:val="22"/>
          <w:lang w:val="en-GB"/>
        </w:rPr>
        <w:t xml:space="preserve"> due to the</w:t>
      </w:r>
      <w:r w:rsidR="008D1976">
        <w:rPr>
          <w:rFonts w:ascii="IBM Plex Sans" w:eastAsiaTheme="minorHAnsi" w:hAnsi="IBM Plex Sans" w:cs="Calibri"/>
          <w:sz w:val="22"/>
          <w:lang w:val="en-GB"/>
        </w:rPr>
        <w:t xml:space="preserve"> greater representation of</w:t>
      </w:r>
      <w:r w:rsidR="00985E2C" w:rsidRPr="00FE4859">
        <w:rPr>
          <w:rFonts w:ascii="IBM Plex Sans" w:eastAsiaTheme="minorHAnsi" w:hAnsi="IBM Plex Sans" w:cs="Calibri"/>
          <w:sz w:val="22"/>
          <w:lang w:val="en-GB"/>
        </w:rPr>
        <w:t xml:space="preserve"> men</w:t>
      </w:r>
      <w:r w:rsidR="00FA7925">
        <w:rPr>
          <w:rFonts w:ascii="IBM Plex Sans" w:eastAsiaTheme="minorHAnsi" w:hAnsi="IBM Plex Sans" w:cs="Calibri"/>
          <w:sz w:val="22"/>
          <w:lang w:val="en-GB"/>
        </w:rPr>
        <w:t xml:space="preserve"> with </w:t>
      </w:r>
      <w:r w:rsidR="0009068F">
        <w:rPr>
          <w:rFonts w:ascii="IBM Plex Sans" w:eastAsiaTheme="minorHAnsi" w:hAnsi="IBM Plex Sans" w:cs="Calibri"/>
          <w:sz w:val="22"/>
          <w:lang w:val="en-GB"/>
        </w:rPr>
        <w:t>20 years+</w:t>
      </w:r>
      <w:r w:rsidR="00FA7925">
        <w:rPr>
          <w:rFonts w:ascii="IBM Plex Sans" w:eastAsiaTheme="minorHAnsi" w:hAnsi="IBM Plex Sans" w:cs="Calibri"/>
          <w:sz w:val="22"/>
          <w:lang w:val="en-GB"/>
        </w:rPr>
        <w:t xml:space="preserve"> service</w:t>
      </w:r>
      <w:r w:rsidR="00985E2C" w:rsidRPr="00FE4859">
        <w:rPr>
          <w:rFonts w:ascii="IBM Plex Sans" w:eastAsiaTheme="minorHAnsi" w:hAnsi="IBM Plex Sans" w:cs="Calibri"/>
          <w:sz w:val="22"/>
          <w:lang w:val="en-GB"/>
        </w:rPr>
        <w:t xml:space="preserve"> in </w:t>
      </w:r>
      <w:r w:rsidR="00FE4859" w:rsidRPr="00FE4859">
        <w:rPr>
          <w:rFonts w:ascii="IBM Plex Sans" w:eastAsiaTheme="minorHAnsi" w:hAnsi="IBM Plex Sans" w:cs="Calibri"/>
          <w:sz w:val="22"/>
          <w:lang w:val="en-GB"/>
        </w:rPr>
        <w:t>senior</w:t>
      </w:r>
      <w:r w:rsidR="00FE369B">
        <w:rPr>
          <w:rFonts w:ascii="IBM Plex Sans" w:eastAsiaTheme="minorHAnsi" w:hAnsi="IBM Plex Sans" w:cs="Calibri"/>
          <w:sz w:val="22"/>
          <w:lang w:val="en-GB"/>
        </w:rPr>
        <w:t xml:space="preserve"> and therefore </w:t>
      </w:r>
      <w:r w:rsidR="008D1976">
        <w:rPr>
          <w:rFonts w:ascii="IBM Plex Sans" w:eastAsiaTheme="minorHAnsi" w:hAnsi="IBM Plex Sans" w:cs="Calibri"/>
          <w:sz w:val="22"/>
          <w:lang w:val="en-GB"/>
        </w:rPr>
        <w:t>higher</w:t>
      </w:r>
      <w:r w:rsidR="00FE369B">
        <w:rPr>
          <w:rFonts w:ascii="IBM Plex Sans" w:eastAsiaTheme="minorHAnsi" w:hAnsi="IBM Plex Sans" w:cs="Calibri"/>
          <w:sz w:val="22"/>
          <w:lang w:val="en-GB"/>
        </w:rPr>
        <w:t>-paid</w:t>
      </w:r>
      <w:r w:rsidR="00985E2C" w:rsidRPr="00FE4859">
        <w:rPr>
          <w:rFonts w:ascii="IBM Plex Sans" w:eastAsiaTheme="minorHAnsi" w:hAnsi="IBM Plex Sans" w:cs="Calibri"/>
          <w:sz w:val="22"/>
          <w:lang w:val="en-GB"/>
        </w:rPr>
        <w:t xml:space="preserve"> role</w:t>
      </w:r>
      <w:r w:rsidR="00DB70EB">
        <w:rPr>
          <w:rFonts w:ascii="IBM Plex Sans" w:eastAsiaTheme="minorHAnsi" w:hAnsi="IBM Plex Sans" w:cs="Calibri"/>
          <w:sz w:val="22"/>
          <w:lang w:val="en-GB"/>
        </w:rPr>
        <w:t>s. W</w:t>
      </w:r>
      <w:r w:rsidR="00EB2A3D" w:rsidRPr="00FE4859">
        <w:rPr>
          <w:rFonts w:ascii="IBM Plex Sans" w:eastAsiaTheme="minorHAnsi" w:hAnsi="IBM Plex Sans" w:cs="Calibri"/>
          <w:sz w:val="22"/>
          <w:lang w:val="en-GB"/>
        </w:rPr>
        <w:t xml:space="preserve">omen with </w:t>
      </w:r>
      <w:r w:rsidR="00DB70EB">
        <w:rPr>
          <w:rFonts w:ascii="IBM Plex Sans" w:eastAsiaTheme="minorHAnsi" w:hAnsi="IBM Plex Sans" w:cs="Calibri"/>
          <w:sz w:val="22"/>
          <w:lang w:val="en-GB"/>
        </w:rPr>
        <w:t xml:space="preserve">this level of </w:t>
      </w:r>
      <w:r w:rsidR="00EB2A3D" w:rsidRPr="00FE4859">
        <w:rPr>
          <w:rFonts w:ascii="IBM Plex Sans" w:eastAsiaTheme="minorHAnsi" w:hAnsi="IBM Plex Sans" w:cs="Calibri"/>
          <w:sz w:val="22"/>
          <w:lang w:val="en-GB"/>
        </w:rPr>
        <w:t xml:space="preserve">long service are </w:t>
      </w:r>
      <w:r w:rsidR="003C3EA5">
        <w:rPr>
          <w:rFonts w:ascii="IBM Plex Sans" w:eastAsiaTheme="minorHAnsi" w:hAnsi="IBM Plex Sans" w:cs="Calibri"/>
          <w:sz w:val="22"/>
          <w:lang w:val="en-GB"/>
        </w:rPr>
        <w:t xml:space="preserve">employed </w:t>
      </w:r>
      <w:r w:rsidR="00E64DBC" w:rsidRPr="00FE4859">
        <w:rPr>
          <w:rFonts w:ascii="IBM Plex Sans" w:eastAsiaTheme="minorHAnsi" w:hAnsi="IBM Plex Sans" w:cs="Calibri"/>
          <w:sz w:val="22"/>
          <w:lang w:val="en-GB"/>
        </w:rPr>
        <w:t xml:space="preserve">in roles </w:t>
      </w:r>
      <w:r w:rsidR="00FE4859" w:rsidRPr="00FE4859">
        <w:rPr>
          <w:rFonts w:ascii="IBM Plex Sans" w:eastAsiaTheme="minorHAnsi" w:hAnsi="IBM Plex Sans" w:cs="Calibri"/>
          <w:sz w:val="22"/>
          <w:lang w:val="en-GB"/>
        </w:rPr>
        <w:t>a</w:t>
      </w:r>
      <w:r w:rsidR="003C3EA5">
        <w:rPr>
          <w:rFonts w:ascii="IBM Plex Sans" w:eastAsiaTheme="minorHAnsi" w:hAnsi="IBM Plex Sans" w:cs="Calibri"/>
          <w:sz w:val="22"/>
          <w:lang w:val="en-GB"/>
        </w:rPr>
        <w:t>cross</w:t>
      </w:r>
      <w:r w:rsidR="00FE4859" w:rsidRPr="00FE4859">
        <w:rPr>
          <w:rFonts w:ascii="IBM Plex Sans" w:eastAsiaTheme="minorHAnsi" w:hAnsi="IBM Plex Sans" w:cs="Calibri"/>
          <w:sz w:val="22"/>
          <w:lang w:val="en-GB"/>
        </w:rPr>
        <w:t xml:space="preserve"> a </w:t>
      </w:r>
      <w:r w:rsidR="00FE369B">
        <w:rPr>
          <w:rFonts w:ascii="IBM Plex Sans" w:eastAsiaTheme="minorHAnsi" w:hAnsi="IBM Plex Sans" w:cs="Calibri"/>
          <w:sz w:val="22"/>
          <w:lang w:val="en-GB"/>
        </w:rPr>
        <w:t xml:space="preserve">wider </w:t>
      </w:r>
      <w:r w:rsidR="00FE4859" w:rsidRPr="00FE4859">
        <w:rPr>
          <w:rFonts w:ascii="IBM Plex Sans" w:eastAsiaTheme="minorHAnsi" w:hAnsi="IBM Plex Sans" w:cs="Calibri"/>
          <w:sz w:val="22"/>
          <w:lang w:val="en-GB"/>
        </w:rPr>
        <w:t xml:space="preserve">range of </w:t>
      </w:r>
      <w:r w:rsidR="00FE369B">
        <w:rPr>
          <w:rFonts w:ascii="IBM Plex Sans" w:eastAsiaTheme="minorHAnsi" w:hAnsi="IBM Plex Sans" w:cs="Calibri"/>
          <w:sz w:val="22"/>
          <w:lang w:val="en-GB"/>
        </w:rPr>
        <w:t xml:space="preserve">salary </w:t>
      </w:r>
      <w:r w:rsidR="00FE4859" w:rsidRPr="00FE4859">
        <w:rPr>
          <w:rFonts w:ascii="IBM Plex Sans" w:eastAsiaTheme="minorHAnsi" w:hAnsi="IBM Plex Sans" w:cs="Calibri"/>
          <w:sz w:val="22"/>
          <w:lang w:val="en-GB"/>
        </w:rPr>
        <w:t>levels.</w:t>
      </w:r>
      <w:r w:rsidR="007266ED">
        <w:rPr>
          <w:rFonts w:ascii="IBM Plex Sans" w:eastAsiaTheme="minorHAnsi" w:hAnsi="IBM Plex Sans" w:cs="Calibri"/>
          <w:sz w:val="22"/>
          <w:lang w:val="en-GB"/>
        </w:rPr>
        <w:t xml:space="preserve"> This </w:t>
      </w:r>
      <w:r w:rsidR="001D63AC">
        <w:rPr>
          <w:rFonts w:ascii="IBM Plex Sans" w:eastAsiaTheme="minorHAnsi" w:hAnsi="IBM Plex Sans" w:cs="Calibri"/>
          <w:sz w:val="22"/>
          <w:lang w:val="en-GB"/>
        </w:rPr>
        <w:t>suggests</w:t>
      </w:r>
      <w:r w:rsidR="00AD127B">
        <w:rPr>
          <w:rFonts w:ascii="IBM Plex Sans" w:eastAsiaTheme="minorHAnsi" w:hAnsi="IBM Plex Sans" w:cs="Calibri"/>
          <w:sz w:val="22"/>
          <w:lang w:val="en-GB"/>
        </w:rPr>
        <w:t xml:space="preserve"> a</w:t>
      </w:r>
      <w:r w:rsidR="00E27C72">
        <w:rPr>
          <w:rFonts w:ascii="IBM Plex Sans" w:eastAsiaTheme="minorHAnsi" w:hAnsi="IBM Plex Sans" w:cs="Calibri"/>
          <w:sz w:val="22"/>
          <w:lang w:val="en-GB"/>
        </w:rPr>
        <w:t xml:space="preserve"> possible</w:t>
      </w:r>
      <w:r w:rsidR="00AD127B">
        <w:rPr>
          <w:rFonts w:ascii="IBM Plex Sans" w:eastAsiaTheme="minorHAnsi" w:hAnsi="IBM Plex Sans" w:cs="Calibri"/>
          <w:sz w:val="22"/>
          <w:lang w:val="en-GB"/>
        </w:rPr>
        <w:t xml:space="preserve"> focus for improvement could </w:t>
      </w:r>
      <w:r w:rsidR="00D166A1">
        <w:rPr>
          <w:rFonts w:ascii="IBM Plex Sans" w:eastAsiaTheme="minorHAnsi" w:hAnsi="IBM Plex Sans" w:cs="Calibri"/>
          <w:sz w:val="22"/>
          <w:lang w:val="en-GB"/>
        </w:rPr>
        <w:t xml:space="preserve">be on </w:t>
      </w:r>
      <w:r w:rsidR="00612BB0">
        <w:rPr>
          <w:rFonts w:ascii="IBM Plex Sans" w:eastAsiaTheme="minorHAnsi" w:hAnsi="IBM Plex Sans" w:cs="Calibri"/>
          <w:sz w:val="22"/>
          <w:lang w:val="en-GB"/>
        </w:rPr>
        <w:t>women’s progression and/or promotion opportunities</w:t>
      </w:r>
      <w:r w:rsidR="00E27C72">
        <w:rPr>
          <w:rFonts w:ascii="IBM Plex Sans" w:eastAsiaTheme="minorHAnsi" w:hAnsi="IBM Plex Sans" w:cs="Calibri"/>
          <w:sz w:val="22"/>
          <w:lang w:val="en-GB"/>
        </w:rPr>
        <w:t xml:space="preserve"> within Public Heath Wales.</w:t>
      </w:r>
    </w:p>
    <w:p w14:paraId="5196697E" w14:textId="77777777" w:rsidR="00CB0688" w:rsidRDefault="00CB0688" w:rsidP="00847BB0">
      <w:pPr>
        <w:spacing w:before="0" w:after="0"/>
        <w:jc w:val="both"/>
        <w:rPr>
          <w:rFonts w:ascii="IBM Plex Sans" w:eastAsiaTheme="minorHAnsi" w:hAnsi="IBM Plex Sans" w:cs="Calibri"/>
          <w:sz w:val="22"/>
          <w:lang w:val="en-GB"/>
        </w:rPr>
      </w:pPr>
    </w:p>
    <w:p w14:paraId="27222E44" w14:textId="1FC5B1C7" w:rsidR="00CB0688" w:rsidRPr="00486F28" w:rsidRDefault="00CB0688" w:rsidP="00CB0688">
      <w:pPr>
        <w:spacing w:before="0" w:after="0"/>
        <w:rPr>
          <w:rFonts w:ascii="IBM Plex Sans Medium" w:eastAsiaTheme="minorHAnsi" w:hAnsi="IBM Plex Sans Medium" w:cs="Calibri"/>
          <w:sz w:val="20"/>
          <w:szCs w:val="20"/>
        </w:rPr>
      </w:pPr>
      <w:bookmarkStart w:id="38" w:name="_Toc157514662"/>
      <w:r w:rsidRPr="00486F28">
        <w:rPr>
          <w:rFonts w:ascii="IBM Plex Sans Medium" w:eastAsiaTheme="minorHAnsi" w:hAnsi="IBM Plex Sans Medium" w:cs="Calibri"/>
          <w:sz w:val="20"/>
          <w:szCs w:val="20"/>
        </w:rPr>
        <w:t xml:space="preserve">Figure </w:t>
      </w:r>
      <w:r w:rsidRPr="00486F28">
        <w:rPr>
          <w:rFonts w:ascii="IBM Plex Sans Medium" w:eastAsiaTheme="minorHAnsi" w:hAnsi="IBM Plex Sans Medium" w:cs="Calibri"/>
          <w:sz w:val="20"/>
          <w:szCs w:val="20"/>
        </w:rPr>
        <w:fldChar w:fldCharType="begin"/>
      </w:r>
      <w:r w:rsidRPr="00486F28">
        <w:rPr>
          <w:rFonts w:ascii="IBM Plex Sans Medium" w:eastAsiaTheme="minorHAnsi" w:hAnsi="IBM Plex Sans Medium" w:cs="Calibri"/>
          <w:sz w:val="20"/>
          <w:szCs w:val="20"/>
        </w:rPr>
        <w:instrText xml:space="preserve"> SEQ Figure \* ARABIC </w:instrText>
      </w:r>
      <w:r w:rsidRPr="00486F28">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10</w:t>
      </w:r>
      <w:r w:rsidRPr="00486F28">
        <w:rPr>
          <w:rFonts w:ascii="IBM Plex Sans Medium" w:eastAsiaTheme="minorHAnsi" w:hAnsi="IBM Plex Sans Medium" w:cs="Calibri"/>
          <w:sz w:val="20"/>
          <w:szCs w:val="20"/>
        </w:rPr>
        <w:fldChar w:fldCharType="end"/>
      </w:r>
      <w:r w:rsidRPr="00486F28">
        <w:rPr>
          <w:rFonts w:ascii="IBM Plex Sans Medium" w:eastAsiaTheme="minorHAnsi" w:hAnsi="IBM Plex Sans Medium" w:cs="Calibri"/>
          <w:sz w:val="20"/>
          <w:szCs w:val="20"/>
        </w:rPr>
        <w:t xml:space="preserve"> Gender pay gaps by length of service</w:t>
      </w:r>
      <w:bookmarkEnd w:id="38"/>
    </w:p>
    <w:p w14:paraId="44D95C63" w14:textId="77777777" w:rsidR="00064324" w:rsidRDefault="00CB0688" w:rsidP="00CB0688">
      <w:pPr>
        <w:spacing w:before="0" w:after="0"/>
        <w:jc w:val="both"/>
        <w:rPr>
          <w:rFonts w:ascii="IBM Plex Sans" w:eastAsiaTheme="minorHAnsi" w:hAnsi="IBM Plex Sans" w:cs="Calibri"/>
          <w:sz w:val="22"/>
          <w:lang w:val="en-GB"/>
        </w:rPr>
      </w:pPr>
      <w:r>
        <w:rPr>
          <w:noProof/>
        </w:rPr>
        <w:drawing>
          <wp:inline distT="0" distB="0" distL="0" distR="0" wp14:anchorId="2227EFF1" wp14:editId="15725A08">
            <wp:extent cx="5943600" cy="3060000"/>
            <wp:effectExtent l="0" t="0" r="0" b="7620"/>
            <wp:docPr id="1436678389" name="Chart 1">
              <a:extLst xmlns:a="http://schemas.openxmlformats.org/drawingml/2006/main">
                <a:ext uri="{FF2B5EF4-FFF2-40B4-BE49-F238E27FC236}">
                  <a16:creationId xmlns:a16="http://schemas.microsoft.com/office/drawing/2014/main" id="{08F18F19-5CB8-42C5-A018-DBDCFD64CD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A7472BD" w14:textId="0FFD0AD7" w:rsidR="00AC5854" w:rsidRDefault="00AC5854" w:rsidP="00D47A96">
      <w:pPr>
        <w:spacing w:before="0" w:after="0"/>
        <w:rPr>
          <w:rFonts w:ascii="IBM Plex Sans Medium" w:eastAsiaTheme="minorHAnsi" w:hAnsi="IBM Plex Sans Medium" w:cs="Calibri"/>
          <w:sz w:val="20"/>
          <w:szCs w:val="20"/>
        </w:rPr>
      </w:pPr>
      <w:r w:rsidRPr="00AC5854">
        <w:rPr>
          <w:rFonts w:ascii="IBM Plex Sans" w:eastAsiaTheme="minorHAnsi" w:hAnsi="IBM Plex Sans" w:cs="Calibri"/>
          <w:sz w:val="22"/>
          <w:lang w:val="en-GB"/>
        </w:rPr>
        <w:lastRenderedPageBreak/>
        <w:t xml:space="preserve">Pay gaps by length of service and pay band show that the </w:t>
      </w:r>
      <w:r w:rsidR="00FB2684">
        <w:rPr>
          <w:rFonts w:ascii="IBM Plex Sans" w:eastAsiaTheme="minorHAnsi" w:hAnsi="IBM Plex Sans" w:cs="Calibri"/>
          <w:sz w:val="22"/>
          <w:lang w:val="en-GB"/>
        </w:rPr>
        <w:t>widest gaps are between men and women with longer service in pay bands 8 and 9</w:t>
      </w:r>
      <w:r w:rsidR="002506B2">
        <w:rPr>
          <w:rFonts w:ascii="IBM Plex Sans" w:eastAsiaTheme="minorHAnsi" w:hAnsi="IBM Plex Sans" w:cs="Calibri"/>
          <w:sz w:val="22"/>
          <w:lang w:val="en-GB"/>
        </w:rPr>
        <w:t xml:space="preserve">. </w:t>
      </w:r>
    </w:p>
    <w:p w14:paraId="72302444" w14:textId="77777777" w:rsidR="00AC5854" w:rsidRDefault="00AC5854" w:rsidP="00D47A96">
      <w:pPr>
        <w:spacing w:before="0" w:after="0"/>
        <w:rPr>
          <w:rFonts w:ascii="IBM Plex Sans Medium" w:eastAsiaTheme="minorHAnsi" w:hAnsi="IBM Plex Sans Medium" w:cs="Calibri"/>
          <w:sz w:val="20"/>
          <w:szCs w:val="20"/>
        </w:rPr>
      </w:pPr>
    </w:p>
    <w:p w14:paraId="3256EF53" w14:textId="3825E075" w:rsidR="00064324" w:rsidRPr="00B639AF" w:rsidRDefault="00B639AF" w:rsidP="00B639AF">
      <w:pPr>
        <w:spacing w:before="0" w:after="0"/>
        <w:rPr>
          <w:rFonts w:ascii="IBM Plex Sans Medium" w:eastAsiaTheme="minorHAnsi" w:hAnsi="IBM Plex Sans Medium" w:cs="Calibri"/>
          <w:sz w:val="20"/>
          <w:szCs w:val="20"/>
        </w:rPr>
      </w:pPr>
      <w:bookmarkStart w:id="39" w:name="_Toc157514674"/>
      <w:r w:rsidRPr="00B639AF">
        <w:rPr>
          <w:rFonts w:ascii="IBM Plex Sans Medium" w:eastAsiaTheme="minorHAnsi" w:hAnsi="IBM Plex Sans Medium" w:cs="Calibri"/>
          <w:sz w:val="20"/>
          <w:szCs w:val="20"/>
        </w:rPr>
        <w:t xml:space="preserve">Table </w:t>
      </w:r>
      <w:r w:rsidRPr="00B639AF">
        <w:rPr>
          <w:rFonts w:ascii="IBM Plex Sans Medium" w:eastAsiaTheme="minorHAnsi" w:hAnsi="IBM Plex Sans Medium" w:cs="Calibri"/>
          <w:sz w:val="20"/>
          <w:szCs w:val="20"/>
        </w:rPr>
        <w:fldChar w:fldCharType="begin"/>
      </w:r>
      <w:r w:rsidRPr="00B639AF">
        <w:rPr>
          <w:rFonts w:ascii="IBM Plex Sans Medium" w:eastAsiaTheme="minorHAnsi" w:hAnsi="IBM Plex Sans Medium" w:cs="Calibri"/>
          <w:sz w:val="20"/>
          <w:szCs w:val="20"/>
        </w:rPr>
        <w:instrText xml:space="preserve"> SEQ Table \* ARABIC </w:instrText>
      </w:r>
      <w:r w:rsidRPr="00B639AF">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6</w:t>
      </w:r>
      <w:r w:rsidRPr="00B639AF">
        <w:rPr>
          <w:rFonts w:ascii="IBM Plex Sans Medium" w:eastAsiaTheme="minorHAnsi" w:hAnsi="IBM Plex Sans Medium" w:cs="Calibri"/>
          <w:sz w:val="20"/>
          <w:szCs w:val="20"/>
        </w:rPr>
        <w:fldChar w:fldCharType="end"/>
      </w:r>
      <w:r w:rsidRPr="00B639AF">
        <w:rPr>
          <w:rFonts w:ascii="IBM Plex Sans Medium" w:eastAsiaTheme="minorHAnsi" w:hAnsi="IBM Plex Sans Medium" w:cs="Calibri"/>
          <w:sz w:val="20"/>
          <w:szCs w:val="20"/>
        </w:rPr>
        <w:t xml:space="preserve"> </w:t>
      </w:r>
      <w:r w:rsidR="00D47A96" w:rsidRPr="00486F28">
        <w:rPr>
          <w:rFonts w:ascii="IBM Plex Sans Medium" w:eastAsiaTheme="minorHAnsi" w:hAnsi="IBM Plex Sans Medium" w:cs="Calibri"/>
          <w:sz w:val="20"/>
          <w:szCs w:val="20"/>
        </w:rPr>
        <w:t xml:space="preserve">Gender </w:t>
      </w:r>
      <w:proofErr w:type="gramStart"/>
      <w:r w:rsidR="00D47A96" w:rsidRPr="00486F28">
        <w:rPr>
          <w:rFonts w:ascii="IBM Plex Sans Medium" w:eastAsiaTheme="minorHAnsi" w:hAnsi="IBM Plex Sans Medium" w:cs="Calibri"/>
          <w:sz w:val="20"/>
          <w:szCs w:val="20"/>
        </w:rPr>
        <w:t>pay</w:t>
      </w:r>
      <w:proofErr w:type="gramEnd"/>
      <w:r w:rsidR="00D47A96" w:rsidRPr="00486F28">
        <w:rPr>
          <w:rFonts w:ascii="IBM Plex Sans Medium" w:eastAsiaTheme="minorHAnsi" w:hAnsi="IBM Plex Sans Medium" w:cs="Calibri"/>
          <w:sz w:val="20"/>
          <w:szCs w:val="20"/>
        </w:rPr>
        <w:t xml:space="preserve"> gaps by length of service</w:t>
      </w:r>
      <w:r w:rsidR="005849A9">
        <w:rPr>
          <w:rFonts w:ascii="IBM Plex Sans Medium" w:eastAsiaTheme="minorHAnsi" w:hAnsi="IBM Plex Sans Medium" w:cs="Calibri"/>
          <w:sz w:val="20"/>
          <w:szCs w:val="20"/>
        </w:rPr>
        <w:t xml:space="preserve"> and pay band</w:t>
      </w:r>
      <w:bookmarkEnd w:id="39"/>
    </w:p>
    <w:tbl>
      <w:tblPr>
        <w:tblW w:w="9631" w:type="dxa"/>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ayout w:type="fixed"/>
        <w:tblLook w:val="04A0" w:firstRow="1" w:lastRow="0" w:firstColumn="1" w:lastColumn="0" w:noHBand="0" w:noVBand="1"/>
      </w:tblPr>
      <w:tblGrid>
        <w:gridCol w:w="704"/>
        <w:gridCol w:w="1785"/>
        <w:gridCol w:w="1785"/>
        <w:gridCol w:w="1786"/>
        <w:gridCol w:w="1785"/>
        <w:gridCol w:w="1786"/>
      </w:tblGrid>
      <w:tr w:rsidR="00592CD8" w:rsidRPr="00592CD8" w14:paraId="6D7543D6" w14:textId="77777777" w:rsidTr="00D501F2">
        <w:trPr>
          <w:trHeight w:val="270"/>
        </w:trPr>
        <w:tc>
          <w:tcPr>
            <w:tcW w:w="704" w:type="dxa"/>
            <w:tcBorders>
              <w:right w:val="single" w:sz="4" w:space="0" w:color="FFFFFF" w:themeColor="background1"/>
            </w:tcBorders>
            <w:shd w:val="clear" w:color="auto" w:fill="5C00D6"/>
            <w:noWrap/>
            <w:hideMark/>
          </w:tcPr>
          <w:p w14:paraId="1B0D054A" w14:textId="20C09179"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592CD8">
              <w:rPr>
                <w:rFonts w:ascii="IBM Plex Sans Medium" w:eastAsia="Times New Roman" w:hAnsi="IBM Plex Sans Medium" w:cs="Calibri"/>
                <w:color w:val="FFFFFF" w:themeColor="background1"/>
                <w:sz w:val="20"/>
                <w:szCs w:val="20"/>
                <w:lang w:val="en-GB" w:eastAsia="en-GB"/>
              </w:rPr>
              <w:t>Band</w:t>
            </w:r>
          </w:p>
        </w:tc>
        <w:tc>
          <w:tcPr>
            <w:tcW w:w="1785" w:type="dxa"/>
            <w:tcBorders>
              <w:left w:val="single" w:sz="4" w:space="0" w:color="FFFFFF" w:themeColor="background1"/>
              <w:right w:val="single" w:sz="4" w:space="0" w:color="FFFFFF" w:themeColor="background1"/>
            </w:tcBorders>
            <w:shd w:val="clear" w:color="auto" w:fill="5C00D6"/>
            <w:noWrap/>
            <w:hideMark/>
          </w:tcPr>
          <w:p w14:paraId="5D90B6DB" w14:textId="77777777"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4458BA">
              <w:rPr>
                <w:rFonts w:ascii="IBM Plex Sans Medium" w:eastAsia="Times New Roman" w:hAnsi="IBM Plex Sans Medium" w:cs="Calibri"/>
                <w:color w:val="FFFFFF" w:themeColor="background1"/>
                <w:sz w:val="20"/>
                <w:szCs w:val="20"/>
                <w:lang w:val="en-GB" w:eastAsia="en-GB"/>
              </w:rPr>
              <w:t>Less than 1 year's service</w:t>
            </w:r>
          </w:p>
        </w:tc>
        <w:tc>
          <w:tcPr>
            <w:tcW w:w="1785" w:type="dxa"/>
            <w:tcBorders>
              <w:left w:val="single" w:sz="4" w:space="0" w:color="FFFFFF" w:themeColor="background1"/>
              <w:right w:val="single" w:sz="4" w:space="0" w:color="FFFFFF" w:themeColor="background1"/>
            </w:tcBorders>
            <w:shd w:val="clear" w:color="auto" w:fill="5C00D6"/>
            <w:noWrap/>
            <w:hideMark/>
          </w:tcPr>
          <w:p w14:paraId="13C3DAA2" w14:textId="77777777"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4458BA">
              <w:rPr>
                <w:rFonts w:ascii="IBM Plex Sans Medium" w:eastAsia="Times New Roman" w:hAnsi="IBM Plex Sans Medium" w:cs="Calibri"/>
                <w:color w:val="FFFFFF" w:themeColor="background1"/>
                <w:sz w:val="20"/>
                <w:szCs w:val="20"/>
                <w:lang w:val="en-GB" w:eastAsia="en-GB"/>
              </w:rPr>
              <w:t>1 or more but less than 5 years</w:t>
            </w:r>
          </w:p>
        </w:tc>
        <w:tc>
          <w:tcPr>
            <w:tcW w:w="1786" w:type="dxa"/>
            <w:tcBorders>
              <w:left w:val="single" w:sz="4" w:space="0" w:color="FFFFFF" w:themeColor="background1"/>
              <w:right w:val="single" w:sz="4" w:space="0" w:color="FFFFFF" w:themeColor="background1"/>
            </w:tcBorders>
            <w:shd w:val="clear" w:color="auto" w:fill="5C00D6"/>
            <w:noWrap/>
            <w:hideMark/>
          </w:tcPr>
          <w:p w14:paraId="5BA741FB" w14:textId="77777777"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4458BA">
              <w:rPr>
                <w:rFonts w:ascii="IBM Plex Sans Medium" w:eastAsia="Times New Roman" w:hAnsi="IBM Plex Sans Medium" w:cs="Calibri"/>
                <w:color w:val="FFFFFF" w:themeColor="background1"/>
                <w:sz w:val="20"/>
                <w:szCs w:val="20"/>
                <w:lang w:val="en-GB" w:eastAsia="en-GB"/>
              </w:rPr>
              <w:t>5 or more but less than 10 years</w:t>
            </w:r>
          </w:p>
        </w:tc>
        <w:tc>
          <w:tcPr>
            <w:tcW w:w="1785" w:type="dxa"/>
            <w:tcBorders>
              <w:left w:val="single" w:sz="4" w:space="0" w:color="FFFFFF" w:themeColor="background1"/>
              <w:right w:val="single" w:sz="4" w:space="0" w:color="FFFFFF" w:themeColor="background1"/>
            </w:tcBorders>
            <w:shd w:val="clear" w:color="auto" w:fill="5C00D6"/>
            <w:noWrap/>
            <w:hideMark/>
          </w:tcPr>
          <w:p w14:paraId="3A9B1ED0" w14:textId="77777777"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4458BA">
              <w:rPr>
                <w:rFonts w:ascii="IBM Plex Sans Medium" w:eastAsia="Times New Roman" w:hAnsi="IBM Plex Sans Medium" w:cs="Calibri"/>
                <w:color w:val="FFFFFF" w:themeColor="background1"/>
                <w:sz w:val="20"/>
                <w:szCs w:val="20"/>
                <w:lang w:val="en-GB" w:eastAsia="en-GB"/>
              </w:rPr>
              <w:t>10 or more but less than 20 years</w:t>
            </w:r>
          </w:p>
        </w:tc>
        <w:tc>
          <w:tcPr>
            <w:tcW w:w="1786" w:type="dxa"/>
            <w:tcBorders>
              <w:left w:val="single" w:sz="4" w:space="0" w:color="FFFFFF" w:themeColor="background1"/>
            </w:tcBorders>
            <w:shd w:val="clear" w:color="auto" w:fill="5C00D6"/>
            <w:noWrap/>
            <w:hideMark/>
          </w:tcPr>
          <w:p w14:paraId="6BF9E93A" w14:textId="77777777" w:rsidR="00592CD8" w:rsidRPr="004458BA" w:rsidRDefault="00592CD8" w:rsidP="004E3A26">
            <w:pPr>
              <w:spacing w:before="0" w:after="0" w:line="240" w:lineRule="auto"/>
              <w:rPr>
                <w:rFonts w:ascii="IBM Plex Sans Medium" w:eastAsia="Times New Roman" w:hAnsi="IBM Plex Sans Medium" w:cs="Calibri"/>
                <w:color w:val="FFFFFF" w:themeColor="background1"/>
                <w:sz w:val="20"/>
                <w:szCs w:val="20"/>
                <w:lang w:val="en-GB" w:eastAsia="en-GB"/>
              </w:rPr>
            </w:pPr>
            <w:r w:rsidRPr="004458BA">
              <w:rPr>
                <w:rFonts w:ascii="IBM Plex Sans Medium" w:eastAsia="Times New Roman" w:hAnsi="IBM Plex Sans Medium" w:cs="Calibri"/>
                <w:color w:val="FFFFFF" w:themeColor="background1"/>
                <w:sz w:val="20"/>
                <w:szCs w:val="20"/>
                <w:lang w:val="en-GB" w:eastAsia="en-GB"/>
              </w:rPr>
              <w:t>20 years' service or more</w:t>
            </w:r>
          </w:p>
        </w:tc>
      </w:tr>
      <w:tr w:rsidR="00D501F2" w:rsidRPr="00D501F2" w14:paraId="01598484" w14:textId="77777777" w:rsidTr="00D501F2">
        <w:trPr>
          <w:trHeight w:val="270"/>
        </w:trPr>
        <w:tc>
          <w:tcPr>
            <w:tcW w:w="9631" w:type="dxa"/>
            <w:gridSpan w:val="6"/>
            <w:shd w:val="clear" w:color="auto" w:fill="DECCF7"/>
            <w:noWrap/>
            <w:vAlign w:val="center"/>
          </w:tcPr>
          <w:p w14:paraId="23A80F23" w14:textId="7811E9D3" w:rsidR="00D501F2" w:rsidRPr="00D501F2" w:rsidRDefault="00D501F2" w:rsidP="004458BA">
            <w:pPr>
              <w:spacing w:before="0" w:after="0" w:line="240" w:lineRule="auto"/>
              <w:rPr>
                <w:rFonts w:ascii="IBM Plex Sans Medium" w:eastAsia="Times New Roman" w:hAnsi="IBM Plex Sans Medium" w:cs="Calibri"/>
                <w:color w:val="000000"/>
                <w:sz w:val="20"/>
                <w:szCs w:val="20"/>
                <w:lang w:val="en-GB" w:eastAsia="en-GB"/>
              </w:rPr>
            </w:pPr>
            <w:r w:rsidRPr="00D501F2">
              <w:rPr>
                <w:rFonts w:ascii="IBM Plex Sans Medium" w:eastAsia="Times New Roman" w:hAnsi="IBM Plex Sans Medium" w:cs="Calibri"/>
                <w:color w:val="000000"/>
                <w:sz w:val="20"/>
                <w:szCs w:val="20"/>
                <w:lang w:val="en-GB" w:eastAsia="en-GB"/>
              </w:rPr>
              <w:t>Mean</w:t>
            </w:r>
            <w:r>
              <w:rPr>
                <w:rFonts w:ascii="IBM Plex Sans Medium" w:eastAsia="Times New Roman" w:hAnsi="IBM Plex Sans Medium" w:cs="Calibri"/>
                <w:color w:val="000000"/>
                <w:sz w:val="20"/>
                <w:szCs w:val="20"/>
                <w:lang w:val="en-GB" w:eastAsia="en-GB"/>
              </w:rPr>
              <w:t xml:space="preserve"> gender</w:t>
            </w:r>
            <w:r w:rsidRPr="00D501F2">
              <w:rPr>
                <w:rFonts w:ascii="IBM Plex Sans Medium" w:eastAsia="Times New Roman" w:hAnsi="IBM Plex Sans Medium" w:cs="Calibri"/>
                <w:color w:val="000000"/>
                <w:sz w:val="20"/>
                <w:szCs w:val="20"/>
                <w:lang w:val="en-GB" w:eastAsia="en-GB"/>
              </w:rPr>
              <w:t xml:space="preserve"> pay gap</w:t>
            </w:r>
          </w:p>
        </w:tc>
      </w:tr>
      <w:tr w:rsidR="00592CD8" w:rsidRPr="004458BA" w14:paraId="748344D5" w14:textId="77777777" w:rsidTr="00592CD8">
        <w:trPr>
          <w:trHeight w:val="270"/>
        </w:trPr>
        <w:tc>
          <w:tcPr>
            <w:tcW w:w="704" w:type="dxa"/>
            <w:shd w:val="clear" w:color="auto" w:fill="auto"/>
            <w:noWrap/>
            <w:vAlign w:val="bottom"/>
            <w:hideMark/>
          </w:tcPr>
          <w:p w14:paraId="5794A33B"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w:t>
            </w:r>
          </w:p>
        </w:tc>
        <w:tc>
          <w:tcPr>
            <w:tcW w:w="1785" w:type="dxa"/>
            <w:shd w:val="clear" w:color="auto" w:fill="auto"/>
            <w:noWrap/>
            <w:vAlign w:val="bottom"/>
            <w:hideMark/>
          </w:tcPr>
          <w:p w14:paraId="7C46E06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4.1%</w:t>
            </w:r>
          </w:p>
        </w:tc>
        <w:tc>
          <w:tcPr>
            <w:tcW w:w="1785" w:type="dxa"/>
            <w:shd w:val="clear" w:color="auto" w:fill="auto"/>
            <w:noWrap/>
            <w:vAlign w:val="bottom"/>
            <w:hideMark/>
          </w:tcPr>
          <w:p w14:paraId="461BC4A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0.1%</w:t>
            </w:r>
          </w:p>
        </w:tc>
        <w:tc>
          <w:tcPr>
            <w:tcW w:w="1786" w:type="dxa"/>
            <w:shd w:val="clear" w:color="auto" w:fill="auto"/>
            <w:noWrap/>
            <w:vAlign w:val="bottom"/>
            <w:hideMark/>
          </w:tcPr>
          <w:p w14:paraId="32552B6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0.5%</w:t>
            </w:r>
          </w:p>
        </w:tc>
        <w:tc>
          <w:tcPr>
            <w:tcW w:w="1785" w:type="dxa"/>
            <w:shd w:val="clear" w:color="auto" w:fill="auto"/>
            <w:noWrap/>
            <w:vAlign w:val="bottom"/>
            <w:hideMark/>
          </w:tcPr>
          <w:p w14:paraId="086E6F8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2.3%</w:t>
            </w:r>
          </w:p>
        </w:tc>
        <w:tc>
          <w:tcPr>
            <w:tcW w:w="1786" w:type="dxa"/>
            <w:shd w:val="clear" w:color="auto" w:fill="auto"/>
            <w:noWrap/>
            <w:vAlign w:val="bottom"/>
            <w:hideMark/>
          </w:tcPr>
          <w:p w14:paraId="0FBA2DFF" w14:textId="6F2C026F" w:rsidR="004458BA" w:rsidRPr="004458BA" w:rsidRDefault="00D501F2" w:rsidP="004458BA">
            <w:pPr>
              <w:spacing w:before="0" w:after="0" w:line="240" w:lineRule="auto"/>
              <w:jc w:val="right"/>
              <w:rPr>
                <w:rFonts w:ascii="IBM Plex Sans" w:eastAsia="Times New Roman" w:hAnsi="IBM Plex Sans" w:cs="Calibri"/>
                <w:color w:val="000000"/>
                <w:sz w:val="20"/>
                <w:szCs w:val="20"/>
                <w:lang w:val="en-GB" w:eastAsia="en-GB"/>
              </w:rPr>
            </w:pPr>
            <w:r>
              <w:rPr>
                <w:rFonts w:ascii="IBM Plex Sans" w:eastAsia="Times New Roman" w:hAnsi="IBM Plex Sans" w:cs="Calibri"/>
                <w:color w:val="000000"/>
                <w:sz w:val="20"/>
                <w:szCs w:val="20"/>
                <w:lang w:val="en-GB" w:eastAsia="en-GB"/>
              </w:rPr>
              <w:t>-</w:t>
            </w:r>
          </w:p>
        </w:tc>
      </w:tr>
      <w:tr w:rsidR="00592CD8" w:rsidRPr="004458BA" w14:paraId="2B5A454B" w14:textId="77777777" w:rsidTr="00592CD8">
        <w:trPr>
          <w:trHeight w:val="270"/>
        </w:trPr>
        <w:tc>
          <w:tcPr>
            <w:tcW w:w="704" w:type="dxa"/>
            <w:shd w:val="clear" w:color="auto" w:fill="auto"/>
            <w:noWrap/>
            <w:vAlign w:val="bottom"/>
            <w:hideMark/>
          </w:tcPr>
          <w:p w14:paraId="6AF49E3B"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w:t>
            </w:r>
          </w:p>
        </w:tc>
        <w:tc>
          <w:tcPr>
            <w:tcW w:w="1785" w:type="dxa"/>
            <w:shd w:val="clear" w:color="auto" w:fill="auto"/>
            <w:noWrap/>
            <w:vAlign w:val="bottom"/>
            <w:hideMark/>
          </w:tcPr>
          <w:p w14:paraId="45672B3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0.1%</w:t>
            </w:r>
          </w:p>
        </w:tc>
        <w:tc>
          <w:tcPr>
            <w:tcW w:w="1785" w:type="dxa"/>
            <w:shd w:val="clear" w:color="auto" w:fill="auto"/>
            <w:noWrap/>
            <w:vAlign w:val="bottom"/>
            <w:hideMark/>
          </w:tcPr>
          <w:p w14:paraId="21F147C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-0.7%</w:t>
            </w:r>
          </w:p>
        </w:tc>
        <w:tc>
          <w:tcPr>
            <w:tcW w:w="1786" w:type="dxa"/>
            <w:shd w:val="clear" w:color="auto" w:fill="auto"/>
            <w:noWrap/>
            <w:vAlign w:val="bottom"/>
            <w:hideMark/>
          </w:tcPr>
          <w:p w14:paraId="405B679F"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-0.5%</w:t>
            </w:r>
          </w:p>
        </w:tc>
        <w:tc>
          <w:tcPr>
            <w:tcW w:w="1785" w:type="dxa"/>
            <w:shd w:val="clear" w:color="auto" w:fill="auto"/>
            <w:noWrap/>
            <w:vAlign w:val="bottom"/>
            <w:hideMark/>
          </w:tcPr>
          <w:p w14:paraId="0DA31FCC"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0.9%</w:t>
            </w:r>
          </w:p>
        </w:tc>
        <w:tc>
          <w:tcPr>
            <w:tcW w:w="1786" w:type="dxa"/>
            <w:shd w:val="clear" w:color="auto" w:fill="auto"/>
            <w:noWrap/>
            <w:vAlign w:val="bottom"/>
            <w:hideMark/>
          </w:tcPr>
          <w:p w14:paraId="46079134" w14:textId="0666447A" w:rsidR="004458BA" w:rsidRPr="004458BA" w:rsidRDefault="00D501F2" w:rsidP="004458BA">
            <w:pPr>
              <w:spacing w:before="0" w:after="0" w:line="240" w:lineRule="auto"/>
              <w:jc w:val="right"/>
              <w:rPr>
                <w:rFonts w:ascii="IBM Plex Sans" w:eastAsia="Times New Roman" w:hAnsi="IBM Plex Sans" w:cs="Calibri"/>
                <w:color w:val="000000"/>
                <w:sz w:val="20"/>
                <w:szCs w:val="20"/>
                <w:lang w:val="en-GB" w:eastAsia="en-GB"/>
              </w:rPr>
            </w:pPr>
            <w:r>
              <w:rPr>
                <w:rFonts w:ascii="IBM Plex Sans" w:eastAsia="Times New Roman" w:hAnsi="IBM Plex Sans" w:cs="Calibri"/>
                <w:color w:val="000000"/>
                <w:sz w:val="20"/>
                <w:szCs w:val="20"/>
                <w:lang w:val="en-GB" w:eastAsia="en-GB"/>
              </w:rPr>
              <w:t>-</w:t>
            </w:r>
          </w:p>
        </w:tc>
      </w:tr>
      <w:tr w:rsidR="00592CD8" w:rsidRPr="004458BA" w14:paraId="6BE77582" w14:textId="77777777" w:rsidTr="00592CD8">
        <w:trPr>
          <w:trHeight w:val="270"/>
        </w:trPr>
        <w:tc>
          <w:tcPr>
            <w:tcW w:w="704" w:type="dxa"/>
            <w:shd w:val="clear" w:color="auto" w:fill="auto"/>
            <w:noWrap/>
            <w:vAlign w:val="bottom"/>
            <w:hideMark/>
          </w:tcPr>
          <w:p w14:paraId="41211A1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5</w:t>
            </w:r>
          </w:p>
        </w:tc>
        <w:tc>
          <w:tcPr>
            <w:tcW w:w="1785" w:type="dxa"/>
            <w:shd w:val="clear" w:color="auto" w:fill="auto"/>
            <w:noWrap/>
            <w:vAlign w:val="bottom"/>
            <w:hideMark/>
          </w:tcPr>
          <w:p w14:paraId="2DF21DD9"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-3.4%</w:t>
            </w:r>
          </w:p>
        </w:tc>
        <w:tc>
          <w:tcPr>
            <w:tcW w:w="1785" w:type="dxa"/>
            <w:shd w:val="clear" w:color="auto" w:fill="auto"/>
            <w:noWrap/>
            <w:vAlign w:val="bottom"/>
            <w:hideMark/>
          </w:tcPr>
          <w:p w14:paraId="3C6FEA9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-1.1%</w:t>
            </w:r>
          </w:p>
        </w:tc>
        <w:tc>
          <w:tcPr>
            <w:tcW w:w="1786" w:type="dxa"/>
            <w:shd w:val="clear" w:color="auto" w:fill="auto"/>
            <w:noWrap/>
            <w:vAlign w:val="bottom"/>
            <w:hideMark/>
          </w:tcPr>
          <w:p w14:paraId="2C879E1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0.7%</w:t>
            </w:r>
          </w:p>
        </w:tc>
        <w:tc>
          <w:tcPr>
            <w:tcW w:w="1785" w:type="dxa"/>
            <w:shd w:val="clear" w:color="auto" w:fill="auto"/>
            <w:noWrap/>
            <w:vAlign w:val="bottom"/>
            <w:hideMark/>
          </w:tcPr>
          <w:p w14:paraId="69C990A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-2.4%</w:t>
            </w:r>
          </w:p>
        </w:tc>
        <w:tc>
          <w:tcPr>
            <w:tcW w:w="1786" w:type="dxa"/>
            <w:shd w:val="clear" w:color="auto" w:fill="auto"/>
            <w:noWrap/>
            <w:vAlign w:val="bottom"/>
            <w:hideMark/>
          </w:tcPr>
          <w:p w14:paraId="74BF59D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-20.7%</w:t>
            </w:r>
          </w:p>
        </w:tc>
      </w:tr>
      <w:tr w:rsidR="00592CD8" w:rsidRPr="004458BA" w14:paraId="0D4739CD" w14:textId="77777777" w:rsidTr="00592CD8">
        <w:trPr>
          <w:trHeight w:val="270"/>
        </w:trPr>
        <w:tc>
          <w:tcPr>
            <w:tcW w:w="704" w:type="dxa"/>
            <w:shd w:val="clear" w:color="auto" w:fill="auto"/>
            <w:noWrap/>
            <w:vAlign w:val="bottom"/>
            <w:hideMark/>
          </w:tcPr>
          <w:p w14:paraId="2993F0B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6</w:t>
            </w:r>
          </w:p>
        </w:tc>
        <w:tc>
          <w:tcPr>
            <w:tcW w:w="1785" w:type="dxa"/>
            <w:shd w:val="clear" w:color="auto" w:fill="auto"/>
            <w:noWrap/>
            <w:vAlign w:val="bottom"/>
            <w:hideMark/>
          </w:tcPr>
          <w:p w14:paraId="2B876DE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-4.7%</w:t>
            </w:r>
          </w:p>
        </w:tc>
        <w:tc>
          <w:tcPr>
            <w:tcW w:w="1785" w:type="dxa"/>
            <w:shd w:val="clear" w:color="auto" w:fill="auto"/>
            <w:noWrap/>
            <w:vAlign w:val="bottom"/>
            <w:hideMark/>
          </w:tcPr>
          <w:p w14:paraId="058F4E2C"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-3.8%</w:t>
            </w:r>
          </w:p>
        </w:tc>
        <w:tc>
          <w:tcPr>
            <w:tcW w:w="1786" w:type="dxa"/>
            <w:shd w:val="clear" w:color="auto" w:fill="auto"/>
            <w:noWrap/>
            <w:vAlign w:val="bottom"/>
            <w:hideMark/>
          </w:tcPr>
          <w:p w14:paraId="65B6A401"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1.7%</w:t>
            </w:r>
          </w:p>
        </w:tc>
        <w:tc>
          <w:tcPr>
            <w:tcW w:w="1785" w:type="dxa"/>
            <w:shd w:val="clear" w:color="auto" w:fill="auto"/>
            <w:noWrap/>
            <w:vAlign w:val="bottom"/>
            <w:hideMark/>
          </w:tcPr>
          <w:p w14:paraId="2ABEB92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-1.0%</w:t>
            </w:r>
          </w:p>
        </w:tc>
        <w:tc>
          <w:tcPr>
            <w:tcW w:w="1786" w:type="dxa"/>
            <w:shd w:val="clear" w:color="auto" w:fill="auto"/>
            <w:noWrap/>
            <w:vAlign w:val="bottom"/>
            <w:hideMark/>
          </w:tcPr>
          <w:p w14:paraId="71D180C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4.6%</w:t>
            </w:r>
          </w:p>
        </w:tc>
      </w:tr>
      <w:tr w:rsidR="00592CD8" w:rsidRPr="004458BA" w14:paraId="520E682E" w14:textId="77777777" w:rsidTr="00592CD8">
        <w:trPr>
          <w:trHeight w:val="270"/>
        </w:trPr>
        <w:tc>
          <w:tcPr>
            <w:tcW w:w="704" w:type="dxa"/>
            <w:shd w:val="clear" w:color="auto" w:fill="auto"/>
            <w:noWrap/>
            <w:vAlign w:val="bottom"/>
            <w:hideMark/>
          </w:tcPr>
          <w:p w14:paraId="008134BC"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w:t>
            </w:r>
          </w:p>
        </w:tc>
        <w:tc>
          <w:tcPr>
            <w:tcW w:w="1785" w:type="dxa"/>
            <w:shd w:val="clear" w:color="auto" w:fill="auto"/>
            <w:noWrap/>
            <w:vAlign w:val="bottom"/>
            <w:hideMark/>
          </w:tcPr>
          <w:p w14:paraId="77D0B9C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2.2%</w:t>
            </w:r>
          </w:p>
        </w:tc>
        <w:tc>
          <w:tcPr>
            <w:tcW w:w="1785" w:type="dxa"/>
            <w:shd w:val="clear" w:color="auto" w:fill="auto"/>
            <w:noWrap/>
            <w:vAlign w:val="bottom"/>
            <w:hideMark/>
          </w:tcPr>
          <w:p w14:paraId="1D7505C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2.6%</w:t>
            </w:r>
          </w:p>
        </w:tc>
        <w:tc>
          <w:tcPr>
            <w:tcW w:w="1786" w:type="dxa"/>
            <w:shd w:val="clear" w:color="auto" w:fill="auto"/>
            <w:noWrap/>
            <w:vAlign w:val="bottom"/>
            <w:hideMark/>
          </w:tcPr>
          <w:p w14:paraId="2D6C797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-1.9%</w:t>
            </w:r>
          </w:p>
        </w:tc>
        <w:tc>
          <w:tcPr>
            <w:tcW w:w="1785" w:type="dxa"/>
            <w:shd w:val="clear" w:color="auto" w:fill="auto"/>
            <w:noWrap/>
            <w:vAlign w:val="bottom"/>
            <w:hideMark/>
          </w:tcPr>
          <w:p w14:paraId="357D9F7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4.0%</w:t>
            </w:r>
          </w:p>
        </w:tc>
        <w:tc>
          <w:tcPr>
            <w:tcW w:w="1786" w:type="dxa"/>
            <w:shd w:val="clear" w:color="auto" w:fill="auto"/>
            <w:noWrap/>
            <w:vAlign w:val="bottom"/>
            <w:hideMark/>
          </w:tcPr>
          <w:p w14:paraId="2F5B065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1.7%</w:t>
            </w:r>
          </w:p>
        </w:tc>
      </w:tr>
      <w:tr w:rsidR="00592CD8" w:rsidRPr="004458BA" w14:paraId="5B3BE077" w14:textId="77777777" w:rsidTr="00592CD8">
        <w:trPr>
          <w:trHeight w:val="270"/>
        </w:trPr>
        <w:tc>
          <w:tcPr>
            <w:tcW w:w="704" w:type="dxa"/>
            <w:shd w:val="clear" w:color="auto" w:fill="auto"/>
            <w:noWrap/>
            <w:vAlign w:val="bottom"/>
            <w:hideMark/>
          </w:tcPr>
          <w:p w14:paraId="0DBF983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8</w:t>
            </w:r>
          </w:p>
        </w:tc>
        <w:tc>
          <w:tcPr>
            <w:tcW w:w="1785" w:type="dxa"/>
            <w:shd w:val="clear" w:color="auto" w:fill="auto"/>
            <w:noWrap/>
            <w:vAlign w:val="bottom"/>
            <w:hideMark/>
          </w:tcPr>
          <w:p w14:paraId="0A400261"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6.0%</w:t>
            </w:r>
          </w:p>
        </w:tc>
        <w:tc>
          <w:tcPr>
            <w:tcW w:w="1785" w:type="dxa"/>
            <w:shd w:val="clear" w:color="auto" w:fill="auto"/>
            <w:noWrap/>
            <w:vAlign w:val="bottom"/>
            <w:hideMark/>
          </w:tcPr>
          <w:p w14:paraId="54A7E8C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-7.6%</w:t>
            </w:r>
          </w:p>
        </w:tc>
        <w:tc>
          <w:tcPr>
            <w:tcW w:w="1786" w:type="dxa"/>
            <w:shd w:val="clear" w:color="auto" w:fill="auto"/>
            <w:noWrap/>
            <w:vAlign w:val="bottom"/>
            <w:hideMark/>
          </w:tcPr>
          <w:p w14:paraId="4899F43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7.5%</w:t>
            </w:r>
          </w:p>
        </w:tc>
        <w:tc>
          <w:tcPr>
            <w:tcW w:w="1785" w:type="dxa"/>
            <w:shd w:val="clear" w:color="auto" w:fill="auto"/>
            <w:noWrap/>
            <w:vAlign w:val="bottom"/>
            <w:hideMark/>
          </w:tcPr>
          <w:p w14:paraId="553A6DE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8.9%</w:t>
            </w:r>
          </w:p>
        </w:tc>
        <w:tc>
          <w:tcPr>
            <w:tcW w:w="1786" w:type="dxa"/>
            <w:shd w:val="clear" w:color="auto" w:fill="auto"/>
            <w:noWrap/>
            <w:vAlign w:val="bottom"/>
            <w:hideMark/>
          </w:tcPr>
          <w:p w14:paraId="3D96BF7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-3.6%</w:t>
            </w:r>
          </w:p>
        </w:tc>
      </w:tr>
      <w:tr w:rsidR="00592CD8" w:rsidRPr="004458BA" w14:paraId="3680AC32" w14:textId="77777777" w:rsidTr="00592CD8">
        <w:trPr>
          <w:trHeight w:val="270"/>
        </w:trPr>
        <w:tc>
          <w:tcPr>
            <w:tcW w:w="704" w:type="dxa"/>
            <w:shd w:val="clear" w:color="auto" w:fill="auto"/>
            <w:noWrap/>
            <w:vAlign w:val="bottom"/>
            <w:hideMark/>
          </w:tcPr>
          <w:p w14:paraId="231F23D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9</w:t>
            </w:r>
          </w:p>
        </w:tc>
        <w:tc>
          <w:tcPr>
            <w:tcW w:w="1785" w:type="dxa"/>
            <w:shd w:val="clear" w:color="auto" w:fill="auto"/>
            <w:noWrap/>
            <w:vAlign w:val="bottom"/>
            <w:hideMark/>
          </w:tcPr>
          <w:p w14:paraId="7CAE336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-59.6%</w:t>
            </w:r>
          </w:p>
        </w:tc>
        <w:tc>
          <w:tcPr>
            <w:tcW w:w="1785" w:type="dxa"/>
            <w:shd w:val="clear" w:color="auto" w:fill="auto"/>
            <w:noWrap/>
            <w:vAlign w:val="bottom"/>
            <w:hideMark/>
          </w:tcPr>
          <w:p w14:paraId="41F63FB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12.5%</w:t>
            </w:r>
          </w:p>
        </w:tc>
        <w:tc>
          <w:tcPr>
            <w:tcW w:w="1786" w:type="dxa"/>
            <w:shd w:val="clear" w:color="auto" w:fill="auto"/>
            <w:noWrap/>
            <w:vAlign w:val="bottom"/>
            <w:hideMark/>
          </w:tcPr>
          <w:p w14:paraId="1EF75F4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31.6%</w:t>
            </w:r>
          </w:p>
        </w:tc>
        <w:tc>
          <w:tcPr>
            <w:tcW w:w="1785" w:type="dxa"/>
            <w:shd w:val="clear" w:color="auto" w:fill="auto"/>
            <w:noWrap/>
            <w:vAlign w:val="bottom"/>
            <w:hideMark/>
          </w:tcPr>
          <w:p w14:paraId="130EA359"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5.2%</w:t>
            </w:r>
          </w:p>
        </w:tc>
        <w:tc>
          <w:tcPr>
            <w:tcW w:w="1786" w:type="dxa"/>
            <w:shd w:val="clear" w:color="auto" w:fill="auto"/>
            <w:noWrap/>
            <w:vAlign w:val="bottom"/>
            <w:hideMark/>
          </w:tcPr>
          <w:p w14:paraId="339D5989"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28.9%</w:t>
            </w:r>
          </w:p>
        </w:tc>
      </w:tr>
      <w:tr w:rsidR="00592CD8" w:rsidRPr="004458BA" w14:paraId="04BBB3F7" w14:textId="77777777" w:rsidTr="00592CD8">
        <w:trPr>
          <w:trHeight w:val="270"/>
        </w:trPr>
        <w:tc>
          <w:tcPr>
            <w:tcW w:w="704" w:type="dxa"/>
            <w:shd w:val="clear" w:color="auto" w:fill="auto"/>
            <w:noWrap/>
            <w:vAlign w:val="bottom"/>
            <w:hideMark/>
          </w:tcPr>
          <w:p w14:paraId="015AC25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10</w:t>
            </w:r>
          </w:p>
        </w:tc>
        <w:tc>
          <w:tcPr>
            <w:tcW w:w="1785" w:type="dxa"/>
            <w:shd w:val="clear" w:color="auto" w:fill="auto"/>
            <w:noWrap/>
            <w:vAlign w:val="bottom"/>
            <w:hideMark/>
          </w:tcPr>
          <w:p w14:paraId="11DD9A8F"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11.2%</w:t>
            </w:r>
          </w:p>
        </w:tc>
        <w:tc>
          <w:tcPr>
            <w:tcW w:w="1785" w:type="dxa"/>
            <w:shd w:val="clear" w:color="auto" w:fill="auto"/>
            <w:noWrap/>
            <w:vAlign w:val="bottom"/>
            <w:hideMark/>
          </w:tcPr>
          <w:p w14:paraId="7D7F207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2.5%</w:t>
            </w:r>
          </w:p>
        </w:tc>
        <w:tc>
          <w:tcPr>
            <w:tcW w:w="1786" w:type="dxa"/>
            <w:shd w:val="clear" w:color="auto" w:fill="auto"/>
            <w:noWrap/>
            <w:vAlign w:val="bottom"/>
            <w:hideMark/>
          </w:tcPr>
          <w:p w14:paraId="110D434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5.4%</w:t>
            </w:r>
          </w:p>
        </w:tc>
        <w:tc>
          <w:tcPr>
            <w:tcW w:w="1785" w:type="dxa"/>
            <w:shd w:val="clear" w:color="auto" w:fill="auto"/>
            <w:noWrap/>
            <w:vAlign w:val="bottom"/>
            <w:hideMark/>
          </w:tcPr>
          <w:p w14:paraId="44DA7B9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-29.5%</w:t>
            </w:r>
          </w:p>
        </w:tc>
        <w:tc>
          <w:tcPr>
            <w:tcW w:w="1786" w:type="dxa"/>
            <w:shd w:val="clear" w:color="auto" w:fill="auto"/>
            <w:noWrap/>
            <w:vAlign w:val="bottom"/>
            <w:hideMark/>
          </w:tcPr>
          <w:p w14:paraId="0CC5362A"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r>
      <w:tr w:rsidR="00D501F2" w:rsidRPr="00D501F2" w14:paraId="6FF3DCE1" w14:textId="77777777" w:rsidTr="00F21379">
        <w:trPr>
          <w:trHeight w:val="270"/>
        </w:trPr>
        <w:tc>
          <w:tcPr>
            <w:tcW w:w="9631" w:type="dxa"/>
            <w:gridSpan w:val="6"/>
            <w:shd w:val="clear" w:color="auto" w:fill="DECCF7"/>
            <w:noWrap/>
            <w:vAlign w:val="bottom"/>
            <w:hideMark/>
          </w:tcPr>
          <w:p w14:paraId="5A4DA65B" w14:textId="129B6986" w:rsidR="00D501F2" w:rsidRPr="004458BA" w:rsidRDefault="00D501F2" w:rsidP="004458BA">
            <w:pPr>
              <w:spacing w:before="0" w:after="0" w:line="240" w:lineRule="auto"/>
              <w:rPr>
                <w:rFonts w:ascii="IBM Plex Sans Medium" w:eastAsia="Times New Roman" w:hAnsi="IBM Plex Sans Medium" w:cs="Calibri"/>
                <w:color w:val="000000"/>
                <w:sz w:val="20"/>
                <w:szCs w:val="20"/>
                <w:lang w:val="en-GB" w:eastAsia="en-GB"/>
              </w:rPr>
            </w:pPr>
            <w:r w:rsidRPr="004458BA">
              <w:rPr>
                <w:rFonts w:ascii="IBM Plex Sans Medium" w:eastAsia="Times New Roman" w:hAnsi="IBM Plex Sans Medium" w:cs="Calibri"/>
                <w:color w:val="000000"/>
                <w:sz w:val="20"/>
                <w:szCs w:val="20"/>
                <w:lang w:val="en-GB" w:eastAsia="en-GB"/>
              </w:rPr>
              <w:t>Median</w:t>
            </w:r>
            <w:r>
              <w:rPr>
                <w:rFonts w:ascii="IBM Plex Sans Medium" w:eastAsia="Times New Roman" w:hAnsi="IBM Plex Sans Medium" w:cs="Calibri"/>
                <w:color w:val="000000"/>
                <w:sz w:val="20"/>
                <w:szCs w:val="20"/>
                <w:lang w:val="en-GB" w:eastAsia="en-GB"/>
              </w:rPr>
              <w:t xml:space="preserve"> gender pay gap</w:t>
            </w:r>
          </w:p>
        </w:tc>
      </w:tr>
      <w:tr w:rsidR="00592CD8" w:rsidRPr="004458BA" w14:paraId="29B443CA" w14:textId="77777777" w:rsidTr="00592CD8">
        <w:trPr>
          <w:trHeight w:val="270"/>
        </w:trPr>
        <w:tc>
          <w:tcPr>
            <w:tcW w:w="704" w:type="dxa"/>
            <w:shd w:val="clear" w:color="auto" w:fill="auto"/>
            <w:noWrap/>
            <w:vAlign w:val="bottom"/>
            <w:hideMark/>
          </w:tcPr>
          <w:p w14:paraId="09CD792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w:t>
            </w:r>
          </w:p>
        </w:tc>
        <w:tc>
          <w:tcPr>
            <w:tcW w:w="1785" w:type="dxa"/>
            <w:shd w:val="clear" w:color="auto" w:fill="auto"/>
            <w:noWrap/>
            <w:vAlign w:val="bottom"/>
            <w:hideMark/>
          </w:tcPr>
          <w:p w14:paraId="2AAD05F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4ACB7F5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-3.5%</w:t>
            </w:r>
          </w:p>
        </w:tc>
        <w:tc>
          <w:tcPr>
            <w:tcW w:w="1786" w:type="dxa"/>
            <w:shd w:val="clear" w:color="auto" w:fill="auto"/>
            <w:noWrap/>
            <w:vAlign w:val="bottom"/>
            <w:hideMark/>
          </w:tcPr>
          <w:p w14:paraId="7BE0406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6513CAE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435B896F" w14:textId="1C5DC261" w:rsidR="004458BA" w:rsidRPr="004458BA" w:rsidRDefault="00D501F2" w:rsidP="004458BA">
            <w:pPr>
              <w:spacing w:before="0" w:after="0" w:line="240" w:lineRule="auto"/>
              <w:jc w:val="right"/>
              <w:rPr>
                <w:rFonts w:ascii="IBM Plex Sans" w:eastAsia="Times New Roman" w:hAnsi="IBM Plex Sans" w:cs="Calibri"/>
                <w:color w:val="000000"/>
                <w:sz w:val="20"/>
                <w:szCs w:val="20"/>
                <w:lang w:val="en-GB" w:eastAsia="en-GB"/>
              </w:rPr>
            </w:pPr>
            <w:r>
              <w:rPr>
                <w:rFonts w:ascii="IBM Plex Sans" w:eastAsia="Times New Roman" w:hAnsi="IBM Plex Sans" w:cs="Calibri"/>
                <w:color w:val="000000"/>
                <w:sz w:val="20"/>
                <w:szCs w:val="20"/>
                <w:lang w:val="en-GB" w:eastAsia="en-GB"/>
              </w:rPr>
              <w:t>-</w:t>
            </w:r>
          </w:p>
        </w:tc>
      </w:tr>
      <w:tr w:rsidR="00592CD8" w:rsidRPr="004458BA" w14:paraId="77FA2028" w14:textId="77777777" w:rsidTr="00592CD8">
        <w:trPr>
          <w:trHeight w:val="270"/>
        </w:trPr>
        <w:tc>
          <w:tcPr>
            <w:tcW w:w="704" w:type="dxa"/>
            <w:shd w:val="clear" w:color="auto" w:fill="auto"/>
            <w:noWrap/>
            <w:vAlign w:val="bottom"/>
            <w:hideMark/>
          </w:tcPr>
          <w:p w14:paraId="0399556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4</w:t>
            </w:r>
          </w:p>
        </w:tc>
        <w:tc>
          <w:tcPr>
            <w:tcW w:w="1785" w:type="dxa"/>
            <w:shd w:val="clear" w:color="auto" w:fill="auto"/>
            <w:noWrap/>
            <w:vAlign w:val="bottom"/>
            <w:hideMark/>
          </w:tcPr>
          <w:p w14:paraId="2C6E330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1AA8488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-2.0%</w:t>
            </w:r>
          </w:p>
        </w:tc>
        <w:tc>
          <w:tcPr>
            <w:tcW w:w="1786" w:type="dxa"/>
            <w:shd w:val="clear" w:color="auto" w:fill="auto"/>
            <w:noWrap/>
            <w:vAlign w:val="bottom"/>
            <w:hideMark/>
          </w:tcPr>
          <w:p w14:paraId="44F2D9E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339E469D"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5A07CAC0" w14:textId="53F6D6B5" w:rsidR="004458BA" w:rsidRPr="004458BA" w:rsidRDefault="00D501F2" w:rsidP="004458BA">
            <w:pPr>
              <w:spacing w:before="0" w:after="0" w:line="240" w:lineRule="auto"/>
              <w:jc w:val="right"/>
              <w:rPr>
                <w:rFonts w:ascii="IBM Plex Sans" w:eastAsia="Times New Roman" w:hAnsi="IBM Plex Sans" w:cs="Calibri"/>
                <w:color w:val="000000"/>
                <w:sz w:val="20"/>
                <w:szCs w:val="20"/>
                <w:lang w:val="en-GB" w:eastAsia="en-GB"/>
              </w:rPr>
            </w:pPr>
            <w:r>
              <w:rPr>
                <w:rFonts w:ascii="IBM Plex Sans" w:eastAsia="Times New Roman" w:hAnsi="IBM Plex Sans" w:cs="Calibri"/>
                <w:color w:val="000000"/>
                <w:sz w:val="20"/>
                <w:szCs w:val="20"/>
                <w:lang w:val="en-GB" w:eastAsia="en-GB"/>
              </w:rPr>
              <w:t>-</w:t>
            </w:r>
          </w:p>
        </w:tc>
      </w:tr>
      <w:tr w:rsidR="00592CD8" w:rsidRPr="004458BA" w14:paraId="0AD0A6A4" w14:textId="77777777" w:rsidTr="00592CD8">
        <w:trPr>
          <w:trHeight w:val="270"/>
        </w:trPr>
        <w:tc>
          <w:tcPr>
            <w:tcW w:w="704" w:type="dxa"/>
            <w:shd w:val="clear" w:color="auto" w:fill="auto"/>
            <w:noWrap/>
            <w:vAlign w:val="bottom"/>
            <w:hideMark/>
          </w:tcPr>
          <w:p w14:paraId="51B09AC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5</w:t>
            </w:r>
          </w:p>
        </w:tc>
        <w:tc>
          <w:tcPr>
            <w:tcW w:w="1785" w:type="dxa"/>
            <w:shd w:val="clear" w:color="auto" w:fill="auto"/>
            <w:noWrap/>
            <w:vAlign w:val="bottom"/>
            <w:hideMark/>
          </w:tcPr>
          <w:p w14:paraId="7F2E0AF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2467CE0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-2.4%</w:t>
            </w:r>
          </w:p>
        </w:tc>
        <w:tc>
          <w:tcPr>
            <w:tcW w:w="1786" w:type="dxa"/>
            <w:shd w:val="clear" w:color="auto" w:fill="auto"/>
            <w:noWrap/>
            <w:vAlign w:val="bottom"/>
            <w:hideMark/>
          </w:tcPr>
          <w:p w14:paraId="3D576E7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2.2%</w:t>
            </w:r>
          </w:p>
        </w:tc>
        <w:tc>
          <w:tcPr>
            <w:tcW w:w="1785" w:type="dxa"/>
            <w:shd w:val="clear" w:color="auto" w:fill="auto"/>
            <w:noWrap/>
            <w:vAlign w:val="bottom"/>
            <w:hideMark/>
          </w:tcPr>
          <w:p w14:paraId="5E3553C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-9.8%</w:t>
            </w:r>
          </w:p>
        </w:tc>
        <w:tc>
          <w:tcPr>
            <w:tcW w:w="1786" w:type="dxa"/>
            <w:shd w:val="clear" w:color="auto" w:fill="auto"/>
            <w:noWrap/>
            <w:vAlign w:val="bottom"/>
            <w:hideMark/>
          </w:tcPr>
          <w:p w14:paraId="3EDBA18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-21.7%</w:t>
            </w:r>
          </w:p>
        </w:tc>
      </w:tr>
      <w:tr w:rsidR="00592CD8" w:rsidRPr="004458BA" w14:paraId="6DA2EDBE" w14:textId="77777777" w:rsidTr="00592CD8">
        <w:trPr>
          <w:trHeight w:val="270"/>
        </w:trPr>
        <w:tc>
          <w:tcPr>
            <w:tcW w:w="704" w:type="dxa"/>
            <w:shd w:val="clear" w:color="auto" w:fill="auto"/>
            <w:noWrap/>
            <w:vAlign w:val="bottom"/>
            <w:hideMark/>
          </w:tcPr>
          <w:p w14:paraId="019598F4"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6</w:t>
            </w:r>
          </w:p>
        </w:tc>
        <w:tc>
          <w:tcPr>
            <w:tcW w:w="1785" w:type="dxa"/>
            <w:shd w:val="clear" w:color="auto" w:fill="auto"/>
            <w:noWrap/>
            <w:vAlign w:val="bottom"/>
            <w:hideMark/>
          </w:tcPr>
          <w:p w14:paraId="6319850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65116D2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-2.0%</w:t>
            </w:r>
          </w:p>
        </w:tc>
        <w:tc>
          <w:tcPr>
            <w:tcW w:w="1786" w:type="dxa"/>
            <w:shd w:val="clear" w:color="auto" w:fill="auto"/>
            <w:noWrap/>
            <w:vAlign w:val="bottom"/>
            <w:hideMark/>
          </w:tcPr>
          <w:p w14:paraId="68966AE1"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1.9%</w:t>
            </w:r>
          </w:p>
        </w:tc>
        <w:tc>
          <w:tcPr>
            <w:tcW w:w="1785" w:type="dxa"/>
            <w:shd w:val="clear" w:color="auto" w:fill="auto"/>
            <w:noWrap/>
            <w:vAlign w:val="bottom"/>
            <w:hideMark/>
          </w:tcPr>
          <w:p w14:paraId="6D8F2C8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28AC1B60"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r>
      <w:tr w:rsidR="00592CD8" w:rsidRPr="004458BA" w14:paraId="0A025AE2" w14:textId="77777777" w:rsidTr="00592CD8">
        <w:trPr>
          <w:trHeight w:val="270"/>
        </w:trPr>
        <w:tc>
          <w:tcPr>
            <w:tcW w:w="704" w:type="dxa"/>
            <w:shd w:val="clear" w:color="auto" w:fill="auto"/>
            <w:noWrap/>
            <w:vAlign w:val="bottom"/>
            <w:hideMark/>
          </w:tcPr>
          <w:p w14:paraId="1E8770E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w:t>
            </w:r>
          </w:p>
        </w:tc>
        <w:tc>
          <w:tcPr>
            <w:tcW w:w="1785" w:type="dxa"/>
            <w:shd w:val="clear" w:color="auto" w:fill="auto"/>
            <w:noWrap/>
            <w:vAlign w:val="bottom"/>
            <w:hideMark/>
          </w:tcPr>
          <w:p w14:paraId="4D026671"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7020DCC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37C3D049"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6E1A475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012F2DF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r>
      <w:tr w:rsidR="00592CD8" w:rsidRPr="004458BA" w14:paraId="0ED350FC" w14:textId="77777777" w:rsidTr="00592CD8">
        <w:trPr>
          <w:trHeight w:val="270"/>
        </w:trPr>
        <w:tc>
          <w:tcPr>
            <w:tcW w:w="704" w:type="dxa"/>
            <w:shd w:val="clear" w:color="auto" w:fill="auto"/>
            <w:noWrap/>
            <w:vAlign w:val="bottom"/>
            <w:hideMark/>
          </w:tcPr>
          <w:p w14:paraId="17654BE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8</w:t>
            </w:r>
          </w:p>
        </w:tc>
        <w:tc>
          <w:tcPr>
            <w:tcW w:w="1785" w:type="dxa"/>
            <w:shd w:val="clear" w:color="auto" w:fill="auto"/>
            <w:noWrap/>
            <w:vAlign w:val="bottom"/>
            <w:hideMark/>
          </w:tcPr>
          <w:p w14:paraId="241D739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18E8061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-12.6%</w:t>
            </w:r>
          </w:p>
        </w:tc>
        <w:tc>
          <w:tcPr>
            <w:tcW w:w="1786" w:type="dxa"/>
            <w:shd w:val="clear" w:color="auto" w:fill="auto"/>
            <w:noWrap/>
            <w:vAlign w:val="bottom"/>
            <w:hideMark/>
          </w:tcPr>
          <w:p w14:paraId="183E723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11.2%</w:t>
            </w:r>
          </w:p>
        </w:tc>
        <w:tc>
          <w:tcPr>
            <w:tcW w:w="1785" w:type="dxa"/>
            <w:shd w:val="clear" w:color="auto" w:fill="auto"/>
            <w:noWrap/>
            <w:vAlign w:val="bottom"/>
            <w:hideMark/>
          </w:tcPr>
          <w:p w14:paraId="2EB07F9C"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12.4%</w:t>
            </w:r>
          </w:p>
        </w:tc>
        <w:tc>
          <w:tcPr>
            <w:tcW w:w="1786" w:type="dxa"/>
            <w:shd w:val="clear" w:color="auto" w:fill="auto"/>
            <w:noWrap/>
            <w:vAlign w:val="bottom"/>
            <w:hideMark/>
          </w:tcPr>
          <w:p w14:paraId="441C5AC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r>
      <w:tr w:rsidR="00592CD8" w:rsidRPr="004458BA" w14:paraId="5B89F81D" w14:textId="77777777" w:rsidTr="00592CD8">
        <w:trPr>
          <w:trHeight w:val="270"/>
        </w:trPr>
        <w:tc>
          <w:tcPr>
            <w:tcW w:w="704" w:type="dxa"/>
            <w:shd w:val="clear" w:color="auto" w:fill="auto"/>
            <w:noWrap/>
            <w:vAlign w:val="bottom"/>
            <w:hideMark/>
          </w:tcPr>
          <w:p w14:paraId="5BD696AE"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9</w:t>
            </w:r>
          </w:p>
        </w:tc>
        <w:tc>
          <w:tcPr>
            <w:tcW w:w="1785" w:type="dxa"/>
            <w:shd w:val="clear" w:color="auto" w:fill="auto"/>
            <w:noWrap/>
            <w:vAlign w:val="bottom"/>
            <w:hideMark/>
          </w:tcPr>
          <w:p w14:paraId="525F87D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35EA71BC"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16.8%</w:t>
            </w:r>
          </w:p>
        </w:tc>
        <w:tc>
          <w:tcPr>
            <w:tcW w:w="1786" w:type="dxa"/>
            <w:shd w:val="clear" w:color="auto" w:fill="auto"/>
            <w:noWrap/>
            <w:vAlign w:val="bottom"/>
            <w:hideMark/>
          </w:tcPr>
          <w:p w14:paraId="7E1A091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7.9%</w:t>
            </w:r>
          </w:p>
        </w:tc>
        <w:tc>
          <w:tcPr>
            <w:tcW w:w="1785" w:type="dxa"/>
            <w:shd w:val="clear" w:color="auto" w:fill="auto"/>
            <w:noWrap/>
            <w:vAlign w:val="bottom"/>
            <w:hideMark/>
          </w:tcPr>
          <w:p w14:paraId="47DBC8B7"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15.5%</w:t>
            </w:r>
          </w:p>
        </w:tc>
        <w:tc>
          <w:tcPr>
            <w:tcW w:w="1786" w:type="dxa"/>
            <w:shd w:val="clear" w:color="auto" w:fill="auto"/>
            <w:noWrap/>
            <w:vAlign w:val="bottom"/>
            <w:hideMark/>
          </w:tcPr>
          <w:p w14:paraId="55AFFD01"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32.4%</w:t>
            </w:r>
          </w:p>
        </w:tc>
      </w:tr>
      <w:tr w:rsidR="00592CD8" w:rsidRPr="004458BA" w14:paraId="3266C65F" w14:textId="77777777" w:rsidTr="00592CD8">
        <w:trPr>
          <w:trHeight w:val="270"/>
        </w:trPr>
        <w:tc>
          <w:tcPr>
            <w:tcW w:w="704" w:type="dxa"/>
            <w:shd w:val="clear" w:color="auto" w:fill="auto"/>
            <w:noWrap/>
            <w:vAlign w:val="bottom"/>
            <w:hideMark/>
          </w:tcPr>
          <w:p w14:paraId="570047D3"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10</w:t>
            </w:r>
          </w:p>
        </w:tc>
        <w:tc>
          <w:tcPr>
            <w:tcW w:w="1785" w:type="dxa"/>
            <w:shd w:val="clear" w:color="auto" w:fill="auto"/>
            <w:noWrap/>
            <w:vAlign w:val="bottom"/>
            <w:hideMark/>
          </w:tcPr>
          <w:p w14:paraId="40D05AF2"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13.1%</w:t>
            </w:r>
          </w:p>
        </w:tc>
        <w:tc>
          <w:tcPr>
            <w:tcW w:w="1785" w:type="dxa"/>
            <w:shd w:val="clear" w:color="auto" w:fill="auto"/>
            <w:noWrap/>
            <w:vAlign w:val="bottom"/>
            <w:hideMark/>
          </w:tcPr>
          <w:p w14:paraId="143DC1F8"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7.8%</w:t>
            </w:r>
          </w:p>
        </w:tc>
        <w:tc>
          <w:tcPr>
            <w:tcW w:w="1786" w:type="dxa"/>
            <w:shd w:val="clear" w:color="auto" w:fill="auto"/>
            <w:noWrap/>
            <w:vAlign w:val="bottom"/>
            <w:hideMark/>
          </w:tcPr>
          <w:p w14:paraId="20470895"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5" w:type="dxa"/>
            <w:shd w:val="clear" w:color="auto" w:fill="auto"/>
            <w:noWrap/>
            <w:vAlign w:val="bottom"/>
            <w:hideMark/>
          </w:tcPr>
          <w:p w14:paraId="60210C86"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c>
          <w:tcPr>
            <w:tcW w:w="1786" w:type="dxa"/>
            <w:shd w:val="clear" w:color="auto" w:fill="auto"/>
            <w:noWrap/>
            <w:vAlign w:val="bottom"/>
            <w:hideMark/>
          </w:tcPr>
          <w:p w14:paraId="6EEA6D0F" w14:textId="77777777" w:rsidR="004458BA" w:rsidRPr="004458BA" w:rsidRDefault="004458BA" w:rsidP="004458BA">
            <w:pPr>
              <w:spacing w:before="0" w:after="0" w:line="240" w:lineRule="auto"/>
              <w:jc w:val="right"/>
              <w:rPr>
                <w:rFonts w:ascii="IBM Plex Sans" w:eastAsia="Times New Roman" w:hAnsi="IBM Plex Sans" w:cs="Calibri"/>
                <w:color w:val="000000"/>
                <w:sz w:val="20"/>
                <w:szCs w:val="20"/>
                <w:lang w:val="en-GB" w:eastAsia="en-GB"/>
              </w:rPr>
            </w:pPr>
            <w:r w:rsidRPr="004458BA">
              <w:rPr>
                <w:rFonts w:ascii="IBM Plex Sans" w:eastAsia="Times New Roman" w:hAnsi="IBM Plex Sans" w:cs="Calibri"/>
                <w:color w:val="000000"/>
                <w:sz w:val="20"/>
                <w:szCs w:val="20"/>
                <w:lang w:val="en-GB" w:eastAsia="en-GB"/>
              </w:rPr>
              <w:t>0.0%</w:t>
            </w:r>
          </w:p>
        </w:tc>
      </w:tr>
    </w:tbl>
    <w:p w14:paraId="3826E261" w14:textId="77777777" w:rsidR="00064324" w:rsidRDefault="00064324" w:rsidP="00CB0688">
      <w:pPr>
        <w:spacing w:before="0" w:after="0"/>
        <w:jc w:val="both"/>
        <w:rPr>
          <w:rFonts w:ascii="IBM Plex Sans" w:eastAsiaTheme="minorHAnsi" w:hAnsi="IBM Plex Sans" w:cs="Calibri"/>
          <w:sz w:val="22"/>
          <w:lang w:val="en-GB"/>
        </w:rPr>
      </w:pPr>
    </w:p>
    <w:p w14:paraId="21483C82" w14:textId="23EFADBF" w:rsidR="009A1F5F" w:rsidRDefault="002506B2" w:rsidP="009A1F5F">
      <w:pPr>
        <w:spacing w:before="0" w:after="0"/>
        <w:jc w:val="both"/>
        <w:rPr>
          <w:rFonts w:ascii="IBM Plex Sans" w:eastAsiaTheme="minorHAnsi" w:hAnsi="IBM Plex Sans" w:cs="Calibri"/>
          <w:sz w:val="22"/>
          <w:lang w:val="en-GB"/>
        </w:rPr>
      </w:pPr>
      <w:r w:rsidRPr="009A1F5F">
        <w:rPr>
          <w:rFonts w:ascii="IBM Plex Sans" w:eastAsiaTheme="minorHAnsi" w:hAnsi="IBM Plex Sans" w:cs="Calibri"/>
          <w:sz w:val="22"/>
          <w:lang w:val="en-GB"/>
        </w:rPr>
        <w:t xml:space="preserve">Separate analysis of gender pay gaps by length of service </w:t>
      </w:r>
      <w:r w:rsidR="0037558E" w:rsidRPr="009A1F5F">
        <w:rPr>
          <w:rFonts w:ascii="IBM Plex Sans" w:eastAsiaTheme="minorHAnsi" w:hAnsi="IBM Plex Sans" w:cs="Calibri"/>
          <w:sz w:val="22"/>
          <w:lang w:val="en-GB"/>
        </w:rPr>
        <w:t xml:space="preserve">also indicates that </w:t>
      </w:r>
      <w:r w:rsidR="003902C9" w:rsidRPr="009A1F5F">
        <w:rPr>
          <w:rFonts w:ascii="IBM Plex Sans" w:eastAsiaTheme="minorHAnsi" w:hAnsi="IBM Plex Sans" w:cs="Calibri"/>
          <w:sz w:val="22"/>
          <w:lang w:val="en-GB"/>
        </w:rPr>
        <w:t xml:space="preserve">women are not progressing in their careers at the same rate as men. </w:t>
      </w:r>
      <w:r w:rsidR="0037558E" w:rsidRPr="009A1F5F">
        <w:rPr>
          <w:rFonts w:ascii="IBM Plex Sans" w:eastAsiaTheme="minorHAnsi" w:hAnsi="IBM Plex Sans" w:cs="Calibri"/>
          <w:sz w:val="22"/>
          <w:lang w:val="en-GB"/>
        </w:rPr>
        <w:t>Average pay for women with five to ten years’ service in the same grade is significantly lower than men</w:t>
      </w:r>
      <w:r w:rsidR="00DD5982" w:rsidRPr="009A1F5F">
        <w:rPr>
          <w:rFonts w:ascii="IBM Plex Sans" w:eastAsiaTheme="minorHAnsi" w:hAnsi="IBM Plex Sans" w:cs="Calibri"/>
          <w:sz w:val="22"/>
          <w:lang w:val="en-GB"/>
        </w:rPr>
        <w:t>’</w:t>
      </w:r>
      <w:r w:rsidR="0037558E" w:rsidRPr="009A1F5F">
        <w:rPr>
          <w:rFonts w:ascii="IBM Plex Sans" w:eastAsiaTheme="minorHAnsi" w:hAnsi="IBM Plex Sans" w:cs="Calibri"/>
          <w:sz w:val="22"/>
          <w:lang w:val="en-GB"/>
        </w:rPr>
        <w:t>s</w:t>
      </w:r>
      <w:r w:rsidR="00DD5982" w:rsidRPr="009A1F5F">
        <w:rPr>
          <w:rFonts w:ascii="IBM Plex Sans" w:eastAsiaTheme="minorHAnsi" w:hAnsi="IBM Plex Sans" w:cs="Calibri"/>
          <w:sz w:val="22"/>
          <w:lang w:val="en-GB"/>
        </w:rPr>
        <w:t xml:space="preserve"> average pay</w:t>
      </w:r>
      <w:r w:rsidR="009B3BE9" w:rsidRPr="009A1F5F">
        <w:rPr>
          <w:rFonts w:ascii="IBM Plex Sans" w:eastAsiaTheme="minorHAnsi" w:hAnsi="IBM Plex Sans" w:cs="Calibri"/>
          <w:sz w:val="22"/>
          <w:lang w:val="en-GB"/>
        </w:rPr>
        <w:t>. This</w:t>
      </w:r>
      <w:r w:rsidR="009A1F5F" w:rsidRPr="009A1F5F">
        <w:rPr>
          <w:rFonts w:ascii="IBM Plex Sans" w:eastAsiaTheme="minorHAnsi" w:hAnsi="IBM Plex Sans" w:cs="Calibri"/>
          <w:sz w:val="22"/>
          <w:lang w:val="en-GB"/>
        </w:rPr>
        <w:t xml:space="preserve"> is because </w:t>
      </w:r>
      <w:r w:rsidR="008019F8" w:rsidRPr="009A1F5F">
        <w:rPr>
          <w:rFonts w:ascii="IBM Plex Sans" w:eastAsiaTheme="minorHAnsi" w:hAnsi="IBM Plex Sans" w:cs="Calibri"/>
          <w:sz w:val="22"/>
          <w:lang w:val="en-GB"/>
        </w:rPr>
        <w:t xml:space="preserve">women with longer service are in </w:t>
      </w:r>
      <w:r w:rsidR="003902C9" w:rsidRPr="009A1F5F">
        <w:rPr>
          <w:rFonts w:ascii="IBM Plex Sans" w:eastAsiaTheme="minorHAnsi" w:hAnsi="IBM Plex Sans" w:cs="Calibri"/>
          <w:sz w:val="22"/>
          <w:lang w:val="en-GB"/>
        </w:rPr>
        <w:t>lower-paid ro</w:t>
      </w:r>
      <w:r w:rsidR="00A63CBB" w:rsidRPr="009A1F5F">
        <w:rPr>
          <w:rFonts w:ascii="IBM Plex Sans" w:eastAsiaTheme="minorHAnsi" w:hAnsi="IBM Plex Sans" w:cs="Calibri"/>
          <w:sz w:val="22"/>
          <w:lang w:val="en-GB"/>
        </w:rPr>
        <w:t>les</w:t>
      </w:r>
      <w:r w:rsidR="009A1F5F">
        <w:rPr>
          <w:rFonts w:ascii="IBM Plex Sans" w:eastAsiaTheme="minorHAnsi" w:hAnsi="IBM Plex Sans" w:cs="Calibri"/>
          <w:sz w:val="22"/>
          <w:lang w:val="en-GB"/>
        </w:rPr>
        <w:t xml:space="preserve"> (Figure 1</w:t>
      </w:r>
      <w:r w:rsidR="00B639AF">
        <w:rPr>
          <w:rFonts w:ascii="IBM Plex Sans" w:eastAsiaTheme="minorHAnsi" w:hAnsi="IBM Plex Sans" w:cs="Calibri"/>
          <w:sz w:val="22"/>
          <w:lang w:val="en-GB"/>
        </w:rPr>
        <w:t>2</w:t>
      </w:r>
      <w:r w:rsidR="009A1F5F">
        <w:rPr>
          <w:rFonts w:ascii="IBM Plex Sans" w:eastAsiaTheme="minorHAnsi" w:hAnsi="IBM Plex Sans" w:cs="Calibri"/>
          <w:sz w:val="22"/>
          <w:lang w:val="en-GB"/>
        </w:rPr>
        <w:t>).</w:t>
      </w:r>
    </w:p>
    <w:p w14:paraId="3290DA61" w14:textId="77777777" w:rsidR="009A1F5F" w:rsidRDefault="009A1F5F">
      <w:pPr>
        <w:spacing w:before="0" w:line="480" w:lineRule="auto"/>
        <w:ind w:firstLine="357"/>
        <w:rPr>
          <w:rFonts w:ascii="IBM Plex Sans" w:eastAsiaTheme="minorHAnsi" w:hAnsi="IBM Plex Sans" w:cs="Calibri"/>
          <w:sz w:val="22"/>
          <w:lang w:val="en-GB"/>
        </w:rPr>
      </w:pPr>
      <w:r>
        <w:rPr>
          <w:rFonts w:ascii="IBM Plex Sans" w:eastAsiaTheme="minorHAnsi" w:hAnsi="IBM Plex Sans" w:cs="Calibri"/>
          <w:sz w:val="22"/>
          <w:lang w:val="en-GB"/>
        </w:rPr>
        <w:br w:type="page"/>
      </w:r>
    </w:p>
    <w:p w14:paraId="337D3EC2" w14:textId="72F13722" w:rsidR="00B27338" w:rsidRPr="00B27338" w:rsidRDefault="00B27338" w:rsidP="00B27338">
      <w:pPr>
        <w:spacing w:before="0" w:after="0"/>
        <w:rPr>
          <w:rFonts w:ascii="IBM Plex Sans Medium" w:eastAsiaTheme="minorHAnsi" w:hAnsi="IBM Plex Sans Medium" w:cs="Calibri"/>
          <w:sz w:val="20"/>
          <w:szCs w:val="20"/>
        </w:rPr>
      </w:pPr>
      <w:bookmarkStart w:id="40" w:name="_Toc157514663"/>
      <w:r w:rsidRPr="00B27338">
        <w:rPr>
          <w:rFonts w:ascii="IBM Plex Sans Medium" w:eastAsiaTheme="minorHAnsi" w:hAnsi="IBM Plex Sans Medium" w:cs="Calibri"/>
          <w:sz w:val="20"/>
          <w:szCs w:val="20"/>
        </w:rPr>
        <w:lastRenderedPageBreak/>
        <w:t xml:space="preserve">Figure </w:t>
      </w:r>
      <w:r w:rsidRPr="00B27338">
        <w:rPr>
          <w:rFonts w:ascii="IBM Plex Sans Medium" w:eastAsiaTheme="minorHAnsi" w:hAnsi="IBM Plex Sans Medium" w:cs="Calibri"/>
          <w:sz w:val="20"/>
          <w:szCs w:val="20"/>
        </w:rPr>
        <w:fldChar w:fldCharType="begin"/>
      </w:r>
      <w:r w:rsidRPr="00B27338">
        <w:rPr>
          <w:rFonts w:ascii="IBM Plex Sans Medium" w:eastAsiaTheme="minorHAnsi" w:hAnsi="IBM Plex Sans Medium" w:cs="Calibri"/>
          <w:sz w:val="20"/>
          <w:szCs w:val="20"/>
        </w:rPr>
        <w:instrText xml:space="preserve"> SEQ Figure \* ARABIC </w:instrText>
      </w:r>
      <w:r w:rsidRPr="00B27338">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11</w:t>
      </w:r>
      <w:r w:rsidRPr="00B27338">
        <w:rPr>
          <w:rFonts w:ascii="IBM Plex Sans Medium" w:eastAsiaTheme="minorHAnsi" w:hAnsi="IBM Plex Sans Medium" w:cs="Calibri"/>
          <w:sz w:val="20"/>
          <w:szCs w:val="20"/>
        </w:rPr>
        <w:fldChar w:fldCharType="end"/>
      </w:r>
      <w:r w:rsidRPr="00B27338">
        <w:rPr>
          <w:rFonts w:ascii="IBM Plex Sans Medium" w:eastAsiaTheme="minorHAnsi" w:hAnsi="IBM Plex Sans Medium" w:cs="Calibri"/>
          <w:sz w:val="20"/>
          <w:szCs w:val="20"/>
        </w:rPr>
        <w:t xml:space="preserve"> Gender pay gaps by length of service in grade</w:t>
      </w:r>
      <w:bookmarkEnd w:id="40"/>
    </w:p>
    <w:p w14:paraId="0D22D345" w14:textId="77777777" w:rsidR="009A1F5F" w:rsidRDefault="00F14CBB" w:rsidP="00CB0688">
      <w:pPr>
        <w:spacing w:before="0" w:after="0"/>
        <w:jc w:val="both"/>
        <w:rPr>
          <w:rFonts w:ascii="IBM Plex Sans" w:eastAsiaTheme="minorHAnsi" w:hAnsi="IBM Plex Sans" w:cs="Calibri"/>
          <w:sz w:val="22"/>
          <w:lang w:val="en-GB"/>
        </w:rPr>
      </w:pPr>
      <w:r>
        <w:rPr>
          <w:noProof/>
        </w:rPr>
        <w:drawing>
          <wp:inline distT="0" distB="0" distL="0" distR="0" wp14:anchorId="48E1FFC0" wp14:editId="76D51C5C">
            <wp:extent cx="5940000" cy="3060000"/>
            <wp:effectExtent l="0" t="0" r="3810" b="7620"/>
            <wp:docPr id="1662257626" name="Chart 1">
              <a:extLst xmlns:a="http://schemas.openxmlformats.org/drawingml/2006/main">
                <a:ext uri="{FF2B5EF4-FFF2-40B4-BE49-F238E27FC236}">
                  <a16:creationId xmlns:a16="http://schemas.microsoft.com/office/drawing/2014/main" id="{E2806F66-C9BC-BBF3-E139-D8D1D6991A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06667D4" w14:textId="77777777" w:rsidR="009A1F5F" w:rsidRDefault="009A1F5F" w:rsidP="00CB0688">
      <w:pPr>
        <w:spacing w:before="0" w:after="0"/>
        <w:jc w:val="both"/>
        <w:rPr>
          <w:rFonts w:ascii="IBM Plex Sans" w:eastAsiaTheme="minorHAnsi" w:hAnsi="IBM Plex Sans" w:cs="Calibri"/>
          <w:sz w:val="22"/>
          <w:lang w:val="en-GB"/>
        </w:rPr>
      </w:pPr>
    </w:p>
    <w:p w14:paraId="502EC640" w14:textId="14CE726A" w:rsidR="009A1F5F" w:rsidRPr="009A1F5F" w:rsidRDefault="009A1F5F" w:rsidP="009A1F5F">
      <w:pPr>
        <w:spacing w:before="0" w:after="0"/>
        <w:rPr>
          <w:rFonts w:ascii="IBM Plex Sans Medium" w:eastAsiaTheme="minorHAnsi" w:hAnsi="IBM Plex Sans Medium" w:cs="Calibri"/>
          <w:sz w:val="20"/>
          <w:szCs w:val="20"/>
        </w:rPr>
      </w:pPr>
      <w:bookmarkStart w:id="41" w:name="_Toc157514664"/>
      <w:r w:rsidRPr="009A1F5F">
        <w:rPr>
          <w:rFonts w:ascii="IBM Plex Sans Medium" w:eastAsiaTheme="minorHAnsi" w:hAnsi="IBM Plex Sans Medium" w:cs="Calibri"/>
          <w:sz w:val="20"/>
          <w:szCs w:val="20"/>
        </w:rPr>
        <w:t xml:space="preserve">Figure </w:t>
      </w:r>
      <w:r w:rsidRPr="009A1F5F">
        <w:rPr>
          <w:rFonts w:ascii="IBM Plex Sans Medium" w:eastAsiaTheme="minorHAnsi" w:hAnsi="IBM Plex Sans Medium" w:cs="Calibri"/>
          <w:sz w:val="20"/>
          <w:szCs w:val="20"/>
        </w:rPr>
        <w:fldChar w:fldCharType="begin"/>
      </w:r>
      <w:r w:rsidRPr="009A1F5F">
        <w:rPr>
          <w:rFonts w:ascii="IBM Plex Sans Medium" w:eastAsiaTheme="minorHAnsi" w:hAnsi="IBM Plex Sans Medium" w:cs="Calibri"/>
          <w:sz w:val="20"/>
          <w:szCs w:val="20"/>
        </w:rPr>
        <w:instrText xml:space="preserve"> SEQ Figure \* ARABIC </w:instrText>
      </w:r>
      <w:r w:rsidRPr="009A1F5F">
        <w:rPr>
          <w:rFonts w:ascii="IBM Plex Sans Medium" w:eastAsiaTheme="minorHAnsi" w:hAnsi="IBM Plex Sans Medium" w:cs="Calibri"/>
          <w:sz w:val="20"/>
          <w:szCs w:val="20"/>
        </w:rPr>
        <w:fldChar w:fldCharType="separate"/>
      </w:r>
      <w:r w:rsidR="006E5383">
        <w:rPr>
          <w:rFonts w:ascii="IBM Plex Sans Medium" w:eastAsiaTheme="minorHAnsi" w:hAnsi="IBM Plex Sans Medium" w:cs="Calibri"/>
          <w:noProof/>
          <w:sz w:val="20"/>
          <w:szCs w:val="20"/>
        </w:rPr>
        <w:t>12</w:t>
      </w:r>
      <w:r w:rsidRPr="009A1F5F">
        <w:rPr>
          <w:rFonts w:ascii="IBM Plex Sans Medium" w:eastAsiaTheme="minorHAnsi" w:hAnsi="IBM Plex Sans Medium" w:cs="Calibri"/>
          <w:sz w:val="20"/>
          <w:szCs w:val="20"/>
        </w:rPr>
        <w:fldChar w:fldCharType="end"/>
      </w:r>
      <w:r w:rsidR="00921C5E">
        <w:rPr>
          <w:rFonts w:ascii="IBM Plex Sans Medium" w:eastAsiaTheme="minorHAnsi" w:hAnsi="IBM Plex Sans Medium" w:cs="Calibri"/>
          <w:sz w:val="20"/>
          <w:szCs w:val="20"/>
        </w:rPr>
        <w:t>2</w:t>
      </w:r>
      <w:r w:rsidRPr="009A1F5F">
        <w:rPr>
          <w:rFonts w:ascii="IBM Plex Sans Medium" w:eastAsiaTheme="minorHAnsi" w:hAnsi="IBM Plex Sans Medium" w:cs="Calibri"/>
          <w:sz w:val="20"/>
          <w:szCs w:val="20"/>
        </w:rPr>
        <w:t xml:space="preserve"> Proportion of men and women with 5-10 years’ service in grade by pay band</w:t>
      </w:r>
      <w:bookmarkEnd w:id="41"/>
    </w:p>
    <w:p w14:paraId="6555A857" w14:textId="21D5E095" w:rsidR="00CB0688" w:rsidRPr="0097043A" w:rsidRDefault="009A1F5F" w:rsidP="00CB0688">
      <w:pPr>
        <w:spacing w:before="0" w:after="0"/>
        <w:jc w:val="both"/>
        <w:rPr>
          <w:rFonts w:ascii="IBM Plex Sans" w:eastAsiaTheme="minorHAnsi" w:hAnsi="IBM Plex Sans" w:cs="Calibri"/>
          <w:sz w:val="22"/>
          <w:lang w:val="en-GB"/>
        </w:rPr>
      </w:pPr>
      <w:r>
        <w:rPr>
          <w:noProof/>
        </w:rPr>
        <w:drawing>
          <wp:inline distT="0" distB="0" distL="0" distR="0" wp14:anchorId="2515874D" wp14:editId="4115E339">
            <wp:extent cx="5940000" cy="3060000"/>
            <wp:effectExtent l="0" t="0" r="3810" b="7620"/>
            <wp:docPr id="343723336" name="Chart 1">
              <a:extLst xmlns:a="http://schemas.openxmlformats.org/drawingml/2006/main">
                <a:ext uri="{FF2B5EF4-FFF2-40B4-BE49-F238E27FC236}">
                  <a16:creationId xmlns:a16="http://schemas.microsoft.com/office/drawing/2014/main" id="{7BC1D47B-8093-47F2-B669-B66A156065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CB0688" w:rsidRPr="0097043A">
        <w:rPr>
          <w:rFonts w:ascii="IBM Plex Sans" w:eastAsiaTheme="minorHAnsi" w:hAnsi="IBM Plex Sans" w:cs="Calibri"/>
          <w:sz w:val="22"/>
          <w:lang w:val="en-GB"/>
        </w:rPr>
        <w:br w:type="page"/>
      </w:r>
    </w:p>
    <w:p w14:paraId="32495062" w14:textId="01C2A334" w:rsidR="00CB0688" w:rsidRPr="00B17FB0" w:rsidRDefault="001E6155" w:rsidP="00CB0688">
      <w:pPr>
        <w:pStyle w:val="Heading1"/>
        <w:spacing w:before="0" w:line="360" w:lineRule="auto"/>
        <w:rPr>
          <w:rFonts w:ascii="IBM Plex Sans" w:eastAsiaTheme="minorHAnsi" w:hAnsi="IBM Plex Sans" w:cs="Calibri"/>
          <w:color w:val="5C00D6"/>
          <w:sz w:val="24"/>
        </w:rPr>
      </w:pPr>
      <w:bookmarkStart w:id="42" w:name="_Toc157514641"/>
      <w:r>
        <w:rPr>
          <w:rFonts w:ascii="IBM Plex Sans" w:eastAsiaTheme="minorHAnsi" w:hAnsi="IBM Plex Sans" w:cs="Calibri"/>
          <w:color w:val="5C00D6"/>
          <w:sz w:val="24"/>
        </w:rPr>
        <w:lastRenderedPageBreak/>
        <w:t>Gender pay gaps by a</w:t>
      </w:r>
      <w:r w:rsidR="00CB0688" w:rsidRPr="00B17FB0">
        <w:rPr>
          <w:rFonts w:ascii="IBM Plex Sans" w:eastAsiaTheme="minorHAnsi" w:hAnsi="IBM Plex Sans" w:cs="Calibri"/>
          <w:color w:val="5C00D6"/>
          <w:sz w:val="24"/>
        </w:rPr>
        <w:t>ge</w:t>
      </w:r>
      <w:bookmarkEnd w:id="42"/>
      <w:r w:rsidR="00CB0688" w:rsidRPr="00B17FB0">
        <w:rPr>
          <w:rFonts w:ascii="IBM Plex Sans" w:eastAsiaTheme="minorHAnsi" w:hAnsi="IBM Plex Sans" w:cs="Calibri"/>
          <w:color w:val="5C00D6"/>
          <w:sz w:val="24"/>
        </w:rPr>
        <w:t xml:space="preserve"> </w:t>
      </w:r>
    </w:p>
    <w:p w14:paraId="419D8DE7" w14:textId="227E6EEE" w:rsidR="00CB0688" w:rsidRPr="00623E5B" w:rsidRDefault="00CB0688" w:rsidP="00CB0688">
      <w:pPr>
        <w:spacing w:before="0" w:after="0"/>
        <w:jc w:val="both"/>
        <w:rPr>
          <w:rFonts w:ascii="IBM Plex Sans" w:eastAsiaTheme="minorHAnsi" w:hAnsi="IBM Plex Sans" w:cs="Calibri"/>
          <w:sz w:val="22"/>
        </w:rPr>
      </w:pPr>
      <w:r w:rsidRPr="00053345">
        <w:rPr>
          <w:rFonts w:ascii="IBM Plex Sans" w:eastAsiaTheme="minorHAnsi" w:hAnsi="IBM Plex Sans" w:cs="Calibri"/>
          <w:sz w:val="22"/>
        </w:rPr>
        <w:t>Analysis of gender pay gap</w:t>
      </w:r>
      <w:r w:rsidR="00287BF3">
        <w:rPr>
          <w:rFonts w:ascii="IBM Plex Sans" w:eastAsiaTheme="minorHAnsi" w:hAnsi="IBM Plex Sans" w:cs="Calibri"/>
          <w:sz w:val="22"/>
        </w:rPr>
        <w:t>s</w:t>
      </w:r>
      <w:r w:rsidRPr="00053345">
        <w:rPr>
          <w:rFonts w:ascii="IBM Plex Sans" w:eastAsiaTheme="minorHAnsi" w:hAnsi="IBM Plex Sans" w:cs="Calibri"/>
          <w:sz w:val="22"/>
        </w:rPr>
        <w:t xml:space="preserve"> by age shows that the gap</w:t>
      </w:r>
      <w:r w:rsidR="00287BF3">
        <w:rPr>
          <w:rFonts w:ascii="IBM Plex Sans" w:eastAsiaTheme="minorHAnsi" w:hAnsi="IBM Plex Sans" w:cs="Calibri"/>
          <w:sz w:val="22"/>
        </w:rPr>
        <w:t>s are in</w:t>
      </w:r>
      <w:r w:rsidRPr="00053345">
        <w:rPr>
          <w:rFonts w:ascii="IBM Plex Sans" w:eastAsiaTheme="minorHAnsi" w:hAnsi="IBM Plex Sans" w:cs="Calibri"/>
          <w:sz w:val="22"/>
        </w:rPr>
        <w:t xml:space="preserve"> favour of wome</w:t>
      </w:r>
      <w:r w:rsidR="00C850EF">
        <w:rPr>
          <w:rFonts w:ascii="IBM Plex Sans" w:eastAsiaTheme="minorHAnsi" w:hAnsi="IBM Plex Sans" w:cs="Calibri"/>
          <w:sz w:val="22"/>
        </w:rPr>
        <w:t>n</w:t>
      </w:r>
      <w:r w:rsidRPr="00053345">
        <w:rPr>
          <w:rFonts w:ascii="IBM Plex Sans" w:eastAsiaTheme="minorHAnsi" w:hAnsi="IBM Plex Sans" w:cs="Calibri"/>
          <w:sz w:val="22"/>
        </w:rPr>
        <w:t xml:space="preserve"> for younger staff but shift</w:t>
      </w:r>
      <w:r w:rsidR="00001E9E">
        <w:rPr>
          <w:rFonts w:ascii="IBM Plex Sans" w:eastAsiaTheme="minorHAnsi" w:hAnsi="IBM Plex Sans" w:cs="Calibri"/>
          <w:sz w:val="22"/>
        </w:rPr>
        <w:t xml:space="preserve"> </w:t>
      </w:r>
      <w:r w:rsidRPr="00053345">
        <w:rPr>
          <w:rFonts w:ascii="IBM Plex Sans" w:eastAsiaTheme="minorHAnsi" w:hAnsi="IBM Plex Sans" w:cs="Calibri"/>
          <w:sz w:val="22"/>
        </w:rPr>
        <w:t>after age</w:t>
      </w:r>
      <w:r w:rsidR="00F14CBB">
        <w:rPr>
          <w:rFonts w:ascii="IBM Plex Sans" w:eastAsiaTheme="minorHAnsi" w:hAnsi="IBM Plex Sans" w:cs="Calibri"/>
          <w:sz w:val="22"/>
        </w:rPr>
        <w:t xml:space="preserve"> 30</w:t>
      </w:r>
      <w:r w:rsidR="00B3033E">
        <w:rPr>
          <w:rFonts w:ascii="IBM Plex Sans" w:eastAsiaTheme="minorHAnsi" w:hAnsi="IBM Plex Sans" w:cs="Calibri"/>
          <w:sz w:val="22"/>
        </w:rPr>
        <w:t xml:space="preserve">, where the </w:t>
      </w:r>
      <w:r w:rsidR="000F076A">
        <w:rPr>
          <w:rFonts w:ascii="IBM Plex Sans" w:eastAsiaTheme="minorHAnsi" w:hAnsi="IBM Plex Sans" w:cs="Calibri"/>
          <w:sz w:val="22"/>
        </w:rPr>
        <w:t>gender p</w:t>
      </w:r>
      <w:r w:rsidR="00B3033E">
        <w:rPr>
          <w:rFonts w:ascii="IBM Plex Sans" w:eastAsiaTheme="minorHAnsi" w:hAnsi="IBM Plex Sans" w:cs="Calibri"/>
          <w:sz w:val="22"/>
        </w:rPr>
        <w:t xml:space="preserve">ay gap emerges and continues to widen until age 70. </w:t>
      </w:r>
      <w:r w:rsidRPr="00053345">
        <w:rPr>
          <w:rFonts w:ascii="IBM Plex Sans" w:eastAsiaTheme="minorHAnsi" w:hAnsi="IBM Plex Sans" w:cs="Calibri"/>
          <w:sz w:val="22"/>
        </w:rPr>
        <w:t xml:space="preserve">The widest pay gap is between men and women aged </w:t>
      </w:r>
      <w:r w:rsidR="004160EE">
        <w:rPr>
          <w:rFonts w:ascii="IBM Plex Sans" w:eastAsiaTheme="minorHAnsi" w:hAnsi="IBM Plex Sans" w:cs="Calibri"/>
          <w:sz w:val="22"/>
        </w:rPr>
        <w:t>66 to 70</w:t>
      </w:r>
      <w:r w:rsidRPr="00053345">
        <w:rPr>
          <w:rFonts w:ascii="IBM Plex Sans" w:eastAsiaTheme="minorHAnsi" w:hAnsi="IBM Plex Sans" w:cs="Calibri"/>
          <w:sz w:val="22"/>
        </w:rPr>
        <w:t xml:space="preserve">. </w:t>
      </w:r>
    </w:p>
    <w:p w14:paraId="5459C0A4" w14:textId="77777777" w:rsidR="00CB0688" w:rsidRDefault="00CB0688" w:rsidP="00CB0688">
      <w:pPr>
        <w:pStyle w:val="Caption"/>
        <w:spacing w:before="0" w:after="0"/>
        <w:rPr>
          <w:rFonts w:ascii="IBM Plex Sans Medium" w:eastAsiaTheme="minorHAnsi" w:hAnsi="IBM Plex Sans Medium" w:cs="Calibri"/>
          <w:b w:val="0"/>
          <w:bCs w:val="0"/>
          <w:sz w:val="20"/>
          <w:szCs w:val="20"/>
        </w:rPr>
      </w:pPr>
    </w:p>
    <w:p w14:paraId="124038BC" w14:textId="0FDFDD03" w:rsidR="00CB0688" w:rsidRDefault="00CB0688" w:rsidP="00CB0688">
      <w:pPr>
        <w:pStyle w:val="Caption"/>
        <w:spacing w:before="0" w:after="0"/>
        <w:rPr>
          <w:rFonts w:ascii="IBM Plex Sans Medium" w:eastAsiaTheme="minorHAnsi" w:hAnsi="IBM Plex Sans Medium" w:cs="Calibri"/>
          <w:b w:val="0"/>
          <w:bCs w:val="0"/>
          <w:sz w:val="20"/>
          <w:szCs w:val="20"/>
        </w:rPr>
      </w:pPr>
      <w:bookmarkStart w:id="43" w:name="_Toc157514665"/>
      <w:r w:rsidRPr="00EE6F46">
        <w:rPr>
          <w:rFonts w:ascii="IBM Plex Sans Medium" w:eastAsiaTheme="minorHAnsi" w:hAnsi="IBM Plex Sans Medium" w:cs="Calibri"/>
          <w:b w:val="0"/>
          <w:bCs w:val="0"/>
          <w:sz w:val="20"/>
          <w:szCs w:val="20"/>
        </w:rPr>
        <w:t xml:space="preserve">Figure </w:t>
      </w:r>
      <w:r w:rsidRPr="00EE6F46">
        <w:rPr>
          <w:rFonts w:ascii="IBM Plex Sans Medium" w:eastAsiaTheme="minorHAnsi" w:hAnsi="IBM Plex Sans Medium" w:cs="Calibri"/>
          <w:b w:val="0"/>
          <w:bCs w:val="0"/>
          <w:sz w:val="20"/>
          <w:szCs w:val="20"/>
        </w:rPr>
        <w:fldChar w:fldCharType="begin"/>
      </w:r>
      <w:r w:rsidRPr="00EE6F46">
        <w:rPr>
          <w:rFonts w:ascii="IBM Plex Sans Medium" w:eastAsiaTheme="minorHAnsi" w:hAnsi="IBM Plex Sans Medium" w:cs="Calibri"/>
          <w:b w:val="0"/>
          <w:bCs w:val="0"/>
          <w:sz w:val="20"/>
          <w:szCs w:val="20"/>
        </w:rPr>
        <w:instrText xml:space="preserve"> SEQ Figure \* ARABIC </w:instrText>
      </w:r>
      <w:r w:rsidRPr="00EE6F46">
        <w:rPr>
          <w:rFonts w:ascii="IBM Plex Sans Medium" w:eastAsiaTheme="minorHAnsi" w:hAnsi="IBM Plex Sans Medium" w:cs="Calibri"/>
          <w:b w:val="0"/>
          <w:bCs w:val="0"/>
          <w:sz w:val="20"/>
          <w:szCs w:val="20"/>
        </w:rPr>
        <w:fldChar w:fldCharType="separate"/>
      </w:r>
      <w:r w:rsidR="006E5383">
        <w:rPr>
          <w:rFonts w:ascii="IBM Plex Sans Medium" w:eastAsiaTheme="minorHAnsi" w:hAnsi="IBM Plex Sans Medium" w:cs="Calibri"/>
          <w:b w:val="0"/>
          <w:bCs w:val="0"/>
          <w:noProof/>
          <w:sz w:val="20"/>
          <w:szCs w:val="20"/>
        </w:rPr>
        <w:t>13</w:t>
      </w:r>
      <w:r w:rsidRPr="00EE6F46">
        <w:rPr>
          <w:rFonts w:ascii="IBM Plex Sans Medium" w:eastAsiaTheme="minorHAnsi" w:hAnsi="IBM Plex Sans Medium" w:cs="Calibri"/>
          <w:b w:val="0"/>
          <w:bCs w:val="0"/>
          <w:sz w:val="20"/>
          <w:szCs w:val="20"/>
        </w:rPr>
        <w:fldChar w:fldCharType="end"/>
      </w:r>
      <w:r w:rsidRPr="00EE6F46">
        <w:rPr>
          <w:rFonts w:ascii="IBM Plex Sans Medium" w:eastAsiaTheme="minorHAnsi" w:hAnsi="IBM Plex Sans Medium" w:cs="Calibri"/>
          <w:b w:val="0"/>
          <w:bCs w:val="0"/>
          <w:sz w:val="20"/>
          <w:szCs w:val="20"/>
        </w:rPr>
        <w:t xml:space="preserve"> Gender pay gaps by age</w:t>
      </w:r>
      <w:bookmarkEnd w:id="43"/>
    </w:p>
    <w:p w14:paraId="44CD4004" w14:textId="77777777" w:rsidR="00CB0688" w:rsidRDefault="00CB0688" w:rsidP="00CB0688">
      <w:r>
        <w:rPr>
          <w:noProof/>
        </w:rPr>
        <w:drawing>
          <wp:inline distT="0" distB="0" distL="0" distR="0" wp14:anchorId="3A1E054F" wp14:editId="2CBE78C6">
            <wp:extent cx="5943600" cy="3816000"/>
            <wp:effectExtent l="0" t="0" r="0" b="0"/>
            <wp:docPr id="1423994087" name="Chart 1">
              <a:extLst xmlns:a="http://schemas.openxmlformats.org/drawingml/2006/main">
                <a:ext uri="{FF2B5EF4-FFF2-40B4-BE49-F238E27FC236}">
                  <a16:creationId xmlns:a16="http://schemas.microsoft.com/office/drawing/2014/main" id="{30BF3C55-CE68-A651-14F5-CE1EE63D56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11DAA61" w14:textId="77777777" w:rsidR="00CB0688" w:rsidRPr="00E1287B" w:rsidRDefault="00CB0688" w:rsidP="00CB0688"/>
    <w:p w14:paraId="01FF1806" w14:textId="77777777" w:rsidR="00CB0688" w:rsidRDefault="00CB0688" w:rsidP="00847BB0">
      <w:pPr>
        <w:spacing w:before="0" w:after="0"/>
        <w:jc w:val="both"/>
        <w:rPr>
          <w:rFonts w:ascii="IBM Plex Sans" w:eastAsiaTheme="minorHAnsi" w:hAnsi="IBM Plex Sans" w:cs="Calibri"/>
          <w:sz w:val="22"/>
          <w:lang w:val="en-GB"/>
        </w:rPr>
      </w:pPr>
    </w:p>
    <w:p w14:paraId="0146B6D8" w14:textId="4BB85FA0" w:rsidR="00621A12" w:rsidRDefault="00621A12">
      <w:pPr>
        <w:spacing w:before="0" w:line="480" w:lineRule="auto"/>
        <w:ind w:firstLine="357"/>
        <w:rPr>
          <w:rFonts w:ascii="IBM Plex Sans" w:eastAsiaTheme="minorHAnsi" w:hAnsi="IBM Plex Sans" w:cs="Calibri"/>
          <w:sz w:val="22"/>
          <w:lang w:val="en-GB"/>
        </w:rPr>
      </w:pPr>
      <w:r>
        <w:rPr>
          <w:rFonts w:ascii="IBM Plex Sans" w:eastAsiaTheme="minorHAnsi" w:hAnsi="IBM Plex Sans" w:cs="Calibri"/>
          <w:sz w:val="22"/>
          <w:lang w:val="en-GB"/>
        </w:rPr>
        <w:br w:type="page"/>
      </w:r>
    </w:p>
    <w:p w14:paraId="64FD4E8B" w14:textId="5E8615FB" w:rsidR="00621A12" w:rsidRPr="00AC6A2F" w:rsidRDefault="00621A12" w:rsidP="00621A12">
      <w:pPr>
        <w:pStyle w:val="TableofFigures"/>
        <w:tabs>
          <w:tab w:val="right" w:leader="dot" w:pos="9350"/>
        </w:tabs>
        <w:spacing w:before="0"/>
        <w:jc w:val="both"/>
        <w:outlineLvl w:val="0"/>
        <w:rPr>
          <w:rStyle w:val="Hyperlink"/>
          <w:rFonts w:ascii="IBM Plex Sans Light" w:hAnsi="IBM Plex Sans Light" w:cs="Calibri"/>
          <w:noProof/>
          <w:color w:val="5C00D6"/>
          <w:sz w:val="32"/>
          <w:szCs w:val="32"/>
          <w:u w:val="none"/>
        </w:rPr>
      </w:pPr>
      <w:bookmarkStart w:id="44" w:name="_Toc157514642"/>
      <w:r>
        <w:rPr>
          <w:rStyle w:val="Hyperlink"/>
          <w:rFonts w:ascii="IBM Plex Sans Light" w:hAnsi="IBM Plex Sans Light" w:cs="Calibri"/>
          <w:noProof/>
          <w:color w:val="5C00D6"/>
          <w:sz w:val="32"/>
          <w:szCs w:val="32"/>
          <w:u w:val="none"/>
        </w:rPr>
        <w:lastRenderedPageBreak/>
        <w:t>Pay gaps for other protected</w:t>
      </w:r>
      <w:r w:rsidR="00A353DF">
        <w:rPr>
          <w:rStyle w:val="Hyperlink"/>
          <w:rFonts w:ascii="IBM Plex Sans Light" w:hAnsi="IBM Plex Sans Light" w:cs="Calibri"/>
          <w:noProof/>
          <w:color w:val="5C00D6"/>
          <w:sz w:val="32"/>
          <w:szCs w:val="32"/>
          <w:u w:val="none"/>
        </w:rPr>
        <w:t xml:space="preserve"> </w:t>
      </w:r>
      <w:r w:rsidR="00A353DF" w:rsidRPr="00D61CCF">
        <w:rPr>
          <w:rStyle w:val="Hyperlink"/>
          <w:rFonts w:ascii="IBM Plex Sans Light" w:hAnsi="IBM Plex Sans Light" w:cs="Calibri"/>
          <w:noProof/>
          <w:color w:val="5C00D6"/>
          <w:sz w:val="32"/>
          <w:szCs w:val="32"/>
          <w:u w:val="none"/>
        </w:rPr>
        <w:t>characterics</w:t>
      </w:r>
      <w:r>
        <w:rPr>
          <w:rStyle w:val="Hyperlink"/>
          <w:rFonts w:ascii="IBM Plex Sans Light" w:hAnsi="IBM Plex Sans Light" w:cs="Calibri"/>
          <w:noProof/>
          <w:color w:val="5C00D6"/>
          <w:sz w:val="32"/>
          <w:szCs w:val="32"/>
          <w:u w:val="none"/>
        </w:rPr>
        <w:t xml:space="preserve"> groups</w:t>
      </w:r>
      <w:bookmarkEnd w:id="44"/>
    </w:p>
    <w:p w14:paraId="307D3829" w14:textId="77777777" w:rsidR="00692C8C" w:rsidRPr="00A25C86" w:rsidRDefault="00692C8C" w:rsidP="00692C8C">
      <w:pPr>
        <w:pStyle w:val="TableofFigures"/>
        <w:tabs>
          <w:tab w:val="right" w:leader="dot" w:pos="9350"/>
        </w:tabs>
        <w:spacing w:before="0"/>
        <w:outlineLvl w:val="0"/>
        <w:rPr>
          <w:rStyle w:val="Hyperlink"/>
          <w:rFonts w:ascii="IBM Plex Sans Medium" w:hAnsi="IBM Plex Sans Medium"/>
          <w:noProof/>
          <w:color w:val="5C00D6"/>
          <w:u w:val="none"/>
        </w:rPr>
      </w:pPr>
      <w:bookmarkStart w:id="45" w:name="_Toc157514643"/>
      <w:r w:rsidRPr="00A25C86">
        <w:rPr>
          <w:rStyle w:val="Hyperlink"/>
          <w:rFonts w:ascii="IBM Plex Sans Medium" w:hAnsi="IBM Plex Sans Medium"/>
          <w:noProof/>
          <w:color w:val="5C00D6"/>
          <w:u w:val="none"/>
        </w:rPr>
        <w:t>Ethnic</w:t>
      </w:r>
      <w:r>
        <w:rPr>
          <w:rStyle w:val="Hyperlink"/>
          <w:rFonts w:ascii="IBM Plex Sans Medium" w:hAnsi="IBM Plex Sans Medium"/>
          <w:noProof/>
          <w:color w:val="5C00D6"/>
          <w:u w:val="none"/>
        </w:rPr>
        <w:t xml:space="preserve"> minority groups</w:t>
      </w:r>
      <w:bookmarkEnd w:id="45"/>
      <w:r>
        <w:rPr>
          <w:rStyle w:val="Hyperlink"/>
          <w:rFonts w:ascii="IBM Plex Sans Medium" w:hAnsi="IBM Plex Sans Medium"/>
          <w:noProof/>
          <w:color w:val="5C00D6"/>
          <w:u w:val="none"/>
        </w:rPr>
        <w:t xml:space="preserve"> </w:t>
      </w:r>
    </w:p>
    <w:p w14:paraId="4EE053D0" w14:textId="77777777" w:rsidR="00692C8C" w:rsidRDefault="00692C8C" w:rsidP="00692C8C">
      <w:pPr>
        <w:spacing w:before="0" w:after="0"/>
        <w:jc w:val="both"/>
        <w:rPr>
          <w:rFonts w:ascii="IBM Plex Sans" w:eastAsiaTheme="minorHAnsi" w:hAnsi="IBM Plex Sans" w:cs="Calibri"/>
          <w:bCs/>
          <w:iCs/>
          <w:sz w:val="22"/>
        </w:rPr>
      </w:pPr>
      <w:r w:rsidRPr="00DC4E08">
        <w:rPr>
          <w:rFonts w:ascii="IBM Plex Sans" w:eastAsiaTheme="minorHAnsi" w:hAnsi="IBM Plex Sans" w:cs="Calibri"/>
          <w:bCs/>
          <w:iCs/>
          <w:sz w:val="22"/>
        </w:rPr>
        <w:t>A total of 18</w:t>
      </w:r>
      <w:r>
        <w:rPr>
          <w:rFonts w:ascii="IBM Plex Sans" w:eastAsiaTheme="minorHAnsi" w:hAnsi="IBM Plex Sans" w:cs="Calibri"/>
          <w:bCs/>
          <w:iCs/>
          <w:sz w:val="22"/>
        </w:rPr>
        <w:t>2</w:t>
      </w:r>
      <w:r w:rsidRPr="00DC4E08">
        <w:rPr>
          <w:rFonts w:ascii="IBM Plex Sans" w:eastAsiaTheme="minorHAnsi" w:hAnsi="IBM Plex Sans" w:cs="Calibri"/>
          <w:bCs/>
          <w:iCs/>
          <w:sz w:val="22"/>
        </w:rPr>
        <w:t xml:space="preserve"> staff (8.3%), comprising 12</w:t>
      </w:r>
      <w:r>
        <w:rPr>
          <w:rFonts w:ascii="IBM Plex Sans" w:eastAsiaTheme="minorHAnsi" w:hAnsi="IBM Plex Sans" w:cs="Calibri"/>
          <w:bCs/>
          <w:iCs/>
          <w:sz w:val="22"/>
        </w:rPr>
        <w:t>2</w:t>
      </w:r>
      <w:r w:rsidRPr="00DC4E08">
        <w:rPr>
          <w:rFonts w:ascii="IBM Plex Sans" w:eastAsiaTheme="minorHAnsi" w:hAnsi="IBM Plex Sans" w:cs="Calibri"/>
          <w:bCs/>
          <w:iCs/>
          <w:sz w:val="22"/>
        </w:rPr>
        <w:t xml:space="preserve"> women and 60 men, at Public Health Wales identify </w:t>
      </w:r>
      <w:r>
        <w:rPr>
          <w:rFonts w:ascii="IBM Plex Sans" w:eastAsiaTheme="minorHAnsi" w:hAnsi="IBM Plex Sans" w:cs="Calibri"/>
          <w:bCs/>
          <w:iCs/>
          <w:sz w:val="22"/>
        </w:rPr>
        <w:t xml:space="preserve">with an </w:t>
      </w:r>
      <w:r w:rsidRPr="00DC4E08">
        <w:rPr>
          <w:rFonts w:ascii="IBM Plex Sans" w:eastAsiaTheme="minorHAnsi" w:hAnsi="IBM Plex Sans" w:cs="Calibri"/>
          <w:bCs/>
          <w:iCs/>
          <w:sz w:val="22"/>
        </w:rPr>
        <w:t xml:space="preserve">ethnic minority </w:t>
      </w:r>
      <w:r>
        <w:rPr>
          <w:rFonts w:ascii="IBM Plex Sans" w:eastAsiaTheme="minorHAnsi" w:hAnsi="IBM Plex Sans" w:cs="Calibri"/>
          <w:bCs/>
          <w:iCs/>
          <w:sz w:val="22"/>
        </w:rPr>
        <w:t xml:space="preserve">group </w:t>
      </w:r>
      <w:r>
        <w:rPr>
          <w:rFonts w:ascii="IBM Plex Sans" w:eastAsiaTheme="minorHAnsi" w:hAnsi="IBM Plex Sans" w:cs="Calibri"/>
          <w:sz w:val="22"/>
        </w:rPr>
        <w:t>and 1,776 staff</w:t>
      </w:r>
      <w:r>
        <w:rPr>
          <w:rFonts w:ascii="IBM Plex Sans" w:eastAsiaTheme="minorHAnsi" w:hAnsi="IBM Plex Sans" w:cs="Calibri"/>
          <w:bCs/>
          <w:iCs/>
          <w:sz w:val="22"/>
        </w:rPr>
        <w:t xml:space="preserve"> (81.4%)</w:t>
      </w:r>
      <w:r w:rsidRPr="00DC4E08">
        <w:rPr>
          <w:rFonts w:ascii="IBM Plex Sans" w:eastAsiaTheme="minorHAnsi" w:hAnsi="IBM Plex Sans" w:cs="Calibri"/>
          <w:bCs/>
          <w:iCs/>
          <w:sz w:val="22"/>
        </w:rPr>
        <w:t xml:space="preserve"> identify as </w:t>
      </w:r>
      <w:r>
        <w:rPr>
          <w:rFonts w:ascii="IBM Plex Sans" w:eastAsiaTheme="minorHAnsi" w:hAnsi="IBM Plex Sans" w:cs="Calibri"/>
          <w:bCs/>
          <w:iCs/>
          <w:sz w:val="22"/>
        </w:rPr>
        <w:t>W</w:t>
      </w:r>
      <w:r w:rsidRPr="00DC4E08">
        <w:rPr>
          <w:rFonts w:ascii="IBM Plex Sans" w:eastAsiaTheme="minorHAnsi" w:hAnsi="IBM Plex Sans" w:cs="Calibri"/>
          <w:bCs/>
          <w:iCs/>
          <w:sz w:val="22"/>
        </w:rPr>
        <w:t xml:space="preserve">hite. </w:t>
      </w:r>
      <w:r>
        <w:rPr>
          <w:rFonts w:ascii="IBM Plex Sans" w:eastAsiaTheme="minorHAnsi" w:hAnsi="IBM Plex Sans" w:cs="Calibri"/>
          <w:bCs/>
          <w:iCs/>
          <w:sz w:val="22"/>
        </w:rPr>
        <w:t xml:space="preserve">According to data from the 2021 Census, the Public Health Wales workforce broadly mirrors the ethnic demographic for Wales as a whole. However, ethnic demographics can vary significantly between rural and urban areas and the data shows that the workforce at Public Health Wales poorly reflects the cultural diversity of </w:t>
      </w:r>
      <w:r w:rsidRPr="00CC341A">
        <w:rPr>
          <w:rFonts w:ascii="IBM Plex Sans" w:eastAsiaTheme="minorHAnsi" w:hAnsi="IBM Plex Sans" w:cs="Calibri"/>
          <w:bCs/>
          <w:iCs/>
          <w:sz w:val="22"/>
        </w:rPr>
        <w:t>the capital city</w:t>
      </w:r>
      <w:r>
        <w:rPr>
          <w:rFonts w:ascii="IBM Plex Sans" w:eastAsiaTheme="minorHAnsi" w:hAnsi="IBM Plex Sans" w:cs="Calibri"/>
          <w:bCs/>
          <w:iCs/>
          <w:sz w:val="22"/>
        </w:rPr>
        <w:t xml:space="preserve">, Cardiff. </w:t>
      </w:r>
    </w:p>
    <w:p w14:paraId="0EFC2104" w14:textId="77777777" w:rsidR="00692C8C" w:rsidRDefault="00692C8C" w:rsidP="00692C8C">
      <w:pPr>
        <w:pStyle w:val="Caption"/>
        <w:spacing w:before="0" w:after="0"/>
        <w:rPr>
          <w:rFonts w:ascii="IBM Plex Sans Medium" w:hAnsi="IBM Plex Sans Medium" w:cs="Calibri"/>
          <w:b w:val="0"/>
          <w:bCs w:val="0"/>
          <w:sz w:val="20"/>
          <w:szCs w:val="20"/>
        </w:rPr>
      </w:pPr>
    </w:p>
    <w:p w14:paraId="798B50BF" w14:textId="3CD1C84B" w:rsidR="00692C8C" w:rsidRPr="005B400F" w:rsidRDefault="00692C8C" w:rsidP="00692C8C">
      <w:pPr>
        <w:pStyle w:val="Caption"/>
        <w:rPr>
          <w:rFonts w:ascii="IBM Plex Sans Medium" w:hAnsi="IBM Plex Sans Medium"/>
          <w:b w:val="0"/>
          <w:bCs w:val="0"/>
          <w:sz w:val="20"/>
          <w:szCs w:val="20"/>
        </w:rPr>
      </w:pPr>
      <w:bookmarkStart w:id="46" w:name="_Toc157514666"/>
      <w:r w:rsidRPr="005B400F">
        <w:rPr>
          <w:rFonts w:ascii="IBM Plex Sans Medium" w:hAnsi="IBM Plex Sans Medium"/>
          <w:b w:val="0"/>
          <w:bCs w:val="0"/>
          <w:sz w:val="20"/>
          <w:szCs w:val="20"/>
        </w:rPr>
        <w:t xml:space="preserve">Figure </w:t>
      </w:r>
      <w:r w:rsidRPr="005B400F">
        <w:rPr>
          <w:rFonts w:ascii="IBM Plex Sans Medium" w:hAnsi="IBM Plex Sans Medium"/>
          <w:b w:val="0"/>
          <w:bCs w:val="0"/>
          <w:sz w:val="20"/>
          <w:szCs w:val="20"/>
        </w:rPr>
        <w:fldChar w:fldCharType="begin"/>
      </w:r>
      <w:r w:rsidRPr="005B400F">
        <w:rPr>
          <w:rFonts w:ascii="IBM Plex Sans Medium" w:hAnsi="IBM Plex Sans Medium"/>
          <w:b w:val="0"/>
          <w:bCs w:val="0"/>
          <w:sz w:val="20"/>
          <w:szCs w:val="20"/>
        </w:rPr>
        <w:instrText xml:space="preserve"> SEQ Figure \* ARABIC </w:instrText>
      </w:r>
      <w:r w:rsidRPr="005B400F">
        <w:rPr>
          <w:rFonts w:ascii="IBM Plex Sans Medium" w:hAnsi="IBM Plex Sans Medium"/>
          <w:b w:val="0"/>
          <w:bCs w:val="0"/>
          <w:sz w:val="20"/>
          <w:szCs w:val="20"/>
        </w:rPr>
        <w:fldChar w:fldCharType="separate"/>
      </w:r>
      <w:r w:rsidR="006E5383">
        <w:rPr>
          <w:rFonts w:ascii="IBM Plex Sans Medium" w:hAnsi="IBM Plex Sans Medium"/>
          <w:b w:val="0"/>
          <w:bCs w:val="0"/>
          <w:noProof/>
          <w:sz w:val="20"/>
          <w:szCs w:val="20"/>
        </w:rPr>
        <w:t>14</w:t>
      </w:r>
      <w:r w:rsidRPr="005B400F">
        <w:rPr>
          <w:rFonts w:ascii="IBM Plex Sans Medium" w:hAnsi="IBM Plex Sans Medium"/>
          <w:b w:val="0"/>
          <w:bCs w:val="0"/>
          <w:sz w:val="20"/>
          <w:szCs w:val="20"/>
        </w:rPr>
        <w:fldChar w:fldCharType="end"/>
      </w:r>
      <w:r w:rsidRPr="005B400F">
        <w:rPr>
          <w:rFonts w:ascii="IBM Plex Sans Medium" w:hAnsi="IBM Plex Sans Medium"/>
          <w:b w:val="0"/>
          <w:bCs w:val="0"/>
          <w:sz w:val="20"/>
          <w:szCs w:val="20"/>
        </w:rPr>
        <w:t xml:space="preserve"> Ethnic demographics</w:t>
      </w:r>
      <w:bookmarkEnd w:id="46"/>
      <w:r w:rsidRPr="005B400F">
        <w:rPr>
          <w:rFonts w:ascii="IBM Plex Sans Medium" w:hAnsi="IBM Plex Sans Medium"/>
          <w:b w:val="0"/>
          <w:bCs w:val="0"/>
          <w:sz w:val="20"/>
          <w:szCs w:val="20"/>
        </w:rPr>
        <w:t xml:space="preserve"> </w:t>
      </w:r>
    </w:p>
    <w:p w14:paraId="70A5955D" w14:textId="77777777" w:rsidR="00692C8C" w:rsidRDefault="00692C8C" w:rsidP="00692C8C">
      <w:pPr>
        <w:spacing w:before="0" w:after="0"/>
        <w:jc w:val="both"/>
        <w:rPr>
          <w:rFonts w:ascii="IBM Plex Sans" w:eastAsiaTheme="minorHAnsi" w:hAnsi="IBM Plex Sans" w:cs="Calibri"/>
          <w:bCs/>
          <w:iCs/>
          <w:sz w:val="22"/>
        </w:rPr>
      </w:pPr>
      <w:r>
        <w:rPr>
          <w:noProof/>
        </w:rPr>
        <w:drawing>
          <wp:inline distT="0" distB="0" distL="0" distR="0" wp14:anchorId="47EEBDBC" wp14:editId="2CF1A6E5">
            <wp:extent cx="5940000" cy="2743200"/>
            <wp:effectExtent l="0" t="0" r="3810" b="0"/>
            <wp:docPr id="554143652" name="Chart 1">
              <a:extLst xmlns:a="http://schemas.openxmlformats.org/drawingml/2006/main">
                <a:ext uri="{FF2B5EF4-FFF2-40B4-BE49-F238E27FC236}">
                  <a16:creationId xmlns:a16="http://schemas.microsoft.com/office/drawing/2014/main" id="{4CC762A2-ED2E-955A-0BFE-FB747F8603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B5FF2DE" w14:textId="77777777" w:rsidR="00692C8C" w:rsidRPr="00C77EBF" w:rsidRDefault="00692C8C" w:rsidP="00692C8C">
      <w:pPr>
        <w:spacing w:before="0" w:after="0"/>
        <w:jc w:val="both"/>
        <w:rPr>
          <w:rFonts w:ascii="IBM Plex Sans" w:eastAsiaTheme="minorHAnsi" w:hAnsi="IBM Plex Sans" w:cs="Calibri"/>
          <w:bCs/>
          <w:iCs/>
          <w:sz w:val="20"/>
          <w:szCs w:val="20"/>
        </w:rPr>
      </w:pPr>
      <w:r w:rsidRPr="00C77EBF">
        <w:rPr>
          <w:rFonts w:ascii="IBM Plex Sans" w:eastAsiaTheme="minorHAnsi" w:hAnsi="IBM Plex Sans" w:cs="Calibri"/>
          <w:bCs/>
          <w:iCs/>
          <w:sz w:val="20"/>
          <w:szCs w:val="20"/>
        </w:rPr>
        <w:t>Source: Census 2021, ONS</w:t>
      </w:r>
      <w:r>
        <w:rPr>
          <w:rFonts w:ascii="IBM Plex Sans" w:eastAsiaTheme="minorHAnsi" w:hAnsi="IBM Plex Sans" w:cs="Calibri"/>
          <w:bCs/>
          <w:iCs/>
          <w:sz w:val="20"/>
          <w:szCs w:val="20"/>
        </w:rPr>
        <w:t xml:space="preserve"> (Wales and Cardiff figures only)</w:t>
      </w:r>
      <w:r w:rsidRPr="00C77EBF">
        <w:rPr>
          <w:rFonts w:ascii="IBM Plex Sans" w:eastAsiaTheme="minorHAnsi" w:hAnsi="IBM Plex Sans" w:cs="Calibri"/>
          <w:bCs/>
          <w:iCs/>
          <w:sz w:val="20"/>
          <w:szCs w:val="20"/>
        </w:rPr>
        <w:t>.</w:t>
      </w:r>
    </w:p>
    <w:p w14:paraId="4AF4FFA5" w14:textId="77777777" w:rsidR="00692C8C" w:rsidRDefault="00692C8C" w:rsidP="00692C8C">
      <w:pPr>
        <w:spacing w:before="0" w:after="0"/>
        <w:jc w:val="both"/>
        <w:rPr>
          <w:rFonts w:ascii="IBM Plex Sans" w:eastAsiaTheme="minorHAnsi" w:hAnsi="IBM Plex Sans" w:cs="Calibri"/>
          <w:bCs/>
          <w:iCs/>
          <w:sz w:val="22"/>
        </w:rPr>
      </w:pPr>
    </w:p>
    <w:p w14:paraId="6683762B" w14:textId="75001584" w:rsidR="00692C8C" w:rsidRDefault="00692C8C" w:rsidP="00692C8C">
      <w:pPr>
        <w:spacing w:before="0" w:after="0"/>
        <w:jc w:val="both"/>
        <w:rPr>
          <w:rFonts w:ascii="IBM Plex Sans" w:eastAsiaTheme="minorHAnsi" w:hAnsi="IBM Plex Sans" w:cs="Calibri"/>
          <w:bCs/>
          <w:iCs/>
          <w:sz w:val="22"/>
        </w:rPr>
      </w:pPr>
      <w:r>
        <w:rPr>
          <w:rFonts w:ascii="IBM Plex Sans" w:eastAsiaTheme="minorHAnsi" w:hAnsi="IBM Plex Sans" w:cs="Calibri"/>
          <w:bCs/>
          <w:iCs/>
          <w:sz w:val="22"/>
        </w:rPr>
        <w:t xml:space="preserve">A total of 223 </w:t>
      </w:r>
      <w:r w:rsidRPr="007630BE">
        <w:rPr>
          <w:rFonts w:ascii="IBM Plex Sans" w:eastAsiaTheme="minorHAnsi" w:hAnsi="IBM Plex Sans" w:cs="Calibri"/>
          <w:bCs/>
          <w:iCs/>
          <w:sz w:val="22"/>
        </w:rPr>
        <w:t xml:space="preserve">staff (10.2%) </w:t>
      </w:r>
      <w:r>
        <w:rPr>
          <w:rFonts w:ascii="IBM Plex Sans" w:eastAsiaTheme="minorHAnsi" w:hAnsi="IBM Plex Sans" w:cs="Calibri"/>
          <w:bCs/>
          <w:iCs/>
          <w:sz w:val="22"/>
        </w:rPr>
        <w:t xml:space="preserve">at Public Health Wales </w:t>
      </w:r>
      <w:r w:rsidRPr="007630BE">
        <w:rPr>
          <w:rFonts w:ascii="IBM Plex Sans" w:eastAsiaTheme="minorHAnsi" w:hAnsi="IBM Plex Sans" w:cs="Calibri"/>
          <w:bCs/>
          <w:iCs/>
          <w:sz w:val="22"/>
        </w:rPr>
        <w:t>have not declared their ethnicity</w:t>
      </w:r>
      <w:r>
        <w:rPr>
          <w:rFonts w:ascii="IBM Plex Sans" w:eastAsiaTheme="minorHAnsi" w:hAnsi="IBM Plex Sans" w:cs="Calibri"/>
          <w:bCs/>
          <w:iCs/>
          <w:sz w:val="22"/>
        </w:rPr>
        <w:t>;</w:t>
      </w:r>
      <w:r w:rsidRPr="007630BE">
        <w:rPr>
          <w:rFonts w:ascii="IBM Plex Sans" w:eastAsiaTheme="minorHAnsi" w:hAnsi="IBM Plex Sans" w:cs="Calibri"/>
          <w:bCs/>
          <w:iCs/>
          <w:sz w:val="22"/>
        </w:rPr>
        <w:t xml:space="preserve"> a small improvement on </w:t>
      </w:r>
      <w:r w:rsidRPr="00840201">
        <w:rPr>
          <w:rFonts w:ascii="IBM Plex Sans" w:eastAsiaTheme="minorHAnsi" w:hAnsi="IBM Plex Sans" w:cs="Calibri"/>
          <w:bCs/>
          <w:iCs/>
          <w:sz w:val="22"/>
        </w:rPr>
        <w:t xml:space="preserve">2022 when </w:t>
      </w:r>
      <w:r>
        <w:rPr>
          <w:rFonts w:ascii="IBM Plex Sans" w:eastAsiaTheme="minorHAnsi" w:hAnsi="IBM Plex Sans" w:cs="Calibri"/>
          <w:bCs/>
          <w:iCs/>
          <w:sz w:val="22"/>
        </w:rPr>
        <w:t xml:space="preserve">the figure was </w:t>
      </w:r>
      <w:r w:rsidRPr="00840201">
        <w:rPr>
          <w:rFonts w:ascii="IBM Plex Sans" w:eastAsiaTheme="minorHAnsi" w:hAnsi="IBM Plex Sans" w:cs="Calibri"/>
          <w:bCs/>
          <w:iCs/>
          <w:sz w:val="22"/>
        </w:rPr>
        <w:t>311 (13.6%)</w:t>
      </w:r>
      <w:r>
        <w:rPr>
          <w:rFonts w:ascii="IBM Plex Sans" w:eastAsiaTheme="minorHAnsi" w:hAnsi="IBM Plex Sans" w:cs="Calibri"/>
          <w:bCs/>
          <w:iCs/>
          <w:sz w:val="22"/>
        </w:rPr>
        <w:t xml:space="preserve">. However, at </w:t>
      </w:r>
      <w:r w:rsidR="009A1F5F">
        <w:rPr>
          <w:rFonts w:ascii="IBM Plex Sans" w:eastAsiaTheme="minorHAnsi" w:hAnsi="IBM Plex Sans" w:cs="Calibri"/>
          <w:bCs/>
          <w:iCs/>
          <w:sz w:val="22"/>
        </w:rPr>
        <w:t>223 there</w:t>
      </w:r>
      <w:r>
        <w:rPr>
          <w:rFonts w:ascii="IBM Plex Sans" w:eastAsiaTheme="minorHAnsi" w:hAnsi="IBM Plex Sans" w:cs="Calibri"/>
          <w:bCs/>
          <w:iCs/>
          <w:sz w:val="22"/>
        </w:rPr>
        <w:t xml:space="preserve"> is still a large </w:t>
      </w:r>
      <w:r w:rsidRPr="007630BE">
        <w:rPr>
          <w:rFonts w:ascii="IBM Plex Sans" w:eastAsiaTheme="minorHAnsi" w:hAnsi="IBM Plex Sans" w:cs="Calibri"/>
          <w:bCs/>
          <w:iCs/>
          <w:sz w:val="22"/>
        </w:rPr>
        <w:t xml:space="preserve">number of staff for whom ethnicity is either not stated or unspecified. </w:t>
      </w:r>
      <w:r>
        <w:rPr>
          <w:rFonts w:ascii="IBM Plex Sans" w:eastAsiaTheme="minorHAnsi" w:hAnsi="IBM Plex Sans" w:cs="Calibri"/>
          <w:bCs/>
          <w:iCs/>
          <w:sz w:val="22"/>
        </w:rPr>
        <w:t xml:space="preserve">The data also shows a growing proportion of new hires for whom ethnicity information is not stated. This finding is based on examining how many new hires have ethnicity recorded as either ‘not stated’ or ‘unspecified’ by the original hire year. This may be linked to administrative changes or indicate </w:t>
      </w:r>
      <w:r>
        <w:rPr>
          <w:rFonts w:ascii="IBM Plex Sans" w:eastAsiaTheme="minorHAnsi" w:hAnsi="IBM Plex Sans" w:cs="Calibri"/>
          <w:bCs/>
          <w:iCs/>
          <w:sz w:val="22"/>
        </w:rPr>
        <w:lastRenderedPageBreak/>
        <w:t>a growing unwillingness among staff to declare their ethnic status, possibly driven by social factors. In any event, this needs to be better understood because l</w:t>
      </w:r>
      <w:r w:rsidRPr="007630BE">
        <w:rPr>
          <w:rFonts w:ascii="IBM Plex Sans" w:eastAsiaTheme="minorHAnsi" w:hAnsi="IBM Plex Sans" w:cs="Calibri"/>
          <w:bCs/>
          <w:iCs/>
          <w:sz w:val="22"/>
        </w:rPr>
        <w:t xml:space="preserve">ow ethnicity </w:t>
      </w:r>
      <w:r>
        <w:rPr>
          <w:rFonts w:ascii="IBM Plex Sans" w:eastAsiaTheme="minorHAnsi" w:hAnsi="IBM Plex Sans" w:cs="Calibri"/>
          <w:bCs/>
          <w:iCs/>
          <w:sz w:val="22"/>
        </w:rPr>
        <w:t xml:space="preserve">declaration </w:t>
      </w:r>
      <w:r w:rsidRPr="007630BE">
        <w:rPr>
          <w:rFonts w:ascii="IBM Plex Sans" w:eastAsiaTheme="minorHAnsi" w:hAnsi="IBM Plex Sans" w:cs="Calibri"/>
          <w:bCs/>
          <w:iCs/>
          <w:sz w:val="22"/>
        </w:rPr>
        <w:t xml:space="preserve">rates are a </w:t>
      </w:r>
      <w:r>
        <w:rPr>
          <w:rFonts w:ascii="IBM Plex Sans" w:eastAsiaTheme="minorHAnsi" w:hAnsi="IBM Plex Sans" w:cs="Calibri"/>
          <w:bCs/>
          <w:iCs/>
          <w:sz w:val="22"/>
        </w:rPr>
        <w:t xml:space="preserve">barrier to addressing </w:t>
      </w:r>
      <w:r w:rsidRPr="007630BE">
        <w:rPr>
          <w:rFonts w:ascii="IBM Plex Sans" w:eastAsiaTheme="minorHAnsi" w:hAnsi="IBM Plex Sans" w:cs="Calibri"/>
          <w:bCs/>
          <w:iCs/>
          <w:sz w:val="22"/>
        </w:rPr>
        <w:t>ethnicity pay gaps.</w:t>
      </w:r>
    </w:p>
    <w:p w14:paraId="7D7D8996" w14:textId="77777777" w:rsidR="00692C8C" w:rsidRDefault="00692C8C" w:rsidP="00692C8C">
      <w:pPr>
        <w:spacing w:before="0" w:after="0"/>
        <w:jc w:val="both"/>
        <w:rPr>
          <w:rFonts w:ascii="IBM Plex Sans" w:eastAsiaTheme="minorHAnsi" w:hAnsi="IBM Plex Sans" w:cs="Calibri"/>
          <w:bCs/>
          <w:iCs/>
          <w:sz w:val="22"/>
        </w:rPr>
      </w:pPr>
    </w:p>
    <w:p w14:paraId="60C74235" w14:textId="0A407CF9" w:rsidR="00692C8C" w:rsidRPr="000C36F0" w:rsidRDefault="00692C8C" w:rsidP="00692C8C">
      <w:pPr>
        <w:spacing w:before="0" w:after="0"/>
        <w:jc w:val="both"/>
        <w:rPr>
          <w:rFonts w:ascii="IBM Plex Sans Medium" w:hAnsi="IBM Plex Sans Medium" w:cs="Calibri"/>
          <w:b/>
          <w:bCs/>
          <w:sz w:val="20"/>
          <w:szCs w:val="20"/>
        </w:rPr>
      </w:pPr>
      <w:bookmarkStart w:id="47" w:name="_Toc157514667"/>
      <w:r w:rsidRPr="000C36F0">
        <w:rPr>
          <w:rFonts w:ascii="IBM Plex Sans Medium" w:hAnsi="IBM Plex Sans Medium"/>
          <w:sz w:val="20"/>
          <w:szCs w:val="20"/>
        </w:rPr>
        <w:t xml:space="preserve">Figure </w:t>
      </w:r>
      <w:r w:rsidRPr="000C36F0">
        <w:rPr>
          <w:rFonts w:ascii="IBM Plex Sans Medium" w:hAnsi="IBM Plex Sans Medium"/>
          <w:b/>
          <w:bCs/>
          <w:sz w:val="20"/>
          <w:szCs w:val="20"/>
        </w:rPr>
        <w:fldChar w:fldCharType="begin"/>
      </w:r>
      <w:r w:rsidRPr="000C36F0">
        <w:rPr>
          <w:rFonts w:ascii="IBM Plex Sans Medium" w:hAnsi="IBM Plex Sans Medium"/>
          <w:sz w:val="20"/>
          <w:szCs w:val="20"/>
        </w:rPr>
        <w:instrText xml:space="preserve"> SEQ Figure \* ARABIC </w:instrText>
      </w:r>
      <w:r w:rsidRPr="000C36F0">
        <w:rPr>
          <w:rFonts w:ascii="IBM Plex Sans Medium" w:hAnsi="IBM Plex Sans Medium"/>
          <w:b/>
          <w:bCs/>
          <w:sz w:val="20"/>
          <w:szCs w:val="20"/>
        </w:rPr>
        <w:fldChar w:fldCharType="separate"/>
      </w:r>
      <w:r w:rsidR="006E5383">
        <w:rPr>
          <w:rFonts w:ascii="IBM Plex Sans Medium" w:hAnsi="IBM Plex Sans Medium"/>
          <w:noProof/>
          <w:sz w:val="20"/>
          <w:szCs w:val="20"/>
        </w:rPr>
        <w:t>15</w:t>
      </w:r>
      <w:r w:rsidRPr="000C36F0">
        <w:rPr>
          <w:rFonts w:ascii="IBM Plex Sans Medium" w:hAnsi="IBM Plex Sans Medium"/>
          <w:b/>
          <w:bCs/>
          <w:sz w:val="20"/>
          <w:szCs w:val="20"/>
        </w:rPr>
        <w:fldChar w:fldCharType="end"/>
      </w:r>
      <w:r w:rsidRPr="000C36F0">
        <w:rPr>
          <w:rFonts w:ascii="IBM Plex Sans Medium" w:hAnsi="IBM Plex Sans Medium"/>
          <w:sz w:val="20"/>
          <w:szCs w:val="20"/>
        </w:rPr>
        <w:t xml:space="preserve"> </w:t>
      </w:r>
      <w:r w:rsidRPr="000C36F0">
        <w:rPr>
          <w:rFonts w:ascii="IBM Plex Sans Medium" w:hAnsi="IBM Plex Sans Medium" w:cs="Calibri"/>
          <w:sz w:val="20"/>
          <w:szCs w:val="20"/>
        </w:rPr>
        <w:t>Proportion of new hires where ethnicity is 'not stated' or 'unspecified' by year</w:t>
      </w:r>
      <w:bookmarkEnd w:id="47"/>
    </w:p>
    <w:p w14:paraId="5743C5C4" w14:textId="77777777" w:rsidR="00692C8C" w:rsidRDefault="00692C8C" w:rsidP="00692C8C">
      <w:pPr>
        <w:spacing w:before="0" w:after="0"/>
        <w:jc w:val="both"/>
        <w:rPr>
          <w:rFonts w:ascii="IBM Plex Sans" w:eastAsiaTheme="minorHAnsi" w:hAnsi="IBM Plex Sans" w:cs="Calibri"/>
          <w:bCs/>
          <w:iCs/>
          <w:sz w:val="22"/>
        </w:rPr>
      </w:pPr>
      <w:r>
        <w:rPr>
          <w:noProof/>
        </w:rPr>
        <w:drawing>
          <wp:inline distT="0" distB="0" distL="0" distR="0" wp14:anchorId="4D9C719D" wp14:editId="05BF6663">
            <wp:extent cx="5943600" cy="3225165"/>
            <wp:effectExtent l="0" t="0" r="0" b="0"/>
            <wp:docPr id="94868642" name="Chart 1">
              <a:extLst xmlns:a="http://schemas.openxmlformats.org/drawingml/2006/main">
                <a:ext uri="{FF2B5EF4-FFF2-40B4-BE49-F238E27FC236}">
                  <a16:creationId xmlns:a16="http://schemas.microsoft.com/office/drawing/2014/main" id="{E9A73026-916F-F2FE-6CCB-4BFCFFDDE5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BFFAF41" w14:textId="1CD3ED3D" w:rsidR="00667331" w:rsidRPr="00AC6A2F" w:rsidRDefault="00667331" w:rsidP="00667331">
      <w:pPr>
        <w:pStyle w:val="TableofFigures"/>
        <w:tabs>
          <w:tab w:val="right" w:leader="dot" w:pos="9350"/>
        </w:tabs>
        <w:spacing w:before="0"/>
        <w:outlineLvl w:val="0"/>
        <w:rPr>
          <w:rStyle w:val="Hyperlink"/>
          <w:rFonts w:ascii="IBM Plex Sans Medium" w:hAnsi="IBM Plex Sans Medium"/>
          <w:noProof/>
          <w:color w:val="5C00D6"/>
          <w:sz w:val="22"/>
          <w:u w:val="none"/>
        </w:rPr>
      </w:pPr>
      <w:bookmarkStart w:id="48" w:name="_Toc157514644"/>
      <w:r>
        <w:rPr>
          <w:rStyle w:val="Hyperlink"/>
          <w:rFonts w:ascii="IBM Plex Sans Medium" w:hAnsi="IBM Plex Sans Medium"/>
          <w:noProof/>
          <w:color w:val="5C00D6"/>
          <w:sz w:val="22"/>
          <w:u w:val="none"/>
        </w:rPr>
        <w:t xml:space="preserve">Ethnicity </w:t>
      </w:r>
      <w:r w:rsidRPr="00AC6A2F">
        <w:rPr>
          <w:rStyle w:val="Hyperlink"/>
          <w:rFonts w:ascii="IBM Plex Sans Medium" w:hAnsi="IBM Plex Sans Medium"/>
          <w:noProof/>
          <w:color w:val="5C00D6"/>
          <w:sz w:val="22"/>
          <w:u w:val="none"/>
        </w:rPr>
        <w:t>pay gap</w:t>
      </w:r>
      <w:bookmarkEnd w:id="48"/>
      <w:r w:rsidRPr="00AC6A2F">
        <w:rPr>
          <w:rStyle w:val="Hyperlink"/>
          <w:rFonts w:ascii="IBM Plex Sans Medium" w:hAnsi="IBM Plex Sans Medium"/>
          <w:noProof/>
          <w:color w:val="5C00D6"/>
          <w:sz w:val="22"/>
          <w:u w:val="none"/>
        </w:rPr>
        <w:t xml:space="preserve"> </w:t>
      </w:r>
    </w:p>
    <w:p w14:paraId="7CB30186" w14:textId="7331E09C" w:rsidR="00F441E5" w:rsidRDefault="000908B9" w:rsidP="00847BB0">
      <w:pPr>
        <w:spacing w:before="0" w:after="0"/>
        <w:jc w:val="both"/>
        <w:rPr>
          <w:rFonts w:ascii="IBM Plex Sans" w:eastAsiaTheme="minorHAnsi" w:hAnsi="IBM Plex Sans" w:cs="Calibri"/>
          <w:bCs/>
          <w:iCs/>
          <w:sz w:val="22"/>
        </w:rPr>
      </w:pPr>
      <w:r>
        <w:rPr>
          <w:rFonts w:ascii="IBM Plex Sans" w:eastAsiaTheme="minorHAnsi" w:hAnsi="IBM Plex Sans" w:cs="Calibri"/>
          <w:bCs/>
          <w:iCs/>
          <w:sz w:val="22"/>
        </w:rPr>
        <w:t xml:space="preserve">The ethnicity pay </w:t>
      </w:r>
      <w:r w:rsidR="00497F4E">
        <w:rPr>
          <w:rFonts w:ascii="IBM Plex Sans" w:eastAsiaTheme="minorHAnsi" w:hAnsi="IBM Plex Sans" w:cs="Calibri"/>
          <w:bCs/>
          <w:iCs/>
          <w:sz w:val="22"/>
        </w:rPr>
        <w:t>gap is the</w:t>
      </w:r>
      <w:r w:rsidR="00336E20">
        <w:rPr>
          <w:rFonts w:ascii="IBM Plex Sans" w:eastAsiaTheme="minorHAnsi" w:hAnsi="IBM Plex Sans" w:cs="Calibri"/>
          <w:bCs/>
          <w:iCs/>
          <w:sz w:val="22"/>
        </w:rPr>
        <w:t xml:space="preserve"> percentage</w:t>
      </w:r>
      <w:r w:rsidR="00497F4E">
        <w:rPr>
          <w:rFonts w:ascii="IBM Plex Sans" w:eastAsiaTheme="minorHAnsi" w:hAnsi="IBM Plex Sans" w:cs="Calibri"/>
          <w:bCs/>
          <w:iCs/>
          <w:sz w:val="22"/>
        </w:rPr>
        <w:t xml:space="preserve"> difference </w:t>
      </w:r>
      <w:r w:rsidR="00FD6B2F">
        <w:rPr>
          <w:rFonts w:ascii="IBM Plex Sans" w:eastAsiaTheme="minorHAnsi" w:hAnsi="IBM Plex Sans" w:cs="Calibri"/>
          <w:bCs/>
          <w:iCs/>
          <w:sz w:val="22"/>
        </w:rPr>
        <w:t>in average pay</w:t>
      </w:r>
      <w:r w:rsidR="009343A9">
        <w:rPr>
          <w:rFonts w:ascii="IBM Plex Sans" w:eastAsiaTheme="minorHAnsi" w:hAnsi="IBM Plex Sans" w:cs="Calibri"/>
          <w:bCs/>
          <w:iCs/>
          <w:sz w:val="22"/>
        </w:rPr>
        <w:t xml:space="preserve"> of </w:t>
      </w:r>
      <w:r w:rsidR="00551695">
        <w:rPr>
          <w:rFonts w:ascii="IBM Plex Sans" w:eastAsiaTheme="minorHAnsi" w:hAnsi="IBM Plex Sans" w:cs="Calibri"/>
          <w:bCs/>
          <w:iCs/>
          <w:sz w:val="22"/>
        </w:rPr>
        <w:t>the</w:t>
      </w:r>
      <w:r w:rsidR="009343A9">
        <w:rPr>
          <w:rFonts w:ascii="IBM Plex Sans" w:eastAsiaTheme="minorHAnsi" w:hAnsi="IBM Plex Sans" w:cs="Calibri"/>
          <w:bCs/>
          <w:iCs/>
          <w:sz w:val="22"/>
        </w:rPr>
        <w:t xml:space="preserve"> reference group (</w:t>
      </w:r>
      <w:r w:rsidR="000E1E9B">
        <w:rPr>
          <w:rFonts w:ascii="IBM Plex Sans" w:eastAsiaTheme="minorHAnsi" w:hAnsi="IBM Plex Sans" w:cs="Calibri"/>
          <w:bCs/>
          <w:iCs/>
          <w:sz w:val="22"/>
        </w:rPr>
        <w:t xml:space="preserve">White </w:t>
      </w:r>
      <w:r w:rsidR="009343A9">
        <w:rPr>
          <w:rFonts w:ascii="IBM Plex Sans" w:eastAsiaTheme="minorHAnsi" w:hAnsi="IBM Plex Sans" w:cs="Calibri"/>
          <w:bCs/>
          <w:iCs/>
          <w:sz w:val="22"/>
        </w:rPr>
        <w:t xml:space="preserve">employees) and </w:t>
      </w:r>
      <w:r w:rsidR="009A0267">
        <w:rPr>
          <w:rFonts w:ascii="IBM Plex Sans" w:eastAsiaTheme="minorHAnsi" w:hAnsi="IBM Plex Sans" w:cs="Calibri"/>
          <w:bCs/>
          <w:iCs/>
          <w:sz w:val="22"/>
        </w:rPr>
        <w:t>comparative ethnic groups.</w:t>
      </w:r>
      <w:r w:rsidR="00FD6B2F">
        <w:rPr>
          <w:rFonts w:ascii="IBM Plex Sans" w:eastAsiaTheme="minorHAnsi" w:hAnsi="IBM Plex Sans" w:cs="Calibri"/>
          <w:bCs/>
          <w:iCs/>
          <w:sz w:val="22"/>
        </w:rPr>
        <w:t xml:space="preserve"> </w:t>
      </w:r>
      <w:r w:rsidR="00985EC8">
        <w:rPr>
          <w:rFonts w:ascii="IBM Plex Sans" w:eastAsiaTheme="minorHAnsi" w:hAnsi="IBM Plex Sans" w:cs="Calibri"/>
          <w:bCs/>
          <w:iCs/>
          <w:sz w:val="22"/>
        </w:rPr>
        <w:t>T</w:t>
      </w:r>
      <w:r w:rsidR="001373A2" w:rsidRPr="0043451E">
        <w:rPr>
          <w:rFonts w:ascii="IBM Plex Sans" w:eastAsiaTheme="minorHAnsi" w:hAnsi="IBM Plex Sans" w:cs="Calibri"/>
          <w:bCs/>
          <w:iCs/>
          <w:sz w:val="22"/>
        </w:rPr>
        <w:t>he overall mean (average)</w:t>
      </w:r>
      <w:r w:rsidR="001373A2">
        <w:rPr>
          <w:rFonts w:ascii="IBM Plex Sans" w:eastAsiaTheme="minorHAnsi" w:hAnsi="IBM Plex Sans" w:cs="Calibri"/>
          <w:bCs/>
          <w:iCs/>
          <w:sz w:val="22"/>
        </w:rPr>
        <w:t xml:space="preserve"> ethnicity </w:t>
      </w:r>
      <w:r w:rsidR="001373A2" w:rsidRPr="0043451E">
        <w:rPr>
          <w:rFonts w:ascii="IBM Plex Sans" w:eastAsiaTheme="minorHAnsi" w:hAnsi="IBM Plex Sans" w:cs="Calibri"/>
          <w:bCs/>
          <w:iCs/>
          <w:sz w:val="22"/>
        </w:rPr>
        <w:t xml:space="preserve">pay gap at Public Health Wales is </w:t>
      </w:r>
      <w:r w:rsidR="00884457">
        <w:rPr>
          <w:rFonts w:ascii="IBM Plex Sans" w:eastAsiaTheme="minorHAnsi" w:hAnsi="IBM Plex Sans" w:cs="Calibri"/>
          <w:bCs/>
          <w:iCs/>
          <w:sz w:val="22"/>
        </w:rPr>
        <w:t xml:space="preserve">in favour of </w:t>
      </w:r>
      <w:r w:rsidR="00F719C7">
        <w:rPr>
          <w:rFonts w:ascii="IBM Plex Sans" w:eastAsiaTheme="minorHAnsi" w:hAnsi="IBM Plex Sans" w:cs="Calibri"/>
          <w:bCs/>
          <w:iCs/>
          <w:sz w:val="22"/>
        </w:rPr>
        <w:t>ethnic minority</w:t>
      </w:r>
      <w:r w:rsidR="00884457">
        <w:rPr>
          <w:rFonts w:ascii="IBM Plex Sans" w:eastAsiaTheme="minorHAnsi" w:hAnsi="IBM Plex Sans" w:cs="Calibri"/>
          <w:bCs/>
          <w:iCs/>
          <w:sz w:val="22"/>
        </w:rPr>
        <w:t xml:space="preserve"> staff</w:t>
      </w:r>
      <w:r w:rsidR="00C1228D">
        <w:rPr>
          <w:rFonts w:ascii="IBM Plex Sans" w:eastAsiaTheme="minorHAnsi" w:hAnsi="IBM Plex Sans" w:cs="Calibri"/>
          <w:bCs/>
          <w:iCs/>
          <w:sz w:val="22"/>
        </w:rPr>
        <w:t xml:space="preserve"> at -8.5%</w:t>
      </w:r>
      <w:r w:rsidR="00985EC8">
        <w:rPr>
          <w:rFonts w:ascii="IBM Plex Sans" w:eastAsiaTheme="minorHAnsi" w:hAnsi="IBM Plex Sans" w:cs="Calibri"/>
          <w:bCs/>
          <w:iCs/>
          <w:sz w:val="22"/>
        </w:rPr>
        <w:t xml:space="preserve">, while </w:t>
      </w:r>
      <w:r w:rsidR="00606A4E">
        <w:rPr>
          <w:rFonts w:ascii="IBM Plex Sans" w:eastAsiaTheme="minorHAnsi" w:hAnsi="IBM Plex Sans" w:cs="Calibri"/>
          <w:bCs/>
          <w:iCs/>
          <w:sz w:val="22"/>
        </w:rPr>
        <w:t>the median</w:t>
      </w:r>
      <w:r w:rsidR="001373A2" w:rsidRPr="0043451E">
        <w:rPr>
          <w:rFonts w:ascii="IBM Plex Sans" w:eastAsiaTheme="minorHAnsi" w:hAnsi="IBM Plex Sans" w:cs="Calibri"/>
          <w:bCs/>
          <w:iCs/>
          <w:sz w:val="22"/>
        </w:rPr>
        <w:t xml:space="preserve"> </w:t>
      </w:r>
      <w:r w:rsidR="00913AE6">
        <w:rPr>
          <w:rFonts w:ascii="IBM Plex Sans" w:eastAsiaTheme="minorHAnsi" w:hAnsi="IBM Plex Sans" w:cs="Calibri"/>
          <w:bCs/>
          <w:iCs/>
          <w:sz w:val="22"/>
        </w:rPr>
        <w:t xml:space="preserve">ethnicity </w:t>
      </w:r>
      <w:r w:rsidR="001373A2" w:rsidRPr="0043451E">
        <w:rPr>
          <w:rFonts w:ascii="IBM Plex Sans" w:eastAsiaTheme="minorHAnsi" w:hAnsi="IBM Plex Sans" w:cs="Calibri"/>
          <w:bCs/>
          <w:iCs/>
          <w:sz w:val="22"/>
        </w:rPr>
        <w:t xml:space="preserve">pay gap is </w:t>
      </w:r>
      <w:r w:rsidR="00884457">
        <w:rPr>
          <w:rFonts w:ascii="IBM Plex Sans" w:eastAsiaTheme="minorHAnsi" w:hAnsi="IBM Plex Sans" w:cs="Calibri"/>
          <w:bCs/>
          <w:iCs/>
          <w:sz w:val="22"/>
        </w:rPr>
        <w:t>2.3%</w:t>
      </w:r>
      <w:r w:rsidR="00606A4E">
        <w:rPr>
          <w:rFonts w:ascii="IBM Plex Sans" w:eastAsiaTheme="minorHAnsi" w:hAnsi="IBM Plex Sans" w:cs="Calibri"/>
          <w:bCs/>
          <w:iCs/>
          <w:sz w:val="22"/>
        </w:rPr>
        <w:t>.</w:t>
      </w:r>
      <w:r w:rsidR="00366F26">
        <w:rPr>
          <w:rFonts w:ascii="IBM Plex Sans" w:eastAsiaTheme="minorHAnsi" w:hAnsi="IBM Plex Sans" w:cs="Calibri"/>
          <w:bCs/>
          <w:iCs/>
          <w:sz w:val="22"/>
        </w:rPr>
        <w:t xml:space="preserve"> The mean pay gap is </w:t>
      </w:r>
      <w:r w:rsidR="00FB33B4">
        <w:rPr>
          <w:rFonts w:ascii="IBM Plex Sans" w:eastAsiaTheme="minorHAnsi" w:hAnsi="IBM Plex Sans" w:cs="Calibri"/>
          <w:bCs/>
          <w:iCs/>
          <w:sz w:val="22"/>
        </w:rPr>
        <w:t xml:space="preserve">affected by </w:t>
      </w:r>
      <w:r w:rsidR="007C320C">
        <w:rPr>
          <w:rFonts w:ascii="IBM Plex Sans" w:eastAsiaTheme="minorHAnsi" w:hAnsi="IBM Plex Sans" w:cs="Calibri"/>
          <w:bCs/>
          <w:iCs/>
          <w:sz w:val="22"/>
        </w:rPr>
        <w:t>a small number of high-pa</w:t>
      </w:r>
      <w:r w:rsidR="00A218F0">
        <w:rPr>
          <w:rFonts w:ascii="IBM Plex Sans" w:eastAsiaTheme="minorHAnsi" w:hAnsi="IBM Plex Sans" w:cs="Calibri"/>
          <w:bCs/>
          <w:iCs/>
          <w:sz w:val="22"/>
        </w:rPr>
        <w:t xml:space="preserve">id </w:t>
      </w:r>
      <w:r w:rsidR="007C320C">
        <w:rPr>
          <w:rFonts w:ascii="IBM Plex Sans" w:eastAsiaTheme="minorHAnsi" w:hAnsi="IBM Plex Sans" w:cs="Calibri"/>
          <w:bCs/>
          <w:iCs/>
          <w:sz w:val="22"/>
        </w:rPr>
        <w:t>staff</w:t>
      </w:r>
      <w:r w:rsidR="00036B2C">
        <w:rPr>
          <w:rFonts w:ascii="IBM Plex Sans" w:eastAsiaTheme="minorHAnsi" w:hAnsi="IBM Plex Sans" w:cs="Calibri"/>
          <w:bCs/>
          <w:iCs/>
          <w:sz w:val="22"/>
        </w:rPr>
        <w:t xml:space="preserve"> from ethnic minority groups</w:t>
      </w:r>
      <w:r w:rsidR="007C320C">
        <w:rPr>
          <w:rFonts w:ascii="IBM Plex Sans" w:eastAsiaTheme="minorHAnsi" w:hAnsi="IBM Plex Sans" w:cs="Calibri"/>
          <w:bCs/>
          <w:iCs/>
          <w:sz w:val="22"/>
        </w:rPr>
        <w:t xml:space="preserve">. </w:t>
      </w:r>
    </w:p>
    <w:p w14:paraId="30034AF3" w14:textId="77777777" w:rsidR="00F441E5" w:rsidRDefault="00F441E5" w:rsidP="00847BB0">
      <w:pPr>
        <w:spacing w:before="0" w:after="0"/>
        <w:jc w:val="both"/>
        <w:rPr>
          <w:rFonts w:ascii="IBM Plex Sans" w:eastAsiaTheme="minorHAnsi" w:hAnsi="IBM Plex Sans" w:cs="Calibri"/>
          <w:bCs/>
          <w:iCs/>
          <w:sz w:val="22"/>
        </w:rPr>
      </w:pPr>
    </w:p>
    <w:p w14:paraId="3C928FB0" w14:textId="4951EB56" w:rsidR="00CE695B" w:rsidRPr="000F076A" w:rsidRDefault="00036B2C" w:rsidP="000F076A">
      <w:pPr>
        <w:spacing w:before="0" w:after="0"/>
        <w:jc w:val="both"/>
        <w:rPr>
          <w:rFonts w:ascii="IBM Plex Sans" w:eastAsiaTheme="minorHAnsi" w:hAnsi="IBM Plex Sans" w:cs="Calibri"/>
          <w:bCs/>
          <w:iCs/>
          <w:sz w:val="22"/>
        </w:rPr>
      </w:pPr>
      <w:r w:rsidRPr="000F076A">
        <w:rPr>
          <w:rFonts w:ascii="IBM Plex Sans" w:eastAsiaTheme="minorHAnsi" w:hAnsi="IBM Plex Sans" w:cs="Calibri"/>
          <w:bCs/>
          <w:iCs/>
          <w:sz w:val="22"/>
        </w:rPr>
        <w:t>Fur</w:t>
      </w:r>
      <w:r w:rsidR="00286909" w:rsidRPr="000F076A">
        <w:rPr>
          <w:rFonts w:ascii="IBM Plex Sans" w:eastAsiaTheme="minorHAnsi" w:hAnsi="IBM Plex Sans" w:cs="Calibri"/>
          <w:bCs/>
          <w:iCs/>
          <w:sz w:val="22"/>
        </w:rPr>
        <w:t xml:space="preserve">ther analysis by </w:t>
      </w:r>
      <w:r w:rsidR="00B82D69" w:rsidRPr="000F076A">
        <w:rPr>
          <w:rFonts w:ascii="IBM Plex Sans" w:eastAsiaTheme="minorHAnsi" w:hAnsi="IBM Plex Sans" w:cs="Calibri"/>
          <w:bCs/>
          <w:iCs/>
          <w:sz w:val="22"/>
        </w:rPr>
        <w:t xml:space="preserve">ethnic group </w:t>
      </w:r>
      <w:r w:rsidR="00A35C0B" w:rsidRPr="000F076A">
        <w:rPr>
          <w:rFonts w:ascii="IBM Plex Sans" w:eastAsiaTheme="minorHAnsi" w:hAnsi="IBM Plex Sans" w:cs="Calibri"/>
          <w:bCs/>
          <w:iCs/>
          <w:sz w:val="22"/>
        </w:rPr>
        <w:t xml:space="preserve">shows </w:t>
      </w:r>
      <w:r w:rsidR="002659B6">
        <w:rPr>
          <w:rFonts w:ascii="IBM Plex Sans" w:eastAsiaTheme="minorHAnsi" w:hAnsi="IBM Plex Sans" w:cs="Calibri"/>
          <w:bCs/>
          <w:iCs/>
          <w:sz w:val="22"/>
        </w:rPr>
        <w:t>variations</w:t>
      </w:r>
      <w:r w:rsidR="00490BC7" w:rsidRPr="000F076A">
        <w:rPr>
          <w:rFonts w:ascii="IBM Plex Sans" w:eastAsiaTheme="minorHAnsi" w:hAnsi="IBM Plex Sans" w:cs="Calibri"/>
          <w:bCs/>
          <w:iCs/>
          <w:sz w:val="22"/>
        </w:rPr>
        <w:t xml:space="preserve"> </w:t>
      </w:r>
      <w:r w:rsidR="005D532F">
        <w:rPr>
          <w:rFonts w:ascii="IBM Plex Sans" w:eastAsiaTheme="minorHAnsi" w:hAnsi="IBM Plex Sans" w:cs="Calibri"/>
          <w:bCs/>
          <w:iCs/>
          <w:sz w:val="22"/>
        </w:rPr>
        <w:t>among</w:t>
      </w:r>
      <w:r w:rsidR="00A31621" w:rsidRPr="000F076A">
        <w:rPr>
          <w:rFonts w:ascii="IBM Plex Sans" w:eastAsiaTheme="minorHAnsi" w:hAnsi="IBM Plex Sans" w:cs="Calibri"/>
          <w:bCs/>
          <w:iCs/>
          <w:sz w:val="22"/>
        </w:rPr>
        <w:t xml:space="preserve"> different ethnic </w:t>
      </w:r>
      <w:r w:rsidR="00A53465" w:rsidRPr="000F076A">
        <w:rPr>
          <w:rFonts w:ascii="IBM Plex Sans" w:eastAsiaTheme="minorHAnsi" w:hAnsi="IBM Plex Sans" w:cs="Calibri"/>
          <w:bCs/>
          <w:iCs/>
          <w:sz w:val="22"/>
        </w:rPr>
        <w:t>groups</w:t>
      </w:r>
      <w:r w:rsidR="008D1265">
        <w:rPr>
          <w:rFonts w:ascii="IBM Plex Sans" w:eastAsiaTheme="minorHAnsi" w:hAnsi="IBM Plex Sans" w:cs="Calibri"/>
          <w:bCs/>
          <w:iCs/>
          <w:sz w:val="22"/>
        </w:rPr>
        <w:t>, notably</w:t>
      </w:r>
      <w:r w:rsidR="006564DC" w:rsidRPr="000F076A">
        <w:rPr>
          <w:rFonts w:ascii="IBM Plex Sans" w:eastAsiaTheme="minorHAnsi" w:hAnsi="IBM Plex Sans" w:cs="Calibri"/>
          <w:bCs/>
          <w:iCs/>
          <w:sz w:val="22"/>
        </w:rPr>
        <w:t xml:space="preserve">: </w:t>
      </w:r>
    </w:p>
    <w:p w14:paraId="36AA8F02" w14:textId="19155E8E" w:rsidR="00CE695B" w:rsidRDefault="00AC685F" w:rsidP="00F72845">
      <w:pPr>
        <w:pStyle w:val="ListParagraph"/>
        <w:numPr>
          <w:ilvl w:val="0"/>
          <w:numId w:val="35"/>
        </w:numPr>
        <w:spacing w:before="0" w:after="0"/>
        <w:jc w:val="both"/>
        <w:rPr>
          <w:rFonts w:ascii="IBM Plex Sans" w:eastAsiaTheme="minorHAnsi" w:hAnsi="IBM Plex Sans" w:cs="Calibri"/>
          <w:bCs/>
          <w:iCs/>
          <w:sz w:val="22"/>
        </w:rPr>
      </w:pPr>
      <w:r>
        <w:rPr>
          <w:rFonts w:ascii="IBM Plex Sans" w:eastAsiaTheme="minorHAnsi" w:hAnsi="IBM Plex Sans" w:cs="Calibri"/>
          <w:bCs/>
          <w:iCs/>
          <w:sz w:val="22"/>
        </w:rPr>
        <w:t>T</w:t>
      </w:r>
      <w:r w:rsidR="00F13DF4" w:rsidRPr="000F076A">
        <w:rPr>
          <w:rFonts w:ascii="IBM Plex Sans" w:eastAsiaTheme="minorHAnsi" w:hAnsi="IBM Plex Sans" w:cs="Calibri"/>
          <w:bCs/>
          <w:iCs/>
          <w:sz w:val="22"/>
        </w:rPr>
        <w:t xml:space="preserve">he </w:t>
      </w:r>
      <w:r w:rsidR="0099474B" w:rsidRPr="000F076A">
        <w:rPr>
          <w:rFonts w:ascii="IBM Plex Sans" w:eastAsiaTheme="minorHAnsi" w:hAnsi="IBM Plex Sans" w:cs="Calibri"/>
          <w:bCs/>
          <w:iCs/>
          <w:sz w:val="22"/>
        </w:rPr>
        <w:t>pay gap is</w:t>
      </w:r>
      <w:r w:rsidR="00042141" w:rsidRPr="000F076A">
        <w:rPr>
          <w:rFonts w:ascii="IBM Plex Sans" w:eastAsiaTheme="minorHAnsi" w:hAnsi="IBM Plex Sans" w:cs="Calibri"/>
          <w:bCs/>
          <w:iCs/>
          <w:sz w:val="22"/>
        </w:rPr>
        <w:t xml:space="preserve"> </w:t>
      </w:r>
      <w:r w:rsidR="00E36576">
        <w:rPr>
          <w:rFonts w:ascii="IBM Plex Sans" w:eastAsiaTheme="minorHAnsi" w:hAnsi="IBM Plex Sans" w:cs="Calibri"/>
          <w:bCs/>
          <w:iCs/>
          <w:sz w:val="22"/>
        </w:rPr>
        <w:t>widest</w:t>
      </w:r>
      <w:r w:rsidR="00042141" w:rsidRPr="000F076A">
        <w:rPr>
          <w:rFonts w:ascii="IBM Plex Sans" w:eastAsiaTheme="minorHAnsi" w:hAnsi="IBM Plex Sans" w:cs="Calibri"/>
          <w:bCs/>
          <w:iCs/>
          <w:sz w:val="22"/>
        </w:rPr>
        <w:t xml:space="preserve"> between </w:t>
      </w:r>
      <w:r w:rsidR="0099474B" w:rsidRPr="000F076A">
        <w:rPr>
          <w:rFonts w:ascii="IBM Plex Sans" w:eastAsiaTheme="minorHAnsi" w:hAnsi="IBM Plex Sans" w:cs="Calibri"/>
          <w:bCs/>
          <w:iCs/>
          <w:sz w:val="22"/>
        </w:rPr>
        <w:t xml:space="preserve">staff </w:t>
      </w:r>
      <w:r w:rsidR="00680A28" w:rsidRPr="000F076A">
        <w:rPr>
          <w:rFonts w:ascii="IBM Plex Sans" w:eastAsiaTheme="minorHAnsi" w:hAnsi="IBM Plex Sans" w:cs="Calibri"/>
          <w:bCs/>
          <w:iCs/>
          <w:sz w:val="22"/>
        </w:rPr>
        <w:t xml:space="preserve">from </w:t>
      </w:r>
      <w:r w:rsidR="001D2B74">
        <w:rPr>
          <w:rFonts w:ascii="IBM Plex Sans" w:eastAsiaTheme="minorHAnsi" w:hAnsi="IBM Plex Sans" w:cs="Calibri"/>
          <w:bCs/>
          <w:iCs/>
          <w:sz w:val="22"/>
        </w:rPr>
        <w:t>M</w:t>
      </w:r>
      <w:r w:rsidR="00680A28" w:rsidRPr="000F076A">
        <w:rPr>
          <w:rFonts w:ascii="IBM Plex Sans" w:eastAsiaTheme="minorHAnsi" w:hAnsi="IBM Plex Sans" w:cs="Calibri"/>
          <w:bCs/>
          <w:iCs/>
          <w:sz w:val="22"/>
        </w:rPr>
        <w:t xml:space="preserve">ixed or </w:t>
      </w:r>
      <w:r w:rsidR="001D2B74">
        <w:rPr>
          <w:rFonts w:ascii="IBM Plex Sans" w:eastAsiaTheme="minorHAnsi" w:hAnsi="IBM Plex Sans" w:cs="Calibri"/>
          <w:bCs/>
          <w:iCs/>
          <w:sz w:val="22"/>
        </w:rPr>
        <w:t>M</w:t>
      </w:r>
      <w:r w:rsidR="00680A28" w:rsidRPr="000F076A">
        <w:rPr>
          <w:rFonts w:ascii="IBM Plex Sans" w:eastAsiaTheme="minorHAnsi" w:hAnsi="IBM Plex Sans" w:cs="Calibri"/>
          <w:bCs/>
          <w:iCs/>
          <w:sz w:val="22"/>
        </w:rPr>
        <w:t xml:space="preserve">ultiple ethnic groups and </w:t>
      </w:r>
      <w:r w:rsidR="001D2B74">
        <w:rPr>
          <w:rFonts w:ascii="IBM Plex Sans" w:eastAsiaTheme="minorHAnsi" w:hAnsi="IBM Plex Sans" w:cs="Calibri"/>
          <w:bCs/>
          <w:iCs/>
          <w:sz w:val="22"/>
        </w:rPr>
        <w:t>W</w:t>
      </w:r>
      <w:r w:rsidR="00B95790" w:rsidRPr="000F076A">
        <w:rPr>
          <w:rFonts w:ascii="IBM Plex Sans" w:eastAsiaTheme="minorHAnsi" w:hAnsi="IBM Plex Sans" w:cs="Calibri"/>
          <w:bCs/>
          <w:iCs/>
          <w:sz w:val="22"/>
        </w:rPr>
        <w:t xml:space="preserve">hite </w:t>
      </w:r>
      <w:r w:rsidR="00680A28" w:rsidRPr="000F076A">
        <w:rPr>
          <w:rFonts w:ascii="IBM Plex Sans" w:eastAsiaTheme="minorHAnsi" w:hAnsi="IBM Plex Sans" w:cs="Calibri"/>
          <w:bCs/>
          <w:iCs/>
          <w:sz w:val="22"/>
        </w:rPr>
        <w:t xml:space="preserve">staff, </w:t>
      </w:r>
      <w:r w:rsidR="00F56640" w:rsidRPr="000F076A">
        <w:rPr>
          <w:rFonts w:ascii="IBM Plex Sans" w:eastAsiaTheme="minorHAnsi" w:hAnsi="IBM Plex Sans" w:cs="Calibri"/>
          <w:bCs/>
          <w:iCs/>
          <w:sz w:val="22"/>
        </w:rPr>
        <w:t>with a mean pay gap of 12.</w:t>
      </w:r>
      <w:r w:rsidR="00B64A47" w:rsidRPr="000F076A">
        <w:rPr>
          <w:rFonts w:ascii="IBM Plex Sans" w:eastAsiaTheme="minorHAnsi" w:hAnsi="IBM Plex Sans" w:cs="Calibri"/>
          <w:bCs/>
          <w:iCs/>
          <w:sz w:val="22"/>
        </w:rPr>
        <w:t>3</w:t>
      </w:r>
      <w:r w:rsidR="00F56640" w:rsidRPr="000F076A">
        <w:rPr>
          <w:rFonts w:ascii="IBM Plex Sans" w:eastAsiaTheme="minorHAnsi" w:hAnsi="IBM Plex Sans" w:cs="Calibri"/>
          <w:bCs/>
          <w:iCs/>
          <w:sz w:val="22"/>
        </w:rPr>
        <w:t xml:space="preserve">% and a median pay gap of 17.5%. </w:t>
      </w:r>
    </w:p>
    <w:p w14:paraId="6AEF4ED4" w14:textId="7076A840" w:rsidR="007B0501" w:rsidRDefault="004A2F1E" w:rsidP="00F72845">
      <w:pPr>
        <w:pStyle w:val="ListParagraph"/>
        <w:numPr>
          <w:ilvl w:val="0"/>
          <w:numId w:val="35"/>
        </w:numPr>
        <w:spacing w:before="0" w:after="0"/>
        <w:jc w:val="both"/>
        <w:rPr>
          <w:rFonts w:ascii="IBM Plex Sans" w:eastAsiaTheme="minorHAnsi" w:hAnsi="IBM Plex Sans" w:cs="Calibri"/>
          <w:bCs/>
          <w:iCs/>
          <w:sz w:val="22"/>
        </w:rPr>
      </w:pPr>
      <w:r w:rsidRPr="000F076A">
        <w:rPr>
          <w:rFonts w:ascii="IBM Plex Sans" w:eastAsiaTheme="minorHAnsi" w:hAnsi="IBM Plex Sans" w:cs="Calibri"/>
          <w:bCs/>
          <w:iCs/>
          <w:sz w:val="22"/>
        </w:rPr>
        <w:t xml:space="preserve">The </w:t>
      </w:r>
      <w:r w:rsidR="00F45547">
        <w:rPr>
          <w:rFonts w:ascii="IBM Plex Sans" w:eastAsiaTheme="minorHAnsi" w:hAnsi="IBM Plex Sans" w:cs="Calibri"/>
          <w:bCs/>
          <w:iCs/>
          <w:sz w:val="22"/>
        </w:rPr>
        <w:t xml:space="preserve">mean </w:t>
      </w:r>
      <w:r w:rsidRPr="000F076A">
        <w:rPr>
          <w:rFonts w:ascii="IBM Plex Sans" w:eastAsiaTheme="minorHAnsi" w:hAnsi="IBM Plex Sans" w:cs="Calibri"/>
          <w:bCs/>
          <w:iCs/>
          <w:sz w:val="22"/>
        </w:rPr>
        <w:t xml:space="preserve">pay gap between </w:t>
      </w:r>
      <w:r w:rsidR="009D1924" w:rsidRPr="000F076A">
        <w:rPr>
          <w:rFonts w:ascii="IBM Plex Sans" w:eastAsiaTheme="minorHAnsi" w:hAnsi="IBM Plex Sans" w:cs="Calibri"/>
          <w:bCs/>
          <w:iCs/>
          <w:sz w:val="22"/>
        </w:rPr>
        <w:t>Bl</w:t>
      </w:r>
      <w:r w:rsidRPr="000F076A">
        <w:rPr>
          <w:rFonts w:ascii="IBM Plex Sans" w:eastAsiaTheme="minorHAnsi" w:hAnsi="IBM Plex Sans" w:cs="Calibri"/>
          <w:bCs/>
          <w:iCs/>
          <w:sz w:val="22"/>
        </w:rPr>
        <w:t>ack</w:t>
      </w:r>
      <w:r w:rsidR="000A21F2">
        <w:rPr>
          <w:rFonts w:ascii="IBM Plex Sans" w:eastAsiaTheme="minorHAnsi" w:hAnsi="IBM Plex Sans" w:cs="Calibri"/>
          <w:bCs/>
          <w:iCs/>
          <w:sz w:val="22"/>
        </w:rPr>
        <w:t>, Black Welsh and Black British (‘Black’)</w:t>
      </w:r>
      <w:r w:rsidRPr="000F076A">
        <w:rPr>
          <w:rFonts w:ascii="IBM Plex Sans" w:eastAsiaTheme="minorHAnsi" w:hAnsi="IBM Plex Sans" w:cs="Calibri"/>
          <w:bCs/>
          <w:iCs/>
          <w:sz w:val="22"/>
        </w:rPr>
        <w:t xml:space="preserve"> and </w:t>
      </w:r>
      <w:r w:rsidR="00CE695B">
        <w:rPr>
          <w:rFonts w:ascii="IBM Plex Sans" w:eastAsiaTheme="minorHAnsi" w:hAnsi="IBM Plex Sans" w:cs="Calibri"/>
          <w:bCs/>
          <w:iCs/>
          <w:sz w:val="22"/>
        </w:rPr>
        <w:t>W</w:t>
      </w:r>
      <w:r w:rsidRPr="000F076A">
        <w:rPr>
          <w:rFonts w:ascii="IBM Plex Sans" w:eastAsiaTheme="minorHAnsi" w:hAnsi="IBM Plex Sans" w:cs="Calibri"/>
          <w:bCs/>
          <w:iCs/>
          <w:sz w:val="22"/>
        </w:rPr>
        <w:t xml:space="preserve">hite staff </w:t>
      </w:r>
      <w:r w:rsidR="00550535" w:rsidRPr="000F076A">
        <w:rPr>
          <w:rFonts w:ascii="IBM Plex Sans" w:eastAsiaTheme="minorHAnsi" w:hAnsi="IBM Plex Sans" w:cs="Calibri"/>
          <w:bCs/>
          <w:iCs/>
          <w:sz w:val="22"/>
        </w:rPr>
        <w:t xml:space="preserve">is </w:t>
      </w:r>
      <w:r w:rsidR="00034D9C" w:rsidRPr="000F076A">
        <w:rPr>
          <w:rFonts w:ascii="IBM Plex Sans" w:eastAsiaTheme="minorHAnsi" w:hAnsi="IBM Plex Sans" w:cs="Calibri"/>
          <w:bCs/>
          <w:iCs/>
          <w:sz w:val="22"/>
        </w:rPr>
        <w:t xml:space="preserve">12.0% and </w:t>
      </w:r>
      <w:r w:rsidR="00F45547">
        <w:rPr>
          <w:rFonts w:ascii="IBM Plex Sans" w:eastAsiaTheme="minorHAnsi" w:hAnsi="IBM Plex Sans" w:cs="Calibri"/>
          <w:bCs/>
          <w:iCs/>
          <w:sz w:val="22"/>
        </w:rPr>
        <w:t>the</w:t>
      </w:r>
      <w:r w:rsidR="00034D9C" w:rsidRPr="000F076A">
        <w:rPr>
          <w:rFonts w:ascii="IBM Plex Sans" w:eastAsiaTheme="minorHAnsi" w:hAnsi="IBM Plex Sans" w:cs="Calibri"/>
          <w:bCs/>
          <w:iCs/>
          <w:sz w:val="22"/>
        </w:rPr>
        <w:t xml:space="preserve"> median pay gap </w:t>
      </w:r>
      <w:r w:rsidR="00F45547">
        <w:rPr>
          <w:rFonts w:ascii="IBM Plex Sans" w:eastAsiaTheme="minorHAnsi" w:hAnsi="IBM Plex Sans" w:cs="Calibri"/>
          <w:bCs/>
          <w:iCs/>
          <w:sz w:val="22"/>
        </w:rPr>
        <w:t>is</w:t>
      </w:r>
      <w:r w:rsidR="00034D9C" w:rsidRPr="000F076A">
        <w:rPr>
          <w:rFonts w:ascii="IBM Plex Sans" w:eastAsiaTheme="minorHAnsi" w:hAnsi="IBM Plex Sans" w:cs="Calibri"/>
          <w:bCs/>
          <w:iCs/>
          <w:sz w:val="22"/>
        </w:rPr>
        <w:t xml:space="preserve"> </w:t>
      </w:r>
      <w:r w:rsidR="00B64A47" w:rsidRPr="000F076A">
        <w:rPr>
          <w:rFonts w:ascii="IBM Plex Sans" w:eastAsiaTheme="minorHAnsi" w:hAnsi="IBM Plex Sans" w:cs="Calibri"/>
          <w:bCs/>
          <w:iCs/>
          <w:sz w:val="22"/>
        </w:rPr>
        <w:t>4.1%.</w:t>
      </w:r>
      <w:r w:rsidR="00DF1E30" w:rsidRPr="000F076A">
        <w:rPr>
          <w:rFonts w:ascii="IBM Plex Sans" w:eastAsiaTheme="minorHAnsi" w:hAnsi="IBM Plex Sans" w:cs="Calibri"/>
          <w:bCs/>
          <w:iCs/>
          <w:sz w:val="22"/>
        </w:rPr>
        <w:t xml:space="preserve"> </w:t>
      </w:r>
    </w:p>
    <w:p w14:paraId="573EC0E8" w14:textId="398BEA59" w:rsidR="00AC685F" w:rsidRDefault="00AC685F" w:rsidP="00AC685F">
      <w:pPr>
        <w:pStyle w:val="ListParagraph"/>
        <w:numPr>
          <w:ilvl w:val="0"/>
          <w:numId w:val="35"/>
        </w:numPr>
        <w:spacing w:before="0" w:after="0"/>
        <w:jc w:val="both"/>
        <w:rPr>
          <w:rFonts w:ascii="IBM Plex Sans" w:eastAsiaTheme="minorHAnsi" w:hAnsi="IBM Plex Sans" w:cs="Calibri"/>
          <w:bCs/>
          <w:iCs/>
          <w:sz w:val="22"/>
        </w:rPr>
      </w:pPr>
      <w:r>
        <w:rPr>
          <w:rFonts w:ascii="IBM Plex Sans" w:eastAsiaTheme="minorHAnsi" w:hAnsi="IBM Plex Sans" w:cs="Calibri"/>
          <w:bCs/>
          <w:iCs/>
          <w:sz w:val="22"/>
        </w:rPr>
        <w:lastRenderedPageBreak/>
        <w:t>T</w:t>
      </w:r>
      <w:r w:rsidRPr="00940D2B">
        <w:rPr>
          <w:rFonts w:ascii="IBM Plex Sans" w:eastAsiaTheme="minorHAnsi" w:hAnsi="IBM Plex Sans" w:cs="Calibri"/>
          <w:bCs/>
          <w:iCs/>
          <w:sz w:val="22"/>
        </w:rPr>
        <w:t xml:space="preserve">hose from </w:t>
      </w:r>
      <w:r>
        <w:rPr>
          <w:rFonts w:ascii="IBM Plex Sans" w:eastAsiaTheme="minorHAnsi" w:hAnsi="IBM Plex Sans" w:cs="Calibri"/>
          <w:bCs/>
          <w:iCs/>
          <w:sz w:val="22"/>
        </w:rPr>
        <w:t>B</w:t>
      </w:r>
      <w:r w:rsidRPr="00940D2B">
        <w:rPr>
          <w:rFonts w:ascii="IBM Plex Sans" w:eastAsiaTheme="minorHAnsi" w:hAnsi="IBM Plex Sans" w:cs="Calibri"/>
          <w:bCs/>
          <w:iCs/>
          <w:sz w:val="22"/>
        </w:rPr>
        <w:t xml:space="preserve">lack and </w:t>
      </w:r>
      <w:r>
        <w:rPr>
          <w:rFonts w:ascii="IBM Plex Sans" w:eastAsiaTheme="minorHAnsi" w:hAnsi="IBM Plex Sans" w:cs="Calibri"/>
          <w:bCs/>
          <w:iCs/>
          <w:sz w:val="22"/>
        </w:rPr>
        <w:t>M</w:t>
      </w:r>
      <w:r w:rsidRPr="00940D2B">
        <w:rPr>
          <w:rFonts w:ascii="IBM Plex Sans" w:eastAsiaTheme="minorHAnsi" w:hAnsi="IBM Plex Sans" w:cs="Calibri"/>
          <w:bCs/>
          <w:iCs/>
          <w:sz w:val="22"/>
        </w:rPr>
        <w:t>ixed</w:t>
      </w:r>
      <w:r>
        <w:rPr>
          <w:rFonts w:ascii="IBM Plex Sans" w:eastAsiaTheme="minorHAnsi" w:hAnsi="IBM Plex Sans" w:cs="Calibri"/>
          <w:bCs/>
          <w:iCs/>
          <w:sz w:val="22"/>
        </w:rPr>
        <w:t xml:space="preserve"> or Multiple</w:t>
      </w:r>
      <w:r w:rsidRPr="00940D2B">
        <w:rPr>
          <w:rFonts w:ascii="IBM Plex Sans" w:eastAsiaTheme="minorHAnsi" w:hAnsi="IBM Plex Sans" w:cs="Calibri"/>
          <w:bCs/>
          <w:iCs/>
          <w:sz w:val="22"/>
        </w:rPr>
        <w:t xml:space="preserve"> </w:t>
      </w:r>
      <w:r>
        <w:rPr>
          <w:rFonts w:ascii="IBM Plex Sans" w:eastAsiaTheme="minorHAnsi" w:hAnsi="IBM Plex Sans" w:cs="Calibri"/>
          <w:bCs/>
          <w:iCs/>
          <w:sz w:val="22"/>
        </w:rPr>
        <w:t>e</w:t>
      </w:r>
      <w:r w:rsidRPr="00940D2B">
        <w:rPr>
          <w:rFonts w:ascii="IBM Plex Sans" w:eastAsiaTheme="minorHAnsi" w:hAnsi="IBM Plex Sans" w:cs="Calibri"/>
          <w:bCs/>
          <w:iCs/>
          <w:sz w:val="22"/>
        </w:rPr>
        <w:t>thnic groups have lower average pay than Asian</w:t>
      </w:r>
      <w:r w:rsidR="000A21F2">
        <w:rPr>
          <w:rFonts w:ascii="IBM Plex Sans" w:eastAsiaTheme="minorHAnsi" w:hAnsi="IBM Plex Sans" w:cs="Calibri"/>
          <w:bCs/>
          <w:iCs/>
          <w:sz w:val="22"/>
        </w:rPr>
        <w:t xml:space="preserve">, Asian Welsh and Asian British (‘Asian’) </w:t>
      </w:r>
      <w:r w:rsidRPr="00940D2B">
        <w:rPr>
          <w:rFonts w:ascii="IBM Plex Sans" w:eastAsiaTheme="minorHAnsi" w:hAnsi="IBM Plex Sans" w:cs="Calibri"/>
          <w:bCs/>
          <w:iCs/>
          <w:sz w:val="22"/>
        </w:rPr>
        <w:t xml:space="preserve">staff. </w:t>
      </w:r>
    </w:p>
    <w:p w14:paraId="10BABF41" w14:textId="0F6BB352" w:rsidR="004A2F1E" w:rsidRPr="000F076A" w:rsidRDefault="009D1924" w:rsidP="000F076A">
      <w:pPr>
        <w:pStyle w:val="ListParagraph"/>
        <w:numPr>
          <w:ilvl w:val="0"/>
          <w:numId w:val="35"/>
        </w:numPr>
        <w:spacing w:before="0" w:after="0"/>
        <w:jc w:val="both"/>
        <w:rPr>
          <w:rFonts w:ascii="IBM Plex Sans" w:eastAsiaTheme="minorHAnsi" w:hAnsi="IBM Plex Sans" w:cs="Calibri"/>
          <w:bCs/>
          <w:iCs/>
          <w:sz w:val="22"/>
        </w:rPr>
      </w:pPr>
      <w:r w:rsidRPr="000F076A">
        <w:rPr>
          <w:rFonts w:ascii="IBM Plex Sans" w:eastAsiaTheme="minorHAnsi" w:hAnsi="IBM Plex Sans" w:cs="Calibri"/>
          <w:bCs/>
          <w:iCs/>
          <w:sz w:val="22"/>
        </w:rPr>
        <w:t xml:space="preserve">The gap between </w:t>
      </w:r>
      <w:r w:rsidR="00AC4143" w:rsidRPr="000F076A">
        <w:rPr>
          <w:rFonts w:ascii="IBM Plex Sans" w:eastAsiaTheme="minorHAnsi" w:hAnsi="IBM Plex Sans" w:cs="Calibri"/>
          <w:bCs/>
          <w:iCs/>
          <w:sz w:val="22"/>
        </w:rPr>
        <w:t xml:space="preserve">mean hourly pay for </w:t>
      </w:r>
      <w:r w:rsidRPr="000F076A">
        <w:rPr>
          <w:rFonts w:ascii="IBM Plex Sans" w:eastAsiaTheme="minorHAnsi" w:hAnsi="IBM Plex Sans" w:cs="Calibri"/>
          <w:bCs/>
          <w:iCs/>
          <w:sz w:val="22"/>
        </w:rPr>
        <w:t>Asian</w:t>
      </w:r>
      <w:r w:rsidR="00A10869">
        <w:rPr>
          <w:rFonts w:ascii="IBM Plex Sans" w:eastAsiaTheme="minorHAnsi" w:hAnsi="IBM Plex Sans" w:cs="Calibri"/>
          <w:bCs/>
          <w:iCs/>
          <w:sz w:val="22"/>
        </w:rPr>
        <w:t>,</w:t>
      </w:r>
      <w:r w:rsidR="00A10869" w:rsidRPr="00A10869">
        <w:rPr>
          <w:rFonts w:ascii="IBM Plex Sans" w:eastAsiaTheme="minorHAnsi" w:hAnsi="IBM Plex Sans" w:cs="Calibri"/>
          <w:bCs/>
          <w:iCs/>
          <w:sz w:val="22"/>
        </w:rPr>
        <w:t xml:space="preserve"> </w:t>
      </w:r>
      <w:r w:rsidR="00A10869">
        <w:rPr>
          <w:rFonts w:ascii="IBM Plex Sans" w:eastAsiaTheme="minorHAnsi" w:hAnsi="IBM Plex Sans" w:cs="Calibri"/>
          <w:bCs/>
          <w:iCs/>
          <w:sz w:val="22"/>
        </w:rPr>
        <w:t>Asian Welsh and Asian British</w:t>
      </w:r>
      <w:r w:rsidRPr="000F076A">
        <w:rPr>
          <w:rFonts w:ascii="IBM Plex Sans" w:eastAsiaTheme="minorHAnsi" w:hAnsi="IBM Plex Sans" w:cs="Calibri"/>
          <w:bCs/>
          <w:iCs/>
          <w:sz w:val="22"/>
        </w:rPr>
        <w:t xml:space="preserve"> </w:t>
      </w:r>
      <w:r w:rsidR="005D69D0">
        <w:rPr>
          <w:rFonts w:ascii="IBM Plex Sans" w:eastAsiaTheme="minorHAnsi" w:hAnsi="IBM Plex Sans" w:cs="Calibri"/>
          <w:bCs/>
          <w:iCs/>
          <w:sz w:val="22"/>
        </w:rPr>
        <w:t xml:space="preserve">staff </w:t>
      </w:r>
      <w:r w:rsidRPr="000F076A">
        <w:rPr>
          <w:rFonts w:ascii="IBM Plex Sans" w:eastAsiaTheme="minorHAnsi" w:hAnsi="IBM Plex Sans" w:cs="Calibri"/>
          <w:bCs/>
          <w:iCs/>
          <w:sz w:val="22"/>
        </w:rPr>
        <w:t xml:space="preserve">and </w:t>
      </w:r>
      <w:r w:rsidR="007B0501">
        <w:rPr>
          <w:rFonts w:ascii="IBM Plex Sans" w:eastAsiaTheme="minorHAnsi" w:hAnsi="IBM Plex Sans" w:cs="Calibri"/>
          <w:bCs/>
          <w:iCs/>
          <w:sz w:val="22"/>
        </w:rPr>
        <w:t>W</w:t>
      </w:r>
      <w:r w:rsidRPr="000F076A">
        <w:rPr>
          <w:rFonts w:ascii="IBM Plex Sans" w:eastAsiaTheme="minorHAnsi" w:hAnsi="IBM Plex Sans" w:cs="Calibri"/>
          <w:bCs/>
          <w:iCs/>
          <w:sz w:val="22"/>
        </w:rPr>
        <w:t>hite staff is in favour of Asia</w:t>
      </w:r>
      <w:r w:rsidR="00AC4143" w:rsidRPr="000F076A">
        <w:rPr>
          <w:rFonts w:ascii="IBM Plex Sans" w:eastAsiaTheme="minorHAnsi" w:hAnsi="IBM Plex Sans" w:cs="Calibri"/>
          <w:bCs/>
          <w:iCs/>
          <w:sz w:val="22"/>
        </w:rPr>
        <w:t>n staff</w:t>
      </w:r>
      <w:r w:rsidR="007B0501">
        <w:rPr>
          <w:rFonts w:ascii="IBM Plex Sans" w:eastAsiaTheme="minorHAnsi" w:hAnsi="IBM Plex Sans" w:cs="Calibri"/>
          <w:bCs/>
          <w:iCs/>
          <w:sz w:val="22"/>
        </w:rPr>
        <w:t xml:space="preserve"> at </w:t>
      </w:r>
      <w:r w:rsidR="007B0501" w:rsidRPr="00940D2B">
        <w:rPr>
          <w:rFonts w:ascii="IBM Plex Sans" w:eastAsiaTheme="minorHAnsi" w:hAnsi="IBM Plex Sans" w:cs="Calibri"/>
          <w:bCs/>
          <w:iCs/>
          <w:sz w:val="22"/>
        </w:rPr>
        <w:t>-27.8%</w:t>
      </w:r>
      <w:r w:rsidR="00CF2319" w:rsidRPr="000F076A">
        <w:rPr>
          <w:rFonts w:ascii="IBM Plex Sans" w:eastAsiaTheme="minorHAnsi" w:hAnsi="IBM Plex Sans" w:cs="Calibri"/>
          <w:bCs/>
          <w:iCs/>
          <w:sz w:val="22"/>
        </w:rPr>
        <w:t xml:space="preserve">, driven by a small number </w:t>
      </w:r>
      <w:r w:rsidR="002507A4" w:rsidRPr="000F076A">
        <w:rPr>
          <w:rFonts w:ascii="IBM Plex Sans" w:eastAsiaTheme="minorHAnsi" w:hAnsi="IBM Plex Sans" w:cs="Calibri"/>
          <w:bCs/>
          <w:iCs/>
          <w:sz w:val="22"/>
        </w:rPr>
        <w:t xml:space="preserve">of Asian staff </w:t>
      </w:r>
      <w:r w:rsidR="00CF2319" w:rsidRPr="000F076A">
        <w:rPr>
          <w:rFonts w:ascii="IBM Plex Sans" w:eastAsiaTheme="minorHAnsi" w:hAnsi="IBM Plex Sans" w:cs="Calibri"/>
          <w:bCs/>
          <w:iCs/>
          <w:sz w:val="22"/>
        </w:rPr>
        <w:t>with high pay</w:t>
      </w:r>
      <w:r w:rsidR="00C66D23">
        <w:rPr>
          <w:rFonts w:ascii="IBM Plex Sans" w:eastAsiaTheme="minorHAnsi" w:hAnsi="IBM Plex Sans" w:cs="Calibri"/>
          <w:bCs/>
          <w:iCs/>
          <w:sz w:val="22"/>
        </w:rPr>
        <w:t>. T</w:t>
      </w:r>
      <w:r w:rsidR="00B64A47" w:rsidRPr="000F076A">
        <w:rPr>
          <w:rFonts w:ascii="IBM Plex Sans" w:eastAsiaTheme="minorHAnsi" w:hAnsi="IBM Plex Sans" w:cs="Calibri"/>
          <w:bCs/>
          <w:iCs/>
          <w:sz w:val="22"/>
        </w:rPr>
        <w:t xml:space="preserve">he </w:t>
      </w:r>
      <w:r w:rsidR="00C66D23">
        <w:rPr>
          <w:rFonts w:ascii="IBM Plex Sans" w:eastAsiaTheme="minorHAnsi" w:hAnsi="IBM Plex Sans" w:cs="Calibri"/>
          <w:bCs/>
          <w:iCs/>
          <w:sz w:val="22"/>
        </w:rPr>
        <w:t xml:space="preserve">median pay </w:t>
      </w:r>
      <w:r w:rsidR="00B64A47" w:rsidRPr="000F076A">
        <w:rPr>
          <w:rFonts w:ascii="IBM Plex Sans" w:eastAsiaTheme="minorHAnsi" w:hAnsi="IBM Plex Sans" w:cs="Calibri"/>
          <w:bCs/>
          <w:iCs/>
          <w:sz w:val="22"/>
        </w:rPr>
        <w:t xml:space="preserve">gap is </w:t>
      </w:r>
      <w:r w:rsidR="00DF1E30" w:rsidRPr="000F076A">
        <w:rPr>
          <w:rFonts w:ascii="IBM Plex Sans" w:eastAsiaTheme="minorHAnsi" w:hAnsi="IBM Plex Sans" w:cs="Calibri"/>
          <w:bCs/>
          <w:iCs/>
          <w:sz w:val="22"/>
        </w:rPr>
        <w:t xml:space="preserve">2.3%. </w:t>
      </w:r>
    </w:p>
    <w:p w14:paraId="33F5B6CA" w14:textId="77777777" w:rsidR="001341E7" w:rsidRDefault="001341E7" w:rsidP="00847BB0">
      <w:pPr>
        <w:spacing w:before="0" w:after="0"/>
        <w:jc w:val="both"/>
        <w:rPr>
          <w:rFonts w:ascii="IBM Plex Sans" w:eastAsiaTheme="minorHAnsi" w:hAnsi="IBM Plex Sans" w:cs="Calibri"/>
          <w:bCs/>
          <w:iCs/>
          <w:sz w:val="22"/>
        </w:rPr>
      </w:pPr>
    </w:p>
    <w:p w14:paraId="258C04B7" w14:textId="6B8D4580" w:rsidR="00057A53" w:rsidRPr="00E87C2F" w:rsidRDefault="00057A53" w:rsidP="00847BB0">
      <w:pPr>
        <w:pStyle w:val="Caption"/>
        <w:spacing w:before="0" w:after="0"/>
        <w:rPr>
          <w:rFonts w:ascii="IBM Plex Sans Medium" w:hAnsi="IBM Plex Sans Medium" w:cs="Calibri"/>
          <w:b w:val="0"/>
          <w:bCs w:val="0"/>
          <w:sz w:val="20"/>
          <w:szCs w:val="20"/>
        </w:rPr>
      </w:pPr>
      <w:bookmarkStart w:id="49" w:name="_Toc157514675"/>
      <w:r w:rsidRPr="00E87C2F">
        <w:rPr>
          <w:rFonts w:ascii="IBM Plex Sans Medium" w:hAnsi="IBM Plex Sans Medium" w:cs="Calibri"/>
          <w:b w:val="0"/>
          <w:bCs w:val="0"/>
          <w:sz w:val="20"/>
          <w:szCs w:val="20"/>
        </w:rPr>
        <w:t xml:space="preserve">Table </w:t>
      </w:r>
      <w:r w:rsidRPr="00E87C2F">
        <w:rPr>
          <w:rFonts w:ascii="IBM Plex Sans Medium" w:hAnsi="IBM Plex Sans Medium" w:cs="Calibri"/>
          <w:b w:val="0"/>
          <w:bCs w:val="0"/>
          <w:sz w:val="20"/>
          <w:szCs w:val="20"/>
        </w:rPr>
        <w:fldChar w:fldCharType="begin"/>
      </w:r>
      <w:r w:rsidRPr="00E87C2F">
        <w:rPr>
          <w:rFonts w:ascii="IBM Plex Sans Medium" w:hAnsi="IBM Plex Sans Medium" w:cs="Calibri"/>
          <w:b w:val="0"/>
          <w:bCs w:val="0"/>
          <w:sz w:val="20"/>
          <w:szCs w:val="20"/>
        </w:rPr>
        <w:instrText xml:space="preserve"> SEQ Table \* ARABIC </w:instrText>
      </w:r>
      <w:r w:rsidRPr="00E87C2F">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7</w:t>
      </w:r>
      <w:r w:rsidRPr="00E87C2F">
        <w:rPr>
          <w:rFonts w:ascii="IBM Plex Sans Medium" w:hAnsi="IBM Plex Sans Medium" w:cs="Calibri"/>
          <w:b w:val="0"/>
          <w:bCs w:val="0"/>
          <w:sz w:val="20"/>
          <w:szCs w:val="20"/>
        </w:rPr>
        <w:fldChar w:fldCharType="end"/>
      </w:r>
      <w:r w:rsidRPr="00E87C2F">
        <w:rPr>
          <w:rFonts w:ascii="IBM Plex Sans Medium" w:hAnsi="IBM Plex Sans Medium" w:cs="Calibri"/>
          <w:b w:val="0"/>
          <w:bCs w:val="0"/>
          <w:sz w:val="20"/>
          <w:szCs w:val="20"/>
        </w:rPr>
        <w:t xml:space="preserve"> </w:t>
      </w:r>
      <w:r w:rsidR="004B759F">
        <w:rPr>
          <w:rFonts w:ascii="IBM Plex Sans Medium" w:hAnsi="IBM Plex Sans Medium" w:cs="Calibri"/>
          <w:b w:val="0"/>
          <w:bCs w:val="0"/>
          <w:sz w:val="20"/>
          <w:szCs w:val="20"/>
        </w:rPr>
        <w:t>Public Health Wales e</w:t>
      </w:r>
      <w:r>
        <w:rPr>
          <w:rFonts w:ascii="IBM Plex Sans Medium" w:hAnsi="IBM Plex Sans Medium" w:cs="Calibri"/>
          <w:b w:val="0"/>
          <w:bCs w:val="0"/>
          <w:sz w:val="20"/>
          <w:szCs w:val="20"/>
        </w:rPr>
        <w:t xml:space="preserve">thnicity </w:t>
      </w:r>
      <w:r w:rsidRPr="00E87C2F">
        <w:rPr>
          <w:rFonts w:ascii="IBM Plex Sans Medium" w:hAnsi="IBM Plex Sans Medium" w:cs="Calibri"/>
          <w:b w:val="0"/>
          <w:bCs w:val="0"/>
          <w:sz w:val="20"/>
          <w:szCs w:val="20"/>
        </w:rPr>
        <w:t>pay gap</w:t>
      </w:r>
      <w:r w:rsidR="00CA2D4B">
        <w:rPr>
          <w:rFonts w:ascii="IBM Plex Sans Medium" w:hAnsi="IBM Plex Sans Medium" w:cs="Calibri"/>
          <w:b w:val="0"/>
          <w:bCs w:val="0"/>
          <w:sz w:val="20"/>
          <w:szCs w:val="20"/>
        </w:rPr>
        <w:t>s</w:t>
      </w:r>
      <w:r w:rsidRPr="00E87C2F">
        <w:rPr>
          <w:rFonts w:ascii="IBM Plex Sans Medium" w:hAnsi="IBM Plex Sans Medium" w:cs="Calibri"/>
          <w:b w:val="0"/>
          <w:bCs w:val="0"/>
          <w:sz w:val="20"/>
          <w:szCs w:val="20"/>
        </w:rPr>
        <w:t xml:space="preserve"> </w:t>
      </w:r>
      <w:r w:rsidR="00830C4B" w:rsidRPr="00E87C2F">
        <w:rPr>
          <w:rFonts w:ascii="IBM Plex Sans Medium" w:hAnsi="IBM Plex Sans Medium" w:cs="Calibri"/>
          <w:b w:val="0"/>
          <w:bCs w:val="0"/>
          <w:sz w:val="20"/>
          <w:szCs w:val="20"/>
        </w:rPr>
        <w:t>on</w:t>
      </w:r>
      <w:r w:rsidRPr="00E87C2F">
        <w:rPr>
          <w:rFonts w:ascii="IBM Plex Sans Medium" w:hAnsi="IBM Plex Sans Medium" w:cs="Calibri"/>
          <w:b w:val="0"/>
          <w:bCs w:val="0"/>
          <w:sz w:val="20"/>
          <w:szCs w:val="20"/>
        </w:rPr>
        <w:t xml:space="preserve"> 31 March 202</w:t>
      </w:r>
      <w:r w:rsidR="003F098E">
        <w:rPr>
          <w:rFonts w:ascii="IBM Plex Sans Medium" w:hAnsi="IBM Plex Sans Medium" w:cs="Calibri"/>
          <w:b w:val="0"/>
          <w:bCs w:val="0"/>
          <w:sz w:val="20"/>
          <w:szCs w:val="20"/>
        </w:rPr>
        <w:t>3</w:t>
      </w:r>
      <w:bookmarkEnd w:id="49"/>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6091"/>
        <w:gridCol w:w="1559"/>
        <w:gridCol w:w="1700"/>
      </w:tblGrid>
      <w:tr w:rsidR="00057A53" w:rsidRPr="000E5B57" w14:paraId="430F2986" w14:textId="77777777" w:rsidTr="00C75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left w:val="single" w:sz="4" w:space="0" w:color="5C00D6"/>
              <w:bottom w:val="single" w:sz="4" w:space="0" w:color="5C00D6"/>
              <w:right w:val="single" w:sz="4" w:space="0" w:color="FFFFFF" w:themeColor="background1"/>
            </w:tcBorders>
            <w:shd w:val="clear" w:color="auto" w:fill="5C00D6"/>
          </w:tcPr>
          <w:p w14:paraId="079DB83A" w14:textId="77E4A107" w:rsidR="00057A53" w:rsidRPr="00D3346B" w:rsidRDefault="00057A53" w:rsidP="00FE6DBD">
            <w:pPr>
              <w:spacing w:before="0"/>
              <w:jc w:val="both"/>
              <w:rPr>
                <w:rFonts w:ascii="IBM Plex Sans Medium" w:eastAsiaTheme="minorHAnsi" w:hAnsi="IBM Plex Sans Medium" w:cs="Calibri"/>
                <w:b w:val="0"/>
                <w:bCs w:val="0"/>
                <w:color w:val="auto"/>
                <w:sz w:val="20"/>
                <w:szCs w:val="20"/>
                <w:lang w:val="en-GB"/>
              </w:rPr>
            </w:pPr>
          </w:p>
        </w:tc>
        <w:tc>
          <w:tcPr>
            <w:tcW w:w="1559" w:type="dxa"/>
            <w:tcBorders>
              <w:top w:val="single" w:sz="4" w:space="0" w:color="5C00D6"/>
              <w:left w:val="single" w:sz="4" w:space="0" w:color="FFFFFF" w:themeColor="background1"/>
              <w:bottom w:val="single" w:sz="4" w:space="0" w:color="5C00D6"/>
              <w:right w:val="single" w:sz="4" w:space="0" w:color="FFFFFF" w:themeColor="background1"/>
            </w:tcBorders>
            <w:shd w:val="clear" w:color="auto" w:fill="5C00D6"/>
          </w:tcPr>
          <w:p w14:paraId="48B13115" w14:textId="4C8B34B1" w:rsidR="00057A53" w:rsidRPr="00D3346B" w:rsidRDefault="00057A53" w:rsidP="00FE6DB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Mean</w:t>
            </w:r>
            <w:r w:rsidRPr="00D3346B">
              <w:rPr>
                <w:rFonts w:ascii="IBM Plex Sans Medium" w:eastAsia="Times New Roman" w:hAnsi="IBM Plex Sans Medium" w:cs="Arial"/>
                <w:b w:val="0"/>
                <w:bCs w:val="0"/>
                <w:color w:val="auto"/>
                <w:sz w:val="20"/>
                <w:szCs w:val="20"/>
                <w:lang w:eastAsia="en-GB"/>
              </w:rPr>
              <w:t xml:space="preserve"> </w:t>
            </w:r>
          </w:p>
        </w:tc>
        <w:tc>
          <w:tcPr>
            <w:tcW w:w="1700"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50B4CC51" w14:textId="502296D9" w:rsidR="00057A53" w:rsidRPr="00D3346B" w:rsidRDefault="006453E9" w:rsidP="00FE6DB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Median</w:t>
            </w:r>
          </w:p>
        </w:tc>
      </w:tr>
      <w:tr w:rsidR="00057A53" w:rsidRPr="000E5B57" w14:paraId="3BA8DA49" w14:textId="77777777" w:rsidTr="00C7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tcBorders>
            <w:shd w:val="clear" w:color="auto" w:fill="auto"/>
          </w:tcPr>
          <w:p w14:paraId="37B8DB50" w14:textId="655EFCE7" w:rsidR="00057A53" w:rsidRPr="00D3346B" w:rsidRDefault="002C215F" w:rsidP="00FE6DBD">
            <w:pPr>
              <w:spacing w:before="0"/>
              <w:jc w:val="both"/>
              <w:rPr>
                <w:rFonts w:ascii="IBM Plex Sans" w:eastAsiaTheme="minorHAnsi" w:hAnsi="IBM Plex Sans" w:cs="Calibri"/>
                <w:b w:val="0"/>
                <w:bCs w:val="0"/>
                <w:sz w:val="20"/>
                <w:szCs w:val="20"/>
                <w:lang w:val="en-GB"/>
              </w:rPr>
            </w:pPr>
            <w:r>
              <w:rPr>
                <w:rFonts w:ascii="IBM Plex Sans" w:eastAsiaTheme="minorHAnsi" w:hAnsi="IBM Plex Sans" w:cs="Calibri"/>
                <w:b w:val="0"/>
                <w:bCs w:val="0"/>
                <w:sz w:val="20"/>
                <w:szCs w:val="20"/>
                <w:lang w:val="en-GB"/>
              </w:rPr>
              <w:t>White</w:t>
            </w:r>
            <w:r w:rsidR="00057A53">
              <w:rPr>
                <w:rFonts w:ascii="IBM Plex Sans" w:eastAsiaTheme="minorHAnsi" w:hAnsi="IBM Plex Sans" w:cs="Calibri"/>
                <w:b w:val="0"/>
                <w:bCs w:val="0"/>
                <w:sz w:val="20"/>
                <w:szCs w:val="20"/>
                <w:lang w:val="en-GB"/>
              </w:rPr>
              <w:t xml:space="preserve"> staff</w:t>
            </w:r>
            <w:r w:rsidR="00742A05">
              <w:rPr>
                <w:rFonts w:ascii="IBM Plex Sans" w:eastAsiaTheme="minorHAnsi" w:hAnsi="IBM Plex Sans" w:cs="Calibri"/>
                <w:b w:val="0"/>
                <w:bCs w:val="0"/>
                <w:sz w:val="20"/>
                <w:szCs w:val="20"/>
                <w:lang w:val="en-GB"/>
              </w:rPr>
              <w:t xml:space="preserve"> </w:t>
            </w:r>
          </w:p>
        </w:tc>
        <w:tc>
          <w:tcPr>
            <w:tcW w:w="1559" w:type="dxa"/>
            <w:tcBorders>
              <w:top w:val="single" w:sz="4" w:space="0" w:color="5C00D6"/>
            </w:tcBorders>
            <w:shd w:val="clear" w:color="auto" w:fill="auto"/>
          </w:tcPr>
          <w:p w14:paraId="49C2598A" w14:textId="790D83C2" w:rsidR="00057A53" w:rsidRPr="00090295" w:rsidRDefault="008F1C2F"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090295">
              <w:rPr>
                <w:rFonts w:ascii="IBM Plex Sans" w:eastAsiaTheme="minorHAnsi" w:hAnsi="IBM Plex Sans" w:cs="Calibri"/>
                <w:sz w:val="20"/>
                <w:szCs w:val="20"/>
                <w:lang w:val="en-GB"/>
              </w:rPr>
              <w:t>£</w:t>
            </w:r>
            <w:r w:rsidR="00C051A0" w:rsidRPr="00090295">
              <w:rPr>
                <w:rFonts w:ascii="IBM Plex Sans" w:eastAsiaTheme="minorHAnsi" w:hAnsi="IBM Plex Sans" w:cs="Calibri"/>
                <w:sz w:val="20"/>
                <w:szCs w:val="20"/>
                <w:lang w:val="en-GB"/>
              </w:rPr>
              <w:t>20.57</w:t>
            </w:r>
          </w:p>
        </w:tc>
        <w:tc>
          <w:tcPr>
            <w:tcW w:w="1700" w:type="dxa"/>
            <w:tcBorders>
              <w:top w:val="single" w:sz="4" w:space="0" w:color="5C00D6"/>
            </w:tcBorders>
            <w:shd w:val="clear" w:color="auto" w:fill="auto"/>
          </w:tcPr>
          <w:p w14:paraId="3FF1D5EE" w14:textId="7BC17AB2" w:rsidR="00057A53" w:rsidRPr="007E263F" w:rsidRDefault="008F1C2F"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7E263F">
              <w:rPr>
                <w:rFonts w:ascii="IBM Plex Sans" w:eastAsiaTheme="minorHAnsi" w:hAnsi="IBM Plex Sans" w:cs="Calibri"/>
                <w:sz w:val="20"/>
                <w:szCs w:val="20"/>
                <w:lang w:val="en-GB"/>
              </w:rPr>
              <w:t>£</w:t>
            </w:r>
            <w:r w:rsidR="00C051A0" w:rsidRPr="007E263F">
              <w:rPr>
                <w:rFonts w:ascii="IBM Plex Sans" w:eastAsiaTheme="minorHAnsi" w:hAnsi="IBM Plex Sans" w:cs="Calibri"/>
                <w:sz w:val="20"/>
                <w:szCs w:val="20"/>
                <w:lang w:val="en-GB"/>
              </w:rPr>
              <w:t>17.24</w:t>
            </w:r>
          </w:p>
        </w:tc>
      </w:tr>
      <w:tr w:rsidR="00057A53" w:rsidRPr="000E5B57" w14:paraId="033DD253" w14:textId="77777777" w:rsidTr="00C75378">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tcBorders>
            <w:shd w:val="clear" w:color="auto" w:fill="auto"/>
          </w:tcPr>
          <w:p w14:paraId="57CAFFA7" w14:textId="24809B93" w:rsidR="00057A53" w:rsidRDefault="00476FBD" w:rsidP="00FE6DBD">
            <w:pPr>
              <w:spacing w:before="0"/>
              <w:jc w:val="both"/>
              <w:rPr>
                <w:rFonts w:ascii="IBM Plex Sans" w:eastAsia="Times New Roman" w:hAnsi="IBM Plex Sans" w:cs="Arial"/>
                <w:b w:val="0"/>
                <w:bCs w:val="0"/>
                <w:sz w:val="20"/>
                <w:szCs w:val="20"/>
                <w:lang w:eastAsia="en-GB"/>
              </w:rPr>
            </w:pPr>
            <w:r>
              <w:rPr>
                <w:rFonts w:ascii="IBM Plex Sans" w:eastAsia="Times New Roman" w:hAnsi="IBM Plex Sans" w:cs="Arial"/>
                <w:b w:val="0"/>
                <w:bCs w:val="0"/>
                <w:sz w:val="20"/>
                <w:szCs w:val="20"/>
                <w:lang w:eastAsia="en-GB"/>
              </w:rPr>
              <w:t>Eth</w:t>
            </w:r>
            <w:r w:rsidR="00F719C7">
              <w:rPr>
                <w:rFonts w:ascii="IBM Plex Sans" w:eastAsia="Times New Roman" w:hAnsi="IBM Plex Sans" w:cs="Arial"/>
                <w:b w:val="0"/>
                <w:bCs w:val="0"/>
                <w:sz w:val="20"/>
                <w:szCs w:val="20"/>
                <w:lang w:eastAsia="en-GB"/>
              </w:rPr>
              <w:t>nic minority</w:t>
            </w:r>
            <w:r w:rsidR="002C215F">
              <w:rPr>
                <w:rFonts w:ascii="IBM Plex Sans" w:eastAsia="Times New Roman" w:hAnsi="IBM Plex Sans" w:cs="Arial"/>
                <w:b w:val="0"/>
                <w:bCs w:val="0"/>
                <w:sz w:val="20"/>
                <w:szCs w:val="20"/>
                <w:lang w:eastAsia="en-GB"/>
              </w:rPr>
              <w:t xml:space="preserve"> </w:t>
            </w:r>
            <w:r w:rsidR="00057A53">
              <w:rPr>
                <w:rFonts w:ascii="IBM Plex Sans" w:eastAsia="Times New Roman" w:hAnsi="IBM Plex Sans" w:cs="Arial"/>
                <w:b w:val="0"/>
                <w:bCs w:val="0"/>
                <w:sz w:val="20"/>
                <w:szCs w:val="20"/>
                <w:lang w:eastAsia="en-GB"/>
              </w:rPr>
              <w:t>staff</w:t>
            </w:r>
            <w:r w:rsidR="00246897">
              <w:rPr>
                <w:rFonts w:ascii="IBM Plex Sans" w:eastAsia="Times New Roman" w:hAnsi="IBM Plex Sans" w:cs="Arial"/>
                <w:b w:val="0"/>
                <w:bCs w:val="0"/>
                <w:sz w:val="20"/>
                <w:szCs w:val="20"/>
                <w:lang w:eastAsia="en-GB"/>
              </w:rPr>
              <w:t xml:space="preserve"> </w:t>
            </w:r>
          </w:p>
        </w:tc>
        <w:tc>
          <w:tcPr>
            <w:tcW w:w="1559" w:type="dxa"/>
            <w:tcBorders>
              <w:top w:val="single" w:sz="4" w:space="0" w:color="5C00D6"/>
            </w:tcBorders>
            <w:shd w:val="clear" w:color="auto" w:fill="auto"/>
          </w:tcPr>
          <w:p w14:paraId="21BEA168" w14:textId="1684B286" w:rsidR="00057A53" w:rsidRPr="00090295" w:rsidRDefault="008F1C2F"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090295">
              <w:rPr>
                <w:rFonts w:ascii="IBM Plex Sans" w:eastAsiaTheme="minorHAnsi" w:hAnsi="IBM Plex Sans" w:cs="Calibri"/>
                <w:sz w:val="20"/>
                <w:szCs w:val="20"/>
                <w:lang w:val="en-GB"/>
              </w:rPr>
              <w:t>£22.32</w:t>
            </w:r>
          </w:p>
        </w:tc>
        <w:tc>
          <w:tcPr>
            <w:tcW w:w="1700" w:type="dxa"/>
            <w:tcBorders>
              <w:top w:val="single" w:sz="4" w:space="0" w:color="5C00D6"/>
            </w:tcBorders>
            <w:shd w:val="clear" w:color="auto" w:fill="auto"/>
          </w:tcPr>
          <w:p w14:paraId="2942D04D" w14:textId="488CEB76" w:rsidR="00057A53" w:rsidRPr="007E263F" w:rsidRDefault="008F1C2F"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7E263F">
              <w:rPr>
                <w:rFonts w:ascii="IBM Plex Sans" w:eastAsiaTheme="minorHAnsi" w:hAnsi="IBM Plex Sans" w:cs="Calibri"/>
                <w:sz w:val="20"/>
                <w:szCs w:val="20"/>
                <w:lang w:val="en-GB"/>
              </w:rPr>
              <w:t>£16.84</w:t>
            </w:r>
          </w:p>
        </w:tc>
      </w:tr>
      <w:tr w:rsidR="00202054" w:rsidRPr="00F52437" w14:paraId="489D0C1D" w14:textId="77777777" w:rsidTr="00C7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tcBorders>
            <w:shd w:val="clear" w:color="auto" w:fill="auto"/>
          </w:tcPr>
          <w:p w14:paraId="45DB11AE" w14:textId="285C6123" w:rsidR="00202054" w:rsidRPr="00F52437" w:rsidRDefault="00F52437" w:rsidP="00EF0165">
            <w:pPr>
              <w:pStyle w:val="ListParagraph"/>
              <w:numPr>
                <w:ilvl w:val="0"/>
                <w:numId w:val="10"/>
              </w:numPr>
              <w:spacing w:before="0"/>
              <w:jc w:val="both"/>
              <w:rPr>
                <w:rFonts w:ascii="IBM Plex Sans" w:eastAsia="Times New Roman" w:hAnsi="IBM Plex Sans" w:cs="Arial"/>
                <w:b w:val="0"/>
                <w:bCs w:val="0"/>
                <w:sz w:val="20"/>
                <w:szCs w:val="20"/>
                <w:lang w:eastAsia="en-GB"/>
              </w:rPr>
            </w:pPr>
            <w:r w:rsidRPr="00F52437">
              <w:rPr>
                <w:rFonts w:ascii="IBM Plex Sans" w:eastAsia="Times New Roman" w:hAnsi="IBM Plex Sans" w:cs="Arial"/>
                <w:b w:val="0"/>
                <w:bCs w:val="0"/>
                <w:sz w:val="20"/>
                <w:szCs w:val="20"/>
                <w:lang w:eastAsia="en-GB"/>
              </w:rPr>
              <w:t>Asian</w:t>
            </w:r>
            <w:r w:rsidR="0015423C">
              <w:rPr>
                <w:rFonts w:ascii="IBM Plex Sans" w:eastAsia="Times New Roman" w:hAnsi="IBM Plex Sans" w:cs="Arial"/>
                <w:b w:val="0"/>
                <w:bCs w:val="0"/>
                <w:sz w:val="20"/>
                <w:szCs w:val="20"/>
                <w:lang w:eastAsia="en-GB"/>
              </w:rPr>
              <w:t xml:space="preserve">, </w:t>
            </w:r>
            <w:r w:rsidR="00934411">
              <w:rPr>
                <w:rFonts w:ascii="IBM Plex Sans" w:eastAsia="Times New Roman" w:hAnsi="IBM Plex Sans" w:cs="Arial"/>
                <w:b w:val="0"/>
                <w:bCs w:val="0"/>
                <w:sz w:val="20"/>
                <w:szCs w:val="20"/>
                <w:lang w:eastAsia="en-GB"/>
              </w:rPr>
              <w:t>Asian British</w:t>
            </w:r>
            <w:r w:rsidR="00742A05">
              <w:rPr>
                <w:rFonts w:ascii="IBM Plex Sans" w:eastAsia="Times New Roman" w:hAnsi="IBM Plex Sans" w:cs="Arial"/>
                <w:b w:val="0"/>
                <w:bCs w:val="0"/>
                <w:sz w:val="20"/>
                <w:szCs w:val="20"/>
                <w:lang w:eastAsia="en-GB"/>
              </w:rPr>
              <w:t xml:space="preserve"> </w:t>
            </w:r>
            <w:r w:rsidR="0015423C">
              <w:rPr>
                <w:rFonts w:ascii="IBM Plex Sans" w:eastAsia="Times New Roman" w:hAnsi="IBM Plex Sans" w:cs="Arial"/>
                <w:b w:val="0"/>
                <w:bCs w:val="0"/>
                <w:sz w:val="20"/>
                <w:szCs w:val="20"/>
                <w:lang w:eastAsia="en-GB"/>
              </w:rPr>
              <w:t>or Asian Welsh</w:t>
            </w:r>
            <w:r w:rsidR="00C75378">
              <w:rPr>
                <w:rFonts w:ascii="IBM Plex Sans" w:eastAsia="Times New Roman" w:hAnsi="IBM Plex Sans" w:cs="Arial"/>
                <w:b w:val="0"/>
                <w:bCs w:val="0"/>
                <w:sz w:val="20"/>
                <w:szCs w:val="20"/>
                <w:lang w:eastAsia="en-GB"/>
              </w:rPr>
              <w:t xml:space="preserve"> (‘Asian’)</w:t>
            </w:r>
          </w:p>
        </w:tc>
        <w:tc>
          <w:tcPr>
            <w:tcW w:w="1559" w:type="dxa"/>
            <w:tcBorders>
              <w:top w:val="single" w:sz="4" w:space="0" w:color="5C00D6"/>
            </w:tcBorders>
            <w:shd w:val="clear" w:color="auto" w:fill="auto"/>
          </w:tcPr>
          <w:p w14:paraId="00421B67" w14:textId="73CD464F" w:rsidR="00202054" w:rsidRPr="00090295" w:rsidRDefault="00561A4E"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090295">
              <w:rPr>
                <w:rFonts w:ascii="IBM Plex Sans" w:eastAsiaTheme="minorHAnsi" w:hAnsi="IBM Plex Sans" w:cs="Calibri"/>
                <w:sz w:val="20"/>
                <w:szCs w:val="20"/>
                <w:lang w:val="en-GB"/>
              </w:rPr>
              <w:t>£26.27</w:t>
            </w:r>
          </w:p>
        </w:tc>
        <w:tc>
          <w:tcPr>
            <w:tcW w:w="1700" w:type="dxa"/>
            <w:tcBorders>
              <w:top w:val="single" w:sz="4" w:space="0" w:color="5C00D6"/>
            </w:tcBorders>
            <w:shd w:val="clear" w:color="auto" w:fill="auto"/>
          </w:tcPr>
          <w:p w14:paraId="0321F412" w14:textId="41D42A35" w:rsidR="00202054" w:rsidRPr="007E263F" w:rsidRDefault="00A77F60"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7E263F">
              <w:rPr>
                <w:rFonts w:ascii="IBM Plex Sans" w:eastAsiaTheme="minorHAnsi" w:hAnsi="IBM Plex Sans" w:cs="Calibri"/>
                <w:sz w:val="20"/>
                <w:szCs w:val="20"/>
                <w:lang w:val="en-GB"/>
              </w:rPr>
              <w:t>£16.84</w:t>
            </w:r>
          </w:p>
        </w:tc>
      </w:tr>
      <w:tr w:rsidR="00F52437" w:rsidRPr="00F52437" w14:paraId="6AD96E8A" w14:textId="77777777" w:rsidTr="00C75378">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tcBorders>
            <w:shd w:val="clear" w:color="auto" w:fill="auto"/>
          </w:tcPr>
          <w:p w14:paraId="0994D6B7" w14:textId="66E4B8B6" w:rsidR="00F52437" w:rsidRPr="00F52437" w:rsidRDefault="00F52437" w:rsidP="00EF0165">
            <w:pPr>
              <w:pStyle w:val="ListParagraph"/>
              <w:numPr>
                <w:ilvl w:val="0"/>
                <w:numId w:val="10"/>
              </w:numPr>
              <w:spacing w:before="0"/>
              <w:jc w:val="both"/>
              <w:rPr>
                <w:rFonts w:ascii="IBM Plex Sans" w:eastAsia="Times New Roman" w:hAnsi="IBM Plex Sans" w:cs="Arial"/>
                <w:b w:val="0"/>
                <w:bCs w:val="0"/>
                <w:sz w:val="20"/>
                <w:szCs w:val="20"/>
                <w:lang w:eastAsia="en-GB"/>
              </w:rPr>
            </w:pPr>
            <w:r w:rsidRPr="00F52437">
              <w:rPr>
                <w:rFonts w:ascii="IBM Plex Sans" w:eastAsia="Times New Roman" w:hAnsi="IBM Plex Sans" w:cs="Arial"/>
                <w:b w:val="0"/>
                <w:bCs w:val="0"/>
                <w:sz w:val="20"/>
                <w:szCs w:val="20"/>
                <w:lang w:eastAsia="en-GB"/>
              </w:rPr>
              <w:t>Black</w:t>
            </w:r>
            <w:r w:rsidR="0015423C">
              <w:rPr>
                <w:rFonts w:ascii="IBM Plex Sans" w:eastAsia="Times New Roman" w:hAnsi="IBM Plex Sans" w:cs="Arial"/>
                <w:b w:val="0"/>
                <w:bCs w:val="0"/>
                <w:sz w:val="20"/>
                <w:szCs w:val="20"/>
                <w:lang w:eastAsia="en-GB"/>
              </w:rPr>
              <w:t>, B</w:t>
            </w:r>
            <w:r w:rsidR="002766E2">
              <w:rPr>
                <w:rFonts w:ascii="IBM Plex Sans" w:eastAsia="Times New Roman" w:hAnsi="IBM Plex Sans" w:cs="Arial"/>
                <w:b w:val="0"/>
                <w:bCs w:val="0"/>
                <w:sz w:val="20"/>
                <w:szCs w:val="20"/>
                <w:lang w:eastAsia="en-GB"/>
              </w:rPr>
              <w:t>lack British</w:t>
            </w:r>
            <w:r w:rsidR="0015423C">
              <w:rPr>
                <w:rFonts w:ascii="IBM Plex Sans" w:eastAsia="Times New Roman" w:hAnsi="IBM Plex Sans" w:cs="Arial"/>
                <w:b w:val="0"/>
                <w:bCs w:val="0"/>
                <w:sz w:val="20"/>
                <w:szCs w:val="20"/>
                <w:lang w:eastAsia="en-GB"/>
              </w:rPr>
              <w:t xml:space="preserve"> or Black Welsh</w:t>
            </w:r>
            <w:r w:rsidR="00C75378">
              <w:rPr>
                <w:rFonts w:ascii="IBM Plex Sans" w:eastAsia="Times New Roman" w:hAnsi="IBM Plex Sans" w:cs="Arial"/>
                <w:b w:val="0"/>
                <w:bCs w:val="0"/>
                <w:sz w:val="20"/>
                <w:szCs w:val="20"/>
                <w:lang w:eastAsia="en-GB"/>
              </w:rPr>
              <w:t xml:space="preserve"> (‘Black’)</w:t>
            </w:r>
          </w:p>
        </w:tc>
        <w:tc>
          <w:tcPr>
            <w:tcW w:w="1559" w:type="dxa"/>
            <w:tcBorders>
              <w:top w:val="single" w:sz="4" w:space="0" w:color="5C00D6"/>
            </w:tcBorders>
            <w:shd w:val="clear" w:color="auto" w:fill="auto"/>
          </w:tcPr>
          <w:p w14:paraId="2DFDEAC5" w14:textId="5D2363F8" w:rsidR="00F52437" w:rsidRPr="00090295" w:rsidRDefault="00561A4E"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090295">
              <w:rPr>
                <w:rFonts w:ascii="IBM Plex Sans" w:eastAsiaTheme="minorHAnsi" w:hAnsi="IBM Plex Sans" w:cs="Calibri"/>
                <w:sz w:val="20"/>
                <w:szCs w:val="20"/>
                <w:lang w:val="en-GB"/>
              </w:rPr>
              <w:t>£18.11</w:t>
            </w:r>
          </w:p>
        </w:tc>
        <w:tc>
          <w:tcPr>
            <w:tcW w:w="1700" w:type="dxa"/>
            <w:tcBorders>
              <w:top w:val="single" w:sz="4" w:space="0" w:color="5C00D6"/>
            </w:tcBorders>
            <w:shd w:val="clear" w:color="auto" w:fill="auto"/>
          </w:tcPr>
          <w:p w14:paraId="01245B91" w14:textId="4AD00DEA" w:rsidR="00F52437" w:rsidRPr="007E263F" w:rsidRDefault="00A77F60"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7E263F">
              <w:rPr>
                <w:rFonts w:ascii="IBM Plex Sans" w:eastAsiaTheme="minorHAnsi" w:hAnsi="IBM Plex Sans" w:cs="Calibri"/>
                <w:sz w:val="20"/>
                <w:szCs w:val="20"/>
                <w:lang w:val="en-GB"/>
              </w:rPr>
              <w:t>£16.53</w:t>
            </w:r>
          </w:p>
        </w:tc>
      </w:tr>
      <w:tr w:rsidR="00F52437" w:rsidRPr="00F52437" w14:paraId="1FFEBB29" w14:textId="77777777" w:rsidTr="00C7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4" w:space="0" w:color="5C00D6"/>
            </w:tcBorders>
            <w:shd w:val="clear" w:color="auto" w:fill="auto"/>
          </w:tcPr>
          <w:p w14:paraId="0977F4D4" w14:textId="7C5239BF" w:rsidR="00F52437" w:rsidRPr="00F52437" w:rsidRDefault="00F52437" w:rsidP="00EF0165">
            <w:pPr>
              <w:pStyle w:val="ListParagraph"/>
              <w:numPr>
                <w:ilvl w:val="0"/>
                <w:numId w:val="10"/>
              </w:numPr>
              <w:spacing w:before="0"/>
              <w:jc w:val="both"/>
              <w:rPr>
                <w:rFonts w:ascii="IBM Plex Sans" w:eastAsia="Times New Roman" w:hAnsi="IBM Plex Sans" w:cs="Arial"/>
                <w:b w:val="0"/>
                <w:bCs w:val="0"/>
                <w:sz w:val="20"/>
                <w:szCs w:val="20"/>
                <w:lang w:eastAsia="en-GB"/>
              </w:rPr>
            </w:pPr>
            <w:r w:rsidRPr="00F52437">
              <w:rPr>
                <w:rFonts w:ascii="IBM Plex Sans" w:eastAsia="Times New Roman" w:hAnsi="IBM Plex Sans" w:cs="Arial"/>
                <w:b w:val="0"/>
                <w:bCs w:val="0"/>
                <w:sz w:val="20"/>
                <w:szCs w:val="20"/>
                <w:lang w:eastAsia="en-GB"/>
              </w:rPr>
              <w:t xml:space="preserve">Mixed </w:t>
            </w:r>
            <w:r w:rsidR="007E140B">
              <w:rPr>
                <w:rFonts w:ascii="IBM Plex Sans" w:eastAsia="Times New Roman" w:hAnsi="IBM Plex Sans" w:cs="Arial"/>
                <w:b w:val="0"/>
                <w:bCs w:val="0"/>
                <w:sz w:val="20"/>
                <w:szCs w:val="20"/>
                <w:lang w:eastAsia="en-GB"/>
              </w:rPr>
              <w:t xml:space="preserve">or </w:t>
            </w:r>
            <w:r w:rsidR="00CA2D4B">
              <w:rPr>
                <w:rFonts w:ascii="IBM Plex Sans" w:eastAsia="Times New Roman" w:hAnsi="IBM Plex Sans" w:cs="Arial"/>
                <w:b w:val="0"/>
                <w:bCs w:val="0"/>
                <w:sz w:val="20"/>
                <w:szCs w:val="20"/>
                <w:lang w:eastAsia="en-GB"/>
              </w:rPr>
              <w:t>M</w:t>
            </w:r>
            <w:r w:rsidR="007E140B">
              <w:rPr>
                <w:rFonts w:ascii="IBM Plex Sans" w:eastAsia="Times New Roman" w:hAnsi="IBM Plex Sans" w:cs="Arial"/>
                <w:b w:val="0"/>
                <w:bCs w:val="0"/>
                <w:sz w:val="20"/>
                <w:szCs w:val="20"/>
                <w:lang w:eastAsia="en-GB"/>
              </w:rPr>
              <w:t>ultiple ethnic groups</w:t>
            </w:r>
            <w:r w:rsidR="00C75378">
              <w:rPr>
                <w:rFonts w:ascii="IBM Plex Sans" w:eastAsia="Times New Roman" w:hAnsi="IBM Plex Sans" w:cs="Arial"/>
                <w:b w:val="0"/>
                <w:bCs w:val="0"/>
                <w:sz w:val="20"/>
                <w:szCs w:val="20"/>
                <w:lang w:eastAsia="en-GB"/>
              </w:rPr>
              <w:t xml:space="preserve"> (‘Mixed’)</w:t>
            </w:r>
          </w:p>
        </w:tc>
        <w:tc>
          <w:tcPr>
            <w:tcW w:w="1559" w:type="dxa"/>
            <w:tcBorders>
              <w:top w:val="single" w:sz="4" w:space="0" w:color="5C00D6"/>
            </w:tcBorders>
            <w:shd w:val="clear" w:color="auto" w:fill="auto"/>
          </w:tcPr>
          <w:p w14:paraId="59F80F3A" w14:textId="0FB3DF6C" w:rsidR="00F52437" w:rsidRPr="00090295" w:rsidRDefault="00561A4E"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090295">
              <w:rPr>
                <w:rFonts w:ascii="IBM Plex Sans" w:eastAsiaTheme="minorHAnsi" w:hAnsi="IBM Plex Sans" w:cs="Calibri"/>
                <w:sz w:val="20"/>
                <w:szCs w:val="20"/>
                <w:lang w:val="en-GB"/>
              </w:rPr>
              <w:t>£18.05</w:t>
            </w:r>
          </w:p>
        </w:tc>
        <w:tc>
          <w:tcPr>
            <w:tcW w:w="1700" w:type="dxa"/>
            <w:tcBorders>
              <w:top w:val="single" w:sz="4" w:space="0" w:color="5C00D6"/>
            </w:tcBorders>
            <w:shd w:val="clear" w:color="auto" w:fill="auto"/>
          </w:tcPr>
          <w:p w14:paraId="1C6D1657" w14:textId="6FE60383" w:rsidR="00F52437" w:rsidRPr="007E263F" w:rsidRDefault="00A77F60"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7E263F">
              <w:rPr>
                <w:rFonts w:ascii="IBM Plex Sans" w:eastAsiaTheme="minorHAnsi" w:hAnsi="IBM Plex Sans" w:cs="Calibri"/>
                <w:sz w:val="20"/>
                <w:szCs w:val="20"/>
                <w:lang w:val="en-GB"/>
              </w:rPr>
              <w:t>£14.22</w:t>
            </w:r>
          </w:p>
        </w:tc>
      </w:tr>
      <w:tr w:rsidR="00057A53" w:rsidRPr="000E5B57" w14:paraId="41DBD9CB" w14:textId="77777777" w:rsidTr="00C75378">
        <w:tc>
          <w:tcPr>
            <w:cnfStyle w:val="001000000000" w:firstRow="0" w:lastRow="0" w:firstColumn="1" w:lastColumn="0" w:oddVBand="0" w:evenVBand="0" w:oddHBand="0" w:evenHBand="0" w:firstRowFirstColumn="0" w:firstRowLastColumn="0" w:lastRowFirstColumn="0" w:lastRowLastColumn="0"/>
            <w:tcW w:w="6091" w:type="dxa"/>
            <w:tcBorders>
              <w:top w:val="single" w:sz="18" w:space="0" w:color="5C00D6"/>
              <w:bottom w:val="single" w:sz="2" w:space="0" w:color="5C00D6"/>
            </w:tcBorders>
            <w:shd w:val="clear" w:color="auto" w:fill="auto"/>
          </w:tcPr>
          <w:p w14:paraId="264BFFB7" w14:textId="7C462AC7" w:rsidR="00057A53" w:rsidRPr="00DF4A1B" w:rsidRDefault="00F54635" w:rsidP="00FE6DBD">
            <w:pPr>
              <w:spacing w:before="0"/>
              <w:jc w:val="both"/>
              <w:rPr>
                <w:rFonts w:ascii="IBM Plex Sans Medium" w:eastAsia="Times New Roman" w:hAnsi="IBM Plex Sans Medium" w:cs="Arial"/>
                <w:b w:val="0"/>
                <w:bCs w:val="0"/>
                <w:sz w:val="20"/>
                <w:szCs w:val="20"/>
                <w:lang w:eastAsia="en-GB"/>
              </w:rPr>
            </w:pPr>
            <w:r>
              <w:rPr>
                <w:rFonts w:ascii="IBM Plex Sans Medium" w:eastAsia="Times New Roman" w:hAnsi="IBM Plex Sans Medium" w:cs="Arial"/>
                <w:b w:val="0"/>
                <w:bCs w:val="0"/>
                <w:sz w:val="20"/>
                <w:szCs w:val="20"/>
                <w:lang w:eastAsia="en-GB"/>
              </w:rPr>
              <w:t xml:space="preserve">Ethnicity </w:t>
            </w:r>
            <w:r w:rsidR="00030085">
              <w:rPr>
                <w:rFonts w:ascii="IBM Plex Sans Medium" w:eastAsia="Times New Roman" w:hAnsi="IBM Plex Sans Medium" w:cs="Arial"/>
                <w:b w:val="0"/>
                <w:bCs w:val="0"/>
                <w:sz w:val="20"/>
                <w:szCs w:val="20"/>
                <w:lang w:eastAsia="en-GB"/>
              </w:rPr>
              <w:t>p</w:t>
            </w:r>
            <w:r w:rsidR="00057A53" w:rsidRPr="00DF4A1B">
              <w:rPr>
                <w:rFonts w:ascii="IBM Plex Sans Medium" w:eastAsia="Times New Roman" w:hAnsi="IBM Plex Sans Medium" w:cs="Arial"/>
                <w:b w:val="0"/>
                <w:bCs w:val="0"/>
                <w:sz w:val="20"/>
                <w:szCs w:val="20"/>
                <w:lang w:eastAsia="en-GB"/>
              </w:rPr>
              <w:t xml:space="preserve">ay </w:t>
            </w:r>
            <w:r w:rsidR="00030085">
              <w:rPr>
                <w:rFonts w:ascii="IBM Plex Sans Medium" w:eastAsia="Times New Roman" w:hAnsi="IBM Plex Sans Medium" w:cs="Arial"/>
                <w:b w:val="0"/>
                <w:bCs w:val="0"/>
                <w:sz w:val="20"/>
                <w:szCs w:val="20"/>
                <w:lang w:eastAsia="en-GB"/>
              </w:rPr>
              <w:t>g</w:t>
            </w:r>
            <w:r w:rsidR="00057A53" w:rsidRPr="00DF4A1B">
              <w:rPr>
                <w:rFonts w:ascii="IBM Plex Sans Medium" w:eastAsia="Times New Roman" w:hAnsi="IBM Plex Sans Medium" w:cs="Arial"/>
                <w:b w:val="0"/>
                <w:bCs w:val="0"/>
                <w:sz w:val="20"/>
                <w:szCs w:val="20"/>
                <w:lang w:eastAsia="en-GB"/>
              </w:rPr>
              <w:t>ap</w:t>
            </w:r>
          </w:p>
        </w:tc>
        <w:tc>
          <w:tcPr>
            <w:tcW w:w="1559" w:type="dxa"/>
            <w:tcBorders>
              <w:top w:val="single" w:sz="18" w:space="0" w:color="5C00D6"/>
              <w:bottom w:val="single" w:sz="2" w:space="0" w:color="5C00D6"/>
            </w:tcBorders>
            <w:shd w:val="clear" w:color="auto" w:fill="auto"/>
          </w:tcPr>
          <w:p w14:paraId="4C9DD0F8" w14:textId="1B278EE2" w:rsidR="00057A53" w:rsidRPr="00C10AC8" w:rsidRDefault="00A0707E"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sidRPr="00C10AC8">
              <w:rPr>
                <w:rFonts w:ascii="IBM Plex Sans Medium" w:eastAsia="Times New Roman" w:hAnsi="IBM Plex Sans Medium" w:cs="Arial"/>
                <w:sz w:val="20"/>
                <w:szCs w:val="20"/>
                <w:lang w:eastAsia="en-GB"/>
              </w:rPr>
              <w:t>-8.5%</w:t>
            </w:r>
          </w:p>
        </w:tc>
        <w:tc>
          <w:tcPr>
            <w:tcW w:w="1700" w:type="dxa"/>
            <w:tcBorders>
              <w:top w:val="single" w:sz="18" w:space="0" w:color="5C00D6"/>
              <w:bottom w:val="single" w:sz="2" w:space="0" w:color="5C00D6"/>
            </w:tcBorders>
            <w:shd w:val="clear" w:color="auto" w:fill="auto"/>
          </w:tcPr>
          <w:p w14:paraId="5D668A7E" w14:textId="4DCCE6A4" w:rsidR="00057A53" w:rsidRPr="00E43BF7" w:rsidRDefault="003A77F8"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sidRPr="00E43BF7">
              <w:rPr>
                <w:rFonts w:ascii="IBM Plex Sans Medium" w:eastAsia="Times New Roman" w:hAnsi="IBM Plex Sans Medium" w:cs="Arial"/>
                <w:sz w:val="20"/>
                <w:szCs w:val="20"/>
                <w:lang w:eastAsia="en-GB"/>
              </w:rPr>
              <w:t>2.3%</w:t>
            </w:r>
          </w:p>
        </w:tc>
      </w:tr>
      <w:tr w:rsidR="00A77F60" w:rsidRPr="00A77F60" w14:paraId="093F44FF" w14:textId="77777777" w:rsidTr="00C7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2" w:space="0" w:color="5C00D6"/>
              <w:left w:val="single" w:sz="2" w:space="0" w:color="5C00D6"/>
              <w:bottom w:val="single" w:sz="2" w:space="0" w:color="5C00D6"/>
              <w:right w:val="single" w:sz="2" w:space="0" w:color="5C00D6"/>
            </w:tcBorders>
            <w:shd w:val="clear" w:color="auto" w:fill="auto"/>
          </w:tcPr>
          <w:p w14:paraId="31814700" w14:textId="1C7E947A" w:rsidR="00A77F60" w:rsidRPr="00A77F60" w:rsidRDefault="00A77F60" w:rsidP="00EF0165">
            <w:pPr>
              <w:pStyle w:val="ListParagraph"/>
              <w:numPr>
                <w:ilvl w:val="0"/>
                <w:numId w:val="10"/>
              </w:numPr>
              <w:spacing w:before="0"/>
              <w:jc w:val="both"/>
              <w:rPr>
                <w:rFonts w:ascii="IBM Plex Sans Medium" w:eastAsia="Times New Roman" w:hAnsi="IBM Plex Sans Medium" w:cs="Arial"/>
                <w:b w:val="0"/>
                <w:bCs w:val="0"/>
                <w:sz w:val="20"/>
                <w:szCs w:val="20"/>
                <w:lang w:eastAsia="en-GB"/>
              </w:rPr>
            </w:pPr>
            <w:r w:rsidRPr="00A77F60">
              <w:rPr>
                <w:rFonts w:ascii="IBM Plex Sans Medium" w:eastAsia="Times New Roman" w:hAnsi="IBM Plex Sans Medium" w:cs="Arial"/>
                <w:b w:val="0"/>
                <w:bCs w:val="0"/>
                <w:sz w:val="20"/>
                <w:szCs w:val="20"/>
                <w:lang w:eastAsia="en-GB"/>
              </w:rPr>
              <w:t>Asian/</w:t>
            </w:r>
            <w:r w:rsidR="00085032">
              <w:rPr>
                <w:rFonts w:ascii="IBM Plex Sans Medium" w:eastAsia="Times New Roman" w:hAnsi="IBM Plex Sans Medium" w:cs="Arial"/>
                <w:b w:val="0"/>
                <w:bCs w:val="0"/>
                <w:sz w:val="20"/>
                <w:szCs w:val="20"/>
                <w:lang w:eastAsia="en-GB"/>
              </w:rPr>
              <w:t>W</w:t>
            </w:r>
            <w:r w:rsidRPr="00A77F60">
              <w:rPr>
                <w:rFonts w:ascii="IBM Plex Sans Medium" w:eastAsia="Times New Roman" w:hAnsi="IBM Plex Sans Medium" w:cs="Arial"/>
                <w:b w:val="0"/>
                <w:bCs w:val="0"/>
                <w:sz w:val="20"/>
                <w:szCs w:val="20"/>
                <w:lang w:eastAsia="en-GB"/>
              </w:rPr>
              <w:t>hite pay gap</w:t>
            </w:r>
          </w:p>
        </w:tc>
        <w:tc>
          <w:tcPr>
            <w:tcW w:w="1559" w:type="dxa"/>
            <w:tcBorders>
              <w:top w:val="single" w:sz="2" w:space="0" w:color="5C00D6"/>
              <w:left w:val="single" w:sz="2" w:space="0" w:color="5C00D6"/>
              <w:bottom w:val="single" w:sz="2" w:space="0" w:color="5C00D6"/>
              <w:right w:val="single" w:sz="2" w:space="0" w:color="5C00D6"/>
            </w:tcBorders>
            <w:shd w:val="clear" w:color="auto" w:fill="auto"/>
          </w:tcPr>
          <w:p w14:paraId="478D9F25" w14:textId="4CE1CE0E" w:rsidR="00A77F60" w:rsidRPr="00C10AC8" w:rsidRDefault="00742A05"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C10AC8">
              <w:rPr>
                <w:rFonts w:ascii="IBM Plex Sans Medium" w:eastAsia="Times New Roman" w:hAnsi="IBM Plex Sans Medium" w:cs="Arial"/>
                <w:sz w:val="20"/>
                <w:szCs w:val="20"/>
                <w:lang w:eastAsia="en-GB"/>
              </w:rPr>
              <w:t>-27.8%</w:t>
            </w:r>
          </w:p>
        </w:tc>
        <w:tc>
          <w:tcPr>
            <w:tcW w:w="1700" w:type="dxa"/>
            <w:tcBorders>
              <w:top w:val="single" w:sz="2" w:space="0" w:color="5C00D6"/>
              <w:left w:val="single" w:sz="2" w:space="0" w:color="5C00D6"/>
              <w:bottom w:val="single" w:sz="2" w:space="0" w:color="5C00D6"/>
              <w:right w:val="single" w:sz="2" w:space="0" w:color="5C00D6"/>
            </w:tcBorders>
            <w:shd w:val="clear" w:color="auto" w:fill="auto"/>
          </w:tcPr>
          <w:p w14:paraId="1F1F279C" w14:textId="108032D0" w:rsidR="00A77F60" w:rsidRPr="00E43BF7" w:rsidRDefault="00561A4E"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E43BF7">
              <w:rPr>
                <w:rFonts w:ascii="IBM Plex Sans Medium" w:eastAsia="Times New Roman" w:hAnsi="IBM Plex Sans Medium" w:cs="Arial"/>
                <w:sz w:val="20"/>
                <w:szCs w:val="20"/>
                <w:lang w:eastAsia="en-GB"/>
              </w:rPr>
              <w:t>2.3%</w:t>
            </w:r>
          </w:p>
        </w:tc>
      </w:tr>
      <w:tr w:rsidR="00A77F60" w:rsidRPr="00A77F60" w14:paraId="4EE9B5C2" w14:textId="77777777" w:rsidTr="00C75378">
        <w:tc>
          <w:tcPr>
            <w:cnfStyle w:val="001000000000" w:firstRow="0" w:lastRow="0" w:firstColumn="1" w:lastColumn="0" w:oddVBand="0" w:evenVBand="0" w:oddHBand="0" w:evenHBand="0" w:firstRowFirstColumn="0" w:firstRowLastColumn="0" w:lastRowFirstColumn="0" w:lastRowLastColumn="0"/>
            <w:tcW w:w="6091" w:type="dxa"/>
            <w:tcBorders>
              <w:top w:val="single" w:sz="2" w:space="0" w:color="5C00D6"/>
              <w:left w:val="single" w:sz="2" w:space="0" w:color="5C00D6"/>
              <w:bottom w:val="single" w:sz="2" w:space="0" w:color="5C00D6"/>
              <w:right w:val="single" w:sz="2" w:space="0" w:color="5C00D6"/>
            </w:tcBorders>
            <w:shd w:val="clear" w:color="auto" w:fill="auto"/>
          </w:tcPr>
          <w:p w14:paraId="37A4B4FE" w14:textId="3F12D90C" w:rsidR="00A77F60" w:rsidRPr="00A77F60" w:rsidRDefault="00A77F60" w:rsidP="00EF0165">
            <w:pPr>
              <w:pStyle w:val="ListParagraph"/>
              <w:numPr>
                <w:ilvl w:val="0"/>
                <w:numId w:val="10"/>
              </w:numPr>
              <w:spacing w:before="0"/>
              <w:jc w:val="both"/>
              <w:rPr>
                <w:rFonts w:ascii="IBM Plex Sans Medium" w:eastAsia="Times New Roman" w:hAnsi="IBM Plex Sans Medium" w:cs="Arial"/>
                <w:b w:val="0"/>
                <w:bCs w:val="0"/>
                <w:sz w:val="20"/>
                <w:szCs w:val="20"/>
                <w:lang w:eastAsia="en-GB"/>
              </w:rPr>
            </w:pPr>
            <w:r w:rsidRPr="00A77F60">
              <w:rPr>
                <w:rFonts w:ascii="IBM Plex Sans Medium" w:eastAsia="Times New Roman" w:hAnsi="IBM Plex Sans Medium" w:cs="Arial"/>
                <w:b w:val="0"/>
                <w:bCs w:val="0"/>
                <w:sz w:val="20"/>
                <w:szCs w:val="20"/>
                <w:lang w:eastAsia="en-GB"/>
              </w:rPr>
              <w:t>Black/</w:t>
            </w:r>
            <w:r w:rsidR="00085032">
              <w:rPr>
                <w:rFonts w:ascii="IBM Plex Sans Medium" w:eastAsia="Times New Roman" w:hAnsi="IBM Plex Sans Medium" w:cs="Arial"/>
                <w:b w:val="0"/>
                <w:bCs w:val="0"/>
                <w:sz w:val="20"/>
                <w:szCs w:val="20"/>
                <w:lang w:eastAsia="en-GB"/>
              </w:rPr>
              <w:t>W</w:t>
            </w:r>
            <w:r w:rsidRPr="00A77F60">
              <w:rPr>
                <w:rFonts w:ascii="IBM Plex Sans Medium" w:eastAsia="Times New Roman" w:hAnsi="IBM Plex Sans Medium" w:cs="Arial"/>
                <w:b w:val="0"/>
                <w:bCs w:val="0"/>
                <w:sz w:val="20"/>
                <w:szCs w:val="20"/>
                <w:lang w:eastAsia="en-GB"/>
              </w:rPr>
              <w:t>hite pay gap</w:t>
            </w:r>
          </w:p>
        </w:tc>
        <w:tc>
          <w:tcPr>
            <w:tcW w:w="1559" w:type="dxa"/>
            <w:tcBorders>
              <w:top w:val="single" w:sz="2" w:space="0" w:color="5C00D6"/>
              <w:left w:val="single" w:sz="2" w:space="0" w:color="5C00D6"/>
              <w:bottom w:val="single" w:sz="2" w:space="0" w:color="5C00D6"/>
              <w:right w:val="single" w:sz="2" w:space="0" w:color="5C00D6"/>
            </w:tcBorders>
            <w:shd w:val="clear" w:color="auto" w:fill="auto"/>
          </w:tcPr>
          <w:p w14:paraId="44C03B88" w14:textId="1D5696BF" w:rsidR="00A77F60" w:rsidRPr="00C10AC8" w:rsidRDefault="00742A05"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sidRPr="00C10AC8">
              <w:rPr>
                <w:rFonts w:ascii="IBM Plex Sans Medium" w:eastAsia="Times New Roman" w:hAnsi="IBM Plex Sans Medium" w:cs="Arial"/>
                <w:sz w:val="20"/>
                <w:szCs w:val="20"/>
                <w:lang w:eastAsia="en-GB"/>
              </w:rPr>
              <w:t>12.0%</w:t>
            </w:r>
          </w:p>
        </w:tc>
        <w:tc>
          <w:tcPr>
            <w:tcW w:w="1700" w:type="dxa"/>
            <w:tcBorders>
              <w:top w:val="single" w:sz="2" w:space="0" w:color="5C00D6"/>
              <w:left w:val="single" w:sz="2" w:space="0" w:color="5C00D6"/>
              <w:bottom w:val="single" w:sz="2" w:space="0" w:color="5C00D6"/>
              <w:right w:val="single" w:sz="2" w:space="0" w:color="5C00D6"/>
            </w:tcBorders>
            <w:shd w:val="clear" w:color="auto" w:fill="auto"/>
          </w:tcPr>
          <w:p w14:paraId="1DB8A048" w14:textId="7CF72CA5" w:rsidR="00A77F60" w:rsidRPr="00E43BF7" w:rsidRDefault="00561A4E" w:rsidP="00FE6DB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sidRPr="00E43BF7">
              <w:rPr>
                <w:rFonts w:ascii="IBM Plex Sans Medium" w:eastAsia="Times New Roman" w:hAnsi="IBM Plex Sans Medium" w:cs="Arial"/>
                <w:sz w:val="20"/>
                <w:szCs w:val="20"/>
                <w:lang w:eastAsia="en-GB"/>
              </w:rPr>
              <w:t>4.1%</w:t>
            </w:r>
          </w:p>
        </w:tc>
      </w:tr>
      <w:tr w:rsidR="00A77F60" w:rsidRPr="00A77F60" w14:paraId="1E17724E" w14:textId="77777777" w:rsidTr="00C7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tcBorders>
              <w:top w:val="single" w:sz="2" w:space="0" w:color="5C00D6"/>
              <w:left w:val="single" w:sz="2" w:space="0" w:color="5C00D6"/>
              <w:bottom w:val="single" w:sz="2" w:space="0" w:color="5C00D6"/>
              <w:right w:val="single" w:sz="2" w:space="0" w:color="5C00D6"/>
            </w:tcBorders>
            <w:shd w:val="clear" w:color="auto" w:fill="auto"/>
          </w:tcPr>
          <w:p w14:paraId="170BF2A5" w14:textId="0D2756E0" w:rsidR="00A77F60" w:rsidRPr="00A77F60" w:rsidRDefault="00A77F60" w:rsidP="00EF0165">
            <w:pPr>
              <w:pStyle w:val="ListParagraph"/>
              <w:numPr>
                <w:ilvl w:val="0"/>
                <w:numId w:val="10"/>
              </w:numPr>
              <w:spacing w:before="0"/>
              <w:jc w:val="both"/>
              <w:rPr>
                <w:rFonts w:ascii="IBM Plex Sans Medium" w:eastAsia="Times New Roman" w:hAnsi="IBM Plex Sans Medium" w:cs="Arial"/>
                <w:b w:val="0"/>
                <w:bCs w:val="0"/>
                <w:sz w:val="20"/>
                <w:szCs w:val="20"/>
                <w:lang w:eastAsia="en-GB"/>
              </w:rPr>
            </w:pPr>
            <w:r w:rsidRPr="00A77F60">
              <w:rPr>
                <w:rFonts w:ascii="IBM Plex Sans Medium" w:eastAsia="Times New Roman" w:hAnsi="IBM Plex Sans Medium" w:cs="Arial"/>
                <w:b w:val="0"/>
                <w:bCs w:val="0"/>
                <w:sz w:val="20"/>
                <w:szCs w:val="20"/>
                <w:lang w:eastAsia="en-GB"/>
              </w:rPr>
              <w:t>Mixed/</w:t>
            </w:r>
            <w:r w:rsidR="00085032">
              <w:rPr>
                <w:rFonts w:ascii="IBM Plex Sans Medium" w:eastAsia="Times New Roman" w:hAnsi="IBM Plex Sans Medium" w:cs="Arial"/>
                <w:b w:val="0"/>
                <w:bCs w:val="0"/>
                <w:sz w:val="20"/>
                <w:szCs w:val="20"/>
                <w:lang w:eastAsia="en-GB"/>
              </w:rPr>
              <w:t>W</w:t>
            </w:r>
            <w:r w:rsidRPr="00A77F60">
              <w:rPr>
                <w:rFonts w:ascii="IBM Plex Sans Medium" w:eastAsia="Times New Roman" w:hAnsi="IBM Plex Sans Medium" w:cs="Arial"/>
                <w:b w:val="0"/>
                <w:bCs w:val="0"/>
                <w:sz w:val="20"/>
                <w:szCs w:val="20"/>
                <w:lang w:eastAsia="en-GB"/>
              </w:rPr>
              <w:t>hite pay gap</w:t>
            </w:r>
          </w:p>
        </w:tc>
        <w:tc>
          <w:tcPr>
            <w:tcW w:w="1559" w:type="dxa"/>
            <w:tcBorders>
              <w:top w:val="single" w:sz="2" w:space="0" w:color="5C00D6"/>
              <w:left w:val="single" w:sz="2" w:space="0" w:color="5C00D6"/>
              <w:bottom w:val="single" w:sz="2" w:space="0" w:color="5C00D6"/>
              <w:right w:val="single" w:sz="2" w:space="0" w:color="5C00D6"/>
            </w:tcBorders>
            <w:shd w:val="clear" w:color="auto" w:fill="auto"/>
          </w:tcPr>
          <w:p w14:paraId="40686DBF" w14:textId="4003BFE2" w:rsidR="00A77F60" w:rsidRPr="00C10AC8" w:rsidRDefault="00742A05"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C10AC8">
              <w:rPr>
                <w:rFonts w:ascii="IBM Plex Sans Medium" w:eastAsia="Times New Roman" w:hAnsi="IBM Plex Sans Medium" w:cs="Arial"/>
                <w:sz w:val="20"/>
                <w:szCs w:val="20"/>
                <w:lang w:eastAsia="en-GB"/>
              </w:rPr>
              <w:t>12.3%</w:t>
            </w:r>
          </w:p>
        </w:tc>
        <w:tc>
          <w:tcPr>
            <w:tcW w:w="1700" w:type="dxa"/>
            <w:tcBorders>
              <w:top w:val="single" w:sz="2" w:space="0" w:color="5C00D6"/>
              <w:left w:val="single" w:sz="2" w:space="0" w:color="5C00D6"/>
              <w:bottom w:val="single" w:sz="2" w:space="0" w:color="5C00D6"/>
              <w:right w:val="single" w:sz="2" w:space="0" w:color="5C00D6"/>
            </w:tcBorders>
            <w:shd w:val="clear" w:color="auto" w:fill="auto"/>
          </w:tcPr>
          <w:p w14:paraId="01470F02" w14:textId="619A3F59" w:rsidR="00A77F60" w:rsidRPr="00E43BF7" w:rsidRDefault="00561A4E" w:rsidP="00FE6DBD">
            <w:pPr>
              <w:spacing w:before="0"/>
              <w:jc w:val="right"/>
              <w:cnfStyle w:val="000000100000" w:firstRow="0" w:lastRow="0" w:firstColumn="0" w:lastColumn="0" w:oddVBand="0" w:evenVBand="0" w:oddHBand="1" w:evenHBand="0" w:firstRowFirstColumn="0" w:firstRowLastColumn="0" w:lastRowFirstColumn="0" w:lastRowLastColumn="0"/>
              <w:rPr>
                <w:rFonts w:ascii="IBM Plex Sans Medium" w:eastAsia="Times New Roman" w:hAnsi="IBM Plex Sans Medium" w:cs="Arial"/>
                <w:sz w:val="20"/>
                <w:szCs w:val="20"/>
                <w:lang w:eastAsia="en-GB"/>
              </w:rPr>
            </w:pPr>
            <w:r w:rsidRPr="00E43BF7">
              <w:rPr>
                <w:rFonts w:ascii="IBM Plex Sans Medium" w:eastAsia="Times New Roman" w:hAnsi="IBM Plex Sans Medium" w:cs="Arial"/>
                <w:sz w:val="20"/>
                <w:szCs w:val="20"/>
                <w:lang w:eastAsia="en-GB"/>
              </w:rPr>
              <w:t>17.5%</w:t>
            </w:r>
          </w:p>
        </w:tc>
      </w:tr>
    </w:tbl>
    <w:p w14:paraId="243A87D4" w14:textId="18F383CB" w:rsidR="001616B9" w:rsidRDefault="001616B9" w:rsidP="001616B9">
      <w:pPr>
        <w:spacing w:before="0" w:after="0" w:line="240" w:lineRule="auto"/>
        <w:jc w:val="both"/>
        <w:rPr>
          <w:rFonts w:ascii="IBM Plex Sans" w:eastAsiaTheme="minorHAnsi" w:hAnsi="IBM Plex Sans" w:cs="Calibri"/>
          <w:bCs/>
          <w:iCs/>
          <w:sz w:val="20"/>
          <w:szCs w:val="20"/>
        </w:rPr>
      </w:pPr>
      <w:r w:rsidRPr="00DF1E30">
        <w:rPr>
          <w:rFonts w:ascii="IBM Plex Sans" w:eastAsiaTheme="minorHAnsi" w:hAnsi="IBM Plex Sans" w:cs="Calibri"/>
          <w:sz w:val="20"/>
          <w:szCs w:val="20"/>
        </w:rPr>
        <w:t xml:space="preserve">Note: </w:t>
      </w:r>
      <w:r w:rsidRPr="00DF1E30">
        <w:rPr>
          <w:rFonts w:ascii="IBM Plex Sans" w:eastAsiaTheme="minorHAnsi" w:hAnsi="IBM Plex Sans" w:cs="Calibri"/>
          <w:bCs/>
          <w:iCs/>
          <w:sz w:val="20"/>
          <w:szCs w:val="20"/>
        </w:rPr>
        <w:t xml:space="preserve">It is possible that these groupings, which combine ethnicities into broader groups, mask differences between specific ethnic minority groups but currently the numbers do not enable more granular analysis. </w:t>
      </w:r>
    </w:p>
    <w:p w14:paraId="26AD3DB0" w14:textId="77777777" w:rsidR="008203FD" w:rsidRDefault="008203FD" w:rsidP="001616B9">
      <w:pPr>
        <w:spacing w:before="0" w:after="0" w:line="240" w:lineRule="auto"/>
        <w:jc w:val="both"/>
        <w:rPr>
          <w:rFonts w:ascii="IBM Plex Sans" w:eastAsiaTheme="minorHAnsi" w:hAnsi="IBM Plex Sans" w:cs="Calibri"/>
          <w:bCs/>
          <w:iCs/>
          <w:sz w:val="20"/>
          <w:szCs w:val="20"/>
        </w:rPr>
      </w:pPr>
    </w:p>
    <w:p w14:paraId="45A59C6D" w14:textId="77777777" w:rsidR="00692C8C" w:rsidRDefault="00692C8C" w:rsidP="002401DE">
      <w:pPr>
        <w:spacing w:before="0" w:after="0"/>
        <w:jc w:val="both"/>
        <w:rPr>
          <w:rFonts w:ascii="IBM Plex Sans" w:eastAsiaTheme="minorHAnsi" w:hAnsi="IBM Plex Sans" w:cs="Calibri"/>
          <w:bCs/>
          <w:iCs/>
          <w:sz w:val="22"/>
        </w:rPr>
      </w:pPr>
    </w:p>
    <w:p w14:paraId="0D1D1573" w14:textId="00753632" w:rsidR="008203FD" w:rsidRPr="007C3F04" w:rsidRDefault="00DB7166" w:rsidP="002401DE">
      <w:pPr>
        <w:spacing w:before="0" w:after="0"/>
        <w:jc w:val="both"/>
        <w:rPr>
          <w:rFonts w:ascii="IBM Plex Sans" w:eastAsiaTheme="minorHAnsi" w:hAnsi="IBM Plex Sans" w:cs="Calibri"/>
          <w:bCs/>
          <w:iCs/>
          <w:sz w:val="22"/>
        </w:rPr>
      </w:pPr>
      <w:r>
        <w:rPr>
          <w:rFonts w:ascii="IBM Plex Sans" w:eastAsiaTheme="minorHAnsi" w:hAnsi="IBM Plex Sans" w:cs="Calibri"/>
          <w:bCs/>
          <w:iCs/>
          <w:sz w:val="22"/>
        </w:rPr>
        <w:t xml:space="preserve">Ethnic minority staff are underrepresented </w:t>
      </w:r>
      <w:r w:rsidR="000A738D">
        <w:rPr>
          <w:rFonts w:ascii="IBM Plex Sans" w:eastAsiaTheme="minorHAnsi" w:hAnsi="IBM Plex Sans" w:cs="Calibri"/>
          <w:bCs/>
          <w:iCs/>
          <w:sz w:val="22"/>
        </w:rPr>
        <w:t xml:space="preserve">at the highest levels at Public Health </w:t>
      </w:r>
      <w:r w:rsidR="007A6E35">
        <w:rPr>
          <w:rFonts w:ascii="IBM Plex Sans" w:eastAsiaTheme="minorHAnsi" w:hAnsi="IBM Plex Sans" w:cs="Calibri"/>
          <w:bCs/>
          <w:iCs/>
          <w:sz w:val="22"/>
        </w:rPr>
        <w:t xml:space="preserve">Wales </w:t>
      </w:r>
      <w:r w:rsidR="000A738D">
        <w:rPr>
          <w:rFonts w:ascii="IBM Plex Sans" w:eastAsiaTheme="minorHAnsi" w:hAnsi="IBM Plex Sans" w:cs="Calibri"/>
          <w:bCs/>
          <w:iCs/>
          <w:sz w:val="22"/>
        </w:rPr>
        <w:t xml:space="preserve">with </w:t>
      </w:r>
      <w:r>
        <w:rPr>
          <w:rFonts w:ascii="IBM Plex Sans" w:eastAsiaTheme="minorHAnsi" w:hAnsi="IBM Plex Sans" w:cs="Calibri"/>
          <w:bCs/>
          <w:iCs/>
          <w:sz w:val="22"/>
        </w:rPr>
        <w:t xml:space="preserve">just </w:t>
      </w:r>
      <w:r w:rsidR="00543861">
        <w:rPr>
          <w:rFonts w:ascii="IBM Plex Sans" w:eastAsiaTheme="minorHAnsi" w:hAnsi="IBM Plex Sans" w:cs="Calibri"/>
          <w:bCs/>
          <w:iCs/>
          <w:sz w:val="22"/>
        </w:rPr>
        <w:t xml:space="preserve">one member of staff from </w:t>
      </w:r>
      <w:r w:rsidR="00821D88">
        <w:rPr>
          <w:rFonts w:ascii="IBM Plex Sans" w:eastAsiaTheme="minorHAnsi" w:hAnsi="IBM Plex Sans" w:cs="Calibri"/>
          <w:bCs/>
          <w:iCs/>
          <w:sz w:val="22"/>
        </w:rPr>
        <w:t xml:space="preserve">an ethnic minority group </w:t>
      </w:r>
      <w:r w:rsidR="00E748CE">
        <w:rPr>
          <w:rFonts w:ascii="IBM Plex Sans" w:eastAsiaTheme="minorHAnsi" w:hAnsi="IBM Plex Sans" w:cs="Calibri"/>
          <w:bCs/>
          <w:iCs/>
          <w:sz w:val="22"/>
        </w:rPr>
        <w:t xml:space="preserve">in </w:t>
      </w:r>
      <w:r w:rsidR="007C5550">
        <w:rPr>
          <w:rFonts w:ascii="IBM Plex Sans" w:eastAsiaTheme="minorHAnsi" w:hAnsi="IBM Plex Sans" w:cs="Calibri"/>
          <w:bCs/>
          <w:iCs/>
          <w:sz w:val="22"/>
        </w:rPr>
        <w:t xml:space="preserve">band 10 and in the leadership group. </w:t>
      </w:r>
      <w:r w:rsidR="003E09C2">
        <w:rPr>
          <w:rFonts w:ascii="IBM Plex Sans" w:eastAsiaTheme="minorHAnsi" w:hAnsi="IBM Plex Sans" w:cs="Calibri"/>
          <w:bCs/>
          <w:iCs/>
          <w:sz w:val="22"/>
        </w:rPr>
        <w:t>As</w:t>
      </w:r>
      <w:r w:rsidR="00BE699D">
        <w:rPr>
          <w:rFonts w:ascii="IBM Plex Sans" w:eastAsiaTheme="minorHAnsi" w:hAnsi="IBM Plex Sans" w:cs="Calibri"/>
          <w:bCs/>
          <w:iCs/>
          <w:sz w:val="22"/>
        </w:rPr>
        <w:t xml:space="preserve"> Figure 1</w:t>
      </w:r>
      <w:r w:rsidR="009E3BD2">
        <w:rPr>
          <w:rFonts w:ascii="IBM Plex Sans" w:eastAsiaTheme="minorHAnsi" w:hAnsi="IBM Plex Sans" w:cs="Calibri"/>
          <w:bCs/>
          <w:iCs/>
          <w:sz w:val="22"/>
        </w:rPr>
        <w:t>6</w:t>
      </w:r>
      <w:r w:rsidR="00BE699D">
        <w:rPr>
          <w:rFonts w:ascii="IBM Plex Sans" w:eastAsiaTheme="minorHAnsi" w:hAnsi="IBM Plex Sans" w:cs="Calibri"/>
          <w:bCs/>
          <w:iCs/>
          <w:sz w:val="22"/>
        </w:rPr>
        <w:t xml:space="preserve"> shows, </w:t>
      </w:r>
      <w:r w:rsidR="00E57554">
        <w:rPr>
          <w:rFonts w:ascii="IBM Plex Sans" w:eastAsiaTheme="minorHAnsi" w:hAnsi="IBM Plex Sans" w:cs="Calibri"/>
          <w:bCs/>
          <w:iCs/>
          <w:sz w:val="22"/>
        </w:rPr>
        <w:t>W</w:t>
      </w:r>
      <w:r w:rsidR="00BE699D">
        <w:rPr>
          <w:rFonts w:ascii="IBM Plex Sans" w:eastAsiaTheme="minorHAnsi" w:hAnsi="IBM Plex Sans" w:cs="Calibri"/>
          <w:bCs/>
          <w:iCs/>
          <w:sz w:val="22"/>
        </w:rPr>
        <w:t xml:space="preserve">hite staff tend to be more evenly distributed across the pay bands, whereas staff from ethnic minority </w:t>
      </w:r>
      <w:r w:rsidR="004117DC">
        <w:rPr>
          <w:rFonts w:ascii="IBM Plex Sans" w:eastAsiaTheme="minorHAnsi" w:hAnsi="IBM Plex Sans" w:cs="Calibri"/>
          <w:bCs/>
          <w:iCs/>
          <w:sz w:val="22"/>
        </w:rPr>
        <w:t>groups</w:t>
      </w:r>
      <w:r w:rsidR="00BE699D">
        <w:rPr>
          <w:rFonts w:ascii="IBM Plex Sans" w:eastAsiaTheme="minorHAnsi" w:hAnsi="IBM Plex Sans" w:cs="Calibri"/>
          <w:bCs/>
          <w:iCs/>
          <w:sz w:val="22"/>
        </w:rPr>
        <w:t xml:space="preserve"> are generally skewed towards the lower pay bands. </w:t>
      </w:r>
      <w:r w:rsidR="00FE17E9">
        <w:rPr>
          <w:rFonts w:ascii="IBM Plex Sans" w:eastAsiaTheme="minorHAnsi" w:hAnsi="IBM Plex Sans" w:cs="Calibri"/>
          <w:bCs/>
          <w:iCs/>
          <w:sz w:val="22"/>
        </w:rPr>
        <w:t xml:space="preserve">The exception is for Asian staff in pay band 9, which primarily reflects consultants. </w:t>
      </w:r>
    </w:p>
    <w:p w14:paraId="09455957" w14:textId="04407CB1" w:rsidR="000F391E" w:rsidRDefault="000F391E" w:rsidP="002401DE">
      <w:pPr>
        <w:spacing w:before="0" w:after="0"/>
        <w:jc w:val="both"/>
        <w:rPr>
          <w:rFonts w:ascii="IBM Plex Sans Medium" w:eastAsiaTheme="minorHAnsi" w:hAnsi="IBM Plex Sans Medium" w:cs="Calibri"/>
          <w:sz w:val="20"/>
          <w:szCs w:val="20"/>
          <w:highlight w:val="yellow"/>
        </w:rPr>
      </w:pPr>
    </w:p>
    <w:p w14:paraId="057FBA37" w14:textId="77777777" w:rsidR="00692C8C" w:rsidRDefault="00692C8C">
      <w:pPr>
        <w:spacing w:before="0" w:line="480" w:lineRule="auto"/>
        <w:ind w:firstLine="357"/>
        <w:rPr>
          <w:rFonts w:ascii="IBM Plex Sans Medium" w:hAnsi="IBM Plex Sans Medium" w:cs="Calibri"/>
          <w:sz w:val="20"/>
          <w:szCs w:val="20"/>
        </w:rPr>
      </w:pPr>
      <w:r>
        <w:rPr>
          <w:rFonts w:ascii="IBM Plex Sans Medium" w:hAnsi="IBM Plex Sans Medium" w:cs="Calibri"/>
          <w:b/>
          <w:bCs/>
          <w:sz w:val="20"/>
          <w:szCs w:val="20"/>
        </w:rPr>
        <w:br w:type="page"/>
      </w:r>
    </w:p>
    <w:p w14:paraId="42B9BD6E" w14:textId="3EAC388C" w:rsidR="000F391E" w:rsidRPr="00044408" w:rsidRDefault="003E09C2" w:rsidP="003E09C2">
      <w:pPr>
        <w:pStyle w:val="Caption"/>
        <w:spacing w:before="0" w:after="0"/>
        <w:rPr>
          <w:rFonts w:ascii="IBM Plex Sans Medium" w:hAnsi="IBM Plex Sans Medium" w:cs="Calibri"/>
          <w:b w:val="0"/>
          <w:bCs w:val="0"/>
          <w:sz w:val="20"/>
          <w:szCs w:val="20"/>
        </w:rPr>
      </w:pPr>
      <w:bookmarkStart w:id="50" w:name="_Toc157514668"/>
      <w:r w:rsidRPr="003E09C2">
        <w:rPr>
          <w:rFonts w:ascii="IBM Plex Sans Medium" w:hAnsi="IBM Plex Sans Medium" w:cs="Calibri"/>
          <w:b w:val="0"/>
          <w:bCs w:val="0"/>
          <w:sz w:val="20"/>
          <w:szCs w:val="20"/>
        </w:rPr>
        <w:lastRenderedPageBreak/>
        <w:t xml:space="preserve">Figure </w:t>
      </w:r>
      <w:r w:rsidRPr="003E09C2">
        <w:rPr>
          <w:rFonts w:ascii="IBM Plex Sans Medium" w:hAnsi="IBM Plex Sans Medium" w:cs="Calibri"/>
          <w:b w:val="0"/>
          <w:bCs w:val="0"/>
          <w:sz w:val="20"/>
          <w:szCs w:val="20"/>
        </w:rPr>
        <w:fldChar w:fldCharType="begin"/>
      </w:r>
      <w:r w:rsidRPr="003E09C2">
        <w:rPr>
          <w:rFonts w:ascii="IBM Plex Sans Medium" w:hAnsi="IBM Plex Sans Medium" w:cs="Calibri"/>
          <w:b w:val="0"/>
          <w:bCs w:val="0"/>
          <w:sz w:val="20"/>
          <w:szCs w:val="20"/>
        </w:rPr>
        <w:instrText xml:space="preserve"> SEQ Figure \* ARABIC </w:instrText>
      </w:r>
      <w:r w:rsidRPr="003E09C2">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16</w:t>
      </w:r>
      <w:r w:rsidRPr="003E09C2">
        <w:rPr>
          <w:rFonts w:ascii="IBM Plex Sans Medium" w:hAnsi="IBM Plex Sans Medium" w:cs="Calibri"/>
          <w:b w:val="0"/>
          <w:bCs w:val="0"/>
          <w:sz w:val="20"/>
          <w:szCs w:val="20"/>
        </w:rPr>
        <w:fldChar w:fldCharType="end"/>
      </w:r>
      <w:r w:rsidRPr="003E09C2">
        <w:rPr>
          <w:rFonts w:ascii="IBM Plex Sans Medium" w:hAnsi="IBM Plex Sans Medium" w:cs="Calibri"/>
          <w:b w:val="0"/>
          <w:bCs w:val="0"/>
          <w:sz w:val="20"/>
          <w:szCs w:val="20"/>
        </w:rPr>
        <w:t xml:space="preserve"> </w:t>
      </w:r>
      <w:r w:rsidR="00D50CB6">
        <w:rPr>
          <w:rFonts w:ascii="IBM Plex Sans Medium" w:hAnsi="IBM Plex Sans Medium" w:cs="Calibri"/>
          <w:b w:val="0"/>
          <w:bCs w:val="0"/>
          <w:sz w:val="20"/>
          <w:szCs w:val="20"/>
        </w:rPr>
        <w:t xml:space="preserve">Distribution of </w:t>
      </w:r>
      <w:r w:rsidR="00044408" w:rsidRPr="00044408">
        <w:rPr>
          <w:rFonts w:ascii="IBM Plex Sans Medium" w:hAnsi="IBM Plex Sans Medium" w:cs="Calibri"/>
          <w:b w:val="0"/>
          <w:bCs w:val="0"/>
          <w:sz w:val="20"/>
          <w:szCs w:val="20"/>
        </w:rPr>
        <w:t xml:space="preserve">ethnic minority </w:t>
      </w:r>
      <w:r w:rsidR="00D50CB6">
        <w:rPr>
          <w:rFonts w:ascii="IBM Plex Sans Medium" w:hAnsi="IBM Plex Sans Medium" w:cs="Calibri"/>
          <w:b w:val="0"/>
          <w:bCs w:val="0"/>
          <w:sz w:val="20"/>
          <w:szCs w:val="20"/>
        </w:rPr>
        <w:t xml:space="preserve">staff </w:t>
      </w:r>
      <w:r w:rsidR="00752613">
        <w:rPr>
          <w:rFonts w:ascii="IBM Plex Sans Medium" w:hAnsi="IBM Plex Sans Medium" w:cs="Calibri"/>
          <w:b w:val="0"/>
          <w:bCs w:val="0"/>
          <w:sz w:val="20"/>
          <w:szCs w:val="20"/>
        </w:rPr>
        <w:t>by</w:t>
      </w:r>
      <w:r w:rsidR="00012CD7">
        <w:rPr>
          <w:rFonts w:ascii="IBM Plex Sans Medium" w:hAnsi="IBM Plex Sans Medium" w:cs="Calibri"/>
          <w:b w:val="0"/>
          <w:bCs w:val="0"/>
          <w:sz w:val="20"/>
          <w:szCs w:val="20"/>
        </w:rPr>
        <w:t xml:space="preserve"> </w:t>
      </w:r>
      <w:r w:rsidR="00044408" w:rsidRPr="00044408">
        <w:rPr>
          <w:rFonts w:ascii="IBM Plex Sans Medium" w:hAnsi="IBM Plex Sans Medium" w:cs="Calibri"/>
          <w:b w:val="0"/>
          <w:bCs w:val="0"/>
          <w:sz w:val="20"/>
          <w:szCs w:val="20"/>
        </w:rPr>
        <w:t>pay band</w:t>
      </w:r>
      <w:bookmarkEnd w:id="50"/>
    </w:p>
    <w:p w14:paraId="56CA1067" w14:textId="2C365C02" w:rsidR="000F391E" w:rsidRDefault="00A427C4" w:rsidP="00227525">
      <w:pPr>
        <w:spacing w:before="0" w:after="0"/>
        <w:rPr>
          <w:rFonts w:ascii="IBM Plex Sans Medium" w:eastAsiaTheme="minorHAnsi" w:hAnsi="IBM Plex Sans Medium" w:cs="Calibri"/>
          <w:sz w:val="20"/>
          <w:szCs w:val="20"/>
          <w:highlight w:val="yellow"/>
        </w:rPr>
      </w:pPr>
      <w:r>
        <w:rPr>
          <w:noProof/>
        </w:rPr>
        <w:drawing>
          <wp:inline distT="0" distB="0" distL="0" distR="0" wp14:anchorId="768DCE5F" wp14:editId="450814A1">
            <wp:extent cx="5943600" cy="3960000"/>
            <wp:effectExtent l="0" t="0" r="0" b="2540"/>
            <wp:docPr id="2052482244" name="Chart 1">
              <a:extLst xmlns:a="http://schemas.openxmlformats.org/drawingml/2006/main">
                <a:ext uri="{FF2B5EF4-FFF2-40B4-BE49-F238E27FC236}">
                  <a16:creationId xmlns:a16="http://schemas.microsoft.com/office/drawing/2014/main" id="{01339FFC-A15C-C03D-F638-83C0F09C33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noProof/>
        </w:rPr>
        <w:t xml:space="preserve"> </w:t>
      </w:r>
    </w:p>
    <w:p w14:paraId="6AD4BD32" w14:textId="77777777" w:rsidR="000F391E" w:rsidRDefault="000F391E" w:rsidP="00227525">
      <w:pPr>
        <w:spacing w:before="0" w:after="0"/>
        <w:rPr>
          <w:rFonts w:ascii="IBM Plex Sans Medium" w:eastAsiaTheme="minorHAnsi" w:hAnsi="IBM Plex Sans Medium" w:cs="Calibri"/>
          <w:sz w:val="20"/>
          <w:szCs w:val="20"/>
          <w:highlight w:val="yellow"/>
        </w:rPr>
      </w:pPr>
    </w:p>
    <w:p w14:paraId="1F077D18" w14:textId="68E58E76" w:rsidR="00F857D8" w:rsidRPr="006E1862" w:rsidRDefault="00950834" w:rsidP="006E1862">
      <w:pPr>
        <w:pStyle w:val="TableofFigures"/>
        <w:tabs>
          <w:tab w:val="right" w:leader="dot" w:pos="9350"/>
        </w:tabs>
        <w:spacing w:before="0"/>
        <w:outlineLvl w:val="0"/>
        <w:rPr>
          <w:rStyle w:val="Hyperlink"/>
          <w:rFonts w:ascii="IBM Plex Sans Medium" w:hAnsi="IBM Plex Sans Medium"/>
          <w:noProof/>
          <w:color w:val="5C00D6"/>
          <w:sz w:val="22"/>
          <w:u w:val="none"/>
        </w:rPr>
      </w:pPr>
      <w:bookmarkStart w:id="51" w:name="_Toc157514645"/>
      <w:r w:rsidRPr="006E1862">
        <w:rPr>
          <w:rStyle w:val="Hyperlink"/>
          <w:rFonts w:ascii="IBM Plex Sans Medium" w:hAnsi="IBM Plex Sans Medium"/>
          <w:noProof/>
          <w:color w:val="5C00D6"/>
          <w:sz w:val="22"/>
          <w:u w:val="none"/>
        </w:rPr>
        <w:t>Disability</w:t>
      </w:r>
      <w:r w:rsidR="00283D15" w:rsidRPr="006E1862">
        <w:rPr>
          <w:rStyle w:val="Hyperlink"/>
          <w:rFonts w:ascii="IBM Plex Sans Medium" w:hAnsi="IBM Plex Sans Medium"/>
          <w:noProof/>
          <w:color w:val="5C00D6"/>
          <w:sz w:val="22"/>
          <w:u w:val="none"/>
        </w:rPr>
        <w:t xml:space="preserve"> </w:t>
      </w:r>
      <w:r w:rsidR="004335A4" w:rsidRPr="006E1862">
        <w:rPr>
          <w:rStyle w:val="Hyperlink"/>
          <w:rFonts w:ascii="IBM Plex Sans Medium" w:hAnsi="IBM Plex Sans Medium"/>
          <w:noProof/>
          <w:color w:val="5C00D6"/>
          <w:sz w:val="22"/>
          <w:u w:val="none"/>
        </w:rPr>
        <w:t>p</w:t>
      </w:r>
      <w:r w:rsidR="00283D15" w:rsidRPr="006E1862">
        <w:rPr>
          <w:rStyle w:val="Hyperlink"/>
          <w:rFonts w:ascii="IBM Plex Sans Medium" w:hAnsi="IBM Plex Sans Medium"/>
          <w:noProof/>
          <w:color w:val="5C00D6"/>
          <w:sz w:val="22"/>
          <w:u w:val="none"/>
        </w:rPr>
        <w:t xml:space="preserve">ay </w:t>
      </w:r>
      <w:r w:rsidR="004335A4" w:rsidRPr="006E1862">
        <w:rPr>
          <w:rStyle w:val="Hyperlink"/>
          <w:rFonts w:ascii="IBM Plex Sans Medium" w:hAnsi="IBM Plex Sans Medium"/>
          <w:noProof/>
          <w:color w:val="5C00D6"/>
          <w:sz w:val="22"/>
          <w:u w:val="none"/>
        </w:rPr>
        <w:t>g</w:t>
      </w:r>
      <w:r w:rsidR="00283D15" w:rsidRPr="006E1862">
        <w:rPr>
          <w:rStyle w:val="Hyperlink"/>
          <w:rFonts w:ascii="IBM Plex Sans Medium" w:hAnsi="IBM Plex Sans Medium"/>
          <w:noProof/>
          <w:color w:val="5C00D6"/>
          <w:sz w:val="22"/>
          <w:u w:val="none"/>
        </w:rPr>
        <w:t>ap</w:t>
      </w:r>
      <w:r w:rsidR="003C04E3" w:rsidRPr="006E1862">
        <w:rPr>
          <w:rStyle w:val="Hyperlink"/>
          <w:rFonts w:ascii="IBM Plex Sans Medium" w:hAnsi="IBM Plex Sans Medium"/>
          <w:noProof/>
          <w:color w:val="5C00D6"/>
          <w:sz w:val="22"/>
          <w:u w:val="none"/>
        </w:rPr>
        <w:t>s</w:t>
      </w:r>
      <w:bookmarkEnd w:id="51"/>
    </w:p>
    <w:p w14:paraId="24A56BCA" w14:textId="21A61152" w:rsidR="0043451E" w:rsidRDefault="006E1862" w:rsidP="003F098E">
      <w:pPr>
        <w:spacing w:before="0" w:after="0"/>
        <w:jc w:val="both"/>
        <w:rPr>
          <w:rFonts w:ascii="IBM Plex Sans" w:eastAsiaTheme="minorHAnsi" w:hAnsi="IBM Plex Sans" w:cs="Calibri"/>
          <w:bCs/>
          <w:iCs/>
          <w:sz w:val="22"/>
        </w:rPr>
      </w:pPr>
      <w:bookmarkStart w:id="52" w:name="_Toc148004645"/>
      <w:r>
        <w:rPr>
          <w:rFonts w:ascii="IBM Plex Sans" w:eastAsiaTheme="minorHAnsi" w:hAnsi="IBM Plex Sans" w:cs="Calibri"/>
          <w:sz w:val="22"/>
        </w:rPr>
        <w:t>I</w:t>
      </w:r>
      <w:r w:rsidRPr="00435C15">
        <w:rPr>
          <w:rFonts w:ascii="IBM Plex Sans" w:eastAsiaTheme="minorHAnsi" w:hAnsi="IBM Plex Sans" w:cs="Calibri"/>
          <w:sz w:val="22"/>
        </w:rPr>
        <w:t xml:space="preserve">n total 137 staff </w:t>
      </w:r>
      <w:r w:rsidRPr="008B6383">
        <w:rPr>
          <w:rFonts w:ascii="IBM Plex Sans" w:eastAsiaTheme="minorHAnsi" w:hAnsi="IBM Plex Sans" w:cs="Calibri"/>
          <w:sz w:val="22"/>
        </w:rPr>
        <w:t xml:space="preserve">(6.3%) </w:t>
      </w:r>
      <w:r w:rsidRPr="00435C15">
        <w:rPr>
          <w:rFonts w:ascii="IBM Plex Sans" w:eastAsiaTheme="minorHAnsi" w:hAnsi="IBM Plex Sans" w:cs="Calibri"/>
          <w:sz w:val="22"/>
        </w:rPr>
        <w:t>(93 women and 44 men) report hav</w:t>
      </w:r>
      <w:r>
        <w:rPr>
          <w:rFonts w:ascii="IBM Plex Sans" w:eastAsiaTheme="minorHAnsi" w:hAnsi="IBM Plex Sans" w:cs="Calibri"/>
          <w:sz w:val="22"/>
        </w:rPr>
        <w:t>ing</w:t>
      </w:r>
      <w:r w:rsidRPr="00435C15">
        <w:rPr>
          <w:rFonts w:ascii="IBM Plex Sans" w:eastAsiaTheme="minorHAnsi" w:hAnsi="IBM Plex Sans" w:cs="Calibri"/>
          <w:sz w:val="22"/>
        </w:rPr>
        <w:t xml:space="preserve"> a disability or long-term condition.</w:t>
      </w:r>
      <w:r>
        <w:rPr>
          <w:rFonts w:ascii="IBM Plex Sans" w:eastAsiaTheme="minorHAnsi" w:hAnsi="IBM Plex Sans" w:cs="Calibri"/>
          <w:sz w:val="22"/>
        </w:rPr>
        <w:t xml:space="preserve"> </w:t>
      </w:r>
      <w:r w:rsidR="00D67028">
        <w:rPr>
          <w:rFonts w:ascii="IBM Plex Sans" w:eastAsiaTheme="minorHAnsi" w:hAnsi="IBM Plex Sans" w:cs="Calibri"/>
          <w:sz w:val="22"/>
        </w:rPr>
        <w:t xml:space="preserve">The disability pay gap refers to the </w:t>
      </w:r>
      <w:r w:rsidR="00435C15" w:rsidRPr="00435C15">
        <w:rPr>
          <w:rFonts w:ascii="IBM Plex Sans" w:eastAsiaTheme="minorHAnsi" w:hAnsi="IBM Plex Sans" w:cs="Calibri"/>
          <w:sz w:val="22"/>
        </w:rPr>
        <w:t>difference in average hourly pay between disabled and non-disabled employees across the whole organisation.</w:t>
      </w:r>
      <w:bookmarkEnd w:id="52"/>
      <w:r w:rsidR="00435C15">
        <w:rPr>
          <w:rFonts w:ascii="IBM Plex Sans" w:eastAsiaTheme="minorHAnsi" w:hAnsi="IBM Plex Sans" w:cs="Calibri"/>
          <w:sz w:val="22"/>
        </w:rPr>
        <w:t xml:space="preserve"> </w:t>
      </w:r>
      <w:bookmarkStart w:id="53" w:name="_Toc148004646"/>
      <w:r w:rsidR="00D67028">
        <w:rPr>
          <w:rFonts w:ascii="IBM Plex Sans" w:eastAsiaTheme="minorHAnsi" w:hAnsi="IBM Plex Sans" w:cs="Calibri"/>
          <w:sz w:val="22"/>
        </w:rPr>
        <w:t>T</w:t>
      </w:r>
      <w:r w:rsidR="0043451E" w:rsidRPr="0043451E">
        <w:rPr>
          <w:rFonts w:ascii="IBM Plex Sans" w:eastAsiaTheme="minorHAnsi" w:hAnsi="IBM Plex Sans" w:cs="Calibri"/>
          <w:sz w:val="22"/>
        </w:rPr>
        <w:t>he overall mean (average)</w:t>
      </w:r>
      <w:r w:rsidR="0043451E">
        <w:rPr>
          <w:rFonts w:ascii="IBM Plex Sans" w:eastAsiaTheme="minorHAnsi" w:hAnsi="IBM Plex Sans" w:cs="Calibri"/>
          <w:sz w:val="22"/>
        </w:rPr>
        <w:t xml:space="preserve"> disability </w:t>
      </w:r>
      <w:r w:rsidR="0043451E" w:rsidRPr="0043451E">
        <w:rPr>
          <w:rFonts w:ascii="IBM Plex Sans" w:eastAsiaTheme="minorHAnsi" w:hAnsi="IBM Plex Sans" w:cs="Calibri"/>
          <w:sz w:val="22"/>
        </w:rPr>
        <w:t xml:space="preserve">pay gap at Public Health Wales is </w:t>
      </w:r>
      <w:r w:rsidR="00BD68F7">
        <w:rPr>
          <w:rFonts w:ascii="IBM Plex Sans" w:eastAsiaTheme="minorHAnsi" w:hAnsi="IBM Plex Sans" w:cs="Calibri"/>
          <w:sz w:val="22"/>
        </w:rPr>
        <w:t>1.5%</w:t>
      </w:r>
      <w:r w:rsidR="0043451E" w:rsidRPr="0043451E">
        <w:rPr>
          <w:rFonts w:ascii="IBM Plex Sans" w:eastAsiaTheme="minorHAnsi" w:hAnsi="IBM Plex Sans" w:cs="Calibri"/>
          <w:sz w:val="22"/>
        </w:rPr>
        <w:t xml:space="preserve"> and the median </w:t>
      </w:r>
      <w:r w:rsidR="00BD68F7">
        <w:rPr>
          <w:rFonts w:ascii="IBM Plex Sans" w:eastAsiaTheme="minorHAnsi" w:hAnsi="IBM Plex Sans" w:cs="Calibri"/>
          <w:sz w:val="22"/>
        </w:rPr>
        <w:t>disability</w:t>
      </w:r>
      <w:r w:rsidR="0043451E" w:rsidRPr="0043451E">
        <w:rPr>
          <w:rFonts w:ascii="IBM Plex Sans" w:eastAsiaTheme="minorHAnsi" w:hAnsi="IBM Plex Sans" w:cs="Calibri"/>
          <w:sz w:val="22"/>
        </w:rPr>
        <w:t xml:space="preserve"> pay gap is </w:t>
      </w:r>
      <w:r w:rsidR="00BD68F7">
        <w:rPr>
          <w:rFonts w:ascii="IBM Plex Sans" w:eastAsiaTheme="minorHAnsi" w:hAnsi="IBM Plex Sans" w:cs="Calibri"/>
          <w:sz w:val="22"/>
        </w:rPr>
        <w:t>3.8</w:t>
      </w:r>
      <w:r w:rsidR="0043451E" w:rsidRPr="0043451E">
        <w:rPr>
          <w:rFonts w:ascii="IBM Plex Sans" w:eastAsiaTheme="minorHAnsi" w:hAnsi="IBM Plex Sans" w:cs="Calibri"/>
          <w:sz w:val="22"/>
        </w:rPr>
        <w:t>%.</w:t>
      </w:r>
      <w:bookmarkEnd w:id="53"/>
      <w:r w:rsidR="00BD68F7">
        <w:rPr>
          <w:rFonts w:ascii="IBM Plex Sans" w:eastAsiaTheme="minorHAnsi" w:hAnsi="IBM Plex Sans" w:cs="Calibri"/>
          <w:sz w:val="22"/>
        </w:rPr>
        <w:t xml:space="preserve"> </w:t>
      </w:r>
    </w:p>
    <w:p w14:paraId="1EB1138C" w14:textId="77777777" w:rsidR="001373A2" w:rsidRPr="001373A2" w:rsidRDefault="001373A2" w:rsidP="00227525">
      <w:pPr>
        <w:spacing w:before="0" w:after="0"/>
      </w:pPr>
    </w:p>
    <w:p w14:paraId="6BE4B1CA" w14:textId="53502568" w:rsidR="00AB6EA3" w:rsidRPr="00E87C2F" w:rsidRDefault="00E87C2F" w:rsidP="00227525">
      <w:pPr>
        <w:pStyle w:val="Caption"/>
        <w:spacing w:before="0" w:after="0"/>
        <w:rPr>
          <w:rFonts w:ascii="IBM Plex Sans Medium" w:hAnsi="IBM Plex Sans Medium" w:cs="Calibri"/>
          <w:b w:val="0"/>
          <w:bCs w:val="0"/>
          <w:sz w:val="20"/>
          <w:szCs w:val="20"/>
        </w:rPr>
      </w:pPr>
      <w:bookmarkStart w:id="54" w:name="_Toc157514676"/>
      <w:r w:rsidRPr="00E87C2F">
        <w:rPr>
          <w:rFonts w:ascii="IBM Plex Sans Medium" w:hAnsi="IBM Plex Sans Medium" w:cs="Calibri"/>
          <w:b w:val="0"/>
          <w:bCs w:val="0"/>
          <w:sz w:val="20"/>
          <w:szCs w:val="20"/>
        </w:rPr>
        <w:t xml:space="preserve">Table </w:t>
      </w:r>
      <w:r w:rsidRPr="00E87C2F">
        <w:rPr>
          <w:rFonts w:ascii="IBM Plex Sans Medium" w:hAnsi="IBM Plex Sans Medium" w:cs="Calibri"/>
          <w:b w:val="0"/>
          <w:bCs w:val="0"/>
          <w:sz w:val="20"/>
          <w:szCs w:val="20"/>
        </w:rPr>
        <w:fldChar w:fldCharType="begin"/>
      </w:r>
      <w:r w:rsidRPr="00E87C2F">
        <w:rPr>
          <w:rFonts w:ascii="IBM Plex Sans Medium" w:hAnsi="IBM Plex Sans Medium" w:cs="Calibri"/>
          <w:b w:val="0"/>
          <w:bCs w:val="0"/>
          <w:sz w:val="20"/>
          <w:szCs w:val="20"/>
        </w:rPr>
        <w:instrText xml:space="preserve"> SEQ Table \* ARABIC </w:instrText>
      </w:r>
      <w:r w:rsidRPr="00E87C2F">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8</w:t>
      </w:r>
      <w:r w:rsidRPr="00E87C2F">
        <w:rPr>
          <w:rFonts w:ascii="IBM Plex Sans Medium" w:hAnsi="IBM Plex Sans Medium" w:cs="Calibri"/>
          <w:b w:val="0"/>
          <w:bCs w:val="0"/>
          <w:sz w:val="20"/>
          <w:szCs w:val="20"/>
        </w:rPr>
        <w:fldChar w:fldCharType="end"/>
      </w:r>
      <w:r w:rsidRPr="00E87C2F">
        <w:rPr>
          <w:rFonts w:ascii="IBM Plex Sans Medium" w:hAnsi="IBM Plex Sans Medium" w:cs="Calibri"/>
          <w:b w:val="0"/>
          <w:bCs w:val="0"/>
          <w:sz w:val="20"/>
          <w:szCs w:val="20"/>
        </w:rPr>
        <w:t xml:space="preserve"> </w:t>
      </w:r>
      <w:r w:rsidR="00AB6EA3" w:rsidRPr="00E87C2F">
        <w:rPr>
          <w:rFonts w:ascii="IBM Plex Sans Medium" w:hAnsi="IBM Plex Sans Medium" w:cs="Calibri"/>
          <w:b w:val="0"/>
          <w:bCs w:val="0"/>
          <w:sz w:val="20"/>
          <w:szCs w:val="20"/>
        </w:rPr>
        <w:t>Disability</w:t>
      </w:r>
      <w:r w:rsidR="00D467DD" w:rsidRPr="00E87C2F">
        <w:rPr>
          <w:rFonts w:ascii="IBM Plex Sans Medium" w:hAnsi="IBM Plex Sans Medium" w:cs="Calibri"/>
          <w:b w:val="0"/>
          <w:bCs w:val="0"/>
          <w:sz w:val="20"/>
          <w:szCs w:val="20"/>
        </w:rPr>
        <w:t xml:space="preserve"> </w:t>
      </w:r>
      <w:r w:rsidR="00BC1C2B" w:rsidRPr="00E87C2F">
        <w:rPr>
          <w:rFonts w:ascii="IBM Plex Sans Medium" w:hAnsi="IBM Plex Sans Medium" w:cs="Calibri"/>
          <w:b w:val="0"/>
          <w:bCs w:val="0"/>
          <w:sz w:val="20"/>
          <w:szCs w:val="20"/>
        </w:rPr>
        <w:t>p</w:t>
      </w:r>
      <w:r w:rsidR="00AB6EA3" w:rsidRPr="00E87C2F">
        <w:rPr>
          <w:rFonts w:ascii="IBM Plex Sans Medium" w:hAnsi="IBM Plex Sans Medium" w:cs="Calibri"/>
          <w:b w:val="0"/>
          <w:bCs w:val="0"/>
          <w:sz w:val="20"/>
          <w:szCs w:val="20"/>
        </w:rPr>
        <w:t xml:space="preserve">ay </w:t>
      </w:r>
      <w:r w:rsidRPr="00E87C2F">
        <w:rPr>
          <w:rFonts w:ascii="IBM Plex Sans Medium" w:hAnsi="IBM Plex Sans Medium" w:cs="Calibri"/>
          <w:b w:val="0"/>
          <w:bCs w:val="0"/>
          <w:sz w:val="20"/>
          <w:szCs w:val="20"/>
        </w:rPr>
        <w:t>gap at 31 March 202</w:t>
      </w:r>
      <w:r w:rsidR="003F098E">
        <w:rPr>
          <w:rFonts w:ascii="IBM Plex Sans Medium" w:hAnsi="IBM Plex Sans Medium" w:cs="Calibri"/>
          <w:b w:val="0"/>
          <w:bCs w:val="0"/>
          <w:sz w:val="20"/>
          <w:szCs w:val="20"/>
        </w:rPr>
        <w:t>3</w:t>
      </w:r>
      <w:bookmarkEnd w:id="54"/>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3116"/>
        <w:gridCol w:w="3117"/>
        <w:gridCol w:w="3117"/>
      </w:tblGrid>
      <w:tr w:rsidR="00E87C2F" w:rsidRPr="000E5B57" w14:paraId="0179D968" w14:textId="77777777" w:rsidTr="00FE6D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left w:val="single" w:sz="4" w:space="0" w:color="5C00D6"/>
              <w:bottom w:val="single" w:sz="4" w:space="0" w:color="5C00D6"/>
              <w:right w:val="single" w:sz="4" w:space="0" w:color="FFFFFF" w:themeColor="background1"/>
            </w:tcBorders>
            <w:shd w:val="clear" w:color="auto" w:fill="5C00D6"/>
          </w:tcPr>
          <w:p w14:paraId="54C83E07" w14:textId="77777777" w:rsidR="00E87C2F" w:rsidRPr="00D3346B" w:rsidRDefault="00E87C2F" w:rsidP="00FE6DBD">
            <w:pPr>
              <w:spacing w:before="0"/>
              <w:jc w:val="both"/>
              <w:rPr>
                <w:rFonts w:ascii="IBM Plex Sans Medium" w:eastAsiaTheme="minorHAnsi" w:hAnsi="IBM Plex Sans Medium" w:cs="Calibri"/>
                <w:b w:val="0"/>
                <w:bCs w:val="0"/>
                <w:color w:val="auto"/>
                <w:sz w:val="20"/>
                <w:szCs w:val="20"/>
                <w:lang w:val="en-GB"/>
              </w:rPr>
            </w:pPr>
          </w:p>
        </w:tc>
        <w:tc>
          <w:tcPr>
            <w:tcW w:w="3117" w:type="dxa"/>
            <w:tcBorders>
              <w:top w:val="single" w:sz="4" w:space="0" w:color="5C00D6"/>
              <w:left w:val="single" w:sz="4" w:space="0" w:color="FFFFFF" w:themeColor="background1"/>
              <w:bottom w:val="single" w:sz="4" w:space="0" w:color="5C00D6"/>
              <w:right w:val="single" w:sz="4" w:space="0" w:color="FFFFFF" w:themeColor="background1"/>
            </w:tcBorders>
            <w:shd w:val="clear" w:color="auto" w:fill="5C00D6"/>
          </w:tcPr>
          <w:p w14:paraId="21007227" w14:textId="3E10C85E" w:rsidR="00E87C2F" w:rsidRPr="00D3346B" w:rsidRDefault="00E87C2F" w:rsidP="00FE6DB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Mean</w:t>
            </w:r>
            <w:r w:rsidRPr="00D3346B">
              <w:rPr>
                <w:rFonts w:ascii="IBM Plex Sans Medium" w:eastAsia="Times New Roman" w:hAnsi="IBM Plex Sans Medium" w:cs="Arial"/>
                <w:b w:val="0"/>
                <w:bCs w:val="0"/>
                <w:color w:val="auto"/>
                <w:sz w:val="20"/>
                <w:szCs w:val="20"/>
                <w:lang w:eastAsia="en-GB"/>
              </w:rPr>
              <w:t xml:space="preserve"> </w:t>
            </w:r>
          </w:p>
        </w:tc>
        <w:tc>
          <w:tcPr>
            <w:tcW w:w="3117"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29281351" w14:textId="5EB4564F" w:rsidR="00E87C2F" w:rsidRPr="00D3346B" w:rsidRDefault="00E87C2F" w:rsidP="00FE6DB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sidRPr="00D3346B">
              <w:rPr>
                <w:rFonts w:ascii="IBM Plex Sans Medium" w:eastAsia="Times New Roman" w:hAnsi="IBM Plex Sans Medium" w:cs="Arial"/>
                <w:b w:val="0"/>
                <w:bCs w:val="0"/>
                <w:color w:val="auto"/>
                <w:sz w:val="20"/>
                <w:szCs w:val="20"/>
                <w:lang w:eastAsia="en-GB"/>
              </w:rPr>
              <w:t xml:space="preserve">Median </w:t>
            </w:r>
          </w:p>
        </w:tc>
      </w:tr>
      <w:tr w:rsidR="009B437D" w:rsidRPr="000E5B57" w14:paraId="2ACCD5ED" w14:textId="77777777" w:rsidTr="00FE6D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tcBorders>
            <w:shd w:val="clear" w:color="auto" w:fill="auto"/>
          </w:tcPr>
          <w:p w14:paraId="3A960921" w14:textId="3A87E741" w:rsidR="009B437D" w:rsidRPr="00D3346B" w:rsidRDefault="009B437D" w:rsidP="009B437D">
            <w:pPr>
              <w:spacing w:before="0"/>
              <w:jc w:val="both"/>
              <w:rPr>
                <w:rFonts w:ascii="IBM Plex Sans" w:eastAsiaTheme="minorHAnsi" w:hAnsi="IBM Plex Sans" w:cs="Calibri"/>
                <w:b w:val="0"/>
                <w:bCs w:val="0"/>
                <w:sz w:val="20"/>
                <w:szCs w:val="20"/>
                <w:lang w:val="en-GB"/>
              </w:rPr>
            </w:pPr>
            <w:r>
              <w:rPr>
                <w:rFonts w:ascii="IBM Plex Sans" w:eastAsiaTheme="minorHAnsi" w:hAnsi="IBM Plex Sans" w:cs="Calibri"/>
                <w:b w:val="0"/>
                <w:bCs w:val="0"/>
                <w:sz w:val="20"/>
                <w:szCs w:val="20"/>
                <w:lang w:val="en-GB"/>
              </w:rPr>
              <w:t>Non-disabled staff</w:t>
            </w:r>
          </w:p>
        </w:tc>
        <w:tc>
          <w:tcPr>
            <w:tcW w:w="3117" w:type="dxa"/>
            <w:tcBorders>
              <w:top w:val="single" w:sz="4" w:space="0" w:color="5C00D6"/>
            </w:tcBorders>
            <w:shd w:val="clear" w:color="auto" w:fill="auto"/>
          </w:tcPr>
          <w:p w14:paraId="28E9001F" w14:textId="371D9FE3" w:rsidR="009B437D" w:rsidRPr="005D0B15" w:rsidRDefault="005D0B15" w:rsidP="009B437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sidRPr="005D0B15">
              <w:rPr>
                <w:rFonts w:ascii="IBM Plex Sans" w:eastAsiaTheme="minorHAnsi" w:hAnsi="IBM Plex Sans" w:cs="Calibri"/>
                <w:sz w:val="20"/>
                <w:szCs w:val="20"/>
                <w:lang w:val="en-GB"/>
              </w:rPr>
              <w:t>£</w:t>
            </w:r>
            <w:r w:rsidR="00542914" w:rsidRPr="005D0B15">
              <w:rPr>
                <w:rFonts w:ascii="IBM Plex Sans" w:eastAsiaTheme="minorHAnsi" w:hAnsi="IBM Plex Sans" w:cs="Calibri"/>
                <w:sz w:val="20"/>
                <w:szCs w:val="20"/>
                <w:lang w:val="en-GB"/>
              </w:rPr>
              <w:t>20.31</w:t>
            </w:r>
          </w:p>
        </w:tc>
        <w:tc>
          <w:tcPr>
            <w:tcW w:w="3117" w:type="dxa"/>
            <w:tcBorders>
              <w:top w:val="single" w:sz="4" w:space="0" w:color="5C00D6"/>
            </w:tcBorders>
            <w:shd w:val="clear" w:color="auto" w:fill="auto"/>
          </w:tcPr>
          <w:p w14:paraId="0DB66EFF" w14:textId="6C3C5901" w:rsidR="009B437D" w:rsidRPr="00D3346B" w:rsidRDefault="009B437D" w:rsidP="009B437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£17.24</w:t>
            </w:r>
          </w:p>
        </w:tc>
      </w:tr>
      <w:tr w:rsidR="009B437D" w:rsidRPr="000E5B57" w14:paraId="584A0B88" w14:textId="77777777" w:rsidTr="00FE6DBD">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tcBorders>
            <w:shd w:val="clear" w:color="auto" w:fill="auto"/>
          </w:tcPr>
          <w:p w14:paraId="27BD5E68" w14:textId="53C11242" w:rsidR="009B437D" w:rsidRDefault="009B437D" w:rsidP="009B437D">
            <w:pPr>
              <w:spacing w:before="0"/>
              <w:jc w:val="both"/>
              <w:rPr>
                <w:rFonts w:ascii="IBM Plex Sans" w:eastAsia="Times New Roman" w:hAnsi="IBM Plex Sans" w:cs="Arial"/>
                <w:b w:val="0"/>
                <w:bCs w:val="0"/>
                <w:sz w:val="20"/>
                <w:szCs w:val="20"/>
                <w:lang w:eastAsia="en-GB"/>
              </w:rPr>
            </w:pPr>
            <w:r>
              <w:rPr>
                <w:rFonts w:ascii="IBM Plex Sans" w:eastAsia="Times New Roman" w:hAnsi="IBM Plex Sans" w:cs="Arial"/>
                <w:b w:val="0"/>
                <w:bCs w:val="0"/>
                <w:sz w:val="20"/>
                <w:szCs w:val="20"/>
                <w:lang w:eastAsia="en-GB"/>
              </w:rPr>
              <w:t>Disabled staff</w:t>
            </w:r>
          </w:p>
        </w:tc>
        <w:tc>
          <w:tcPr>
            <w:tcW w:w="3117" w:type="dxa"/>
            <w:tcBorders>
              <w:top w:val="single" w:sz="4" w:space="0" w:color="5C00D6"/>
            </w:tcBorders>
            <w:shd w:val="clear" w:color="auto" w:fill="auto"/>
          </w:tcPr>
          <w:p w14:paraId="26DB7FD1" w14:textId="14F932C6" w:rsidR="009B437D" w:rsidRPr="005D0B15" w:rsidRDefault="005D0B15" w:rsidP="009B437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sidRPr="005D0B15">
              <w:rPr>
                <w:rFonts w:ascii="IBM Plex Sans" w:eastAsiaTheme="minorHAnsi" w:hAnsi="IBM Plex Sans" w:cs="Calibri"/>
                <w:sz w:val="20"/>
                <w:szCs w:val="20"/>
                <w:lang w:val="en-GB"/>
              </w:rPr>
              <w:t>£</w:t>
            </w:r>
            <w:r w:rsidR="007E37D1" w:rsidRPr="005D0B15">
              <w:rPr>
                <w:rFonts w:ascii="IBM Plex Sans" w:eastAsiaTheme="minorHAnsi" w:hAnsi="IBM Plex Sans" w:cs="Calibri"/>
                <w:sz w:val="20"/>
                <w:szCs w:val="20"/>
                <w:lang w:val="en-GB"/>
              </w:rPr>
              <w:t>20.01</w:t>
            </w:r>
          </w:p>
        </w:tc>
        <w:tc>
          <w:tcPr>
            <w:tcW w:w="3117" w:type="dxa"/>
            <w:tcBorders>
              <w:top w:val="single" w:sz="4" w:space="0" w:color="5C00D6"/>
            </w:tcBorders>
            <w:shd w:val="clear" w:color="auto" w:fill="auto"/>
          </w:tcPr>
          <w:p w14:paraId="4DC34C11" w14:textId="30E6413A" w:rsidR="009B437D" w:rsidRDefault="009B437D" w:rsidP="009B437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£16.58</w:t>
            </w:r>
          </w:p>
        </w:tc>
      </w:tr>
      <w:tr w:rsidR="009B437D" w:rsidRPr="000E5B57" w14:paraId="31B71A29" w14:textId="77777777" w:rsidTr="00FE6D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bottom w:val="single" w:sz="18" w:space="0" w:color="5C00D6"/>
            </w:tcBorders>
            <w:shd w:val="clear" w:color="auto" w:fill="auto"/>
          </w:tcPr>
          <w:p w14:paraId="2BFF3094" w14:textId="77777777" w:rsidR="009B437D" w:rsidRPr="00D3346B" w:rsidRDefault="009B437D" w:rsidP="009B437D">
            <w:pPr>
              <w:spacing w:before="0"/>
              <w:jc w:val="both"/>
              <w:rPr>
                <w:rFonts w:ascii="IBM Plex Sans" w:eastAsiaTheme="minorHAnsi" w:hAnsi="IBM Plex Sans" w:cs="Calibri"/>
                <w:b w:val="0"/>
                <w:bCs w:val="0"/>
                <w:sz w:val="20"/>
                <w:szCs w:val="20"/>
                <w:lang w:val="en-GB"/>
              </w:rPr>
            </w:pPr>
            <w:r w:rsidRPr="00D3346B">
              <w:rPr>
                <w:rFonts w:ascii="IBM Plex Sans" w:eastAsiaTheme="minorHAnsi" w:hAnsi="IBM Plex Sans" w:cs="Calibri"/>
                <w:b w:val="0"/>
                <w:bCs w:val="0"/>
                <w:sz w:val="20"/>
                <w:szCs w:val="20"/>
                <w:lang w:val="en-GB"/>
              </w:rPr>
              <w:t>£ difference</w:t>
            </w:r>
          </w:p>
        </w:tc>
        <w:tc>
          <w:tcPr>
            <w:tcW w:w="3117" w:type="dxa"/>
            <w:tcBorders>
              <w:bottom w:val="single" w:sz="18" w:space="0" w:color="5C00D6"/>
            </w:tcBorders>
            <w:shd w:val="clear" w:color="auto" w:fill="auto"/>
          </w:tcPr>
          <w:p w14:paraId="77F76611" w14:textId="39267F94" w:rsidR="009B437D" w:rsidRPr="00D3346B" w:rsidRDefault="005D0B15" w:rsidP="009B437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£0.30</w:t>
            </w:r>
          </w:p>
        </w:tc>
        <w:tc>
          <w:tcPr>
            <w:tcW w:w="3117" w:type="dxa"/>
            <w:tcBorders>
              <w:bottom w:val="single" w:sz="18" w:space="0" w:color="5C00D6"/>
            </w:tcBorders>
            <w:shd w:val="clear" w:color="auto" w:fill="auto"/>
          </w:tcPr>
          <w:p w14:paraId="6913A53E" w14:textId="78C2A712" w:rsidR="009B437D" w:rsidRPr="00D3346B" w:rsidRDefault="009B437D" w:rsidP="009B437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£0.66</w:t>
            </w:r>
          </w:p>
        </w:tc>
      </w:tr>
      <w:tr w:rsidR="009B437D" w:rsidRPr="000E5B57" w14:paraId="1ABB023E" w14:textId="77777777" w:rsidTr="00FE6DBD">
        <w:tc>
          <w:tcPr>
            <w:cnfStyle w:val="001000000000" w:firstRow="0" w:lastRow="0" w:firstColumn="1" w:lastColumn="0" w:oddVBand="0" w:evenVBand="0" w:oddHBand="0" w:evenHBand="0" w:firstRowFirstColumn="0" w:firstRowLastColumn="0" w:lastRowFirstColumn="0" w:lastRowLastColumn="0"/>
            <w:tcW w:w="3116" w:type="dxa"/>
            <w:tcBorders>
              <w:top w:val="single" w:sz="18" w:space="0" w:color="5C00D6"/>
              <w:bottom w:val="single" w:sz="18" w:space="0" w:color="5C00D6"/>
            </w:tcBorders>
            <w:shd w:val="clear" w:color="auto" w:fill="auto"/>
          </w:tcPr>
          <w:p w14:paraId="58735A2E" w14:textId="425D848B" w:rsidR="009B437D" w:rsidRPr="00DF4A1B" w:rsidRDefault="009B437D" w:rsidP="009B437D">
            <w:pPr>
              <w:spacing w:before="0"/>
              <w:jc w:val="both"/>
              <w:rPr>
                <w:rFonts w:ascii="IBM Plex Sans Medium" w:eastAsia="Times New Roman" w:hAnsi="IBM Plex Sans Medium" w:cs="Arial"/>
                <w:b w:val="0"/>
                <w:bCs w:val="0"/>
                <w:sz w:val="20"/>
                <w:szCs w:val="20"/>
                <w:lang w:eastAsia="en-GB"/>
              </w:rPr>
            </w:pPr>
            <w:r>
              <w:rPr>
                <w:rFonts w:ascii="IBM Plex Sans Medium" w:eastAsia="Times New Roman" w:hAnsi="IBM Plex Sans Medium" w:cs="Arial"/>
                <w:b w:val="0"/>
                <w:bCs w:val="0"/>
                <w:sz w:val="20"/>
                <w:szCs w:val="20"/>
                <w:lang w:eastAsia="en-GB"/>
              </w:rPr>
              <w:t>Disability</w:t>
            </w:r>
            <w:r w:rsidRPr="00DF4A1B">
              <w:rPr>
                <w:rFonts w:ascii="IBM Plex Sans Medium" w:eastAsia="Times New Roman" w:hAnsi="IBM Plex Sans Medium" w:cs="Arial"/>
                <w:b w:val="0"/>
                <w:bCs w:val="0"/>
                <w:sz w:val="20"/>
                <w:szCs w:val="20"/>
                <w:lang w:eastAsia="en-GB"/>
              </w:rPr>
              <w:t xml:space="preserve"> </w:t>
            </w:r>
            <w:r w:rsidR="0006598E">
              <w:rPr>
                <w:rFonts w:ascii="IBM Plex Sans Medium" w:eastAsia="Times New Roman" w:hAnsi="IBM Plex Sans Medium" w:cs="Arial"/>
                <w:b w:val="0"/>
                <w:bCs w:val="0"/>
                <w:sz w:val="20"/>
                <w:szCs w:val="20"/>
                <w:lang w:eastAsia="en-GB"/>
              </w:rPr>
              <w:t>p</w:t>
            </w:r>
            <w:r w:rsidRPr="00DF4A1B">
              <w:rPr>
                <w:rFonts w:ascii="IBM Plex Sans Medium" w:eastAsia="Times New Roman" w:hAnsi="IBM Plex Sans Medium" w:cs="Arial"/>
                <w:b w:val="0"/>
                <w:bCs w:val="0"/>
                <w:sz w:val="20"/>
                <w:szCs w:val="20"/>
                <w:lang w:eastAsia="en-GB"/>
              </w:rPr>
              <w:t xml:space="preserve">ay </w:t>
            </w:r>
            <w:r w:rsidR="0006598E">
              <w:rPr>
                <w:rFonts w:ascii="IBM Plex Sans Medium" w:eastAsia="Times New Roman" w:hAnsi="IBM Plex Sans Medium" w:cs="Arial"/>
                <w:b w:val="0"/>
                <w:bCs w:val="0"/>
                <w:sz w:val="20"/>
                <w:szCs w:val="20"/>
                <w:lang w:eastAsia="en-GB"/>
              </w:rPr>
              <w:t>g</w:t>
            </w:r>
            <w:r w:rsidRPr="00DF4A1B">
              <w:rPr>
                <w:rFonts w:ascii="IBM Plex Sans Medium" w:eastAsia="Times New Roman" w:hAnsi="IBM Plex Sans Medium" w:cs="Arial"/>
                <w:b w:val="0"/>
                <w:bCs w:val="0"/>
                <w:sz w:val="20"/>
                <w:szCs w:val="20"/>
                <w:lang w:eastAsia="en-GB"/>
              </w:rPr>
              <w:t>ap</w:t>
            </w:r>
          </w:p>
        </w:tc>
        <w:tc>
          <w:tcPr>
            <w:tcW w:w="3117" w:type="dxa"/>
            <w:tcBorders>
              <w:top w:val="single" w:sz="18" w:space="0" w:color="5C00D6"/>
              <w:bottom w:val="single" w:sz="18" w:space="0" w:color="5C00D6"/>
            </w:tcBorders>
            <w:shd w:val="clear" w:color="auto" w:fill="auto"/>
          </w:tcPr>
          <w:p w14:paraId="5C5774E5" w14:textId="3A8F3821" w:rsidR="009B437D" w:rsidRPr="00DF4A1B" w:rsidRDefault="009B437D" w:rsidP="009B437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1.5%</w:t>
            </w:r>
          </w:p>
        </w:tc>
        <w:tc>
          <w:tcPr>
            <w:tcW w:w="3117" w:type="dxa"/>
            <w:tcBorders>
              <w:top w:val="single" w:sz="18" w:space="0" w:color="5C00D6"/>
              <w:bottom w:val="single" w:sz="18" w:space="0" w:color="5C00D6"/>
            </w:tcBorders>
            <w:shd w:val="clear" w:color="auto" w:fill="auto"/>
          </w:tcPr>
          <w:p w14:paraId="222C5B65" w14:textId="1DC7A69A" w:rsidR="009B437D" w:rsidRPr="00DF4A1B" w:rsidRDefault="009B437D" w:rsidP="009B437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sidRPr="00884457">
              <w:rPr>
                <w:rFonts w:ascii="IBM Plex Sans Medium" w:eastAsia="Times New Roman" w:hAnsi="IBM Plex Sans Medium" w:cs="Arial"/>
                <w:sz w:val="20"/>
                <w:szCs w:val="20"/>
                <w:lang w:eastAsia="en-GB"/>
              </w:rPr>
              <w:t>3.8%</w:t>
            </w:r>
          </w:p>
        </w:tc>
      </w:tr>
    </w:tbl>
    <w:p w14:paraId="049A3341" w14:textId="77777777" w:rsidR="00C8640E" w:rsidRDefault="00C8640E" w:rsidP="00C8640E">
      <w:pPr>
        <w:spacing w:before="0" w:after="0"/>
        <w:jc w:val="both"/>
        <w:rPr>
          <w:rFonts w:ascii="IBM Plex Sans" w:eastAsiaTheme="minorHAnsi" w:hAnsi="IBM Plex Sans" w:cs="Calibri"/>
          <w:sz w:val="20"/>
          <w:szCs w:val="20"/>
          <w:lang w:val="en-GB"/>
        </w:rPr>
      </w:pPr>
      <w:r w:rsidRPr="00604B6C">
        <w:rPr>
          <w:rFonts w:ascii="IBM Plex Sans" w:eastAsiaTheme="minorHAnsi" w:hAnsi="IBM Plex Sans" w:cs="Calibri"/>
          <w:sz w:val="20"/>
          <w:szCs w:val="20"/>
          <w:lang w:val="en-GB"/>
        </w:rPr>
        <w:t xml:space="preserve">Note: hourly pay is shown to two decimal places. </w:t>
      </w:r>
    </w:p>
    <w:p w14:paraId="5059EBDE" w14:textId="7AD88107" w:rsidR="006E1862" w:rsidRPr="006E1862" w:rsidRDefault="002820A8" w:rsidP="006E1862">
      <w:pPr>
        <w:pStyle w:val="TableofFigures"/>
        <w:tabs>
          <w:tab w:val="right" w:leader="dot" w:pos="9350"/>
        </w:tabs>
        <w:spacing w:before="0"/>
        <w:outlineLvl w:val="0"/>
        <w:rPr>
          <w:rStyle w:val="Hyperlink"/>
          <w:rFonts w:ascii="IBM Plex Sans Medium" w:hAnsi="IBM Plex Sans Medium"/>
          <w:noProof/>
          <w:color w:val="5C00D6"/>
          <w:sz w:val="22"/>
          <w:u w:val="none"/>
        </w:rPr>
      </w:pPr>
      <w:bookmarkStart w:id="55" w:name="_Toc157514646"/>
      <w:r>
        <w:rPr>
          <w:rStyle w:val="Hyperlink"/>
          <w:rFonts w:ascii="IBM Plex Sans Medium" w:hAnsi="IBM Plex Sans Medium"/>
          <w:noProof/>
          <w:color w:val="5C00D6"/>
          <w:sz w:val="22"/>
          <w:u w:val="none"/>
        </w:rPr>
        <w:lastRenderedPageBreak/>
        <w:t>LGB</w:t>
      </w:r>
      <w:r w:rsidR="00EC7CE0">
        <w:rPr>
          <w:rStyle w:val="Hyperlink"/>
          <w:rFonts w:ascii="IBM Plex Sans Medium" w:hAnsi="IBM Plex Sans Medium"/>
          <w:noProof/>
          <w:color w:val="5C00D6"/>
          <w:sz w:val="22"/>
          <w:u w:val="none"/>
        </w:rPr>
        <w:t>+</w:t>
      </w:r>
      <w:r>
        <w:rPr>
          <w:rStyle w:val="Hyperlink"/>
          <w:rFonts w:ascii="IBM Plex Sans Medium" w:hAnsi="IBM Plex Sans Medium"/>
          <w:noProof/>
          <w:color w:val="5C00D6"/>
          <w:sz w:val="22"/>
          <w:u w:val="none"/>
        </w:rPr>
        <w:t xml:space="preserve"> pa</w:t>
      </w:r>
      <w:r w:rsidR="006E1862" w:rsidRPr="006E1862">
        <w:rPr>
          <w:rStyle w:val="Hyperlink"/>
          <w:rFonts w:ascii="IBM Plex Sans Medium" w:hAnsi="IBM Plex Sans Medium"/>
          <w:noProof/>
          <w:color w:val="5C00D6"/>
          <w:sz w:val="22"/>
          <w:u w:val="none"/>
        </w:rPr>
        <w:t>y gap</w:t>
      </w:r>
      <w:bookmarkEnd w:id="55"/>
    </w:p>
    <w:p w14:paraId="24BA70E7" w14:textId="7AFE0673" w:rsidR="006E1862" w:rsidRDefault="006E1862" w:rsidP="006E1862">
      <w:pPr>
        <w:spacing w:before="0" w:after="0"/>
        <w:jc w:val="both"/>
        <w:rPr>
          <w:rFonts w:ascii="IBM Plex Sans" w:eastAsiaTheme="minorHAnsi" w:hAnsi="IBM Plex Sans" w:cs="Calibri"/>
          <w:bCs/>
          <w:iCs/>
          <w:sz w:val="22"/>
        </w:rPr>
      </w:pPr>
      <w:r>
        <w:rPr>
          <w:rFonts w:ascii="IBM Plex Sans" w:eastAsiaTheme="minorHAnsi" w:hAnsi="IBM Plex Sans" w:cs="Calibri"/>
          <w:sz w:val="22"/>
        </w:rPr>
        <w:t>I</w:t>
      </w:r>
      <w:r w:rsidRPr="00435C15">
        <w:rPr>
          <w:rFonts w:ascii="IBM Plex Sans" w:eastAsiaTheme="minorHAnsi" w:hAnsi="IBM Plex Sans" w:cs="Calibri"/>
          <w:sz w:val="22"/>
        </w:rPr>
        <w:t>n total 1</w:t>
      </w:r>
      <w:r w:rsidR="002820A8">
        <w:rPr>
          <w:rFonts w:ascii="IBM Plex Sans" w:eastAsiaTheme="minorHAnsi" w:hAnsi="IBM Plex Sans" w:cs="Calibri"/>
          <w:sz w:val="22"/>
        </w:rPr>
        <w:t>15</w:t>
      </w:r>
      <w:r w:rsidRPr="00435C15">
        <w:rPr>
          <w:rFonts w:ascii="IBM Plex Sans" w:eastAsiaTheme="minorHAnsi" w:hAnsi="IBM Plex Sans" w:cs="Calibri"/>
          <w:sz w:val="22"/>
        </w:rPr>
        <w:t xml:space="preserve"> </w:t>
      </w:r>
      <w:r w:rsidRPr="00AF7429">
        <w:rPr>
          <w:rFonts w:ascii="IBM Plex Sans" w:eastAsiaTheme="minorHAnsi" w:hAnsi="IBM Plex Sans" w:cs="Calibri"/>
          <w:sz w:val="22"/>
        </w:rPr>
        <w:t>staff (</w:t>
      </w:r>
      <w:r w:rsidR="00AF7429" w:rsidRPr="00AF7429">
        <w:rPr>
          <w:rFonts w:ascii="IBM Plex Sans" w:eastAsiaTheme="minorHAnsi" w:hAnsi="IBM Plex Sans" w:cs="Calibri"/>
          <w:sz w:val="22"/>
        </w:rPr>
        <w:t>5.3</w:t>
      </w:r>
      <w:r w:rsidRPr="00AF7429">
        <w:rPr>
          <w:rFonts w:ascii="IBM Plex Sans" w:eastAsiaTheme="minorHAnsi" w:hAnsi="IBM Plex Sans" w:cs="Calibri"/>
          <w:sz w:val="22"/>
        </w:rPr>
        <w:t>%) (</w:t>
      </w:r>
      <w:r w:rsidR="00F27F59" w:rsidRPr="00AF7429">
        <w:rPr>
          <w:rFonts w:ascii="IBM Plex Sans" w:eastAsiaTheme="minorHAnsi" w:hAnsi="IBM Plex Sans" w:cs="Calibri"/>
          <w:sz w:val="22"/>
        </w:rPr>
        <w:t>58</w:t>
      </w:r>
      <w:r w:rsidRPr="00AF7429">
        <w:rPr>
          <w:rFonts w:ascii="IBM Plex Sans" w:eastAsiaTheme="minorHAnsi" w:hAnsi="IBM Plex Sans" w:cs="Calibri"/>
          <w:sz w:val="22"/>
        </w:rPr>
        <w:t xml:space="preserve"> women</w:t>
      </w:r>
      <w:r w:rsidRPr="00435C15">
        <w:rPr>
          <w:rFonts w:ascii="IBM Plex Sans" w:eastAsiaTheme="minorHAnsi" w:hAnsi="IBM Plex Sans" w:cs="Calibri"/>
          <w:sz w:val="22"/>
        </w:rPr>
        <w:t xml:space="preserve"> and </w:t>
      </w:r>
      <w:r w:rsidR="00F27F59">
        <w:rPr>
          <w:rFonts w:ascii="IBM Plex Sans" w:eastAsiaTheme="minorHAnsi" w:hAnsi="IBM Plex Sans" w:cs="Calibri"/>
          <w:sz w:val="22"/>
        </w:rPr>
        <w:t>57</w:t>
      </w:r>
      <w:r w:rsidRPr="00435C15">
        <w:rPr>
          <w:rFonts w:ascii="IBM Plex Sans" w:eastAsiaTheme="minorHAnsi" w:hAnsi="IBM Plex Sans" w:cs="Calibri"/>
          <w:sz w:val="22"/>
        </w:rPr>
        <w:t xml:space="preserve"> men) report</w:t>
      </w:r>
      <w:r w:rsidR="002E0FAB">
        <w:rPr>
          <w:rFonts w:ascii="IBM Plex Sans" w:eastAsiaTheme="minorHAnsi" w:hAnsi="IBM Plex Sans" w:cs="Calibri"/>
          <w:sz w:val="22"/>
        </w:rPr>
        <w:t xml:space="preserve"> their sexual orientation as being </w:t>
      </w:r>
      <w:r w:rsidR="00194E77">
        <w:rPr>
          <w:rFonts w:ascii="IBM Plex Sans" w:eastAsiaTheme="minorHAnsi" w:hAnsi="IBM Plex Sans" w:cs="Calibri"/>
          <w:sz w:val="22"/>
        </w:rPr>
        <w:t xml:space="preserve">either </w:t>
      </w:r>
      <w:r w:rsidR="008B7487">
        <w:rPr>
          <w:rFonts w:ascii="IBM Plex Sans" w:eastAsiaTheme="minorHAnsi" w:hAnsi="IBM Plex Sans" w:cs="Calibri"/>
          <w:sz w:val="22"/>
        </w:rPr>
        <w:t>lesbian</w:t>
      </w:r>
      <w:r w:rsidR="00194E77">
        <w:rPr>
          <w:rFonts w:ascii="IBM Plex Sans" w:eastAsiaTheme="minorHAnsi" w:hAnsi="IBM Plex Sans" w:cs="Calibri"/>
          <w:sz w:val="22"/>
        </w:rPr>
        <w:t xml:space="preserve">, </w:t>
      </w:r>
      <w:r w:rsidR="00561AF6">
        <w:rPr>
          <w:rFonts w:ascii="IBM Plex Sans" w:eastAsiaTheme="minorHAnsi" w:hAnsi="IBM Plex Sans" w:cs="Calibri"/>
          <w:sz w:val="22"/>
        </w:rPr>
        <w:t>g</w:t>
      </w:r>
      <w:r w:rsidR="00194E77">
        <w:rPr>
          <w:rFonts w:ascii="IBM Plex Sans" w:eastAsiaTheme="minorHAnsi" w:hAnsi="IBM Plex Sans" w:cs="Calibri"/>
          <w:sz w:val="22"/>
        </w:rPr>
        <w:t>ay</w:t>
      </w:r>
      <w:r w:rsidR="00561AF6">
        <w:rPr>
          <w:rFonts w:ascii="IBM Plex Sans" w:eastAsiaTheme="minorHAnsi" w:hAnsi="IBM Plex Sans" w:cs="Calibri"/>
          <w:sz w:val="22"/>
        </w:rPr>
        <w:t xml:space="preserve">, bisexual </w:t>
      </w:r>
      <w:r w:rsidR="00194E77">
        <w:rPr>
          <w:rFonts w:ascii="IBM Plex Sans" w:eastAsiaTheme="minorHAnsi" w:hAnsi="IBM Plex Sans" w:cs="Calibri"/>
          <w:sz w:val="22"/>
        </w:rPr>
        <w:t>or other</w:t>
      </w:r>
      <w:r w:rsidR="00D02AD2">
        <w:rPr>
          <w:rFonts w:ascii="IBM Plex Sans" w:eastAsiaTheme="minorHAnsi" w:hAnsi="IBM Plex Sans" w:cs="Calibri"/>
          <w:sz w:val="22"/>
        </w:rPr>
        <w:t xml:space="preserve"> sexual orientation</w:t>
      </w:r>
      <w:r w:rsidR="00EF5A6D">
        <w:rPr>
          <w:rFonts w:ascii="IBM Plex Sans" w:eastAsiaTheme="minorHAnsi" w:hAnsi="IBM Plex Sans" w:cs="Calibri"/>
          <w:sz w:val="22"/>
        </w:rPr>
        <w:t xml:space="preserve">. </w:t>
      </w:r>
      <w:r>
        <w:rPr>
          <w:rFonts w:ascii="IBM Plex Sans" w:eastAsiaTheme="minorHAnsi" w:hAnsi="IBM Plex Sans" w:cs="Calibri"/>
          <w:sz w:val="22"/>
        </w:rPr>
        <w:t xml:space="preserve">The </w:t>
      </w:r>
      <w:r w:rsidR="00E90C9A">
        <w:rPr>
          <w:rFonts w:ascii="IBM Plex Sans" w:eastAsiaTheme="minorHAnsi" w:hAnsi="IBM Plex Sans" w:cs="Calibri"/>
          <w:sz w:val="22"/>
        </w:rPr>
        <w:t>LGB+</w:t>
      </w:r>
      <w:r>
        <w:rPr>
          <w:rFonts w:ascii="IBM Plex Sans" w:eastAsiaTheme="minorHAnsi" w:hAnsi="IBM Plex Sans" w:cs="Calibri"/>
          <w:sz w:val="22"/>
        </w:rPr>
        <w:t xml:space="preserve"> pay gap refers to the </w:t>
      </w:r>
      <w:r w:rsidRPr="00435C15">
        <w:rPr>
          <w:rFonts w:ascii="IBM Plex Sans" w:eastAsiaTheme="minorHAnsi" w:hAnsi="IBM Plex Sans" w:cs="Calibri"/>
          <w:sz w:val="22"/>
        </w:rPr>
        <w:t xml:space="preserve">difference in average hourly pay between </w:t>
      </w:r>
      <w:r w:rsidR="009E18BD">
        <w:rPr>
          <w:rFonts w:ascii="IBM Plex Sans" w:eastAsiaTheme="minorHAnsi" w:hAnsi="IBM Plex Sans" w:cs="Calibri"/>
          <w:sz w:val="22"/>
        </w:rPr>
        <w:t>LGB</w:t>
      </w:r>
      <w:r w:rsidR="004C153B">
        <w:rPr>
          <w:rFonts w:ascii="IBM Plex Sans" w:eastAsiaTheme="minorHAnsi" w:hAnsi="IBM Plex Sans" w:cs="Calibri"/>
          <w:sz w:val="22"/>
        </w:rPr>
        <w:t>+</w:t>
      </w:r>
      <w:r w:rsidR="009E18BD">
        <w:rPr>
          <w:rFonts w:ascii="IBM Plex Sans" w:eastAsiaTheme="minorHAnsi" w:hAnsi="IBM Plex Sans" w:cs="Calibri"/>
          <w:sz w:val="22"/>
        </w:rPr>
        <w:t xml:space="preserve"> </w:t>
      </w:r>
      <w:r w:rsidRPr="00435C15">
        <w:rPr>
          <w:rFonts w:ascii="IBM Plex Sans" w:eastAsiaTheme="minorHAnsi" w:hAnsi="IBM Plex Sans" w:cs="Calibri"/>
          <w:sz w:val="22"/>
        </w:rPr>
        <w:t xml:space="preserve">and </w:t>
      </w:r>
      <w:r w:rsidR="00887AFA">
        <w:rPr>
          <w:rFonts w:ascii="IBM Plex Sans" w:eastAsiaTheme="minorHAnsi" w:hAnsi="IBM Plex Sans" w:cs="Calibri"/>
          <w:sz w:val="22"/>
        </w:rPr>
        <w:t>heterosexual</w:t>
      </w:r>
      <w:r w:rsidRPr="00435C15">
        <w:rPr>
          <w:rFonts w:ascii="IBM Plex Sans" w:eastAsiaTheme="minorHAnsi" w:hAnsi="IBM Plex Sans" w:cs="Calibri"/>
          <w:sz w:val="22"/>
        </w:rPr>
        <w:t xml:space="preserve"> employees across the whole organisation.</w:t>
      </w:r>
      <w:r>
        <w:rPr>
          <w:rFonts w:ascii="IBM Plex Sans" w:eastAsiaTheme="minorHAnsi" w:hAnsi="IBM Plex Sans" w:cs="Calibri"/>
          <w:sz w:val="22"/>
        </w:rPr>
        <w:t xml:space="preserve"> T</w:t>
      </w:r>
      <w:r w:rsidRPr="0043451E">
        <w:rPr>
          <w:rFonts w:ascii="IBM Plex Sans" w:eastAsiaTheme="minorHAnsi" w:hAnsi="IBM Plex Sans" w:cs="Calibri"/>
          <w:sz w:val="22"/>
        </w:rPr>
        <w:t>he overall mean (average)</w:t>
      </w:r>
      <w:r>
        <w:rPr>
          <w:rFonts w:ascii="IBM Plex Sans" w:eastAsiaTheme="minorHAnsi" w:hAnsi="IBM Plex Sans" w:cs="Calibri"/>
          <w:sz w:val="22"/>
        </w:rPr>
        <w:t xml:space="preserve"> </w:t>
      </w:r>
      <w:r w:rsidR="00AF11FD">
        <w:rPr>
          <w:rFonts w:ascii="IBM Plex Sans" w:eastAsiaTheme="minorHAnsi" w:hAnsi="IBM Plex Sans" w:cs="Calibri"/>
          <w:sz w:val="22"/>
        </w:rPr>
        <w:t>LGB</w:t>
      </w:r>
      <w:r w:rsidR="003E4653">
        <w:rPr>
          <w:rFonts w:ascii="IBM Plex Sans" w:eastAsiaTheme="minorHAnsi" w:hAnsi="IBM Plex Sans" w:cs="Calibri"/>
          <w:sz w:val="22"/>
        </w:rPr>
        <w:t>+</w:t>
      </w:r>
      <w:r w:rsidR="00AF11FD">
        <w:rPr>
          <w:rFonts w:ascii="IBM Plex Sans" w:eastAsiaTheme="minorHAnsi" w:hAnsi="IBM Plex Sans" w:cs="Calibri"/>
          <w:sz w:val="22"/>
        </w:rPr>
        <w:t xml:space="preserve"> </w:t>
      </w:r>
      <w:r w:rsidRPr="0043451E">
        <w:rPr>
          <w:rFonts w:ascii="IBM Plex Sans" w:eastAsiaTheme="minorHAnsi" w:hAnsi="IBM Plex Sans" w:cs="Calibri"/>
          <w:sz w:val="22"/>
        </w:rPr>
        <w:t xml:space="preserve">pay gap at Public Health Wales is </w:t>
      </w:r>
      <w:r w:rsidR="00F80D5F">
        <w:rPr>
          <w:rFonts w:ascii="IBM Plex Sans" w:eastAsiaTheme="minorHAnsi" w:hAnsi="IBM Plex Sans" w:cs="Calibri"/>
          <w:sz w:val="22"/>
        </w:rPr>
        <w:t>11.0</w:t>
      </w:r>
      <w:r>
        <w:rPr>
          <w:rFonts w:ascii="IBM Plex Sans" w:eastAsiaTheme="minorHAnsi" w:hAnsi="IBM Plex Sans" w:cs="Calibri"/>
          <w:sz w:val="22"/>
        </w:rPr>
        <w:t>%</w:t>
      </w:r>
      <w:r w:rsidRPr="0043451E">
        <w:rPr>
          <w:rFonts w:ascii="IBM Plex Sans" w:eastAsiaTheme="minorHAnsi" w:hAnsi="IBM Plex Sans" w:cs="Calibri"/>
          <w:sz w:val="22"/>
        </w:rPr>
        <w:t xml:space="preserve"> and the median </w:t>
      </w:r>
      <w:r w:rsidR="00AF11FD">
        <w:rPr>
          <w:rFonts w:ascii="IBM Plex Sans" w:eastAsiaTheme="minorHAnsi" w:hAnsi="IBM Plex Sans" w:cs="Calibri"/>
          <w:sz w:val="22"/>
        </w:rPr>
        <w:t>LGB</w:t>
      </w:r>
      <w:r w:rsidR="003E4653">
        <w:rPr>
          <w:rFonts w:ascii="IBM Plex Sans" w:eastAsiaTheme="minorHAnsi" w:hAnsi="IBM Plex Sans" w:cs="Calibri"/>
          <w:sz w:val="22"/>
        </w:rPr>
        <w:t>+</w:t>
      </w:r>
      <w:r w:rsidRPr="0043451E">
        <w:rPr>
          <w:rFonts w:ascii="IBM Plex Sans" w:eastAsiaTheme="minorHAnsi" w:hAnsi="IBM Plex Sans" w:cs="Calibri"/>
          <w:sz w:val="22"/>
        </w:rPr>
        <w:t xml:space="preserve"> pay gap is </w:t>
      </w:r>
      <w:r w:rsidR="00887AFA">
        <w:rPr>
          <w:rFonts w:ascii="IBM Plex Sans" w:eastAsiaTheme="minorHAnsi" w:hAnsi="IBM Plex Sans" w:cs="Calibri"/>
          <w:sz w:val="22"/>
        </w:rPr>
        <w:t>13.4</w:t>
      </w:r>
      <w:r w:rsidRPr="0043451E">
        <w:rPr>
          <w:rFonts w:ascii="IBM Plex Sans" w:eastAsiaTheme="minorHAnsi" w:hAnsi="IBM Plex Sans" w:cs="Calibri"/>
          <w:sz w:val="22"/>
        </w:rPr>
        <w:t>%.</w:t>
      </w:r>
      <w:r>
        <w:rPr>
          <w:rFonts w:ascii="IBM Plex Sans" w:eastAsiaTheme="minorHAnsi" w:hAnsi="IBM Plex Sans" w:cs="Calibri"/>
          <w:sz w:val="22"/>
        </w:rPr>
        <w:t xml:space="preserve"> </w:t>
      </w:r>
    </w:p>
    <w:p w14:paraId="1F8A0BD0" w14:textId="77777777" w:rsidR="006E1862" w:rsidRPr="001373A2" w:rsidRDefault="006E1862" w:rsidP="006E1862">
      <w:pPr>
        <w:spacing w:before="0" w:after="0"/>
      </w:pPr>
    </w:p>
    <w:p w14:paraId="0DF3DF64" w14:textId="1B2FD22D" w:rsidR="006E1862" w:rsidRPr="00E87C2F" w:rsidRDefault="006E1862" w:rsidP="006E1862">
      <w:pPr>
        <w:pStyle w:val="Caption"/>
        <w:spacing w:before="0" w:after="0"/>
        <w:rPr>
          <w:rFonts w:ascii="IBM Plex Sans Medium" w:hAnsi="IBM Plex Sans Medium" w:cs="Calibri"/>
          <w:b w:val="0"/>
          <w:bCs w:val="0"/>
          <w:sz w:val="20"/>
          <w:szCs w:val="20"/>
        </w:rPr>
      </w:pPr>
      <w:bookmarkStart w:id="56" w:name="_Toc157514677"/>
      <w:r w:rsidRPr="00E87C2F">
        <w:rPr>
          <w:rFonts w:ascii="IBM Plex Sans Medium" w:hAnsi="IBM Plex Sans Medium" w:cs="Calibri"/>
          <w:b w:val="0"/>
          <w:bCs w:val="0"/>
          <w:sz w:val="20"/>
          <w:szCs w:val="20"/>
        </w:rPr>
        <w:t xml:space="preserve">Table </w:t>
      </w:r>
      <w:r w:rsidRPr="00E87C2F">
        <w:rPr>
          <w:rFonts w:ascii="IBM Plex Sans Medium" w:hAnsi="IBM Plex Sans Medium" w:cs="Calibri"/>
          <w:b w:val="0"/>
          <w:bCs w:val="0"/>
          <w:sz w:val="20"/>
          <w:szCs w:val="20"/>
        </w:rPr>
        <w:fldChar w:fldCharType="begin"/>
      </w:r>
      <w:r w:rsidRPr="00E87C2F">
        <w:rPr>
          <w:rFonts w:ascii="IBM Plex Sans Medium" w:hAnsi="IBM Plex Sans Medium" w:cs="Calibri"/>
          <w:b w:val="0"/>
          <w:bCs w:val="0"/>
          <w:sz w:val="20"/>
          <w:szCs w:val="20"/>
        </w:rPr>
        <w:instrText xml:space="preserve"> SEQ Table \* ARABIC </w:instrText>
      </w:r>
      <w:r w:rsidRPr="00E87C2F">
        <w:rPr>
          <w:rFonts w:ascii="IBM Plex Sans Medium" w:hAnsi="IBM Plex Sans Medium" w:cs="Calibri"/>
          <w:b w:val="0"/>
          <w:bCs w:val="0"/>
          <w:sz w:val="20"/>
          <w:szCs w:val="20"/>
        </w:rPr>
        <w:fldChar w:fldCharType="separate"/>
      </w:r>
      <w:r w:rsidR="006E5383">
        <w:rPr>
          <w:rFonts w:ascii="IBM Plex Sans Medium" w:hAnsi="IBM Plex Sans Medium" w:cs="Calibri"/>
          <w:b w:val="0"/>
          <w:bCs w:val="0"/>
          <w:noProof/>
          <w:sz w:val="20"/>
          <w:szCs w:val="20"/>
        </w:rPr>
        <w:t>9</w:t>
      </w:r>
      <w:r w:rsidRPr="00E87C2F">
        <w:rPr>
          <w:rFonts w:ascii="IBM Plex Sans Medium" w:hAnsi="IBM Plex Sans Medium" w:cs="Calibri"/>
          <w:b w:val="0"/>
          <w:bCs w:val="0"/>
          <w:sz w:val="20"/>
          <w:szCs w:val="20"/>
        </w:rPr>
        <w:fldChar w:fldCharType="end"/>
      </w:r>
      <w:r w:rsidRPr="00E87C2F">
        <w:rPr>
          <w:rFonts w:ascii="IBM Plex Sans Medium" w:hAnsi="IBM Plex Sans Medium" w:cs="Calibri"/>
          <w:b w:val="0"/>
          <w:bCs w:val="0"/>
          <w:sz w:val="20"/>
          <w:szCs w:val="20"/>
        </w:rPr>
        <w:t xml:space="preserve"> </w:t>
      </w:r>
      <w:r w:rsidR="005B400F">
        <w:rPr>
          <w:rFonts w:ascii="IBM Plex Sans Medium" w:hAnsi="IBM Plex Sans Medium" w:cs="Calibri"/>
          <w:b w:val="0"/>
          <w:bCs w:val="0"/>
          <w:sz w:val="20"/>
          <w:szCs w:val="20"/>
        </w:rPr>
        <w:t>LGB</w:t>
      </w:r>
      <w:r w:rsidR="00993485">
        <w:rPr>
          <w:rFonts w:ascii="IBM Plex Sans Medium" w:hAnsi="IBM Plex Sans Medium" w:cs="Calibri"/>
          <w:b w:val="0"/>
          <w:bCs w:val="0"/>
          <w:sz w:val="20"/>
          <w:szCs w:val="20"/>
        </w:rPr>
        <w:t>+</w:t>
      </w:r>
      <w:r w:rsidRPr="00E87C2F">
        <w:rPr>
          <w:rFonts w:ascii="IBM Plex Sans Medium" w:hAnsi="IBM Plex Sans Medium" w:cs="Calibri"/>
          <w:b w:val="0"/>
          <w:bCs w:val="0"/>
          <w:sz w:val="20"/>
          <w:szCs w:val="20"/>
        </w:rPr>
        <w:t xml:space="preserve"> pay gap at 31 March 202</w:t>
      </w:r>
      <w:r>
        <w:rPr>
          <w:rFonts w:ascii="IBM Plex Sans Medium" w:hAnsi="IBM Plex Sans Medium" w:cs="Calibri"/>
          <w:b w:val="0"/>
          <w:bCs w:val="0"/>
          <w:sz w:val="20"/>
          <w:szCs w:val="20"/>
        </w:rPr>
        <w:t>3</w:t>
      </w:r>
      <w:bookmarkEnd w:id="56"/>
    </w:p>
    <w:tbl>
      <w:tblPr>
        <w:tblStyle w:val="ListTable4-Accent5"/>
        <w:tblW w:w="0" w:type="auto"/>
        <w:tblBorders>
          <w:top w:val="single" w:sz="4" w:space="0" w:color="5C00D6"/>
          <w:left w:val="single" w:sz="4" w:space="0" w:color="5C00D6"/>
          <w:bottom w:val="single" w:sz="4" w:space="0" w:color="5C00D6"/>
          <w:right w:val="single" w:sz="4" w:space="0" w:color="5C00D6"/>
          <w:insideH w:val="single" w:sz="4" w:space="0" w:color="5C00D6"/>
          <w:insideV w:val="single" w:sz="4" w:space="0" w:color="5C00D6"/>
        </w:tblBorders>
        <w:tblLook w:val="04A0" w:firstRow="1" w:lastRow="0" w:firstColumn="1" w:lastColumn="0" w:noHBand="0" w:noVBand="1"/>
      </w:tblPr>
      <w:tblGrid>
        <w:gridCol w:w="3116"/>
        <w:gridCol w:w="3117"/>
        <w:gridCol w:w="3117"/>
      </w:tblGrid>
      <w:tr w:rsidR="006E1862" w:rsidRPr="000E5B57" w14:paraId="5051BFA7" w14:textId="77777777" w:rsidTr="005A4F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left w:val="single" w:sz="4" w:space="0" w:color="5C00D6"/>
              <w:bottom w:val="single" w:sz="4" w:space="0" w:color="5C00D6"/>
              <w:right w:val="single" w:sz="4" w:space="0" w:color="FFFFFF" w:themeColor="background1"/>
            </w:tcBorders>
            <w:shd w:val="clear" w:color="auto" w:fill="5C00D6"/>
          </w:tcPr>
          <w:p w14:paraId="5FCDB4FA" w14:textId="77777777" w:rsidR="006E1862" w:rsidRPr="00D3346B" w:rsidRDefault="006E1862" w:rsidP="005A4F4D">
            <w:pPr>
              <w:spacing w:before="0"/>
              <w:jc w:val="both"/>
              <w:rPr>
                <w:rFonts w:ascii="IBM Plex Sans Medium" w:eastAsiaTheme="minorHAnsi" w:hAnsi="IBM Plex Sans Medium" w:cs="Calibri"/>
                <w:b w:val="0"/>
                <w:bCs w:val="0"/>
                <w:color w:val="auto"/>
                <w:sz w:val="20"/>
                <w:szCs w:val="20"/>
                <w:lang w:val="en-GB"/>
              </w:rPr>
            </w:pPr>
          </w:p>
        </w:tc>
        <w:tc>
          <w:tcPr>
            <w:tcW w:w="3117" w:type="dxa"/>
            <w:tcBorders>
              <w:top w:val="single" w:sz="4" w:space="0" w:color="5C00D6"/>
              <w:left w:val="single" w:sz="4" w:space="0" w:color="FFFFFF" w:themeColor="background1"/>
              <w:bottom w:val="single" w:sz="4" w:space="0" w:color="5C00D6"/>
              <w:right w:val="single" w:sz="4" w:space="0" w:color="FFFFFF" w:themeColor="background1"/>
            </w:tcBorders>
            <w:shd w:val="clear" w:color="auto" w:fill="5C00D6"/>
          </w:tcPr>
          <w:p w14:paraId="71A4B6C1" w14:textId="46CA15D4" w:rsidR="006E1862" w:rsidRPr="00D3346B" w:rsidRDefault="006E1862" w:rsidP="005A4F4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Pr>
                <w:rFonts w:ascii="IBM Plex Sans Medium" w:eastAsia="Times New Roman" w:hAnsi="IBM Plex Sans Medium" w:cs="Arial"/>
                <w:b w:val="0"/>
                <w:bCs w:val="0"/>
                <w:color w:val="auto"/>
                <w:sz w:val="20"/>
                <w:szCs w:val="20"/>
                <w:lang w:eastAsia="en-GB"/>
              </w:rPr>
              <w:t>Mean</w:t>
            </w:r>
            <w:r w:rsidRPr="00D3346B">
              <w:rPr>
                <w:rFonts w:ascii="IBM Plex Sans Medium" w:eastAsia="Times New Roman" w:hAnsi="IBM Plex Sans Medium" w:cs="Arial"/>
                <w:b w:val="0"/>
                <w:bCs w:val="0"/>
                <w:color w:val="auto"/>
                <w:sz w:val="20"/>
                <w:szCs w:val="20"/>
                <w:lang w:eastAsia="en-GB"/>
              </w:rPr>
              <w:t xml:space="preserve"> hourly </w:t>
            </w:r>
            <w:r w:rsidR="005438C2">
              <w:rPr>
                <w:rFonts w:ascii="IBM Plex Sans Medium" w:eastAsia="Times New Roman" w:hAnsi="IBM Plex Sans Medium" w:cs="Arial"/>
                <w:b w:val="0"/>
                <w:bCs w:val="0"/>
                <w:color w:val="auto"/>
                <w:sz w:val="20"/>
                <w:szCs w:val="20"/>
                <w:lang w:eastAsia="en-GB"/>
              </w:rPr>
              <w:t>pay</w:t>
            </w:r>
          </w:p>
        </w:tc>
        <w:tc>
          <w:tcPr>
            <w:tcW w:w="3117" w:type="dxa"/>
            <w:tcBorders>
              <w:top w:val="single" w:sz="4" w:space="0" w:color="5C00D6"/>
              <w:left w:val="single" w:sz="4" w:space="0" w:color="FFFFFF" w:themeColor="background1"/>
              <w:bottom w:val="single" w:sz="4" w:space="0" w:color="5C00D6"/>
              <w:right w:val="single" w:sz="4" w:space="0" w:color="5C00D6"/>
            </w:tcBorders>
            <w:shd w:val="clear" w:color="auto" w:fill="5C00D6"/>
          </w:tcPr>
          <w:p w14:paraId="57040572" w14:textId="5E6AF77F" w:rsidR="006E1862" w:rsidRPr="00D3346B" w:rsidRDefault="006E1862" w:rsidP="005A4F4D">
            <w:pPr>
              <w:spacing w:before="0"/>
              <w:jc w:val="both"/>
              <w:cnfStyle w:val="100000000000" w:firstRow="1" w:lastRow="0" w:firstColumn="0" w:lastColumn="0" w:oddVBand="0" w:evenVBand="0" w:oddHBand="0" w:evenHBand="0" w:firstRowFirstColumn="0" w:firstRowLastColumn="0" w:lastRowFirstColumn="0" w:lastRowLastColumn="0"/>
              <w:rPr>
                <w:rFonts w:ascii="IBM Plex Sans Medium" w:eastAsiaTheme="minorHAnsi" w:hAnsi="IBM Plex Sans Medium" w:cs="Calibri"/>
                <w:b w:val="0"/>
                <w:bCs w:val="0"/>
                <w:color w:val="auto"/>
                <w:sz w:val="20"/>
                <w:szCs w:val="20"/>
                <w:lang w:val="en-GB"/>
              </w:rPr>
            </w:pPr>
            <w:r w:rsidRPr="00D3346B">
              <w:rPr>
                <w:rFonts w:ascii="IBM Plex Sans Medium" w:eastAsia="Times New Roman" w:hAnsi="IBM Plex Sans Medium" w:cs="Arial"/>
                <w:b w:val="0"/>
                <w:bCs w:val="0"/>
                <w:color w:val="auto"/>
                <w:sz w:val="20"/>
                <w:szCs w:val="20"/>
                <w:lang w:eastAsia="en-GB"/>
              </w:rPr>
              <w:t>Median hourly</w:t>
            </w:r>
            <w:r w:rsidR="005438C2">
              <w:rPr>
                <w:rFonts w:ascii="IBM Plex Sans Medium" w:eastAsia="Times New Roman" w:hAnsi="IBM Plex Sans Medium" w:cs="Arial"/>
                <w:b w:val="0"/>
                <w:bCs w:val="0"/>
                <w:color w:val="auto"/>
                <w:sz w:val="20"/>
                <w:szCs w:val="20"/>
                <w:lang w:eastAsia="en-GB"/>
              </w:rPr>
              <w:t xml:space="preserve"> pay</w:t>
            </w:r>
          </w:p>
        </w:tc>
      </w:tr>
      <w:tr w:rsidR="006E1862" w:rsidRPr="000E5B57" w14:paraId="23088FAF" w14:textId="77777777" w:rsidTr="005A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tcBorders>
            <w:shd w:val="clear" w:color="auto" w:fill="auto"/>
          </w:tcPr>
          <w:p w14:paraId="6B325051" w14:textId="5637E366" w:rsidR="006E1862" w:rsidRPr="00D3346B" w:rsidRDefault="00EA0242" w:rsidP="005A4F4D">
            <w:pPr>
              <w:spacing w:before="0"/>
              <w:jc w:val="both"/>
              <w:rPr>
                <w:rFonts w:ascii="IBM Plex Sans" w:eastAsiaTheme="minorHAnsi" w:hAnsi="IBM Plex Sans" w:cs="Calibri"/>
                <w:b w:val="0"/>
                <w:bCs w:val="0"/>
                <w:sz w:val="20"/>
                <w:szCs w:val="20"/>
                <w:lang w:val="en-GB"/>
              </w:rPr>
            </w:pPr>
            <w:r>
              <w:rPr>
                <w:rFonts w:ascii="IBM Plex Sans" w:eastAsiaTheme="minorHAnsi" w:hAnsi="IBM Plex Sans" w:cs="Calibri"/>
                <w:b w:val="0"/>
                <w:bCs w:val="0"/>
                <w:sz w:val="20"/>
                <w:szCs w:val="20"/>
                <w:lang w:val="en-GB"/>
              </w:rPr>
              <w:t xml:space="preserve">Heterosexual </w:t>
            </w:r>
          </w:p>
        </w:tc>
        <w:tc>
          <w:tcPr>
            <w:tcW w:w="3117" w:type="dxa"/>
            <w:tcBorders>
              <w:top w:val="single" w:sz="4" w:space="0" w:color="5C00D6"/>
            </w:tcBorders>
            <w:shd w:val="clear" w:color="auto" w:fill="auto"/>
          </w:tcPr>
          <w:p w14:paraId="04402DCA" w14:textId="57AF9FA4" w:rsidR="006E1862" w:rsidRPr="005D0B15" w:rsidRDefault="009E18BD" w:rsidP="005A4F4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w:t>
            </w:r>
            <w:r w:rsidR="00492F90">
              <w:rPr>
                <w:rFonts w:ascii="IBM Plex Sans" w:eastAsiaTheme="minorHAnsi" w:hAnsi="IBM Plex Sans" w:cs="Calibri"/>
                <w:sz w:val="20"/>
                <w:szCs w:val="20"/>
                <w:lang w:val="en-GB"/>
              </w:rPr>
              <w:t>20.40</w:t>
            </w:r>
          </w:p>
        </w:tc>
        <w:tc>
          <w:tcPr>
            <w:tcW w:w="3117" w:type="dxa"/>
            <w:tcBorders>
              <w:top w:val="single" w:sz="4" w:space="0" w:color="5C00D6"/>
            </w:tcBorders>
            <w:shd w:val="clear" w:color="auto" w:fill="auto"/>
          </w:tcPr>
          <w:p w14:paraId="2D294353" w14:textId="4B165282" w:rsidR="006E1862" w:rsidRPr="00D3346B" w:rsidRDefault="00492F90" w:rsidP="005A4F4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£17.24</w:t>
            </w:r>
          </w:p>
        </w:tc>
      </w:tr>
      <w:tr w:rsidR="006E1862" w:rsidRPr="000E5B57" w14:paraId="26C399D4" w14:textId="77777777" w:rsidTr="005A4F4D">
        <w:tc>
          <w:tcPr>
            <w:cnfStyle w:val="001000000000" w:firstRow="0" w:lastRow="0" w:firstColumn="1" w:lastColumn="0" w:oddVBand="0" w:evenVBand="0" w:oddHBand="0" w:evenHBand="0" w:firstRowFirstColumn="0" w:firstRowLastColumn="0" w:lastRowFirstColumn="0" w:lastRowLastColumn="0"/>
            <w:tcW w:w="3116" w:type="dxa"/>
            <w:tcBorders>
              <w:top w:val="single" w:sz="4" w:space="0" w:color="5C00D6"/>
            </w:tcBorders>
            <w:shd w:val="clear" w:color="auto" w:fill="auto"/>
          </w:tcPr>
          <w:p w14:paraId="1A7CFFD2" w14:textId="6A1CB069" w:rsidR="006E1862" w:rsidRDefault="00EA0242" w:rsidP="005A4F4D">
            <w:pPr>
              <w:spacing w:before="0"/>
              <w:jc w:val="both"/>
              <w:rPr>
                <w:rFonts w:ascii="IBM Plex Sans" w:eastAsia="Times New Roman" w:hAnsi="IBM Plex Sans" w:cs="Arial"/>
                <w:b w:val="0"/>
                <w:bCs w:val="0"/>
                <w:sz w:val="20"/>
                <w:szCs w:val="20"/>
                <w:lang w:eastAsia="en-GB"/>
              </w:rPr>
            </w:pPr>
            <w:r>
              <w:rPr>
                <w:rFonts w:ascii="IBM Plex Sans" w:eastAsia="Times New Roman" w:hAnsi="IBM Plex Sans" w:cs="Arial"/>
                <w:b w:val="0"/>
                <w:bCs w:val="0"/>
                <w:sz w:val="20"/>
                <w:szCs w:val="20"/>
                <w:lang w:eastAsia="en-GB"/>
              </w:rPr>
              <w:t>LGB</w:t>
            </w:r>
            <w:r w:rsidR="004C153B">
              <w:rPr>
                <w:rFonts w:ascii="IBM Plex Sans" w:eastAsia="Times New Roman" w:hAnsi="IBM Plex Sans" w:cs="Arial"/>
                <w:b w:val="0"/>
                <w:bCs w:val="0"/>
                <w:sz w:val="20"/>
                <w:szCs w:val="20"/>
                <w:lang w:eastAsia="en-GB"/>
              </w:rPr>
              <w:t>+</w:t>
            </w:r>
          </w:p>
        </w:tc>
        <w:tc>
          <w:tcPr>
            <w:tcW w:w="3117" w:type="dxa"/>
            <w:tcBorders>
              <w:top w:val="single" w:sz="4" w:space="0" w:color="5C00D6"/>
            </w:tcBorders>
            <w:shd w:val="clear" w:color="auto" w:fill="auto"/>
          </w:tcPr>
          <w:p w14:paraId="486EED8F" w14:textId="1D596157" w:rsidR="006E1862" w:rsidRPr="005D0B15" w:rsidRDefault="00492F90" w:rsidP="005A4F4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£18.15</w:t>
            </w:r>
          </w:p>
        </w:tc>
        <w:tc>
          <w:tcPr>
            <w:tcW w:w="3117" w:type="dxa"/>
            <w:tcBorders>
              <w:top w:val="single" w:sz="4" w:space="0" w:color="5C00D6"/>
            </w:tcBorders>
            <w:shd w:val="clear" w:color="auto" w:fill="auto"/>
          </w:tcPr>
          <w:p w14:paraId="629C71B8" w14:textId="77D67C29" w:rsidR="006E1862" w:rsidRDefault="00492F90" w:rsidP="005A4F4D">
            <w:pPr>
              <w:spacing w:before="0"/>
              <w:jc w:val="right"/>
              <w:cnfStyle w:val="000000000000" w:firstRow="0" w:lastRow="0" w:firstColumn="0" w:lastColumn="0" w:oddVBand="0" w:evenVBand="0" w:oddHBand="0"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£14.9</w:t>
            </w:r>
            <w:r w:rsidR="00B4672F">
              <w:rPr>
                <w:rFonts w:ascii="IBM Plex Sans" w:eastAsiaTheme="minorHAnsi" w:hAnsi="IBM Plex Sans" w:cs="Calibri"/>
                <w:sz w:val="20"/>
                <w:szCs w:val="20"/>
                <w:lang w:val="en-GB"/>
              </w:rPr>
              <w:t>2</w:t>
            </w:r>
          </w:p>
        </w:tc>
      </w:tr>
      <w:tr w:rsidR="006E1862" w:rsidRPr="000E5B57" w14:paraId="7CC8F8DD" w14:textId="77777777" w:rsidTr="005A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bottom w:val="single" w:sz="18" w:space="0" w:color="5C00D6"/>
            </w:tcBorders>
            <w:shd w:val="clear" w:color="auto" w:fill="auto"/>
          </w:tcPr>
          <w:p w14:paraId="38F128C4" w14:textId="77777777" w:rsidR="006E1862" w:rsidRPr="00D3346B" w:rsidRDefault="006E1862" w:rsidP="005A4F4D">
            <w:pPr>
              <w:spacing w:before="0"/>
              <w:jc w:val="both"/>
              <w:rPr>
                <w:rFonts w:ascii="IBM Plex Sans" w:eastAsiaTheme="minorHAnsi" w:hAnsi="IBM Plex Sans" w:cs="Calibri"/>
                <w:b w:val="0"/>
                <w:bCs w:val="0"/>
                <w:sz w:val="20"/>
                <w:szCs w:val="20"/>
                <w:lang w:val="en-GB"/>
              </w:rPr>
            </w:pPr>
            <w:r w:rsidRPr="00D3346B">
              <w:rPr>
                <w:rFonts w:ascii="IBM Plex Sans" w:eastAsiaTheme="minorHAnsi" w:hAnsi="IBM Plex Sans" w:cs="Calibri"/>
                <w:b w:val="0"/>
                <w:bCs w:val="0"/>
                <w:sz w:val="20"/>
                <w:szCs w:val="20"/>
                <w:lang w:val="en-GB"/>
              </w:rPr>
              <w:t>£ difference</w:t>
            </w:r>
          </w:p>
        </w:tc>
        <w:tc>
          <w:tcPr>
            <w:tcW w:w="3117" w:type="dxa"/>
            <w:tcBorders>
              <w:bottom w:val="single" w:sz="18" w:space="0" w:color="5C00D6"/>
            </w:tcBorders>
            <w:shd w:val="clear" w:color="auto" w:fill="auto"/>
          </w:tcPr>
          <w:p w14:paraId="16B5BD60" w14:textId="152F9C23" w:rsidR="006E1862" w:rsidRPr="00D3346B" w:rsidRDefault="00E47FF2" w:rsidP="005A4F4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£2.25</w:t>
            </w:r>
          </w:p>
        </w:tc>
        <w:tc>
          <w:tcPr>
            <w:tcW w:w="3117" w:type="dxa"/>
            <w:tcBorders>
              <w:bottom w:val="single" w:sz="18" w:space="0" w:color="5C00D6"/>
            </w:tcBorders>
            <w:shd w:val="clear" w:color="auto" w:fill="auto"/>
          </w:tcPr>
          <w:p w14:paraId="552EBB01" w14:textId="64DE5923" w:rsidR="006E1862" w:rsidRPr="00D3346B" w:rsidRDefault="00E47FF2" w:rsidP="005A4F4D">
            <w:pPr>
              <w:spacing w:before="0"/>
              <w:jc w:val="right"/>
              <w:cnfStyle w:val="000000100000" w:firstRow="0" w:lastRow="0" w:firstColumn="0" w:lastColumn="0" w:oddVBand="0" w:evenVBand="0" w:oddHBand="1" w:evenHBand="0" w:firstRowFirstColumn="0" w:firstRowLastColumn="0" w:lastRowFirstColumn="0" w:lastRowLastColumn="0"/>
              <w:rPr>
                <w:rFonts w:ascii="IBM Plex Sans" w:eastAsiaTheme="minorHAnsi" w:hAnsi="IBM Plex Sans" w:cs="Calibri"/>
                <w:sz w:val="20"/>
                <w:szCs w:val="20"/>
                <w:lang w:val="en-GB"/>
              </w:rPr>
            </w:pPr>
            <w:r>
              <w:rPr>
                <w:rFonts w:ascii="IBM Plex Sans" w:eastAsiaTheme="minorHAnsi" w:hAnsi="IBM Plex Sans" w:cs="Calibri"/>
                <w:sz w:val="20"/>
                <w:szCs w:val="20"/>
                <w:lang w:val="en-GB"/>
              </w:rPr>
              <w:t>£2.32</w:t>
            </w:r>
          </w:p>
        </w:tc>
      </w:tr>
      <w:tr w:rsidR="006E1862" w:rsidRPr="000E5B57" w14:paraId="7E7074A3" w14:textId="77777777" w:rsidTr="005A4F4D">
        <w:tc>
          <w:tcPr>
            <w:cnfStyle w:val="001000000000" w:firstRow="0" w:lastRow="0" w:firstColumn="1" w:lastColumn="0" w:oddVBand="0" w:evenVBand="0" w:oddHBand="0" w:evenHBand="0" w:firstRowFirstColumn="0" w:firstRowLastColumn="0" w:lastRowFirstColumn="0" w:lastRowLastColumn="0"/>
            <w:tcW w:w="3116" w:type="dxa"/>
            <w:tcBorders>
              <w:top w:val="single" w:sz="18" w:space="0" w:color="5C00D6"/>
              <w:bottom w:val="single" w:sz="18" w:space="0" w:color="5C00D6"/>
            </w:tcBorders>
            <w:shd w:val="clear" w:color="auto" w:fill="auto"/>
          </w:tcPr>
          <w:p w14:paraId="45003EE1" w14:textId="67269DA4" w:rsidR="006E1862" w:rsidRPr="00DF4A1B" w:rsidRDefault="00AF11FD" w:rsidP="005A4F4D">
            <w:pPr>
              <w:spacing w:before="0"/>
              <w:jc w:val="both"/>
              <w:rPr>
                <w:rFonts w:ascii="IBM Plex Sans Medium" w:eastAsia="Times New Roman" w:hAnsi="IBM Plex Sans Medium" w:cs="Arial"/>
                <w:b w:val="0"/>
                <w:bCs w:val="0"/>
                <w:sz w:val="20"/>
                <w:szCs w:val="20"/>
                <w:lang w:eastAsia="en-GB"/>
              </w:rPr>
            </w:pPr>
            <w:r>
              <w:rPr>
                <w:rFonts w:ascii="IBM Plex Sans Medium" w:eastAsia="Times New Roman" w:hAnsi="IBM Plex Sans Medium" w:cs="Arial"/>
                <w:b w:val="0"/>
                <w:bCs w:val="0"/>
                <w:sz w:val="20"/>
                <w:szCs w:val="20"/>
                <w:lang w:eastAsia="en-GB"/>
              </w:rPr>
              <w:t>LGB</w:t>
            </w:r>
            <w:r w:rsidR="002F386E">
              <w:rPr>
                <w:rFonts w:ascii="IBM Plex Sans Medium" w:eastAsia="Times New Roman" w:hAnsi="IBM Plex Sans Medium" w:cs="Arial"/>
                <w:b w:val="0"/>
                <w:bCs w:val="0"/>
                <w:sz w:val="20"/>
                <w:szCs w:val="20"/>
                <w:lang w:eastAsia="en-GB"/>
              </w:rPr>
              <w:t>+</w:t>
            </w:r>
            <w:r w:rsidR="006E1862" w:rsidRPr="00DF4A1B">
              <w:rPr>
                <w:rFonts w:ascii="IBM Plex Sans Medium" w:eastAsia="Times New Roman" w:hAnsi="IBM Plex Sans Medium" w:cs="Arial"/>
                <w:b w:val="0"/>
                <w:bCs w:val="0"/>
                <w:sz w:val="20"/>
                <w:szCs w:val="20"/>
                <w:lang w:eastAsia="en-GB"/>
              </w:rPr>
              <w:t xml:space="preserve"> </w:t>
            </w:r>
            <w:r w:rsidR="006E1862">
              <w:rPr>
                <w:rFonts w:ascii="IBM Plex Sans Medium" w:eastAsia="Times New Roman" w:hAnsi="IBM Plex Sans Medium" w:cs="Arial"/>
                <w:b w:val="0"/>
                <w:bCs w:val="0"/>
                <w:sz w:val="20"/>
                <w:szCs w:val="20"/>
                <w:lang w:eastAsia="en-GB"/>
              </w:rPr>
              <w:t>p</w:t>
            </w:r>
            <w:r w:rsidR="006E1862" w:rsidRPr="00DF4A1B">
              <w:rPr>
                <w:rFonts w:ascii="IBM Plex Sans Medium" w:eastAsia="Times New Roman" w:hAnsi="IBM Plex Sans Medium" w:cs="Arial"/>
                <w:b w:val="0"/>
                <w:bCs w:val="0"/>
                <w:sz w:val="20"/>
                <w:szCs w:val="20"/>
                <w:lang w:eastAsia="en-GB"/>
              </w:rPr>
              <w:t xml:space="preserve">ay </w:t>
            </w:r>
            <w:r w:rsidR="006E1862">
              <w:rPr>
                <w:rFonts w:ascii="IBM Plex Sans Medium" w:eastAsia="Times New Roman" w:hAnsi="IBM Plex Sans Medium" w:cs="Arial"/>
                <w:b w:val="0"/>
                <w:bCs w:val="0"/>
                <w:sz w:val="20"/>
                <w:szCs w:val="20"/>
                <w:lang w:eastAsia="en-GB"/>
              </w:rPr>
              <w:t>g</w:t>
            </w:r>
            <w:r w:rsidR="006E1862" w:rsidRPr="00DF4A1B">
              <w:rPr>
                <w:rFonts w:ascii="IBM Plex Sans Medium" w:eastAsia="Times New Roman" w:hAnsi="IBM Plex Sans Medium" w:cs="Arial"/>
                <w:b w:val="0"/>
                <w:bCs w:val="0"/>
                <w:sz w:val="20"/>
                <w:szCs w:val="20"/>
                <w:lang w:eastAsia="en-GB"/>
              </w:rPr>
              <w:t>ap</w:t>
            </w:r>
          </w:p>
        </w:tc>
        <w:tc>
          <w:tcPr>
            <w:tcW w:w="3117" w:type="dxa"/>
            <w:tcBorders>
              <w:top w:val="single" w:sz="18" w:space="0" w:color="5C00D6"/>
              <w:bottom w:val="single" w:sz="18" w:space="0" w:color="5C00D6"/>
            </w:tcBorders>
            <w:shd w:val="clear" w:color="auto" w:fill="auto"/>
          </w:tcPr>
          <w:p w14:paraId="35791CAC" w14:textId="7CCFADE8" w:rsidR="006E1862" w:rsidRPr="00DF4A1B" w:rsidRDefault="00F80D5F" w:rsidP="005A4F4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11.0</w:t>
            </w:r>
            <w:r w:rsidR="00E4257D">
              <w:rPr>
                <w:rFonts w:ascii="IBM Plex Sans Medium" w:eastAsia="Times New Roman" w:hAnsi="IBM Plex Sans Medium" w:cs="Arial"/>
                <w:sz w:val="20"/>
                <w:szCs w:val="20"/>
                <w:lang w:eastAsia="en-GB"/>
              </w:rPr>
              <w:t>%</w:t>
            </w:r>
          </w:p>
        </w:tc>
        <w:tc>
          <w:tcPr>
            <w:tcW w:w="3117" w:type="dxa"/>
            <w:tcBorders>
              <w:top w:val="single" w:sz="18" w:space="0" w:color="5C00D6"/>
              <w:bottom w:val="single" w:sz="18" w:space="0" w:color="5C00D6"/>
            </w:tcBorders>
            <w:shd w:val="clear" w:color="auto" w:fill="auto"/>
          </w:tcPr>
          <w:p w14:paraId="024DD1A6" w14:textId="16245887" w:rsidR="006E1862" w:rsidRPr="00DF4A1B" w:rsidRDefault="00492F90" w:rsidP="005A4F4D">
            <w:pPr>
              <w:spacing w:before="0"/>
              <w:jc w:val="right"/>
              <w:cnfStyle w:val="000000000000" w:firstRow="0" w:lastRow="0" w:firstColumn="0" w:lastColumn="0" w:oddVBand="0" w:evenVBand="0" w:oddHBand="0" w:evenHBand="0" w:firstRowFirstColumn="0" w:firstRowLastColumn="0" w:lastRowFirstColumn="0" w:lastRowLastColumn="0"/>
              <w:rPr>
                <w:rFonts w:ascii="IBM Plex Sans Medium" w:eastAsia="Times New Roman" w:hAnsi="IBM Plex Sans Medium" w:cs="Arial"/>
                <w:sz w:val="20"/>
                <w:szCs w:val="20"/>
                <w:lang w:eastAsia="en-GB"/>
              </w:rPr>
            </w:pPr>
            <w:r>
              <w:rPr>
                <w:rFonts w:ascii="IBM Plex Sans Medium" w:eastAsia="Times New Roman" w:hAnsi="IBM Plex Sans Medium" w:cs="Arial"/>
                <w:sz w:val="20"/>
                <w:szCs w:val="20"/>
                <w:lang w:eastAsia="en-GB"/>
              </w:rPr>
              <w:t>13.4%</w:t>
            </w:r>
          </w:p>
        </w:tc>
      </w:tr>
    </w:tbl>
    <w:p w14:paraId="0EE0EB49" w14:textId="77777777" w:rsidR="00C8640E" w:rsidRDefault="00C8640E" w:rsidP="00C8640E">
      <w:pPr>
        <w:spacing w:before="0" w:after="0"/>
        <w:jc w:val="both"/>
        <w:rPr>
          <w:rFonts w:ascii="IBM Plex Sans" w:eastAsiaTheme="minorHAnsi" w:hAnsi="IBM Plex Sans" w:cs="Calibri"/>
          <w:sz w:val="20"/>
          <w:szCs w:val="20"/>
          <w:lang w:val="en-GB"/>
        </w:rPr>
      </w:pPr>
      <w:r w:rsidRPr="00604B6C">
        <w:rPr>
          <w:rFonts w:ascii="IBM Plex Sans" w:eastAsiaTheme="minorHAnsi" w:hAnsi="IBM Plex Sans" w:cs="Calibri"/>
          <w:sz w:val="20"/>
          <w:szCs w:val="20"/>
          <w:lang w:val="en-GB"/>
        </w:rPr>
        <w:t xml:space="preserve">Note: hourly pay is shown to two decimal places. </w:t>
      </w:r>
    </w:p>
    <w:p w14:paraId="3B379F48" w14:textId="77777777" w:rsidR="006E1862" w:rsidRPr="008B6383" w:rsidRDefault="006E1862" w:rsidP="006E1862">
      <w:pPr>
        <w:spacing w:before="0" w:after="0"/>
        <w:jc w:val="both"/>
        <w:rPr>
          <w:rFonts w:ascii="IBM Plex Sans" w:eastAsiaTheme="minorHAnsi" w:hAnsi="IBM Plex Sans" w:cs="Calibri"/>
          <w:sz w:val="22"/>
        </w:rPr>
      </w:pPr>
    </w:p>
    <w:p w14:paraId="2ED74C6D" w14:textId="77777777" w:rsidR="006E1862" w:rsidRPr="008B6383" w:rsidRDefault="006E1862" w:rsidP="008B6383">
      <w:pPr>
        <w:spacing w:before="0" w:after="0"/>
        <w:jc w:val="both"/>
        <w:rPr>
          <w:rFonts w:ascii="IBM Plex Sans" w:eastAsiaTheme="minorHAnsi" w:hAnsi="IBM Plex Sans" w:cs="Calibri"/>
          <w:sz w:val="22"/>
        </w:rPr>
      </w:pPr>
    </w:p>
    <w:sectPr w:rsidR="006E1862" w:rsidRPr="008B6383" w:rsidSect="001179E3">
      <w:headerReference w:type="even" r:id="rId29"/>
      <w:headerReference w:type="default" r:id="rId30"/>
      <w:footerReference w:type="even" r:id="rId31"/>
      <w:footerReference w:type="default" r:id="rId32"/>
      <w:headerReference w:type="first" r:id="rId33"/>
      <w:footerReference w:type="first" r:id="rId34"/>
      <w:pgSz w:w="12240" w:h="15840" w:code="1"/>
      <w:pgMar w:top="1440" w:right="1440" w:bottom="1440" w:left="1440" w:header="720" w:footer="8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D0E78" w14:textId="77777777" w:rsidR="001179E3" w:rsidRDefault="001179E3">
      <w:pPr>
        <w:spacing w:before="0" w:after="0"/>
      </w:pPr>
      <w:r>
        <w:separator/>
      </w:r>
    </w:p>
  </w:endnote>
  <w:endnote w:type="continuationSeparator" w:id="0">
    <w:p w14:paraId="29BC7E1A" w14:textId="77777777" w:rsidR="001179E3" w:rsidRDefault="001179E3">
      <w:pPr>
        <w:spacing w:before="0" w:after="0"/>
      </w:pPr>
      <w:r>
        <w:continuationSeparator/>
      </w:r>
    </w:p>
  </w:endnote>
  <w:endnote w:type="continuationNotice" w:id="1">
    <w:p w14:paraId="5CDC8F92" w14:textId="77777777" w:rsidR="001179E3" w:rsidRDefault="001179E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IBM Plex Sans">
    <w:altName w:val="IBM Plex Sans"/>
    <w:charset w:val="00"/>
    <w:family w:val="swiss"/>
    <w:pitch w:val="variable"/>
    <w:sig w:usb0="A00002EF" w:usb1="5000207B"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icrosoft Sans Serif">
    <w:panose1 w:val="020B0604020202020204"/>
    <w:charset w:val="00"/>
    <w:family w:val="swiss"/>
    <w:pitch w:val="variable"/>
    <w:sig w:usb0="E5002EFF" w:usb1="C000605B" w:usb2="00000029" w:usb3="00000000" w:csb0="000101FF" w:csb1="00000000"/>
  </w:font>
  <w:font w:name="IBM Plex Sans Medium">
    <w:charset w:val="00"/>
    <w:family w:val="swiss"/>
    <w:pitch w:val="variable"/>
    <w:sig w:usb0="A00002EF" w:usb1="5000207B" w:usb2="00000000" w:usb3="00000000" w:csb0="0000019F" w:csb1="00000000"/>
  </w:font>
  <w:font w:name="Knowledge Light">
    <w:altName w:val="Arial Narrow"/>
    <w:panose1 w:val="00000000000000000000"/>
    <w:charset w:val="00"/>
    <w:family w:val="swiss"/>
    <w:notTrueType/>
    <w:pitch w:val="variable"/>
    <w:sig w:usb0="A00002EF" w:usb1="5000204A" w:usb2="00000000" w:usb3="00000000" w:csb0="0000009F" w:csb1="00000000"/>
  </w:font>
  <w:font w:name="FranklinGothic URW">
    <w:altName w:val="Calibri"/>
    <w:panose1 w:val="00000000000000000000"/>
    <w:charset w:val="00"/>
    <w:family w:val="swiss"/>
    <w:notTrueType/>
    <w:pitch w:val="default"/>
    <w:sig w:usb0="00000003" w:usb1="00000000" w:usb2="00000000" w:usb3="00000000" w:csb0="00000001" w:csb1="00000000"/>
  </w:font>
  <w:font w:name="Network Rail Sans">
    <w:altName w:val="Calibri"/>
    <w:panose1 w:val="00000000000000000000"/>
    <w:charset w:val="00"/>
    <w:family w:val="swiss"/>
    <w:notTrueType/>
    <w:pitch w:val="default"/>
    <w:sig w:usb0="00000003" w:usb1="00000000" w:usb2="00000000" w:usb3="00000000" w:csb0="00000001" w:csb1="00000000"/>
  </w:font>
  <w:font w:name="IBM Plex Sans Light">
    <w:charset w:val="00"/>
    <w:family w:val="swiss"/>
    <w:pitch w:val="variable"/>
    <w:sig w:usb0="A00002EF" w:usb1="5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CB9B1" w14:textId="77777777" w:rsidR="003544A4" w:rsidRDefault="003544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7474419"/>
      <w:docPartObj>
        <w:docPartGallery w:val="Page Numbers (Bottom of Page)"/>
        <w:docPartUnique/>
      </w:docPartObj>
    </w:sdtPr>
    <w:sdtEndPr>
      <w:rPr>
        <w:rFonts w:ascii="IBM Plex Sans" w:hAnsi="IBM Plex Sans"/>
        <w:noProof/>
        <w:sz w:val="20"/>
        <w:szCs w:val="18"/>
      </w:rPr>
    </w:sdtEndPr>
    <w:sdtContent>
      <w:p w14:paraId="0544E454" w14:textId="1B656B62" w:rsidR="003C04E3" w:rsidRPr="003C04E3" w:rsidRDefault="003C04E3" w:rsidP="0096590F">
        <w:pPr>
          <w:pStyle w:val="Footer"/>
          <w:spacing w:before="0" w:after="0" w:line="240" w:lineRule="auto"/>
          <w:jc w:val="right"/>
          <w:rPr>
            <w:rFonts w:ascii="IBM Plex Sans" w:hAnsi="IBM Plex Sans"/>
            <w:sz w:val="20"/>
            <w:szCs w:val="18"/>
          </w:rPr>
        </w:pPr>
        <w:r w:rsidRPr="003C04E3">
          <w:rPr>
            <w:rFonts w:ascii="IBM Plex Sans" w:hAnsi="IBM Plex Sans"/>
            <w:sz w:val="20"/>
            <w:szCs w:val="18"/>
          </w:rPr>
          <w:fldChar w:fldCharType="begin"/>
        </w:r>
        <w:r w:rsidRPr="003C04E3">
          <w:rPr>
            <w:rFonts w:ascii="IBM Plex Sans" w:hAnsi="IBM Plex Sans"/>
            <w:sz w:val="20"/>
            <w:szCs w:val="18"/>
          </w:rPr>
          <w:instrText xml:space="preserve"> PAGE   \* MERGEFORMAT </w:instrText>
        </w:r>
        <w:r w:rsidRPr="003C04E3">
          <w:rPr>
            <w:rFonts w:ascii="IBM Plex Sans" w:hAnsi="IBM Plex Sans"/>
            <w:sz w:val="20"/>
            <w:szCs w:val="18"/>
          </w:rPr>
          <w:fldChar w:fldCharType="separate"/>
        </w:r>
        <w:r w:rsidRPr="003C04E3">
          <w:rPr>
            <w:rFonts w:ascii="IBM Plex Sans" w:hAnsi="IBM Plex Sans"/>
            <w:noProof/>
            <w:sz w:val="20"/>
            <w:szCs w:val="18"/>
          </w:rPr>
          <w:t>2</w:t>
        </w:r>
        <w:r w:rsidRPr="003C04E3">
          <w:rPr>
            <w:rFonts w:ascii="IBM Plex Sans" w:hAnsi="IBM Plex Sans"/>
            <w:noProof/>
            <w:sz w:val="20"/>
            <w:szCs w:val="18"/>
          </w:rPr>
          <w:fldChar w:fldCharType="end"/>
        </w:r>
      </w:p>
    </w:sdtContent>
  </w:sdt>
  <w:p w14:paraId="5B8567FE" w14:textId="77777777" w:rsidR="003C04E3" w:rsidRDefault="003C04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5794AE" w14:textId="77777777" w:rsidR="003544A4" w:rsidRDefault="003544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3291A" w14:textId="77777777" w:rsidR="001179E3" w:rsidRDefault="001179E3">
      <w:pPr>
        <w:spacing w:before="0" w:after="0"/>
      </w:pPr>
      <w:r>
        <w:separator/>
      </w:r>
    </w:p>
  </w:footnote>
  <w:footnote w:type="continuationSeparator" w:id="0">
    <w:p w14:paraId="0537C205" w14:textId="77777777" w:rsidR="001179E3" w:rsidRDefault="001179E3">
      <w:pPr>
        <w:spacing w:before="0" w:after="0"/>
      </w:pPr>
      <w:r>
        <w:continuationSeparator/>
      </w:r>
    </w:p>
  </w:footnote>
  <w:footnote w:type="continuationNotice" w:id="1">
    <w:p w14:paraId="70671865" w14:textId="77777777" w:rsidR="001179E3" w:rsidRDefault="001179E3">
      <w:pPr>
        <w:spacing w:before="0" w:after="0" w:line="240" w:lineRule="auto"/>
      </w:pPr>
    </w:p>
  </w:footnote>
  <w:footnote w:id="2">
    <w:p w14:paraId="28D2A1F8" w14:textId="2EF812CA" w:rsidR="00E57CD7" w:rsidRPr="00767BEB" w:rsidRDefault="00E57CD7" w:rsidP="00767BEB">
      <w:pPr>
        <w:pStyle w:val="FootnoteText"/>
        <w:spacing w:line="240" w:lineRule="auto"/>
        <w:jc w:val="both"/>
        <w:rPr>
          <w:rFonts w:ascii="IBM Plex Sans" w:hAnsi="IBM Plex Sans"/>
          <w:sz w:val="20"/>
          <w:szCs w:val="20"/>
          <w:lang w:val="en-GB"/>
        </w:rPr>
      </w:pPr>
      <w:r w:rsidRPr="00767BEB">
        <w:rPr>
          <w:rStyle w:val="FootnoteReference"/>
          <w:rFonts w:ascii="IBM Plex Sans" w:hAnsi="IBM Plex Sans"/>
          <w:sz w:val="20"/>
          <w:szCs w:val="20"/>
        </w:rPr>
        <w:footnoteRef/>
      </w:r>
      <w:r w:rsidR="009604A8" w:rsidRPr="00767BEB">
        <w:rPr>
          <w:rFonts w:ascii="IBM Plex Sans" w:hAnsi="IBM Plex Sans"/>
          <w:sz w:val="20"/>
          <w:szCs w:val="20"/>
        </w:rPr>
        <w:t>This is the average value of all salaries and is influenced more by the highest and lowest salaries in the organisation.</w:t>
      </w:r>
    </w:p>
  </w:footnote>
  <w:footnote w:id="3">
    <w:p w14:paraId="259F014A" w14:textId="2EAFED6A" w:rsidR="008D663E" w:rsidRPr="009604A8" w:rsidRDefault="008D663E" w:rsidP="00767BEB">
      <w:pPr>
        <w:pStyle w:val="FootnoteText"/>
        <w:spacing w:line="240" w:lineRule="auto"/>
        <w:jc w:val="both"/>
        <w:rPr>
          <w:lang w:val="en-GB"/>
        </w:rPr>
      </w:pPr>
      <w:r w:rsidRPr="00767BEB">
        <w:rPr>
          <w:rStyle w:val="FootnoteReference"/>
          <w:rFonts w:ascii="IBM Plex Sans" w:hAnsi="IBM Plex Sans"/>
          <w:sz w:val="20"/>
          <w:szCs w:val="20"/>
        </w:rPr>
        <w:footnoteRef/>
      </w:r>
      <w:r w:rsidR="009604A8" w:rsidRPr="00767BEB">
        <w:rPr>
          <w:rFonts w:ascii="IBM Plex Sans" w:hAnsi="IBM Plex Sans"/>
          <w:sz w:val="20"/>
          <w:szCs w:val="20"/>
        </w:rPr>
        <w:t>This is the middle value when all the values are arranged from highest to lowest, so is often considered the best and most representative measure of any gap.</w:t>
      </w:r>
    </w:p>
  </w:footnote>
  <w:footnote w:id="4">
    <w:p w14:paraId="494DA415" w14:textId="4DDDF144" w:rsidR="006E38FC" w:rsidRPr="00D31379" w:rsidRDefault="006E38FC" w:rsidP="006E38FC">
      <w:pPr>
        <w:pStyle w:val="FootnoteText"/>
        <w:spacing w:line="240" w:lineRule="auto"/>
        <w:jc w:val="both"/>
        <w:rPr>
          <w:rFonts w:ascii="IBM Plex Sans" w:hAnsi="IBM Plex Sans"/>
          <w:sz w:val="20"/>
          <w:szCs w:val="20"/>
        </w:rPr>
      </w:pPr>
      <w:r w:rsidRPr="00C8505C">
        <w:rPr>
          <w:rStyle w:val="FootnoteReference"/>
          <w:rFonts w:ascii="IBM Plex Sans" w:hAnsi="IBM Plex Sans"/>
          <w:sz w:val="20"/>
          <w:szCs w:val="20"/>
        </w:rPr>
        <w:footnoteRef/>
      </w:r>
      <w:r w:rsidR="00D31379">
        <w:rPr>
          <w:rFonts w:ascii="IBM Plex Sans" w:hAnsi="IBM Plex Sans"/>
          <w:sz w:val="20"/>
          <w:szCs w:val="20"/>
        </w:rPr>
        <w:t xml:space="preserve">The combined pay bands are as follows: </w:t>
      </w:r>
      <w:r w:rsidR="00BF41CF">
        <w:rPr>
          <w:rFonts w:ascii="IBM Plex Sans" w:hAnsi="IBM Plex Sans"/>
          <w:sz w:val="20"/>
          <w:szCs w:val="20"/>
        </w:rPr>
        <w:t>‘2’</w:t>
      </w:r>
      <w:r w:rsidR="008502F0" w:rsidRPr="008502F0">
        <w:rPr>
          <w:rFonts w:ascii="IBM Plex Sans" w:eastAsiaTheme="minorHAnsi" w:hAnsi="IBM Plex Sans" w:cs="Calibri"/>
          <w:sz w:val="20"/>
          <w:szCs w:val="20"/>
          <w:lang w:val="en-GB"/>
        </w:rPr>
        <w:t xml:space="preserve"> </w:t>
      </w:r>
      <w:r w:rsidR="008502F0" w:rsidRPr="00C8505C">
        <w:rPr>
          <w:rFonts w:ascii="IBM Plex Sans" w:eastAsiaTheme="minorHAnsi" w:hAnsi="IBM Plex Sans" w:cs="Calibri"/>
          <w:sz w:val="20"/>
          <w:szCs w:val="20"/>
          <w:lang w:val="en-GB"/>
        </w:rPr>
        <w:t xml:space="preserve">Review Body (RB) Band </w:t>
      </w:r>
      <w:r w:rsidR="008502F0">
        <w:rPr>
          <w:rFonts w:ascii="IBM Plex Sans" w:eastAsiaTheme="minorHAnsi" w:hAnsi="IBM Plex Sans" w:cs="Calibri"/>
          <w:sz w:val="20"/>
          <w:szCs w:val="20"/>
          <w:lang w:val="en-GB"/>
        </w:rPr>
        <w:t>2</w:t>
      </w:r>
      <w:r w:rsidR="008502F0" w:rsidRPr="00C8505C">
        <w:rPr>
          <w:rFonts w:ascii="IBM Plex Sans" w:eastAsiaTheme="minorHAnsi" w:hAnsi="IBM Plex Sans" w:cs="Calibri"/>
          <w:sz w:val="20"/>
          <w:szCs w:val="20"/>
          <w:lang w:val="en-GB"/>
        </w:rPr>
        <w:t>, Non</w:t>
      </w:r>
      <w:r w:rsidR="008502F0">
        <w:rPr>
          <w:rFonts w:ascii="IBM Plex Sans" w:eastAsiaTheme="minorHAnsi" w:hAnsi="IBM Plex Sans" w:cs="Calibri"/>
          <w:sz w:val="20"/>
          <w:szCs w:val="20"/>
          <w:lang w:val="en-GB"/>
        </w:rPr>
        <w:t>-</w:t>
      </w:r>
      <w:r w:rsidR="008502F0" w:rsidRPr="00C8505C">
        <w:rPr>
          <w:rFonts w:ascii="IBM Plex Sans" w:eastAsiaTheme="minorHAnsi" w:hAnsi="IBM Plex Sans" w:cs="Calibri"/>
          <w:sz w:val="20"/>
          <w:szCs w:val="20"/>
          <w:lang w:val="en-GB"/>
        </w:rPr>
        <w:t xml:space="preserve">Review Body (NRB) Band </w:t>
      </w:r>
      <w:r w:rsidR="008502F0">
        <w:rPr>
          <w:rFonts w:ascii="IBM Plex Sans" w:eastAsiaTheme="minorHAnsi" w:hAnsi="IBM Plex Sans" w:cs="Calibri"/>
          <w:sz w:val="20"/>
          <w:szCs w:val="20"/>
          <w:lang w:val="en-GB"/>
        </w:rPr>
        <w:t>2;</w:t>
      </w:r>
      <w:r w:rsidR="00BF41CF">
        <w:rPr>
          <w:rFonts w:ascii="IBM Plex Sans" w:hAnsi="IBM Plex Sans"/>
          <w:sz w:val="20"/>
          <w:szCs w:val="20"/>
        </w:rPr>
        <w:t xml:space="preserve"> </w:t>
      </w:r>
      <w:r w:rsidR="00005C33">
        <w:rPr>
          <w:rFonts w:ascii="IBM Plex Sans" w:hAnsi="IBM Plex Sans"/>
          <w:sz w:val="20"/>
          <w:szCs w:val="20"/>
        </w:rPr>
        <w:t>‘</w:t>
      </w:r>
      <w:r w:rsidR="00D31379">
        <w:rPr>
          <w:rFonts w:ascii="IBM Plex Sans" w:hAnsi="IBM Plex Sans"/>
          <w:sz w:val="20"/>
          <w:szCs w:val="20"/>
        </w:rPr>
        <w:t>3</w:t>
      </w:r>
      <w:r w:rsidR="00005C33">
        <w:rPr>
          <w:rFonts w:ascii="IBM Plex Sans" w:hAnsi="IBM Plex Sans"/>
          <w:sz w:val="20"/>
          <w:szCs w:val="20"/>
        </w:rPr>
        <w:t xml:space="preserve">’, </w:t>
      </w:r>
      <w:r w:rsidRPr="00C8505C">
        <w:rPr>
          <w:rFonts w:ascii="IBM Plex Sans" w:eastAsiaTheme="minorHAnsi" w:hAnsi="IBM Plex Sans" w:cs="Calibri"/>
          <w:sz w:val="20"/>
          <w:szCs w:val="20"/>
          <w:lang w:val="en-GB"/>
        </w:rPr>
        <w:t>RB</w:t>
      </w:r>
      <w:r w:rsidR="008502F0">
        <w:rPr>
          <w:rFonts w:ascii="IBM Plex Sans" w:eastAsiaTheme="minorHAnsi" w:hAnsi="IBM Plex Sans" w:cs="Calibri"/>
          <w:sz w:val="20"/>
          <w:szCs w:val="20"/>
          <w:lang w:val="en-GB"/>
        </w:rPr>
        <w:t xml:space="preserve">/NRB </w:t>
      </w:r>
      <w:r w:rsidRPr="00C8505C">
        <w:rPr>
          <w:rFonts w:ascii="IBM Plex Sans" w:eastAsiaTheme="minorHAnsi" w:hAnsi="IBM Plex Sans" w:cs="Calibri"/>
          <w:sz w:val="20"/>
          <w:szCs w:val="20"/>
          <w:lang w:val="en-GB"/>
        </w:rPr>
        <w:t xml:space="preserve">Band </w:t>
      </w:r>
      <w:r w:rsidR="00D31379">
        <w:rPr>
          <w:rFonts w:ascii="IBM Plex Sans" w:eastAsiaTheme="minorHAnsi" w:hAnsi="IBM Plex Sans" w:cs="Calibri"/>
          <w:sz w:val="20"/>
          <w:szCs w:val="20"/>
          <w:lang w:val="en-GB"/>
        </w:rPr>
        <w:t>3</w:t>
      </w:r>
      <w:r w:rsidRPr="00C8505C">
        <w:rPr>
          <w:rFonts w:ascii="IBM Plex Sans" w:eastAsiaTheme="minorHAnsi" w:hAnsi="IBM Plex Sans" w:cs="Calibri"/>
          <w:sz w:val="20"/>
          <w:szCs w:val="20"/>
          <w:lang w:val="en-GB"/>
        </w:rPr>
        <w:t>;</w:t>
      </w:r>
      <w:r w:rsidRPr="00C8505C">
        <w:rPr>
          <w:rFonts w:ascii="IBM Plex Sans" w:hAnsi="IBM Plex Sans"/>
          <w:sz w:val="20"/>
          <w:szCs w:val="20"/>
        </w:rPr>
        <w:t xml:space="preserve"> </w:t>
      </w:r>
      <w:r w:rsidR="00005C33">
        <w:rPr>
          <w:rFonts w:ascii="IBM Plex Sans" w:hAnsi="IBM Plex Sans"/>
          <w:sz w:val="20"/>
          <w:szCs w:val="20"/>
        </w:rPr>
        <w:t>‘</w:t>
      </w:r>
      <w:r w:rsidRPr="00C8505C">
        <w:rPr>
          <w:rFonts w:ascii="IBM Plex Sans" w:hAnsi="IBM Plex Sans"/>
          <w:sz w:val="20"/>
          <w:szCs w:val="20"/>
        </w:rPr>
        <w:t>4</w:t>
      </w:r>
      <w:r w:rsidR="00005C33">
        <w:rPr>
          <w:rFonts w:ascii="IBM Plex Sans" w:hAnsi="IBM Plex Sans"/>
          <w:sz w:val="20"/>
          <w:szCs w:val="20"/>
        </w:rPr>
        <w:t>’</w:t>
      </w:r>
      <w:r w:rsidRPr="00C8505C">
        <w:rPr>
          <w:rFonts w:ascii="IBM Plex Sans" w:hAnsi="IBM Plex Sans"/>
          <w:sz w:val="20"/>
          <w:szCs w:val="20"/>
        </w:rPr>
        <w:t xml:space="preserve">, </w:t>
      </w:r>
      <w:r w:rsidRPr="00C8505C">
        <w:rPr>
          <w:rFonts w:ascii="IBM Plex Sans" w:eastAsiaTheme="minorHAnsi" w:hAnsi="IBM Plex Sans" w:cs="Calibri"/>
          <w:sz w:val="20"/>
          <w:szCs w:val="20"/>
          <w:lang w:val="en-GB"/>
        </w:rPr>
        <w:t>RB</w:t>
      </w:r>
      <w:r>
        <w:rPr>
          <w:rFonts w:ascii="IBM Plex Sans" w:eastAsiaTheme="minorHAnsi" w:hAnsi="IBM Plex Sans" w:cs="Calibri"/>
          <w:sz w:val="20"/>
          <w:szCs w:val="20"/>
          <w:lang w:val="en-GB"/>
        </w:rPr>
        <w:t>/</w:t>
      </w:r>
      <w:r w:rsidRPr="00C8505C">
        <w:rPr>
          <w:rFonts w:ascii="IBM Plex Sans" w:eastAsiaTheme="minorHAnsi" w:hAnsi="IBM Plex Sans" w:cs="Calibri"/>
          <w:sz w:val="20"/>
          <w:szCs w:val="20"/>
          <w:lang w:val="en-GB"/>
        </w:rPr>
        <w:t>NR</w:t>
      </w:r>
      <w:r>
        <w:rPr>
          <w:rFonts w:ascii="IBM Plex Sans" w:eastAsiaTheme="minorHAnsi" w:hAnsi="IBM Plex Sans" w:cs="Calibri"/>
          <w:sz w:val="20"/>
          <w:szCs w:val="20"/>
          <w:lang w:val="en-GB"/>
        </w:rPr>
        <w:t xml:space="preserve">B Band </w:t>
      </w:r>
      <w:r w:rsidRPr="00C8505C">
        <w:rPr>
          <w:rFonts w:ascii="IBM Plex Sans" w:eastAsiaTheme="minorHAnsi" w:hAnsi="IBM Plex Sans" w:cs="Calibri"/>
          <w:sz w:val="20"/>
          <w:szCs w:val="20"/>
          <w:lang w:val="en-GB"/>
        </w:rPr>
        <w:t xml:space="preserve">4; </w:t>
      </w:r>
      <w:r w:rsidR="00005C33">
        <w:rPr>
          <w:rFonts w:ascii="IBM Plex Sans" w:eastAsiaTheme="minorHAnsi" w:hAnsi="IBM Plex Sans" w:cs="Calibri"/>
          <w:sz w:val="20"/>
          <w:szCs w:val="20"/>
          <w:lang w:val="en-GB"/>
        </w:rPr>
        <w:t>‘</w:t>
      </w:r>
      <w:r w:rsidRPr="00C8505C">
        <w:rPr>
          <w:rFonts w:ascii="IBM Plex Sans" w:hAnsi="IBM Plex Sans"/>
          <w:sz w:val="20"/>
          <w:szCs w:val="20"/>
        </w:rPr>
        <w:t>5</w:t>
      </w:r>
      <w:r w:rsidR="00005C33">
        <w:rPr>
          <w:rFonts w:ascii="IBM Plex Sans" w:hAnsi="IBM Plex Sans"/>
          <w:sz w:val="20"/>
          <w:szCs w:val="20"/>
        </w:rPr>
        <w:t>’</w:t>
      </w:r>
      <w:r w:rsidRPr="00C8505C">
        <w:rPr>
          <w:rFonts w:ascii="IBM Plex Sans" w:hAnsi="IBM Plex Sans"/>
          <w:sz w:val="20"/>
          <w:szCs w:val="20"/>
        </w:rPr>
        <w:t xml:space="preserve">, </w:t>
      </w:r>
      <w:r w:rsidRPr="00C8505C">
        <w:rPr>
          <w:rFonts w:ascii="IBM Plex Sans" w:eastAsiaTheme="minorHAnsi" w:hAnsi="IBM Plex Sans" w:cs="Calibri"/>
          <w:sz w:val="20"/>
          <w:szCs w:val="20"/>
          <w:lang w:val="en-GB"/>
        </w:rPr>
        <w:t>RB</w:t>
      </w:r>
      <w:r>
        <w:rPr>
          <w:rFonts w:ascii="IBM Plex Sans" w:eastAsiaTheme="minorHAnsi" w:hAnsi="IBM Plex Sans" w:cs="Calibri"/>
          <w:sz w:val="20"/>
          <w:szCs w:val="20"/>
          <w:lang w:val="en-GB"/>
        </w:rPr>
        <w:t>/</w:t>
      </w:r>
      <w:r w:rsidRPr="00C8505C">
        <w:rPr>
          <w:rFonts w:ascii="IBM Plex Sans" w:eastAsiaTheme="minorHAnsi" w:hAnsi="IBM Plex Sans" w:cs="Calibri"/>
          <w:sz w:val="20"/>
          <w:szCs w:val="20"/>
          <w:lang w:val="en-GB"/>
        </w:rPr>
        <w:t>NRB</w:t>
      </w:r>
      <w:r>
        <w:rPr>
          <w:rFonts w:ascii="IBM Plex Sans" w:eastAsiaTheme="minorHAnsi" w:hAnsi="IBM Plex Sans" w:cs="Calibri"/>
          <w:sz w:val="20"/>
          <w:szCs w:val="20"/>
          <w:lang w:val="en-GB"/>
        </w:rPr>
        <w:t xml:space="preserve"> Band </w:t>
      </w:r>
      <w:r w:rsidRPr="00C8505C">
        <w:rPr>
          <w:rFonts w:ascii="IBM Plex Sans" w:eastAsiaTheme="minorHAnsi" w:hAnsi="IBM Plex Sans" w:cs="Calibri"/>
          <w:sz w:val="20"/>
          <w:szCs w:val="20"/>
          <w:lang w:val="en-GB"/>
        </w:rPr>
        <w:t xml:space="preserve">5; </w:t>
      </w:r>
      <w:r w:rsidR="00005C33">
        <w:rPr>
          <w:rFonts w:ascii="IBM Plex Sans" w:eastAsiaTheme="minorHAnsi" w:hAnsi="IBM Plex Sans" w:cs="Calibri"/>
          <w:sz w:val="20"/>
          <w:szCs w:val="20"/>
          <w:lang w:val="en-GB"/>
        </w:rPr>
        <w:t>‘</w:t>
      </w:r>
      <w:r w:rsidRPr="00C8505C">
        <w:rPr>
          <w:rFonts w:ascii="IBM Plex Sans" w:hAnsi="IBM Plex Sans"/>
          <w:sz w:val="20"/>
          <w:szCs w:val="20"/>
        </w:rPr>
        <w:t>6</w:t>
      </w:r>
      <w:r w:rsidR="00005C33">
        <w:rPr>
          <w:rFonts w:ascii="IBM Plex Sans" w:hAnsi="IBM Plex Sans"/>
          <w:sz w:val="20"/>
          <w:szCs w:val="20"/>
        </w:rPr>
        <w:t>’</w:t>
      </w:r>
      <w:r w:rsidRPr="00C8505C">
        <w:rPr>
          <w:rFonts w:ascii="IBM Plex Sans" w:hAnsi="IBM Plex Sans"/>
          <w:sz w:val="20"/>
          <w:szCs w:val="20"/>
        </w:rPr>
        <w:t xml:space="preserve">, </w:t>
      </w:r>
      <w:r w:rsidRPr="00C8505C">
        <w:rPr>
          <w:rFonts w:ascii="IBM Plex Sans" w:eastAsiaTheme="minorHAnsi" w:hAnsi="IBM Plex Sans" w:cs="Calibri"/>
          <w:sz w:val="20"/>
          <w:szCs w:val="20"/>
          <w:lang w:val="en-GB"/>
        </w:rPr>
        <w:t>RB</w:t>
      </w:r>
      <w:r>
        <w:rPr>
          <w:rFonts w:ascii="IBM Plex Sans" w:eastAsiaTheme="minorHAnsi" w:hAnsi="IBM Plex Sans" w:cs="Calibri"/>
          <w:sz w:val="20"/>
          <w:szCs w:val="20"/>
          <w:lang w:val="en-GB"/>
        </w:rPr>
        <w:t>/</w:t>
      </w:r>
      <w:r w:rsidRPr="00C8505C">
        <w:rPr>
          <w:rFonts w:ascii="IBM Plex Sans" w:eastAsiaTheme="minorHAnsi" w:hAnsi="IBM Plex Sans" w:cs="Calibri"/>
          <w:sz w:val="20"/>
          <w:szCs w:val="20"/>
          <w:lang w:val="en-GB"/>
        </w:rPr>
        <w:t>NRB</w:t>
      </w:r>
      <w:r>
        <w:rPr>
          <w:rFonts w:ascii="IBM Plex Sans" w:eastAsiaTheme="minorHAnsi" w:hAnsi="IBM Plex Sans" w:cs="Calibri"/>
          <w:sz w:val="20"/>
          <w:szCs w:val="20"/>
          <w:lang w:val="en-GB"/>
        </w:rPr>
        <w:t xml:space="preserve"> Band </w:t>
      </w:r>
      <w:r w:rsidRPr="00072A44">
        <w:rPr>
          <w:rFonts w:ascii="IBM Plex Sans" w:eastAsiaTheme="minorHAnsi" w:hAnsi="IBM Plex Sans" w:cs="Calibri"/>
          <w:sz w:val="20"/>
          <w:szCs w:val="20"/>
          <w:lang w:val="en-GB"/>
        </w:rPr>
        <w:t xml:space="preserve">6; </w:t>
      </w:r>
      <w:r w:rsidR="00005C33" w:rsidRPr="00072A44">
        <w:rPr>
          <w:rFonts w:ascii="IBM Plex Sans" w:eastAsiaTheme="minorHAnsi" w:hAnsi="IBM Plex Sans" w:cs="Calibri"/>
          <w:sz w:val="20"/>
          <w:szCs w:val="20"/>
          <w:lang w:val="en-GB"/>
        </w:rPr>
        <w:t>‘</w:t>
      </w:r>
      <w:r w:rsidRPr="00072A44">
        <w:rPr>
          <w:rFonts w:ascii="IBM Plex Sans" w:hAnsi="IBM Plex Sans"/>
          <w:sz w:val="20"/>
          <w:szCs w:val="20"/>
        </w:rPr>
        <w:t>7</w:t>
      </w:r>
      <w:r w:rsidR="00005C33" w:rsidRPr="00072A44">
        <w:rPr>
          <w:rFonts w:ascii="IBM Plex Sans" w:hAnsi="IBM Plex Sans"/>
          <w:sz w:val="20"/>
          <w:szCs w:val="20"/>
        </w:rPr>
        <w:t>’</w:t>
      </w:r>
      <w:r w:rsidRPr="00072A44">
        <w:rPr>
          <w:rFonts w:ascii="IBM Plex Sans" w:hAnsi="IBM Plex Sans"/>
          <w:sz w:val="20"/>
          <w:szCs w:val="20"/>
        </w:rPr>
        <w:t xml:space="preserve">, </w:t>
      </w:r>
      <w:r w:rsidRPr="00072A44">
        <w:rPr>
          <w:rFonts w:ascii="IBM Plex Sans" w:eastAsiaTheme="minorHAnsi" w:hAnsi="IBM Plex Sans" w:cs="Calibri"/>
          <w:sz w:val="20"/>
          <w:szCs w:val="20"/>
          <w:lang w:val="en-GB"/>
        </w:rPr>
        <w:t xml:space="preserve">RB/NRB Band 7, Specialist Registrar; </w:t>
      </w:r>
      <w:r w:rsidR="00005C33" w:rsidRPr="00072A44">
        <w:rPr>
          <w:rFonts w:ascii="IBM Plex Sans" w:eastAsiaTheme="minorHAnsi" w:hAnsi="IBM Plex Sans" w:cs="Calibri"/>
          <w:sz w:val="20"/>
          <w:szCs w:val="20"/>
          <w:lang w:val="en-GB"/>
        </w:rPr>
        <w:t>‘</w:t>
      </w:r>
      <w:r w:rsidRPr="00072A44">
        <w:rPr>
          <w:rFonts w:ascii="IBM Plex Sans" w:hAnsi="IBM Plex Sans"/>
          <w:sz w:val="20"/>
          <w:szCs w:val="20"/>
        </w:rPr>
        <w:t>8</w:t>
      </w:r>
      <w:r w:rsidR="00005C33" w:rsidRPr="00072A44">
        <w:rPr>
          <w:rFonts w:ascii="IBM Plex Sans" w:hAnsi="IBM Plex Sans"/>
          <w:sz w:val="20"/>
          <w:szCs w:val="20"/>
        </w:rPr>
        <w:t>’</w:t>
      </w:r>
      <w:r w:rsidRPr="00072A44">
        <w:rPr>
          <w:rFonts w:ascii="IBM Plex Sans" w:hAnsi="IBM Plex Sans"/>
          <w:sz w:val="20"/>
          <w:szCs w:val="20"/>
        </w:rPr>
        <w:t xml:space="preserve">, </w:t>
      </w:r>
      <w:r w:rsidRPr="00072A44">
        <w:rPr>
          <w:rFonts w:ascii="IBM Plex Sans" w:eastAsiaTheme="minorHAnsi" w:hAnsi="IBM Plex Sans" w:cs="Calibri"/>
          <w:sz w:val="20"/>
          <w:szCs w:val="20"/>
          <w:lang w:val="en-GB"/>
        </w:rPr>
        <w:t xml:space="preserve">RB/NRB Band 8A/B, GPs; </w:t>
      </w:r>
      <w:r w:rsidR="00005C33" w:rsidRPr="00072A44">
        <w:rPr>
          <w:rFonts w:ascii="IBM Plex Sans" w:eastAsiaTheme="minorHAnsi" w:hAnsi="IBM Plex Sans" w:cs="Calibri"/>
          <w:sz w:val="20"/>
          <w:szCs w:val="20"/>
          <w:lang w:val="en-GB"/>
        </w:rPr>
        <w:t>‘</w:t>
      </w:r>
      <w:r w:rsidRPr="00072A44">
        <w:rPr>
          <w:rFonts w:ascii="IBM Plex Sans" w:eastAsiaTheme="minorHAnsi" w:hAnsi="IBM Plex Sans" w:cs="Calibri"/>
          <w:sz w:val="20"/>
          <w:szCs w:val="20"/>
          <w:lang w:val="en-GB"/>
        </w:rPr>
        <w:t>9</w:t>
      </w:r>
      <w:r w:rsidR="00005C33" w:rsidRPr="00072A44">
        <w:rPr>
          <w:rFonts w:ascii="IBM Plex Sans" w:eastAsiaTheme="minorHAnsi" w:hAnsi="IBM Plex Sans" w:cs="Calibri"/>
          <w:sz w:val="20"/>
          <w:szCs w:val="20"/>
          <w:lang w:val="en-GB"/>
        </w:rPr>
        <w:t>’</w:t>
      </w:r>
      <w:r w:rsidRPr="00072A44">
        <w:rPr>
          <w:rFonts w:ascii="IBM Plex Sans" w:eastAsiaTheme="minorHAnsi" w:hAnsi="IBM Plex Sans" w:cs="Calibri"/>
          <w:sz w:val="20"/>
          <w:szCs w:val="20"/>
          <w:lang w:val="en-GB"/>
        </w:rPr>
        <w:t>, RB/NRB Band 8C/D, Consultant</w:t>
      </w:r>
      <w:r w:rsidR="0036448D" w:rsidRPr="00072A44">
        <w:rPr>
          <w:rFonts w:ascii="IBM Plex Sans" w:eastAsiaTheme="minorHAnsi" w:hAnsi="IBM Plex Sans" w:cs="Calibri"/>
          <w:sz w:val="20"/>
          <w:szCs w:val="20"/>
          <w:lang w:val="en-GB"/>
        </w:rPr>
        <w:t xml:space="preserve">; ‘10’, </w:t>
      </w:r>
      <w:r w:rsidR="00BF4E2B" w:rsidRPr="00072A44">
        <w:rPr>
          <w:rFonts w:ascii="IBM Plex Sans" w:eastAsiaTheme="minorHAnsi" w:hAnsi="IBM Plex Sans" w:cs="Calibri"/>
          <w:sz w:val="20"/>
          <w:szCs w:val="20"/>
          <w:lang w:val="en-GB"/>
        </w:rPr>
        <w:t>RB</w:t>
      </w:r>
      <w:r w:rsidR="004E0520" w:rsidRPr="00072A44">
        <w:rPr>
          <w:rFonts w:ascii="IBM Plex Sans" w:eastAsiaTheme="minorHAnsi" w:hAnsi="IBM Plex Sans" w:cs="Calibri"/>
          <w:sz w:val="20"/>
          <w:szCs w:val="20"/>
          <w:lang w:val="en-GB"/>
        </w:rPr>
        <w:t>/</w:t>
      </w:r>
      <w:r w:rsidR="004E0520">
        <w:rPr>
          <w:rFonts w:ascii="IBM Plex Sans" w:eastAsiaTheme="minorHAnsi" w:hAnsi="IBM Plex Sans" w:cs="Calibri"/>
          <w:sz w:val="20"/>
          <w:szCs w:val="20"/>
          <w:lang w:val="en-GB"/>
        </w:rPr>
        <w:t>NRB</w:t>
      </w:r>
      <w:r w:rsidR="00BF4E2B">
        <w:rPr>
          <w:rFonts w:ascii="IBM Plex Sans" w:eastAsiaTheme="minorHAnsi" w:hAnsi="IBM Plex Sans" w:cs="Calibri"/>
          <w:sz w:val="20"/>
          <w:szCs w:val="20"/>
          <w:lang w:val="en-GB"/>
        </w:rPr>
        <w:t xml:space="preserve"> 9</w:t>
      </w:r>
      <w:r w:rsidR="004E0520">
        <w:rPr>
          <w:rFonts w:ascii="IBM Plex Sans" w:eastAsiaTheme="minorHAnsi" w:hAnsi="IBM Plex Sans" w:cs="Calibri"/>
          <w:sz w:val="20"/>
          <w:szCs w:val="20"/>
          <w:lang w:val="en-GB"/>
        </w:rPr>
        <w:t xml:space="preserve">, </w:t>
      </w:r>
      <w:r w:rsidR="00072A44">
        <w:rPr>
          <w:rFonts w:ascii="IBM Plex Sans" w:eastAsiaTheme="minorHAnsi" w:hAnsi="IBM Plex Sans" w:cs="Calibri"/>
          <w:sz w:val="20"/>
          <w:szCs w:val="20"/>
          <w:lang w:val="en-GB"/>
        </w:rPr>
        <w:t xml:space="preserve">Consultants and </w:t>
      </w:r>
      <w:r w:rsidR="004E0520">
        <w:rPr>
          <w:rFonts w:ascii="IBM Plex Sans" w:eastAsiaTheme="minorHAnsi" w:hAnsi="IBM Plex Sans" w:cs="Calibri"/>
          <w:sz w:val="20"/>
          <w:szCs w:val="20"/>
          <w:lang w:val="en-GB"/>
        </w:rPr>
        <w:t>Directors</w:t>
      </w:r>
      <w:r w:rsidR="00072A44">
        <w:rPr>
          <w:rFonts w:ascii="IBM Plex Sans" w:eastAsiaTheme="minorHAnsi" w:hAnsi="IBM Plex Sans" w:cs="Calibri"/>
          <w:sz w:val="20"/>
          <w:szCs w:val="20"/>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8938D" w14:textId="77777777" w:rsidR="003544A4" w:rsidRDefault="003544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FE565" w14:textId="19398A8C" w:rsidR="009E7987" w:rsidRPr="00315EF7" w:rsidRDefault="000C1CD0" w:rsidP="000740C9">
    <w:pPr>
      <w:pStyle w:val="Header"/>
      <w:spacing w:line="240" w:lineRule="auto"/>
      <w:rPr>
        <w:rFonts w:ascii="IBM Plex Sans" w:hAnsi="IBM Plex Sans"/>
        <w:color w:val="auto"/>
        <w:sz w:val="20"/>
        <w:szCs w:val="20"/>
      </w:rPr>
    </w:pPr>
    <w:r w:rsidRPr="00315EF7">
      <w:rPr>
        <w:rFonts w:ascii="IBM Plex Sans Medium" w:hAnsi="IBM Plex Sans Medium"/>
        <w:color w:val="auto"/>
        <w:sz w:val="20"/>
        <w:szCs w:val="20"/>
      </w:rPr>
      <w:t xml:space="preserve">Public Health Wales | </w:t>
    </w:r>
    <w:r w:rsidR="00642B0B" w:rsidRPr="00315EF7">
      <w:rPr>
        <w:rFonts w:ascii="IBM Plex Sans" w:hAnsi="IBM Plex Sans"/>
        <w:color w:val="auto"/>
        <w:sz w:val="20"/>
        <w:szCs w:val="20"/>
      </w:rPr>
      <w:t xml:space="preserve">Gender Pay Gap </w:t>
    </w:r>
    <w:r w:rsidRPr="00315EF7">
      <w:rPr>
        <w:rFonts w:ascii="IBM Plex Sans" w:hAnsi="IBM Plex Sans"/>
        <w:color w:val="auto"/>
        <w:sz w:val="20"/>
        <w:szCs w:val="20"/>
      </w:rPr>
      <w:t>Report 202</w:t>
    </w:r>
    <w:r w:rsidR="00F630E5" w:rsidRPr="00315EF7">
      <w:rPr>
        <w:rFonts w:ascii="IBM Plex Sans" w:hAnsi="IBM Plex Sans"/>
        <w:color w:val="auto"/>
        <w:sz w:val="20"/>
        <w:szCs w:val="20"/>
      </w:rPr>
      <w:t>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A4B38" w14:textId="77777777" w:rsidR="003544A4" w:rsidRDefault="003544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592B19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5310F45A"/>
    <w:lvl w:ilvl="0">
      <w:start w:val="1"/>
      <w:numFmt w:val="decimal"/>
      <w:pStyle w:val="ListNumber5"/>
      <w:lvlText w:val="Table %1:"/>
      <w:lvlJc w:val="left"/>
      <w:pPr>
        <w:ind w:left="1492" w:hanging="360"/>
      </w:pPr>
      <w:rPr>
        <w:rFonts w:hint="default"/>
      </w:rPr>
    </w:lvl>
  </w:abstractNum>
  <w:abstractNum w:abstractNumId="2" w15:restartNumberingAfterBreak="0">
    <w:nsid w:val="FFFFFF7F"/>
    <w:multiLevelType w:val="singleLevel"/>
    <w:tmpl w:val="086EE72A"/>
    <w:lvl w:ilvl="0">
      <w:start w:val="1"/>
      <w:numFmt w:val="decimal"/>
      <w:pStyle w:val="ListNumber2"/>
      <w:lvlText w:val="%1."/>
      <w:lvlJc w:val="left"/>
      <w:pPr>
        <w:tabs>
          <w:tab w:val="num" w:pos="643"/>
        </w:tabs>
        <w:ind w:left="643" w:hanging="360"/>
      </w:pPr>
    </w:lvl>
  </w:abstractNum>
  <w:abstractNum w:abstractNumId="3" w15:restartNumberingAfterBreak="0">
    <w:nsid w:val="00427F7B"/>
    <w:multiLevelType w:val="hybridMultilevel"/>
    <w:tmpl w:val="C1B4BA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1362F72"/>
    <w:multiLevelType w:val="multilevel"/>
    <w:tmpl w:val="18689B64"/>
    <w:styleLink w:val="NumHeadings"/>
    <w:lvl w:ilvl="0">
      <w:start w:val="1"/>
      <w:numFmt w:val="decimal"/>
      <w:lvlText w:val="%1"/>
      <w:lvlJc w:val="left"/>
      <w:pPr>
        <w:ind w:left="357" w:hanging="357"/>
      </w:pPr>
      <w:rPr>
        <w:rFonts w:hint="default"/>
      </w:rPr>
    </w:lvl>
    <w:lvl w:ilvl="1">
      <w:start w:val="1"/>
      <w:numFmt w:val="decimal"/>
      <w:lvlText w:val="%2.%1"/>
      <w:lvlJc w:val="left"/>
      <w:pPr>
        <w:ind w:left="714" w:hanging="357"/>
      </w:pPr>
      <w:rPr>
        <w:rFonts w:hint="default"/>
      </w:rPr>
    </w:lvl>
    <w:lvl w:ilvl="2">
      <w:start w:val="1"/>
      <w:numFmt w:val="decimal"/>
      <w:lvlText w:val="%3.%1.%2"/>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04E857C6"/>
    <w:multiLevelType w:val="hybridMultilevel"/>
    <w:tmpl w:val="FB9069E2"/>
    <w:lvl w:ilvl="0" w:tplc="710C7370">
      <w:start w:val="2"/>
      <w:numFmt w:val="bullet"/>
      <w:lvlText w:val="-"/>
      <w:lvlJc w:val="left"/>
      <w:pPr>
        <w:ind w:left="405" w:hanging="360"/>
      </w:pPr>
      <w:rPr>
        <w:rFonts w:ascii="IBM Plex Sans" w:eastAsia="Times New Roman" w:hAnsi="IBM Plex Sans" w:cs="Aria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6" w15:restartNumberingAfterBreak="0">
    <w:nsid w:val="09C86B89"/>
    <w:multiLevelType w:val="hybridMultilevel"/>
    <w:tmpl w:val="6A4EBF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242602"/>
    <w:multiLevelType w:val="hybridMultilevel"/>
    <w:tmpl w:val="B3C407D6"/>
    <w:lvl w:ilvl="0" w:tplc="1136BCB6">
      <w:start w:val="1"/>
      <w:numFmt w:val="decimal"/>
      <w:pStyle w:val="Heading8"/>
      <w:lvlText w:val="Graph %1"/>
      <w:lvlJc w:val="left"/>
      <w:pPr>
        <w:ind w:left="502"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51B6BDE"/>
    <w:multiLevelType w:val="hybridMultilevel"/>
    <w:tmpl w:val="BEE4AD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885BA0"/>
    <w:multiLevelType w:val="hybridMultilevel"/>
    <w:tmpl w:val="2AC65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2729C1"/>
    <w:multiLevelType w:val="hybridMultilevel"/>
    <w:tmpl w:val="038A0E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573650E"/>
    <w:multiLevelType w:val="multilevel"/>
    <w:tmpl w:val="EDB619DA"/>
    <w:lvl w:ilvl="0">
      <w:start w:val="1"/>
      <w:numFmt w:val="decimal"/>
      <w:pStyle w:val="Heading5"/>
      <w:lvlText w:val="%1"/>
      <w:lvlJc w:val="left"/>
      <w:pPr>
        <w:ind w:left="284" w:hanging="284"/>
      </w:pPr>
    </w:lvl>
    <w:lvl w:ilvl="1">
      <w:start w:val="1"/>
      <w:numFmt w:val="decimal"/>
      <w:pStyle w:val="Heading6"/>
      <w:lvlText w:val="%1.%2"/>
      <w:lvlJc w:val="left"/>
      <w:pPr>
        <w:ind w:left="765" w:hanging="340"/>
      </w:pPr>
      <w:rPr>
        <w:color w:val="5C00D6"/>
      </w:rPr>
    </w:lvl>
    <w:lvl w:ilvl="2">
      <w:start w:val="1"/>
      <w:numFmt w:val="decimal"/>
      <w:pStyle w:val="Heading7"/>
      <w:lvlText w:val="%1.%2.%3"/>
      <w:lvlJc w:val="left"/>
      <w:pPr>
        <w:ind w:left="1071" w:hanging="357"/>
      </w:pPr>
    </w:lvl>
    <w:lvl w:ilvl="3">
      <w:start w:val="1"/>
      <w:numFmt w:val="decimal"/>
      <w:lvlText w:val="(%4)"/>
      <w:lvlJc w:val="left"/>
      <w:pPr>
        <w:ind w:left="851" w:firstLine="220"/>
      </w:pPr>
    </w:lvl>
    <w:lvl w:ilvl="4">
      <w:start w:val="1"/>
      <w:numFmt w:val="lowerLetter"/>
      <w:lvlText w:val="(%5)"/>
      <w:lvlJc w:val="left"/>
      <w:pPr>
        <w:ind w:left="1785" w:hanging="357"/>
      </w:pPr>
    </w:lvl>
    <w:lvl w:ilvl="5">
      <w:start w:val="1"/>
      <w:numFmt w:val="lowerRoman"/>
      <w:lvlText w:val="(%6)"/>
      <w:lvlJc w:val="left"/>
      <w:pPr>
        <w:ind w:left="2142" w:hanging="357"/>
      </w:pPr>
    </w:lvl>
    <w:lvl w:ilvl="6">
      <w:start w:val="1"/>
      <w:numFmt w:val="decimal"/>
      <w:lvlText w:val="%7."/>
      <w:lvlJc w:val="left"/>
      <w:pPr>
        <w:ind w:left="2499" w:hanging="357"/>
      </w:pPr>
    </w:lvl>
    <w:lvl w:ilvl="7">
      <w:start w:val="1"/>
      <w:numFmt w:val="lowerLetter"/>
      <w:lvlText w:val="%8."/>
      <w:lvlJc w:val="left"/>
      <w:pPr>
        <w:ind w:left="2856" w:hanging="357"/>
      </w:pPr>
    </w:lvl>
    <w:lvl w:ilvl="8">
      <w:start w:val="1"/>
      <w:numFmt w:val="lowerRoman"/>
      <w:lvlText w:val="%9."/>
      <w:lvlJc w:val="left"/>
      <w:pPr>
        <w:ind w:left="3213" w:hanging="357"/>
      </w:pPr>
    </w:lvl>
  </w:abstractNum>
  <w:abstractNum w:abstractNumId="12" w15:restartNumberingAfterBreak="0">
    <w:nsid w:val="27F34408"/>
    <w:multiLevelType w:val="hybridMultilevel"/>
    <w:tmpl w:val="55145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6E7AEB"/>
    <w:multiLevelType w:val="hybridMultilevel"/>
    <w:tmpl w:val="AB6A84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B010FCD"/>
    <w:multiLevelType w:val="hybridMultilevel"/>
    <w:tmpl w:val="CEF88918"/>
    <w:lvl w:ilvl="0" w:tplc="547C8EBE">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870D94"/>
    <w:multiLevelType w:val="hybridMultilevel"/>
    <w:tmpl w:val="4418BC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F2153A1"/>
    <w:multiLevelType w:val="hybridMultilevel"/>
    <w:tmpl w:val="E8D026C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32F113A5"/>
    <w:multiLevelType w:val="hybridMultilevel"/>
    <w:tmpl w:val="A5CACBE8"/>
    <w:lvl w:ilvl="0" w:tplc="95987BB2">
      <w:start w:val="2"/>
      <w:numFmt w:val="bullet"/>
      <w:lvlText w:val="-"/>
      <w:lvlJc w:val="left"/>
      <w:pPr>
        <w:ind w:left="720" w:hanging="360"/>
      </w:pPr>
      <w:rPr>
        <w:rFonts w:ascii="IBM Plex Sans" w:eastAsiaTheme="minorHAnsi" w:hAnsi="IBM Plex San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901F10"/>
    <w:multiLevelType w:val="hybridMultilevel"/>
    <w:tmpl w:val="1BDC36E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C886E9A"/>
    <w:multiLevelType w:val="hybridMultilevel"/>
    <w:tmpl w:val="C882D9A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00C51A2"/>
    <w:multiLevelType w:val="hybridMultilevel"/>
    <w:tmpl w:val="0A20A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3B64F6"/>
    <w:multiLevelType w:val="multilevel"/>
    <w:tmpl w:val="FE08F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8BBBF8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50575019"/>
    <w:multiLevelType w:val="hybridMultilevel"/>
    <w:tmpl w:val="482AE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9F7BB5"/>
    <w:multiLevelType w:val="hybridMultilevel"/>
    <w:tmpl w:val="2B1C2C8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5F2C59BB"/>
    <w:multiLevelType w:val="hybridMultilevel"/>
    <w:tmpl w:val="B6381A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9ED6DDA"/>
    <w:multiLevelType w:val="hybridMultilevel"/>
    <w:tmpl w:val="3A02CD14"/>
    <w:lvl w:ilvl="0" w:tplc="08090001">
      <w:start w:val="1"/>
      <w:numFmt w:val="bullet"/>
      <w:lvlText w:val=""/>
      <w:lvlJc w:val="left"/>
      <w:pPr>
        <w:ind w:left="-354" w:hanging="360"/>
      </w:pPr>
      <w:rPr>
        <w:rFonts w:ascii="Symbol" w:hAnsi="Symbol" w:hint="default"/>
      </w:rPr>
    </w:lvl>
    <w:lvl w:ilvl="1" w:tplc="08090003">
      <w:start w:val="1"/>
      <w:numFmt w:val="bullet"/>
      <w:lvlText w:val="o"/>
      <w:lvlJc w:val="left"/>
      <w:pPr>
        <w:ind w:left="366" w:hanging="360"/>
      </w:pPr>
      <w:rPr>
        <w:rFonts w:ascii="Courier New" w:hAnsi="Courier New" w:cs="Courier New" w:hint="default"/>
      </w:rPr>
    </w:lvl>
    <w:lvl w:ilvl="2" w:tplc="08090005" w:tentative="1">
      <w:start w:val="1"/>
      <w:numFmt w:val="bullet"/>
      <w:lvlText w:val=""/>
      <w:lvlJc w:val="left"/>
      <w:pPr>
        <w:ind w:left="1086" w:hanging="360"/>
      </w:pPr>
      <w:rPr>
        <w:rFonts w:ascii="Wingdings" w:hAnsi="Wingdings" w:hint="default"/>
      </w:rPr>
    </w:lvl>
    <w:lvl w:ilvl="3" w:tplc="08090001" w:tentative="1">
      <w:start w:val="1"/>
      <w:numFmt w:val="bullet"/>
      <w:lvlText w:val=""/>
      <w:lvlJc w:val="left"/>
      <w:pPr>
        <w:ind w:left="1806" w:hanging="360"/>
      </w:pPr>
      <w:rPr>
        <w:rFonts w:ascii="Symbol" w:hAnsi="Symbol" w:hint="default"/>
      </w:rPr>
    </w:lvl>
    <w:lvl w:ilvl="4" w:tplc="08090003" w:tentative="1">
      <w:start w:val="1"/>
      <w:numFmt w:val="bullet"/>
      <w:lvlText w:val="o"/>
      <w:lvlJc w:val="left"/>
      <w:pPr>
        <w:ind w:left="2526" w:hanging="360"/>
      </w:pPr>
      <w:rPr>
        <w:rFonts w:ascii="Courier New" w:hAnsi="Courier New" w:cs="Courier New" w:hint="default"/>
      </w:rPr>
    </w:lvl>
    <w:lvl w:ilvl="5" w:tplc="08090005" w:tentative="1">
      <w:start w:val="1"/>
      <w:numFmt w:val="bullet"/>
      <w:lvlText w:val=""/>
      <w:lvlJc w:val="left"/>
      <w:pPr>
        <w:ind w:left="3246" w:hanging="360"/>
      </w:pPr>
      <w:rPr>
        <w:rFonts w:ascii="Wingdings" w:hAnsi="Wingdings" w:hint="default"/>
      </w:rPr>
    </w:lvl>
    <w:lvl w:ilvl="6" w:tplc="08090001" w:tentative="1">
      <w:start w:val="1"/>
      <w:numFmt w:val="bullet"/>
      <w:lvlText w:val=""/>
      <w:lvlJc w:val="left"/>
      <w:pPr>
        <w:ind w:left="3966" w:hanging="360"/>
      </w:pPr>
      <w:rPr>
        <w:rFonts w:ascii="Symbol" w:hAnsi="Symbol" w:hint="default"/>
      </w:rPr>
    </w:lvl>
    <w:lvl w:ilvl="7" w:tplc="08090003" w:tentative="1">
      <w:start w:val="1"/>
      <w:numFmt w:val="bullet"/>
      <w:lvlText w:val="o"/>
      <w:lvlJc w:val="left"/>
      <w:pPr>
        <w:ind w:left="4686" w:hanging="360"/>
      </w:pPr>
      <w:rPr>
        <w:rFonts w:ascii="Courier New" w:hAnsi="Courier New" w:cs="Courier New" w:hint="default"/>
      </w:rPr>
    </w:lvl>
    <w:lvl w:ilvl="8" w:tplc="08090005" w:tentative="1">
      <w:start w:val="1"/>
      <w:numFmt w:val="bullet"/>
      <w:lvlText w:val=""/>
      <w:lvlJc w:val="left"/>
      <w:pPr>
        <w:ind w:left="5406" w:hanging="360"/>
      </w:pPr>
      <w:rPr>
        <w:rFonts w:ascii="Wingdings" w:hAnsi="Wingdings" w:hint="default"/>
      </w:rPr>
    </w:lvl>
  </w:abstractNum>
  <w:abstractNum w:abstractNumId="27" w15:restartNumberingAfterBreak="0">
    <w:nsid w:val="6AC60ADE"/>
    <w:multiLevelType w:val="hybridMultilevel"/>
    <w:tmpl w:val="1908D0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490F69"/>
    <w:multiLevelType w:val="hybridMultilevel"/>
    <w:tmpl w:val="D14E1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B562229"/>
    <w:multiLevelType w:val="hybridMultilevel"/>
    <w:tmpl w:val="74020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0CD4534"/>
    <w:multiLevelType w:val="hybridMultilevel"/>
    <w:tmpl w:val="0FB28BDA"/>
    <w:lvl w:ilvl="0" w:tplc="A832F4F6">
      <w:start w:val="1"/>
      <w:numFmt w:val="decimal"/>
      <w:pStyle w:val="Heading9"/>
      <w:lvlText w:val="Table %1"/>
      <w:lvlJc w:val="left"/>
      <w:pPr>
        <w:ind w:left="135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1EC299C"/>
    <w:multiLevelType w:val="hybridMultilevel"/>
    <w:tmpl w:val="70D2A808"/>
    <w:lvl w:ilvl="0" w:tplc="21AA013A">
      <w:start w:val="6"/>
      <w:numFmt w:val="bullet"/>
      <w:lvlText w:val="-"/>
      <w:lvlJc w:val="left"/>
      <w:pPr>
        <w:ind w:left="720" w:hanging="360"/>
      </w:pPr>
      <w:rPr>
        <w:rFonts w:ascii="IBM Plex Sans" w:eastAsiaTheme="minorEastAsia" w:hAnsi="IBM Plex San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207D05"/>
    <w:multiLevelType w:val="hybridMultilevel"/>
    <w:tmpl w:val="FDDA4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4B75EB"/>
    <w:multiLevelType w:val="hybridMultilevel"/>
    <w:tmpl w:val="F2D8D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0"/>
  </w:num>
  <w:num w:numId="4">
    <w:abstractNumId w:val="7"/>
  </w:num>
  <w:num w:numId="5">
    <w:abstractNumId w:val="4"/>
  </w:num>
  <w:num w:numId="6">
    <w:abstractNumId w:val="11"/>
  </w:num>
  <w:num w:numId="7">
    <w:abstractNumId w:val="8"/>
  </w:num>
  <w:num w:numId="8">
    <w:abstractNumId w:val="27"/>
  </w:num>
  <w:num w:numId="9">
    <w:abstractNumId w:val="29"/>
  </w:num>
  <w:num w:numId="10">
    <w:abstractNumId w:val="5"/>
  </w:num>
  <w:num w:numId="11">
    <w:abstractNumId w:val="19"/>
  </w:num>
  <w:num w:numId="12">
    <w:abstractNumId w:val="6"/>
  </w:num>
  <w:num w:numId="13">
    <w:abstractNumId w:val="23"/>
  </w:num>
  <w:num w:numId="14">
    <w:abstractNumId w:val="9"/>
  </w:num>
  <w:num w:numId="15">
    <w:abstractNumId w:val="10"/>
  </w:num>
  <w:num w:numId="16">
    <w:abstractNumId w:val="26"/>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num>
  <w:num w:numId="20">
    <w:abstractNumId w:val="12"/>
  </w:num>
  <w:num w:numId="21">
    <w:abstractNumId w:val="33"/>
  </w:num>
  <w:num w:numId="22">
    <w:abstractNumId w:val="20"/>
  </w:num>
  <w:num w:numId="23">
    <w:abstractNumId w:val="32"/>
  </w:num>
  <w:num w:numId="24">
    <w:abstractNumId w:val="14"/>
  </w:num>
  <w:num w:numId="25">
    <w:abstractNumId w:val="17"/>
  </w:num>
  <w:num w:numId="26">
    <w:abstractNumId w:val="16"/>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num>
  <w:num w:numId="29">
    <w:abstractNumId w:val="18"/>
  </w:num>
  <w:num w:numId="30">
    <w:abstractNumId w:val="3"/>
  </w:num>
  <w:num w:numId="31">
    <w:abstractNumId w:val="13"/>
  </w:num>
  <w:num w:numId="32">
    <w:abstractNumId w:val="21"/>
  </w:num>
  <w:num w:numId="33">
    <w:abstractNumId w:val="22"/>
  </w:num>
  <w:num w:numId="34">
    <w:abstractNumId w:val="0"/>
  </w:num>
  <w:num w:numId="35">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E26"/>
    <w:rsid w:val="00000C5A"/>
    <w:rsid w:val="00000DBD"/>
    <w:rsid w:val="00001CF2"/>
    <w:rsid w:val="00001E9E"/>
    <w:rsid w:val="00001F1C"/>
    <w:rsid w:val="00002094"/>
    <w:rsid w:val="00003230"/>
    <w:rsid w:val="00003889"/>
    <w:rsid w:val="00005B32"/>
    <w:rsid w:val="00005C33"/>
    <w:rsid w:val="00006191"/>
    <w:rsid w:val="0000626D"/>
    <w:rsid w:val="00006949"/>
    <w:rsid w:val="00007C34"/>
    <w:rsid w:val="00011140"/>
    <w:rsid w:val="00011E34"/>
    <w:rsid w:val="00012CD7"/>
    <w:rsid w:val="000145DF"/>
    <w:rsid w:val="000150F9"/>
    <w:rsid w:val="00015423"/>
    <w:rsid w:val="000159E5"/>
    <w:rsid w:val="000160EC"/>
    <w:rsid w:val="000163A4"/>
    <w:rsid w:val="000174C3"/>
    <w:rsid w:val="00017573"/>
    <w:rsid w:val="00017B68"/>
    <w:rsid w:val="000200A3"/>
    <w:rsid w:val="00020744"/>
    <w:rsid w:val="00021974"/>
    <w:rsid w:val="00021CFC"/>
    <w:rsid w:val="000234CE"/>
    <w:rsid w:val="00023E82"/>
    <w:rsid w:val="00024D8F"/>
    <w:rsid w:val="00024DAC"/>
    <w:rsid w:val="00025AAD"/>
    <w:rsid w:val="00025F08"/>
    <w:rsid w:val="00026583"/>
    <w:rsid w:val="000266AD"/>
    <w:rsid w:val="00026D04"/>
    <w:rsid w:val="00027807"/>
    <w:rsid w:val="00027AA7"/>
    <w:rsid w:val="00030085"/>
    <w:rsid w:val="00030EC7"/>
    <w:rsid w:val="0003145D"/>
    <w:rsid w:val="00031799"/>
    <w:rsid w:val="00031AC1"/>
    <w:rsid w:val="000329A0"/>
    <w:rsid w:val="000331D8"/>
    <w:rsid w:val="000335B7"/>
    <w:rsid w:val="000336AA"/>
    <w:rsid w:val="00033EC3"/>
    <w:rsid w:val="00033F5C"/>
    <w:rsid w:val="00034D9C"/>
    <w:rsid w:val="0003550E"/>
    <w:rsid w:val="000359BF"/>
    <w:rsid w:val="00036169"/>
    <w:rsid w:val="00036178"/>
    <w:rsid w:val="00036B2C"/>
    <w:rsid w:val="00036C15"/>
    <w:rsid w:val="00036F86"/>
    <w:rsid w:val="0003794F"/>
    <w:rsid w:val="00037D56"/>
    <w:rsid w:val="00040E38"/>
    <w:rsid w:val="000410C3"/>
    <w:rsid w:val="00042141"/>
    <w:rsid w:val="000426B0"/>
    <w:rsid w:val="000429AB"/>
    <w:rsid w:val="00042D03"/>
    <w:rsid w:val="000431DE"/>
    <w:rsid w:val="00043516"/>
    <w:rsid w:val="00044408"/>
    <w:rsid w:val="00044424"/>
    <w:rsid w:val="000452FF"/>
    <w:rsid w:val="00045372"/>
    <w:rsid w:val="000453DC"/>
    <w:rsid w:val="00045804"/>
    <w:rsid w:val="00045CBD"/>
    <w:rsid w:val="00045E2C"/>
    <w:rsid w:val="00045F64"/>
    <w:rsid w:val="000475AB"/>
    <w:rsid w:val="000503D6"/>
    <w:rsid w:val="000504AB"/>
    <w:rsid w:val="00050DF9"/>
    <w:rsid w:val="000511A0"/>
    <w:rsid w:val="00051A85"/>
    <w:rsid w:val="00051C78"/>
    <w:rsid w:val="00052374"/>
    <w:rsid w:val="0005298F"/>
    <w:rsid w:val="000529C1"/>
    <w:rsid w:val="00052CD0"/>
    <w:rsid w:val="0005325C"/>
    <w:rsid w:val="00053314"/>
    <w:rsid w:val="00053345"/>
    <w:rsid w:val="00053B95"/>
    <w:rsid w:val="000548C6"/>
    <w:rsid w:val="00054D1F"/>
    <w:rsid w:val="000565C7"/>
    <w:rsid w:val="000566F6"/>
    <w:rsid w:val="00057A53"/>
    <w:rsid w:val="00057EA9"/>
    <w:rsid w:val="00057F31"/>
    <w:rsid w:val="00060469"/>
    <w:rsid w:val="00061D90"/>
    <w:rsid w:val="0006346B"/>
    <w:rsid w:val="0006351E"/>
    <w:rsid w:val="00064148"/>
    <w:rsid w:val="00064324"/>
    <w:rsid w:val="00065646"/>
    <w:rsid w:val="0006598E"/>
    <w:rsid w:val="00066042"/>
    <w:rsid w:val="0006667B"/>
    <w:rsid w:val="00066A4F"/>
    <w:rsid w:val="00066F1D"/>
    <w:rsid w:val="00070C06"/>
    <w:rsid w:val="00070C6B"/>
    <w:rsid w:val="00071718"/>
    <w:rsid w:val="0007198D"/>
    <w:rsid w:val="00071999"/>
    <w:rsid w:val="00072A44"/>
    <w:rsid w:val="00072DE6"/>
    <w:rsid w:val="00072F05"/>
    <w:rsid w:val="0007301A"/>
    <w:rsid w:val="0007340C"/>
    <w:rsid w:val="000735E6"/>
    <w:rsid w:val="0007395D"/>
    <w:rsid w:val="00073FAD"/>
    <w:rsid w:val="000740C9"/>
    <w:rsid w:val="000750B7"/>
    <w:rsid w:val="0007532A"/>
    <w:rsid w:val="000755B3"/>
    <w:rsid w:val="00075C49"/>
    <w:rsid w:val="00075F59"/>
    <w:rsid w:val="00076095"/>
    <w:rsid w:val="00076610"/>
    <w:rsid w:val="00077B53"/>
    <w:rsid w:val="00077B7D"/>
    <w:rsid w:val="00077F2E"/>
    <w:rsid w:val="00077FD9"/>
    <w:rsid w:val="0008000B"/>
    <w:rsid w:val="000803DD"/>
    <w:rsid w:val="000804BB"/>
    <w:rsid w:val="0008089C"/>
    <w:rsid w:val="000809F0"/>
    <w:rsid w:val="00080D8A"/>
    <w:rsid w:val="00081C06"/>
    <w:rsid w:val="00081CDA"/>
    <w:rsid w:val="000827DF"/>
    <w:rsid w:val="00082F96"/>
    <w:rsid w:val="00083A0D"/>
    <w:rsid w:val="00083B7C"/>
    <w:rsid w:val="00083D8D"/>
    <w:rsid w:val="000848AC"/>
    <w:rsid w:val="00085032"/>
    <w:rsid w:val="00085E50"/>
    <w:rsid w:val="00086EC6"/>
    <w:rsid w:val="00087135"/>
    <w:rsid w:val="00090249"/>
    <w:rsid w:val="00090295"/>
    <w:rsid w:val="0009068F"/>
    <w:rsid w:val="000908B9"/>
    <w:rsid w:val="00090BE7"/>
    <w:rsid w:val="00091015"/>
    <w:rsid w:val="00091841"/>
    <w:rsid w:val="000922A4"/>
    <w:rsid w:val="0009241A"/>
    <w:rsid w:val="00092904"/>
    <w:rsid w:val="00092DC9"/>
    <w:rsid w:val="000932BF"/>
    <w:rsid w:val="00093D01"/>
    <w:rsid w:val="00093F18"/>
    <w:rsid w:val="00094AD7"/>
    <w:rsid w:val="00095D7A"/>
    <w:rsid w:val="00095FDB"/>
    <w:rsid w:val="00096E70"/>
    <w:rsid w:val="00097610"/>
    <w:rsid w:val="000A0231"/>
    <w:rsid w:val="000A04D9"/>
    <w:rsid w:val="000A0A11"/>
    <w:rsid w:val="000A21F2"/>
    <w:rsid w:val="000A275E"/>
    <w:rsid w:val="000A2BDC"/>
    <w:rsid w:val="000A3088"/>
    <w:rsid w:val="000A30D8"/>
    <w:rsid w:val="000A3A6E"/>
    <w:rsid w:val="000A3CA3"/>
    <w:rsid w:val="000A4113"/>
    <w:rsid w:val="000A4134"/>
    <w:rsid w:val="000A4335"/>
    <w:rsid w:val="000A461F"/>
    <w:rsid w:val="000A4F46"/>
    <w:rsid w:val="000A584E"/>
    <w:rsid w:val="000A5D77"/>
    <w:rsid w:val="000A738D"/>
    <w:rsid w:val="000A782A"/>
    <w:rsid w:val="000A7BF3"/>
    <w:rsid w:val="000A7EB9"/>
    <w:rsid w:val="000B038F"/>
    <w:rsid w:val="000B11B8"/>
    <w:rsid w:val="000B1A4B"/>
    <w:rsid w:val="000B27A2"/>
    <w:rsid w:val="000B3305"/>
    <w:rsid w:val="000B33F4"/>
    <w:rsid w:val="000B38FB"/>
    <w:rsid w:val="000B3D2C"/>
    <w:rsid w:val="000B409F"/>
    <w:rsid w:val="000B43B3"/>
    <w:rsid w:val="000B4A6B"/>
    <w:rsid w:val="000B51A4"/>
    <w:rsid w:val="000B5D8D"/>
    <w:rsid w:val="000B676E"/>
    <w:rsid w:val="000B6AEC"/>
    <w:rsid w:val="000B6C31"/>
    <w:rsid w:val="000B7053"/>
    <w:rsid w:val="000B7658"/>
    <w:rsid w:val="000B774D"/>
    <w:rsid w:val="000B7F94"/>
    <w:rsid w:val="000C0BE1"/>
    <w:rsid w:val="000C0BF5"/>
    <w:rsid w:val="000C0FE6"/>
    <w:rsid w:val="000C1181"/>
    <w:rsid w:val="000C15ED"/>
    <w:rsid w:val="000C1CD0"/>
    <w:rsid w:val="000C2566"/>
    <w:rsid w:val="000C2E56"/>
    <w:rsid w:val="000C2E93"/>
    <w:rsid w:val="000C3558"/>
    <w:rsid w:val="000C36F0"/>
    <w:rsid w:val="000C3D54"/>
    <w:rsid w:val="000C467D"/>
    <w:rsid w:val="000C4C1A"/>
    <w:rsid w:val="000C5163"/>
    <w:rsid w:val="000C532D"/>
    <w:rsid w:val="000C5C6E"/>
    <w:rsid w:val="000C5DB6"/>
    <w:rsid w:val="000C65C6"/>
    <w:rsid w:val="000C673C"/>
    <w:rsid w:val="000C680F"/>
    <w:rsid w:val="000C689B"/>
    <w:rsid w:val="000C6A58"/>
    <w:rsid w:val="000C7446"/>
    <w:rsid w:val="000C75AE"/>
    <w:rsid w:val="000C764A"/>
    <w:rsid w:val="000D06D6"/>
    <w:rsid w:val="000D07CD"/>
    <w:rsid w:val="000D0A21"/>
    <w:rsid w:val="000D0A91"/>
    <w:rsid w:val="000D1BC0"/>
    <w:rsid w:val="000D272D"/>
    <w:rsid w:val="000D2F82"/>
    <w:rsid w:val="000D30FD"/>
    <w:rsid w:val="000D3B88"/>
    <w:rsid w:val="000D3F1F"/>
    <w:rsid w:val="000D44C0"/>
    <w:rsid w:val="000D473C"/>
    <w:rsid w:val="000D4763"/>
    <w:rsid w:val="000D4CFF"/>
    <w:rsid w:val="000D4E32"/>
    <w:rsid w:val="000D57C2"/>
    <w:rsid w:val="000D5DA5"/>
    <w:rsid w:val="000D67F2"/>
    <w:rsid w:val="000D7D1C"/>
    <w:rsid w:val="000E05E5"/>
    <w:rsid w:val="000E0C0E"/>
    <w:rsid w:val="000E0F17"/>
    <w:rsid w:val="000E1517"/>
    <w:rsid w:val="000E1D7F"/>
    <w:rsid w:val="000E1E9B"/>
    <w:rsid w:val="000E2EBE"/>
    <w:rsid w:val="000E39D7"/>
    <w:rsid w:val="000E45D3"/>
    <w:rsid w:val="000E4822"/>
    <w:rsid w:val="000E4EA1"/>
    <w:rsid w:val="000E51B2"/>
    <w:rsid w:val="000E5771"/>
    <w:rsid w:val="000E5B57"/>
    <w:rsid w:val="000E5F01"/>
    <w:rsid w:val="000E639C"/>
    <w:rsid w:val="000E6921"/>
    <w:rsid w:val="000E6A95"/>
    <w:rsid w:val="000E71DA"/>
    <w:rsid w:val="000E756B"/>
    <w:rsid w:val="000E7CC3"/>
    <w:rsid w:val="000F0596"/>
    <w:rsid w:val="000F076A"/>
    <w:rsid w:val="000F1705"/>
    <w:rsid w:val="000F18AE"/>
    <w:rsid w:val="000F1E63"/>
    <w:rsid w:val="000F2C46"/>
    <w:rsid w:val="000F391E"/>
    <w:rsid w:val="000F3B03"/>
    <w:rsid w:val="000F4070"/>
    <w:rsid w:val="000F43FD"/>
    <w:rsid w:val="000F5560"/>
    <w:rsid w:val="000F55A4"/>
    <w:rsid w:val="000F5F8B"/>
    <w:rsid w:val="000F62E8"/>
    <w:rsid w:val="000F70FE"/>
    <w:rsid w:val="000F7F86"/>
    <w:rsid w:val="00100D63"/>
    <w:rsid w:val="00102448"/>
    <w:rsid w:val="00102BDC"/>
    <w:rsid w:val="00102BFA"/>
    <w:rsid w:val="0010318C"/>
    <w:rsid w:val="00103C2E"/>
    <w:rsid w:val="00103DB7"/>
    <w:rsid w:val="00103F36"/>
    <w:rsid w:val="00104947"/>
    <w:rsid w:val="00104965"/>
    <w:rsid w:val="001051F3"/>
    <w:rsid w:val="00105542"/>
    <w:rsid w:val="001056D5"/>
    <w:rsid w:val="001065EE"/>
    <w:rsid w:val="00106632"/>
    <w:rsid w:val="001066BA"/>
    <w:rsid w:val="00106868"/>
    <w:rsid w:val="001071C9"/>
    <w:rsid w:val="00107D7C"/>
    <w:rsid w:val="00110532"/>
    <w:rsid w:val="00110738"/>
    <w:rsid w:val="00112094"/>
    <w:rsid w:val="001120E9"/>
    <w:rsid w:val="0011242A"/>
    <w:rsid w:val="0011524B"/>
    <w:rsid w:val="001155A6"/>
    <w:rsid w:val="001157B0"/>
    <w:rsid w:val="00115BEB"/>
    <w:rsid w:val="001163EE"/>
    <w:rsid w:val="001179E3"/>
    <w:rsid w:val="00120273"/>
    <w:rsid w:val="001206EA"/>
    <w:rsid w:val="00120AD2"/>
    <w:rsid w:val="00120F27"/>
    <w:rsid w:val="00121376"/>
    <w:rsid w:val="00121B55"/>
    <w:rsid w:val="0012213A"/>
    <w:rsid w:val="001222DF"/>
    <w:rsid w:val="001224BD"/>
    <w:rsid w:val="00122636"/>
    <w:rsid w:val="00122A8D"/>
    <w:rsid w:val="00122E2F"/>
    <w:rsid w:val="00123282"/>
    <w:rsid w:val="0012392E"/>
    <w:rsid w:val="00123B90"/>
    <w:rsid w:val="00124036"/>
    <w:rsid w:val="00124104"/>
    <w:rsid w:val="00124A7A"/>
    <w:rsid w:val="00124AA0"/>
    <w:rsid w:val="0012537C"/>
    <w:rsid w:val="00125E46"/>
    <w:rsid w:val="00126216"/>
    <w:rsid w:val="00126313"/>
    <w:rsid w:val="0012692D"/>
    <w:rsid w:val="00126DFF"/>
    <w:rsid w:val="00127170"/>
    <w:rsid w:val="00130B89"/>
    <w:rsid w:val="00132FDB"/>
    <w:rsid w:val="0013319F"/>
    <w:rsid w:val="00134090"/>
    <w:rsid w:val="001341E7"/>
    <w:rsid w:val="001342FD"/>
    <w:rsid w:val="00134716"/>
    <w:rsid w:val="0013548F"/>
    <w:rsid w:val="00136BF2"/>
    <w:rsid w:val="00136CD2"/>
    <w:rsid w:val="001373A2"/>
    <w:rsid w:val="00137BB7"/>
    <w:rsid w:val="0014035C"/>
    <w:rsid w:val="0014035D"/>
    <w:rsid w:val="001405A0"/>
    <w:rsid w:val="001413BB"/>
    <w:rsid w:val="0014206B"/>
    <w:rsid w:val="001427C8"/>
    <w:rsid w:val="00143085"/>
    <w:rsid w:val="001433AB"/>
    <w:rsid w:val="001438E3"/>
    <w:rsid w:val="00144EB4"/>
    <w:rsid w:val="00144FF0"/>
    <w:rsid w:val="00147803"/>
    <w:rsid w:val="00147A4D"/>
    <w:rsid w:val="00147B83"/>
    <w:rsid w:val="00150944"/>
    <w:rsid w:val="00150D95"/>
    <w:rsid w:val="0015179F"/>
    <w:rsid w:val="00152483"/>
    <w:rsid w:val="00152C16"/>
    <w:rsid w:val="00152D1D"/>
    <w:rsid w:val="00152FF5"/>
    <w:rsid w:val="00153271"/>
    <w:rsid w:val="0015355C"/>
    <w:rsid w:val="00154177"/>
    <w:rsid w:val="0015423C"/>
    <w:rsid w:val="00154522"/>
    <w:rsid w:val="001548AE"/>
    <w:rsid w:val="001557C1"/>
    <w:rsid w:val="00155D59"/>
    <w:rsid w:val="00156CA2"/>
    <w:rsid w:val="001576C6"/>
    <w:rsid w:val="00161626"/>
    <w:rsid w:val="001616B9"/>
    <w:rsid w:val="00161889"/>
    <w:rsid w:val="00161F44"/>
    <w:rsid w:val="00162A17"/>
    <w:rsid w:val="00162C97"/>
    <w:rsid w:val="00162F34"/>
    <w:rsid w:val="00163192"/>
    <w:rsid w:val="001631CB"/>
    <w:rsid w:val="0016483F"/>
    <w:rsid w:val="00164BDA"/>
    <w:rsid w:val="00164D35"/>
    <w:rsid w:val="001657C8"/>
    <w:rsid w:val="00165C6B"/>
    <w:rsid w:val="001662C7"/>
    <w:rsid w:val="00166729"/>
    <w:rsid w:val="001672A2"/>
    <w:rsid w:val="001678A0"/>
    <w:rsid w:val="00170413"/>
    <w:rsid w:val="001704ED"/>
    <w:rsid w:val="00171838"/>
    <w:rsid w:val="001719A1"/>
    <w:rsid w:val="001720D0"/>
    <w:rsid w:val="00172237"/>
    <w:rsid w:val="00172BF6"/>
    <w:rsid w:val="00173648"/>
    <w:rsid w:val="00173679"/>
    <w:rsid w:val="00175996"/>
    <w:rsid w:val="00175AE3"/>
    <w:rsid w:val="00176695"/>
    <w:rsid w:val="00176DAC"/>
    <w:rsid w:val="00177468"/>
    <w:rsid w:val="0018067E"/>
    <w:rsid w:val="00180BA8"/>
    <w:rsid w:val="00182054"/>
    <w:rsid w:val="00182152"/>
    <w:rsid w:val="001826C7"/>
    <w:rsid w:val="00182AC8"/>
    <w:rsid w:val="00182D31"/>
    <w:rsid w:val="00182DE1"/>
    <w:rsid w:val="0018435A"/>
    <w:rsid w:val="00185187"/>
    <w:rsid w:val="00186A44"/>
    <w:rsid w:val="00186C04"/>
    <w:rsid w:val="00187672"/>
    <w:rsid w:val="0019016E"/>
    <w:rsid w:val="0019054D"/>
    <w:rsid w:val="001907CB"/>
    <w:rsid w:val="00190BF7"/>
    <w:rsid w:val="001918F8"/>
    <w:rsid w:val="00192E3F"/>
    <w:rsid w:val="0019351A"/>
    <w:rsid w:val="001942E5"/>
    <w:rsid w:val="00194E77"/>
    <w:rsid w:val="001951D3"/>
    <w:rsid w:val="00195DF6"/>
    <w:rsid w:val="00196792"/>
    <w:rsid w:val="001969B4"/>
    <w:rsid w:val="001978D3"/>
    <w:rsid w:val="001A01E5"/>
    <w:rsid w:val="001A04E6"/>
    <w:rsid w:val="001A0B2C"/>
    <w:rsid w:val="001A112F"/>
    <w:rsid w:val="001A1CA9"/>
    <w:rsid w:val="001A38C2"/>
    <w:rsid w:val="001A411B"/>
    <w:rsid w:val="001A5425"/>
    <w:rsid w:val="001A59EA"/>
    <w:rsid w:val="001A5B69"/>
    <w:rsid w:val="001A60CE"/>
    <w:rsid w:val="001A6361"/>
    <w:rsid w:val="001B0792"/>
    <w:rsid w:val="001B1880"/>
    <w:rsid w:val="001B357E"/>
    <w:rsid w:val="001B3E06"/>
    <w:rsid w:val="001B423A"/>
    <w:rsid w:val="001B45B5"/>
    <w:rsid w:val="001B5343"/>
    <w:rsid w:val="001B59E3"/>
    <w:rsid w:val="001B657F"/>
    <w:rsid w:val="001B6675"/>
    <w:rsid w:val="001B6C7F"/>
    <w:rsid w:val="001B7D2E"/>
    <w:rsid w:val="001C08C2"/>
    <w:rsid w:val="001C14B1"/>
    <w:rsid w:val="001C1619"/>
    <w:rsid w:val="001C2867"/>
    <w:rsid w:val="001C29DD"/>
    <w:rsid w:val="001C2FF9"/>
    <w:rsid w:val="001C32F6"/>
    <w:rsid w:val="001C3DB6"/>
    <w:rsid w:val="001C4A0B"/>
    <w:rsid w:val="001C52C2"/>
    <w:rsid w:val="001C586A"/>
    <w:rsid w:val="001C5D1B"/>
    <w:rsid w:val="001C5E84"/>
    <w:rsid w:val="001C7101"/>
    <w:rsid w:val="001C7344"/>
    <w:rsid w:val="001C7791"/>
    <w:rsid w:val="001D00C2"/>
    <w:rsid w:val="001D0607"/>
    <w:rsid w:val="001D11CC"/>
    <w:rsid w:val="001D128E"/>
    <w:rsid w:val="001D1312"/>
    <w:rsid w:val="001D1473"/>
    <w:rsid w:val="001D1D7B"/>
    <w:rsid w:val="001D2B74"/>
    <w:rsid w:val="001D37ED"/>
    <w:rsid w:val="001D37F7"/>
    <w:rsid w:val="001D3B2A"/>
    <w:rsid w:val="001D4538"/>
    <w:rsid w:val="001D4938"/>
    <w:rsid w:val="001D5223"/>
    <w:rsid w:val="001D53AA"/>
    <w:rsid w:val="001D585A"/>
    <w:rsid w:val="001D5EAA"/>
    <w:rsid w:val="001D63AC"/>
    <w:rsid w:val="001D7008"/>
    <w:rsid w:val="001E03B9"/>
    <w:rsid w:val="001E0F8B"/>
    <w:rsid w:val="001E11BA"/>
    <w:rsid w:val="001E1267"/>
    <w:rsid w:val="001E1D7E"/>
    <w:rsid w:val="001E2193"/>
    <w:rsid w:val="001E25F5"/>
    <w:rsid w:val="001E292B"/>
    <w:rsid w:val="001E3FD5"/>
    <w:rsid w:val="001E4F9B"/>
    <w:rsid w:val="001E5AFD"/>
    <w:rsid w:val="001E5FC1"/>
    <w:rsid w:val="001E6155"/>
    <w:rsid w:val="001F03D4"/>
    <w:rsid w:val="001F0D41"/>
    <w:rsid w:val="001F1452"/>
    <w:rsid w:val="001F22F3"/>
    <w:rsid w:val="001F2653"/>
    <w:rsid w:val="001F291E"/>
    <w:rsid w:val="001F2FEB"/>
    <w:rsid w:val="001F3389"/>
    <w:rsid w:val="001F352F"/>
    <w:rsid w:val="001F3ACB"/>
    <w:rsid w:val="001F3E37"/>
    <w:rsid w:val="001F45AE"/>
    <w:rsid w:val="001F4C3F"/>
    <w:rsid w:val="001F5175"/>
    <w:rsid w:val="001F52BB"/>
    <w:rsid w:val="001F5405"/>
    <w:rsid w:val="001F57CB"/>
    <w:rsid w:val="001F5EC9"/>
    <w:rsid w:val="001F66F5"/>
    <w:rsid w:val="001F6C8D"/>
    <w:rsid w:val="001F6D55"/>
    <w:rsid w:val="001F7486"/>
    <w:rsid w:val="001F76E2"/>
    <w:rsid w:val="001F7E90"/>
    <w:rsid w:val="00200090"/>
    <w:rsid w:val="0020029E"/>
    <w:rsid w:val="0020105A"/>
    <w:rsid w:val="00201413"/>
    <w:rsid w:val="00201582"/>
    <w:rsid w:val="00202054"/>
    <w:rsid w:val="00202066"/>
    <w:rsid w:val="002023DF"/>
    <w:rsid w:val="00202A63"/>
    <w:rsid w:val="00202E27"/>
    <w:rsid w:val="002034FA"/>
    <w:rsid w:val="00203C10"/>
    <w:rsid w:val="00203D05"/>
    <w:rsid w:val="00204A1A"/>
    <w:rsid w:val="0020529C"/>
    <w:rsid w:val="002055C6"/>
    <w:rsid w:val="00205901"/>
    <w:rsid w:val="00205D90"/>
    <w:rsid w:val="00205FEB"/>
    <w:rsid w:val="0020654F"/>
    <w:rsid w:val="002066F5"/>
    <w:rsid w:val="0020688E"/>
    <w:rsid w:val="00206DFD"/>
    <w:rsid w:val="00207DE5"/>
    <w:rsid w:val="00210484"/>
    <w:rsid w:val="00211441"/>
    <w:rsid w:val="002114B0"/>
    <w:rsid w:val="00212A0D"/>
    <w:rsid w:val="0021410E"/>
    <w:rsid w:val="0021415C"/>
    <w:rsid w:val="002148A0"/>
    <w:rsid w:val="002156E1"/>
    <w:rsid w:val="002162F8"/>
    <w:rsid w:val="00216BC2"/>
    <w:rsid w:val="00217168"/>
    <w:rsid w:val="00217824"/>
    <w:rsid w:val="002207FB"/>
    <w:rsid w:val="00220CC3"/>
    <w:rsid w:val="00221274"/>
    <w:rsid w:val="00221ABD"/>
    <w:rsid w:val="00222665"/>
    <w:rsid w:val="00222E2B"/>
    <w:rsid w:val="00222E8C"/>
    <w:rsid w:val="00222F26"/>
    <w:rsid w:val="00222F6A"/>
    <w:rsid w:val="002230C5"/>
    <w:rsid w:val="00224495"/>
    <w:rsid w:val="00224502"/>
    <w:rsid w:val="00224A65"/>
    <w:rsid w:val="0022534E"/>
    <w:rsid w:val="002253B8"/>
    <w:rsid w:val="00225530"/>
    <w:rsid w:val="002255CA"/>
    <w:rsid w:val="00225BF0"/>
    <w:rsid w:val="00225F00"/>
    <w:rsid w:val="00225F31"/>
    <w:rsid w:val="00225FFD"/>
    <w:rsid w:val="0022648B"/>
    <w:rsid w:val="00227525"/>
    <w:rsid w:val="00227675"/>
    <w:rsid w:val="002277FB"/>
    <w:rsid w:val="00227ECB"/>
    <w:rsid w:val="00227EDE"/>
    <w:rsid w:val="00230395"/>
    <w:rsid w:val="0023093B"/>
    <w:rsid w:val="00230E18"/>
    <w:rsid w:val="00230E53"/>
    <w:rsid w:val="00231044"/>
    <w:rsid w:val="00232F3C"/>
    <w:rsid w:val="00232F81"/>
    <w:rsid w:val="00233212"/>
    <w:rsid w:val="00233A1A"/>
    <w:rsid w:val="00233F84"/>
    <w:rsid w:val="00234E60"/>
    <w:rsid w:val="00235468"/>
    <w:rsid w:val="002355D6"/>
    <w:rsid w:val="00235FFA"/>
    <w:rsid w:val="0023770B"/>
    <w:rsid w:val="002377B2"/>
    <w:rsid w:val="00237B2D"/>
    <w:rsid w:val="00237C7B"/>
    <w:rsid w:val="00237FFE"/>
    <w:rsid w:val="0024015D"/>
    <w:rsid w:val="002401DE"/>
    <w:rsid w:val="00240E80"/>
    <w:rsid w:val="00240F68"/>
    <w:rsid w:val="00241F01"/>
    <w:rsid w:val="00242559"/>
    <w:rsid w:val="0024324D"/>
    <w:rsid w:val="002434BB"/>
    <w:rsid w:val="0024356A"/>
    <w:rsid w:val="0024401D"/>
    <w:rsid w:val="0024483A"/>
    <w:rsid w:val="00245A16"/>
    <w:rsid w:val="00245BA5"/>
    <w:rsid w:val="00245EFD"/>
    <w:rsid w:val="00246341"/>
    <w:rsid w:val="002464B0"/>
    <w:rsid w:val="00246703"/>
    <w:rsid w:val="00246897"/>
    <w:rsid w:val="00246B83"/>
    <w:rsid w:val="00246EF8"/>
    <w:rsid w:val="00247083"/>
    <w:rsid w:val="00247369"/>
    <w:rsid w:val="00247A19"/>
    <w:rsid w:val="00247BD1"/>
    <w:rsid w:val="002501B8"/>
    <w:rsid w:val="002506B2"/>
    <w:rsid w:val="00250777"/>
    <w:rsid w:val="002507A4"/>
    <w:rsid w:val="00250CB4"/>
    <w:rsid w:val="00250D92"/>
    <w:rsid w:val="0025189E"/>
    <w:rsid w:val="00252428"/>
    <w:rsid w:val="00252738"/>
    <w:rsid w:val="00254808"/>
    <w:rsid w:val="00254838"/>
    <w:rsid w:val="0025566E"/>
    <w:rsid w:val="002558A6"/>
    <w:rsid w:val="002559D3"/>
    <w:rsid w:val="00256369"/>
    <w:rsid w:val="002565C9"/>
    <w:rsid w:val="00257428"/>
    <w:rsid w:val="00257B9A"/>
    <w:rsid w:val="00257E7D"/>
    <w:rsid w:val="00257F65"/>
    <w:rsid w:val="00260066"/>
    <w:rsid w:val="00260211"/>
    <w:rsid w:val="00260611"/>
    <w:rsid w:val="002607AA"/>
    <w:rsid w:val="00260B77"/>
    <w:rsid w:val="00260FFD"/>
    <w:rsid w:val="00262438"/>
    <w:rsid w:val="00262E12"/>
    <w:rsid w:val="00263236"/>
    <w:rsid w:val="00263B4B"/>
    <w:rsid w:val="00264730"/>
    <w:rsid w:val="002648FD"/>
    <w:rsid w:val="00264A85"/>
    <w:rsid w:val="00264E1F"/>
    <w:rsid w:val="002651AC"/>
    <w:rsid w:val="002659B6"/>
    <w:rsid w:val="0026619D"/>
    <w:rsid w:val="00267062"/>
    <w:rsid w:val="00267C60"/>
    <w:rsid w:val="00267DFF"/>
    <w:rsid w:val="0027078E"/>
    <w:rsid w:val="00270C94"/>
    <w:rsid w:val="00271729"/>
    <w:rsid w:val="002720B3"/>
    <w:rsid w:val="00272DC9"/>
    <w:rsid w:val="00273335"/>
    <w:rsid w:val="0027335B"/>
    <w:rsid w:val="002756E3"/>
    <w:rsid w:val="002758FB"/>
    <w:rsid w:val="00275B2D"/>
    <w:rsid w:val="002760C2"/>
    <w:rsid w:val="002766E2"/>
    <w:rsid w:val="002772BC"/>
    <w:rsid w:val="00277BDD"/>
    <w:rsid w:val="00277D82"/>
    <w:rsid w:val="00277EF7"/>
    <w:rsid w:val="00277FBC"/>
    <w:rsid w:val="002803F9"/>
    <w:rsid w:val="0028062A"/>
    <w:rsid w:val="002810E7"/>
    <w:rsid w:val="002820A8"/>
    <w:rsid w:val="00282308"/>
    <w:rsid w:val="00282D44"/>
    <w:rsid w:val="00282F0E"/>
    <w:rsid w:val="0028313A"/>
    <w:rsid w:val="00283D15"/>
    <w:rsid w:val="00284108"/>
    <w:rsid w:val="002843A0"/>
    <w:rsid w:val="00286418"/>
    <w:rsid w:val="00286767"/>
    <w:rsid w:val="002867C4"/>
    <w:rsid w:val="00286909"/>
    <w:rsid w:val="00286BB7"/>
    <w:rsid w:val="0028788D"/>
    <w:rsid w:val="00287BF3"/>
    <w:rsid w:val="00291423"/>
    <w:rsid w:val="00291D9C"/>
    <w:rsid w:val="0029284F"/>
    <w:rsid w:val="00292ECC"/>
    <w:rsid w:val="00293021"/>
    <w:rsid w:val="00293344"/>
    <w:rsid w:val="00293DDC"/>
    <w:rsid w:val="00294231"/>
    <w:rsid w:val="00294E02"/>
    <w:rsid w:val="00295764"/>
    <w:rsid w:val="00296398"/>
    <w:rsid w:val="00296619"/>
    <w:rsid w:val="00296945"/>
    <w:rsid w:val="00296A4A"/>
    <w:rsid w:val="00296DF2"/>
    <w:rsid w:val="00296F76"/>
    <w:rsid w:val="002978BC"/>
    <w:rsid w:val="002A089B"/>
    <w:rsid w:val="002A0A20"/>
    <w:rsid w:val="002A1557"/>
    <w:rsid w:val="002A1676"/>
    <w:rsid w:val="002A211C"/>
    <w:rsid w:val="002A2129"/>
    <w:rsid w:val="002A2868"/>
    <w:rsid w:val="002A3863"/>
    <w:rsid w:val="002A3B32"/>
    <w:rsid w:val="002A4138"/>
    <w:rsid w:val="002A4DCF"/>
    <w:rsid w:val="002A5AF3"/>
    <w:rsid w:val="002A5D20"/>
    <w:rsid w:val="002A6A61"/>
    <w:rsid w:val="002A7339"/>
    <w:rsid w:val="002A76DA"/>
    <w:rsid w:val="002A796A"/>
    <w:rsid w:val="002A7B4A"/>
    <w:rsid w:val="002A7EC8"/>
    <w:rsid w:val="002B07B6"/>
    <w:rsid w:val="002B0BDF"/>
    <w:rsid w:val="002B14DB"/>
    <w:rsid w:val="002B1D1E"/>
    <w:rsid w:val="002B27AA"/>
    <w:rsid w:val="002B2D43"/>
    <w:rsid w:val="002B2F3C"/>
    <w:rsid w:val="002B3582"/>
    <w:rsid w:val="002B3641"/>
    <w:rsid w:val="002B3B5C"/>
    <w:rsid w:val="002B3C17"/>
    <w:rsid w:val="002B51CB"/>
    <w:rsid w:val="002B549B"/>
    <w:rsid w:val="002B5D18"/>
    <w:rsid w:val="002B663C"/>
    <w:rsid w:val="002B6A0C"/>
    <w:rsid w:val="002B6EB6"/>
    <w:rsid w:val="002C008E"/>
    <w:rsid w:val="002C04B2"/>
    <w:rsid w:val="002C126F"/>
    <w:rsid w:val="002C1BE1"/>
    <w:rsid w:val="002C215F"/>
    <w:rsid w:val="002C29F2"/>
    <w:rsid w:val="002C3716"/>
    <w:rsid w:val="002C3B96"/>
    <w:rsid w:val="002C4392"/>
    <w:rsid w:val="002C4427"/>
    <w:rsid w:val="002C4F05"/>
    <w:rsid w:val="002C5055"/>
    <w:rsid w:val="002C626F"/>
    <w:rsid w:val="002C70C8"/>
    <w:rsid w:val="002C75A1"/>
    <w:rsid w:val="002D00EA"/>
    <w:rsid w:val="002D14A6"/>
    <w:rsid w:val="002D15A5"/>
    <w:rsid w:val="002D161E"/>
    <w:rsid w:val="002D17ED"/>
    <w:rsid w:val="002D31C8"/>
    <w:rsid w:val="002D335F"/>
    <w:rsid w:val="002D34E3"/>
    <w:rsid w:val="002D3D7E"/>
    <w:rsid w:val="002D41D5"/>
    <w:rsid w:val="002D5555"/>
    <w:rsid w:val="002D6649"/>
    <w:rsid w:val="002D689A"/>
    <w:rsid w:val="002D784E"/>
    <w:rsid w:val="002E00FB"/>
    <w:rsid w:val="002E05B5"/>
    <w:rsid w:val="002E068C"/>
    <w:rsid w:val="002E0721"/>
    <w:rsid w:val="002E0C20"/>
    <w:rsid w:val="002E0FAB"/>
    <w:rsid w:val="002E1899"/>
    <w:rsid w:val="002E1A81"/>
    <w:rsid w:val="002E2838"/>
    <w:rsid w:val="002E3277"/>
    <w:rsid w:val="002E3625"/>
    <w:rsid w:val="002E3A60"/>
    <w:rsid w:val="002E4397"/>
    <w:rsid w:val="002E4E84"/>
    <w:rsid w:val="002E4EE9"/>
    <w:rsid w:val="002E643A"/>
    <w:rsid w:val="002E695F"/>
    <w:rsid w:val="002E6E39"/>
    <w:rsid w:val="002F00F3"/>
    <w:rsid w:val="002F043C"/>
    <w:rsid w:val="002F0AA0"/>
    <w:rsid w:val="002F0B6A"/>
    <w:rsid w:val="002F1D86"/>
    <w:rsid w:val="002F2314"/>
    <w:rsid w:val="002F2398"/>
    <w:rsid w:val="002F2497"/>
    <w:rsid w:val="002F269A"/>
    <w:rsid w:val="002F2C68"/>
    <w:rsid w:val="002F31AA"/>
    <w:rsid w:val="002F386E"/>
    <w:rsid w:val="002F446D"/>
    <w:rsid w:val="002F492F"/>
    <w:rsid w:val="002F4AF8"/>
    <w:rsid w:val="002F5005"/>
    <w:rsid w:val="002F5C2C"/>
    <w:rsid w:val="002F66DB"/>
    <w:rsid w:val="002F6D0C"/>
    <w:rsid w:val="002F79B9"/>
    <w:rsid w:val="002F7A30"/>
    <w:rsid w:val="003009B8"/>
    <w:rsid w:val="00300A6A"/>
    <w:rsid w:val="00300E34"/>
    <w:rsid w:val="00300EB9"/>
    <w:rsid w:val="00300F45"/>
    <w:rsid w:val="00301C60"/>
    <w:rsid w:val="0030213F"/>
    <w:rsid w:val="00303A1F"/>
    <w:rsid w:val="00303A89"/>
    <w:rsid w:val="00304B9D"/>
    <w:rsid w:val="00304D3A"/>
    <w:rsid w:val="003050CF"/>
    <w:rsid w:val="00306549"/>
    <w:rsid w:val="003067BC"/>
    <w:rsid w:val="00306DA5"/>
    <w:rsid w:val="00307BB9"/>
    <w:rsid w:val="00310D63"/>
    <w:rsid w:val="0031242D"/>
    <w:rsid w:val="003129A0"/>
    <w:rsid w:val="00313457"/>
    <w:rsid w:val="00313681"/>
    <w:rsid w:val="00313A0B"/>
    <w:rsid w:val="00313E24"/>
    <w:rsid w:val="003142B8"/>
    <w:rsid w:val="0031438C"/>
    <w:rsid w:val="0031466B"/>
    <w:rsid w:val="003159A9"/>
    <w:rsid w:val="00315EF7"/>
    <w:rsid w:val="00316619"/>
    <w:rsid w:val="003173D4"/>
    <w:rsid w:val="003174B2"/>
    <w:rsid w:val="00317D63"/>
    <w:rsid w:val="00320EBE"/>
    <w:rsid w:val="00322717"/>
    <w:rsid w:val="00324BB9"/>
    <w:rsid w:val="00325766"/>
    <w:rsid w:val="00325DAA"/>
    <w:rsid w:val="00325FAE"/>
    <w:rsid w:val="003271FE"/>
    <w:rsid w:val="003303A7"/>
    <w:rsid w:val="003314D1"/>
    <w:rsid w:val="00331CE8"/>
    <w:rsid w:val="00331E42"/>
    <w:rsid w:val="00332003"/>
    <w:rsid w:val="003321B4"/>
    <w:rsid w:val="00332C37"/>
    <w:rsid w:val="00333457"/>
    <w:rsid w:val="00333573"/>
    <w:rsid w:val="0033474E"/>
    <w:rsid w:val="00335525"/>
    <w:rsid w:val="00335F64"/>
    <w:rsid w:val="003365A1"/>
    <w:rsid w:val="003369E3"/>
    <w:rsid w:val="00336E20"/>
    <w:rsid w:val="00337764"/>
    <w:rsid w:val="00337CC0"/>
    <w:rsid w:val="00337E66"/>
    <w:rsid w:val="0034046C"/>
    <w:rsid w:val="0034159E"/>
    <w:rsid w:val="0034172B"/>
    <w:rsid w:val="003418CC"/>
    <w:rsid w:val="00341924"/>
    <w:rsid w:val="00341C64"/>
    <w:rsid w:val="003423C5"/>
    <w:rsid w:val="00342CB1"/>
    <w:rsid w:val="00343045"/>
    <w:rsid w:val="003431F8"/>
    <w:rsid w:val="003435E7"/>
    <w:rsid w:val="0034377F"/>
    <w:rsid w:val="00343F31"/>
    <w:rsid w:val="00344154"/>
    <w:rsid w:val="00344C66"/>
    <w:rsid w:val="00344F47"/>
    <w:rsid w:val="0034501E"/>
    <w:rsid w:val="00345C9E"/>
    <w:rsid w:val="00346500"/>
    <w:rsid w:val="00346B2F"/>
    <w:rsid w:val="00346FC1"/>
    <w:rsid w:val="003470C2"/>
    <w:rsid w:val="0034710C"/>
    <w:rsid w:val="00347ED7"/>
    <w:rsid w:val="00350203"/>
    <w:rsid w:val="00350943"/>
    <w:rsid w:val="003531DF"/>
    <w:rsid w:val="00353677"/>
    <w:rsid w:val="00354228"/>
    <w:rsid w:val="0035428C"/>
    <w:rsid w:val="003544A4"/>
    <w:rsid w:val="00354C3F"/>
    <w:rsid w:val="0035523C"/>
    <w:rsid w:val="0035595A"/>
    <w:rsid w:val="00356CE2"/>
    <w:rsid w:val="003575BF"/>
    <w:rsid w:val="00357AC1"/>
    <w:rsid w:val="00357D26"/>
    <w:rsid w:val="003603A0"/>
    <w:rsid w:val="00360F80"/>
    <w:rsid w:val="003614BA"/>
    <w:rsid w:val="00361BC6"/>
    <w:rsid w:val="00361F21"/>
    <w:rsid w:val="00362261"/>
    <w:rsid w:val="00362467"/>
    <w:rsid w:val="00362915"/>
    <w:rsid w:val="00363048"/>
    <w:rsid w:val="003632EF"/>
    <w:rsid w:val="00363448"/>
    <w:rsid w:val="003636AF"/>
    <w:rsid w:val="003640BF"/>
    <w:rsid w:val="0036448D"/>
    <w:rsid w:val="003646F1"/>
    <w:rsid w:val="00365D49"/>
    <w:rsid w:val="00366159"/>
    <w:rsid w:val="00366940"/>
    <w:rsid w:val="00366A92"/>
    <w:rsid w:val="00366F26"/>
    <w:rsid w:val="00367DEB"/>
    <w:rsid w:val="00370046"/>
    <w:rsid w:val="00370631"/>
    <w:rsid w:val="003706EB"/>
    <w:rsid w:val="00371717"/>
    <w:rsid w:val="00371893"/>
    <w:rsid w:val="003718B9"/>
    <w:rsid w:val="00371972"/>
    <w:rsid w:val="003723FD"/>
    <w:rsid w:val="003724D1"/>
    <w:rsid w:val="0037315B"/>
    <w:rsid w:val="003731E7"/>
    <w:rsid w:val="00373781"/>
    <w:rsid w:val="003739D9"/>
    <w:rsid w:val="00373DAC"/>
    <w:rsid w:val="0037446D"/>
    <w:rsid w:val="00374A3F"/>
    <w:rsid w:val="00374F68"/>
    <w:rsid w:val="003751C9"/>
    <w:rsid w:val="0037558E"/>
    <w:rsid w:val="00375FDC"/>
    <w:rsid w:val="003762C9"/>
    <w:rsid w:val="00376DDE"/>
    <w:rsid w:val="003772B5"/>
    <w:rsid w:val="00377809"/>
    <w:rsid w:val="0037794C"/>
    <w:rsid w:val="003779AF"/>
    <w:rsid w:val="003801D1"/>
    <w:rsid w:val="00381E0D"/>
    <w:rsid w:val="00382E2F"/>
    <w:rsid w:val="003841DA"/>
    <w:rsid w:val="00384C34"/>
    <w:rsid w:val="00384F23"/>
    <w:rsid w:val="00385031"/>
    <w:rsid w:val="0038529E"/>
    <w:rsid w:val="00385561"/>
    <w:rsid w:val="00385C0E"/>
    <w:rsid w:val="00385DEA"/>
    <w:rsid w:val="00386028"/>
    <w:rsid w:val="00386974"/>
    <w:rsid w:val="00386C9A"/>
    <w:rsid w:val="0038750A"/>
    <w:rsid w:val="003875AD"/>
    <w:rsid w:val="00387936"/>
    <w:rsid w:val="00387D07"/>
    <w:rsid w:val="003902C9"/>
    <w:rsid w:val="00391D49"/>
    <w:rsid w:val="00391FC9"/>
    <w:rsid w:val="0039212B"/>
    <w:rsid w:val="00392C03"/>
    <w:rsid w:val="0039337A"/>
    <w:rsid w:val="00393475"/>
    <w:rsid w:val="00393781"/>
    <w:rsid w:val="00394507"/>
    <w:rsid w:val="0039459C"/>
    <w:rsid w:val="00394D57"/>
    <w:rsid w:val="00394E36"/>
    <w:rsid w:val="003951B4"/>
    <w:rsid w:val="00395336"/>
    <w:rsid w:val="0039556F"/>
    <w:rsid w:val="0039593F"/>
    <w:rsid w:val="00395E4D"/>
    <w:rsid w:val="003967A9"/>
    <w:rsid w:val="00396846"/>
    <w:rsid w:val="00396D95"/>
    <w:rsid w:val="003972A6"/>
    <w:rsid w:val="00397365"/>
    <w:rsid w:val="00397D2F"/>
    <w:rsid w:val="003A0DE6"/>
    <w:rsid w:val="003A28FE"/>
    <w:rsid w:val="003A3B55"/>
    <w:rsid w:val="003A51DB"/>
    <w:rsid w:val="003A548E"/>
    <w:rsid w:val="003A62D3"/>
    <w:rsid w:val="003A664D"/>
    <w:rsid w:val="003A6CB7"/>
    <w:rsid w:val="003A71D8"/>
    <w:rsid w:val="003A736B"/>
    <w:rsid w:val="003A77F8"/>
    <w:rsid w:val="003A7DB5"/>
    <w:rsid w:val="003B133F"/>
    <w:rsid w:val="003B172C"/>
    <w:rsid w:val="003B1958"/>
    <w:rsid w:val="003B2BA3"/>
    <w:rsid w:val="003B2FE1"/>
    <w:rsid w:val="003B349A"/>
    <w:rsid w:val="003B364A"/>
    <w:rsid w:val="003B37D1"/>
    <w:rsid w:val="003B39A6"/>
    <w:rsid w:val="003B3F70"/>
    <w:rsid w:val="003B43B1"/>
    <w:rsid w:val="003B4729"/>
    <w:rsid w:val="003B5225"/>
    <w:rsid w:val="003B5EA0"/>
    <w:rsid w:val="003B69AC"/>
    <w:rsid w:val="003B719B"/>
    <w:rsid w:val="003B719F"/>
    <w:rsid w:val="003B7200"/>
    <w:rsid w:val="003B73A4"/>
    <w:rsid w:val="003C04E3"/>
    <w:rsid w:val="003C3A50"/>
    <w:rsid w:val="003C3EA5"/>
    <w:rsid w:val="003C4253"/>
    <w:rsid w:val="003C4375"/>
    <w:rsid w:val="003C4602"/>
    <w:rsid w:val="003C512F"/>
    <w:rsid w:val="003C5169"/>
    <w:rsid w:val="003C7304"/>
    <w:rsid w:val="003D094E"/>
    <w:rsid w:val="003D0ED1"/>
    <w:rsid w:val="003D215B"/>
    <w:rsid w:val="003D2C1C"/>
    <w:rsid w:val="003D390D"/>
    <w:rsid w:val="003D3BBB"/>
    <w:rsid w:val="003D4103"/>
    <w:rsid w:val="003D463C"/>
    <w:rsid w:val="003D4BC0"/>
    <w:rsid w:val="003D4CDD"/>
    <w:rsid w:val="003D5449"/>
    <w:rsid w:val="003D5F34"/>
    <w:rsid w:val="003D6DB0"/>
    <w:rsid w:val="003D6E96"/>
    <w:rsid w:val="003D7015"/>
    <w:rsid w:val="003D7B3E"/>
    <w:rsid w:val="003D7E41"/>
    <w:rsid w:val="003E0060"/>
    <w:rsid w:val="003E0955"/>
    <w:rsid w:val="003E09C2"/>
    <w:rsid w:val="003E0B06"/>
    <w:rsid w:val="003E0C85"/>
    <w:rsid w:val="003E1319"/>
    <w:rsid w:val="003E213A"/>
    <w:rsid w:val="003E306E"/>
    <w:rsid w:val="003E39F6"/>
    <w:rsid w:val="003E3A04"/>
    <w:rsid w:val="003E3EED"/>
    <w:rsid w:val="003E4331"/>
    <w:rsid w:val="003E4653"/>
    <w:rsid w:val="003E4AA7"/>
    <w:rsid w:val="003E4F3C"/>
    <w:rsid w:val="003E504D"/>
    <w:rsid w:val="003E5A0D"/>
    <w:rsid w:val="003E61EF"/>
    <w:rsid w:val="003E7B0B"/>
    <w:rsid w:val="003F02B7"/>
    <w:rsid w:val="003F06A6"/>
    <w:rsid w:val="003F098E"/>
    <w:rsid w:val="003F244A"/>
    <w:rsid w:val="003F3D91"/>
    <w:rsid w:val="003F44ED"/>
    <w:rsid w:val="003F45B3"/>
    <w:rsid w:val="003F45D7"/>
    <w:rsid w:val="003F4918"/>
    <w:rsid w:val="003F4BA4"/>
    <w:rsid w:val="003F50B9"/>
    <w:rsid w:val="003F51F4"/>
    <w:rsid w:val="003F5949"/>
    <w:rsid w:val="003F62F7"/>
    <w:rsid w:val="003F631F"/>
    <w:rsid w:val="003F6B49"/>
    <w:rsid w:val="003F6D38"/>
    <w:rsid w:val="004003E6"/>
    <w:rsid w:val="004019DD"/>
    <w:rsid w:val="00401E39"/>
    <w:rsid w:val="00402309"/>
    <w:rsid w:val="004028BD"/>
    <w:rsid w:val="004034EF"/>
    <w:rsid w:val="00404DEA"/>
    <w:rsid w:val="00404E0C"/>
    <w:rsid w:val="004053D4"/>
    <w:rsid w:val="00405E4A"/>
    <w:rsid w:val="00405F1A"/>
    <w:rsid w:val="00405F64"/>
    <w:rsid w:val="00406025"/>
    <w:rsid w:val="004060E5"/>
    <w:rsid w:val="00406A31"/>
    <w:rsid w:val="00407699"/>
    <w:rsid w:val="004104BC"/>
    <w:rsid w:val="0041064E"/>
    <w:rsid w:val="004117DC"/>
    <w:rsid w:val="00412BC1"/>
    <w:rsid w:val="0041309F"/>
    <w:rsid w:val="004134F9"/>
    <w:rsid w:val="00414163"/>
    <w:rsid w:val="0041526B"/>
    <w:rsid w:val="004155EA"/>
    <w:rsid w:val="00415766"/>
    <w:rsid w:val="0041582B"/>
    <w:rsid w:val="004160EE"/>
    <w:rsid w:val="00416498"/>
    <w:rsid w:val="00416E55"/>
    <w:rsid w:val="00420766"/>
    <w:rsid w:val="00420BFB"/>
    <w:rsid w:val="00420EE5"/>
    <w:rsid w:val="00421802"/>
    <w:rsid w:val="00421B3C"/>
    <w:rsid w:val="0042202D"/>
    <w:rsid w:val="00422B2E"/>
    <w:rsid w:val="004233E2"/>
    <w:rsid w:val="00423AE2"/>
    <w:rsid w:val="004244D0"/>
    <w:rsid w:val="00424A01"/>
    <w:rsid w:val="00424B9D"/>
    <w:rsid w:val="00424E2C"/>
    <w:rsid w:val="0042504C"/>
    <w:rsid w:val="00425D75"/>
    <w:rsid w:val="00427800"/>
    <w:rsid w:val="004301A7"/>
    <w:rsid w:val="004302D6"/>
    <w:rsid w:val="00430C81"/>
    <w:rsid w:val="004313C0"/>
    <w:rsid w:val="00432352"/>
    <w:rsid w:val="004329B7"/>
    <w:rsid w:val="0043328C"/>
    <w:rsid w:val="004335A4"/>
    <w:rsid w:val="004336D9"/>
    <w:rsid w:val="004338DC"/>
    <w:rsid w:val="0043451E"/>
    <w:rsid w:val="00434688"/>
    <w:rsid w:val="004349A2"/>
    <w:rsid w:val="00435C15"/>
    <w:rsid w:val="004361D3"/>
    <w:rsid w:val="004368E1"/>
    <w:rsid w:val="004369B7"/>
    <w:rsid w:val="00437619"/>
    <w:rsid w:val="00437D07"/>
    <w:rsid w:val="00440028"/>
    <w:rsid w:val="00440B90"/>
    <w:rsid w:val="00443680"/>
    <w:rsid w:val="00444953"/>
    <w:rsid w:val="00445006"/>
    <w:rsid w:val="004453AB"/>
    <w:rsid w:val="00445688"/>
    <w:rsid w:val="004458BA"/>
    <w:rsid w:val="0044594F"/>
    <w:rsid w:val="00445BFA"/>
    <w:rsid w:val="004464F5"/>
    <w:rsid w:val="00446C7B"/>
    <w:rsid w:val="004472B7"/>
    <w:rsid w:val="0044796D"/>
    <w:rsid w:val="004500C6"/>
    <w:rsid w:val="00450A56"/>
    <w:rsid w:val="00451C68"/>
    <w:rsid w:val="004522CD"/>
    <w:rsid w:val="004526F9"/>
    <w:rsid w:val="0045271D"/>
    <w:rsid w:val="00452F22"/>
    <w:rsid w:val="00453020"/>
    <w:rsid w:val="0045361C"/>
    <w:rsid w:val="00453721"/>
    <w:rsid w:val="00453E69"/>
    <w:rsid w:val="004544EF"/>
    <w:rsid w:val="00454F26"/>
    <w:rsid w:val="004556B5"/>
    <w:rsid w:val="00455935"/>
    <w:rsid w:val="00455E21"/>
    <w:rsid w:val="00456141"/>
    <w:rsid w:val="00456165"/>
    <w:rsid w:val="00456702"/>
    <w:rsid w:val="0046026E"/>
    <w:rsid w:val="0046038F"/>
    <w:rsid w:val="004612C2"/>
    <w:rsid w:val="00461937"/>
    <w:rsid w:val="004621A7"/>
    <w:rsid w:val="00462CEC"/>
    <w:rsid w:val="00463385"/>
    <w:rsid w:val="00463E75"/>
    <w:rsid w:val="0046453B"/>
    <w:rsid w:val="00464948"/>
    <w:rsid w:val="00464A22"/>
    <w:rsid w:val="00466528"/>
    <w:rsid w:val="00470A42"/>
    <w:rsid w:val="00470D2D"/>
    <w:rsid w:val="00470ECD"/>
    <w:rsid w:val="00470F59"/>
    <w:rsid w:val="00471A5C"/>
    <w:rsid w:val="004727FB"/>
    <w:rsid w:val="00472AB2"/>
    <w:rsid w:val="0047308D"/>
    <w:rsid w:val="00473977"/>
    <w:rsid w:val="00474076"/>
    <w:rsid w:val="004748CC"/>
    <w:rsid w:val="00474E15"/>
    <w:rsid w:val="00475C00"/>
    <w:rsid w:val="00476FBD"/>
    <w:rsid w:val="00477386"/>
    <w:rsid w:val="00480A4B"/>
    <w:rsid w:val="004810A4"/>
    <w:rsid w:val="004813AC"/>
    <w:rsid w:val="00482884"/>
    <w:rsid w:val="0048391A"/>
    <w:rsid w:val="00483B55"/>
    <w:rsid w:val="0048437C"/>
    <w:rsid w:val="00484AA8"/>
    <w:rsid w:val="00485285"/>
    <w:rsid w:val="004856BA"/>
    <w:rsid w:val="004858C2"/>
    <w:rsid w:val="00485935"/>
    <w:rsid w:val="004864E7"/>
    <w:rsid w:val="00486F28"/>
    <w:rsid w:val="00487154"/>
    <w:rsid w:val="004875E2"/>
    <w:rsid w:val="00487CBA"/>
    <w:rsid w:val="00490BAF"/>
    <w:rsid w:val="00490BC7"/>
    <w:rsid w:val="00490F50"/>
    <w:rsid w:val="00492100"/>
    <w:rsid w:val="00492568"/>
    <w:rsid w:val="004928E9"/>
    <w:rsid w:val="00492F90"/>
    <w:rsid w:val="00493056"/>
    <w:rsid w:val="0049371A"/>
    <w:rsid w:val="00493762"/>
    <w:rsid w:val="00493BA3"/>
    <w:rsid w:val="00493DDF"/>
    <w:rsid w:val="004944F3"/>
    <w:rsid w:val="0049462B"/>
    <w:rsid w:val="004952EF"/>
    <w:rsid w:val="00495477"/>
    <w:rsid w:val="00496BD7"/>
    <w:rsid w:val="00497418"/>
    <w:rsid w:val="00497F4E"/>
    <w:rsid w:val="004A02D4"/>
    <w:rsid w:val="004A06E1"/>
    <w:rsid w:val="004A22DA"/>
    <w:rsid w:val="004A23CB"/>
    <w:rsid w:val="004A25C8"/>
    <w:rsid w:val="004A2F1E"/>
    <w:rsid w:val="004A43EA"/>
    <w:rsid w:val="004A47A8"/>
    <w:rsid w:val="004A4D44"/>
    <w:rsid w:val="004A5680"/>
    <w:rsid w:val="004A5AD3"/>
    <w:rsid w:val="004A5F2A"/>
    <w:rsid w:val="004A6299"/>
    <w:rsid w:val="004A645A"/>
    <w:rsid w:val="004A67D2"/>
    <w:rsid w:val="004A6993"/>
    <w:rsid w:val="004A6EBF"/>
    <w:rsid w:val="004A7687"/>
    <w:rsid w:val="004A7E13"/>
    <w:rsid w:val="004B02C8"/>
    <w:rsid w:val="004B13AB"/>
    <w:rsid w:val="004B18F8"/>
    <w:rsid w:val="004B1969"/>
    <w:rsid w:val="004B1EE2"/>
    <w:rsid w:val="004B2041"/>
    <w:rsid w:val="004B332A"/>
    <w:rsid w:val="004B3466"/>
    <w:rsid w:val="004B3725"/>
    <w:rsid w:val="004B4536"/>
    <w:rsid w:val="004B4A15"/>
    <w:rsid w:val="004B4DFD"/>
    <w:rsid w:val="004B531D"/>
    <w:rsid w:val="004B5C6C"/>
    <w:rsid w:val="004B5F40"/>
    <w:rsid w:val="004B62C1"/>
    <w:rsid w:val="004B68EF"/>
    <w:rsid w:val="004B70BA"/>
    <w:rsid w:val="004B7537"/>
    <w:rsid w:val="004B759F"/>
    <w:rsid w:val="004C0D03"/>
    <w:rsid w:val="004C1239"/>
    <w:rsid w:val="004C153B"/>
    <w:rsid w:val="004C2267"/>
    <w:rsid w:val="004C3007"/>
    <w:rsid w:val="004C3C11"/>
    <w:rsid w:val="004C3D29"/>
    <w:rsid w:val="004C4F54"/>
    <w:rsid w:val="004C52B0"/>
    <w:rsid w:val="004C537F"/>
    <w:rsid w:val="004C5493"/>
    <w:rsid w:val="004C571A"/>
    <w:rsid w:val="004C62D9"/>
    <w:rsid w:val="004C659E"/>
    <w:rsid w:val="004C698A"/>
    <w:rsid w:val="004C7AFD"/>
    <w:rsid w:val="004D0910"/>
    <w:rsid w:val="004D0A28"/>
    <w:rsid w:val="004D0B99"/>
    <w:rsid w:val="004D128F"/>
    <w:rsid w:val="004D131B"/>
    <w:rsid w:val="004D1927"/>
    <w:rsid w:val="004D273F"/>
    <w:rsid w:val="004D2AA4"/>
    <w:rsid w:val="004D2BC0"/>
    <w:rsid w:val="004D324A"/>
    <w:rsid w:val="004D35F9"/>
    <w:rsid w:val="004D474A"/>
    <w:rsid w:val="004D4EFB"/>
    <w:rsid w:val="004D5DCF"/>
    <w:rsid w:val="004D736C"/>
    <w:rsid w:val="004D7CA0"/>
    <w:rsid w:val="004D7F28"/>
    <w:rsid w:val="004E0520"/>
    <w:rsid w:val="004E0A00"/>
    <w:rsid w:val="004E0E88"/>
    <w:rsid w:val="004E1045"/>
    <w:rsid w:val="004E1329"/>
    <w:rsid w:val="004E19A0"/>
    <w:rsid w:val="004E1AB8"/>
    <w:rsid w:val="004E2C1D"/>
    <w:rsid w:val="004E437F"/>
    <w:rsid w:val="004E4D3A"/>
    <w:rsid w:val="004E500B"/>
    <w:rsid w:val="004E56E3"/>
    <w:rsid w:val="004E5B70"/>
    <w:rsid w:val="004E5F10"/>
    <w:rsid w:val="004E6299"/>
    <w:rsid w:val="004E6A05"/>
    <w:rsid w:val="004E6CA1"/>
    <w:rsid w:val="004E71D4"/>
    <w:rsid w:val="004E75E8"/>
    <w:rsid w:val="004E771F"/>
    <w:rsid w:val="004F0189"/>
    <w:rsid w:val="004F0292"/>
    <w:rsid w:val="004F03A9"/>
    <w:rsid w:val="004F0C0D"/>
    <w:rsid w:val="004F0EA5"/>
    <w:rsid w:val="004F10B8"/>
    <w:rsid w:val="004F1371"/>
    <w:rsid w:val="004F19FA"/>
    <w:rsid w:val="004F2F6E"/>
    <w:rsid w:val="004F304A"/>
    <w:rsid w:val="004F3133"/>
    <w:rsid w:val="004F4683"/>
    <w:rsid w:val="004F7922"/>
    <w:rsid w:val="005000A4"/>
    <w:rsid w:val="00500DD9"/>
    <w:rsid w:val="0050129B"/>
    <w:rsid w:val="0050180A"/>
    <w:rsid w:val="005018E4"/>
    <w:rsid w:val="00501E79"/>
    <w:rsid w:val="0050208B"/>
    <w:rsid w:val="00502136"/>
    <w:rsid w:val="00502150"/>
    <w:rsid w:val="00502323"/>
    <w:rsid w:val="00502CDB"/>
    <w:rsid w:val="00502DA6"/>
    <w:rsid w:val="005033B2"/>
    <w:rsid w:val="00503FE4"/>
    <w:rsid w:val="00504DEF"/>
    <w:rsid w:val="0050584B"/>
    <w:rsid w:val="00506DA5"/>
    <w:rsid w:val="00510C40"/>
    <w:rsid w:val="00511460"/>
    <w:rsid w:val="00511511"/>
    <w:rsid w:val="0051182A"/>
    <w:rsid w:val="00511F59"/>
    <w:rsid w:val="00512055"/>
    <w:rsid w:val="00513280"/>
    <w:rsid w:val="00513B53"/>
    <w:rsid w:val="00513FB2"/>
    <w:rsid w:val="00513FD7"/>
    <w:rsid w:val="005140F7"/>
    <w:rsid w:val="005142BC"/>
    <w:rsid w:val="005168EA"/>
    <w:rsid w:val="005202E7"/>
    <w:rsid w:val="005212B4"/>
    <w:rsid w:val="005217D6"/>
    <w:rsid w:val="005224F2"/>
    <w:rsid w:val="00522E04"/>
    <w:rsid w:val="00522FD5"/>
    <w:rsid w:val="00523152"/>
    <w:rsid w:val="005233B5"/>
    <w:rsid w:val="005238DA"/>
    <w:rsid w:val="00523998"/>
    <w:rsid w:val="00523C86"/>
    <w:rsid w:val="00523F7D"/>
    <w:rsid w:val="0052405B"/>
    <w:rsid w:val="005245EB"/>
    <w:rsid w:val="005259BD"/>
    <w:rsid w:val="00525F37"/>
    <w:rsid w:val="00526D91"/>
    <w:rsid w:val="00530055"/>
    <w:rsid w:val="00531C89"/>
    <w:rsid w:val="00531CCC"/>
    <w:rsid w:val="00531D8F"/>
    <w:rsid w:val="00532E4D"/>
    <w:rsid w:val="00533713"/>
    <w:rsid w:val="00533CF4"/>
    <w:rsid w:val="00534924"/>
    <w:rsid w:val="00534ACA"/>
    <w:rsid w:val="005351C3"/>
    <w:rsid w:val="0053622F"/>
    <w:rsid w:val="005363C3"/>
    <w:rsid w:val="00536E9E"/>
    <w:rsid w:val="005378EC"/>
    <w:rsid w:val="00537A3D"/>
    <w:rsid w:val="00540072"/>
    <w:rsid w:val="005402C4"/>
    <w:rsid w:val="005409E3"/>
    <w:rsid w:val="00540B0B"/>
    <w:rsid w:val="00541071"/>
    <w:rsid w:val="0054141E"/>
    <w:rsid w:val="005420FC"/>
    <w:rsid w:val="005423E2"/>
    <w:rsid w:val="005425C8"/>
    <w:rsid w:val="00542914"/>
    <w:rsid w:val="005436DD"/>
    <w:rsid w:val="00543861"/>
    <w:rsid w:val="005438C2"/>
    <w:rsid w:val="0054414A"/>
    <w:rsid w:val="005444FE"/>
    <w:rsid w:val="00544FAE"/>
    <w:rsid w:val="0054504E"/>
    <w:rsid w:val="00545635"/>
    <w:rsid w:val="005459CA"/>
    <w:rsid w:val="00545E83"/>
    <w:rsid w:val="00546F38"/>
    <w:rsid w:val="00546F92"/>
    <w:rsid w:val="0054782F"/>
    <w:rsid w:val="00547F46"/>
    <w:rsid w:val="00550176"/>
    <w:rsid w:val="00550535"/>
    <w:rsid w:val="00550B6D"/>
    <w:rsid w:val="00550D2A"/>
    <w:rsid w:val="00551695"/>
    <w:rsid w:val="00552091"/>
    <w:rsid w:val="00552372"/>
    <w:rsid w:val="00553728"/>
    <w:rsid w:val="00553D37"/>
    <w:rsid w:val="00553F94"/>
    <w:rsid w:val="005557E0"/>
    <w:rsid w:val="00555ACB"/>
    <w:rsid w:val="00556220"/>
    <w:rsid w:val="00556977"/>
    <w:rsid w:val="00556AB8"/>
    <w:rsid w:val="00557696"/>
    <w:rsid w:val="00557B89"/>
    <w:rsid w:val="00557C29"/>
    <w:rsid w:val="00557D37"/>
    <w:rsid w:val="00560354"/>
    <w:rsid w:val="0056070A"/>
    <w:rsid w:val="00561A4E"/>
    <w:rsid w:val="00561AA6"/>
    <w:rsid w:val="00561AF6"/>
    <w:rsid w:val="00561F0B"/>
    <w:rsid w:val="00562535"/>
    <w:rsid w:val="00562E9E"/>
    <w:rsid w:val="00563028"/>
    <w:rsid w:val="00563A33"/>
    <w:rsid w:val="005643B7"/>
    <w:rsid w:val="005644FF"/>
    <w:rsid w:val="00565571"/>
    <w:rsid w:val="005659AD"/>
    <w:rsid w:val="00565A8F"/>
    <w:rsid w:val="00565CFC"/>
    <w:rsid w:val="0056611D"/>
    <w:rsid w:val="00566600"/>
    <w:rsid w:val="005666BA"/>
    <w:rsid w:val="0056682A"/>
    <w:rsid w:val="00566ECF"/>
    <w:rsid w:val="00567A47"/>
    <w:rsid w:val="00567D6B"/>
    <w:rsid w:val="00567E44"/>
    <w:rsid w:val="005704B6"/>
    <w:rsid w:val="00570ABB"/>
    <w:rsid w:val="00570CB9"/>
    <w:rsid w:val="00570D09"/>
    <w:rsid w:val="00570D7B"/>
    <w:rsid w:val="00570FE8"/>
    <w:rsid w:val="0057190E"/>
    <w:rsid w:val="00571A0C"/>
    <w:rsid w:val="00571CEF"/>
    <w:rsid w:val="00571E06"/>
    <w:rsid w:val="005721F2"/>
    <w:rsid w:val="0057249F"/>
    <w:rsid w:val="00572D7E"/>
    <w:rsid w:val="00573044"/>
    <w:rsid w:val="00573319"/>
    <w:rsid w:val="00575C51"/>
    <w:rsid w:val="0057642E"/>
    <w:rsid w:val="00577D54"/>
    <w:rsid w:val="005811A0"/>
    <w:rsid w:val="005815B1"/>
    <w:rsid w:val="005816E0"/>
    <w:rsid w:val="00581A11"/>
    <w:rsid w:val="005825E6"/>
    <w:rsid w:val="00582886"/>
    <w:rsid w:val="00582ACE"/>
    <w:rsid w:val="00582CC0"/>
    <w:rsid w:val="00582E0E"/>
    <w:rsid w:val="00583029"/>
    <w:rsid w:val="00583BE9"/>
    <w:rsid w:val="005845E3"/>
    <w:rsid w:val="005849A9"/>
    <w:rsid w:val="00585ECD"/>
    <w:rsid w:val="00586129"/>
    <w:rsid w:val="005864AD"/>
    <w:rsid w:val="0058668B"/>
    <w:rsid w:val="00586E50"/>
    <w:rsid w:val="00586EFB"/>
    <w:rsid w:val="0058766F"/>
    <w:rsid w:val="0058783F"/>
    <w:rsid w:val="00587CB1"/>
    <w:rsid w:val="00591095"/>
    <w:rsid w:val="00591115"/>
    <w:rsid w:val="00592313"/>
    <w:rsid w:val="00592844"/>
    <w:rsid w:val="00592961"/>
    <w:rsid w:val="00592CD8"/>
    <w:rsid w:val="00593454"/>
    <w:rsid w:val="00593DDB"/>
    <w:rsid w:val="00593F00"/>
    <w:rsid w:val="00594069"/>
    <w:rsid w:val="00594368"/>
    <w:rsid w:val="005944BD"/>
    <w:rsid w:val="005954A2"/>
    <w:rsid w:val="005961B8"/>
    <w:rsid w:val="00596AD1"/>
    <w:rsid w:val="00596C71"/>
    <w:rsid w:val="00596E0A"/>
    <w:rsid w:val="00597858"/>
    <w:rsid w:val="005A0155"/>
    <w:rsid w:val="005A07A5"/>
    <w:rsid w:val="005A0F41"/>
    <w:rsid w:val="005A225E"/>
    <w:rsid w:val="005A22C8"/>
    <w:rsid w:val="005A2562"/>
    <w:rsid w:val="005A2E27"/>
    <w:rsid w:val="005A357F"/>
    <w:rsid w:val="005A4896"/>
    <w:rsid w:val="005A4957"/>
    <w:rsid w:val="005A4981"/>
    <w:rsid w:val="005A4D03"/>
    <w:rsid w:val="005A5015"/>
    <w:rsid w:val="005A5F2D"/>
    <w:rsid w:val="005A616C"/>
    <w:rsid w:val="005A700B"/>
    <w:rsid w:val="005A7057"/>
    <w:rsid w:val="005A7176"/>
    <w:rsid w:val="005A7848"/>
    <w:rsid w:val="005A7C7F"/>
    <w:rsid w:val="005B110E"/>
    <w:rsid w:val="005B1689"/>
    <w:rsid w:val="005B1845"/>
    <w:rsid w:val="005B1D97"/>
    <w:rsid w:val="005B329D"/>
    <w:rsid w:val="005B3300"/>
    <w:rsid w:val="005B331B"/>
    <w:rsid w:val="005B3350"/>
    <w:rsid w:val="005B3427"/>
    <w:rsid w:val="005B400F"/>
    <w:rsid w:val="005B40DE"/>
    <w:rsid w:val="005B472C"/>
    <w:rsid w:val="005B5119"/>
    <w:rsid w:val="005B53ED"/>
    <w:rsid w:val="005B68B6"/>
    <w:rsid w:val="005B6C64"/>
    <w:rsid w:val="005B6F1D"/>
    <w:rsid w:val="005B733D"/>
    <w:rsid w:val="005B73F9"/>
    <w:rsid w:val="005B79EE"/>
    <w:rsid w:val="005B7E9B"/>
    <w:rsid w:val="005C0237"/>
    <w:rsid w:val="005C0697"/>
    <w:rsid w:val="005C0982"/>
    <w:rsid w:val="005C1358"/>
    <w:rsid w:val="005C1893"/>
    <w:rsid w:val="005C1F3D"/>
    <w:rsid w:val="005C1FD4"/>
    <w:rsid w:val="005C2522"/>
    <w:rsid w:val="005C25A1"/>
    <w:rsid w:val="005C36DA"/>
    <w:rsid w:val="005C3A84"/>
    <w:rsid w:val="005C555B"/>
    <w:rsid w:val="005C610D"/>
    <w:rsid w:val="005C6676"/>
    <w:rsid w:val="005C6FCD"/>
    <w:rsid w:val="005C71B2"/>
    <w:rsid w:val="005C7794"/>
    <w:rsid w:val="005C7E0D"/>
    <w:rsid w:val="005D039F"/>
    <w:rsid w:val="005D0738"/>
    <w:rsid w:val="005D0B15"/>
    <w:rsid w:val="005D18D1"/>
    <w:rsid w:val="005D191A"/>
    <w:rsid w:val="005D1FC0"/>
    <w:rsid w:val="005D2107"/>
    <w:rsid w:val="005D2508"/>
    <w:rsid w:val="005D3057"/>
    <w:rsid w:val="005D3E6B"/>
    <w:rsid w:val="005D48E6"/>
    <w:rsid w:val="005D532F"/>
    <w:rsid w:val="005D5AE7"/>
    <w:rsid w:val="005D61F0"/>
    <w:rsid w:val="005D65C3"/>
    <w:rsid w:val="005D69D0"/>
    <w:rsid w:val="005D6BC9"/>
    <w:rsid w:val="005D714B"/>
    <w:rsid w:val="005D7B37"/>
    <w:rsid w:val="005E0ABB"/>
    <w:rsid w:val="005E0D94"/>
    <w:rsid w:val="005E19FC"/>
    <w:rsid w:val="005E3F54"/>
    <w:rsid w:val="005E41EB"/>
    <w:rsid w:val="005E4544"/>
    <w:rsid w:val="005E4BC8"/>
    <w:rsid w:val="005E52C2"/>
    <w:rsid w:val="005E5ABB"/>
    <w:rsid w:val="005E5C3A"/>
    <w:rsid w:val="005E5F8D"/>
    <w:rsid w:val="005E6293"/>
    <w:rsid w:val="005E64A6"/>
    <w:rsid w:val="005E6E05"/>
    <w:rsid w:val="005E7523"/>
    <w:rsid w:val="005F0145"/>
    <w:rsid w:val="005F1B6D"/>
    <w:rsid w:val="005F3146"/>
    <w:rsid w:val="005F37A2"/>
    <w:rsid w:val="005F47A2"/>
    <w:rsid w:val="005F53D4"/>
    <w:rsid w:val="005F5E07"/>
    <w:rsid w:val="005F6310"/>
    <w:rsid w:val="005F7AC3"/>
    <w:rsid w:val="005F7E9C"/>
    <w:rsid w:val="0060028D"/>
    <w:rsid w:val="006013AC"/>
    <w:rsid w:val="00602D37"/>
    <w:rsid w:val="00602F15"/>
    <w:rsid w:val="006037BD"/>
    <w:rsid w:val="00603879"/>
    <w:rsid w:val="00603F76"/>
    <w:rsid w:val="00604182"/>
    <w:rsid w:val="00604B6C"/>
    <w:rsid w:val="00604DC1"/>
    <w:rsid w:val="00605BBB"/>
    <w:rsid w:val="00605C50"/>
    <w:rsid w:val="00606242"/>
    <w:rsid w:val="0060650D"/>
    <w:rsid w:val="00606668"/>
    <w:rsid w:val="00606796"/>
    <w:rsid w:val="00606A4E"/>
    <w:rsid w:val="00607801"/>
    <w:rsid w:val="00607AE0"/>
    <w:rsid w:val="00610522"/>
    <w:rsid w:val="00610E3D"/>
    <w:rsid w:val="00610EE2"/>
    <w:rsid w:val="00611F2C"/>
    <w:rsid w:val="00612AAE"/>
    <w:rsid w:val="00612BB0"/>
    <w:rsid w:val="00613058"/>
    <w:rsid w:val="0061342F"/>
    <w:rsid w:val="006134A6"/>
    <w:rsid w:val="0061383E"/>
    <w:rsid w:val="00613F07"/>
    <w:rsid w:val="00614B06"/>
    <w:rsid w:val="00614B15"/>
    <w:rsid w:val="0061503B"/>
    <w:rsid w:val="00615995"/>
    <w:rsid w:val="00617DA0"/>
    <w:rsid w:val="00617EE1"/>
    <w:rsid w:val="0062003E"/>
    <w:rsid w:val="00620468"/>
    <w:rsid w:val="0062127F"/>
    <w:rsid w:val="00621A12"/>
    <w:rsid w:val="006220EB"/>
    <w:rsid w:val="00622D8E"/>
    <w:rsid w:val="00623598"/>
    <w:rsid w:val="00623748"/>
    <w:rsid w:val="00623A2D"/>
    <w:rsid w:val="00623B9E"/>
    <w:rsid w:val="00623E5B"/>
    <w:rsid w:val="0062462C"/>
    <w:rsid w:val="0062489A"/>
    <w:rsid w:val="00624B5A"/>
    <w:rsid w:val="00624EFC"/>
    <w:rsid w:val="006250CD"/>
    <w:rsid w:val="00625E5B"/>
    <w:rsid w:val="00626CE0"/>
    <w:rsid w:val="00627C81"/>
    <w:rsid w:val="0063062A"/>
    <w:rsid w:val="00630CDA"/>
    <w:rsid w:val="00631015"/>
    <w:rsid w:val="0063216B"/>
    <w:rsid w:val="006321E3"/>
    <w:rsid w:val="00632392"/>
    <w:rsid w:val="0063243C"/>
    <w:rsid w:val="00632B06"/>
    <w:rsid w:val="00632FC8"/>
    <w:rsid w:val="0063354D"/>
    <w:rsid w:val="00633886"/>
    <w:rsid w:val="006349A0"/>
    <w:rsid w:val="00634B50"/>
    <w:rsid w:val="00635642"/>
    <w:rsid w:val="00635A7E"/>
    <w:rsid w:val="00636EAF"/>
    <w:rsid w:val="0063796D"/>
    <w:rsid w:val="00640C79"/>
    <w:rsid w:val="00640DD7"/>
    <w:rsid w:val="00641147"/>
    <w:rsid w:val="00641624"/>
    <w:rsid w:val="00642B0B"/>
    <w:rsid w:val="006431F7"/>
    <w:rsid w:val="00643A59"/>
    <w:rsid w:val="00643A83"/>
    <w:rsid w:val="0064476C"/>
    <w:rsid w:val="00644888"/>
    <w:rsid w:val="006453E9"/>
    <w:rsid w:val="00645B05"/>
    <w:rsid w:val="00645D27"/>
    <w:rsid w:val="00645F81"/>
    <w:rsid w:val="00646084"/>
    <w:rsid w:val="00646CFE"/>
    <w:rsid w:val="00646E2D"/>
    <w:rsid w:val="0065066B"/>
    <w:rsid w:val="006508F5"/>
    <w:rsid w:val="0065133C"/>
    <w:rsid w:val="0065168F"/>
    <w:rsid w:val="00651801"/>
    <w:rsid w:val="00652F5C"/>
    <w:rsid w:val="00653365"/>
    <w:rsid w:val="0065337A"/>
    <w:rsid w:val="00653ABA"/>
    <w:rsid w:val="00653B76"/>
    <w:rsid w:val="006549D4"/>
    <w:rsid w:val="00655C2D"/>
    <w:rsid w:val="006564DC"/>
    <w:rsid w:val="00656890"/>
    <w:rsid w:val="006569AA"/>
    <w:rsid w:val="00657225"/>
    <w:rsid w:val="00657DC1"/>
    <w:rsid w:val="00657F6B"/>
    <w:rsid w:val="0066084B"/>
    <w:rsid w:val="006609EA"/>
    <w:rsid w:val="00661306"/>
    <w:rsid w:val="006616B7"/>
    <w:rsid w:val="00661949"/>
    <w:rsid w:val="0066218C"/>
    <w:rsid w:val="006621C2"/>
    <w:rsid w:val="0066335A"/>
    <w:rsid w:val="00663424"/>
    <w:rsid w:val="00664445"/>
    <w:rsid w:val="00664B42"/>
    <w:rsid w:val="00665836"/>
    <w:rsid w:val="006665C0"/>
    <w:rsid w:val="00666FD6"/>
    <w:rsid w:val="00667153"/>
    <w:rsid w:val="006671FA"/>
    <w:rsid w:val="00667331"/>
    <w:rsid w:val="00667AE9"/>
    <w:rsid w:val="00667BD9"/>
    <w:rsid w:val="00670201"/>
    <w:rsid w:val="00670893"/>
    <w:rsid w:val="00671DAA"/>
    <w:rsid w:val="00671ED1"/>
    <w:rsid w:val="006720A2"/>
    <w:rsid w:val="006721AF"/>
    <w:rsid w:val="006726A1"/>
    <w:rsid w:val="00673D89"/>
    <w:rsid w:val="00673EBA"/>
    <w:rsid w:val="00674075"/>
    <w:rsid w:val="00674204"/>
    <w:rsid w:val="006753DD"/>
    <w:rsid w:val="00675D54"/>
    <w:rsid w:val="00676E26"/>
    <w:rsid w:val="00680A28"/>
    <w:rsid w:val="00680FEE"/>
    <w:rsid w:val="00681496"/>
    <w:rsid w:val="006817CD"/>
    <w:rsid w:val="00682A2E"/>
    <w:rsid w:val="0068315B"/>
    <w:rsid w:val="0068372B"/>
    <w:rsid w:val="006848E1"/>
    <w:rsid w:val="00685FF8"/>
    <w:rsid w:val="006860DD"/>
    <w:rsid w:val="0068612E"/>
    <w:rsid w:val="006865A9"/>
    <w:rsid w:val="00686765"/>
    <w:rsid w:val="00686DC7"/>
    <w:rsid w:val="006874DB"/>
    <w:rsid w:val="00687BE2"/>
    <w:rsid w:val="006900EB"/>
    <w:rsid w:val="0069039C"/>
    <w:rsid w:val="00690813"/>
    <w:rsid w:val="00690962"/>
    <w:rsid w:val="00690BE3"/>
    <w:rsid w:val="006912CB"/>
    <w:rsid w:val="00691A3C"/>
    <w:rsid w:val="00691B02"/>
    <w:rsid w:val="00692380"/>
    <w:rsid w:val="00692C8C"/>
    <w:rsid w:val="00692D4B"/>
    <w:rsid w:val="006931E1"/>
    <w:rsid w:val="006936EC"/>
    <w:rsid w:val="00693A7D"/>
    <w:rsid w:val="006940EE"/>
    <w:rsid w:val="00694112"/>
    <w:rsid w:val="0069635C"/>
    <w:rsid w:val="00696D4B"/>
    <w:rsid w:val="006972B3"/>
    <w:rsid w:val="006978F2"/>
    <w:rsid w:val="00697A92"/>
    <w:rsid w:val="00697F0A"/>
    <w:rsid w:val="006A0F9D"/>
    <w:rsid w:val="006A2098"/>
    <w:rsid w:val="006A229F"/>
    <w:rsid w:val="006A2376"/>
    <w:rsid w:val="006A288F"/>
    <w:rsid w:val="006A363F"/>
    <w:rsid w:val="006A3658"/>
    <w:rsid w:val="006A3AE9"/>
    <w:rsid w:val="006A420E"/>
    <w:rsid w:val="006A48E0"/>
    <w:rsid w:val="006A4A61"/>
    <w:rsid w:val="006A5001"/>
    <w:rsid w:val="006A525E"/>
    <w:rsid w:val="006A52D3"/>
    <w:rsid w:val="006A5727"/>
    <w:rsid w:val="006A5C66"/>
    <w:rsid w:val="006A6005"/>
    <w:rsid w:val="006A670F"/>
    <w:rsid w:val="006B007A"/>
    <w:rsid w:val="006B008B"/>
    <w:rsid w:val="006B0260"/>
    <w:rsid w:val="006B14CE"/>
    <w:rsid w:val="006B18E9"/>
    <w:rsid w:val="006B1967"/>
    <w:rsid w:val="006B1BEE"/>
    <w:rsid w:val="006B2736"/>
    <w:rsid w:val="006B3305"/>
    <w:rsid w:val="006B3867"/>
    <w:rsid w:val="006B3D0D"/>
    <w:rsid w:val="006B4334"/>
    <w:rsid w:val="006B59C0"/>
    <w:rsid w:val="006B5C3A"/>
    <w:rsid w:val="006B65ED"/>
    <w:rsid w:val="006B782C"/>
    <w:rsid w:val="006C0501"/>
    <w:rsid w:val="006C09EA"/>
    <w:rsid w:val="006C0DFD"/>
    <w:rsid w:val="006C1126"/>
    <w:rsid w:val="006C1AF9"/>
    <w:rsid w:val="006C263B"/>
    <w:rsid w:val="006C2795"/>
    <w:rsid w:val="006C2F20"/>
    <w:rsid w:val="006C33F5"/>
    <w:rsid w:val="006C35C2"/>
    <w:rsid w:val="006C35D9"/>
    <w:rsid w:val="006C36D1"/>
    <w:rsid w:val="006C4DD5"/>
    <w:rsid w:val="006C54D6"/>
    <w:rsid w:val="006C58BB"/>
    <w:rsid w:val="006C612C"/>
    <w:rsid w:val="006C66CB"/>
    <w:rsid w:val="006C6751"/>
    <w:rsid w:val="006C6785"/>
    <w:rsid w:val="006C6B4C"/>
    <w:rsid w:val="006C7B98"/>
    <w:rsid w:val="006C7BA7"/>
    <w:rsid w:val="006D0475"/>
    <w:rsid w:val="006D176A"/>
    <w:rsid w:val="006D179B"/>
    <w:rsid w:val="006D1AF6"/>
    <w:rsid w:val="006D243D"/>
    <w:rsid w:val="006D292F"/>
    <w:rsid w:val="006D2BAE"/>
    <w:rsid w:val="006D3A8F"/>
    <w:rsid w:val="006D419D"/>
    <w:rsid w:val="006D44B0"/>
    <w:rsid w:val="006D55F0"/>
    <w:rsid w:val="006D6CD4"/>
    <w:rsid w:val="006E1862"/>
    <w:rsid w:val="006E38FC"/>
    <w:rsid w:val="006E47D0"/>
    <w:rsid w:val="006E4D2E"/>
    <w:rsid w:val="006E5383"/>
    <w:rsid w:val="006E55C6"/>
    <w:rsid w:val="006E5955"/>
    <w:rsid w:val="006E5DC2"/>
    <w:rsid w:val="006E665E"/>
    <w:rsid w:val="006E6813"/>
    <w:rsid w:val="006E690A"/>
    <w:rsid w:val="006E6F8D"/>
    <w:rsid w:val="006E775C"/>
    <w:rsid w:val="006F055E"/>
    <w:rsid w:val="006F0B88"/>
    <w:rsid w:val="006F24B0"/>
    <w:rsid w:val="006F2995"/>
    <w:rsid w:val="006F2D02"/>
    <w:rsid w:val="006F37CE"/>
    <w:rsid w:val="006F3D01"/>
    <w:rsid w:val="006F406B"/>
    <w:rsid w:val="006F413A"/>
    <w:rsid w:val="006F4244"/>
    <w:rsid w:val="006F42C3"/>
    <w:rsid w:val="006F4540"/>
    <w:rsid w:val="006F477F"/>
    <w:rsid w:val="006F4A65"/>
    <w:rsid w:val="006F4B19"/>
    <w:rsid w:val="006F5175"/>
    <w:rsid w:val="006F51A2"/>
    <w:rsid w:val="006F577A"/>
    <w:rsid w:val="006F7CED"/>
    <w:rsid w:val="00700180"/>
    <w:rsid w:val="00700251"/>
    <w:rsid w:val="007023D9"/>
    <w:rsid w:val="0070250A"/>
    <w:rsid w:val="007027F8"/>
    <w:rsid w:val="00702E2B"/>
    <w:rsid w:val="007033D3"/>
    <w:rsid w:val="0070369C"/>
    <w:rsid w:val="00703AD3"/>
    <w:rsid w:val="0070420C"/>
    <w:rsid w:val="00704A2A"/>
    <w:rsid w:val="00704D18"/>
    <w:rsid w:val="00705183"/>
    <w:rsid w:val="00705606"/>
    <w:rsid w:val="007056CE"/>
    <w:rsid w:val="0070594A"/>
    <w:rsid w:val="00705E2E"/>
    <w:rsid w:val="007060C6"/>
    <w:rsid w:val="007062F8"/>
    <w:rsid w:val="0071186E"/>
    <w:rsid w:val="00711A57"/>
    <w:rsid w:val="00712164"/>
    <w:rsid w:val="007122E8"/>
    <w:rsid w:val="007128C7"/>
    <w:rsid w:val="00712B20"/>
    <w:rsid w:val="00715037"/>
    <w:rsid w:val="007153BE"/>
    <w:rsid w:val="0071546F"/>
    <w:rsid w:val="0071561D"/>
    <w:rsid w:val="00715B04"/>
    <w:rsid w:val="00716208"/>
    <w:rsid w:val="007162A1"/>
    <w:rsid w:val="00716A5B"/>
    <w:rsid w:val="0072050C"/>
    <w:rsid w:val="0072054B"/>
    <w:rsid w:val="00720F08"/>
    <w:rsid w:val="00721C36"/>
    <w:rsid w:val="00722D74"/>
    <w:rsid w:val="00723D44"/>
    <w:rsid w:val="0072407A"/>
    <w:rsid w:val="00724F26"/>
    <w:rsid w:val="007256F7"/>
    <w:rsid w:val="007259AA"/>
    <w:rsid w:val="0072651C"/>
    <w:rsid w:val="007265DE"/>
    <w:rsid w:val="007266ED"/>
    <w:rsid w:val="00726A24"/>
    <w:rsid w:val="00727531"/>
    <w:rsid w:val="00727829"/>
    <w:rsid w:val="007278C5"/>
    <w:rsid w:val="0073078C"/>
    <w:rsid w:val="00730BAD"/>
    <w:rsid w:val="007314E6"/>
    <w:rsid w:val="00731930"/>
    <w:rsid w:val="00731BFB"/>
    <w:rsid w:val="00733A72"/>
    <w:rsid w:val="00734151"/>
    <w:rsid w:val="00734472"/>
    <w:rsid w:val="00735D3B"/>
    <w:rsid w:val="007360BF"/>
    <w:rsid w:val="007360EA"/>
    <w:rsid w:val="00737120"/>
    <w:rsid w:val="007371F3"/>
    <w:rsid w:val="00740435"/>
    <w:rsid w:val="00740B25"/>
    <w:rsid w:val="007412BF"/>
    <w:rsid w:val="0074133A"/>
    <w:rsid w:val="0074149B"/>
    <w:rsid w:val="007414FC"/>
    <w:rsid w:val="00741948"/>
    <w:rsid w:val="00741D86"/>
    <w:rsid w:val="007420E1"/>
    <w:rsid w:val="00742A05"/>
    <w:rsid w:val="00742A94"/>
    <w:rsid w:val="00742AFE"/>
    <w:rsid w:val="00742DC7"/>
    <w:rsid w:val="007435E0"/>
    <w:rsid w:val="007436C5"/>
    <w:rsid w:val="00743F18"/>
    <w:rsid w:val="007442B7"/>
    <w:rsid w:val="007449B7"/>
    <w:rsid w:val="007451E4"/>
    <w:rsid w:val="00745C21"/>
    <w:rsid w:val="00745D2A"/>
    <w:rsid w:val="007461D5"/>
    <w:rsid w:val="0074684F"/>
    <w:rsid w:val="00747A09"/>
    <w:rsid w:val="00747C0E"/>
    <w:rsid w:val="00750EEC"/>
    <w:rsid w:val="00750F7F"/>
    <w:rsid w:val="00751AFC"/>
    <w:rsid w:val="00752613"/>
    <w:rsid w:val="00752728"/>
    <w:rsid w:val="00753A8B"/>
    <w:rsid w:val="00754460"/>
    <w:rsid w:val="00755BAD"/>
    <w:rsid w:val="007562FA"/>
    <w:rsid w:val="00756F45"/>
    <w:rsid w:val="00757439"/>
    <w:rsid w:val="00757A4D"/>
    <w:rsid w:val="007606B1"/>
    <w:rsid w:val="00761580"/>
    <w:rsid w:val="00761DE5"/>
    <w:rsid w:val="0076223B"/>
    <w:rsid w:val="00763023"/>
    <w:rsid w:val="007630BE"/>
    <w:rsid w:val="007637CF"/>
    <w:rsid w:val="0076482D"/>
    <w:rsid w:val="007649A3"/>
    <w:rsid w:val="00764C20"/>
    <w:rsid w:val="00765215"/>
    <w:rsid w:val="00765B0F"/>
    <w:rsid w:val="007666BB"/>
    <w:rsid w:val="0076718C"/>
    <w:rsid w:val="00767606"/>
    <w:rsid w:val="00767BEB"/>
    <w:rsid w:val="00770496"/>
    <w:rsid w:val="0077149F"/>
    <w:rsid w:val="00771BAC"/>
    <w:rsid w:val="00771E6F"/>
    <w:rsid w:val="007722E3"/>
    <w:rsid w:val="00772A51"/>
    <w:rsid w:val="00772FA0"/>
    <w:rsid w:val="00773864"/>
    <w:rsid w:val="00773F68"/>
    <w:rsid w:val="00773F84"/>
    <w:rsid w:val="00774197"/>
    <w:rsid w:val="00774271"/>
    <w:rsid w:val="007742B1"/>
    <w:rsid w:val="00774607"/>
    <w:rsid w:val="007754BB"/>
    <w:rsid w:val="00775A0B"/>
    <w:rsid w:val="007762AF"/>
    <w:rsid w:val="00776902"/>
    <w:rsid w:val="0077722D"/>
    <w:rsid w:val="007779A0"/>
    <w:rsid w:val="00777C90"/>
    <w:rsid w:val="007800A9"/>
    <w:rsid w:val="007801AB"/>
    <w:rsid w:val="0078055F"/>
    <w:rsid w:val="00780669"/>
    <w:rsid w:val="00780DAC"/>
    <w:rsid w:val="0078125C"/>
    <w:rsid w:val="00781762"/>
    <w:rsid w:val="00781C54"/>
    <w:rsid w:val="00781EC0"/>
    <w:rsid w:val="007824BE"/>
    <w:rsid w:val="00782D38"/>
    <w:rsid w:val="00784DBB"/>
    <w:rsid w:val="0078598A"/>
    <w:rsid w:val="00785A5E"/>
    <w:rsid w:val="00785B70"/>
    <w:rsid w:val="007866F5"/>
    <w:rsid w:val="007876F3"/>
    <w:rsid w:val="00790960"/>
    <w:rsid w:val="00791690"/>
    <w:rsid w:val="00791C96"/>
    <w:rsid w:val="007928A1"/>
    <w:rsid w:val="007929F3"/>
    <w:rsid w:val="00792C63"/>
    <w:rsid w:val="0079415A"/>
    <w:rsid w:val="0079427F"/>
    <w:rsid w:val="0079456F"/>
    <w:rsid w:val="0079487F"/>
    <w:rsid w:val="007949D8"/>
    <w:rsid w:val="00794D01"/>
    <w:rsid w:val="00794E7A"/>
    <w:rsid w:val="007959C2"/>
    <w:rsid w:val="00796E6D"/>
    <w:rsid w:val="00797689"/>
    <w:rsid w:val="00797D51"/>
    <w:rsid w:val="007A0A13"/>
    <w:rsid w:val="007A1693"/>
    <w:rsid w:val="007A1B33"/>
    <w:rsid w:val="007A1CD9"/>
    <w:rsid w:val="007A26BE"/>
    <w:rsid w:val="007A2870"/>
    <w:rsid w:val="007A36CB"/>
    <w:rsid w:val="007A4DDE"/>
    <w:rsid w:val="007A4FA8"/>
    <w:rsid w:val="007A58C5"/>
    <w:rsid w:val="007A5D51"/>
    <w:rsid w:val="007A6E35"/>
    <w:rsid w:val="007A6F54"/>
    <w:rsid w:val="007A7154"/>
    <w:rsid w:val="007B0501"/>
    <w:rsid w:val="007B0BF1"/>
    <w:rsid w:val="007B10F9"/>
    <w:rsid w:val="007B1BDF"/>
    <w:rsid w:val="007B343C"/>
    <w:rsid w:val="007B4729"/>
    <w:rsid w:val="007B51A8"/>
    <w:rsid w:val="007B5674"/>
    <w:rsid w:val="007B58B8"/>
    <w:rsid w:val="007B6237"/>
    <w:rsid w:val="007B6523"/>
    <w:rsid w:val="007B6526"/>
    <w:rsid w:val="007B658F"/>
    <w:rsid w:val="007B6610"/>
    <w:rsid w:val="007B6933"/>
    <w:rsid w:val="007B71F4"/>
    <w:rsid w:val="007B79A5"/>
    <w:rsid w:val="007C0C7E"/>
    <w:rsid w:val="007C12FD"/>
    <w:rsid w:val="007C1328"/>
    <w:rsid w:val="007C19E2"/>
    <w:rsid w:val="007C1E17"/>
    <w:rsid w:val="007C1EAE"/>
    <w:rsid w:val="007C25AF"/>
    <w:rsid w:val="007C309F"/>
    <w:rsid w:val="007C320C"/>
    <w:rsid w:val="007C3500"/>
    <w:rsid w:val="007C37E5"/>
    <w:rsid w:val="007C3F04"/>
    <w:rsid w:val="007C45EC"/>
    <w:rsid w:val="007C4A39"/>
    <w:rsid w:val="007C4C34"/>
    <w:rsid w:val="007C5550"/>
    <w:rsid w:val="007C5BAD"/>
    <w:rsid w:val="007C5D1C"/>
    <w:rsid w:val="007C7549"/>
    <w:rsid w:val="007C75DD"/>
    <w:rsid w:val="007C76BC"/>
    <w:rsid w:val="007C7BDD"/>
    <w:rsid w:val="007C7D01"/>
    <w:rsid w:val="007C7F50"/>
    <w:rsid w:val="007D0EA8"/>
    <w:rsid w:val="007D0F9A"/>
    <w:rsid w:val="007D184E"/>
    <w:rsid w:val="007D1C26"/>
    <w:rsid w:val="007D1E32"/>
    <w:rsid w:val="007D20D8"/>
    <w:rsid w:val="007D261C"/>
    <w:rsid w:val="007D2B8F"/>
    <w:rsid w:val="007D37A4"/>
    <w:rsid w:val="007D42E4"/>
    <w:rsid w:val="007D44E0"/>
    <w:rsid w:val="007D4F0F"/>
    <w:rsid w:val="007D51A4"/>
    <w:rsid w:val="007D59A4"/>
    <w:rsid w:val="007D5EFF"/>
    <w:rsid w:val="007D6755"/>
    <w:rsid w:val="007D679B"/>
    <w:rsid w:val="007D6A30"/>
    <w:rsid w:val="007D7045"/>
    <w:rsid w:val="007D7097"/>
    <w:rsid w:val="007D735A"/>
    <w:rsid w:val="007D7B60"/>
    <w:rsid w:val="007E0400"/>
    <w:rsid w:val="007E140B"/>
    <w:rsid w:val="007E190E"/>
    <w:rsid w:val="007E1BF0"/>
    <w:rsid w:val="007E263F"/>
    <w:rsid w:val="007E2F19"/>
    <w:rsid w:val="007E37D1"/>
    <w:rsid w:val="007E4904"/>
    <w:rsid w:val="007E5FD7"/>
    <w:rsid w:val="007E64EF"/>
    <w:rsid w:val="007E6821"/>
    <w:rsid w:val="007E6CEC"/>
    <w:rsid w:val="007E75C7"/>
    <w:rsid w:val="007E7748"/>
    <w:rsid w:val="007F010A"/>
    <w:rsid w:val="007F0616"/>
    <w:rsid w:val="007F186D"/>
    <w:rsid w:val="007F18A1"/>
    <w:rsid w:val="007F1984"/>
    <w:rsid w:val="007F27EA"/>
    <w:rsid w:val="007F2E36"/>
    <w:rsid w:val="007F3263"/>
    <w:rsid w:val="007F3A64"/>
    <w:rsid w:val="007F3ACD"/>
    <w:rsid w:val="007F3DC4"/>
    <w:rsid w:val="007F4612"/>
    <w:rsid w:val="007F46FC"/>
    <w:rsid w:val="007F567D"/>
    <w:rsid w:val="007F5A88"/>
    <w:rsid w:val="007F61B4"/>
    <w:rsid w:val="007F6C57"/>
    <w:rsid w:val="007F6FB3"/>
    <w:rsid w:val="007F7092"/>
    <w:rsid w:val="007F7277"/>
    <w:rsid w:val="007F75AD"/>
    <w:rsid w:val="007F7F3B"/>
    <w:rsid w:val="00800621"/>
    <w:rsid w:val="00800D9D"/>
    <w:rsid w:val="0080173C"/>
    <w:rsid w:val="008019F8"/>
    <w:rsid w:val="00802473"/>
    <w:rsid w:val="00802AF5"/>
    <w:rsid w:val="008030E9"/>
    <w:rsid w:val="00803806"/>
    <w:rsid w:val="00803BAF"/>
    <w:rsid w:val="00803DF9"/>
    <w:rsid w:val="008042A1"/>
    <w:rsid w:val="008043EB"/>
    <w:rsid w:val="00804C58"/>
    <w:rsid w:val="00804EA9"/>
    <w:rsid w:val="00805498"/>
    <w:rsid w:val="00805FE3"/>
    <w:rsid w:val="00807487"/>
    <w:rsid w:val="00807AF8"/>
    <w:rsid w:val="00810823"/>
    <w:rsid w:val="00810C7E"/>
    <w:rsid w:val="00811061"/>
    <w:rsid w:val="00811533"/>
    <w:rsid w:val="00811BA5"/>
    <w:rsid w:val="0081225B"/>
    <w:rsid w:val="008126EC"/>
    <w:rsid w:val="00812752"/>
    <w:rsid w:val="008129A2"/>
    <w:rsid w:val="00812E56"/>
    <w:rsid w:val="00812F92"/>
    <w:rsid w:val="008137C3"/>
    <w:rsid w:val="00813961"/>
    <w:rsid w:val="00813AD7"/>
    <w:rsid w:val="0081451E"/>
    <w:rsid w:val="008151AD"/>
    <w:rsid w:val="008153F4"/>
    <w:rsid w:val="00817512"/>
    <w:rsid w:val="008203FD"/>
    <w:rsid w:val="00820733"/>
    <w:rsid w:val="00820A7A"/>
    <w:rsid w:val="00820C1B"/>
    <w:rsid w:val="00821ADE"/>
    <w:rsid w:val="00821D88"/>
    <w:rsid w:val="00822558"/>
    <w:rsid w:val="0082307D"/>
    <w:rsid w:val="008232AF"/>
    <w:rsid w:val="0082420F"/>
    <w:rsid w:val="008242E2"/>
    <w:rsid w:val="008248A6"/>
    <w:rsid w:val="00824B86"/>
    <w:rsid w:val="00825B84"/>
    <w:rsid w:val="00826B8B"/>
    <w:rsid w:val="00827211"/>
    <w:rsid w:val="008272AF"/>
    <w:rsid w:val="00830694"/>
    <w:rsid w:val="00830C4B"/>
    <w:rsid w:val="00830D1B"/>
    <w:rsid w:val="00831529"/>
    <w:rsid w:val="00831812"/>
    <w:rsid w:val="00831889"/>
    <w:rsid w:val="00831AA2"/>
    <w:rsid w:val="00831D49"/>
    <w:rsid w:val="00832A0F"/>
    <w:rsid w:val="00832B9E"/>
    <w:rsid w:val="00832BB5"/>
    <w:rsid w:val="00834BE0"/>
    <w:rsid w:val="00834E07"/>
    <w:rsid w:val="0083505A"/>
    <w:rsid w:val="00835C73"/>
    <w:rsid w:val="00835CF2"/>
    <w:rsid w:val="00835E20"/>
    <w:rsid w:val="00835F08"/>
    <w:rsid w:val="00836E29"/>
    <w:rsid w:val="00837461"/>
    <w:rsid w:val="00837C4E"/>
    <w:rsid w:val="00837CF1"/>
    <w:rsid w:val="00840201"/>
    <w:rsid w:val="0084041A"/>
    <w:rsid w:val="00841091"/>
    <w:rsid w:val="008411DE"/>
    <w:rsid w:val="00841672"/>
    <w:rsid w:val="00841825"/>
    <w:rsid w:val="00841A37"/>
    <w:rsid w:val="00842651"/>
    <w:rsid w:val="0084317D"/>
    <w:rsid w:val="00843AE5"/>
    <w:rsid w:val="0084420E"/>
    <w:rsid w:val="008443EA"/>
    <w:rsid w:val="0084456D"/>
    <w:rsid w:val="00844817"/>
    <w:rsid w:val="00844E66"/>
    <w:rsid w:val="00844F22"/>
    <w:rsid w:val="0084507D"/>
    <w:rsid w:val="00845503"/>
    <w:rsid w:val="008463D1"/>
    <w:rsid w:val="00846521"/>
    <w:rsid w:val="0084682C"/>
    <w:rsid w:val="00846850"/>
    <w:rsid w:val="008469EB"/>
    <w:rsid w:val="008472BC"/>
    <w:rsid w:val="00847B0C"/>
    <w:rsid w:val="00847BB0"/>
    <w:rsid w:val="00847D6D"/>
    <w:rsid w:val="008502F0"/>
    <w:rsid w:val="00850BA5"/>
    <w:rsid w:val="00851FDF"/>
    <w:rsid w:val="00852524"/>
    <w:rsid w:val="00852835"/>
    <w:rsid w:val="00852A0C"/>
    <w:rsid w:val="00852CC6"/>
    <w:rsid w:val="00853D96"/>
    <w:rsid w:val="00854B8C"/>
    <w:rsid w:val="00855B0C"/>
    <w:rsid w:val="00856581"/>
    <w:rsid w:val="008565C8"/>
    <w:rsid w:val="0085672C"/>
    <w:rsid w:val="0085680A"/>
    <w:rsid w:val="00856F94"/>
    <w:rsid w:val="008570EB"/>
    <w:rsid w:val="0085740C"/>
    <w:rsid w:val="00860277"/>
    <w:rsid w:val="008602E1"/>
    <w:rsid w:val="0086055B"/>
    <w:rsid w:val="00861E8D"/>
    <w:rsid w:val="00862633"/>
    <w:rsid w:val="00863276"/>
    <w:rsid w:val="00863672"/>
    <w:rsid w:val="00863A57"/>
    <w:rsid w:val="008644AD"/>
    <w:rsid w:val="008658A8"/>
    <w:rsid w:val="00865927"/>
    <w:rsid w:val="0086758F"/>
    <w:rsid w:val="0087008F"/>
    <w:rsid w:val="00870642"/>
    <w:rsid w:val="008714A8"/>
    <w:rsid w:val="0087178A"/>
    <w:rsid w:val="00871E6A"/>
    <w:rsid w:val="00872169"/>
    <w:rsid w:val="008723C7"/>
    <w:rsid w:val="0087434C"/>
    <w:rsid w:val="00874DFC"/>
    <w:rsid w:val="00874E0D"/>
    <w:rsid w:val="00875AE4"/>
    <w:rsid w:val="00876F08"/>
    <w:rsid w:val="00877F62"/>
    <w:rsid w:val="00880820"/>
    <w:rsid w:val="00881668"/>
    <w:rsid w:val="00881EA4"/>
    <w:rsid w:val="008832A4"/>
    <w:rsid w:val="00883A32"/>
    <w:rsid w:val="00884002"/>
    <w:rsid w:val="00884457"/>
    <w:rsid w:val="0088456F"/>
    <w:rsid w:val="008845F2"/>
    <w:rsid w:val="0088492B"/>
    <w:rsid w:val="00884FC9"/>
    <w:rsid w:val="00885D1A"/>
    <w:rsid w:val="00885EF5"/>
    <w:rsid w:val="00886451"/>
    <w:rsid w:val="00886983"/>
    <w:rsid w:val="00886D9E"/>
    <w:rsid w:val="00886FD4"/>
    <w:rsid w:val="00886FF1"/>
    <w:rsid w:val="008870EF"/>
    <w:rsid w:val="00887AFA"/>
    <w:rsid w:val="00890273"/>
    <w:rsid w:val="0089048D"/>
    <w:rsid w:val="00890653"/>
    <w:rsid w:val="00890DC1"/>
    <w:rsid w:val="008918FE"/>
    <w:rsid w:val="00891F35"/>
    <w:rsid w:val="00891FE0"/>
    <w:rsid w:val="008925CA"/>
    <w:rsid w:val="008929EC"/>
    <w:rsid w:val="00892EAE"/>
    <w:rsid w:val="008937F4"/>
    <w:rsid w:val="00893D5F"/>
    <w:rsid w:val="00893E64"/>
    <w:rsid w:val="00895BA7"/>
    <w:rsid w:val="00895D4F"/>
    <w:rsid w:val="008960F7"/>
    <w:rsid w:val="008961CD"/>
    <w:rsid w:val="0089694D"/>
    <w:rsid w:val="00896FE7"/>
    <w:rsid w:val="00897100"/>
    <w:rsid w:val="008972C4"/>
    <w:rsid w:val="008975B6"/>
    <w:rsid w:val="0089799F"/>
    <w:rsid w:val="008A03F0"/>
    <w:rsid w:val="008A048A"/>
    <w:rsid w:val="008A0BF7"/>
    <w:rsid w:val="008A188B"/>
    <w:rsid w:val="008A2453"/>
    <w:rsid w:val="008A2F19"/>
    <w:rsid w:val="008A311D"/>
    <w:rsid w:val="008A3AA7"/>
    <w:rsid w:val="008A415E"/>
    <w:rsid w:val="008A417E"/>
    <w:rsid w:val="008A4C4A"/>
    <w:rsid w:val="008A4E50"/>
    <w:rsid w:val="008A5AEF"/>
    <w:rsid w:val="008A64C4"/>
    <w:rsid w:val="008A6970"/>
    <w:rsid w:val="008A714D"/>
    <w:rsid w:val="008A7ECC"/>
    <w:rsid w:val="008B00F5"/>
    <w:rsid w:val="008B02FD"/>
    <w:rsid w:val="008B0D70"/>
    <w:rsid w:val="008B1AC0"/>
    <w:rsid w:val="008B1BD8"/>
    <w:rsid w:val="008B3EB3"/>
    <w:rsid w:val="008B42F2"/>
    <w:rsid w:val="008B59C0"/>
    <w:rsid w:val="008B5D0E"/>
    <w:rsid w:val="008B5E5D"/>
    <w:rsid w:val="008B60DE"/>
    <w:rsid w:val="008B627A"/>
    <w:rsid w:val="008B6383"/>
    <w:rsid w:val="008B6488"/>
    <w:rsid w:val="008B6894"/>
    <w:rsid w:val="008B69B0"/>
    <w:rsid w:val="008B7181"/>
    <w:rsid w:val="008B720B"/>
    <w:rsid w:val="008B7487"/>
    <w:rsid w:val="008B795D"/>
    <w:rsid w:val="008C00BB"/>
    <w:rsid w:val="008C09BD"/>
    <w:rsid w:val="008C0B8A"/>
    <w:rsid w:val="008C172D"/>
    <w:rsid w:val="008C191D"/>
    <w:rsid w:val="008C19CB"/>
    <w:rsid w:val="008C1A5D"/>
    <w:rsid w:val="008C1EA7"/>
    <w:rsid w:val="008C1F12"/>
    <w:rsid w:val="008C210D"/>
    <w:rsid w:val="008C42BE"/>
    <w:rsid w:val="008C4AD5"/>
    <w:rsid w:val="008C552F"/>
    <w:rsid w:val="008C6423"/>
    <w:rsid w:val="008C713C"/>
    <w:rsid w:val="008C717D"/>
    <w:rsid w:val="008C779A"/>
    <w:rsid w:val="008C7F3D"/>
    <w:rsid w:val="008D009D"/>
    <w:rsid w:val="008D030D"/>
    <w:rsid w:val="008D06AA"/>
    <w:rsid w:val="008D0845"/>
    <w:rsid w:val="008D0F62"/>
    <w:rsid w:val="008D11A1"/>
    <w:rsid w:val="008D1265"/>
    <w:rsid w:val="008D1976"/>
    <w:rsid w:val="008D1977"/>
    <w:rsid w:val="008D1F54"/>
    <w:rsid w:val="008D21DA"/>
    <w:rsid w:val="008D22ED"/>
    <w:rsid w:val="008D321C"/>
    <w:rsid w:val="008D3663"/>
    <w:rsid w:val="008D3C3B"/>
    <w:rsid w:val="008D460F"/>
    <w:rsid w:val="008D468F"/>
    <w:rsid w:val="008D4A97"/>
    <w:rsid w:val="008D5E8E"/>
    <w:rsid w:val="008D663E"/>
    <w:rsid w:val="008D6BF4"/>
    <w:rsid w:val="008D6D69"/>
    <w:rsid w:val="008D77A6"/>
    <w:rsid w:val="008E089A"/>
    <w:rsid w:val="008E0961"/>
    <w:rsid w:val="008E155F"/>
    <w:rsid w:val="008E1C9D"/>
    <w:rsid w:val="008E1EFC"/>
    <w:rsid w:val="008E2486"/>
    <w:rsid w:val="008E2519"/>
    <w:rsid w:val="008E2A7F"/>
    <w:rsid w:val="008E3B5E"/>
    <w:rsid w:val="008E56B9"/>
    <w:rsid w:val="008E5F07"/>
    <w:rsid w:val="008E60A5"/>
    <w:rsid w:val="008E6364"/>
    <w:rsid w:val="008E63C8"/>
    <w:rsid w:val="008E63DF"/>
    <w:rsid w:val="008E6793"/>
    <w:rsid w:val="008E6E9D"/>
    <w:rsid w:val="008E7007"/>
    <w:rsid w:val="008E772B"/>
    <w:rsid w:val="008F1C2F"/>
    <w:rsid w:val="008F2233"/>
    <w:rsid w:val="008F2261"/>
    <w:rsid w:val="008F2699"/>
    <w:rsid w:val="008F2D7F"/>
    <w:rsid w:val="008F4D32"/>
    <w:rsid w:val="008F6994"/>
    <w:rsid w:val="008F71F3"/>
    <w:rsid w:val="008F7779"/>
    <w:rsid w:val="008F7AE1"/>
    <w:rsid w:val="008F7CB1"/>
    <w:rsid w:val="008F7FBB"/>
    <w:rsid w:val="009001CC"/>
    <w:rsid w:val="0090090F"/>
    <w:rsid w:val="00901726"/>
    <w:rsid w:val="00901D20"/>
    <w:rsid w:val="009023E0"/>
    <w:rsid w:val="0090243B"/>
    <w:rsid w:val="009025DA"/>
    <w:rsid w:val="009066BE"/>
    <w:rsid w:val="009071AF"/>
    <w:rsid w:val="00907AA2"/>
    <w:rsid w:val="00910FE4"/>
    <w:rsid w:val="009110C7"/>
    <w:rsid w:val="00911FAE"/>
    <w:rsid w:val="009123DC"/>
    <w:rsid w:val="009125E2"/>
    <w:rsid w:val="009128BF"/>
    <w:rsid w:val="00912CB4"/>
    <w:rsid w:val="0091320C"/>
    <w:rsid w:val="00913AE6"/>
    <w:rsid w:val="00915008"/>
    <w:rsid w:val="00915295"/>
    <w:rsid w:val="009155C0"/>
    <w:rsid w:val="0091673B"/>
    <w:rsid w:val="009179C7"/>
    <w:rsid w:val="009203B7"/>
    <w:rsid w:val="00920FE9"/>
    <w:rsid w:val="00921C5E"/>
    <w:rsid w:val="00922B72"/>
    <w:rsid w:val="00923117"/>
    <w:rsid w:val="00923279"/>
    <w:rsid w:val="00923B21"/>
    <w:rsid w:val="00924358"/>
    <w:rsid w:val="009247EA"/>
    <w:rsid w:val="009249F5"/>
    <w:rsid w:val="009251C2"/>
    <w:rsid w:val="009259E5"/>
    <w:rsid w:val="009261F5"/>
    <w:rsid w:val="009270E7"/>
    <w:rsid w:val="009277CC"/>
    <w:rsid w:val="009279B2"/>
    <w:rsid w:val="00930226"/>
    <w:rsid w:val="00930FB5"/>
    <w:rsid w:val="009310B9"/>
    <w:rsid w:val="009322CE"/>
    <w:rsid w:val="00932429"/>
    <w:rsid w:val="00932941"/>
    <w:rsid w:val="00932BD5"/>
    <w:rsid w:val="0093341C"/>
    <w:rsid w:val="00933677"/>
    <w:rsid w:val="009338CA"/>
    <w:rsid w:val="00933CFD"/>
    <w:rsid w:val="00934363"/>
    <w:rsid w:val="009343A9"/>
    <w:rsid w:val="009343FA"/>
    <w:rsid w:val="00934411"/>
    <w:rsid w:val="0093514F"/>
    <w:rsid w:val="0093766F"/>
    <w:rsid w:val="009415CD"/>
    <w:rsid w:val="009418DB"/>
    <w:rsid w:val="00941A11"/>
    <w:rsid w:val="00941FD7"/>
    <w:rsid w:val="00942551"/>
    <w:rsid w:val="009429FD"/>
    <w:rsid w:val="00943C4A"/>
    <w:rsid w:val="009440C1"/>
    <w:rsid w:val="009440DF"/>
    <w:rsid w:val="00944356"/>
    <w:rsid w:val="00944918"/>
    <w:rsid w:val="00944BA8"/>
    <w:rsid w:val="00945448"/>
    <w:rsid w:val="00945942"/>
    <w:rsid w:val="009459E6"/>
    <w:rsid w:val="00945C4C"/>
    <w:rsid w:val="00945CF7"/>
    <w:rsid w:val="00946A94"/>
    <w:rsid w:val="00947275"/>
    <w:rsid w:val="009476BA"/>
    <w:rsid w:val="0094798C"/>
    <w:rsid w:val="009479A3"/>
    <w:rsid w:val="00947B95"/>
    <w:rsid w:val="00947E5C"/>
    <w:rsid w:val="009503A5"/>
    <w:rsid w:val="00950834"/>
    <w:rsid w:val="00950AA6"/>
    <w:rsid w:val="00950B0E"/>
    <w:rsid w:val="00951046"/>
    <w:rsid w:val="0095287F"/>
    <w:rsid w:val="009533D6"/>
    <w:rsid w:val="009535D9"/>
    <w:rsid w:val="00953858"/>
    <w:rsid w:val="009538EC"/>
    <w:rsid w:val="0095473F"/>
    <w:rsid w:val="00954817"/>
    <w:rsid w:val="00954DE4"/>
    <w:rsid w:val="009550C4"/>
    <w:rsid w:val="00955588"/>
    <w:rsid w:val="009572B9"/>
    <w:rsid w:val="00957CF5"/>
    <w:rsid w:val="009604A8"/>
    <w:rsid w:val="00960C40"/>
    <w:rsid w:val="00961C4E"/>
    <w:rsid w:val="009625A2"/>
    <w:rsid w:val="00963BAC"/>
    <w:rsid w:val="00963BEC"/>
    <w:rsid w:val="00964105"/>
    <w:rsid w:val="00964628"/>
    <w:rsid w:val="00964ACB"/>
    <w:rsid w:val="00964CA2"/>
    <w:rsid w:val="009656B5"/>
    <w:rsid w:val="00965827"/>
    <w:rsid w:val="0096590F"/>
    <w:rsid w:val="0096629B"/>
    <w:rsid w:val="0097043A"/>
    <w:rsid w:val="00970679"/>
    <w:rsid w:val="009710B3"/>
    <w:rsid w:val="009713F1"/>
    <w:rsid w:val="00971909"/>
    <w:rsid w:val="0097212C"/>
    <w:rsid w:val="00972B7B"/>
    <w:rsid w:val="0097442B"/>
    <w:rsid w:val="00975250"/>
    <w:rsid w:val="0097558B"/>
    <w:rsid w:val="00975761"/>
    <w:rsid w:val="0097577C"/>
    <w:rsid w:val="0097638E"/>
    <w:rsid w:val="0097724C"/>
    <w:rsid w:val="00977861"/>
    <w:rsid w:val="009778A2"/>
    <w:rsid w:val="009824C0"/>
    <w:rsid w:val="00982AC1"/>
    <w:rsid w:val="009833B8"/>
    <w:rsid w:val="00983ACA"/>
    <w:rsid w:val="0098405F"/>
    <w:rsid w:val="009844BD"/>
    <w:rsid w:val="009845FE"/>
    <w:rsid w:val="00984752"/>
    <w:rsid w:val="00984FC5"/>
    <w:rsid w:val="009853B3"/>
    <w:rsid w:val="00985E2C"/>
    <w:rsid w:val="00985EC8"/>
    <w:rsid w:val="009860EB"/>
    <w:rsid w:val="00987107"/>
    <w:rsid w:val="009871CE"/>
    <w:rsid w:val="00987909"/>
    <w:rsid w:val="00990029"/>
    <w:rsid w:val="00990295"/>
    <w:rsid w:val="00990A70"/>
    <w:rsid w:val="009911B5"/>
    <w:rsid w:val="0099143F"/>
    <w:rsid w:val="00991703"/>
    <w:rsid w:val="00991B0D"/>
    <w:rsid w:val="00991F67"/>
    <w:rsid w:val="00992E90"/>
    <w:rsid w:val="00993485"/>
    <w:rsid w:val="0099361D"/>
    <w:rsid w:val="00993F8E"/>
    <w:rsid w:val="009945A7"/>
    <w:rsid w:val="00994674"/>
    <w:rsid w:val="0099474B"/>
    <w:rsid w:val="0099575F"/>
    <w:rsid w:val="00995C0E"/>
    <w:rsid w:val="00996125"/>
    <w:rsid w:val="00996A3B"/>
    <w:rsid w:val="00996B4A"/>
    <w:rsid w:val="00997312"/>
    <w:rsid w:val="0099749B"/>
    <w:rsid w:val="0099755E"/>
    <w:rsid w:val="00997665"/>
    <w:rsid w:val="009A0267"/>
    <w:rsid w:val="009A0C7F"/>
    <w:rsid w:val="009A153D"/>
    <w:rsid w:val="009A1972"/>
    <w:rsid w:val="009A1F5F"/>
    <w:rsid w:val="009A29E7"/>
    <w:rsid w:val="009A3645"/>
    <w:rsid w:val="009A36A3"/>
    <w:rsid w:val="009A46CC"/>
    <w:rsid w:val="009A5C0D"/>
    <w:rsid w:val="009A5E8A"/>
    <w:rsid w:val="009B0A09"/>
    <w:rsid w:val="009B0F6E"/>
    <w:rsid w:val="009B1233"/>
    <w:rsid w:val="009B15C2"/>
    <w:rsid w:val="009B1C31"/>
    <w:rsid w:val="009B1EB2"/>
    <w:rsid w:val="009B223C"/>
    <w:rsid w:val="009B2D97"/>
    <w:rsid w:val="009B3BE9"/>
    <w:rsid w:val="009B4223"/>
    <w:rsid w:val="009B437D"/>
    <w:rsid w:val="009B4C32"/>
    <w:rsid w:val="009B4D93"/>
    <w:rsid w:val="009B511F"/>
    <w:rsid w:val="009B5416"/>
    <w:rsid w:val="009B5BC0"/>
    <w:rsid w:val="009B6508"/>
    <w:rsid w:val="009B654E"/>
    <w:rsid w:val="009B6C73"/>
    <w:rsid w:val="009B7044"/>
    <w:rsid w:val="009B736D"/>
    <w:rsid w:val="009B7CCA"/>
    <w:rsid w:val="009B7DC6"/>
    <w:rsid w:val="009C002C"/>
    <w:rsid w:val="009C0160"/>
    <w:rsid w:val="009C0640"/>
    <w:rsid w:val="009C0BEB"/>
    <w:rsid w:val="009C0CF3"/>
    <w:rsid w:val="009C1553"/>
    <w:rsid w:val="009C16DB"/>
    <w:rsid w:val="009C1C73"/>
    <w:rsid w:val="009C1D3B"/>
    <w:rsid w:val="009C1FD0"/>
    <w:rsid w:val="009C2189"/>
    <w:rsid w:val="009C2AF2"/>
    <w:rsid w:val="009C4E75"/>
    <w:rsid w:val="009C61B9"/>
    <w:rsid w:val="009C62B7"/>
    <w:rsid w:val="009C6A3E"/>
    <w:rsid w:val="009C7A88"/>
    <w:rsid w:val="009D0217"/>
    <w:rsid w:val="009D1848"/>
    <w:rsid w:val="009D1924"/>
    <w:rsid w:val="009D1ADE"/>
    <w:rsid w:val="009D2334"/>
    <w:rsid w:val="009D3264"/>
    <w:rsid w:val="009D36F3"/>
    <w:rsid w:val="009D42DE"/>
    <w:rsid w:val="009D4F9E"/>
    <w:rsid w:val="009D5953"/>
    <w:rsid w:val="009D5CDD"/>
    <w:rsid w:val="009D5F57"/>
    <w:rsid w:val="009D600F"/>
    <w:rsid w:val="009D60F0"/>
    <w:rsid w:val="009D7166"/>
    <w:rsid w:val="009E12B0"/>
    <w:rsid w:val="009E1832"/>
    <w:rsid w:val="009E18BD"/>
    <w:rsid w:val="009E19C6"/>
    <w:rsid w:val="009E2536"/>
    <w:rsid w:val="009E3BD2"/>
    <w:rsid w:val="009E4C44"/>
    <w:rsid w:val="009E507F"/>
    <w:rsid w:val="009E51D9"/>
    <w:rsid w:val="009E5230"/>
    <w:rsid w:val="009E5C18"/>
    <w:rsid w:val="009E6229"/>
    <w:rsid w:val="009E7933"/>
    <w:rsid w:val="009E7987"/>
    <w:rsid w:val="009F0290"/>
    <w:rsid w:val="009F06BC"/>
    <w:rsid w:val="009F0B2F"/>
    <w:rsid w:val="009F0C0D"/>
    <w:rsid w:val="009F11B6"/>
    <w:rsid w:val="009F1F09"/>
    <w:rsid w:val="009F21BD"/>
    <w:rsid w:val="009F428F"/>
    <w:rsid w:val="009F5397"/>
    <w:rsid w:val="009F5455"/>
    <w:rsid w:val="009F566D"/>
    <w:rsid w:val="009F5A37"/>
    <w:rsid w:val="009F5EF7"/>
    <w:rsid w:val="009F5F94"/>
    <w:rsid w:val="009F64DA"/>
    <w:rsid w:val="009F769B"/>
    <w:rsid w:val="00A0074A"/>
    <w:rsid w:val="00A011F6"/>
    <w:rsid w:val="00A01287"/>
    <w:rsid w:val="00A01761"/>
    <w:rsid w:val="00A01913"/>
    <w:rsid w:val="00A01DE2"/>
    <w:rsid w:val="00A02AA2"/>
    <w:rsid w:val="00A03CF1"/>
    <w:rsid w:val="00A04A65"/>
    <w:rsid w:val="00A053E6"/>
    <w:rsid w:val="00A0591E"/>
    <w:rsid w:val="00A0707E"/>
    <w:rsid w:val="00A073D2"/>
    <w:rsid w:val="00A07E1E"/>
    <w:rsid w:val="00A101F7"/>
    <w:rsid w:val="00A10869"/>
    <w:rsid w:val="00A111CD"/>
    <w:rsid w:val="00A11D59"/>
    <w:rsid w:val="00A11DD8"/>
    <w:rsid w:val="00A125D0"/>
    <w:rsid w:val="00A12943"/>
    <w:rsid w:val="00A12D50"/>
    <w:rsid w:val="00A13E6F"/>
    <w:rsid w:val="00A14289"/>
    <w:rsid w:val="00A143B9"/>
    <w:rsid w:val="00A15167"/>
    <w:rsid w:val="00A1537B"/>
    <w:rsid w:val="00A159C3"/>
    <w:rsid w:val="00A15A88"/>
    <w:rsid w:val="00A163C4"/>
    <w:rsid w:val="00A16B0F"/>
    <w:rsid w:val="00A16B6C"/>
    <w:rsid w:val="00A17B16"/>
    <w:rsid w:val="00A20B46"/>
    <w:rsid w:val="00A21475"/>
    <w:rsid w:val="00A218F0"/>
    <w:rsid w:val="00A22B64"/>
    <w:rsid w:val="00A23AA0"/>
    <w:rsid w:val="00A248F7"/>
    <w:rsid w:val="00A25661"/>
    <w:rsid w:val="00A2599B"/>
    <w:rsid w:val="00A25C86"/>
    <w:rsid w:val="00A25CA5"/>
    <w:rsid w:val="00A262A2"/>
    <w:rsid w:val="00A26603"/>
    <w:rsid w:val="00A30023"/>
    <w:rsid w:val="00A3004C"/>
    <w:rsid w:val="00A30098"/>
    <w:rsid w:val="00A30184"/>
    <w:rsid w:val="00A308C5"/>
    <w:rsid w:val="00A30BCC"/>
    <w:rsid w:val="00A31621"/>
    <w:rsid w:val="00A31808"/>
    <w:rsid w:val="00A31E03"/>
    <w:rsid w:val="00A31F73"/>
    <w:rsid w:val="00A32335"/>
    <w:rsid w:val="00A329B7"/>
    <w:rsid w:val="00A33B74"/>
    <w:rsid w:val="00A343F7"/>
    <w:rsid w:val="00A34DF8"/>
    <w:rsid w:val="00A35142"/>
    <w:rsid w:val="00A353DF"/>
    <w:rsid w:val="00A35C0B"/>
    <w:rsid w:val="00A36050"/>
    <w:rsid w:val="00A36348"/>
    <w:rsid w:val="00A36A8B"/>
    <w:rsid w:val="00A37305"/>
    <w:rsid w:val="00A374CC"/>
    <w:rsid w:val="00A37942"/>
    <w:rsid w:val="00A379D8"/>
    <w:rsid w:val="00A4025B"/>
    <w:rsid w:val="00A404A3"/>
    <w:rsid w:val="00A40C19"/>
    <w:rsid w:val="00A4153B"/>
    <w:rsid w:val="00A42094"/>
    <w:rsid w:val="00A423FD"/>
    <w:rsid w:val="00A42571"/>
    <w:rsid w:val="00A427C4"/>
    <w:rsid w:val="00A42E5C"/>
    <w:rsid w:val="00A4338C"/>
    <w:rsid w:val="00A44B84"/>
    <w:rsid w:val="00A45758"/>
    <w:rsid w:val="00A45B0A"/>
    <w:rsid w:val="00A45EB5"/>
    <w:rsid w:val="00A461E3"/>
    <w:rsid w:val="00A46DD3"/>
    <w:rsid w:val="00A47DC9"/>
    <w:rsid w:val="00A47DDE"/>
    <w:rsid w:val="00A47F5E"/>
    <w:rsid w:val="00A47FCA"/>
    <w:rsid w:val="00A50AD8"/>
    <w:rsid w:val="00A51FA2"/>
    <w:rsid w:val="00A53465"/>
    <w:rsid w:val="00A53A17"/>
    <w:rsid w:val="00A54B62"/>
    <w:rsid w:val="00A54EC1"/>
    <w:rsid w:val="00A54FF9"/>
    <w:rsid w:val="00A55DF8"/>
    <w:rsid w:val="00A56B98"/>
    <w:rsid w:val="00A5740D"/>
    <w:rsid w:val="00A57CCF"/>
    <w:rsid w:val="00A60282"/>
    <w:rsid w:val="00A60403"/>
    <w:rsid w:val="00A60C4E"/>
    <w:rsid w:val="00A621B5"/>
    <w:rsid w:val="00A63BA2"/>
    <w:rsid w:val="00A63CBB"/>
    <w:rsid w:val="00A643C9"/>
    <w:rsid w:val="00A64BED"/>
    <w:rsid w:val="00A64EB0"/>
    <w:rsid w:val="00A65521"/>
    <w:rsid w:val="00A65C73"/>
    <w:rsid w:val="00A66791"/>
    <w:rsid w:val="00A678DA"/>
    <w:rsid w:val="00A67D6D"/>
    <w:rsid w:val="00A67F16"/>
    <w:rsid w:val="00A70269"/>
    <w:rsid w:val="00A703C0"/>
    <w:rsid w:val="00A71297"/>
    <w:rsid w:val="00A71516"/>
    <w:rsid w:val="00A72595"/>
    <w:rsid w:val="00A737A1"/>
    <w:rsid w:val="00A743C3"/>
    <w:rsid w:val="00A74713"/>
    <w:rsid w:val="00A74C11"/>
    <w:rsid w:val="00A757B2"/>
    <w:rsid w:val="00A759C3"/>
    <w:rsid w:val="00A75A00"/>
    <w:rsid w:val="00A75B2E"/>
    <w:rsid w:val="00A76396"/>
    <w:rsid w:val="00A76A36"/>
    <w:rsid w:val="00A77F60"/>
    <w:rsid w:val="00A80267"/>
    <w:rsid w:val="00A80728"/>
    <w:rsid w:val="00A80FFA"/>
    <w:rsid w:val="00A81725"/>
    <w:rsid w:val="00A81CF4"/>
    <w:rsid w:val="00A81D1E"/>
    <w:rsid w:val="00A821E1"/>
    <w:rsid w:val="00A82217"/>
    <w:rsid w:val="00A833DC"/>
    <w:rsid w:val="00A839B9"/>
    <w:rsid w:val="00A83B69"/>
    <w:rsid w:val="00A83E2A"/>
    <w:rsid w:val="00A8416B"/>
    <w:rsid w:val="00A844F1"/>
    <w:rsid w:val="00A8454B"/>
    <w:rsid w:val="00A856FA"/>
    <w:rsid w:val="00A85A99"/>
    <w:rsid w:val="00A85C8F"/>
    <w:rsid w:val="00A87204"/>
    <w:rsid w:val="00A878A6"/>
    <w:rsid w:val="00A87B55"/>
    <w:rsid w:val="00A903FD"/>
    <w:rsid w:val="00A9042E"/>
    <w:rsid w:val="00A9063F"/>
    <w:rsid w:val="00A91505"/>
    <w:rsid w:val="00A9164C"/>
    <w:rsid w:val="00A9174C"/>
    <w:rsid w:val="00A920B6"/>
    <w:rsid w:val="00A922F8"/>
    <w:rsid w:val="00A92827"/>
    <w:rsid w:val="00A92856"/>
    <w:rsid w:val="00A9410E"/>
    <w:rsid w:val="00A941AF"/>
    <w:rsid w:val="00A95655"/>
    <w:rsid w:val="00A95A2B"/>
    <w:rsid w:val="00A96920"/>
    <w:rsid w:val="00A971F0"/>
    <w:rsid w:val="00A97D8C"/>
    <w:rsid w:val="00AA0C51"/>
    <w:rsid w:val="00AA1146"/>
    <w:rsid w:val="00AA2185"/>
    <w:rsid w:val="00AA2684"/>
    <w:rsid w:val="00AA312D"/>
    <w:rsid w:val="00AA5159"/>
    <w:rsid w:val="00AA6A3E"/>
    <w:rsid w:val="00AA6FD0"/>
    <w:rsid w:val="00AA7580"/>
    <w:rsid w:val="00AA7FD0"/>
    <w:rsid w:val="00AB12D2"/>
    <w:rsid w:val="00AB20DF"/>
    <w:rsid w:val="00AB22F8"/>
    <w:rsid w:val="00AB242F"/>
    <w:rsid w:val="00AB27C7"/>
    <w:rsid w:val="00AB27D0"/>
    <w:rsid w:val="00AB356D"/>
    <w:rsid w:val="00AB37AF"/>
    <w:rsid w:val="00AB3DE8"/>
    <w:rsid w:val="00AB413A"/>
    <w:rsid w:val="00AB619D"/>
    <w:rsid w:val="00AB661E"/>
    <w:rsid w:val="00AB6EA3"/>
    <w:rsid w:val="00AB7056"/>
    <w:rsid w:val="00AB734A"/>
    <w:rsid w:val="00AB7496"/>
    <w:rsid w:val="00AB7630"/>
    <w:rsid w:val="00AB7ACE"/>
    <w:rsid w:val="00AB7BA3"/>
    <w:rsid w:val="00AB7C27"/>
    <w:rsid w:val="00AC0318"/>
    <w:rsid w:val="00AC09BC"/>
    <w:rsid w:val="00AC16A5"/>
    <w:rsid w:val="00AC19B6"/>
    <w:rsid w:val="00AC1A65"/>
    <w:rsid w:val="00AC3CAA"/>
    <w:rsid w:val="00AC4143"/>
    <w:rsid w:val="00AC4FCD"/>
    <w:rsid w:val="00AC5776"/>
    <w:rsid w:val="00AC5854"/>
    <w:rsid w:val="00AC598B"/>
    <w:rsid w:val="00AC5F03"/>
    <w:rsid w:val="00AC6290"/>
    <w:rsid w:val="00AC685F"/>
    <w:rsid w:val="00AC6A2F"/>
    <w:rsid w:val="00AC6AFA"/>
    <w:rsid w:val="00AC708E"/>
    <w:rsid w:val="00AC71C4"/>
    <w:rsid w:val="00AC7BCD"/>
    <w:rsid w:val="00AC7D04"/>
    <w:rsid w:val="00AD035A"/>
    <w:rsid w:val="00AD08F0"/>
    <w:rsid w:val="00AD127B"/>
    <w:rsid w:val="00AD15CB"/>
    <w:rsid w:val="00AD1F14"/>
    <w:rsid w:val="00AD2E9D"/>
    <w:rsid w:val="00AD3385"/>
    <w:rsid w:val="00AD3E7F"/>
    <w:rsid w:val="00AD45E8"/>
    <w:rsid w:val="00AD5191"/>
    <w:rsid w:val="00AD5F80"/>
    <w:rsid w:val="00AD6109"/>
    <w:rsid w:val="00AD63FA"/>
    <w:rsid w:val="00AD6533"/>
    <w:rsid w:val="00AD6FCB"/>
    <w:rsid w:val="00AD73AB"/>
    <w:rsid w:val="00AE11EC"/>
    <w:rsid w:val="00AE13A5"/>
    <w:rsid w:val="00AE17C5"/>
    <w:rsid w:val="00AE1CF9"/>
    <w:rsid w:val="00AE266B"/>
    <w:rsid w:val="00AE3445"/>
    <w:rsid w:val="00AE3637"/>
    <w:rsid w:val="00AE409D"/>
    <w:rsid w:val="00AE42AC"/>
    <w:rsid w:val="00AE44C8"/>
    <w:rsid w:val="00AE44D9"/>
    <w:rsid w:val="00AE4BBA"/>
    <w:rsid w:val="00AE578D"/>
    <w:rsid w:val="00AE62D8"/>
    <w:rsid w:val="00AE681D"/>
    <w:rsid w:val="00AE68E1"/>
    <w:rsid w:val="00AE7059"/>
    <w:rsid w:val="00AF0F7D"/>
    <w:rsid w:val="00AF11FD"/>
    <w:rsid w:val="00AF197E"/>
    <w:rsid w:val="00AF1A4D"/>
    <w:rsid w:val="00AF238E"/>
    <w:rsid w:val="00AF2FAF"/>
    <w:rsid w:val="00AF3464"/>
    <w:rsid w:val="00AF3D37"/>
    <w:rsid w:val="00AF4B78"/>
    <w:rsid w:val="00AF4C27"/>
    <w:rsid w:val="00AF598B"/>
    <w:rsid w:val="00AF5D63"/>
    <w:rsid w:val="00AF6ACE"/>
    <w:rsid w:val="00AF6CED"/>
    <w:rsid w:val="00AF7429"/>
    <w:rsid w:val="00B002EB"/>
    <w:rsid w:val="00B00547"/>
    <w:rsid w:val="00B00726"/>
    <w:rsid w:val="00B00F2E"/>
    <w:rsid w:val="00B01B7C"/>
    <w:rsid w:val="00B01DB6"/>
    <w:rsid w:val="00B01FFD"/>
    <w:rsid w:val="00B02907"/>
    <w:rsid w:val="00B02B90"/>
    <w:rsid w:val="00B031E4"/>
    <w:rsid w:val="00B03621"/>
    <w:rsid w:val="00B03BE3"/>
    <w:rsid w:val="00B03FA3"/>
    <w:rsid w:val="00B05233"/>
    <w:rsid w:val="00B056AE"/>
    <w:rsid w:val="00B05F2E"/>
    <w:rsid w:val="00B05FCF"/>
    <w:rsid w:val="00B06033"/>
    <w:rsid w:val="00B06AA9"/>
    <w:rsid w:val="00B074D1"/>
    <w:rsid w:val="00B07A90"/>
    <w:rsid w:val="00B103CE"/>
    <w:rsid w:val="00B10F56"/>
    <w:rsid w:val="00B117BB"/>
    <w:rsid w:val="00B11A9A"/>
    <w:rsid w:val="00B120D0"/>
    <w:rsid w:val="00B14D6A"/>
    <w:rsid w:val="00B15188"/>
    <w:rsid w:val="00B15AB9"/>
    <w:rsid w:val="00B15E34"/>
    <w:rsid w:val="00B164AD"/>
    <w:rsid w:val="00B17221"/>
    <w:rsid w:val="00B178E4"/>
    <w:rsid w:val="00B17B74"/>
    <w:rsid w:val="00B17CB1"/>
    <w:rsid w:val="00B17E97"/>
    <w:rsid w:val="00B17FB0"/>
    <w:rsid w:val="00B210A5"/>
    <w:rsid w:val="00B21653"/>
    <w:rsid w:val="00B21CCE"/>
    <w:rsid w:val="00B2254E"/>
    <w:rsid w:val="00B226AC"/>
    <w:rsid w:val="00B22C19"/>
    <w:rsid w:val="00B22C81"/>
    <w:rsid w:val="00B22F4D"/>
    <w:rsid w:val="00B23256"/>
    <w:rsid w:val="00B2342D"/>
    <w:rsid w:val="00B237DC"/>
    <w:rsid w:val="00B2485F"/>
    <w:rsid w:val="00B248AF"/>
    <w:rsid w:val="00B2603D"/>
    <w:rsid w:val="00B26131"/>
    <w:rsid w:val="00B26EA9"/>
    <w:rsid w:val="00B27285"/>
    <w:rsid w:val="00B27338"/>
    <w:rsid w:val="00B27908"/>
    <w:rsid w:val="00B27F02"/>
    <w:rsid w:val="00B3033E"/>
    <w:rsid w:val="00B303F7"/>
    <w:rsid w:val="00B30491"/>
    <w:rsid w:val="00B308F3"/>
    <w:rsid w:val="00B30F07"/>
    <w:rsid w:val="00B31658"/>
    <w:rsid w:val="00B32374"/>
    <w:rsid w:val="00B32D52"/>
    <w:rsid w:val="00B32E1D"/>
    <w:rsid w:val="00B32F28"/>
    <w:rsid w:val="00B3444A"/>
    <w:rsid w:val="00B35856"/>
    <w:rsid w:val="00B37C3E"/>
    <w:rsid w:val="00B37EED"/>
    <w:rsid w:val="00B402C2"/>
    <w:rsid w:val="00B403EC"/>
    <w:rsid w:val="00B405CF"/>
    <w:rsid w:val="00B40913"/>
    <w:rsid w:val="00B40E05"/>
    <w:rsid w:val="00B40F4E"/>
    <w:rsid w:val="00B410FF"/>
    <w:rsid w:val="00B4112F"/>
    <w:rsid w:val="00B418F8"/>
    <w:rsid w:val="00B41ECE"/>
    <w:rsid w:val="00B430EA"/>
    <w:rsid w:val="00B43DC8"/>
    <w:rsid w:val="00B43E1C"/>
    <w:rsid w:val="00B43E2B"/>
    <w:rsid w:val="00B440F1"/>
    <w:rsid w:val="00B446F8"/>
    <w:rsid w:val="00B44772"/>
    <w:rsid w:val="00B4672F"/>
    <w:rsid w:val="00B46C64"/>
    <w:rsid w:val="00B478D8"/>
    <w:rsid w:val="00B47AD7"/>
    <w:rsid w:val="00B47BE3"/>
    <w:rsid w:val="00B50A57"/>
    <w:rsid w:val="00B50C81"/>
    <w:rsid w:val="00B511A0"/>
    <w:rsid w:val="00B52ECE"/>
    <w:rsid w:val="00B531C2"/>
    <w:rsid w:val="00B531EA"/>
    <w:rsid w:val="00B534E7"/>
    <w:rsid w:val="00B552DE"/>
    <w:rsid w:val="00B556BD"/>
    <w:rsid w:val="00B55A94"/>
    <w:rsid w:val="00B55B0E"/>
    <w:rsid w:val="00B55E33"/>
    <w:rsid w:val="00B55F7E"/>
    <w:rsid w:val="00B55F84"/>
    <w:rsid w:val="00B57263"/>
    <w:rsid w:val="00B57A51"/>
    <w:rsid w:val="00B57B92"/>
    <w:rsid w:val="00B57BA2"/>
    <w:rsid w:val="00B603EF"/>
    <w:rsid w:val="00B608E2"/>
    <w:rsid w:val="00B60C5F"/>
    <w:rsid w:val="00B61A6D"/>
    <w:rsid w:val="00B61B2E"/>
    <w:rsid w:val="00B621F2"/>
    <w:rsid w:val="00B6232A"/>
    <w:rsid w:val="00B62D29"/>
    <w:rsid w:val="00B62FA1"/>
    <w:rsid w:val="00B63801"/>
    <w:rsid w:val="00B639AF"/>
    <w:rsid w:val="00B644C7"/>
    <w:rsid w:val="00B64609"/>
    <w:rsid w:val="00B647E0"/>
    <w:rsid w:val="00B64A47"/>
    <w:rsid w:val="00B6509F"/>
    <w:rsid w:val="00B65C55"/>
    <w:rsid w:val="00B65D33"/>
    <w:rsid w:val="00B66800"/>
    <w:rsid w:val="00B66D73"/>
    <w:rsid w:val="00B7145F"/>
    <w:rsid w:val="00B71C67"/>
    <w:rsid w:val="00B71F94"/>
    <w:rsid w:val="00B725FD"/>
    <w:rsid w:val="00B72E3B"/>
    <w:rsid w:val="00B73C22"/>
    <w:rsid w:val="00B73DF4"/>
    <w:rsid w:val="00B7439E"/>
    <w:rsid w:val="00B754C8"/>
    <w:rsid w:val="00B75613"/>
    <w:rsid w:val="00B75D08"/>
    <w:rsid w:val="00B76D23"/>
    <w:rsid w:val="00B77872"/>
    <w:rsid w:val="00B804A2"/>
    <w:rsid w:val="00B80899"/>
    <w:rsid w:val="00B808C7"/>
    <w:rsid w:val="00B80C90"/>
    <w:rsid w:val="00B810BE"/>
    <w:rsid w:val="00B81681"/>
    <w:rsid w:val="00B82452"/>
    <w:rsid w:val="00B82D69"/>
    <w:rsid w:val="00B83B00"/>
    <w:rsid w:val="00B83DA7"/>
    <w:rsid w:val="00B843C3"/>
    <w:rsid w:val="00B8449F"/>
    <w:rsid w:val="00B8495E"/>
    <w:rsid w:val="00B85A1F"/>
    <w:rsid w:val="00B85D0A"/>
    <w:rsid w:val="00B86352"/>
    <w:rsid w:val="00B878CD"/>
    <w:rsid w:val="00B90434"/>
    <w:rsid w:val="00B90771"/>
    <w:rsid w:val="00B90A6F"/>
    <w:rsid w:val="00B90BAF"/>
    <w:rsid w:val="00B91C6F"/>
    <w:rsid w:val="00B92334"/>
    <w:rsid w:val="00B925DD"/>
    <w:rsid w:val="00B9274B"/>
    <w:rsid w:val="00B938DA"/>
    <w:rsid w:val="00B942AE"/>
    <w:rsid w:val="00B946C8"/>
    <w:rsid w:val="00B95790"/>
    <w:rsid w:val="00B95BEC"/>
    <w:rsid w:val="00B95F0A"/>
    <w:rsid w:val="00B95F0C"/>
    <w:rsid w:val="00B96D1B"/>
    <w:rsid w:val="00B96FFB"/>
    <w:rsid w:val="00B97406"/>
    <w:rsid w:val="00B97569"/>
    <w:rsid w:val="00B97632"/>
    <w:rsid w:val="00B977CE"/>
    <w:rsid w:val="00B9780C"/>
    <w:rsid w:val="00BA11A5"/>
    <w:rsid w:val="00BA1A6B"/>
    <w:rsid w:val="00BA2005"/>
    <w:rsid w:val="00BA20B8"/>
    <w:rsid w:val="00BA21EC"/>
    <w:rsid w:val="00BA2D8C"/>
    <w:rsid w:val="00BA2FB4"/>
    <w:rsid w:val="00BA33DD"/>
    <w:rsid w:val="00BA34AE"/>
    <w:rsid w:val="00BA3561"/>
    <w:rsid w:val="00BA3793"/>
    <w:rsid w:val="00BA44C7"/>
    <w:rsid w:val="00BA4762"/>
    <w:rsid w:val="00BA5147"/>
    <w:rsid w:val="00BA620C"/>
    <w:rsid w:val="00BA62EA"/>
    <w:rsid w:val="00BA68D5"/>
    <w:rsid w:val="00BA6CB2"/>
    <w:rsid w:val="00BA7A9B"/>
    <w:rsid w:val="00BA7EAA"/>
    <w:rsid w:val="00BA7F74"/>
    <w:rsid w:val="00BB003B"/>
    <w:rsid w:val="00BB0A99"/>
    <w:rsid w:val="00BB17CC"/>
    <w:rsid w:val="00BB1DD3"/>
    <w:rsid w:val="00BB2303"/>
    <w:rsid w:val="00BB2631"/>
    <w:rsid w:val="00BB3C1F"/>
    <w:rsid w:val="00BB3E8A"/>
    <w:rsid w:val="00BB3FF3"/>
    <w:rsid w:val="00BB4495"/>
    <w:rsid w:val="00BB5015"/>
    <w:rsid w:val="00BB51D5"/>
    <w:rsid w:val="00BB532F"/>
    <w:rsid w:val="00BB5A2D"/>
    <w:rsid w:val="00BB5E0C"/>
    <w:rsid w:val="00BB5E15"/>
    <w:rsid w:val="00BB67F4"/>
    <w:rsid w:val="00BB69F3"/>
    <w:rsid w:val="00BB7C89"/>
    <w:rsid w:val="00BC0B03"/>
    <w:rsid w:val="00BC10DE"/>
    <w:rsid w:val="00BC1C2B"/>
    <w:rsid w:val="00BC20B2"/>
    <w:rsid w:val="00BC2669"/>
    <w:rsid w:val="00BC2E78"/>
    <w:rsid w:val="00BC30B9"/>
    <w:rsid w:val="00BC32F6"/>
    <w:rsid w:val="00BC3376"/>
    <w:rsid w:val="00BC37A6"/>
    <w:rsid w:val="00BC449F"/>
    <w:rsid w:val="00BC5383"/>
    <w:rsid w:val="00BC53E2"/>
    <w:rsid w:val="00BC5465"/>
    <w:rsid w:val="00BC5476"/>
    <w:rsid w:val="00BC597A"/>
    <w:rsid w:val="00BC60CE"/>
    <w:rsid w:val="00BC6DDB"/>
    <w:rsid w:val="00BC7C73"/>
    <w:rsid w:val="00BC7CFA"/>
    <w:rsid w:val="00BD0ED4"/>
    <w:rsid w:val="00BD2606"/>
    <w:rsid w:val="00BD2798"/>
    <w:rsid w:val="00BD304A"/>
    <w:rsid w:val="00BD39C7"/>
    <w:rsid w:val="00BD3BF9"/>
    <w:rsid w:val="00BD3F0E"/>
    <w:rsid w:val="00BD4306"/>
    <w:rsid w:val="00BD4520"/>
    <w:rsid w:val="00BD517F"/>
    <w:rsid w:val="00BD5AC0"/>
    <w:rsid w:val="00BD6805"/>
    <w:rsid w:val="00BD68F7"/>
    <w:rsid w:val="00BD6EDD"/>
    <w:rsid w:val="00BD70B2"/>
    <w:rsid w:val="00BD7374"/>
    <w:rsid w:val="00BE1727"/>
    <w:rsid w:val="00BE1BA4"/>
    <w:rsid w:val="00BE22BA"/>
    <w:rsid w:val="00BE237C"/>
    <w:rsid w:val="00BE23DB"/>
    <w:rsid w:val="00BE31B9"/>
    <w:rsid w:val="00BE3DF0"/>
    <w:rsid w:val="00BE68DC"/>
    <w:rsid w:val="00BE699D"/>
    <w:rsid w:val="00BE70C6"/>
    <w:rsid w:val="00BE762D"/>
    <w:rsid w:val="00BE7645"/>
    <w:rsid w:val="00BE7C2D"/>
    <w:rsid w:val="00BF0728"/>
    <w:rsid w:val="00BF170D"/>
    <w:rsid w:val="00BF1BE2"/>
    <w:rsid w:val="00BF24F0"/>
    <w:rsid w:val="00BF2784"/>
    <w:rsid w:val="00BF2B7C"/>
    <w:rsid w:val="00BF41CF"/>
    <w:rsid w:val="00BF49BF"/>
    <w:rsid w:val="00BF4E2B"/>
    <w:rsid w:val="00BF53CC"/>
    <w:rsid w:val="00BF5BD9"/>
    <w:rsid w:val="00BF747F"/>
    <w:rsid w:val="00BF780F"/>
    <w:rsid w:val="00BF79D8"/>
    <w:rsid w:val="00C00207"/>
    <w:rsid w:val="00C009C0"/>
    <w:rsid w:val="00C0119A"/>
    <w:rsid w:val="00C01529"/>
    <w:rsid w:val="00C0337B"/>
    <w:rsid w:val="00C03693"/>
    <w:rsid w:val="00C03CBA"/>
    <w:rsid w:val="00C0400A"/>
    <w:rsid w:val="00C04E31"/>
    <w:rsid w:val="00C05184"/>
    <w:rsid w:val="00C051A0"/>
    <w:rsid w:val="00C05294"/>
    <w:rsid w:val="00C06B18"/>
    <w:rsid w:val="00C073A2"/>
    <w:rsid w:val="00C078C3"/>
    <w:rsid w:val="00C101C5"/>
    <w:rsid w:val="00C101ED"/>
    <w:rsid w:val="00C10AC8"/>
    <w:rsid w:val="00C1124D"/>
    <w:rsid w:val="00C1228D"/>
    <w:rsid w:val="00C12DCE"/>
    <w:rsid w:val="00C13883"/>
    <w:rsid w:val="00C13E6E"/>
    <w:rsid w:val="00C1442F"/>
    <w:rsid w:val="00C14B07"/>
    <w:rsid w:val="00C14F96"/>
    <w:rsid w:val="00C151AE"/>
    <w:rsid w:val="00C151C2"/>
    <w:rsid w:val="00C15F16"/>
    <w:rsid w:val="00C178D8"/>
    <w:rsid w:val="00C17DEF"/>
    <w:rsid w:val="00C202D2"/>
    <w:rsid w:val="00C2099D"/>
    <w:rsid w:val="00C2125C"/>
    <w:rsid w:val="00C21D50"/>
    <w:rsid w:val="00C21E5C"/>
    <w:rsid w:val="00C21F14"/>
    <w:rsid w:val="00C224D3"/>
    <w:rsid w:val="00C22686"/>
    <w:rsid w:val="00C22C49"/>
    <w:rsid w:val="00C23335"/>
    <w:rsid w:val="00C23C06"/>
    <w:rsid w:val="00C23FF8"/>
    <w:rsid w:val="00C248EE"/>
    <w:rsid w:val="00C25462"/>
    <w:rsid w:val="00C26AC2"/>
    <w:rsid w:val="00C270EB"/>
    <w:rsid w:val="00C27199"/>
    <w:rsid w:val="00C30091"/>
    <w:rsid w:val="00C308FD"/>
    <w:rsid w:val="00C30931"/>
    <w:rsid w:val="00C31D22"/>
    <w:rsid w:val="00C328C8"/>
    <w:rsid w:val="00C32CC0"/>
    <w:rsid w:val="00C32EE4"/>
    <w:rsid w:val="00C33ABB"/>
    <w:rsid w:val="00C33D89"/>
    <w:rsid w:val="00C34319"/>
    <w:rsid w:val="00C35409"/>
    <w:rsid w:val="00C35F1D"/>
    <w:rsid w:val="00C36220"/>
    <w:rsid w:val="00C36405"/>
    <w:rsid w:val="00C3669E"/>
    <w:rsid w:val="00C3710A"/>
    <w:rsid w:val="00C3714F"/>
    <w:rsid w:val="00C40150"/>
    <w:rsid w:val="00C40603"/>
    <w:rsid w:val="00C406A3"/>
    <w:rsid w:val="00C40ABB"/>
    <w:rsid w:val="00C40E61"/>
    <w:rsid w:val="00C40F48"/>
    <w:rsid w:val="00C40F7B"/>
    <w:rsid w:val="00C4189C"/>
    <w:rsid w:val="00C4229D"/>
    <w:rsid w:val="00C448FD"/>
    <w:rsid w:val="00C44FE5"/>
    <w:rsid w:val="00C453E7"/>
    <w:rsid w:val="00C45595"/>
    <w:rsid w:val="00C45935"/>
    <w:rsid w:val="00C4593B"/>
    <w:rsid w:val="00C4599D"/>
    <w:rsid w:val="00C45D64"/>
    <w:rsid w:val="00C45DF5"/>
    <w:rsid w:val="00C463A5"/>
    <w:rsid w:val="00C46B8C"/>
    <w:rsid w:val="00C46E3B"/>
    <w:rsid w:val="00C46EB5"/>
    <w:rsid w:val="00C4711D"/>
    <w:rsid w:val="00C47341"/>
    <w:rsid w:val="00C47403"/>
    <w:rsid w:val="00C50194"/>
    <w:rsid w:val="00C5031E"/>
    <w:rsid w:val="00C5034C"/>
    <w:rsid w:val="00C512A6"/>
    <w:rsid w:val="00C51435"/>
    <w:rsid w:val="00C51F1C"/>
    <w:rsid w:val="00C522EF"/>
    <w:rsid w:val="00C5269E"/>
    <w:rsid w:val="00C526E6"/>
    <w:rsid w:val="00C52E52"/>
    <w:rsid w:val="00C5342C"/>
    <w:rsid w:val="00C536C0"/>
    <w:rsid w:val="00C539A8"/>
    <w:rsid w:val="00C55BAA"/>
    <w:rsid w:val="00C55E51"/>
    <w:rsid w:val="00C5629D"/>
    <w:rsid w:val="00C566C1"/>
    <w:rsid w:val="00C566E1"/>
    <w:rsid w:val="00C56F2D"/>
    <w:rsid w:val="00C571EB"/>
    <w:rsid w:val="00C57399"/>
    <w:rsid w:val="00C5783F"/>
    <w:rsid w:val="00C60289"/>
    <w:rsid w:val="00C60DC9"/>
    <w:rsid w:val="00C6121E"/>
    <w:rsid w:val="00C61242"/>
    <w:rsid w:val="00C61424"/>
    <w:rsid w:val="00C61D4D"/>
    <w:rsid w:val="00C6253D"/>
    <w:rsid w:val="00C626F4"/>
    <w:rsid w:val="00C6283C"/>
    <w:rsid w:val="00C6285B"/>
    <w:rsid w:val="00C62AC2"/>
    <w:rsid w:val="00C63237"/>
    <w:rsid w:val="00C639BF"/>
    <w:rsid w:val="00C63C9B"/>
    <w:rsid w:val="00C63DDA"/>
    <w:rsid w:val="00C64FFC"/>
    <w:rsid w:val="00C650C3"/>
    <w:rsid w:val="00C65AEA"/>
    <w:rsid w:val="00C662BF"/>
    <w:rsid w:val="00C66A3F"/>
    <w:rsid w:val="00C66D23"/>
    <w:rsid w:val="00C6768C"/>
    <w:rsid w:val="00C6773E"/>
    <w:rsid w:val="00C67D90"/>
    <w:rsid w:val="00C67E0F"/>
    <w:rsid w:val="00C70087"/>
    <w:rsid w:val="00C704A6"/>
    <w:rsid w:val="00C707B7"/>
    <w:rsid w:val="00C70DA2"/>
    <w:rsid w:val="00C715C2"/>
    <w:rsid w:val="00C722AB"/>
    <w:rsid w:val="00C72CC3"/>
    <w:rsid w:val="00C72D4E"/>
    <w:rsid w:val="00C73F18"/>
    <w:rsid w:val="00C745C2"/>
    <w:rsid w:val="00C74C60"/>
    <w:rsid w:val="00C75378"/>
    <w:rsid w:val="00C758F2"/>
    <w:rsid w:val="00C75948"/>
    <w:rsid w:val="00C75BD2"/>
    <w:rsid w:val="00C77080"/>
    <w:rsid w:val="00C779E8"/>
    <w:rsid w:val="00C77EBF"/>
    <w:rsid w:val="00C80013"/>
    <w:rsid w:val="00C801D7"/>
    <w:rsid w:val="00C80890"/>
    <w:rsid w:val="00C80C2F"/>
    <w:rsid w:val="00C81461"/>
    <w:rsid w:val="00C81647"/>
    <w:rsid w:val="00C819EB"/>
    <w:rsid w:val="00C82395"/>
    <w:rsid w:val="00C8278C"/>
    <w:rsid w:val="00C82DF3"/>
    <w:rsid w:val="00C82E36"/>
    <w:rsid w:val="00C82F49"/>
    <w:rsid w:val="00C840C4"/>
    <w:rsid w:val="00C84380"/>
    <w:rsid w:val="00C848DF"/>
    <w:rsid w:val="00C84ABF"/>
    <w:rsid w:val="00C84B3B"/>
    <w:rsid w:val="00C84D33"/>
    <w:rsid w:val="00C84D83"/>
    <w:rsid w:val="00C8505C"/>
    <w:rsid w:val="00C850EF"/>
    <w:rsid w:val="00C856CD"/>
    <w:rsid w:val="00C8640E"/>
    <w:rsid w:val="00C869EC"/>
    <w:rsid w:val="00C86F00"/>
    <w:rsid w:val="00C86F9F"/>
    <w:rsid w:val="00C9246C"/>
    <w:rsid w:val="00C92CCD"/>
    <w:rsid w:val="00C93149"/>
    <w:rsid w:val="00C93F30"/>
    <w:rsid w:val="00C9468C"/>
    <w:rsid w:val="00C949A9"/>
    <w:rsid w:val="00C94C3B"/>
    <w:rsid w:val="00C9638D"/>
    <w:rsid w:val="00C96BA7"/>
    <w:rsid w:val="00C96D8F"/>
    <w:rsid w:val="00C96E01"/>
    <w:rsid w:val="00C971E2"/>
    <w:rsid w:val="00C9757B"/>
    <w:rsid w:val="00C97BF9"/>
    <w:rsid w:val="00CA0A0C"/>
    <w:rsid w:val="00CA19D0"/>
    <w:rsid w:val="00CA1EB1"/>
    <w:rsid w:val="00CA21D9"/>
    <w:rsid w:val="00CA2606"/>
    <w:rsid w:val="00CA2D37"/>
    <w:rsid w:val="00CA2D4B"/>
    <w:rsid w:val="00CA30F7"/>
    <w:rsid w:val="00CA3640"/>
    <w:rsid w:val="00CA4077"/>
    <w:rsid w:val="00CA4813"/>
    <w:rsid w:val="00CA4850"/>
    <w:rsid w:val="00CA52C2"/>
    <w:rsid w:val="00CA54F1"/>
    <w:rsid w:val="00CA5742"/>
    <w:rsid w:val="00CB0356"/>
    <w:rsid w:val="00CB0474"/>
    <w:rsid w:val="00CB0688"/>
    <w:rsid w:val="00CB1E5C"/>
    <w:rsid w:val="00CB2002"/>
    <w:rsid w:val="00CB38C6"/>
    <w:rsid w:val="00CB3EEF"/>
    <w:rsid w:val="00CB4D51"/>
    <w:rsid w:val="00CB4DD2"/>
    <w:rsid w:val="00CB50FB"/>
    <w:rsid w:val="00CC00F1"/>
    <w:rsid w:val="00CC0173"/>
    <w:rsid w:val="00CC05F9"/>
    <w:rsid w:val="00CC0742"/>
    <w:rsid w:val="00CC0BBC"/>
    <w:rsid w:val="00CC138D"/>
    <w:rsid w:val="00CC2CEE"/>
    <w:rsid w:val="00CC2F0D"/>
    <w:rsid w:val="00CC341A"/>
    <w:rsid w:val="00CC4D55"/>
    <w:rsid w:val="00CC5257"/>
    <w:rsid w:val="00CC55DE"/>
    <w:rsid w:val="00CC58B9"/>
    <w:rsid w:val="00CC5B0D"/>
    <w:rsid w:val="00CC5FC2"/>
    <w:rsid w:val="00CC6BA1"/>
    <w:rsid w:val="00CC71AE"/>
    <w:rsid w:val="00CC7F05"/>
    <w:rsid w:val="00CC7F89"/>
    <w:rsid w:val="00CD15AF"/>
    <w:rsid w:val="00CD1887"/>
    <w:rsid w:val="00CD1A47"/>
    <w:rsid w:val="00CD1F26"/>
    <w:rsid w:val="00CD255D"/>
    <w:rsid w:val="00CD3CCC"/>
    <w:rsid w:val="00CD3DE5"/>
    <w:rsid w:val="00CD3ED6"/>
    <w:rsid w:val="00CD436B"/>
    <w:rsid w:val="00CD4885"/>
    <w:rsid w:val="00CD6A5F"/>
    <w:rsid w:val="00CD6CE2"/>
    <w:rsid w:val="00CD7AC9"/>
    <w:rsid w:val="00CE0CCD"/>
    <w:rsid w:val="00CE1655"/>
    <w:rsid w:val="00CE218C"/>
    <w:rsid w:val="00CE23F5"/>
    <w:rsid w:val="00CE29F3"/>
    <w:rsid w:val="00CE2CD6"/>
    <w:rsid w:val="00CE2EAE"/>
    <w:rsid w:val="00CE317A"/>
    <w:rsid w:val="00CE346A"/>
    <w:rsid w:val="00CE3738"/>
    <w:rsid w:val="00CE381D"/>
    <w:rsid w:val="00CE3C75"/>
    <w:rsid w:val="00CE4194"/>
    <w:rsid w:val="00CE4426"/>
    <w:rsid w:val="00CE695B"/>
    <w:rsid w:val="00CE6B04"/>
    <w:rsid w:val="00CF02EB"/>
    <w:rsid w:val="00CF0A2E"/>
    <w:rsid w:val="00CF0D93"/>
    <w:rsid w:val="00CF0FA3"/>
    <w:rsid w:val="00CF17CA"/>
    <w:rsid w:val="00CF1A49"/>
    <w:rsid w:val="00CF2319"/>
    <w:rsid w:val="00CF3A74"/>
    <w:rsid w:val="00CF4C2B"/>
    <w:rsid w:val="00CF5A55"/>
    <w:rsid w:val="00CF5B14"/>
    <w:rsid w:val="00CF5BD6"/>
    <w:rsid w:val="00CF5C6E"/>
    <w:rsid w:val="00CF63EC"/>
    <w:rsid w:val="00CF67F5"/>
    <w:rsid w:val="00CF6B88"/>
    <w:rsid w:val="00CF73B7"/>
    <w:rsid w:val="00CF7564"/>
    <w:rsid w:val="00D000AA"/>
    <w:rsid w:val="00D015C0"/>
    <w:rsid w:val="00D018FC"/>
    <w:rsid w:val="00D0190E"/>
    <w:rsid w:val="00D027BA"/>
    <w:rsid w:val="00D02ACE"/>
    <w:rsid w:val="00D02AD2"/>
    <w:rsid w:val="00D02AF3"/>
    <w:rsid w:val="00D03544"/>
    <w:rsid w:val="00D03C7A"/>
    <w:rsid w:val="00D03D78"/>
    <w:rsid w:val="00D03E57"/>
    <w:rsid w:val="00D05022"/>
    <w:rsid w:val="00D05761"/>
    <w:rsid w:val="00D0594D"/>
    <w:rsid w:val="00D066FA"/>
    <w:rsid w:val="00D06F38"/>
    <w:rsid w:val="00D077E9"/>
    <w:rsid w:val="00D07ABB"/>
    <w:rsid w:val="00D07B66"/>
    <w:rsid w:val="00D07FA7"/>
    <w:rsid w:val="00D10756"/>
    <w:rsid w:val="00D10B5D"/>
    <w:rsid w:val="00D10B75"/>
    <w:rsid w:val="00D10CFA"/>
    <w:rsid w:val="00D119BC"/>
    <w:rsid w:val="00D11F2B"/>
    <w:rsid w:val="00D125BB"/>
    <w:rsid w:val="00D134F1"/>
    <w:rsid w:val="00D13B01"/>
    <w:rsid w:val="00D13EE4"/>
    <w:rsid w:val="00D14063"/>
    <w:rsid w:val="00D14472"/>
    <w:rsid w:val="00D14DF9"/>
    <w:rsid w:val="00D15025"/>
    <w:rsid w:val="00D15049"/>
    <w:rsid w:val="00D15746"/>
    <w:rsid w:val="00D16042"/>
    <w:rsid w:val="00D16243"/>
    <w:rsid w:val="00D1627D"/>
    <w:rsid w:val="00D16635"/>
    <w:rsid w:val="00D166A1"/>
    <w:rsid w:val="00D17EE4"/>
    <w:rsid w:val="00D207A2"/>
    <w:rsid w:val="00D21D50"/>
    <w:rsid w:val="00D22AC9"/>
    <w:rsid w:val="00D22FA4"/>
    <w:rsid w:val="00D232AF"/>
    <w:rsid w:val="00D23F09"/>
    <w:rsid w:val="00D24827"/>
    <w:rsid w:val="00D24B08"/>
    <w:rsid w:val="00D24B36"/>
    <w:rsid w:val="00D26842"/>
    <w:rsid w:val="00D26D3A"/>
    <w:rsid w:val="00D27024"/>
    <w:rsid w:val="00D274B5"/>
    <w:rsid w:val="00D27A7B"/>
    <w:rsid w:val="00D27FB7"/>
    <w:rsid w:val="00D30048"/>
    <w:rsid w:val="00D303A6"/>
    <w:rsid w:val="00D30DCD"/>
    <w:rsid w:val="00D31379"/>
    <w:rsid w:val="00D31BF2"/>
    <w:rsid w:val="00D31C2D"/>
    <w:rsid w:val="00D32F57"/>
    <w:rsid w:val="00D3346B"/>
    <w:rsid w:val="00D33E6D"/>
    <w:rsid w:val="00D34426"/>
    <w:rsid w:val="00D346EE"/>
    <w:rsid w:val="00D348A9"/>
    <w:rsid w:val="00D351E8"/>
    <w:rsid w:val="00D3529A"/>
    <w:rsid w:val="00D35683"/>
    <w:rsid w:val="00D35812"/>
    <w:rsid w:val="00D360AD"/>
    <w:rsid w:val="00D3617F"/>
    <w:rsid w:val="00D362BA"/>
    <w:rsid w:val="00D36513"/>
    <w:rsid w:val="00D37B2F"/>
    <w:rsid w:val="00D37F82"/>
    <w:rsid w:val="00D4034E"/>
    <w:rsid w:val="00D413D2"/>
    <w:rsid w:val="00D422E9"/>
    <w:rsid w:val="00D42454"/>
    <w:rsid w:val="00D42DE8"/>
    <w:rsid w:val="00D42ECC"/>
    <w:rsid w:val="00D43C1F"/>
    <w:rsid w:val="00D43CC3"/>
    <w:rsid w:val="00D4436A"/>
    <w:rsid w:val="00D4474E"/>
    <w:rsid w:val="00D451B1"/>
    <w:rsid w:val="00D4552B"/>
    <w:rsid w:val="00D459D4"/>
    <w:rsid w:val="00D467DD"/>
    <w:rsid w:val="00D47114"/>
    <w:rsid w:val="00D47597"/>
    <w:rsid w:val="00D47A96"/>
    <w:rsid w:val="00D47E5F"/>
    <w:rsid w:val="00D47F8D"/>
    <w:rsid w:val="00D501F2"/>
    <w:rsid w:val="00D506A0"/>
    <w:rsid w:val="00D50CB6"/>
    <w:rsid w:val="00D511BE"/>
    <w:rsid w:val="00D51B27"/>
    <w:rsid w:val="00D52899"/>
    <w:rsid w:val="00D53A5F"/>
    <w:rsid w:val="00D53D37"/>
    <w:rsid w:val="00D53DE9"/>
    <w:rsid w:val="00D54B77"/>
    <w:rsid w:val="00D54D72"/>
    <w:rsid w:val="00D54DF5"/>
    <w:rsid w:val="00D550AF"/>
    <w:rsid w:val="00D552D9"/>
    <w:rsid w:val="00D556D2"/>
    <w:rsid w:val="00D55EE7"/>
    <w:rsid w:val="00D55F85"/>
    <w:rsid w:val="00D565C0"/>
    <w:rsid w:val="00D56A6A"/>
    <w:rsid w:val="00D56D07"/>
    <w:rsid w:val="00D570F4"/>
    <w:rsid w:val="00D6027D"/>
    <w:rsid w:val="00D604F4"/>
    <w:rsid w:val="00D61098"/>
    <w:rsid w:val="00D61502"/>
    <w:rsid w:val="00D61CCF"/>
    <w:rsid w:val="00D62162"/>
    <w:rsid w:val="00D6333D"/>
    <w:rsid w:val="00D648DB"/>
    <w:rsid w:val="00D65FD9"/>
    <w:rsid w:val="00D66069"/>
    <w:rsid w:val="00D666DE"/>
    <w:rsid w:val="00D66A32"/>
    <w:rsid w:val="00D67028"/>
    <w:rsid w:val="00D67C93"/>
    <w:rsid w:val="00D70D27"/>
    <w:rsid w:val="00D71265"/>
    <w:rsid w:val="00D712CA"/>
    <w:rsid w:val="00D71786"/>
    <w:rsid w:val="00D71BB5"/>
    <w:rsid w:val="00D72056"/>
    <w:rsid w:val="00D72179"/>
    <w:rsid w:val="00D72FD1"/>
    <w:rsid w:val="00D73DD9"/>
    <w:rsid w:val="00D74108"/>
    <w:rsid w:val="00D751FB"/>
    <w:rsid w:val="00D7641B"/>
    <w:rsid w:val="00D76E79"/>
    <w:rsid w:val="00D771A4"/>
    <w:rsid w:val="00D77522"/>
    <w:rsid w:val="00D77C71"/>
    <w:rsid w:val="00D80542"/>
    <w:rsid w:val="00D82921"/>
    <w:rsid w:val="00D82C14"/>
    <w:rsid w:val="00D82E19"/>
    <w:rsid w:val="00D83621"/>
    <w:rsid w:val="00D838E2"/>
    <w:rsid w:val="00D83C2A"/>
    <w:rsid w:val="00D8570D"/>
    <w:rsid w:val="00D870DA"/>
    <w:rsid w:val="00D87A0D"/>
    <w:rsid w:val="00D9093E"/>
    <w:rsid w:val="00D90DBA"/>
    <w:rsid w:val="00D90E84"/>
    <w:rsid w:val="00D913AD"/>
    <w:rsid w:val="00D9213A"/>
    <w:rsid w:val="00D93A43"/>
    <w:rsid w:val="00D9403B"/>
    <w:rsid w:val="00D94680"/>
    <w:rsid w:val="00D94813"/>
    <w:rsid w:val="00D94963"/>
    <w:rsid w:val="00D94DA7"/>
    <w:rsid w:val="00D94FF6"/>
    <w:rsid w:val="00D95066"/>
    <w:rsid w:val="00D95F32"/>
    <w:rsid w:val="00D95FA5"/>
    <w:rsid w:val="00D96E2E"/>
    <w:rsid w:val="00D9730E"/>
    <w:rsid w:val="00D9769D"/>
    <w:rsid w:val="00D97729"/>
    <w:rsid w:val="00D97D6B"/>
    <w:rsid w:val="00DA08CC"/>
    <w:rsid w:val="00DA0BB0"/>
    <w:rsid w:val="00DA0CB5"/>
    <w:rsid w:val="00DA0EFE"/>
    <w:rsid w:val="00DA1143"/>
    <w:rsid w:val="00DA11F2"/>
    <w:rsid w:val="00DA1372"/>
    <w:rsid w:val="00DA1C60"/>
    <w:rsid w:val="00DA277B"/>
    <w:rsid w:val="00DA3817"/>
    <w:rsid w:val="00DA4726"/>
    <w:rsid w:val="00DA48AC"/>
    <w:rsid w:val="00DA5D37"/>
    <w:rsid w:val="00DA5F9C"/>
    <w:rsid w:val="00DA7071"/>
    <w:rsid w:val="00DA726B"/>
    <w:rsid w:val="00DA7AC8"/>
    <w:rsid w:val="00DA7B20"/>
    <w:rsid w:val="00DA7D24"/>
    <w:rsid w:val="00DA7FCA"/>
    <w:rsid w:val="00DB090B"/>
    <w:rsid w:val="00DB20E8"/>
    <w:rsid w:val="00DB35BE"/>
    <w:rsid w:val="00DB3923"/>
    <w:rsid w:val="00DB393E"/>
    <w:rsid w:val="00DB3BD6"/>
    <w:rsid w:val="00DB46AE"/>
    <w:rsid w:val="00DB481E"/>
    <w:rsid w:val="00DB4B5D"/>
    <w:rsid w:val="00DB4BA6"/>
    <w:rsid w:val="00DB60E1"/>
    <w:rsid w:val="00DB6379"/>
    <w:rsid w:val="00DB6489"/>
    <w:rsid w:val="00DB6D75"/>
    <w:rsid w:val="00DB6DBB"/>
    <w:rsid w:val="00DB70EB"/>
    <w:rsid w:val="00DB7166"/>
    <w:rsid w:val="00DB7197"/>
    <w:rsid w:val="00DC059F"/>
    <w:rsid w:val="00DC14DE"/>
    <w:rsid w:val="00DC1BAE"/>
    <w:rsid w:val="00DC1F7A"/>
    <w:rsid w:val="00DC2143"/>
    <w:rsid w:val="00DC222E"/>
    <w:rsid w:val="00DC2288"/>
    <w:rsid w:val="00DC2514"/>
    <w:rsid w:val="00DC2622"/>
    <w:rsid w:val="00DC2A53"/>
    <w:rsid w:val="00DC2B16"/>
    <w:rsid w:val="00DC2F1A"/>
    <w:rsid w:val="00DC31DF"/>
    <w:rsid w:val="00DC31F1"/>
    <w:rsid w:val="00DC38DA"/>
    <w:rsid w:val="00DC3C1E"/>
    <w:rsid w:val="00DC3C8E"/>
    <w:rsid w:val="00DC3D1D"/>
    <w:rsid w:val="00DC4605"/>
    <w:rsid w:val="00DC4662"/>
    <w:rsid w:val="00DC4CD2"/>
    <w:rsid w:val="00DC4E08"/>
    <w:rsid w:val="00DC53AA"/>
    <w:rsid w:val="00DC58E3"/>
    <w:rsid w:val="00DC5FEB"/>
    <w:rsid w:val="00DC62A1"/>
    <w:rsid w:val="00DC6401"/>
    <w:rsid w:val="00DC65F5"/>
    <w:rsid w:val="00DD0429"/>
    <w:rsid w:val="00DD0559"/>
    <w:rsid w:val="00DD0832"/>
    <w:rsid w:val="00DD0EF8"/>
    <w:rsid w:val="00DD1EC5"/>
    <w:rsid w:val="00DD21E5"/>
    <w:rsid w:val="00DD2523"/>
    <w:rsid w:val="00DD25C4"/>
    <w:rsid w:val="00DD29A7"/>
    <w:rsid w:val="00DD3007"/>
    <w:rsid w:val="00DD31D9"/>
    <w:rsid w:val="00DD37FA"/>
    <w:rsid w:val="00DD3F49"/>
    <w:rsid w:val="00DD41AF"/>
    <w:rsid w:val="00DD569C"/>
    <w:rsid w:val="00DD56E8"/>
    <w:rsid w:val="00DD5982"/>
    <w:rsid w:val="00DD5BF8"/>
    <w:rsid w:val="00DD5E23"/>
    <w:rsid w:val="00DD6C5A"/>
    <w:rsid w:val="00DD7118"/>
    <w:rsid w:val="00DD716C"/>
    <w:rsid w:val="00DD77C9"/>
    <w:rsid w:val="00DE0DA8"/>
    <w:rsid w:val="00DE1EF6"/>
    <w:rsid w:val="00DE2A54"/>
    <w:rsid w:val="00DE326F"/>
    <w:rsid w:val="00DE3525"/>
    <w:rsid w:val="00DE3A92"/>
    <w:rsid w:val="00DE43BB"/>
    <w:rsid w:val="00DE5D75"/>
    <w:rsid w:val="00DE6000"/>
    <w:rsid w:val="00DE61A2"/>
    <w:rsid w:val="00DE6EC4"/>
    <w:rsid w:val="00DE78D3"/>
    <w:rsid w:val="00DE7B6C"/>
    <w:rsid w:val="00DE7E39"/>
    <w:rsid w:val="00DE7E6C"/>
    <w:rsid w:val="00DF01D8"/>
    <w:rsid w:val="00DF09C6"/>
    <w:rsid w:val="00DF146E"/>
    <w:rsid w:val="00DF1E30"/>
    <w:rsid w:val="00DF2077"/>
    <w:rsid w:val="00DF3408"/>
    <w:rsid w:val="00DF36E0"/>
    <w:rsid w:val="00DF446F"/>
    <w:rsid w:val="00DF4A1B"/>
    <w:rsid w:val="00DF4B8B"/>
    <w:rsid w:val="00DF4D7B"/>
    <w:rsid w:val="00DF593D"/>
    <w:rsid w:val="00DF63B6"/>
    <w:rsid w:val="00DF6B7A"/>
    <w:rsid w:val="00DF6D81"/>
    <w:rsid w:val="00DF714C"/>
    <w:rsid w:val="00DF7776"/>
    <w:rsid w:val="00DF7AD7"/>
    <w:rsid w:val="00DF7F9B"/>
    <w:rsid w:val="00E003EA"/>
    <w:rsid w:val="00E01436"/>
    <w:rsid w:val="00E01767"/>
    <w:rsid w:val="00E01E35"/>
    <w:rsid w:val="00E01EAA"/>
    <w:rsid w:val="00E0281E"/>
    <w:rsid w:val="00E035A4"/>
    <w:rsid w:val="00E035AA"/>
    <w:rsid w:val="00E03A07"/>
    <w:rsid w:val="00E045CE"/>
    <w:rsid w:val="00E05165"/>
    <w:rsid w:val="00E051B7"/>
    <w:rsid w:val="00E05937"/>
    <w:rsid w:val="00E0664B"/>
    <w:rsid w:val="00E0665B"/>
    <w:rsid w:val="00E073A2"/>
    <w:rsid w:val="00E075FE"/>
    <w:rsid w:val="00E10D7B"/>
    <w:rsid w:val="00E111B4"/>
    <w:rsid w:val="00E111EF"/>
    <w:rsid w:val="00E114A4"/>
    <w:rsid w:val="00E11541"/>
    <w:rsid w:val="00E11FA2"/>
    <w:rsid w:val="00E1210B"/>
    <w:rsid w:val="00E1287B"/>
    <w:rsid w:val="00E1309C"/>
    <w:rsid w:val="00E1390F"/>
    <w:rsid w:val="00E139BC"/>
    <w:rsid w:val="00E13CE2"/>
    <w:rsid w:val="00E142EA"/>
    <w:rsid w:val="00E146C9"/>
    <w:rsid w:val="00E152BA"/>
    <w:rsid w:val="00E157E6"/>
    <w:rsid w:val="00E15E44"/>
    <w:rsid w:val="00E15F7E"/>
    <w:rsid w:val="00E16181"/>
    <w:rsid w:val="00E163F0"/>
    <w:rsid w:val="00E1743D"/>
    <w:rsid w:val="00E20106"/>
    <w:rsid w:val="00E209CA"/>
    <w:rsid w:val="00E228BA"/>
    <w:rsid w:val="00E228F6"/>
    <w:rsid w:val="00E22BF1"/>
    <w:rsid w:val="00E23952"/>
    <w:rsid w:val="00E23FD9"/>
    <w:rsid w:val="00E24165"/>
    <w:rsid w:val="00E2419F"/>
    <w:rsid w:val="00E245DB"/>
    <w:rsid w:val="00E24660"/>
    <w:rsid w:val="00E24EAC"/>
    <w:rsid w:val="00E25AD3"/>
    <w:rsid w:val="00E26402"/>
    <w:rsid w:val="00E266BD"/>
    <w:rsid w:val="00E27AFF"/>
    <w:rsid w:val="00E27C72"/>
    <w:rsid w:val="00E3031C"/>
    <w:rsid w:val="00E3068F"/>
    <w:rsid w:val="00E310F7"/>
    <w:rsid w:val="00E31D79"/>
    <w:rsid w:val="00E32045"/>
    <w:rsid w:val="00E32896"/>
    <w:rsid w:val="00E32BB8"/>
    <w:rsid w:val="00E32C2B"/>
    <w:rsid w:val="00E33099"/>
    <w:rsid w:val="00E3435E"/>
    <w:rsid w:val="00E344BD"/>
    <w:rsid w:val="00E346FD"/>
    <w:rsid w:val="00E354F4"/>
    <w:rsid w:val="00E35A47"/>
    <w:rsid w:val="00E36576"/>
    <w:rsid w:val="00E37750"/>
    <w:rsid w:val="00E37796"/>
    <w:rsid w:val="00E3796A"/>
    <w:rsid w:val="00E379F4"/>
    <w:rsid w:val="00E406CE"/>
    <w:rsid w:val="00E40AE0"/>
    <w:rsid w:val="00E40F21"/>
    <w:rsid w:val="00E41A6D"/>
    <w:rsid w:val="00E42450"/>
    <w:rsid w:val="00E4257D"/>
    <w:rsid w:val="00E42A19"/>
    <w:rsid w:val="00E42FC5"/>
    <w:rsid w:val="00E43BF7"/>
    <w:rsid w:val="00E43F0F"/>
    <w:rsid w:val="00E44334"/>
    <w:rsid w:val="00E44A07"/>
    <w:rsid w:val="00E44B0B"/>
    <w:rsid w:val="00E46194"/>
    <w:rsid w:val="00E4711D"/>
    <w:rsid w:val="00E47825"/>
    <w:rsid w:val="00E47FF2"/>
    <w:rsid w:val="00E505D1"/>
    <w:rsid w:val="00E50664"/>
    <w:rsid w:val="00E50A7C"/>
    <w:rsid w:val="00E51059"/>
    <w:rsid w:val="00E510E5"/>
    <w:rsid w:val="00E51919"/>
    <w:rsid w:val="00E5287D"/>
    <w:rsid w:val="00E530AD"/>
    <w:rsid w:val="00E534DF"/>
    <w:rsid w:val="00E53713"/>
    <w:rsid w:val="00E537A5"/>
    <w:rsid w:val="00E53863"/>
    <w:rsid w:val="00E5459C"/>
    <w:rsid w:val="00E54646"/>
    <w:rsid w:val="00E54DA6"/>
    <w:rsid w:val="00E54F07"/>
    <w:rsid w:val="00E55E38"/>
    <w:rsid w:val="00E56243"/>
    <w:rsid w:val="00E57554"/>
    <w:rsid w:val="00E57CD7"/>
    <w:rsid w:val="00E602AC"/>
    <w:rsid w:val="00E605E4"/>
    <w:rsid w:val="00E61BC5"/>
    <w:rsid w:val="00E625A0"/>
    <w:rsid w:val="00E62AAF"/>
    <w:rsid w:val="00E63D0B"/>
    <w:rsid w:val="00E63D6E"/>
    <w:rsid w:val="00E64705"/>
    <w:rsid w:val="00E64A74"/>
    <w:rsid w:val="00E64DBC"/>
    <w:rsid w:val="00E65AC5"/>
    <w:rsid w:val="00E65FA8"/>
    <w:rsid w:val="00E66197"/>
    <w:rsid w:val="00E66CF0"/>
    <w:rsid w:val="00E672EE"/>
    <w:rsid w:val="00E701D2"/>
    <w:rsid w:val="00E7024E"/>
    <w:rsid w:val="00E707CB"/>
    <w:rsid w:val="00E70959"/>
    <w:rsid w:val="00E70BDC"/>
    <w:rsid w:val="00E719CD"/>
    <w:rsid w:val="00E721A5"/>
    <w:rsid w:val="00E7233B"/>
    <w:rsid w:val="00E74322"/>
    <w:rsid w:val="00E747A8"/>
    <w:rsid w:val="00E748CE"/>
    <w:rsid w:val="00E74EDB"/>
    <w:rsid w:val="00E7552D"/>
    <w:rsid w:val="00E7652C"/>
    <w:rsid w:val="00E77FB0"/>
    <w:rsid w:val="00E8020B"/>
    <w:rsid w:val="00E8081A"/>
    <w:rsid w:val="00E8132A"/>
    <w:rsid w:val="00E81456"/>
    <w:rsid w:val="00E82364"/>
    <w:rsid w:val="00E824D3"/>
    <w:rsid w:val="00E82601"/>
    <w:rsid w:val="00E828D0"/>
    <w:rsid w:val="00E82A1C"/>
    <w:rsid w:val="00E82C3D"/>
    <w:rsid w:val="00E83BEA"/>
    <w:rsid w:val="00E84145"/>
    <w:rsid w:val="00E8447B"/>
    <w:rsid w:val="00E84FFE"/>
    <w:rsid w:val="00E85792"/>
    <w:rsid w:val="00E85B68"/>
    <w:rsid w:val="00E85E56"/>
    <w:rsid w:val="00E86230"/>
    <w:rsid w:val="00E867BE"/>
    <w:rsid w:val="00E868F4"/>
    <w:rsid w:val="00E878CF"/>
    <w:rsid w:val="00E87C2F"/>
    <w:rsid w:val="00E9022F"/>
    <w:rsid w:val="00E903D9"/>
    <w:rsid w:val="00E9055F"/>
    <w:rsid w:val="00E90C9A"/>
    <w:rsid w:val="00E90D17"/>
    <w:rsid w:val="00E91112"/>
    <w:rsid w:val="00E915BD"/>
    <w:rsid w:val="00E91B5E"/>
    <w:rsid w:val="00E921C4"/>
    <w:rsid w:val="00E92628"/>
    <w:rsid w:val="00E9286B"/>
    <w:rsid w:val="00E93155"/>
    <w:rsid w:val="00E94058"/>
    <w:rsid w:val="00E949EA"/>
    <w:rsid w:val="00E952CD"/>
    <w:rsid w:val="00E9644D"/>
    <w:rsid w:val="00E97BA1"/>
    <w:rsid w:val="00EA0104"/>
    <w:rsid w:val="00EA0242"/>
    <w:rsid w:val="00EA0263"/>
    <w:rsid w:val="00EA0B79"/>
    <w:rsid w:val="00EA0D25"/>
    <w:rsid w:val="00EA1A90"/>
    <w:rsid w:val="00EA1D62"/>
    <w:rsid w:val="00EA1E93"/>
    <w:rsid w:val="00EA2074"/>
    <w:rsid w:val="00EA29E3"/>
    <w:rsid w:val="00EA2C75"/>
    <w:rsid w:val="00EA2DC5"/>
    <w:rsid w:val="00EA2EAE"/>
    <w:rsid w:val="00EA30A9"/>
    <w:rsid w:val="00EA4380"/>
    <w:rsid w:val="00EA4C58"/>
    <w:rsid w:val="00EA5153"/>
    <w:rsid w:val="00EA5592"/>
    <w:rsid w:val="00EA5C19"/>
    <w:rsid w:val="00EA648D"/>
    <w:rsid w:val="00EA69D7"/>
    <w:rsid w:val="00EA6C27"/>
    <w:rsid w:val="00EA7404"/>
    <w:rsid w:val="00EA7A06"/>
    <w:rsid w:val="00EB09C3"/>
    <w:rsid w:val="00EB257E"/>
    <w:rsid w:val="00EB2A3D"/>
    <w:rsid w:val="00EB2C1F"/>
    <w:rsid w:val="00EB2FBA"/>
    <w:rsid w:val="00EB3BBC"/>
    <w:rsid w:val="00EB3E85"/>
    <w:rsid w:val="00EB3F76"/>
    <w:rsid w:val="00EB45A6"/>
    <w:rsid w:val="00EB5010"/>
    <w:rsid w:val="00EB576C"/>
    <w:rsid w:val="00EB6E4D"/>
    <w:rsid w:val="00EB70F2"/>
    <w:rsid w:val="00EB7FAF"/>
    <w:rsid w:val="00EC0467"/>
    <w:rsid w:val="00EC191D"/>
    <w:rsid w:val="00EC1DF9"/>
    <w:rsid w:val="00EC1FFF"/>
    <w:rsid w:val="00EC2721"/>
    <w:rsid w:val="00EC2E34"/>
    <w:rsid w:val="00EC3564"/>
    <w:rsid w:val="00EC3C08"/>
    <w:rsid w:val="00EC3E85"/>
    <w:rsid w:val="00EC587E"/>
    <w:rsid w:val="00EC5F0B"/>
    <w:rsid w:val="00EC6346"/>
    <w:rsid w:val="00EC69B8"/>
    <w:rsid w:val="00EC6B33"/>
    <w:rsid w:val="00EC7787"/>
    <w:rsid w:val="00EC7A37"/>
    <w:rsid w:val="00EC7CE0"/>
    <w:rsid w:val="00ED015E"/>
    <w:rsid w:val="00ED032B"/>
    <w:rsid w:val="00ED051E"/>
    <w:rsid w:val="00ED08E5"/>
    <w:rsid w:val="00ED19CB"/>
    <w:rsid w:val="00ED1F29"/>
    <w:rsid w:val="00ED3332"/>
    <w:rsid w:val="00ED3E0A"/>
    <w:rsid w:val="00ED3E33"/>
    <w:rsid w:val="00ED4B65"/>
    <w:rsid w:val="00ED5D83"/>
    <w:rsid w:val="00ED6BB3"/>
    <w:rsid w:val="00ED6CA1"/>
    <w:rsid w:val="00ED6D33"/>
    <w:rsid w:val="00ED6DBB"/>
    <w:rsid w:val="00ED785D"/>
    <w:rsid w:val="00ED7B2C"/>
    <w:rsid w:val="00EE05DC"/>
    <w:rsid w:val="00EE0A08"/>
    <w:rsid w:val="00EE1018"/>
    <w:rsid w:val="00EE1BF7"/>
    <w:rsid w:val="00EE1EAC"/>
    <w:rsid w:val="00EE2CC1"/>
    <w:rsid w:val="00EE2E78"/>
    <w:rsid w:val="00EE5115"/>
    <w:rsid w:val="00EE59B7"/>
    <w:rsid w:val="00EE6F46"/>
    <w:rsid w:val="00EE7878"/>
    <w:rsid w:val="00EE7BC3"/>
    <w:rsid w:val="00EF0165"/>
    <w:rsid w:val="00EF12F1"/>
    <w:rsid w:val="00EF13AD"/>
    <w:rsid w:val="00EF199C"/>
    <w:rsid w:val="00EF1EED"/>
    <w:rsid w:val="00EF1FD2"/>
    <w:rsid w:val="00EF286D"/>
    <w:rsid w:val="00EF3E7E"/>
    <w:rsid w:val="00EF479B"/>
    <w:rsid w:val="00EF4D06"/>
    <w:rsid w:val="00EF529C"/>
    <w:rsid w:val="00EF5A6D"/>
    <w:rsid w:val="00EF65EE"/>
    <w:rsid w:val="00EF66E2"/>
    <w:rsid w:val="00EF7B24"/>
    <w:rsid w:val="00EF7B71"/>
    <w:rsid w:val="00F001E4"/>
    <w:rsid w:val="00F0044C"/>
    <w:rsid w:val="00F00625"/>
    <w:rsid w:val="00F01A74"/>
    <w:rsid w:val="00F02255"/>
    <w:rsid w:val="00F024EC"/>
    <w:rsid w:val="00F02687"/>
    <w:rsid w:val="00F02823"/>
    <w:rsid w:val="00F0311C"/>
    <w:rsid w:val="00F03F3D"/>
    <w:rsid w:val="00F0426C"/>
    <w:rsid w:val="00F04385"/>
    <w:rsid w:val="00F0463C"/>
    <w:rsid w:val="00F05559"/>
    <w:rsid w:val="00F058D6"/>
    <w:rsid w:val="00F05C9D"/>
    <w:rsid w:val="00F05CBE"/>
    <w:rsid w:val="00F06040"/>
    <w:rsid w:val="00F064EE"/>
    <w:rsid w:val="00F06632"/>
    <w:rsid w:val="00F07884"/>
    <w:rsid w:val="00F07B22"/>
    <w:rsid w:val="00F07DD0"/>
    <w:rsid w:val="00F10069"/>
    <w:rsid w:val="00F102FB"/>
    <w:rsid w:val="00F1097E"/>
    <w:rsid w:val="00F10A37"/>
    <w:rsid w:val="00F114E9"/>
    <w:rsid w:val="00F11630"/>
    <w:rsid w:val="00F12007"/>
    <w:rsid w:val="00F12053"/>
    <w:rsid w:val="00F13A8F"/>
    <w:rsid w:val="00F13DF4"/>
    <w:rsid w:val="00F13FA3"/>
    <w:rsid w:val="00F14BC2"/>
    <w:rsid w:val="00F14CBB"/>
    <w:rsid w:val="00F14F87"/>
    <w:rsid w:val="00F1503C"/>
    <w:rsid w:val="00F15A36"/>
    <w:rsid w:val="00F1630D"/>
    <w:rsid w:val="00F17249"/>
    <w:rsid w:val="00F17A44"/>
    <w:rsid w:val="00F17C44"/>
    <w:rsid w:val="00F205A6"/>
    <w:rsid w:val="00F23581"/>
    <w:rsid w:val="00F249C8"/>
    <w:rsid w:val="00F24EC8"/>
    <w:rsid w:val="00F2557D"/>
    <w:rsid w:val="00F25DE3"/>
    <w:rsid w:val="00F26F68"/>
    <w:rsid w:val="00F26FFF"/>
    <w:rsid w:val="00F27545"/>
    <w:rsid w:val="00F27CA2"/>
    <w:rsid w:val="00F27F59"/>
    <w:rsid w:val="00F30560"/>
    <w:rsid w:val="00F30859"/>
    <w:rsid w:val="00F308A3"/>
    <w:rsid w:val="00F30BEA"/>
    <w:rsid w:val="00F310A4"/>
    <w:rsid w:val="00F32897"/>
    <w:rsid w:val="00F32B5E"/>
    <w:rsid w:val="00F330AC"/>
    <w:rsid w:val="00F334ED"/>
    <w:rsid w:val="00F33BA0"/>
    <w:rsid w:val="00F34AC2"/>
    <w:rsid w:val="00F34E60"/>
    <w:rsid w:val="00F3522D"/>
    <w:rsid w:val="00F35FB2"/>
    <w:rsid w:val="00F36765"/>
    <w:rsid w:val="00F3683C"/>
    <w:rsid w:val="00F37085"/>
    <w:rsid w:val="00F37167"/>
    <w:rsid w:val="00F402AC"/>
    <w:rsid w:val="00F40BC8"/>
    <w:rsid w:val="00F41369"/>
    <w:rsid w:val="00F417A6"/>
    <w:rsid w:val="00F41E58"/>
    <w:rsid w:val="00F42907"/>
    <w:rsid w:val="00F43946"/>
    <w:rsid w:val="00F43EBE"/>
    <w:rsid w:val="00F441E5"/>
    <w:rsid w:val="00F45547"/>
    <w:rsid w:val="00F455FA"/>
    <w:rsid w:val="00F45721"/>
    <w:rsid w:val="00F46E6C"/>
    <w:rsid w:val="00F47023"/>
    <w:rsid w:val="00F478D7"/>
    <w:rsid w:val="00F5000B"/>
    <w:rsid w:val="00F50193"/>
    <w:rsid w:val="00F50263"/>
    <w:rsid w:val="00F50816"/>
    <w:rsid w:val="00F50B55"/>
    <w:rsid w:val="00F5153E"/>
    <w:rsid w:val="00F51633"/>
    <w:rsid w:val="00F51AB7"/>
    <w:rsid w:val="00F52437"/>
    <w:rsid w:val="00F52640"/>
    <w:rsid w:val="00F532D8"/>
    <w:rsid w:val="00F542AD"/>
    <w:rsid w:val="00F54635"/>
    <w:rsid w:val="00F5489A"/>
    <w:rsid w:val="00F54C32"/>
    <w:rsid w:val="00F55103"/>
    <w:rsid w:val="00F5534E"/>
    <w:rsid w:val="00F56640"/>
    <w:rsid w:val="00F56B20"/>
    <w:rsid w:val="00F575F7"/>
    <w:rsid w:val="00F609DD"/>
    <w:rsid w:val="00F60DEE"/>
    <w:rsid w:val="00F612C7"/>
    <w:rsid w:val="00F61D51"/>
    <w:rsid w:val="00F620ED"/>
    <w:rsid w:val="00F62DD3"/>
    <w:rsid w:val="00F62ECD"/>
    <w:rsid w:val="00F630E5"/>
    <w:rsid w:val="00F63C5D"/>
    <w:rsid w:val="00F64A82"/>
    <w:rsid w:val="00F64BE6"/>
    <w:rsid w:val="00F65291"/>
    <w:rsid w:val="00F65A43"/>
    <w:rsid w:val="00F669B9"/>
    <w:rsid w:val="00F67E24"/>
    <w:rsid w:val="00F70049"/>
    <w:rsid w:val="00F714A0"/>
    <w:rsid w:val="00F719C7"/>
    <w:rsid w:val="00F71EEB"/>
    <w:rsid w:val="00F72258"/>
    <w:rsid w:val="00F72664"/>
    <w:rsid w:val="00F72845"/>
    <w:rsid w:val="00F7287B"/>
    <w:rsid w:val="00F72DE1"/>
    <w:rsid w:val="00F72E35"/>
    <w:rsid w:val="00F73BEC"/>
    <w:rsid w:val="00F74444"/>
    <w:rsid w:val="00F750E7"/>
    <w:rsid w:val="00F753C1"/>
    <w:rsid w:val="00F76563"/>
    <w:rsid w:val="00F76B7A"/>
    <w:rsid w:val="00F76E5F"/>
    <w:rsid w:val="00F773B2"/>
    <w:rsid w:val="00F779E4"/>
    <w:rsid w:val="00F800BC"/>
    <w:rsid w:val="00F803F7"/>
    <w:rsid w:val="00F80D5F"/>
    <w:rsid w:val="00F80F73"/>
    <w:rsid w:val="00F81072"/>
    <w:rsid w:val="00F81595"/>
    <w:rsid w:val="00F81987"/>
    <w:rsid w:val="00F81A40"/>
    <w:rsid w:val="00F82200"/>
    <w:rsid w:val="00F825DA"/>
    <w:rsid w:val="00F83787"/>
    <w:rsid w:val="00F83EDA"/>
    <w:rsid w:val="00F84364"/>
    <w:rsid w:val="00F845AE"/>
    <w:rsid w:val="00F84950"/>
    <w:rsid w:val="00F84C67"/>
    <w:rsid w:val="00F84F08"/>
    <w:rsid w:val="00F85178"/>
    <w:rsid w:val="00F85198"/>
    <w:rsid w:val="00F85798"/>
    <w:rsid w:val="00F857D8"/>
    <w:rsid w:val="00F85A92"/>
    <w:rsid w:val="00F86313"/>
    <w:rsid w:val="00F8660F"/>
    <w:rsid w:val="00F86CF0"/>
    <w:rsid w:val="00F91E0E"/>
    <w:rsid w:val="00F91FAD"/>
    <w:rsid w:val="00F922CF"/>
    <w:rsid w:val="00F928C3"/>
    <w:rsid w:val="00F938BF"/>
    <w:rsid w:val="00F93A86"/>
    <w:rsid w:val="00F952A6"/>
    <w:rsid w:val="00F968C2"/>
    <w:rsid w:val="00F96A0F"/>
    <w:rsid w:val="00F96D83"/>
    <w:rsid w:val="00F976FB"/>
    <w:rsid w:val="00FA0264"/>
    <w:rsid w:val="00FA1111"/>
    <w:rsid w:val="00FA1D96"/>
    <w:rsid w:val="00FA23F9"/>
    <w:rsid w:val="00FA2BDF"/>
    <w:rsid w:val="00FA2EF9"/>
    <w:rsid w:val="00FA3397"/>
    <w:rsid w:val="00FA33D9"/>
    <w:rsid w:val="00FA3672"/>
    <w:rsid w:val="00FA4896"/>
    <w:rsid w:val="00FA4E1F"/>
    <w:rsid w:val="00FA4E38"/>
    <w:rsid w:val="00FA5C7A"/>
    <w:rsid w:val="00FA7229"/>
    <w:rsid w:val="00FA7624"/>
    <w:rsid w:val="00FA7925"/>
    <w:rsid w:val="00FA7B24"/>
    <w:rsid w:val="00FB09C9"/>
    <w:rsid w:val="00FB138C"/>
    <w:rsid w:val="00FB2684"/>
    <w:rsid w:val="00FB270A"/>
    <w:rsid w:val="00FB314A"/>
    <w:rsid w:val="00FB33B4"/>
    <w:rsid w:val="00FB3561"/>
    <w:rsid w:val="00FB36F9"/>
    <w:rsid w:val="00FB3898"/>
    <w:rsid w:val="00FB40C7"/>
    <w:rsid w:val="00FB451B"/>
    <w:rsid w:val="00FB5109"/>
    <w:rsid w:val="00FB51AC"/>
    <w:rsid w:val="00FB570B"/>
    <w:rsid w:val="00FB5937"/>
    <w:rsid w:val="00FB63E0"/>
    <w:rsid w:val="00FC02A9"/>
    <w:rsid w:val="00FC0B9F"/>
    <w:rsid w:val="00FC1CD7"/>
    <w:rsid w:val="00FC20CB"/>
    <w:rsid w:val="00FC2C18"/>
    <w:rsid w:val="00FC3230"/>
    <w:rsid w:val="00FC3323"/>
    <w:rsid w:val="00FC3346"/>
    <w:rsid w:val="00FC341C"/>
    <w:rsid w:val="00FC3466"/>
    <w:rsid w:val="00FC3993"/>
    <w:rsid w:val="00FC3DD8"/>
    <w:rsid w:val="00FC42ED"/>
    <w:rsid w:val="00FC44F6"/>
    <w:rsid w:val="00FC4F8B"/>
    <w:rsid w:val="00FC5265"/>
    <w:rsid w:val="00FC5323"/>
    <w:rsid w:val="00FC7A56"/>
    <w:rsid w:val="00FC7E12"/>
    <w:rsid w:val="00FD00D6"/>
    <w:rsid w:val="00FD0209"/>
    <w:rsid w:val="00FD0216"/>
    <w:rsid w:val="00FD02F6"/>
    <w:rsid w:val="00FD0375"/>
    <w:rsid w:val="00FD0C42"/>
    <w:rsid w:val="00FD0E79"/>
    <w:rsid w:val="00FD16EF"/>
    <w:rsid w:val="00FD1EB5"/>
    <w:rsid w:val="00FD243D"/>
    <w:rsid w:val="00FD2964"/>
    <w:rsid w:val="00FD2AB3"/>
    <w:rsid w:val="00FD3712"/>
    <w:rsid w:val="00FD3DE0"/>
    <w:rsid w:val="00FD40CC"/>
    <w:rsid w:val="00FD4938"/>
    <w:rsid w:val="00FD4A58"/>
    <w:rsid w:val="00FD4B5D"/>
    <w:rsid w:val="00FD4DBC"/>
    <w:rsid w:val="00FD50EA"/>
    <w:rsid w:val="00FD5CA7"/>
    <w:rsid w:val="00FD5CE3"/>
    <w:rsid w:val="00FD5F94"/>
    <w:rsid w:val="00FD6B2F"/>
    <w:rsid w:val="00FD6DDA"/>
    <w:rsid w:val="00FD6E81"/>
    <w:rsid w:val="00FE00D3"/>
    <w:rsid w:val="00FE07D7"/>
    <w:rsid w:val="00FE1200"/>
    <w:rsid w:val="00FE17E9"/>
    <w:rsid w:val="00FE2296"/>
    <w:rsid w:val="00FE26ED"/>
    <w:rsid w:val="00FE2B2A"/>
    <w:rsid w:val="00FE2DFA"/>
    <w:rsid w:val="00FE369B"/>
    <w:rsid w:val="00FE38F2"/>
    <w:rsid w:val="00FE3A4E"/>
    <w:rsid w:val="00FE43D2"/>
    <w:rsid w:val="00FE4776"/>
    <w:rsid w:val="00FE4859"/>
    <w:rsid w:val="00FE4C35"/>
    <w:rsid w:val="00FE5DAB"/>
    <w:rsid w:val="00FE6029"/>
    <w:rsid w:val="00FE6DBD"/>
    <w:rsid w:val="00FE6DF5"/>
    <w:rsid w:val="00FE6FEE"/>
    <w:rsid w:val="00FE7077"/>
    <w:rsid w:val="00FE71C6"/>
    <w:rsid w:val="00FE7986"/>
    <w:rsid w:val="00FF08C7"/>
    <w:rsid w:val="00FF0A02"/>
    <w:rsid w:val="00FF1417"/>
    <w:rsid w:val="00FF174D"/>
    <w:rsid w:val="00FF2276"/>
    <w:rsid w:val="00FF2C8D"/>
    <w:rsid w:val="00FF2E90"/>
    <w:rsid w:val="00FF3DBF"/>
    <w:rsid w:val="00FF45B3"/>
    <w:rsid w:val="00FF47BB"/>
    <w:rsid w:val="00FF50A4"/>
    <w:rsid w:val="00FF59EB"/>
    <w:rsid w:val="00FF5CE4"/>
    <w:rsid w:val="00FF5F14"/>
    <w:rsid w:val="00FF5FE5"/>
    <w:rsid w:val="00FF6C52"/>
    <w:rsid w:val="00FF6F4C"/>
    <w:rsid w:val="095440B0"/>
    <w:rsid w:val="0E6B79D2"/>
    <w:rsid w:val="10B74527"/>
    <w:rsid w:val="1373628B"/>
    <w:rsid w:val="13EEE5E9"/>
    <w:rsid w:val="1427D57D"/>
    <w:rsid w:val="2587B1B7"/>
    <w:rsid w:val="2650D508"/>
    <w:rsid w:val="27238218"/>
    <w:rsid w:val="27ECA569"/>
    <w:rsid w:val="28BF5279"/>
    <w:rsid w:val="2CC0168C"/>
    <w:rsid w:val="2F368183"/>
    <w:rsid w:val="303B9DF5"/>
    <w:rsid w:val="323C40A5"/>
    <w:rsid w:val="32CCBEA8"/>
    <w:rsid w:val="38C43B6C"/>
    <w:rsid w:val="38DD63C9"/>
    <w:rsid w:val="3D20154A"/>
    <w:rsid w:val="3D97AC8F"/>
    <w:rsid w:val="401ABFD1"/>
    <w:rsid w:val="4757B732"/>
    <w:rsid w:val="4C19ED7E"/>
    <w:rsid w:val="697197A1"/>
    <w:rsid w:val="719AFBE7"/>
    <w:rsid w:val="72FF518A"/>
    <w:rsid w:val="747BE699"/>
    <w:rsid w:val="7617B6FA"/>
    <w:rsid w:val="7FF1D65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0A3AE3"/>
  <w15:docId w15:val="{EA3C4C5C-791C-46E9-97DD-28AE78BA4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40" w:line="480" w:lineRule="auto"/>
        <w:ind w:firstLine="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3"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w:qFormat/>
    <w:rsid w:val="00000DBD"/>
    <w:pPr>
      <w:spacing w:before="120" w:line="360" w:lineRule="auto"/>
      <w:ind w:firstLine="0"/>
    </w:pPr>
    <w:rPr>
      <w:rFonts w:ascii="Calibri" w:hAnsi="Calibri"/>
      <w:sz w:val="24"/>
    </w:rPr>
  </w:style>
  <w:style w:type="paragraph" w:styleId="Heading1">
    <w:name w:val="heading 1"/>
    <w:basedOn w:val="Normal"/>
    <w:next w:val="Normal"/>
    <w:link w:val="Heading1Char"/>
    <w:uiPriority w:val="9"/>
    <w:qFormat/>
    <w:rsid w:val="00CE4426"/>
    <w:pPr>
      <w:spacing w:before="360" w:after="0" w:line="240" w:lineRule="auto"/>
      <w:outlineLvl w:val="0"/>
    </w:pPr>
    <w:rPr>
      <w:rFonts w:asciiTheme="majorHAnsi" w:eastAsiaTheme="majorEastAsia" w:hAnsiTheme="majorHAnsi" w:cstheme="majorBidi"/>
      <w:bCs/>
      <w:iCs/>
      <w:color w:val="679949"/>
      <w:sz w:val="36"/>
      <w:szCs w:val="32"/>
    </w:rPr>
  </w:style>
  <w:style w:type="paragraph" w:styleId="Heading2">
    <w:name w:val="heading 2"/>
    <w:basedOn w:val="Heading1"/>
    <w:next w:val="Normal"/>
    <w:link w:val="Heading2Char"/>
    <w:uiPriority w:val="9"/>
    <w:unhideWhenUsed/>
    <w:qFormat/>
    <w:rsid w:val="00E62AAF"/>
    <w:pPr>
      <w:spacing w:before="240" w:line="360" w:lineRule="auto"/>
      <w:outlineLvl w:val="1"/>
    </w:pPr>
    <w:rPr>
      <w:bCs w:val="0"/>
      <w:iCs w:val="0"/>
      <w:color w:val="7AB058"/>
      <w:sz w:val="32"/>
      <w:szCs w:val="28"/>
    </w:rPr>
  </w:style>
  <w:style w:type="paragraph" w:styleId="Heading3">
    <w:name w:val="heading 3"/>
    <w:basedOn w:val="Heading2"/>
    <w:next w:val="Normal"/>
    <w:link w:val="Heading3Char"/>
    <w:uiPriority w:val="9"/>
    <w:unhideWhenUsed/>
    <w:qFormat/>
    <w:rsid w:val="00143085"/>
    <w:pPr>
      <w:spacing w:before="120"/>
      <w:outlineLvl w:val="2"/>
    </w:pPr>
    <w:rPr>
      <w:bCs/>
      <w:iCs/>
      <w:color w:val="669748" w:themeColor="accent2" w:themeShade="BF"/>
      <w:sz w:val="24"/>
      <w:szCs w:val="26"/>
    </w:rPr>
  </w:style>
  <w:style w:type="paragraph" w:styleId="Heading4">
    <w:name w:val="heading 4"/>
    <w:basedOn w:val="Normal"/>
    <w:next w:val="Normal"/>
    <w:link w:val="Heading4Char"/>
    <w:uiPriority w:val="9"/>
    <w:unhideWhenUsed/>
    <w:qFormat/>
    <w:rsid w:val="000C6A58"/>
    <w:pPr>
      <w:spacing w:after="0"/>
      <w:outlineLvl w:val="3"/>
    </w:pPr>
    <w:rPr>
      <w:rFonts w:asciiTheme="majorHAnsi" w:eastAsiaTheme="majorEastAsia" w:hAnsiTheme="majorHAnsi" w:cstheme="majorBidi"/>
      <w:b/>
      <w:bCs/>
      <w:iCs/>
      <w:color w:val="669748" w:themeColor="accent2" w:themeShade="BF"/>
      <w:szCs w:val="24"/>
    </w:rPr>
  </w:style>
  <w:style w:type="paragraph" w:styleId="Heading5">
    <w:name w:val="heading 5"/>
    <w:aliases w:val="Level 1 Num"/>
    <w:next w:val="Normal"/>
    <w:link w:val="Heading5Char"/>
    <w:uiPriority w:val="9"/>
    <w:unhideWhenUsed/>
    <w:qFormat/>
    <w:rsid w:val="0014035D"/>
    <w:pPr>
      <w:numPr>
        <w:numId w:val="6"/>
      </w:numPr>
      <w:spacing w:before="120" w:after="0"/>
      <w:outlineLvl w:val="4"/>
    </w:pPr>
    <w:rPr>
      <w:rFonts w:ascii="Segoe UI" w:eastAsiaTheme="majorEastAsia" w:hAnsi="Segoe UI" w:cstheme="majorBidi"/>
      <w:bCs/>
      <w:iCs/>
      <w:color w:val="669748" w:themeColor="accent2" w:themeShade="BF"/>
      <w:sz w:val="36"/>
    </w:rPr>
  </w:style>
  <w:style w:type="paragraph" w:styleId="Heading6">
    <w:name w:val="heading 6"/>
    <w:aliases w:val="Level 2 Num"/>
    <w:basedOn w:val="Heading5"/>
    <w:next w:val="Normal"/>
    <w:link w:val="Heading6Char"/>
    <w:uiPriority w:val="9"/>
    <w:unhideWhenUsed/>
    <w:qFormat/>
    <w:rsid w:val="00A073D2"/>
    <w:pPr>
      <w:numPr>
        <w:ilvl w:val="1"/>
      </w:numPr>
      <w:spacing w:line="240" w:lineRule="auto"/>
      <w:outlineLvl w:val="5"/>
    </w:pPr>
    <w:rPr>
      <w:bCs w:val="0"/>
      <w:iCs w:val="0"/>
      <w:sz w:val="32"/>
    </w:rPr>
  </w:style>
  <w:style w:type="paragraph" w:styleId="Heading7">
    <w:name w:val="heading 7"/>
    <w:aliases w:val="Level 3 Num"/>
    <w:basedOn w:val="Heading6"/>
    <w:next w:val="Normal"/>
    <w:link w:val="Heading7Char"/>
    <w:uiPriority w:val="9"/>
    <w:unhideWhenUsed/>
    <w:qFormat/>
    <w:rsid w:val="00B103CE"/>
    <w:pPr>
      <w:numPr>
        <w:ilvl w:val="2"/>
      </w:numPr>
      <w:outlineLvl w:val="6"/>
    </w:pPr>
    <w:rPr>
      <w:bCs/>
      <w:iCs/>
      <w:sz w:val="24"/>
      <w:szCs w:val="20"/>
    </w:rPr>
  </w:style>
  <w:style w:type="paragraph" w:styleId="Heading8">
    <w:name w:val="heading 8"/>
    <w:aliases w:val="Graphs"/>
    <w:basedOn w:val="Normal"/>
    <w:next w:val="Normal"/>
    <w:link w:val="Heading8Char"/>
    <w:uiPriority w:val="9"/>
    <w:unhideWhenUsed/>
    <w:qFormat/>
    <w:rsid w:val="007E5FD7"/>
    <w:pPr>
      <w:numPr>
        <w:numId w:val="4"/>
      </w:numPr>
      <w:spacing w:before="280" w:after="0" w:line="240" w:lineRule="auto"/>
      <w:outlineLvl w:val="7"/>
    </w:pPr>
    <w:rPr>
      <w:rFonts w:ascii="Segoe UI" w:eastAsiaTheme="majorEastAsia" w:hAnsi="Segoe UI" w:cstheme="majorBidi"/>
      <w:bCs/>
      <w:iCs/>
      <w:szCs w:val="18"/>
    </w:rPr>
  </w:style>
  <w:style w:type="paragraph" w:styleId="Heading9">
    <w:name w:val="heading 9"/>
    <w:aliases w:val="Tables"/>
    <w:basedOn w:val="Normal"/>
    <w:next w:val="Normal"/>
    <w:link w:val="Heading9Char"/>
    <w:uiPriority w:val="9"/>
    <w:unhideWhenUsed/>
    <w:qFormat/>
    <w:rsid w:val="007E5FD7"/>
    <w:pPr>
      <w:numPr>
        <w:numId w:val="3"/>
      </w:numPr>
      <w:spacing w:before="280" w:after="0"/>
      <w:outlineLvl w:val="8"/>
    </w:pPr>
    <w:rPr>
      <w:rFonts w:ascii="Segoe UI" w:eastAsiaTheme="majorEastAsia" w:hAnsi="Segoe UI" w:cstheme="majorBidi"/>
      <w:iCs/>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6319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ayoutTable">
    <w:name w:val="Layout Table"/>
    <w:basedOn w:val="TableNormal"/>
    <w:uiPriority w:val="99"/>
    <w:rsid w:val="00163192"/>
    <w:pPr>
      <w:spacing w:after="0"/>
    </w:pPr>
    <w:tblPr>
      <w:tblCellMar>
        <w:left w:w="0" w:type="dxa"/>
        <w:right w:w="0" w:type="dxa"/>
      </w:tblCellMar>
    </w:tblPr>
  </w:style>
  <w:style w:type="paragraph" w:styleId="NoSpacing">
    <w:name w:val="No Spacing"/>
    <w:basedOn w:val="Normal"/>
    <w:link w:val="NoSpacingChar"/>
    <w:uiPriority w:val="1"/>
    <w:qFormat/>
    <w:rsid w:val="003B364A"/>
    <w:pPr>
      <w:spacing w:after="0" w:line="240" w:lineRule="auto"/>
    </w:pPr>
  </w:style>
  <w:style w:type="table" w:customStyle="1" w:styleId="InvoiceTable">
    <w:name w:val="Invoice Table"/>
    <w:basedOn w:val="TableNormal"/>
    <w:uiPriority w:val="99"/>
    <w:rsid w:val="00163192"/>
    <w:tblPr>
      <w:tblBorders>
        <w:insideH w:val="single" w:sz="4" w:space="0" w:color="9B9482" w:themeColor="text2" w:themeTint="99"/>
      </w:tblBorders>
      <w:tblCellMar>
        <w:left w:w="0" w:type="dxa"/>
        <w:right w:w="0" w:type="dxa"/>
      </w:tblCellMar>
    </w:tblPr>
    <w:tblStylePr w:type="firstRow">
      <w:pPr>
        <w:wordWrap/>
        <w:spacing w:line="240" w:lineRule="auto"/>
      </w:pPr>
      <w:rPr>
        <w:rFonts w:asciiTheme="majorHAnsi" w:hAnsiTheme="majorHAnsi"/>
        <w:b/>
        <w:color w:val="FFFFFF" w:themeColor="background1"/>
        <w:sz w:val="20"/>
      </w:rPr>
      <w:tblPr/>
      <w:tcPr>
        <w:tcBorders>
          <w:top w:val="nil"/>
          <w:left w:val="nil"/>
          <w:bottom w:val="nil"/>
          <w:right w:val="nil"/>
          <w:insideH w:val="nil"/>
          <w:insideV w:val="nil"/>
          <w:tl2br w:val="nil"/>
          <w:tr2bl w:val="nil"/>
        </w:tcBorders>
        <w:shd w:val="clear" w:color="auto" w:fill="F24F4F" w:themeFill="accent1"/>
        <w:vAlign w:val="bottom"/>
      </w:tcPr>
    </w:tblStylePr>
    <w:tblStylePr w:type="lastRow">
      <w:pPr>
        <w:wordWrap/>
        <w:jc w:val="right"/>
      </w:pPr>
      <w:rPr>
        <w:b/>
      </w:rPr>
      <w:tblPr/>
      <w:tcPr>
        <w:tcBorders>
          <w:top w:val="nil"/>
          <w:bottom w:val="single" w:sz="4" w:space="0" w:color="F79595" w:themeColor="accent1" w:themeTint="99"/>
        </w:tcBorders>
      </w:tcPr>
    </w:tblStylePr>
  </w:style>
  <w:style w:type="character" w:styleId="PlaceholderText">
    <w:name w:val="Placeholder Text"/>
    <w:basedOn w:val="DefaultParagraphFont"/>
    <w:uiPriority w:val="99"/>
    <w:semiHidden/>
    <w:rsid w:val="00163192"/>
    <w:rPr>
      <w:color w:val="808080"/>
    </w:rPr>
  </w:style>
  <w:style w:type="paragraph" w:styleId="Title">
    <w:name w:val="Title"/>
    <w:basedOn w:val="Normal"/>
    <w:next w:val="Normal"/>
    <w:link w:val="TitleChar"/>
    <w:uiPriority w:val="10"/>
    <w:qFormat/>
    <w:rsid w:val="005E6E05"/>
    <w:pPr>
      <w:spacing w:line="240" w:lineRule="auto"/>
      <w:jc w:val="center"/>
    </w:pPr>
    <w:rPr>
      <w:rFonts w:asciiTheme="majorHAnsi" w:eastAsiaTheme="majorEastAsia" w:hAnsiTheme="majorHAnsi" w:cstheme="majorBidi"/>
      <w:b/>
      <w:bCs/>
      <w:iCs/>
      <w:spacing w:val="10"/>
      <w:sz w:val="60"/>
      <w:szCs w:val="60"/>
    </w:rPr>
  </w:style>
  <w:style w:type="character" w:customStyle="1" w:styleId="TitleChar">
    <w:name w:val="Title Char"/>
    <w:basedOn w:val="DefaultParagraphFont"/>
    <w:link w:val="Title"/>
    <w:uiPriority w:val="10"/>
    <w:rsid w:val="005E6E05"/>
    <w:rPr>
      <w:rFonts w:asciiTheme="majorHAnsi" w:eastAsiaTheme="majorEastAsia" w:hAnsiTheme="majorHAnsi" w:cstheme="majorBidi"/>
      <w:b/>
      <w:bCs/>
      <w:iCs/>
      <w:spacing w:val="10"/>
      <w:sz w:val="60"/>
      <w:szCs w:val="60"/>
    </w:rPr>
  </w:style>
  <w:style w:type="character" w:styleId="Strong">
    <w:name w:val="Strong"/>
    <w:basedOn w:val="DefaultParagraphFont"/>
    <w:uiPriority w:val="22"/>
    <w:qFormat/>
    <w:rsid w:val="003B364A"/>
    <w:rPr>
      <w:b/>
      <w:bCs/>
      <w:spacing w:val="0"/>
    </w:rPr>
  </w:style>
  <w:style w:type="paragraph" w:customStyle="1" w:styleId="InvoiceHeading">
    <w:name w:val="Invoice Heading"/>
    <w:basedOn w:val="Normal"/>
    <w:next w:val="InvoiceText"/>
    <w:uiPriority w:val="2"/>
    <w:rsid w:val="00163192"/>
    <w:pPr>
      <w:spacing w:before="80"/>
    </w:pPr>
    <w:rPr>
      <w:rFonts w:asciiTheme="majorHAnsi" w:eastAsiaTheme="majorEastAsia" w:hAnsiTheme="majorHAnsi" w:cstheme="majorBidi"/>
      <w:color w:val="F24F4F" w:themeColor="accent1"/>
    </w:rPr>
  </w:style>
  <w:style w:type="paragraph" w:customStyle="1" w:styleId="InvoiceText">
    <w:name w:val="Invoice Text"/>
    <w:basedOn w:val="Normal"/>
    <w:uiPriority w:val="2"/>
    <w:rsid w:val="00163192"/>
    <w:pPr>
      <w:spacing w:before="0" w:after="360"/>
      <w:contextualSpacing/>
    </w:pPr>
  </w:style>
  <w:style w:type="paragraph" w:styleId="Closing">
    <w:name w:val="Closing"/>
    <w:basedOn w:val="Normal"/>
    <w:link w:val="ClosingChar"/>
    <w:uiPriority w:val="3"/>
    <w:unhideWhenUsed/>
    <w:rsid w:val="00163192"/>
    <w:pPr>
      <w:spacing w:before="280" w:after="0"/>
      <w:jc w:val="right"/>
    </w:pPr>
    <w:rPr>
      <w:rFonts w:asciiTheme="majorHAnsi" w:eastAsiaTheme="majorEastAsia" w:hAnsiTheme="majorHAnsi" w:cstheme="majorBidi"/>
      <w:color w:val="F24F4F" w:themeColor="accent1"/>
    </w:rPr>
  </w:style>
  <w:style w:type="character" w:customStyle="1" w:styleId="ClosingChar">
    <w:name w:val="Closing Char"/>
    <w:basedOn w:val="DefaultParagraphFont"/>
    <w:link w:val="Closing"/>
    <w:uiPriority w:val="3"/>
    <w:rsid w:val="00163192"/>
    <w:rPr>
      <w:rFonts w:asciiTheme="majorHAnsi" w:eastAsiaTheme="majorEastAsia" w:hAnsiTheme="majorHAnsi" w:cstheme="majorBidi"/>
      <w:color w:val="F24F4F" w:themeColor="accent1"/>
      <w:sz w:val="22"/>
      <w:szCs w:val="22"/>
    </w:rPr>
  </w:style>
  <w:style w:type="paragraph" w:customStyle="1" w:styleId="TableSpace">
    <w:name w:val="Table Space"/>
    <w:basedOn w:val="Normal"/>
    <w:uiPriority w:val="99"/>
    <w:semiHidden/>
    <w:unhideWhenUsed/>
    <w:rsid w:val="00163192"/>
    <w:pPr>
      <w:spacing w:before="0" w:after="0" w:line="40" w:lineRule="exact"/>
    </w:pPr>
    <w:rPr>
      <w:noProof/>
      <w:sz w:val="4"/>
      <w:szCs w:val="4"/>
    </w:rPr>
  </w:style>
  <w:style w:type="paragraph" w:customStyle="1" w:styleId="Name">
    <w:name w:val="Name"/>
    <w:basedOn w:val="Normal"/>
    <w:uiPriority w:val="2"/>
    <w:rsid w:val="00F61D51"/>
    <w:pPr>
      <w:spacing w:before="0"/>
    </w:pPr>
    <w:rPr>
      <w:rFonts w:asciiTheme="majorHAnsi" w:eastAsiaTheme="majorEastAsia" w:hAnsiTheme="majorHAnsi" w:cstheme="majorBidi"/>
      <w:color w:val="669748" w:themeColor="accent2" w:themeShade="BF"/>
      <w:sz w:val="36"/>
      <w:szCs w:val="36"/>
    </w:rPr>
  </w:style>
  <w:style w:type="paragraph" w:styleId="Header">
    <w:name w:val="header"/>
    <w:basedOn w:val="Normal"/>
    <w:link w:val="HeaderChar"/>
    <w:uiPriority w:val="99"/>
    <w:unhideWhenUsed/>
    <w:rsid w:val="000D44C0"/>
    <w:pPr>
      <w:tabs>
        <w:tab w:val="center" w:pos="4680"/>
        <w:tab w:val="right" w:pos="9360"/>
      </w:tabs>
      <w:spacing w:before="0" w:after="0"/>
    </w:pPr>
    <w:rPr>
      <w:color w:val="679949"/>
    </w:rPr>
  </w:style>
  <w:style w:type="character" w:customStyle="1" w:styleId="HeaderChar">
    <w:name w:val="Header Char"/>
    <w:basedOn w:val="DefaultParagraphFont"/>
    <w:link w:val="Header"/>
    <w:uiPriority w:val="99"/>
    <w:rsid w:val="000D44C0"/>
    <w:rPr>
      <w:color w:val="679949"/>
    </w:rPr>
  </w:style>
  <w:style w:type="paragraph" w:styleId="Footer">
    <w:name w:val="footer"/>
    <w:basedOn w:val="Normal"/>
    <w:link w:val="FooterChar"/>
    <w:uiPriority w:val="99"/>
    <w:unhideWhenUsed/>
    <w:qFormat/>
    <w:rsid w:val="00751AFC"/>
    <w:pPr>
      <w:spacing w:before="20" w:after="20"/>
    </w:pPr>
  </w:style>
  <w:style w:type="character" w:customStyle="1" w:styleId="FooterChar">
    <w:name w:val="Footer Char"/>
    <w:basedOn w:val="DefaultParagraphFont"/>
    <w:link w:val="Footer"/>
    <w:uiPriority w:val="99"/>
    <w:rsid w:val="00751AFC"/>
  </w:style>
  <w:style w:type="character" w:customStyle="1" w:styleId="ContactHeading">
    <w:name w:val="Contact Heading"/>
    <w:basedOn w:val="DefaultParagraphFont"/>
    <w:uiPriority w:val="1"/>
    <w:rsid w:val="00163192"/>
    <w:rPr>
      <w:rFonts w:asciiTheme="majorHAnsi" w:eastAsiaTheme="majorEastAsia" w:hAnsiTheme="majorHAnsi" w:cstheme="majorBidi"/>
      <w:color w:val="F24F4F" w:themeColor="accent1"/>
      <w:sz w:val="18"/>
    </w:rPr>
  </w:style>
  <w:style w:type="paragraph" w:customStyle="1" w:styleId="Footer-Centered">
    <w:name w:val="Footer-Centered"/>
    <w:basedOn w:val="Footer"/>
    <w:uiPriority w:val="99"/>
    <w:rsid w:val="00163192"/>
    <w:pPr>
      <w:spacing w:after="60"/>
      <w:jc w:val="center"/>
    </w:pPr>
    <w:rPr>
      <w:noProof/>
    </w:rPr>
  </w:style>
  <w:style w:type="character" w:styleId="Hyperlink">
    <w:name w:val="Hyperlink"/>
    <w:basedOn w:val="DefaultParagraphFont"/>
    <w:uiPriority w:val="99"/>
    <w:unhideWhenUsed/>
    <w:rsid w:val="00CE381D"/>
    <w:rPr>
      <w:color w:val="4C483D" w:themeColor="hyperlink"/>
      <w:u w:val="single"/>
    </w:rPr>
  </w:style>
  <w:style w:type="paragraph" w:styleId="ListParagraph">
    <w:name w:val="List Paragraph"/>
    <w:aliases w:val="Numbered Para 1,Dot pt,No Spacing1,List Paragraph Char Char Char,Indicator Text,List Paragraph1,Bullet Points,Bullet 1,MAIN CONTENT,List Paragraph12,F5 List Paragraph,OBC Bullet,Colorful List - Accent 11,Normal numbered,List Paragraph11"/>
    <w:basedOn w:val="Normal"/>
    <w:link w:val="ListParagraphChar"/>
    <w:uiPriority w:val="34"/>
    <w:qFormat/>
    <w:rsid w:val="003B364A"/>
    <w:pPr>
      <w:ind w:left="720"/>
      <w:contextualSpacing/>
    </w:pPr>
  </w:style>
  <w:style w:type="paragraph" w:styleId="FootnoteText">
    <w:name w:val="footnote text"/>
    <w:basedOn w:val="Normal"/>
    <w:link w:val="FootnoteTextChar"/>
    <w:uiPriority w:val="99"/>
    <w:semiHidden/>
    <w:unhideWhenUsed/>
    <w:qFormat/>
    <w:rsid w:val="00FD0375"/>
    <w:pPr>
      <w:spacing w:before="0" w:after="0"/>
    </w:pPr>
  </w:style>
  <w:style w:type="character" w:customStyle="1" w:styleId="FootnoteTextChar">
    <w:name w:val="Footnote Text Char"/>
    <w:basedOn w:val="DefaultParagraphFont"/>
    <w:link w:val="FootnoteText"/>
    <w:uiPriority w:val="99"/>
    <w:semiHidden/>
    <w:rsid w:val="00FD0375"/>
  </w:style>
  <w:style w:type="character" w:styleId="FootnoteReference">
    <w:name w:val="footnote reference"/>
    <w:basedOn w:val="DefaultParagraphFont"/>
    <w:uiPriority w:val="99"/>
    <w:semiHidden/>
    <w:unhideWhenUsed/>
    <w:rsid w:val="00FD0375"/>
    <w:rPr>
      <w:vertAlign w:val="superscript"/>
    </w:rPr>
  </w:style>
  <w:style w:type="table" w:customStyle="1" w:styleId="LightList1">
    <w:name w:val="Light List1"/>
    <w:basedOn w:val="TableNormal"/>
    <w:uiPriority w:val="61"/>
    <w:rsid w:val="001163EE"/>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alloonText">
    <w:name w:val="Balloon Text"/>
    <w:basedOn w:val="Normal"/>
    <w:link w:val="BalloonTextChar"/>
    <w:uiPriority w:val="99"/>
    <w:semiHidden/>
    <w:unhideWhenUsed/>
    <w:rsid w:val="0085672C"/>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672C"/>
    <w:rPr>
      <w:rFonts w:ascii="Tahoma" w:hAnsi="Tahoma" w:cs="Tahoma"/>
      <w:sz w:val="16"/>
      <w:szCs w:val="16"/>
    </w:rPr>
  </w:style>
  <w:style w:type="character" w:customStyle="1" w:styleId="Heading1Char">
    <w:name w:val="Heading 1 Char"/>
    <w:basedOn w:val="DefaultParagraphFont"/>
    <w:link w:val="Heading1"/>
    <w:uiPriority w:val="9"/>
    <w:rsid w:val="00CE4426"/>
    <w:rPr>
      <w:rFonts w:asciiTheme="majorHAnsi" w:eastAsiaTheme="majorEastAsia" w:hAnsiTheme="majorHAnsi" w:cstheme="majorBidi"/>
      <w:bCs/>
      <w:iCs/>
      <w:color w:val="679949"/>
      <w:sz w:val="36"/>
      <w:szCs w:val="32"/>
    </w:rPr>
  </w:style>
  <w:style w:type="paragraph" w:styleId="TOCHeading">
    <w:name w:val="TOC Heading"/>
    <w:basedOn w:val="Heading1"/>
    <w:next w:val="Normal"/>
    <w:uiPriority w:val="39"/>
    <w:unhideWhenUsed/>
    <w:qFormat/>
    <w:rsid w:val="003B364A"/>
    <w:pPr>
      <w:outlineLvl w:val="9"/>
    </w:pPr>
    <w:rPr>
      <w:lang w:bidi="en-US"/>
    </w:rPr>
  </w:style>
  <w:style w:type="paragraph" w:styleId="TOC1">
    <w:name w:val="toc 1"/>
    <w:basedOn w:val="Normal"/>
    <w:next w:val="Normal"/>
    <w:autoRedefine/>
    <w:uiPriority w:val="39"/>
    <w:unhideWhenUsed/>
    <w:rsid w:val="00646CFE"/>
    <w:pPr>
      <w:spacing w:after="100"/>
    </w:pPr>
    <w:rPr>
      <w:rFonts w:asciiTheme="majorHAnsi" w:hAnsiTheme="majorHAnsi"/>
    </w:rPr>
  </w:style>
  <w:style w:type="character" w:customStyle="1" w:styleId="Heading2Char">
    <w:name w:val="Heading 2 Char"/>
    <w:basedOn w:val="DefaultParagraphFont"/>
    <w:link w:val="Heading2"/>
    <w:uiPriority w:val="9"/>
    <w:rsid w:val="00E62AAF"/>
    <w:rPr>
      <w:rFonts w:asciiTheme="majorHAnsi" w:eastAsiaTheme="majorEastAsia" w:hAnsiTheme="majorHAnsi" w:cstheme="majorBidi"/>
      <w:color w:val="7AB058"/>
      <w:sz w:val="32"/>
      <w:szCs w:val="28"/>
    </w:rPr>
  </w:style>
  <w:style w:type="character" w:customStyle="1" w:styleId="Heading3Char">
    <w:name w:val="Heading 3 Char"/>
    <w:basedOn w:val="DefaultParagraphFont"/>
    <w:link w:val="Heading3"/>
    <w:uiPriority w:val="9"/>
    <w:rsid w:val="00143085"/>
    <w:rPr>
      <w:rFonts w:asciiTheme="majorHAnsi" w:eastAsiaTheme="majorEastAsia" w:hAnsiTheme="majorHAnsi" w:cstheme="majorBidi"/>
      <w:b/>
      <w:bCs/>
      <w:iCs/>
      <w:color w:val="669748" w:themeColor="accent2" w:themeShade="BF"/>
      <w:sz w:val="24"/>
      <w:szCs w:val="26"/>
    </w:rPr>
  </w:style>
  <w:style w:type="character" w:customStyle="1" w:styleId="Heading4Char">
    <w:name w:val="Heading 4 Char"/>
    <w:basedOn w:val="DefaultParagraphFont"/>
    <w:link w:val="Heading4"/>
    <w:uiPriority w:val="9"/>
    <w:rsid w:val="000C6A58"/>
    <w:rPr>
      <w:rFonts w:asciiTheme="majorHAnsi" w:eastAsiaTheme="majorEastAsia" w:hAnsiTheme="majorHAnsi" w:cstheme="majorBidi"/>
      <w:b/>
      <w:bCs/>
      <w:iCs/>
      <w:color w:val="669748" w:themeColor="accent2" w:themeShade="BF"/>
      <w:sz w:val="20"/>
      <w:szCs w:val="24"/>
    </w:rPr>
  </w:style>
  <w:style w:type="character" w:customStyle="1" w:styleId="Heading5Char">
    <w:name w:val="Heading 5 Char"/>
    <w:aliases w:val="Level 1 Num Char"/>
    <w:basedOn w:val="DefaultParagraphFont"/>
    <w:link w:val="Heading5"/>
    <w:uiPriority w:val="9"/>
    <w:rsid w:val="0014035D"/>
    <w:rPr>
      <w:rFonts w:ascii="Segoe UI" w:eastAsiaTheme="majorEastAsia" w:hAnsi="Segoe UI" w:cstheme="majorBidi"/>
      <w:bCs/>
      <w:iCs/>
      <w:color w:val="669748" w:themeColor="accent2" w:themeShade="BF"/>
      <w:sz w:val="36"/>
    </w:rPr>
  </w:style>
  <w:style w:type="character" w:customStyle="1" w:styleId="Heading6Char">
    <w:name w:val="Heading 6 Char"/>
    <w:aliases w:val="Level 2 Num Char"/>
    <w:basedOn w:val="DefaultParagraphFont"/>
    <w:link w:val="Heading6"/>
    <w:uiPriority w:val="9"/>
    <w:rsid w:val="00A073D2"/>
    <w:rPr>
      <w:rFonts w:ascii="Segoe UI" w:eastAsiaTheme="majorEastAsia" w:hAnsi="Segoe UI" w:cstheme="majorBidi"/>
      <w:color w:val="669748" w:themeColor="accent2" w:themeShade="BF"/>
      <w:sz w:val="32"/>
    </w:rPr>
  </w:style>
  <w:style w:type="character" w:customStyle="1" w:styleId="Heading7Char">
    <w:name w:val="Heading 7 Char"/>
    <w:aliases w:val="Level 3 Num Char"/>
    <w:basedOn w:val="DefaultParagraphFont"/>
    <w:link w:val="Heading7"/>
    <w:uiPriority w:val="9"/>
    <w:rsid w:val="00B103CE"/>
    <w:rPr>
      <w:rFonts w:ascii="Segoe UI" w:eastAsiaTheme="majorEastAsia" w:hAnsi="Segoe UI" w:cstheme="majorBidi"/>
      <w:bCs/>
      <w:iCs/>
      <w:color w:val="669748" w:themeColor="accent2" w:themeShade="BF"/>
      <w:sz w:val="24"/>
      <w:szCs w:val="20"/>
    </w:rPr>
  </w:style>
  <w:style w:type="character" w:customStyle="1" w:styleId="Heading8Char">
    <w:name w:val="Heading 8 Char"/>
    <w:aliases w:val="Graphs Char"/>
    <w:basedOn w:val="DefaultParagraphFont"/>
    <w:link w:val="Heading8"/>
    <w:uiPriority w:val="9"/>
    <w:rsid w:val="007E5FD7"/>
    <w:rPr>
      <w:rFonts w:ascii="Segoe UI" w:eastAsiaTheme="majorEastAsia" w:hAnsi="Segoe UI" w:cstheme="majorBidi"/>
      <w:bCs/>
      <w:iCs/>
      <w:sz w:val="24"/>
      <w:szCs w:val="18"/>
    </w:rPr>
  </w:style>
  <w:style w:type="character" w:customStyle="1" w:styleId="Heading9Char">
    <w:name w:val="Heading 9 Char"/>
    <w:aliases w:val="Tables Char"/>
    <w:basedOn w:val="DefaultParagraphFont"/>
    <w:link w:val="Heading9"/>
    <w:uiPriority w:val="9"/>
    <w:rsid w:val="007E5FD7"/>
    <w:rPr>
      <w:rFonts w:ascii="Segoe UI" w:eastAsiaTheme="majorEastAsia" w:hAnsi="Segoe UI" w:cstheme="majorBidi"/>
      <w:iCs/>
      <w:sz w:val="24"/>
      <w:szCs w:val="18"/>
    </w:rPr>
  </w:style>
  <w:style w:type="paragraph" w:styleId="Caption">
    <w:name w:val="caption"/>
    <w:basedOn w:val="Normal"/>
    <w:next w:val="Normal"/>
    <w:uiPriority w:val="35"/>
    <w:unhideWhenUsed/>
    <w:qFormat/>
    <w:rsid w:val="003B364A"/>
    <w:rPr>
      <w:b/>
      <w:bCs/>
      <w:sz w:val="18"/>
      <w:szCs w:val="18"/>
    </w:rPr>
  </w:style>
  <w:style w:type="paragraph" w:styleId="Subtitle">
    <w:name w:val="Subtitle"/>
    <w:basedOn w:val="Normal"/>
    <w:next w:val="Normal"/>
    <w:link w:val="SubtitleChar"/>
    <w:uiPriority w:val="11"/>
    <w:qFormat/>
    <w:rsid w:val="003B364A"/>
    <w:pPr>
      <w:spacing w:after="320"/>
      <w:jc w:val="right"/>
    </w:pPr>
    <w:rPr>
      <w:i/>
      <w:iCs/>
      <w:color w:val="808080" w:themeColor="text1" w:themeTint="7F"/>
      <w:spacing w:val="10"/>
      <w:szCs w:val="24"/>
    </w:rPr>
  </w:style>
  <w:style w:type="character" w:customStyle="1" w:styleId="SubtitleChar">
    <w:name w:val="Subtitle Char"/>
    <w:basedOn w:val="DefaultParagraphFont"/>
    <w:link w:val="Subtitle"/>
    <w:uiPriority w:val="11"/>
    <w:rsid w:val="003B364A"/>
    <w:rPr>
      <w:i/>
      <w:iCs/>
      <w:color w:val="808080" w:themeColor="text1" w:themeTint="7F"/>
      <w:spacing w:val="10"/>
      <w:sz w:val="24"/>
      <w:szCs w:val="24"/>
    </w:rPr>
  </w:style>
  <w:style w:type="character" w:styleId="Emphasis">
    <w:name w:val="Emphasis"/>
    <w:uiPriority w:val="20"/>
    <w:qFormat/>
    <w:rsid w:val="003B364A"/>
    <w:rPr>
      <w:b/>
      <w:bCs/>
      <w:i/>
      <w:iCs/>
      <w:color w:val="auto"/>
    </w:rPr>
  </w:style>
  <w:style w:type="paragraph" w:styleId="Quote">
    <w:name w:val="Quote"/>
    <w:basedOn w:val="Normal"/>
    <w:next w:val="Normal"/>
    <w:link w:val="QuoteChar"/>
    <w:uiPriority w:val="29"/>
    <w:qFormat/>
    <w:rsid w:val="003B364A"/>
    <w:rPr>
      <w:color w:val="5A5A5A" w:themeColor="text1" w:themeTint="A5"/>
    </w:rPr>
  </w:style>
  <w:style w:type="character" w:customStyle="1" w:styleId="QuoteChar">
    <w:name w:val="Quote Char"/>
    <w:basedOn w:val="DefaultParagraphFont"/>
    <w:link w:val="Quote"/>
    <w:uiPriority w:val="29"/>
    <w:rsid w:val="003B364A"/>
    <w:rPr>
      <w:color w:val="5A5A5A" w:themeColor="text1" w:themeTint="A5"/>
    </w:rPr>
  </w:style>
  <w:style w:type="paragraph" w:styleId="IntenseQuote">
    <w:name w:val="Intense Quote"/>
    <w:basedOn w:val="Normal"/>
    <w:next w:val="Normal"/>
    <w:link w:val="IntenseQuoteChar"/>
    <w:uiPriority w:val="30"/>
    <w:qFormat/>
    <w:rsid w:val="003B364A"/>
    <w:pPr>
      <w:spacing w:before="320" w:after="480" w:line="240" w:lineRule="auto"/>
      <w:ind w:left="720" w:right="720"/>
      <w:jc w:val="center"/>
    </w:pPr>
    <w:rPr>
      <w:rFonts w:asciiTheme="majorHAnsi" w:eastAsiaTheme="majorEastAsia" w:hAnsiTheme="majorHAnsi" w:cstheme="majorBidi"/>
      <w:i/>
      <w:iCs/>
      <w:szCs w:val="20"/>
    </w:rPr>
  </w:style>
  <w:style w:type="character" w:customStyle="1" w:styleId="IntenseQuoteChar">
    <w:name w:val="Intense Quote Char"/>
    <w:basedOn w:val="DefaultParagraphFont"/>
    <w:link w:val="IntenseQuote"/>
    <w:uiPriority w:val="30"/>
    <w:rsid w:val="003B364A"/>
    <w:rPr>
      <w:rFonts w:asciiTheme="majorHAnsi" w:eastAsiaTheme="majorEastAsia" w:hAnsiTheme="majorHAnsi" w:cstheme="majorBidi"/>
      <w:i/>
      <w:iCs/>
      <w:sz w:val="20"/>
      <w:szCs w:val="20"/>
    </w:rPr>
  </w:style>
  <w:style w:type="character" w:styleId="SubtleEmphasis">
    <w:name w:val="Subtle Emphasis"/>
    <w:uiPriority w:val="19"/>
    <w:qFormat/>
    <w:rsid w:val="00544FAE"/>
    <w:rPr>
      <w:i w:val="0"/>
      <w:iCs/>
      <w:color w:val="5A5A5A" w:themeColor="text1" w:themeTint="A5"/>
    </w:rPr>
  </w:style>
  <w:style w:type="character" w:styleId="IntenseEmphasis">
    <w:name w:val="Intense Emphasis"/>
    <w:uiPriority w:val="21"/>
    <w:qFormat/>
    <w:rsid w:val="003B364A"/>
    <w:rPr>
      <w:b/>
      <w:bCs/>
      <w:i/>
      <w:iCs/>
      <w:color w:val="auto"/>
      <w:u w:val="single"/>
    </w:rPr>
  </w:style>
  <w:style w:type="character" w:styleId="SubtleReference">
    <w:name w:val="Subtle Reference"/>
    <w:uiPriority w:val="31"/>
    <w:qFormat/>
    <w:rsid w:val="003B364A"/>
    <w:rPr>
      <w:smallCaps/>
    </w:rPr>
  </w:style>
  <w:style w:type="character" w:styleId="IntenseReference">
    <w:name w:val="Intense Reference"/>
    <w:uiPriority w:val="32"/>
    <w:qFormat/>
    <w:rsid w:val="003B364A"/>
    <w:rPr>
      <w:b/>
      <w:bCs/>
      <w:smallCaps/>
      <w:color w:val="auto"/>
    </w:rPr>
  </w:style>
  <w:style w:type="character" w:styleId="BookTitle">
    <w:name w:val="Book Title"/>
    <w:uiPriority w:val="33"/>
    <w:qFormat/>
    <w:rsid w:val="003B364A"/>
    <w:rPr>
      <w:rFonts w:asciiTheme="majorHAnsi" w:eastAsiaTheme="majorEastAsia" w:hAnsiTheme="majorHAnsi" w:cstheme="majorBidi"/>
      <w:b/>
      <w:bCs/>
      <w:smallCaps/>
      <w:color w:val="auto"/>
      <w:u w:val="single"/>
    </w:rPr>
  </w:style>
  <w:style w:type="paragraph" w:styleId="TableofFigures">
    <w:name w:val="table of figures"/>
    <w:basedOn w:val="Normal"/>
    <w:next w:val="Normal"/>
    <w:uiPriority w:val="99"/>
    <w:unhideWhenUsed/>
    <w:rsid w:val="000D44C0"/>
    <w:pPr>
      <w:spacing w:after="0"/>
    </w:pPr>
  </w:style>
  <w:style w:type="paragraph" w:styleId="TableofAuthorities">
    <w:name w:val="table of authorities"/>
    <w:basedOn w:val="Normal"/>
    <w:next w:val="Normal"/>
    <w:uiPriority w:val="99"/>
    <w:semiHidden/>
    <w:unhideWhenUsed/>
    <w:rsid w:val="00FD243D"/>
    <w:pPr>
      <w:spacing w:after="0"/>
      <w:ind w:left="220" w:hanging="220"/>
    </w:pPr>
    <w:rPr>
      <w:rFonts w:asciiTheme="majorHAnsi" w:hAnsiTheme="majorHAnsi"/>
    </w:rPr>
  </w:style>
  <w:style w:type="table" w:styleId="MediumShading1">
    <w:name w:val="Medium Shading 1"/>
    <w:basedOn w:val="TableNormal"/>
    <w:uiPriority w:val="63"/>
    <w:rsid w:val="00AF3D37"/>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ListNumber5">
    <w:name w:val="List Number 5"/>
    <w:basedOn w:val="Normal"/>
    <w:uiPriority w:val="99"/>
    <w:semiHidden/>
    <w:unhideWhenUsed/>
    <w:rsid w:val="00B10F56"/>
    <w:pPr>
      <w:numPr>
        <w:numId w:val="2"/>
      </w:numPr>
      <w:contextualSpacing/>
    </w:pPr>
    <w:rPr>
      <w:rFonts w:asciiTheme="majorHAnsi" w:hAnsiTheme="majorHAnsi"/>
    </w:rPr>
  </w:style>
  <w:style w:type="paragraph" w:styleId="MacroText">
    <w:name w:val="macro"/>
    <w:link w:val="MacroTextChar"/>
    <w:uiPriority w:val="99"/>
    <w:semiHidden/>
    <w:unhideWhenUsed/>
    <w:rsid w:val="00CA19D0"/>
    <w:pPr>
      <w:tabs>
        <w:tab w:val="left" w:pos="480"/>
        <w:tab w:val="left" w:pos="960"/>
        <w:tab w:val="left" w:pos="1440"/>
        <w:tab w:val="left" w:pos="1920"/>
        <w:tab w:val="left" w:pos="2400"/>
        <w:tab w:val="left" w:pos="2880"/>
        <w:tab w:val="left" w:pos="3360"/>
        <w:tab w:val="left" w:pos="3840"/>
        <w:tab w:val="left" w:pos="4320"/>
      </w:tabs>
      <w:spacing w:before="120" w:after="0" w:line="360" w:lineRule="auto"/>
      <w:ind w:firstLine="0"/>
    </w:pPr>
    <w:rPr>
      <w:rFonts w:ascii="Consolas" w:hAnsi="Consolas" w:cs="Consolas"/>
      <w:sz w:val="20"/>
      <w:szCs w:val="20"/>
    </w:rPr>
  </w:style>
  <w:style w:type="character" w:customStyle="1" w:styleId="MacroTextChar">
    <w:name w:val="Macro Text Char"/>
    <w:basedOn w:val="DefaultParagraphFont"/>
    <w:link w:val="MacroText"/>
    <w:uiPriority w:val="99"/>
    <w:semiHidden/>
    <w:rsid w:val="00CA19D0"/>
    <w:rPr>
      <w:rFonts w:ascii="Consolas" w:hAnsi="Consolas" w:cs="Consolas"/>
      <w:sz w:val="20"/>
      <w:szCs w:val="20"/>
    </w:rPr>
  </w:style>
  <w:style w:type="paragraph" w:styleId="ListNumber2">
    <w:name w:val="List Number 2"/>
    <w:basedOn w:val="Normal"/>
    <w:uiPriority w:val="99"/>
    <w:semiHidden/>
    <w:unhideWhenUsed/>
    <w:rsid w:val="00CA19D0"/>
    <w:pPr>
      <w:numPr>
        <w:numId w:val="1"/>
      </w:numPr>
      <w:contextualSpacing/>
    </w:pPr>
  </w:style>
  <w:style w:type="numbering" w:customStyle="1" w:styleId="NumHeadings">
    <w:name w:val="NumHeadings"/>
    <w:uiPriority w:val="99"/>
    <w:rsid w:val="00874DFC"/>
    <w:pPr>
      <w:numPr>
        <w:numId w:val="5"/>
      </w:numPr>
    </w:pPr>
  </w:style>
  <w:style w:type="paragraph" w:styleId="EndnoteText">
    <w:name w:val="endnote text"/>
    <w:basedOn w:val="Normal"/>
    <w:link w:val="EndnoteTextChar"/>
    <w:uiPriority w:val="99"/>
    <w:semiHidden/>
    <w:unhideWhenUsed/>
    <w:rsid w:val="00CF73B7"/>
    <w:pPr>
      <w:spacing w:before="0" w:after="0" w:line="240" w:lineRule="auto"/>
    </w:pPr>
    <w:rPr>
      <w:szCs w:val="20"/>
    </w:rPr>
  </w:style>
  <w:style w:type="character" w:customStyle="1" w:styleId="EndnoteTextChar">
    <w:name w:val="Endnote Text Char"/>
    <w:basedOn w:val="DefaultParagraphFont"/>
    <w:link w:val="EndnoteText"/>
    <w:uiPriority w:val="99"/>
    <w:semiHidden/>
    <w:rsid w:val="00CF73B7"/>
    <w:rPr>
      <w:sz w:val="20"/>
      <w:szCs w:val="20"/>
    </w:rPr>
  </w:style>
  <w:style w:type="character" w:styleId="EndnoteReference">
    <w:name w:val="endnote reference"/>
    <w:basedOn w:val="DefaultParagraphFont"/>
    <w:uiPriority w:val="99"/>
    <w:semiHidden/>
    <w:unhideWhenUsed/>
    <w:rsid w:val="00CF73B7"/>
    <w:rPr>
      <w:vertAlign w:val="superscript"/>
    </w:rPr>
  </w:style>
  <w:style w:type="paragraph" w:styleId="TOC2">
    <w:name w:val="toc 2"/>
    <w:basedOn w:val="Normal"/>
    <w:next w:val="Normal"/>
    <w:autoRedefine/>
    <w:uiPriority w:val="39"/>
    <w:unhideWhenUsed/>
    <w:rsid w:val="00544FAE"/>
    <w:pPr>
      <w:spacing w:after="100"/>
      <w:ind w:left="220"/>
    </w:pPr>
  </w:style>
  <w:style w:type="table" w:customStyle="1" w:styleId="Style1">
    <w:name w:val="Style1"/>
    <w:basedOn w:val="TableSubtle1"/>
    <w:uiPriority w:val="99"/>
    <w:rsid w:val="003F6B49"/>
    <w:pPr>
      <w:spacing w:after="0" w:line="240" w:lineRule="auto"/>
    </w:pP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GridTable4-Accent2">
    <w:name w:val="Grid Table 4 Accent 2"/>
    <w:basedOn w:val="TableNormal"/>
    <w:uiPriority w:val="49"/>
    <w:rsid w:val="00824B86"/>
    <w:pPr>
      <w:spacing w:after="0" w:line="240" w:lineRule="auto"/>
    </w:pPr>
    <w:tblPr>
      <w:tblStyleRowBandSize w:val="1"/>
      <w:tblStyleColBandSize w:val="1"/>
      <w:tblBorders>
        <w:top w:val="single" w:sz="4" w:space="0" w:color="BAD6A9" w:themeColor="accent2" w:themeTint="99"/>
        <w:left w:val="single" w:sz="4" w:space="0" w:color="BAD6A9" w:themeColor="accent2" w:themeTint="99"/>
        <w:bottom w:val="single" w:sz="4" w:space="0" w:color="BAD6A9" w:themeColor="accent2" w:themeTint="99"/>
        <w:right w:val="single" w:sz="4" w:space="0" w:color="BAD6A9" w:themeColor="accent2" w:themeTint="99"/>
        <w:insideH w:val="single" w:sz="4" w:space="0" w:color="BAD6A9" w:themeColor="accent2" w:themeTint="99"/>
        <w:insideV w:val="single" w:sz="4" w:space="0" w:color="BAD6A9" w:themeColor="accent2" w:themeTint="99"/>
      </w:tblBorders>
    </w:tblPr>
    <w:tblStylePr w:type="firstRow">
      <w:rPr>
        <w:b/>
        <w:bCs/>
        <w:color w:val="auto"/>
      </w:rPr>
      <w:tblPr/>
      <w:tcPr>
        <w:tcBorders>
          <w:top w:val="single" w:sz="4" w:space="0" w:color="8DBB70" w:themeColor="accent2"/>
          <w:left w:val="single" w:sz="4" w:space="0" w:color="8DBB70" w:themeColor="accent2"/>
          <w:bottom w:val="single" w:sz="4" w:space="0" w:color="8DBB70" w:themeColor="accent2"/>
          <w:right w:val="single" w:sz="4" w:space="0" w:color="8DBB70" w:themeColor="accent2"/>
          <w:insideH w:val="nil"/>
          <w:insideV w:val="nil"/>
        </w:tcBorders>
        <w:shd w:val="clear" w:color="auto" w:fill="8DBB70" w:themeFill="accent2"/>
      </w:tcPr>
    </w:tblStylePr>
    <w:tblStylePr w:type="lastRow">
      <w:rPr>
        <w:b/>
        <w:bCs/>
      </w:rPr>
      <w:tblPr/>
      <w:tcPr>
        <w:tcBorders>
          <w:top w:val="double" w:sz="4" w:space="0" w:color="8DBB70" w:themeColor="accent2"/>
        </w:tcBorders>
      </w:tcPr>
    </w:tblStylePr>
    <w:tblStylePr w:type="firstCol">
      <w:rPr>
        <w:b/>
        <w:bCs/>
      </w:rPr>
    </w:tblStylePr>
    <w:tblStylePr w:type="lastCol">
      <w:rPr>
        <w:b/>
        <w:bCs/>
      </w:rPr>
    </w:tblStylePr>
    <w:tblStylePr w:type="band1Vert">
      <w:tblPr/>
      <w:tcPr>
        <w:shd w:val="clear" w:color="auto" w:fill="E8F1E2" w:themeFill="accent2" w:themeFillTint="33"/>
      </w:tcPr>
    </w:tblStylePr>
    <w:tblStylePr w:type="band1Horz">
      <w:tblPr/>
      <w:tcPr>
        <w:shd w:val="clear" w:color="auto" w:fill="E8F1E2" w:themeFill="accent2" w:themeFillTint="33"/>
      </w:tcPr>
    </w:tblStylePr>
  </w:style>
  <w:style w:type="table" w:styleId="TableSubtle1">
    <w:name w:val="Table Subtle 1"/>
    <w:basedOn w:val="TableNormal"/>
    <w:uiPriority w:val="99"/>
    <w:semiHidden/>
    <w:unhideWhenUsed/>
    <w:rsid w:val="003F6B49"/>
    <w:pPr>
      <w:spacing w:before="120" w:line="360" w:lineRule="auto"/>
      <w:ind w:firstLine="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GridTable5Dark-Accent2">
    <w:name w:val="Grid Table 5 Dark Accent 2"/>
    <w:basedOn w:val="TableNormal"/>
    <w:uiPriority w:val="50"/>
    <w:rsid w:val="005D3E6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F1E2"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DBB70"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DBB70"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DBB70"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DBB70" w:themeFill="accent2"/>
      </w:tcPr>
    </w:tblStylePr>
    <w:tblStylePr w:type="band1Vert">
      <w:tblPr/>
      <w:tcPr>
        <w:shd w:val="clear" w:color="auto" w:fill="D1E3C5" w:themeFill="accent2" w:themeFillTint="66"/>
      </w:tcPr>
    </w:tblStylePr>
    <w:tblStylePr w:type="band1Horz">
      <w:tblPr/>
      <w:tcPr>
        <w:shd w:val="clear" w:color="auto" w:fill="D1E3C5" w:themeFill="accent2" w:themeFillTint="66"/>
      </w:tcPr>
    </w:tblStylePr>
  </w:style>
  <w:style w:type="table" w:styleId="GridTable4">
    <w:name w:val="Grid Table 4"/>
    <w:basedOn w:val="TableNormal"/>
    <w:uiPriority w:val="49"/>
    <w:rsid w:val="009A36A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re-para">
    <w:name w:val="pre-para"/>
    <w:basedOn w:val="Normal"/>
    <w:rsid w:val="002253B8"/>
    <w:pPr>
      <w:spacing w:before="100" w:beforeAutospacing="1" w:after="100" w:afterAutospacing="1" w:line="240" w:lineRule="auto"/>
    </w:pPr>
    <w:rPr>
      <w:rFonts w:ascii="Times New Roman" w:eastAsia="Times New Roman" w:hAnsi="Times New Roman" w:cs="Times New Roman"/>
      <w:szCs w:val="24"/>
      <w:lang w:val="en-GB" w:eastAsia="en-GB"/>
    </w:rPr>
  </w:style>
  <w:style w:type="paragraph" w:styleId="TOC4">
    <w:name w:val="toc 4"/>
    <w:basedOn w:val="Normal"/>
    <w:next w:val="Normal"/>
    <w:autoRedefine/>
    <w:uiPriority w:val="39"/>
    <w:unhideWhenUsed/>
    <w:rsid w:val="00E25AD3"/>
    <w:pPr>
      <w:tabs>
        <w:tab w:val="left" w:pos="1000"/>
        <w:tab w:val="right" w:leader="dot" w:pos="8990"/>
      </w:tabs>
      <w:spacing w:after="100"/>
    </w:pPr>
  </w:style>
  <w:style w:type="paragraph" w:styleId="TOC6">
    <w:name w:val="toc 6"/>
    <w:basedOn w:val="Normal"/>
    <w:next w:val="Normal"/>
    <w:autoRedefine/>
    <w:uiPriority w:val="39"/>
    <w:semiHidden/>
    <w:unhideWhenUsed/>
    <w:rsid w:val="00064148"/>
    <w:pPr>
      <w:spacing w:after="100"/>
      <w:ind w:left="1000"/>
    </w:pPr>
  </w:style>
  <w:style w:type="paragraph" w:styleId="TOC5">
    <w:name w:val="toc 5"/>
    <w:basedOn w:val="Normal"/>
    <w:next w:val="Normal"/>
    <w:autoRedefine/>
    <w:uiPriority w:val="39"/>
    <w:unhideWhenUsed/>
    <w:rsid w:val="009128BF"/>
    <w:pPr>
      <w:tabs>
        <w:tab w:val="left" w:pos="1540"/>
        <w:tab w:val="right" w:leader="dot" w:pos="9350"/>
      </w:tabs>
      <w:spacing w:before="0" w:after="0"/>
      <w:jc w:val="both"/>
    </w:pPr>
  </w:style>
  <w:style w:type="paragraph" w:customStyle="1" w:styleId="Default">
    <w:name w:val="Default"/>
    <w:rsid w:val="00000DBD"/>
    <w:pPr>
      <w:autoSpaceDE w:val="0"/>
      <w:autoSpaceDN w:val="0"/>
      <w:adjustRightInd w:val="0"/>
      <w:spacing w:after="0" w:line="240" w:lineRule="auto"/>
      <w:ind w:firstLine="0"/>
    </w:pPr>
    <w:rPr>
      <w:rFonts w:ascii="Calibri" w:eastAsiaTheme="minorHAnsi" w:hAnsi="Calibri" w:cs="Calibri"/>
      <w:color w:val="000000"/>
      <w:sz w:val="24"/>
      <w:szCs w:val="24"/>
      <w:lang w:val="en-GB"/>
    </w:rPr>
  </w:style>
  <w:style w:type="character" w:styleId="CommentReference">
    <w:name w:val="annotation reference"/>
    <w:basedOn w:val="DefaultParagraphFont"/>
    <w:uiPriority w:val="99"/>
    <w:semiHidden/>
    <w:unhideWhenUsed/>
    <w:rsid w:val="00331CE8"/>
    <w:rPr>
      <w:sz w:val="16"/>
      <w:szCs w:val="16"/>
    </w:rPr>
  </w:style>
  <w:style w:type="paragraph" w:styleId="CommentText">
    <w:name w:val="annotation text"/>
    <w:basedOn w:val="Normal"/>
    <w:link w:val="CommentTextChar"/>
    <w:uiPriority w:val="99"/>
    <w:unhideWhenUsed/>
    <w:rsid w:val="00331CE8"/>
    <w:pPr>
      <w:spacing w:line="240" w:lineRule="auto"/>
    </w:pPr>
    <w:rPr>
      <w:sz w:val="20"/>
      <w:szCs w:val="20"/>
    </w:rPr>
  </w:style>
  <w:style w:type="character" w:customStyle="1" w:styleId="CommentTextChar">
    <w:name w:val="Comment Text Char"/>
    <w:basedOn w:val="DefaultParagraphFont"/>
    <w:link w:val="CommentText"/>
    <w:uiPriority w:val="99"/>
    <w:rsid w:val="00331CE8"/>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331CE8"/>
    <w:rPr>
      <w:b/>
      <w:bCs/>
    </w:rPr>
  </w:style>
  <w:style w:type="character" w:customStyle="1" w:styleId="CommentSubjectChar">
    <w:name w:val="Comment Subject Char"/>
    <w:basedOn w:val="CommentTextChar"/>
    <w:link w:val="CommentSubject"/>
    <w:uiPriority w:val="99"/>
    <w:semiHidden/>
    <w:rsid w:val="00331CE8"/>
    <w:rPr>
      <w:rFonts w:ascii="Calibri" w:hAnsi="Calibri"/>
      <w:b/>
      <w:bCs/>
      <w:sz w:val="20"/>
      <w:szCs w:val="20"/>
    </w:rPr>
  </w:style>
  <w:style w:type="paragraph" w:styleId="Revision">
    <w:name w:val="Revision"/>
    <w:hidden/>
    <w:uiPriority w:val="99"/>
    <w:semiHidden/>
    <w:rsid w:val="00000C5A"/>
    <w:pPr>
      <w:spacing w:after="0" w:line="240" w:lineRule="auto"/>
      <w:ind w:firstLine="0"/>
    </w:pPr>
    <w:rPr>
      <w:rFonts w:ascii="Calibri" w:hAnsi="Calibri"/>
      <w:sz w:val="24"/>
    </w:rPr>
  </w:style>
  <w:style w:type="character" w:customStyle="1" w:styleId="UnresolvedMention1">
    <w:name w:val="Unresolved Mention1"/>
    <w:basedOn w:val="DefaultParagraphFont"/>
    <w:uiPriority w:val="99"/>
    <w:semiHidden/>
    <w:unhideWhenUsed/>
    <w:rsid w:val="004C698A"/>
    <w:rPr>
      <w:color w:val="605E5C"/>
      <w:shd w:val="clear" w:color="auto" w:fill="E1DFDD"/>
    </w:rPr>
  </w:style>
  <w:style w:type="table" w:styleId="GridTable4-Accent5">
    <w:name w:val="Grid Table 4 Accent 5"/>
    <w:basedOn w:val="TableNormal"/>
    <w:uiPriority w:val="49"/>
    <w:rsid w:val="00AD73AB"/>
    <w:pPr>
      <w:spacing w:after="0" w:line="240" w:lineRule="auto"/>
    </w:pPr>
    <w:tblPr>
      <w:tblStyleRowBandSize w:val="1"/>
      <w:tblStyleColBandSize w:val="1"/>
      <w:tblBorders>
        <w:top w:val="single" w:sz="4" w:space="0" w:color="C7A1B9" w:themeColor="accent5" w:themeTint="99"/>
        <w:left w:val="single" w:sz="4" w:space="0" w:color="C7A1B9" w:themeColor="accent5" w:themeTint="99"/>
        <w:bottom w:val="single" w:sz="4" w:space="0" w:color="C7A1B9" w:themeColor="accent5" w:themeTint="99"/>
        <w:right w:val="single" w:sz="4" w:space="0" w:color="C7A1B9" w:themeColor="accent5" w:themeTint="99"/>
        <w:insideH w:val="single" w:sz="4" w:space="0" w:color="C7A1B9" w:themeColor="accent5" w:themeTint="99"/>
        <w:insideV w:val="single" w:sz="4" w:space="0" w:color="C7A1B9" w:themeColor="accent5" w:themeTint="99"/>
      </w:tblBorders>
    </w:tblPr>
    <w:tblStylePr w:type="firstRow">
      <w:rPr>
        <w:b/>
        <w:bCs/>
        <w:color w:val="FFFFFF" w:themeColor="background1"/>
      </w:rPr>
      <w:tblPr/>
      <w:tcPr>
        <w:tcBorders>
          <w:top w:val="single" w:sz="4" w:space="0" w:color="A3648B" w:themeColor="accent5"/>
          <w:left w:val="single" w:sz="4" w:space="0" w:color="A3648B" w:themeColor="accent5"/>
          <w:bottom w:val="single" w:sz="4" w:space="0" w:color="A3648B" w:themeColor="accent5"/>
          <w:right w:val="single" w:sz="4" w:space="0" w:color="A3648B" w:themeColor="accent5"/>
          <w:insideH w:val="nil"/>
          <w:insideV w:val="nil"/>
        </w:tcBorders>
        <w:shd w:val="clear" w:color="auto" w:fill="A3648B" w:themeFill="accent5"/>
      </w:tcPr>
    </w:tblStylePr>
    <w:tblStylePr w:type="lastRow">
      <w:rPr>
        <w:b/>
        <w:bCs/>
      </w:rPr>
      <w:tblPr/>
      <w:tcPr>
        <w:tcBorders>
          <w:top w:val="double" w:sz="4" w:space="0" w:color="A3648B" w:themeColor="accent5"/>
        </w:tcBorders>
      </w:tcPr>
    </w:tblStylePr>
    <w:tblStylePr w:type="firstCol">
      <w:rPr>
        <w:b/>
        <w:bCs/>
      </w:rPr>
    </w:tblStylePr>
    <w:tblStylePr w:type="lastCol">
      <w:rPr>
        <w:b/>
        <w:bCs/>
      </w:rPr>
    </w:tblStylePr>
    <w:tblStylePr w:type="band1Vert">
      <w:tblPr/>
      <w:tcPr>
        <w:shd w:val="clear" w:color="auto" w:fill="ECDFE7" w:themeFill="accent5" w:themeFillTint="33"/>
      </w:tcPr>
    </w:tblStylePr>
    <w:tblStylePr w:type="band1Horz">
      <w:tblPr/>
      <w:tcPr>
        <w:shd w:val="clear" w:color="auto" w:fill="ECDFE7" w:themeFill="accent5" w:themeFillTint="33"/>
      </w:tcPr>
    </w:tblStylePr>
  </w:style>
  <w:style w:type="table" w:customStyle="1" w:styleId="GridTable4-Accent21">
    <w:name w:val="Grid Table 4 - Accent 21"/>
    <w:basedOn w:val="TableNormal"/>
    <w:uiPriority w:val="49"/>
    <w:rsid w:val="0006351E"/>
    <w:pPr>
      <w:spacing w:before="60" w:after="0" w:line="240" w:lineRule="auto"/>
      <w:ind w:left="144" w:right="144" w:firstLine="0"/>
    </w:pPr>
    <w:rPr>
      <w:rFonts w:eastAsiaTheme="minorHAnsi"/>
      <w:color w:val="4C483D" w:themeColor="text2"/>
      <w:sz w:val="20"/>
      <w:szCs w:val="20"/>
    </w:rPr>
    <w:tblPr>
      <w:tblStyleRowBandSize w:val="1"/>
      <w:tblStyleColBandSize w:val="1"/>
      <w:tblBorders>
        <w:top w:val="single" w:sz="4" w:space="0" w:color="BAD6A9" w:themeColor="accent2" w:themeTint="99"/>
        <w:left w:val="single" w:sz="4" w:space="0" w:color="BAD6A9" w:themeColor="accent2" w:themeTint="99"/>
        <w:bottom w:val="single" w:sz="4" w:space="0" w:color="BAD6A9" w:themeColor="accent2" w:themeTint="99"/>
        <w:right w:val="single" w:sz="4" w:space="0" w:color="BAD6A9" w:themeColor="accent2" w:themeTint="99"/>
        <w:insideH w:val="single" w:sz="4" w:space="0" w:color="BAD6A9" w:themeColor="accent2" w:themeTint="99"/>
        <w:insideV w:val="single" w:sz="4" w:space="0" w:color="BAD6A9" w:themeColor="accent2" w:themeTint="99"/>
      </w:tblBorders>
    </w:tblPr>
    <w:tblStylePr w:type="firstRow">
      <w:rPr>
        <w:b/>
        <w:bCs/>
        <w:color w:val="FFFFFF" w:themeColor="background1"/>
      </w:rPr>
      <w:tblPr/>
      <w:tcPr>
        <w:tcBorders>
          <w:top w:val="single" w:sz="4" w:space="0" w:color="8DBB70" w:themeColor="accent2"/>
          <w:left w:val="single" w:sz="4" w:space="0" w:color="8DBB70" w:themeColor="accent2"/>
          <w:bottom w:val="single" w:sz="4" w:space="0" w:color="8DBB70" w:themeColor="accent2"/>
          <w:right w:val="single" w:sz="4" w:space="0" w:color="8DBB70" w:themeColor="accent2"/>
          <w:insideH w:val="nil"/>
          <w:insideV w:val="nil"/>
        </w:tcBorders>
        <w:shd w:val="clear" w:color="auto" w:fill="8DBB70" w:themeFill="accent2"/>
      </w:tcPr>
    </w:tblStylePr>
    <w:tblStylePr w:type="lastRow">
      <w:rPr>
        <w:b/>
        <w:bCs/>
      </w:rPr>
      <w:tblPr/>
      <w:tcPr>
        <w:tcBorders>
          <w:top w:val="double" w:sz="4" w:space="0" w:color="8DBB70" w:themeColor="accent2"/>
        </w:tcBorders>
      </w:tcPr>
    </w:tblStylePr>
    <w:tblStylePr w:type="firstCol">
      <w:rPr>
        <w:b/>
        <w:bCs/>
      </w:rPr>
    </w:tblStylePr>
    <w:tblStylePr w:type="lastCol">
      <w:rPr>
        <w:b/>
        <w:bCs/>
      </w:rPr>
    </w:tblStylePr>
    <w:tblStylePr w:type="band1Vert">
      <w:tblPr/>
      <w:tcPr>
        <w:shd w:val="clear" w:color="auto" w:fill="E8F1E2" w:themeFill="accent2" w:themeFillTint="33"/>
      </w:tcPr>
    </w:tblStylePr>
    <w:tblStylePr w:type="band1Horz">
      <w:tblPr/>
      <w:tcPr>
        <w:shd w:val="clear" w:color="auto" w:fill="E8F1E2" w:themeFill="accent2" w:themeFillTint="33"/>
      </w:tcPr>
    </w:tblStylePr>
  </w:style>
  <w:style w:type="paragraph" w:styleId="PlainText">
    <w:name w:val="Plain Text"/>
    <w:basedOn w:val="Normal"/>
    <w:link w:val="PlainTextChar"/>
    <w:uiPriority w:val="99"/>
    <w:unhideWhenUsed/>
    <w:rsid w:val="00644888"/>
    <w:pPr>
      <w:spacing w:before="0" w:after="0" w:line="240" w:lineRule="auto"/>
    </w:pPr>
    <w:rPr>
      <w:rFonts w:eastAsiaTheme="minorHAnsi"/>
      <w:sz w:val="22"/>
      <w:szCs w:val="21"/>
      <w:lang w:val="en-GB"/>
    </w:rPr>
  </w:style>
  <w:style w:type="character" w:customStyle="1" w:styleId="PlainTextChar">
    <w:name w:val="Plain Text Char"/>
    <w:basedOn w:val="DefaultParagraphFont"/>
    <w:link w:val="PlainText"/>
    <w:uiPriority w:val="99"/>
    <w:rsid w:val="00644888"/>
    <w:rPr>
      <w:rFonts w:ascii="Calibri" w:eastAsiaTheme="minorHAnsi" w:hAnsi="Calibri"/>
      <w:szCs w:val="21"/>
      <w:lang w:val="en-GB"/>
    </w:rPr>
  </w:style>
  <w:style w:type="table" w:customStyle="1" w:styleId="Style2">
    <w:name w:val="Style2"/>
    <w:basedOn w:val="TableNormal"/>
    <w:uiPriority w:val="99"/>
    <w:rsid w:val="007F1984"/>
    <w:pPr>
      <w:spacing w:after="0" w:line="240" w:lineRule="auto"/>
      <w:ind w:firstLine="0"/>
    </w:pPr>
    <w:rPr>
      <w:rFonts w:ascii="IBM Plex Sans" w:eastAsia="Microsoft Sans Serif" w:hAnsi="IBM Plex Sans"/>
      <w:sz w:val="20"/>
      <w:szCs w:val="18"/>
    </w:rPr>
    <w:tblPr>
      <w:tblStyleRowBandSize w:val="1"/>
      <w:tblBorders>
        <w:top w:val="single" w:sz="4" w:space="0" w:color="EAE6F0"/>
        <w:left w:val="single" w:sz="4" w:space="0" w:color="EAE6F0"/>
        <w:bottom w:val="single" w:sz="4" w:space="0" w:color="EAE6F0"/>
        <w:right w:val="single" w:sz="4" w:space="0" w:color="EAE6F0"/>
        <w:insideH w:val="single" w:sz="4" w:space="0" w:color="EAE6F0"/>
        <w:insideV w:val="single" w:sz="4" w:space="0" w:color="EAE6F0"/>
      </w:tblBorders>
    </w:tblPr>
    <w:tcPr>
      <w:shd w:val="clear" w:color="auto" w:fill="5C00D6"/>
    </w:tcPr>
    <w:tblStylePr w:type="firstRow">
      <w:pPr>
        <w:jc w:val="left"/>
      </w:pPr>
      <w:rPr>
        <w:rFonts w:ascii="IBM Plex Sans Medium" w:hAnsi="IBM Plex Sans Medium"/>
        <w:sz w:val="20"/>
      </w:rPr>
      <w:tblPr/>
      <w:tcPr>
        <w:vAlign w:val="center"/>
      </w:tcPr>
    </w:tblStylePr>
    <w:tblStylePr w:type="band1Horz">
      <w:tblPr/>
      <w:tcPr>
        <w:shd w:val="clear" w:color="auto" w:fill="DECCF7"/>
      </w:tcPr>
    </w:tblStylePr>
    <w:tblStylePr w:type="band2Horz">
      <w:tblPr/>
      <w:tcPr>
        <w:shd w:val="clear" w:color="auto" w:fill="FFFFFF"/>
      </w:tcPr>
    </w:tblStylePr>
  </w:style>
  <w:style w:type="character" w:customStyle="1" w:styleId="tx">
    <w:name w:val="tx"/>
    <w:basedOn w:val="DefaultParagraphFont"/>
    <w:rsid w:val="000A4F46"/>
  </w:style>
  <w:style w:type="character" w:customStyle="1" w:styleId="NoSpacingChar">
    <w:name w:val="No Spacing Char"/>
    <w:basedOn w:val="DefaultParagraphFont"/>
    <w:link w:val="NoSpacing"/>
    <w:uiPriority w:val="1"/>
    <w:locked/>
    <w:rsid w:val="000A4F46"/>
    <w:rPr>
      <w:rFonts w:ascii="Calibri" w:hAnsi="Calibri"/>
      <w:sz w:val="24"/>
    </w:rPr>
  </w:style>
  <w:style w:type="paragraph" w:customStyle="1" w:styleId="BidBodytext">
    <w:name w:val="Bid Bodytext"/>
    <w:rsid w:val="000A4F46"/>
    <w:pPr>
      <w:spacing w:after="0" w:line="240" w:lineRule="auto"/>
      <w:ind w:left="2880" w:firstLine="0"/>
    </w:pPr>
    <w:rPr>
      <w:rFonts w:ascii="Knowledge Light" w:eastAsia="Times New Roman" w:hAnsi="Knowledge Light" w:cs="Times New Roman"/>
      <w:color w:val="666666"/>
      <w:szCs w:val="20"/>
      <w:lang w:val="en-GB" w:eastAsia="en-GB"/>
    </w:rPr>
  </w:style>
  <w:style w:type="paragraph" w:styleId="TOC3">
    <w:name w:val="toc 3"/>
    <w:basedOn w:val="Normal"/>
    <w:next w:val="Normal"/>
    <w:autoRedefine/>
    <w:uiPriority w:val="39"/>
    <w:unhideWhenUsed/>
    <w:rsid w:val="008F2261"/>
    <w:pPr>
      <w:spacing w:after="100"/>
      <w:ind w:left="480"/>
    </w:pPr>
  </w:style>
  <w:style w:type="character" w:customStyle="1" w:styleId="Mention1">
    <w:name w:val="Mention1"/>
    <w:basedOn w:val="DefaultParagraphFont"/>
    <w:uiPriority w:val="99"/>
    <w:unhideWhenUsed/>
    <w:rsid w:val="005643B7"/>
    <w:rPr>
      <w:color w:val="2B579A"/>
      <w:shd w:val="clear" w:color="auto" w:fill="E1DFDD"/>
    </w:rPr>
  </w:style>
  <w:style w:type="character" w:customStyle="1" w:styleId="cf01">
    <w:name w:val="cf01"/>
    <w:basedOn w:val="DefaultParagraphFont"/>
    <w:rsid w:val="00997665"/>
    <w:rPr>
      <w:rFonts w:ascii="Segoe UI" w:hAnsi="Segoe UI" w:cs="Segoe UI" w:hint="default"/>
      <w:sz w:val="18"/>
      <w:szCs w:val="18"/>
    </w:rPr>
  </w:style>
  <w:style w:type="paragraph" w:customStyle="1" w:styleId="pf0">
    <w:name w:val="pf0"/>
    <w:basedOn w:val="Normal"/>
    <w:rsid w:val="0007395D"/>
    <w:pPr>
      <w:spacing w:before="100" w:beforeAutospacing="1" w:after="100" w:afterAutospacing="1" w:line="240" w:lineRule="auto"/>
    </w:pPr>
    <w:rPr>
      <w:rFonts w:ascii="Times New Roman" w:eastAsia="Times New Roman" w:hAnsi="Times New Roman" w:cs="Times New Roman"/>
      <w:szCs w:val="24"/>
      <w:lang w:val="en-GB" w:eastAsia="en-GB"/>
    </w:rPr>
  </w:style>
  <w:style w:type="character" w:customStyle="1" w:styleId="ListParagraphChar">
    <w:name w:val="List Paragraph Char"/>
    <w:aliases w:val="Numbered Para 1 Char,Dot pt Char,No Spacing1 Char,List Paragraph Char Char Char Char,Indicator Text Char,List Paragraph1 Char,Bullet Points Char,Bullet 1 Char,MAIN CONTENT Char,List Paragraph12 Char,F5 List Paragraph Char"/>
    <w:basedOn w:val="DefaultParagraphFont"/>
    <w:link w:val="ListParagraph"/>
    <w:uiPriority w:val="34"/>
    <w:locked/>
    <w:rsid w:val="00885EF5"/>
    <w:rPr>
      <w:rFonts w:ascii="Calibri" w:hAnsi="Calibri"/>
      <w:sz w:val="24"/>
    </w:rPr>
  </w:style>
  <w:style w:type="table" w:styleId="ListTable4-Accent5">
    <w:name w:val="List Table 4 Accent 5"/>
    <w:basedOn w:val="TableNormal"/>
    <w:uiPriority w:val="49"/>
    <w:rsid w:val="008B5E5D"/>
    <w:pPr>
      <w:spacing w:after="0" w:line="240" w:lineRule="auto"/>
    </w:pPr>
    <w:tblPr>
      <w:tblStyleRowBandSize w:val="1"/>
      <w:tblStyleColBandSize w:val="1"/>
      <w:tblBorders>
        <w:top w:val="single" w:sz="4" w:space="0" w:color="C7A1B9" w:themeColor="accent5" w:themeTint="99"/>
        <w:left w:val="single" w:sz="4" w:space="0" w:color="C7A1B9" w:themeColor="accent5" w:themeTint="99"/>
        <w:bottom w:val="single" w:sz="4" w:space="0" w:color="C7A1B9" w:themeColor="accent5" w:themeTint="99"/>
        <w:right w:val="single" w:sz="4" w:space="0" w:color="C7A1B9" w:themeColor="accent5" w:themeTint="99"/>
        <w:insideH w:val="single" w:sz="4" w:space="0" w:color="C7A1B9" w:themeColor="accent5" w:themeTint="99"/>
      </w:tblBorders>
    </w:tblPr>
    <w:tblStylePr w:type="firstRow">
      <w:rPr>
        <w:b/>
        <w:bCs/>
        <w:color w:val="FFFFFF" w:themeColor="background1"/>
      </w:rPr>
      <w:tblPr/>
      <w:tcPr>
        <w:tcBorders>
          <w:top w:val="single" w:sz="4" w:space="0" w:color="A3648B" w:themeColor="accent5"/>
          <w:left w:val="single" w:sz="4" w:space="0" w:color="A3648B" w:themeColor="accent5"/>
          <w:bottom w:val="single" w:sz="4" w:space="0" w:color="A3648B" w:themeColor="accent5"/>
          <w:right w:val="single" w:sz="4" w:space="0" w:color="A3648B" w:themeColor="accent5"/>
          <w:insideH w:val="nil"/>
        </w:tcBorders>
        <w:shd w:val="clear" w:color="auto" w:fill="A3648B" w:themeFill="accent5"/>
      </w:tcPr>
    </w:tblStylePr>
    <w:tblStylePr w:type="lastRow">
      <w:rPr>
        <w:b/>
        <w:bCs/>
      </w:rPr>
      <w:tblPr/>
      <w:tcPr>
        <w:tcBorders>
          <w:top w:val="double" w:sz="4" w:space="0" w:color="C7A1B9" w:themeColor="accent5" w:themeTint="99"/>
        </w:tcBorders>
      </w:tcPr>
    </w:tblStylePr>
    <w:tblStylePr w:type="firstCol">
      <w:rPr>
        <w:b/>
        <w:bCs/>
      </w:rPr>
    </w:tblStylePr>
    <w:tblStylePr w:type="lastCol">
      <w:rPr>
        <w:b/>
        <w:bCs/>
      </w:rPr>
    </w:tblStylePr>
    <w:tblStylePr w:type="band1Vert">
      <w:tblPr/>
      <w:tcPr>
        <w:shd w:val="clear" w:color="auto" w:fill="ECDFE7" w:themeFill="accent5" w:themeFillTint="33"/>
      </w:tcPr>
    </w:tblStylePr>
    <w:tblStylePr w:type="band1Horz">
      <w:tblPr/>
      <w:tcPr>
        <w:shd w:val="clear" w:color="auto" w:fill="ECDFE7" w:themeFill="accent5" w:themeFillTint="33"/>
      </w:tcPr>
    </w:tblStylePr>
  </w:style>
  <w:style w:type="paragraph" w:styleId="NormalWeb">
    <w:name w:val="Normal (Web)"/>
    <w:basedOn w:val="Normal"/>
    <w:uiPriority w:val="99"/>
    <w:semiHidden/>
    <w:unhideWhenUsed/>
    <w:rsid w:val="00C745C2"/>
    <w:pPr>
      <w:spacing w:before="100" w:beforeAutospacing="1" w:after="100" w:afterAutospacing="1" w:line="240" w:lineRule="auto"/>
    </w:pPr>
    <w:rPr>
      <w:rFonts w:ascii="Times New Roman" w:eastAsia="Times New Roman" w:hAnsi="Times New Roman" w:cs="Times New Roman"/>
      <w:szCs w:val="24"/>
      <w:lang w:val="en-GB" w:eastAsia="en-GB"/>
    </w:rPr>
  </w:style>
  <w:style w:type="character" w:customStyle="1" w:styleId="fontsizemediumplus">
    <w:name w:val="fontsizemediumplus"/>
    <w:basedOn w:val="DefaultParagraphFont"/>
    <w:rsid w:val="00C745C2"/>
  </w:style>
  <w:style w:type="paragraph" w:customStyle="1" w:styleId="Pa1">
    <w:name w:val="Pa1"/>
    <w:basedOn w:val="Normal"/>
    <w:next w:val="Normal"/>
    <w:uiPriority w:val="99"/>
    <w:rsid w:val="00BB5015"/>
    <w:pPr>
      <w:autoSpaceDE w:val="0"/>
      <w:autoSpaceDN w:val="0"/>
      <w:adjustRightInd w:val="0"/>
      <w:spacing w:before="0" w:after="0" w:line="241" w:lineRule="atLeast"/>
    </w:pPr>
    <w:rPr>
      <w:rFonts w:ascii="FranklinGothic URW" w:eastAsiaTheme="minorHAnsi" w:hAnsi="FranklinGothic URW"/>
      <w:szCs w:val="24"/>
      <w:lang w:val="en-GB"/>
    </w:rPr>
  </w:style>
  <w:style w:type="character" w:customStyle="1" w:styleId="A4">
    <w:name w:val="A4"/>
    <w:uiPriority w:val="99"/>
    <w:rsid w:val="00BB5015"/>
    <w:rPr>
      <w:rFonts w:ascii="FranklinGothic URW" w:hAnsi="FranklinGothic URW" w:cs="FranklinGothic URW" w:hint="default"/>
      <w:color w:val="000000"/>
      <w:sz w:val="20"/>
      <w:szCs w:val="20"/>
    </w:rPr>
  </w:style>
  <w:style w:type="character" w:styleId="FollowedHyperlink">
    <w:name w:val="FollowedHyperlink"/>
    <w:basedOn w:val="DefaultParagraphFont"/>
    <w:uiPriority w:val="99"/>
    <w:semiHidden/>
    <w:unhideWhenUsed/>
    <w:rsid w:val="00E7024E"/>
    <w:rPr>
      <w:color w:val="A3648B" w:themeColor="followedHyperlink"/>
      <w:u w:val="single"/>
    </w:rPr>
  </w:style>
  <w:style w:type="character" w:styleId="UnresolvedMention">
    <w:name w:val="Unresolved Mention"/>
    <w:basedOn w:val="DefaultParagraphFont"/>
    <w:uiPriority w:val="99"/>
    <w:semiHidden/>
    <w:unhideWhenUsed/>
    <w:rsid w:val="00D7641B"/>
    <w:rPr>
      <w:color w:val="605E5C"/>
      <w:shd w:val="clear" w:color="auto" w:fill="E1DFDD"/>
    </w:rPr>
  </w:style>
  <w:style w:type="character" w:customStyle="1" w:styleId="A1">
    <w:name w:val="A1"/>
    <w:uiPriority w:val="99"/>
    <w:rsid w:val="00B97569"/>
    <w:rPr>
      <w:rFonts w:cs="Network Rail San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5495">
      <w:bodyDiv w:val="1"/>
      <w:marLeft w:val="0"/>
      <w:marRight w:val="0"/>
      <w:marTop w:val="0"/>
      <w:marBottom w:val="0"/>
      <w:divBdr>
        <w:top w:val="none" w:sz="0" w:space="0" w:color="auto"/>
        <w:left w:val="none" w:sz="0" w:space="0" w:color="auto"/>
        <w:bottom w:val="none" w:sz="0" w:space="0" w:color="auto"/>
        <w:right w:val="none" w:sz="0" w:space="0" w:color="auto"/>
      </w:divBdr>
    </w:div>
    <w:div w:id="8917979">
      <w:bodyDiv w:val="1"/>
      <w:marLeft w:val="0"/>
      <w:marRight w:val="0"/>
      <w:marTop w:val="0"/>
      <w:marBottom w:val="0"/>
      <w:divBdr>
        <w:top w:val="none" w:sz="0" w:space="0" w:color="auto"/>
        <w:left w:val="none" w:sz="0" w:space="0" w:color="auto"/>
        <w:bottom w:val="none" w:sz="0" w:space="0" w:color="auto"/>
        <w:right w:val="none" w:sz="0" w:space="0" w:color="auto"/>
      </w:divBdr>
    </w:div>
    <w:div w:id="33119992">
      <w:bodyDiv w:val="1"/>
      <w:marLeft w:val="0"/>
      <w:marRight w:val="0"/>
      <w:marTop w:val="0"/>
      <w:marBottom w:val="0"/>
      <w:divBdr>
        <w:top w:val="none" w:sz="0" w:space="0" w:color="auto"/>
        <w:left w:val="none" w:sz="0" w:space="0" w:color="auto"/>
        <w:bottom w:val="none" w:sz="0" w:space="0" w:color="auto"/>
        <w:right w:val="none" w:sz="0" w:space="0" w:color="auto"/>
      </w:divBdr>
    </w:div>
    <w:div w:id="47800031">
      <w:bodyDiv w:val="1"/>
      <w:marLeft w:val="0"/>
      <w:marRight w:val="0"/>
      <w:marTop w:val="0"/>
      <w:marBottom w:val="0"/>
      <w:divBdr>
        <w:top w:val="none" w:sz="0" w:space="0" w:color="auto"/>
        <w:left w:val="none" w:sz="0" w:space="0" w:color="auto"/>
        <w:bottom w:val="none" w:sz="0" w:space="0" w:color="auto"/>
        <w:right w:val="none" w:sz="0" w:space="0" w:color="auto"/>
      </w:divBdr>
    </w:div>
    <w:div w:id="68430504">
      <w:bodyDiv w:val="1"/>
      <w:marLeft w:val="0"/>
      <w:marRight w:val="0"/>
      <w:marTop w:val="0"/>
      <w:marBottom w:val="0"/>
      <w:divBdr>
        <w:top w:val="none" w:sz="0" w:space="0" w:color="auto"/>
        <w:left w:val="none" w:sz="0" w:space="0" w:color="auto"/>
        <w:bottom w:val="none" w:sz="0" w:space="0" w:color="auto"/>
        <w:right w:val="none" w:sz="0" w:space="0" w:color="auto"/>
      </w:divBdr>
    </w:div>
    <w:div w:id="72317220">
      <w:bodyDiv w:val="1"/>
      <w:marLeft w:val="0"/>
      <w:marRight w:val="0"/>
      <w:marTop w:val="0"/>
      <w:marBottom w:val="0"/>
      <w:divBdr>
        <w:top w:val="none" w:sz="0" w:space="0" w:color="auto"/>
        <w:left w:val="none" w:sz="0" w:space="0" w:color="auto"/>
        <w:bottom w:val="none" w:sz="0" w:space="0" w:color="auto"/>
        <w:right w:val="none" w:sz="0" w:space="0" w:color="auto"/>
      </w:divBdr>
    </w:div>
    <w:div w:id="74133261">
      <w:bodyDiv w:val="1"/>
      <w:marLeft w:val="0"/>
      <w:marRight w:val="0"/>
      <w:marTop w:val="0"/>
      <w:marBottom w:val="0"/>
      <w:divBdr>
        <w:top w:val="none" w:sz="0" w:space="0" w:color="auto"/>
        <w:left w:val="none" w:sz="0" w:space="0" w:color="auto"/>
        <w:bottom w:val="none" w:sz="0" w:space="0" w:color="auto"/>
        <w:right w:val="none" w:sz="0" w:space="0" w:color="auto"/>
      </w:divBdr>
    </w:div>
    <w:div w:id="83184463">
      <w:bodyDiv w:val="1"/>
      <w:marLeft w:val="0"/>
      <w:marRight w:val="0"/>
      <w:marTop w:val="0"/>
      <w:marBottom w:val="0"/>
      <w:divBdr>
        <w:top w:val="none" w:sz="0" w:space="0" w:color="auto"/>
        <w:left w:val="none" w:sz="0" w:space="0" w:color="auto"/>
        <w:bottom w:val="none" w:sz="0" w:space="0" w:color="auto"/>
        <w:right w:val="none" w:sz="0" w:space="0" w:color="auto"/>
      </w:divBdr>
    </w:div>
    <w:div w:id="112600615">
      <w:bodyDiv w:val="1"/>
      <w:marLeft w:val="0"/>
      <w:marRight w:val="0"/>
      <w:marTop w:val="0"/>
      <w:marBottom w:val="0"/>
      <w:divBdr>
        <w:top w:val="none" w:sz="0" w:space="0" w:color="auto"/>
        <w:left w:val="none" w:sz="0" w:space="0" w:color="auto"/>
        <w:bottom w:val="none" w:sz="0" w:space="0" w:color="auto"/>
        <w:right w:val="none" w:sz="0" w:space="0" w:color="auto"/>
      </w:divBdr>
    </w:div>
    <w:div w:id="116605925">
      <w:bodyDiv w:val="1"/>
      <w:marLeft w:val="0"/>
      <w:marRight w:val="0"/>
      <w:marTop w:val="0"/>
      <w:marBottom w:val="0"/>
      <w:divBdr>
        <w:top w:val="none" w:sz="0" w:space="0" w:color="auto"/>
        <w:left w:val="none" w:sz="0" w:space="0" w:color="auto"/>
        <w:bottom w:val="none" w:sz="0" w:space="0" w:color="auto"/>
        <w:right w:val="none" w:sz="0" w:space="0" w:color="auto"/>
      </w:divBdr>
    </w:div>
    <w:div w:id="117341929">
      <w:bodyDiv w:val="1"/>
      <w:marLeft w:val="0"/>
      <w:marRight w:val="0"/>
      <w:marTop w:val="0"/>
      <w:marBottom w:val="0"/>
      <w:divBdr>
        <w:top w:val="none" w:sz="0" w:space="0" w:color="auto"/>
        <w:left w:val="none" w:sz="0" w:space="0" w:color="auto"/>
        <w:bottom w:val="none" w:sz="0" w:space="0" w:color="auto"/>
        <w:right w:val="none" w:sz="0" w:space="0" w:color="auto"/>
      </w:divBdr>
    </w:div>
    <w:div w:id="148837459">
      <w:bodyDiv w:val="1"/>
      <w:marLeft w:val="0"/>
      <w:marRight w:val="0"/>
      <w:marTop w:val="0"/>
      <w:marBottom w:val="0"/>
      <w:divBdr>
        <w:top w:val="none" w:sz="0" w:space="0" w:color="auto"/>
        <w:left w:val="none" w:sz="0" w:space="0" w:color="auto"/>
        <w:bottom w:val="none" w:sz="0" w:space="0" w:color="auto"/>
        <w:right w:val="none" w:sz="0" w:space="0" w:color="auto"/>
      </w:divBdr>
    </w:div>
    <w:div w:id="156384737">
      <w:bodyDiv w:val="1"/>
      <w:marLeft w:val="0"/>
      <w:marRight w:val="0"/>
      <w:marTop w:val="0"/>
      <w:marBottom w:val="0"/>
      <w:divBdr>
        <w:top w:val="none" w:sz="0" w:space="0" w:color="auto"/>
        <w:left w:val="none" w:sz="0" w:space="0" w:color="auto"/>
        <w:bottom w:val="none" w:sz="0" w:space="0" w:color="auto"/>
        <w:right w:val="none" w:sz="0" w:space="0" w:color="auto"/>
      </w:divBdr>
    </w:div>
    <w:div w:id="186141225">
      <w:bodyDiv w:val="1"/>
      <w:marLeft w:val="0"/>
      <w:marRight w:val="0"/>
      <w:marTop w:val="0"/>
      <w:marBottom w:val="0"/>
      <w:divBdr>
        <w:top w:val="none" w:sz="0" w:space="0" w:color="auto"/>
        <w:left w:val="none" w:sz="0" w:space="0" w:color="auto"/>
        <w:bottom w:val="none" w:sz="0" w:space="0" w:color="auto"/>
        <w:right w:val="none" w:sz="0" w:space="0" w:color="auto"/>
      </w:divBdr>
    </w:div>
    <w:div w:id="199711571">
      <w:bodyDiv w:val="1"/>
      <w:marLeft w:val="0"/>
      <w:marRight w:val="0"/>
      <w:marTop w:val="0"/>
      <w:marBottom w:val="0"/>
      <w:divBdr>
        <w:top w:val="none" w:sz="0" w:space="0" w:color="auto"/>
        <w:left w:val="none" w:sz="0" w:space="0" w:color="auto"/>
        <w:bottom w:val="none" w:sz="0" w:space="0" w:color="auto"/>
        <w:right w:val="none" w:sz="0" w:space="0" w:color="auto"/>
      </w:divBdr>
    </w:div>
    <w:div w:id="203176273">
      <w:bodyDiv w:val="1"/>
      <w:marLeft w:val="0"/>
      <w:marRight w:val="0"/>
      <w:marTop w:val="0"/>
      <w:marBottom w:val="0"/>
      <w:divBdr>
        <w:top w:val="none" w:sz="0" w:space="0" w:color="auto"/>
        <w:left w:val="none" w:sz="0" w:space="0" w:color="auto"/>
        <w:bottom w:val="none" w:sz="0" w:space="0" w:color="auto"/>
        <w:right w:val="none" w:sz="0" w:space="0" w:color="auto"/>
      </w:divBdr>
    </w:div>
    <w:div w:id="213546349">
      <w:bodyDiv w:val="1"/>
      <w:marLeft w:val="0"/>
      <w:marRight w:val="0"/>
      <w:marTop w:val="0"/>
      <w:marBottom w:val="0"/>
      <w:divBdr>
        <w:top w:val="none" w:sz="0" w:space="0" w:color="auto"/>
        <w:left w:val="none" w:sz="0" w:space="0" w:color="auto"/>
        <w:bottom w:val="none" w:sz="0" w:space="0" w:color="auto"/>
        <w:right w:val="none" w:sz="0" w:space="0" w:color="auto"/>
      </w:divBdr>
    </w:div>
    <w:div w:id="244416375">
      <w:bodyDiv w:val="1"/>
      <w:marLeft w:val="0"/>
      <w:marRight w:val="0"/>
      <w:marTop w:val="0"/>
      <w:marBottom w:val="0"/>
      <w:divBdr>
        <w:top w:val="none" w:sz="0" w:space="0" w:color="auto"/>
        <w:left w:val="none" w:sz="0" w:space="0" w:color="auto"/>
        <w:bottom w:val="none" w:sz="0" w:space="0" w:color="auto"/>
        <w:right w:val="none" w:sz="0" w:space="0" w:color="auto"/>
      </w:divBdr>
    </w:div>
    <w:div w:id="314145338">
      <w:bodyDiv w:val="1"/>
      <w:marLeft w:val="0"/>
      <w:marRight w:val="0"/>
      <w:marTop w:val="0"/>
      <w:marBottom w:val="0"/>
      <w:divBdr>
        <w:top w:val="none" w:sz="0" w:space="0" w:color="auto"/>
        <w:left w:val="none" w:sz="0" w:space="0" w:color="auto"/>
        <w:bottom w:val="none" w:sz="0" w:space="0" w:color="auto"/>
        <w:right w:val="none" w:sz="0" w:space="0" w:color="auto"/>
      </w:divBdr>
    </w:div>
    <w:div w:id="340860126">
      <w:bodyDiv w:val="1"/>
      <w:marLeft w:val="0"/>
      <w:marRight w:val="0"/>
      <w:marTop w:val="0"/>
      <w:marBottom w:val="0"/>
      <w:divBdr>
        <w:top w:val="none" w:sz="0" w:space="0" w:color="auto"/>
        <w:left w:val="none" w:sz="0" w:space="0" w:color="auto"/>
        <w:bottom w:val="none" w:sz="0" w:space="0" w:color="auto"/>
        <w:right w:val="none" w:sz="0" w:space="0" w:color="auto"/>
      </w:divBdr>
    </w:div>
    <w:div w:id="344329581">
      <w:bodyDiv w:val="1"/>
      <w:marLeft w:val="0"/>
      <w:marRight w:val="0"/>
      <w:marTop w:val="0"/>
      <w:marBottom w:val="0"/>
      <w:divBdr>
        <w:top w:val="none" w:sz="0" w:space="0" w:color="auto"/>
        <w:left w:val="none" w:sz="0" w:space="0" w:color="auto"/>
        <w:bottom w:val="none" w:sz="0" w:space="0" w:color="auto"/>
        <w:right w:val="none" w:sz="0" w:space="0" w:color="auto"/>
      </w:divBdr>
    </w:div>
    <w:div w:id="348683041">
      <w:bodyDiv w:val="1"/>
      <w:marLeft w:val="0"/>
      <w:marRight w:val="0"/>
      <w:marTop w:val="0"/>
      <w:marBottom w:val="0"/>
      <w:divBdr>
        <w:top w:val="none" w:sz="0" w:space="0" w:color="auto"/>
        <w:left w:val="none" w:sz="0" w:space="0" w:color="auto"/>
        <w:bottom w:val="none" w:sz="0" w:space="0" w:color="auto"/>
        <w:right w:val="none" w:sz="0" w:space="0" w:color="auto"/>
      </w:divBdr>
    </w:div>
    <w:div w:id="351881455">
      <w:bodyDiv w:val="1"/>
      <w:marLeft w:val="0"/>
      <w:marRight w:val="0"/>
      <w:marTop w:val="0"/>
      <w:marBottom w:val="0"/>
      <w:divBdr>
        <w:top w:val="none" w:sz="0" w:space="0" w:color="auto"/>
        <w:left w:val="none" w:sz="0" w:space="0" w:color="auto"/>
        <w:bottom w:val="none" w:sz="0" w:space="0" w:color="auto"/>
        <w:right w:val="none" w:sz="0" w:space="0" w:color="auto"/>
      </w:divBdr>
    </w:div>
    <w:div w:id="359360020">
      <w:bodyDiv w:val="1"/>
      <w:marLeft w:val="0"/>
      <w:marRight w:val="0"/>
      <w:marTop w:val="0"/>
      <w:marBottom w:val="0"/>
      <w:divBdr>
        <w:top w:val="none" w:sz="0" w:space="0" w:color="auto"/>
        <w:left w:val="none" w:sz="0" w:space="0" w:color="auto"/>
        <w:bottom w:val="none" w:sz="0" w:space="0" w:color="auto"/>
        <w:right w:val="none" w:sz="0" w:space="0" w:color="auto"/>
      </w:divBdr>
    </w:div>
    <w:div w:id="397480786">
      <w:bodyDiv w:val="1"/>
      <w:marLeft w:val="0"/>
      <w:marRight w:val="0"/>
      <w:marTop w:val="0"/>
      <w:marBottom w:val="0"/>
      <w:divBdr>
        <w:top w:val="none" w:sz="0" w:space="0" w:color="auto"/>
        <w:left w:val="none" w:sz="0" w:space="0" w:color="auto"/>
        <w:bottom w:val="none" w:sz="0" w:space="0" w:color="auto"/>
        <w:right w:val="none" w:sz="0" w:space="0" w:color="auto"/>
      </w:divBdr>
    </w:div>
    <w:div w:id="432019895">
      <w:bodyDiv w:val="1"/>
      <w:marLeft w:val="0"/>
      <w:marRight w:val="0"/>
      <w:marTop w:val="0"/>
      <w:marBottom w:val="0"/>
      <w:divBdr>
        <w:top w:val="none" w:sz="0" w:space="0" w:color="auto"/>
        <w:left w:val="none" w:sz="0" w:space="0" w:color="auto"/>
        <w:bottom w:val="none" w:sz="0" w:space="0" w:color="auto"/>
        <w:right w:val="none" w:sz="0" w:space="0" w:color="auto"/>
      </w:divBdr>
    </w:div>
    <w:div w:id="443043081">
      <w:bodyDiv w:val="1"/>
      <w:marLeft w:val="0"/>
      <w:marRight w:val="0"/>
      <w:marTop w:val="0"/>
      <w:marBottom w:val="0"/>
      <w:divBdr>
        <w:top w:val="none" w:sz="0" w:space="0" w:color="auto"/>
        <w:left w:val="none" w:sz="0" w:space="0" w:color="auto"/>
        <w:bottom w:val="none" w:sz="0" w:space="0" w:color="auto"/>
        <w:right w:val="none" w:sz="0" w:space="0" w:color="auto"/>
      </w:divBdr>
    </w:div>
    <w:div w:id="445003639">
      <w:bodyDiv w:val="1"/>
      <w:marLeft w:val="0"/>
      <w:marRight w:val="0"/>
      <w:marTop w:val="0"/>
      <w:marBottom w:val="0"/>
      <w:divBdr>
        <w:top w:val="none" w:sz="0" w:space="0" w:color="auto"/>
        <w:left w:val="none" w:sz="0" w:space="0" w:color="auto"/>
        <w:bottom w:val="none" w:sz="0" w:space="0" w:color="auto"/>
        <w:right w:val="none" w:sz="0" w:space="0" w:color="auto"/>
      </w:divBdr>
    </w:div>
    <w:div w:id="446974882">
      <w:bodyDiv w:val="1"/>
      <w:marLeft w:val="0"/>
      <w:marRight w:val="0"/>
      <w:marTop w:val="0"/>
      <w:marBottom w:val="0"/>
      <w:divBdr>
        <w:top w:val="none" w:sz="0" w:space="0" w:color="auto"/>
        <w:left w:val="none" w:sz="0" w:space="0" w:color="auto"/>
        <w:bottom w:val="none" w:sz="0" w:space="0" w:color="auto"/>
        <w:right w:val="none" w:sz="0" w:space="0" w:color="auto"/>
      </w:divBdr>
    </w:div>
    <w:div w:id="517429555">
      <w:bodyDiv w:val="1"/>
      <w:marLeft w:val="0"/>
      <w:marRight w:val="0"/>
      <w:marTop w:val="0"/>
      <w:marBottom w:val="0"/>
      <w:divBdr>
        <w:top w:val="none" w:sz="0" w:space="0" w:color="auto"/>
        <w:left w:val="none" w:sz="0" w:space="0" w:color="auto"/>
        <w:bottom w:val="none" w:sz="0" w:space="0" w:color="auto"/>
        <w:right w:val="none" w:sz="0" w:space="0" w:color="auto"/>
      </w:divBdr>
    </w:div>
    <w:div w:id="572935682">
      <w:bodyDiv w:val="1"/>
      <w:marLeft w:val="0"/>
      <w:marRight w:val="0"/>
      <w:marTop w:val="0"/>
      <w:marBottom w:val="0"/>
      <w:divBdr>
        <w:top w:val="none" w:sz="0" w:space="0" w:color="auto"/>
        <w:left w:val="none" w:sz="0" w:space="0" w:color="auto"/>
        <w:bottom w:val="none" w:sz="0" w:space="0" w:color="auto"/>
        <w:right w:val="none" w:sz="0" w:space="0" w:color="auto"/>
      </w:divBdr>
    </w:div>
    <w:div w:id="589463353">
      <w:bodyDiv w:val="1"/>
      <w:marLeft w:val="0"/>
      <w:marRight w:val="0"/>
      <w:marTop w:val="0"/>
      <w:marBottom w:val="0"/>
      <w:divBdr>
        <w:top w:val="none" w:sz="0" w:space="0" w:color="auto"/>
        <w:left w:val="none" w:sz="0" w:space="0" w:color="auto"/>
        <w:bottom w:val="none" w:sz="0" w:space="0" w:color="auto"/>
        <w:right w:val="none" w:sz="0" w:space="0" w:color="auto"/>
      </w:divBdr>
    </w:div>
    <w:div w:id="592662845">
      <w:bodyDiv w:val="1"/>
      <w:marLeft w:val="0"/>
      <w:marRight w:val="0"/>
      <w:marTop w:val="0"/>
      <w:marBottom w:val="0"/>
      <w:divBdr>
        <w:top w:val="none" w:sz="0" w:space="0" w:color="auto"/>
        <w:left w:val="none" w:sz="0" w:space="0" w:color="auto"/>
        <w:bottom w:val="none" w:sz="0" w:space="0" w:color="auto"/>
        <w:right w:val="none" w:sz="0" w:space="0" w:color="auto"/>
      </w:divBdr>
    </w:div>
    <w:div w:id="593439784">
      <w:bodyDiv w:val="1"/>
      <w:marLeft w:val="0"/>
      <w:marRight w:val="0"/>
      <w:marTop w:val="0"/>
      <w:marBottom w:val="0"/>
      <w:divBdr>
        <w:top w:val="none" w:sz="0" w:space="0" w:color="auto"/>
        <w:left w:val="none" w:sz="0" w:space="0" w:color="auto"/>
        <w:bottom w:val="none" w:sz="0" w:space="0" w:color="auto"/>
        <w:right w:val="none" w:sz="0" w:space="0" w:color="auto"/>
      </w:divBdr>
    </w:div>
    <w:div w:id="608656914">
      <w:bodyDiv w:val="1"/>
      <w:marLeft w:val="0"/>
      <w:marRight w:val="0"/>
      <w:marTop w:val="0"/>
      <w:marBottom w:val="0"/>
      <w:divBdr>
        <w:top w:val="none" w:sz="0" w:space="0" w:color="auto"/>
        <w:left w:val="none" w:sz="0" w:space="0" w:color="auto"/>
        <w:bottom w:val="none" w:sz="0" w:space="0" w:color="auto"/>
        <w:right w:val="none" w:sz="0" w:space="0" w:color="auto"/>
      </w:divBdr>
    </w:div>
    <w:div w:id="620769282">
      <w:bodyDiv w:val="1"/>
      <w:marLeft w:val="0"/>
      <w:marRight w:val="0"/>
      <w:marTop w:val="0"/>
      <w:marBottom w:val="0"/>
      <w:divBdr>
        <w:top w:val="none" w:sz="0" w:space="0" w:color="auto"/>
        <w:left w:val="none" w:sz="0" w:space="0" w:color="auto"/>
        <w:bottom w:val="none" w:sz="0" w:space="0" w:color="auto"/>
        <w:right w:val="none" w:sz="0" w:space="0" w:color="auto"/>
      </w:divBdr>
    </w:div>
    <w:div w:id="629552678">
      <w:bodyDiv w:val="1"/>
      <w:marLeft w:val="0"/>
      <w:marRight w:val="0"/>
      <w:marTop w:val="0"/>
      <w:marBottom w:val="0"/>
      <w:divBdr>
        <w:top w:val="none" w:sz="0" w:space="0" w:color="auto"/>
        <w:left w:val="none" w:sz="0" w:space="0" w:color="auto"/>
        <w:bottom w:val="none" w:sz="0" w:space="0" w:color="auto"/>
        <w:right w:val="none" w:sz="0" w:space="0" w:color="auto"/>
      </w:divBdr>
    </w:div>
    <w:div w:id="659773211">
      <w:bodyDiv w:val="1"/>
      <w:marLeft w:val="0"/>
      <w:marRight w:val="0"/>
      <w:marTop w:val="0"/>
      <w:marBottom w:val="0"/>
      <w:divBdr>
        <w:top w:val="none" w:sz="0" w:space="0" w:color="auto"/>
        <w:left w:val="none" w:sz="0" w:space="0" w:color="auto"/>
        <w:bottom w:val="none" w:sz="0" w:space="0" w:color="auto"/>
        <w:right w:val="none" w:sz="0" w:space="0" w:color="auto"/>
      </w:divBdr>
    </w:div>
    <w:div w:id="693768234">
      <w:bodyDiv w:val="1"/>
      <w:marLeft w:val="0"/>
      <w:marRight w:val="0"/>
      <w:marTop w:val="0"/>
      <w:marBottom w:val="0"/>
      <w:divBdr>
        <w:top w:val="none" w:sz="0" w:space="0" w:color="auto"/>
        <w:left w:val="none" w:sz="0" w:space="0" w:color="auto"/>
        <w:bottom w:val="none" w:sz="0" w:space="0" w:color="auto"/>
        <w:right w:val="none" w:sz="0" w:space="0" w:color="auto"/>
      </w:divBdr>
    </w:div>
    <w:div w:id="704984899">
      <w:bodyDiv w:val="1"/>
      <w:marLeft w:val="0"/>
      <w:marRight w:val="0"/>
      <w:marTop w:val="0"/>
      <w:marBottom w:val="0"/>
      <w:divBdr>
        <w:top w:val="none" w:sz="0" w:space="0" w:color="auto"/>
        <w:left w:val="none" w:sz="0" w:space="0" w:color="auto"/>
        <w:bottom w:val="none" w:sz="0" w:space="0" w:color="auto"/>
        <w:right w:val="none" w:sz="0" w:space="0" w:color="auto"/>
      </w:divBdr>
    </w:div>
    <w:div w:id="737367379">
      <w:bodyDiv w:val="1"/>
      <w:marLeft w:val="0"/>
      <w:marRight w:val="0"/>
      <w:marTop w:val="0"/>
      <w:marBottom w:val="0"/>
      <w:divBdr>
        <w:top w:val="none" w:sz="0" w:space="0" w:color="auto"/>
        <w:left w:val="none" w:sz="0" w:space="0" w:color="auto"/>
        <w:bottom w:val="none" w:sz="0" w:space="0" w:color="auto"/>
        <w:right w:val="none" w:sz="0" w:space="0" w:color="auto"/>
      </w:divBdr>
    </w:div>
    <w:div w:id="742605930">
      <w:bodyDiv w:val="1"/>
      <w:marLeft w:val="0"/>
      <w:marRight w:val="0"/>
      <w:marTop w:val="0"/>
      <w:marBottom w:val="0"/>
      <w:divBdr>
        <w:top w:val="none" w:sz="0" w:space="0" w:color="auto"/>
        <w:left w:val="none" w:sz="0" w:space="0" w:color="auto"/>
        <w:bottom w:val="none" w:sz="0" w:space="0" w:color="auto"/>
        <w:right w:val="none" w:sz="0" w:space="0" w:color="auto"/>
      </w:divBdr>
    </w:div>
    <w:div w:id="747771307">
      <w:bodyDiv w:val="1"/>
      <w:marLeft w:val="0"/>
      <w:marRight w:val="0"/>
      <w:marTop w:val="0"/>
      <w:marBottom w:val="0"/>
      <w:divBdr>
        <w:top w:val="none" w:sz="0" w:space="0" w:color="auto"/>
        <w:left w:val="none" w:sz="0" w:space="0" w:color="auto"/>
        <w:bottom w:val="none" w:sz="0" w:space="0" w:color="auto"/>
        <w:right w:val="none" w:sz="0" w:space="0" w:color="auto"/>
      </w:divBdr>
    </w:div>
    <w:div w:id="803936405">
      <w:bodyDiv w:val="1"/>
      <w:marLeft w:val="0"/>
      <w:marRight w:val="0"/>
      <w:marTop w:val="0"/>
      <w:marBottom w:val="0"/>
      <w:divBdr>
        <w:top w:val="none" w:sz="0" w:space="0" w:color="auto"/>
        <w:left w:val="none" w:sz="0" w:space="0" w:color="auto"/>
        <w:bottom w:val="none" w:sz="0" w:space="0" w:color="auto"/>
        <w:right w:val="none" w:sz="0" w:space="0" w:color="auto"/>
      </w:divBdr>
    </w:div>
    <w:div w:id="830483369">
      <w:bodyDiv w:val="1"/>
      <w:marLeft w:val="0"/>
      <w:marRight w:val="0"/>
      <w:marTop w:val="0"/>
      <w:marBottom w:val="0"/>
      <w:divBdr>
        <w:top w:val="none" w:sz="0" w:space="0" w:color="auto"/>
        <w:left w:val="none" w:sz="0" w:space="0" w:color="auto"/>
        <w:bottom w:val="none" w:sz="0" w:space="0" w:color="auto"/>
        <w:right w:val="none" w:sz="0" w:space="0" w:color="auto"/>
      </w:divBdr>
    </w:div>
    <w:div w:id="855735127">
      <w:bodyDiv w:val="1"/>
      <w:marLeft w:val="0"/>
      <w:marRight w:val="0"/>
      <w:marTop w:val="0"/>
      <w:marBottom w:val="0"/>
      <w:divBdr>
        <w:top w:val="none" w:sz="0" w:space="0" w:color="auto"/>
        <w:left w:val="none" w:sz="0" w:space="0" w:color="auto"/>
        <w:bottom w:val="none" w:sz="0" w:space="0" w:color="auto"/>
        <w:right w:val="none" w:sz="0" w:space="0" w:color="auto"/>
      </w:divBdr>
    </w:div>
    <w:div w:id="902057976">
      <w:bodyDiv w:val="1"/>
      <w:marLeft w:val="0"/>
      <w:marRight w:val="0"/>
      <w:marTop w:val="0"/>
      <w:marBottom w:val="0"/>
      <w:divBdr>
        <w:top w:val="none" w:sz="0" w:space="0" w:color="auto"/>
        <w:left w:val="none" w:sz="0" w:space="0" w:color="auto"/>
        <w:bottom w:val="none" w:sz="0" w:space="0" w:color="auto"/>
        <w:right w:val="none" w:sz="0" w:space="0" w:color="auto"/>
      </w:divBdr>
    </w:div>
    <w:div w:id="905801233">
      <w:bodyDiv w:val="1"/>
      <w:marLeft w:val="0"/>
      <w:marRight w:val="0"/>
      <w:marTop w:val="0"/>
      <w:marBottom w:val="0"/>
      <w:divBdr>
        <w:top w:val="none" w:sz="0" w:space="0" w:color="auto"/>
        <w:left w:val="none" w:sz="0" w:space="0" w:color="auto"/>
        <w:bottom w:val="none" w:sz="0" w:space="0" w:color="auto"/>
        <w:right w:val="none" w:sz="0" w:space="0" w:color="auto"/>
      </w:divBdr>
    </w:div>
    <w:div w:id="926616980">
      <w:bodyDiv w:val="1"/>
      <w:marLeft w:val="0"/>
      <w:marRight w:val="0"/>
      <w:marTop w:val="0"/>
      <w:marBottom w:val="0"/>
      <w:divBdr>
        <w:top w:val="none" w:sz="0" w:space="0" w:color="auto"/>
        <w:left w:val="none" w:sz="0" w:space="0" w:color="auto"/>
        <w:bottom w:val="none" w:sz="0" w:space="0" w:color="auto"/>
        <w:right w:val="none" w:sz="0" w:space="0" w:color="auto"/>
      </w:divBdr>
    </w:div>
    <w:div w:id="945968698">
      <w:bodyDiv w:val="1"/>
      <w:marLeft w:val="0"/>
      <w:marRight w:val="0"/>
      <w:marTop w:val="0"/>
      <w:marBottom w:val="0"/>
      <w:divBdr>
        <w:top w:val="none" w:sz="0" w:space="0" w:color="auto"/>
        <w:left w:val="none" w:sz="0" w:space="0" w:color="auto"/>
        <w:bottom w:val="none" w:sz="0" w:space="0" w:color="auto"/>
        <w:right w:val="none" w:sz="0" w:space="0" w:color="auto"/>
      </w:divBdr>
    </w:div>
    <w:div w:id="958147543">
      <w:bodyDiv w:val="1"/>
      <w:marLeft w:val="0"/>
      <w:marRight w:val="0"/>
      <w:marTop w:val="0"/>
      <w:marBottom w:val="0"/>
      <w:divBdr>
        <w:top w:val="none" w:sz="0" w:space="0" w:color="auto"/>
        <w:left w:val="none" w:sz="0" w:space="0" w:color="auto"/>
        <w:bottom w:val="none" w:sz="0" w:space="0" w:color="auto"/>
        <w:right w:val="none" w:sz="0" w:space="0" w:color="auto"/>
      </w:divBdr>
    </w:div>
    <w:div w:id="962275408">
      <w:bodyDiv w:val="1"/>
      <w:marLeft w:val="0"/>
      <w:marRight w:val="0"/>
      <w:marTop w:val="0"/>
      <w:marBottom w:val="0"/>
      <w:divBdr>
        <w:top w:val="none" w:sz="0" w:space="0" w:color="auto"/>
        <w:left w:val="none" w:sz="0" w:space="0" w:color="auto"/>
        <w:bottom w:val="none" w:sz="0" w:space="0" w:color="auto"/>
        <w:right w:val="none" w:sz="0" w:space="0" w:color="auto"/>
      </w:divBdr>
    </w:div>
    <w:div w:id="1015034019">
      <w:bodyDiv w:val="1"/>
      <w:marLeft w:val="0"/>
      <w:marRight w:val="0"/>
      <w:marTop w:val="0"/>
      <w:marBottom w:val="0"/>
      <w:divBdr>
        <w:top w:val="none" w:sz="0" w:space="0" w:color="auto"/>
        <w:left w:val="none" w:sz="0" w:space="0" w:color="auto"/>
        <w:bottom w:val="none" w:sz="0" w:space="0" w:color="auto"/>
        <w:right w:val="none" w:sz="0" w:space="0" w:color="auto"/>
      </w:divBdr>
    </w:div>
    <w:div w:id="1038436752">
      <w:bodyDiv w:val="1"/>
      <w:marLeft w:val="0"/>
      <w:marRight w:val="0"/>
      <w:marTop w:val="0"/>
      <w:marBottom w:val="0"/>
      <w:divBdr>
        <w:top w:val="none" w:sz="0" w:space="0" w:color="auto"/>
        <w:left w:val="none" w:sz="0" w:space="0" w:color="auto"/>
        <w:bottom w:val="none" w:sz="0" w:space="0" w:color="auto"/>
        <w:right w:val="none" w:sz="0" w:space="0" w:color="auto"/>
      </w:divBdr>
    </w:div>
    <w:div w:id="1053845173">
      <w:bodyDiv w:val="1"/>
      <w:marLeft w:val="0"/>
      <w:marRight w:val="0"/>
      <w:marTop w:val="0"/>
      <w:marBottom w:val="0"/>
      <w:divBdr>
        <w:top w:val="none" w:sz="0" w:space="0" w:color="auto"/>
        <w:left w:val="none" w:sz="0" w:space="0" w:color="auto"/>
        <w:bottom w:val="none" w:sz="0" w:space="0" w:color="auto"/>
        <w:right w:val="none" w:sz="0" w:space="0" w:color="auto"/>
      </w:divBdr>
    </w:div>
    <w:div w:id="1060858703">
      <w:bodyDiv w:val="1"/>
      <w:marLeft w:val="0"/>
      <w:marRight w:val="0"/>
      <w:marTop w:val="0"/>
      <w:marBottom w:val="0"/>
      <w:divBdr>
        <w:top w:val="none" w:sz="0" w:space="0" w:color="auto"/>
        <w:left w:val="none" w:sz="0" w:space="0" w:color="auto"/>
        <w:bottom w:val="none" w:sz="0" w:space="0" w:color="auto"/>
        <w:right w:val="none" w:sz="0" w:space="0" w:color="auto"/>
      </w:divBdr>
    </w:div>
    <w:div w:id="1069376505">
      <w:bodyDiv w:val="1"/>
      <w:marLeft w:val="0"/>
      <w:marRight w:val="0"/>
      <w:marTop w:val="0"/>
      <w:marBottom w:val="0"/>
      <w:divBdr>
        <w:top w:val="none" w:sz="0" w:space="0" w:color="auto"/>
        <w:left w:val="none" w:sz="0" w:space="0" w:color="auto"/>
        <w:bottom w:val="none" w:sz="0" w:space="0" w:color="auto"/>
        <w:right w:val="none" w:sz="0" w:space="0" w:color="auto"/>
      </w:divBdr>
    </w:div>
    <w:div w:id="1113091586">
      <w:bodyDiv w:val="1"/>
      <w:marLeft w:val="0"/>
      <w:marRight w:val="0"/>
      <w:marTop w:val="0"/>
      <w:marBottom w:val="0"/>
      <w:divBdr>
        <w:top w:val="none" w:sz="0" w:space="0" w:color="auto"/>
        <w:left w:val="none" w:sz="0" w:space="0" w:color="auto"/>
        <w:bottom w:val="none" w:sz="0" w:space="0" w:color="auto"/>
        <w:right w:val="none" w:sz="0" w:space="0" w:color="auto"/>
      </w:divBdr>
    </w:div>
    <w:div w:id="1129933945">
      <w:bodyDiv w:val="1"/>
      <w:marLeft w:val="0"/>
      <w:marRight w:val="0"/>
      <w:marTop w:val="0"/>
      <w:marBottom w:val="0"/>
      <w:divBdr>
        <w:top w:val="none" w:sz="0" w:space="0" w:color="auto"/>
        <w:left w:val="none" w:sz="0" w:space="0" w:color="auto"/>
        <w:bottom w:val="none" w:sz="0" w:space="0" w:color="auto"/>
        <w:right w:val="none" w:sz="0" w:space="0" w:color="auto"/>
      </w:divBdr>
    </w:div>
    <w:div w:id="1154183718">
      <w:bodyDiv w:val="1"/>
      <w:marLeft w:val="0"/>
      <w:marRight w:val="0"/>
      <w:marTop w:val="0"/>
      <w:marBottom w:val="0"/>
      <w:divBdr>
        <w:top w:val="none" w:sz="0" w:space="0" w:color="auto"/>
        <w:left w:val="none" w:sz="0" w:space="0" w:color="auto"/>
        <w:bottom w:val="none" w:sz="0" w:space="0" w:color="auto"/>
        <w:right w:val="none" w:sz="0" w:space="0" w:color="auto"/>
      </w:divBdr>
    </w:div>
    <w:div w:id="1192912423">
      <w:bodyDiv w:val="1"/>
      <w:marLeft w:val="0"/>
      <w:marRight w:val="0"/>
      <w:marTop w:val="0"/>
      <w:marBottom w:val="0"/>
      <w:divBdr>
        <w:top w:val="none" w:sz="0" w:space="0" w:color="auto"/>
        <w:left w:val="none" w:sz="0" w:space="0" w:color="auto"/>
        <w:bottom w:val="none" w:sz="0" w:space="0" w:color="auto"/>
        <w:right w:val="none" w:sz="0" w:space="0" w:color="auto"/>
      </w:divBdr>
    </w:div>
    <w:div w:id="1196046143">
      <w:bodyDiv w:val="1"/>
      <w:marLeft w:val="0"/>
      <w:marRight w:val="0"/>
      <w:marTop w:val="0"/>
      <w:marBottom w:val="0"/>
      <w:divBdr>
        <w:top w:val="none" w:sz="0" w:space="0" w:color="auto"/>
        <w:left w:val="none" w:sz="0" w:space="0" w:color="auto"/>
        <w:bottom w:val="none" w:sz="0" w:space="0" w:color="auto"/>
        <w:right w:val="none" w:sz="0" w:space="0" w:color="auto"/>
      </w:divBdr>
    </w:div>
    <w:div w:id="1235430602">
      <w:bodyDiv w:val="1"/>
      <w:marLeft w:val="0"/>
      <w:marRight w:val="0"/>
      <w:marTop w:val="0"/>
      <w:marBottom w:val="0"/>
      <w:divBdr>
        <w:top w:val="none" w:sz="0" w:space="0" w:color="auto"/>
        <w:left w:val="none" w:sz="0" w:space="0" w:color="auto"/>
        <w:bottom w:val="none" w:sz="0" w:space="0" w:color="auto"/>
        <w:right w:val="none" w:sz="0" w:space="0" w:color="auto"/>
      </w:divBdr>
    </w:div>
    <w:div w:id="1266420961">
      <w:bodyDiv w:val="1"/>
      <w:marLeft w:val="0"/>
      <w:marRight w:val="0"/>
      <w:marTop w:val="0"/>
      <w:marBottom w:val="0"/>
      <w:divBdr>
        <w:top w:val="none" w:sz="0" w:space="0" w:color="auto"/>
        <w:left w:val="none" w:sz="0" w:space="0" w:color="auto"/>
        <w:bottom w:val="none" w:sz="0" w:space="0" w:color="auto"/>
        <w:right w:val="none" w:sz="0" w:space="0" w:color="auto"/>
      </w:divBdr>
    </w:div>
    <w:div w:id="1267270830">
      <w:bodyDiv w:val="1"/>
      <w:marLeft w:val="0"/>
      <w:marRight w:val="0"/>
      <w:marTop w:val="0"/>
      <w:marBottom w:val="0"/>
      <w:divBdr>
        <w:top w:val="none" w:sz="0" w:space="0" w:color="auto"/>
        <w:left w:val="none" w:sz="0" w:space="0" w:color="auto"/>
        <w:bottom w:val="none" w:sz="0" w:space="0" w:color="auto"/>
        <w:right w:val="none" w:sz="0" w:space="0" w:color="auto"/>
      </w:divBdr>
    </w:div>
    <w:div w:id="1275674176">
      <w:bodyDiv w:val="1"/>
      <w:marLeft w:val="0"/>
      <w:marRight w:val="0"/>
      <w:marTop w:val="0"/>
      <w:marBottom w:val="0"/>
      <w:divBdr>
        <w:top w:val="none" w:sz="0" w:space="0" w:color="auto"/>
        <w:left w:val="none" w:sz="0" w:space="0" w:color="auto"/>
        <w:bottom w:val="none" w:sz="0" w:space="0" w:color="auto"/>
        <w:right w:val="none" w:sz="0" w:space="0" w:color="auto"/>
      </w:divBdr>
    </w:div>
    <w:div w:id="1276134959">
      <w:bodyDiv w:val="1"/>
      <w:marLeft w:val="0"/>
      <w:marRight w:val="0"/>
      <w:marTop w:val="0"/>
      <w:marBottom w:val="0"/>
      <w:divBdr>
        <w:top w:val="none" w:sz="0" w:space="0" w:color="auto"/>
        <w:left w:val="none" w:sz="0" w:space="0" w:color="auto"/>
        <w:bottom w:val="none" w:sz="0" w:space="0" w:color="auto"/>
        <w:right w:val="none" w:sz="0" w:space="0" w:color="auto"/>
      </w:divBdr>
    </w:div>
    <w:div w:id="1305892412">
      <w:bodyDiv w:val="1"/>
      <w:marLeft w:val="0"/>
      <w:marRight w:val="0"/>
      <w:marTop w:val="0"/>
      <w:marBottom w:val="0"/>
      <w:divBdr>
        <w:top w:val="none" w:sz="0" w:space="0" w:color="auto"/>
        <w:left w:val="none" w:sz="0" w:space="0" w:color="auto"/>
        <w:bottom w:val="none" w:sz="0" w:space="0" w:color="auto"/>
        <w:right w:val="none" w:sz="0" w:space="0" w:color="auto"/>
      </w:divBdr>
    </w:div>
    <w:div w:id="1311400440">
      <w:bodyDiv w:val="1"/>
      <w:marLeft w:val="0"/>
      <w:marRight w:val="0"/>
      <w:marTop w:val="0"/>
      <w:marBottom w:val="0"/>
      <w:divBdr>
        <w:top w:val="none" w:sz="0" w:space="0" w:color="auto"/>
        <w:left w:val="none" w:sz="0" w:space="0" w:color="auto"/>
        <w:bottom w:val="none" w:sz="0" w:space="0" w:color="auto"/>
        <w:right w:val="none" w:sz="0" w:space="0" w:color="auto"/>
      </w:divBdr>
    </w:div>
    <w:div w:id="1329208353">
      <w:bodyDiv w:val="1"/>
      <w:marLeft w:val="0"/>
      <w:marRight w:val="0"/>
      <w:marTop w:val="0"/>
      <w:marBottom w:val="0"/>
      <w:divBdr>
        <w:top w:val="none" w:sz="0" w:space="0" w:color="auto"/>
        <w:left w:val="none" w:sz="0" w:space="0" w:color="auto"/>
        <w:bottom w:val="none" w:sz="0" w:space="0" w:color="auto"/>
        <w:right w:val="none" w:sz="0" w:space="0" w:color="auto"/>
      </w:divBdr>
    </w:div>
    <w:div w:id="1370911958">
      <w:bodyDiv w:val="1"/>
      <w:marLeft w:val="0"/>
      <w:marRight w:val="0"/>
      <w:marTop w:val="0"/>
      <w:marBottom w:val="0"/>
      <w:divBdr>
        <w:top w:val="none" w:sz="0" w:space="0" w:color="auto"/>
        <w:left w:val="none" w:sz="0" w:space="0" w:color="auto"/>
        <w:bottom w:val="none" w:sz="0" w:space="0" w:color="auto"/>
        <w:right w:val="none" w:sz="0" w:space="0" w:color="auto"/>
      </w:divBdr>
    </w:div>
    <w:div w:id="1377701112">
      <w:bodyDiv w:val="1"/>
      <w:marLeft w:val="0"/>
      <w:marRight w:val="0"/>
      <w:marTop w:val="0"/>
      <w:marBottom w:val="0"/>
      <w:divBdr>
        <w:top w:val="none" w:sz="0" w:space="0" w:color="auto"/>
        <w:left w:val="none" w:sz="0" w:space="0" w:color="auto"/>
        <w:bottom w:val="none" w:sz="0" w:space="0" w:color="auto"/>
        <w:right w:val="none" w:sz="0" w:space="0" w:color="auto"/>
      </w:divBdr>
    </w:div>
    <w:div w:id="1381635060">
      <w:bodyDiv w:val="1"/>
      <w:marLeft w:val="0"/>
      <w:marRight w:val="0"/>
      <w:marTop w:val="0"/>
      <w:marBottom w:val="0"/>
      <w:divBdr>
        <w:top w:val="none" w:sz="0" w:space="0" w:color="auto"/>
        <w:left w:val="none" w:sz="0" w:space="0" w:color="auto"/>
        <w:bottom w:val="none" w:sz="0" w:space="0" w:color="auto"/>
        <w:right w:val="none" w:sz="0" w:space="0" w:color="auto"/>
      </w:divBdr>
    </w:div>
    <w:div w:id="1387488280">
      <w:bodyDiv w:val="1"/>
      <w:marLeft w:val="0"/>
      <w:marRight w:val="0"/>
      <w:marTop w:val="0"/>
      <w:marBottom w:val="0"/>
      <w:divBdr>
        <w:top w:val="none" w:sz="0" w:space="0" w:color="auto"/>
        <w:left w:val="none" w:sz="0" w:space="0" w:color="auto"/>
        <w:bottom w:val="none" w:sz="0" w:space="0" w:color="auto"/>
        <w:right w:val="none" w:sz="0" w:space="0" w:color="auto"/>
      </w:divBdr>
    </w:div>
    <w:div w:id="1419324278">
      <w:bodyDiv w:val="1"/>
      <w:marLeft w:val="0"/>
      <w:marRight w:val="0"/>
      <w:marTop w:val="0"/>
      <w:marBottom w:val="0"/>
      <w:divBdr>
        <w:top w:val="none" w:sz="0" w:space="0" w:color="auto"/>
        <w:left w:val="none" w:sz="0" w:space="0" w:color="auto"/>
        <w:bottom w:val="none" w:sz="0" w:space="0" w:color="auto"/>
        <w:right w:val="none" w:sz="0" w:space="0" w:color="auto"/>
      </w:divBdr>
    </w:div>
    <w:div w:id="1424455632">
      <w:bodyDiv w:val="1"/>
      <w:marLeft w:val="0"/>
      <w:marRight w:val="0"/>
      <w:marTop w:val="0"/>
      <w:marBottom w:val="0"/>
      <w:divBdr>
        <w:top w:val="none" w:sz="0" w:space="0" w:color="auto"/>
        <w:left w:val="none" w:sz="0" w:space="0" w:color="auto"/>
        <w:bottom w:val="none" w:sz="0" w:space="0" w:color="auto"/>
        <w:right w:val="none" w:sz="0" w:space="0" w:color="auto"/>
      </w:divBdr>
    </w:div>
    <w:div w:id="1428191977">
      <w:bodyDiv w:val="1"/>
      <w:marLeft w:val="0"/>
      <w:marRight w:val="0"/>
      <w:marTop w:val="0"/>
      <w:marBottom w:val="0"/>
      <w:divBdr>
        <w:top w:val="none" w:sz="0" w:space="0" w:color="auto"/>
        <w:left w:val="none" w:sz="0" w:space="0" w:color="auto"/>
        <w:bottom w:val="none" w:sz="0" w:space="0" w:color="auto"/>
        <w:right w:val="none" w:sz="0" w:space="0" w:color="auto"/>
      </w:divBdr>
    </w:div>
    <w:div w:id="1447115533">
      <w:bodyDiv w:val="1"/>
      <w:marLeft w:val="0"/>
      <w:marRight w:val="0"/>
      <w:marTop w:val="0"/>
      <w:marBottom w:val="0"/>
      <w:divBdr>
        <w:top w:val="none" w:sz="0" w:space="0" w:color="auto"/>
        <w:left w:val="none" w:sz="0" w:space="0" w:color="auto"/>
        <w:bottom w:val="none" w:sz="0" w:space="0" w:color="auto"/>
        <w:right w:val="none" w:sz="0" w:space="0" w:color="auto"/>
      </w:divBdr>
    </w:div>
    <w:div w:id="1456752597">
      <w:bodyDiv w:val="1"/>
      <w:marLeft w:val="0"/>
      <w:marRight w:val="0"/>
      <w:marTop w:val="0"/>
      <w:marBottom w:val="0"/>
      <w:divBdr>
        <w:top w:val="none" w:sz="0" w:space="0" w:color="auto"/>
        <w:left w:val="none" w:sz="0" w:space="0" w:color="auto"/>
        <w:bottom w:val="none" w:sz="0" w:space="0" w:color="auto"/>
        <w:right w:val="none" w:sz="0" w:space="0" w:color="auto"/>
      </w:divBdr>
    </w:div>
    <w:div w:id="1480073912">
      <w:bodyDiv w:val="1"/>
      <w:marLeft w:val="0"/>
      <w:marRight w:val="0"/>
      <w:marTop w:val="0"/>
      <w:marBottom w:val="0"/>
      <w:divBdr>
        <w:top w:val="none" w:sz="0" w:space="0" w:color="auto"/>
        <w:left w:val="none" w:sz="0" w:space="0" w:color="auto"/>
        <w:bottom w:val="none" w:sz="0" w:space="0" w:color="auto"/>
        <w:right w:val="none" w:sz="0" w:space="0" w:color="auto"/>
      </w:divBdr>
    </w:div>
    <w:div w:id="1493447462">
      <w:bodyDiv w:val="1"/>
      <w:marLeft w:val="0"/>
      <w:marRight w:val="0"/>
      <w:marTop w:val="0"/>
      <w:marBottom w:val="0"/>
      <w:divBdr>
        <w:top w:val="none" w:sz="0" w:space="0" w:color="auto"/>
        <w:left w:val="none" w:sz="0" w:space="0" w:color="auto"/>
        <w:bottom w:val="none" w:sz="0" w:space="0" w:color="auto"/>
        <w:right w:val="none" w:sz="0" w:space="0" w:color="auto"/>
      </w:divBdr>
    </w:div>
    <w:div w:id="1523743539">
      <w:bodyDiv w:val="1"/>
      <w:marLeft w:val="0"/>
      <w:marRight w:val="0"/>
      <w:marTop w:val="0"/>
      <w:marBottom w:val="0"/>
      <w:divBdr>
        <w:top w:val="none" w:sz="0" w:space="0" w:color="auto"/>
        <w:left w:val="none" w:sz="0" w:space="0" w:color="auto"/>
        <w:bottom w:val="none" w:sz="0" w:space="0" w:color="auto"/>
        <w:right w:val="none" w:sz="0" w:space="0" w:color="auto"/>
      </w:divBdr>
    </w:div>
    <w:div w:id="1530100294">
      <w:bodyDiv w:val="1"/>
      <w:marLeft w:val="0"/>
      <w:marRight w:val="0"/>
      <w:marTop w:val="0"/>
      <w:marBottom w:val="0"/>
      <w:divBdr>
        <w:top w:val="none" w:sz="0" w:space="0" w:color="auto"/>
        <w:left w:val="none" w:sz="0" w:space="0" w:color="auto"/>
        <w:bottom w:val="none" w:sz="0" w:space="0" w:color="auto"/>
        <w:right w:val="none" w:sz="0" w:space="0" w:color="auto"/>
      </w:divBdr>
    </w:div>
    <w:div w:id="1560478698">
      <w:bodyDiv w:val="1"/>
      <w:marLeft w:val="0"/>
      <w:marRight w:val="0"/>
      <w:marTop w:val="0"/>
      <w:marBottom w:val="0"/>
      <w:divBdr>
        <w:top w:val="none" w:sz="0" w:space="0" w:color="auto"/>
        <w:left w:val="none" w:sz="0" w:space="0" w:color="auto"/>
        <w:bottom w:val="none" w:sz="0" w:space="0" w:color="auto"/>
        <w:right w:val="none" w:sz="0" w:space="0" w:color="auto"/>
      </w:divBdr>
    </w:div>
    <w:div w:id="1581057112">
      <w:bodyDiv w:val="1"/>
      <w:marLeft w:val="0"/>
      <w:marRight w:val="0"/>
      <w:marTop w:val="0"/>
      <w:marBottom w:val="0"/>
      <w:divBdr>
        <w:top w:val="none" w:sz="0" w:space="0" w:color="auto"/>
        <w:left w:val="none" w:sz="0" w:space="0" w:color="auto"/>
        <w:bottom w:val="none" w:sz="0" w:space="0" w:color="auto"/>
        <w:right w:val="none" w:sz="0" w:space="0" w:color="auto"/>
      </w:divBdr>
    </w:div>
    <w:div w:id="1591305327">
      <w:bodyDiv w:val="1"/>
      <w:marLeft w:val="0"/>
      <w:marRight w:val="0"/>
      <w:marTop w:val="0"/>
      <w:marBottom w:val="0"/>
      <w:divBdr>
        <w:top w:val="none" w:sz="0" w:space="0" w:color="auto"/>
        <w:left w:val="none" w:sz="0" w:space="0" w:color="auto"/>
        <w:bottom w:val="none" w:sz="0" w:space="0" w:color="auto"/>
        <w:right w:val="none" w:sz="0" w:space="0" w:color="auto"/>
      </w:divBdr>
    </w:div>
    <w:div w:id="1615791579">
      <w:bodyDiv w:val="1"/>
      <w:marLeft w:val="0"/>
      <w:marRight w:val="0"/>
      <w:marTop w:val="0"/>
      <w:marBottom w:val="0"/>
      <w:divBdr>
        <w:top w:val="none" w:sz="0" w:space="0" w:color="auto"/>
        <w:left w:val="none" w:sz="0" w:space="0" w:color="auto"/>
        <w:bottom w:val="none" w:sz="0" w:space="0" w:color="auto"/>
        <w:right w:val="none" w:sz="0" w:space="0" w:color="auto"/>
      </w:divBdr>
    </w:div>
    <w:div w:id="1689717835">
      <w:bodyDiv w:val="1"/>
      <w:marLeft w:val="0"/>
      <w:marRight w:val="0"/>
      <w:marTop w:val="0"/>
      <w:marBottom w:val="0"/>
      <w:divBdr>
        <w:top w:val="none" w:sz="0" w:space="0" w:color="auto"/>
        <w:left w:val="none" w:sz="0" w:space="0" w:color="auto"/>
        <w:bottom w:val="none" w:sz="0" w:space="0" w:color="auto"/>
        <w:right w:val="none" w:sz="0" w:space="0" w:color="auto"/>
      </w:divBdr>
    </w:div>
    <w:div w:id="1691761418">
      <w:bodyDiv w:val="1"/>
      <w:marLeft w:val="0"/>
      <w:marRight w:val="0"/>
      <w:marTop w:val="0"/>
      <w:marBottom w:val="0"/>
      <w:divBdr>
        <w:top w:val="none" w:sz="0" w:space="0" w:color="auto"/>
        <w:left w:val="none" w:sz="0" w:space="0" w:color="auto"/>
        <w:bottom w:val="none" w:sz="0" w:space="0" w:color="auto"/>
        <w:right w:val="none" w:sz="0" w:space="0" w:color="auto"/>
      </w:divBdr>
    </w:div>
    <w:div w:id="1738242727">
      <w:bodyDiv w:val="1"/>
      <w:marLeft w:val="0"/>
      <w:marRight w:val="0"/>
      <w:marTop w:val="0"/>
      <w:marBottom w:val="0"/>
      <w:divBdr>
        <w:top w:val="none" w:sz="0" w:space="0" w:color="auto"/>
        <w:left w:val="none" w:sz="0" w:space="0" w:color="auto"/>
        <w:bottom w:val="none" w:sz="0" w:space="0" w:color="auto"/>
        <w:right w:val="none" w:sz="0" w:space="0" w:color="auto"/>
      </w:divBdr>
    </w:div>
    <w:div w:id="1876044362">
      <w:bodyDiv w:val="1"/>
      <w:marLeft w:val="0"/>
      <w:marRight w:val="0"/>
      <w:marTop w:val="0"/>
      <w:marBottom w:val="0"/>
      <w:divBdr>
        <w:top w:val="none" w:sz="0" w:space="0" w:color="auto"/>
        <w:left w:val="none" w:sz="0" w:space="0" w:color="auto"/>
        <w:bottom w:val="none" w:sz="0" w:space="0" w:color="auto"/>
        <w:right w:val="none" w:sz="0" w:space="0" w:color="auto"/>
      </w:divBdr>
    </w:div>
    <w:div w:id="1891257952">
      <w:bodyDiv w:val="1"/>
      <w:marLeft w:val="0"/>
      <w:marRight w:val="0"/>
      <w:marTop w:val="0"/>
      <w:marBottom w:val="0"/>
      <w:divBdr>
        <w:top w:val="none" w:sz="0" w:space="0" w:color="auto"/>
        <w:left w:val="none" w:sz="0" w:space="0" w:color="auto"/>
        <w:bottom w:val="none" w:sz="0" w:space="0" w:color="auto"/>
        <w:right w:val="none" w:sz="0" w:space="0" w:color="auto"/>
      </w:divBdr>
    </w:div>
    <w:div w:id="1935703851">
      <w:bodyDiv w:val="1"/>
      <w:marLeft w:val="0"/>
      <w:marRight w:val="0"/>
      <w:marTop w:val="0"/>
      <w:marBottom w:val="0"/>
      <w:divBdr>
        <w:top w:val="none" w:sz="0" w:space="0" w:color="auto"/>
        <w:left w:val="none" w:sz="0" w:space="0" w:color="auto"/>
        <w:bottom w:val="none" w:sz="0" w:space="0" w:color="auto"/>
        <w:right w:val="none" w:sz="0" w:space="0" w:color="auto"/>
      </w:divBdr>
    </w:div>
    <w:div w:id="1936210905">
      <w:bodyDiv w:val="1"/>
      <w:marLeft w:val="0"/>
      <w:marRight w:val="0"/>
      <w:marTop w:val="0"/>
      <w:marBottom w:val="0"/>
      <w:divBdr>
        <w:top w:val="none" w:sz="0" w:space="0" w:color="auto"/>
        <w:left w:val="none" w:sz="0" w:space="0" w:color="auto"/>
        <w:bottom w:val="none" w:sz="0" w:space="0" w:color="auto"/>
        <w:right w:val="none" w:sz="0" w:space="0" w:color="auto"/>
      </w:divBdr>
    </w:div>
    <w:div w:id="1942490021">
      <w:bodyDiv w:val="1"/>
      <w:marLeft w:val="0"/>
      <w:marRight w:val="0"/>
      <w:marTop w:val="0"/>
      <w:marBottom w:val="0"/>
      <w:divBdr>
        <w:top w:val="none" w:sz="0" w:space="0" w:color="auto"/>
        <w:left w:val="none" w:sz="0" w:space="0" w:color="auto"/>
        <w:bottom w:val="none" w:sz="0" w:space="0" w:color="auto"/>
        <w:right w:val="none" w:sz="0" w:space="0" w:color="auto"/>
      </w:divBdr>
    </w:div>
    <w:div w:id="1966808327">
      <w:bodyDiv w:val="1"/>
      <w:marLeft w:val="0"/>
      <w:marRight w:val="0"/>
      <w:marTop w:val="0"/>
      <w:marBottom w:val="0"/>
      <w:divBdr>
        <w:top w:val="none" w:sz="0" w:space="0" w:color="auto"/>
        <w:left w:val="none" w:sz="0" w:space="0" w:color="auto"/>
        <w:bottom w:val="none" w:sz="0" w:space="0" w:color="auto"/>
        <w:right w:val="none" w:sz="0" w:space="0" w:color="auto"/>
      </w:divBdr>
    </w:div>
    <w:div w:id="1982802508">
      <w:bodyDiv w:val="1"/>
      <w:marLeft w:val="0"/>
      <w:marRight w:val="0"/>
      <w:marTop w:val="0"/>
      <w:marBottom w:val="0"/>
      <w:divBdr>
        <w:top w:val="none" w:sz="0" w:space="0" w:color="auto"/>
        <w:left w:val="none" w:sz="0" w:space="0" w:color="auto"/>
        <w:bottom w:val="none" w:sz="0" w:space="0" w:color="auto"/>
        <w:right w:val="none" w:sz="0" w:space="0" w:color="auto"/>
      </w:divBdr>
    </w:div>
    <w:div w:id="2009600869">
      <w:bodyDiv w:val="1"/>
      <w:marLeft w:val="0"/>
      <w:marRight w:val="0"/>
      <w:marTop w:val="0"/>
      <w:marBottom w:val="0"/>
      <w:divBdr>
        <w:top w:val="none" w:sz="0" w:space="0" w:color="auto"/>
        <w:left w:val="none" w:sz="0" w:space="0" w:color="auto"/>
        <w:bottom w:val="none" w:sz="0" w:space="0" w:color="auto"/>
        <w:right w:val="none" w:sz="0" w:space="0" w:color="auto"/>
      </w:divBdr>
    </w:div>
    <w:div w:id="2103724909">
      <w:bodyDiv w:val="1"/>
      <w:marLeft w:val="0"/>
      <w:marRight w:val="0"/>
      <w:marTop w:val="0"/>
      <w:marBottom w:val="0"/>
      <w:divBdr>
        <w:top w:val="none" w:sz="0" w:space="0" w:color="auto"/>
        <w:left w:val="none" w:sz="0" w:space="0" w:color="auto"/>
        <w:bottom w:val="none" w:sz="0" w:space="0" w:color="auto"/>
        <w:right w:val="none" w:sz="0" w:space="0" w:color="auto"/>
      </w:divBdr>
    </w:div>
    <w:div w:id="2114083316">
      <w:bodyDiv w:val="1"/>
      <w:marLeft w:val="0"/>
      <w:marRight w:val="0"/>
      <w:marTop w:val="0"/>
      <w:marBottom w:val="0"/>
      <w:divBdr>
        <w:top w:val="none" w:sz="0" w:space="0" w:color="auto"/>
        <w:left w:val="none" w:sz="0" w:space="0" w:color="auto"/>
        <w:bottom w:val="none" w:sz="0" w:space="0" w:color="auto"/>
        <w:right w:val="none" w:sz="0" w:space="0" w:color="auto"/>
      </w:divBdr>
    </w:div>
    <w:div w:id="2120566086">
      <w:bodyDiv w:val="1"/>
      <w:marLeft w:val="0"/>
      <w:marRight w:val="0"/>
      <w:marTop w:val="0"/>
      <w:marBottom w:val="0"/>
      <w:divBdr>
        <w:top w:val="none" w:sz="0" w:space="0" w:color="auto"/>
        <w:left w:val="none" w:sz="0" w:space="0" w:color="auto"/>
        <w:bottom w:val="none" w:sz="0" w:space="0" w:color="auto"/>
        <w:right w:val="none" w:sz="0" w:space="0" w:color="auto"/>
      </w:divBdr>
    </w:div>
    <w:div w:id="2134591506">
      <w:bodyDiv w:val="1"/>
      <w:marLeft w:val="0"/>
      <w:marRight w:val="0"/>
      <w:marTop w:val="0"/>
      <w:marBottom w:val="0"/>
      <w:divBdr>
        <w:top w:val="none" w:sz="0" w:space="0" w:color="auto"/>
        <w:left w:val="none" w:sz="0" w:space="0" w:color="auto"/>
        <w:bottom w:val="none" w:sz="0" w:space="0" w:color="auto"/>
        <w:right w:val="none" w:sz="0" w:space="0" w:color="auto"/>
      </w:divBdr>
    </w:div>
    <w:div w:id="2146116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 Type="http://schemas.openxmlformats.org/officeDocument/2006/relationships/customXml" Target="../customXml/item3.xml"/><Relationship Id="rId21" Type="http://schemas.openxmlformats.org/officeDocument/2006/relationships/chart" Target="charts/chart9.xm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gov.uk/government/publications/gender-pay-gap-reporting-guidance-for-employers" TargetMode="Externa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12.xm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7.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ppData\Roaming\Microsoft\Templates\Invoice%20(Red%20design).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3" Type="http://schemas.openxmlformats.org/officeDocument/2006/relationships/oleObject" Target="https://incomedataresearch.sharepoint.com/sites/IDRTeamSite/Shared%20Documents/Research/Projects/Public%20Health%20Wales/2023/Outputs/Chart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embeddings/oleObject9.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embeddings/oleObject10.bin"/></Relationships>
</file>

<file path=word/charts/_rels/chart13.xml.rels><?xml version="1.0" encoding="UTF-8" standalone="yes"?>
<Relationships xmlns="http://schemas.openxmlformats.org/package/2006/relationships"><Relationship Id="rId3" Type="http://schemas.openxmlformats.org/officeDocument/2006/relationships/oleObject" Target="https://incomedataresearch.sharepoint.com/sites/IDRTeamSite/Shared%20Documents/Research/Projects/Public%20Health%20Wales/2023/Outputs/Charts%20unprotected.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incomedataresearch.sharepoint.com/sites/IDRTeamSite/Shared%20Documents/Research/Projects/Public%20Health%20Wales/2023/Outputs/Chart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embeddings/oleObject11.bin"/></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embeddings/oleObject12.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5.bin"/></Relationships>
</file>

<file path=word/charts/_rels/chart6.xml.rels><?xml version="1.0" encoding="UTF-8" standalone="yes"?>
<Relationships xmlns="http://schemas.openxmlformats.org/package/2006/relationships"><Relationship Id="rId3" Type="http://schemas.openxmlformats.org/officeDocument/2006/relationships/oleObject" Target="https://incomedataresearch.sharepoint.com/sites/IDRTeamSite/Shared%20Documents/Research/Projects/Public%20Health%20Wales/2023/Outputs/Charts%20unprotecte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6.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7.bin"/></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embeddings/oleObject8.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[Charts.xlsx]Sheet1!$A$17</c:f>
              <c:strCache>
                <c:ptCount val="1"/>
                <c:pt idx="0">
                  <c:v>Public Health Wales</c:v>
                </c:pt>
              </c:strCache>
            </c:strRef>
          </c:tx>
          <c:spPr>
            <a:solidFill>
              <a:srgbClr val="5C00D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[Charts.xlsx]Sheet1!$B$16:$C$16</c:f>
              <c:strCache>
                <c:ptCount val="2"/>
                <c:pt idx="0">
                  <c:v>Mean pay gap</c:v>
                </c:pt>
                <c:pt idx="1">
                  <c:v>Median pay gap</c:v>
                </c:pt>
              </c:strCache>
            </c:strRef>
          </c:cat>
          <c:val>
            <c:numRef>
              <c:f>[Charts.xlsx]Sheet1!$B$17:$C$17</c:f>
              <c:numCache>
                <c:formatCode>0.0%</c:formatCode>
                <c:ptCount val="2"/>
                <c:pt idx="0">
                  <c:v>0.13800000000000001</c:v>
                </c:pt>
                <c:pt idx="1">
                  <c:v>6.4000000000000001E-2</c:v>
                </c:pt>
              </c:numCache>
            </c:numRef>
          </c:val>
          <c:extLst>
            <c:ext xmlns:c16="http://schemas.microsoft.com/office/drawing/2014/chart" uri="{C3380CC4-5D6E-409C-BE32-E72D297353CC}">
              <c16:uniqueId val="{00000000-0934-4C42-9471-C99E65DA3E33}"/>
            </c:ext>
          </c:extLst>
        </c:ser>
        <c:ser>
          <c:idx val="1"/>
          <c:order val="1"/>
          <c:tx>
            <c:strRef>
              <c:f>[Charts.xlsx]Sheet1!$A$18</c:f>
              <c:strCache>
                <c:ptCount val="1"/>
                <c:pt idx="0">
                  <c:v>UK</c:v>
                </c:pt>
              </c:strCache>
            </c:strRef>
          </c:tx>
          <c:spPr>
            <a:solidFill>
              <a:srgbClr val="33CC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[Charts.xlsx]Sheet1!$B$16:$C$16</c:f>
              <c:strCache>
                <c:ptCount val="2"/>
                <c:pt idx="0">
                  <c:v>Mean pay gap</c:v>
                </c:pt>
                <c:pt idx="1">
                  <c:v>Median pay gap</c:v>
                </c:pt>
              </c:strCache>
            </c:strRef>
          </c:cat>
          <c:val>
            <c:numRef>
              <c:f>[Charts.xlsx]Sheet1!$B$18:$C$18</c:f>
              <c:numCache>
                <c:formatCode>0.0%</c:formatCode>
                <c:ptCount val="2"/>
                <c:pt idx="0">
                  <c:v>0.13200000000000001</c:v>
                </c:pt>
                <c:pt idx="1">
                  <c:v>0.14299999999999999</c:v>
                </c:pt>
              </c:numCache>
            </c:numRef>
          </c:val>
          <c:extLst>
            <c:ext xmlns:c16="http://schemas.microsoft.com/office/drawing/2014/chart" uri="{C3380CC4-5D6E-409C-BE32-E72D297353CC}">
              <c16:uniqueId val="{00000001-0934-4C42-9471-C99E65DA3E33}"/>
            </c:ext>
          </c:extLst>
        </c:ser>
        <c:ser>
          <c:idx val="2"/>
          <c:order val="2"/>
          <c:tx>
            <c:strRef>
              <c:f>[Charts.xlsx]Sheet1!$A$19</c:f>
              <c:strCache>
                <c:ptCount val="1"/>
                <c:pt idx="0">
                  <c:v>Public sector</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[Charts.xlsx]Sheet1!$B$16:$C$16</c:f>
              <c:strCache>
                <c:ptCount val="2"/>
                <c:pt idx="0">
                  <c:v>Mean pay gap</c:v>
                </c:pt>
                <c:pt idx="1">
                  <c:v>Median pay gap</c:v>
                </c:pt>
              </c:strCache>
            </c:strRef>
          </c:cat>
          <c:val>
            <c:numRef>
              <c:f>[Charts.xlsx]Sheet1!$B$19:$C$19</c:f>
              <c:numCache>
                <c:formatCode>0.0%</c:formatCode>
                <c:ptCount val="2"/>
                <c:pt idx="0">
                  <c:v>0.115</c:v>
                </c:pt>
                <c:pt idx="1">
                  <c:v>0.14000000000000001</c:v>
                </c:pt>
              </c:numCache>
            </c:numRef>
          </c:val>
          <c:extLst>
            <c:ext xmlns:c16="http://schemas.microsoft.com/office/drawing/2014/chart" uri="{C3380CC4-5D6E-409C-BE32-E72D297353CC}">
              <c16:uniqueId val="{00000002-0934-4C42-9471-C99E65DA3E33}"/>
            </c:ext>
          </c:extLst>
        </c:ser>
        <c:ser>
          <c:idx val="3"/>
          <c:order val="3"/>
          <c:tx>
            <c:strRef>
              <c:f>[Charts.xlsx]Sheet1!$A$20</c:f>
              <c:strCache>
                <c:ptCount val="1"/>
                <c:pt idx="0">
                  <c:v>Wales</c:v>
                </c:pt>
              </c:strCache>
            </c:strRef>
          </c:tx>
          <c:spPr>
            <a:solidFill>
              <a:srgbClr val="00E3B8"/>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[Charts.xlsx]Sheet1!$B$16:$C$16</c:f>
              <c:strCache>
                <c:ptCount val="2"/>
                <c:pt idx="0">
                  <c:v>Mean pay gap</c:v>
                </c:pt>
                <c:pt idx="1">
                  <c:v>Median pay gap</c:v>
                </c:pt>
              </c:strCache>
            </c:strRef>
          </c:cat>
          <c:val>
            <c:numRef>
              <c:f>[Charts.xlsx]Sheet1!$B$20:$C$20</c:f>
              <c:numCache>
                <c:formatCode>0.0%</c:formatCode>
                <c:ptCount val="2"/>
                <c:pt idx="0">
                  <c:v>8.1000000000000003E-2</c:v>
                </c:pt>
                <c:pt idx="1">
                  <c:v>0.11799999999999999</c:v>
                </c:pt>
              </c:numCache>
            </c:numRef>
          </c:val>
          <c:extLst>
            <c:ext xmlns:c16="http://schemas.microsoft.com/office/drawing/2014/chart" uri="{C3380CC4-5D6E-409C-BE32-E72D297353CC}">
              <c16:uniqueId val="{00000003-0934-4C42-9471-C99E65DA3E33}"/>
            </c:ext>
          </c:extLst>
        </c:ser>
        <c:dLbls>
          <c:showLegendKey val="0"/>
          <c:showVal val="0"/>
          <c:showCatName val="0"/>
          <c:showSerName val="0"/>
          <c:showPercent val="0"/>
          <c:showBubbleSize val="0"/>
        </c:dLbls>
        <c:gapWidth val="219"/>
        <c:overlap val="-27"/>
        <c:axId val="115857871"/>
        <c:axId val="2123483615"/>
      </c:barChart>
      <c:catAx>
        <c:axId val="115857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123483615"/>
        <c:crosses val="autoZero"/>
        <c:auto val="1"/>
        <c:lblAlgn val="ctr"/>
        <c:lblOffset val="100"/>
        <c:noMultiLvlLbl val="0"/>
      </c:catAx>
      <c:valAx>
        <c:axId val="2123483615"/>
        <c:scaling>
          <c:orientation val="minMax"/>
          <c:max val="0.1800000000000000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15857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Sheet1!$B$108</c:f>
              <c:strCache>
                <c:ptCount val="1"/>
                <c:pt idx="0">
                  <c:v>Mean</c:v>
                </c:pt>
              </c:strCache>
            </c:strRef>
          </c:tx>
          <c:spPr>
            <a:solidFill>
              <a:srgbClr val="5C00D6"/>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Sheet1!$A$109:$A$113</c:f>
              <c:strCache>
                <c:ptCount val="5"/>
                <c:pt idx="0">
                  <c:v>Less than 1 year's service</c:v>
                </c:pt>
                <c:pt idx="1">
                  <c:v>1 or more but less than 5 years</c:v>
                </c:pt>
                <c:pt idx="2">
                  <c:v>5 or more but less than 10 years</c:v>
                </c:pt>
                <c:pt idx="3">
                  <c:v>10 or more but less than 20 years</c:v>
                </c:pt>
                <c:pt idx="4">
                  <c:v>20 years' service or more</c:v>
                </c:pt>
              </c:strCache>
            </c:strRef>
          </c:cat>
          <c:val>
            <c:numRef>
              <c:f>Sheet1!$B$109:$B$113</c:f>
              <c:numCache>
                <c:formatCode>0.0%</c:formatCode>
                <c:ptCount val="5"/>
                <c:pt idx="0">
                  <c:v>-3.5999999999999997E-2</c:v>
                </c:pt>
                <c:pt idx="1">
                  <c:v>8.1000000000000003E-2</c:v>
                </c:pt>
                <c:pt idx="2">
                  <c:v>0.252</c:v>
                </c:pt>
                <c:pt idx="3">
                  <c:v>0.21</c:v>
                </c:pt>
                <c:pt idx="4">
                  <c:v>0.41899999999999998</c:v>
                </c:pt>
              </c:numCache>
            </c:numRef>
          </c:val>
          <c:extLst>
            <c:ext xmlns:c16="http://schemas.microsoft.com/office/drawing/2014/chart" uri="{C3380CC4-5D6E-409C-BE32-E72D297353CC}">
              <c16:uniqueId val="{00000000-8ADD-4461-9BF5-0D7CC4C5BC47}"/>
            </c:ext>
          </c:extLst>
        </c:ser>
        <c:ser>
          <c:idx val="1"/>
          <c:order val="1"/>
          <c:tx>
            <c:strRef>
              <c:f>Sheet1!$C$108</c:f>
              <c:strCache>
                <c:ptCount val="1"/>
                <c:pt idx="0">
                  <c:v>Median</c:v>
                </c:pt>
              </c:strCache>
            </c:strRef>
          </c:tx>
          <c:spPr>
            <a:solidFill>
              <a:srgbClr val="00E3B8"/>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Sheet1!$A$109:$A$113</c:f>
              <c:strCache>
                <c:ptCount val="5"/>
                <c:pt idx="0">
                  <c:v>Less than 1 year's service</c:v>
                </c:pt>
                <c:pt idx="1">
                  <c:v>1 or more but less than 5 years</c:v>
                </c:pt>
                <c:pt idx="2">
                  <c:v>5 or more but less than 10 years</c:v>
                </c:pt>
                <c:pt idx="3">
                  <c:v>10 or more but less than 20 years</c:v>
                </c:pt>
                <c:pt idx="4">
                  <c:v>20 years' service or more</c:v>
                </c:pt>
              </c:strCache>
            </c:strRef>
          </c:cat>
          <c:val>
            <c:numRef>
              <c:f>Sheet1!$C$109:$C$113</c:f>
              <c:numCache>
                <c:formatCode>0.0%</c:formatCode>
                <c:ptCount val="5"/>
                <c:pt idx="0">
                  <c:v>-0.19500000000000001</c:v>
                </c:pt>
                <c:pt idx="1">
                  <c:v>9.7000000000000003E-2</c:v>
                </c:pt>
                <c:pt idx="2">
                  <c:v>0.14599999999999999</c:v>
                </c:pt>
                <c:pt idx="3">
                  <c:v>0.14899999999999999</c:v>
                </c:pt>
                <c:pt idx="4">
                  <c:v>0.34899999999999998</c:v>
                </c:pt>
              </c:numCache>
            </c:numRef>
          </c:val>
          <c:extLst>
            <c:ext xmlns:c16="http://schemas.microsoft.com/office/drawing/2014/chart" uri="{C3380CC4-5D6E-409C-BE32-E72D297353CC}">
              <c16:uniqueId val="{00000001-8ADD-4461-9BF5-0D7CC4C5BC47}"/>
            </c:ext>
          </c:extLst>
        </c:ser>
        <c:dLbls>
          <c:dLblPos val="outEnd"/>
          <c:showLegendKey val="0"/>
          <c:showVal val="1"/>
          <c:showCatName val="0"/>
          <c:showSerName val="0"/>
          <c:showPercent val="0"/>
          <c:showBubbleSize val="0"/>
        </c:dLbls>
        <c:gapWidth val="219"/>
        <c:overlap val="-27"/>
        <c:axId val="1631545615"/>
        <c:axId val="2099154079"/>
      </c:barChart>
      <c:catAx>
        <c:axId val="16315456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Length</a:t>
                </a:r>
                <a:r>
                  <a:rPr lang="en-GB" baseline="0"/>
                  <a:t> of service</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099154079"/>
        <c:crosses val="autoZero"/>
        <c:auto val="1"/>
        <c:lblAlgn val="ctr"/>
        <c:lblOffset val="100"/>
        <c:noMultiLvlLbl val="0"/>
      </c:catAx>
      <c:valAx>
        <c:axId val="2099154079"/>
        <c:scaling>
          <c:orientation val="minMax"/>
          <c:max val="0.60000000000000009"/>
          <c:min val="-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456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IBM Plex Sans" panose="020B0503050203000203"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'[Charts unprotected.xlsx]Charts'!$B$254</c:f>
              <c:strCache>
                <c:ptCount val="1"/>
                <c:pt idx="0">
                  <c:v>Mean</c:v>
                </c:pt>
              </c:strCache>
            </c:strRef>
          </c:tx>
          <c:spPr>
            <a:solidFill>
              <a:srgbClr val="5C00D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unprotected.xlsx]Charts'!$A$255:$A$257</c:f>
              <c:strCache>
                <c:ptCount val="3"/>
                <c:pt idx="0">
                  <c:v>Less than 1 year's service</c:v>
                </c:pt>
                <c:pt idx="1">
                  <c:v>1 or more but less than 5 years</c:v>
                </c:pt>
                <c:pt idx="2">
                  <c:v>5 or more but less than 10 years</c:v>
                </c:pt>
              </c:strCache>
            </c:strRef>
          </c:cat>
          <c:val>
            <c:numRef>
              <c:f>'[Charts unprotected.xlsx]Charts'!$B$255:$B$257</c:f>
              <c:numCache>
                <c:formatCode>0.0%</c:formatCode>
                <c:ptCount val="3"/>
                <c:pt idx="0">
                  <c:v>-7.0000000000000001E-3</c:v>
                </c:pt>
                <c:pt idx="1">
                  <c:v>9.8000000000000004E-2</c:v>
                </c:pt>
                <c:pt idx="2">
                  <c:v>0.34599999999999997</c:v>
                </c:pt>
              </c:numCache>
            </c:numRef>
          </c:val>
          <c:extLst>
            <c:ext xmlns:c16="http://schemas.microsoft.com/office/drawing/2014/chart" uri="{C3380CC4-5D6E-409C-BE32-E72D297353CC}">
              <c16:uniqueId val="{00000000-DF26-4A55-A5D2-0783A5342DBA}"/>
            </c:ext>
          </c:extLst>
        </c:ser>
        <c:ser>
          <c:idx val="1"/>
          <c:order val="1"/>
          <c:tx>
            <c:strRef>
              <c:f>'[Charts unprotected.xlsx]Charts'!$C$254</c:f>
              <c:strCache>
                <c:ptCount val="1"/>
                <c:pt idx="0">
                  <c:v>Median</c:v>
                </c:pt>
              </c:strCache>
            </c:strRef>
          </c:tx>
          <c:spPr>
            <a:solidFill>
              <a:srgbClr val="00E3B8"/>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unprotected.xlsx]Charts'!$A$255:$A$257</c:f>
              <c:strCache>
                <c:ptCount val="3"/>
                <c:pt idx="0">
                  <c:v>Less than 1 year's service</c:v>
                </c:pt>
                <c:pt idx="1">
                  <c:v>1 or more but less than 5 years</c:v>
                </c:pt>
                <c:pt idx="2">
                  <c:v>5 or more but less than 10 years</c:v>
                </c:pt>
              </c:strCache>
            </c:strRef>
          </c:cat>
          <c:val>
            <c:numRef>
              <c:f>'[Charts unprotected.xlsx]Charts'!$C$255:$C$257</c:f>
              <c:numCache>
                <c:formatCode>0.0%</c:formatCode>
                <c:ptCount val="3"/>
                <c:pt idx="0">
                  <c:v>-0.13300000000000001</c:v>
                </c:pt>
                <c:pt idx="1">
                  <c:v>5.1999999999999998E-2</c:v>
                </c:pt>
                <c:pt idx="2">
                  <c:v>0.34699999999999998</c:v>
                </c:pt>
              </c:numCache>
            </c:numRef>
          </c:val>
          <c:extLst>
            <c:ext xmlns:c16="http://schemas.microsoft.com/office/drawing/2014/chart" uri="{C3380CC4-5D6E-409C-BE32-E72D297353CC}">
              <c16:uniqueId val="{00000001-DF26-4A55-A5D2-0783A5342DBA}"/>
            </c:ext>
          </c:extLst>
        </c:ser>
        <c:dLbls>
          <c:showLegendKey val="0"/>
          <c:showVal val="0"/>
          <c:showCatName val="0"/>
          <c:showSerName val="0"/>
          <c:showPercent val="0"/>
          <c:showBubbleSize val="0"/>
        </c:dLbls>
        <c:gapWidth val="219"/>
        <c:overlap val="-27"/>
        <c:axId val="295389312"/>
        <c:axId val="565224736"/>
      </c:barChart>
      <c:catAx>
        <c:axId val="295389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Length of time</a:t>
                </a:r>
                <a:r>
                  <a:rPr lang="en-GB" baseline="0"/>
                  <a:t> in grade</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565224736"/>
        <c:crosses val="autoZero"/>
        <c:auto val="1"/>
        <c:lblAlgn val="ctr"/>
        <c:lblOffset val="100"/>
        <c:noMultiLvlLbl val="0"/>
      </c:catAx>
      <c:valAx>
        <c:axId val="565224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a:t>
                </a:r>
                <a:r>
                  <a:rPr lang="en-GB" baseline="0"/>
                  <a:t> gender pay gap</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95389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'[Charts unprotected.xlsx]Charts'!$E$308</c:f>
              <c:strCache>
                <c:ptCount val="1"/>
                <c:pt idx="0">
                  <c:v>Men</c:v>
                </c:pt>
              </c:strCache>
            </c:strRef>
          </c:tx>
          <c:spPr>
            <a:solidFill>
              <a:srgbClr val="33CCFF"/>
            </a:solidFill>
            <a:ln>
              <a:solidFill>
                <a:srgbClr val="33CCFF"/>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'[Charts unprotected.xlsx]Charts'!$A$309:$A$317</c:f>
              <c:numCache>
                <c:formatCode>General</c:formatCode>
                <c:ptCount val="9"/>
                <c:pt idx="0">
                  <c:v>2</c:v>
                </c:pt>
                <c:pt idx="1">
                  <c:v>3</c:v>
                </c:pt>
                <c:pt idx="2">
                  <c:v>4</c:v>
                </c:pt>
                <c:pt idx="3">
                  <c:v>5</c:v>
                </c:pt>
                <c:pt idx="4">
                  <c:v>6</c:v>
                </c:pt>
                <c:pt idx="5">
                  <c:v>7</c:v>
                </c:pt>
                <c:pt idx="6">
                  <c:v>8</c:v>
                </c:pt>
                <c:pt idx="7">
                  <c:v>9</c:v>
                </c:pt>
                <c:pt idx="8">
                  <c:v>10</c:v>
                </c:pt>
              </c:numCache>
              <c:extLst/>
            </c:numRef>
          </c:cat>
          <c:val>
            <c:numRef>
              <c:f>'[Charts unprotected.xlsx]Charts'!$E$309:$E$318</c:f>
              <c:numCache>
                <c:formatCode>0%</c:formatCode>
                <c:ptCount val="9"/>
                <c:pt idx="0">
                  <c:v>0</c:v>
                </c:pt>
                <c:pt idx="1">
                  <c:v>4.3103448275862072E-2</c:v>
                </c:pt>
                <c:pt idx="2">
                  <c:v>0.13793103448275862</c:v>
                </c:pt>
                <c:pt idx="3">
                  <c:v>7.7586206896551713E-2</c:v>
                </c:pt>
                <c:pt idx="4">
                  <c:v>0.13793103448275862</c:v>
                </c:pt>
                <c:pt idx="5">
                  <c:v>0.12931034482758619</c:v>
                </c:pt>
                <c:pt idx="6">
                  <c:v>0.18965517241379309</c:v>
                </c:pt>
                <c:pt idx="7">
                  <c:v>0.23275862068965517</c:v>
                </c:pt>
                <c:pt idx="8">
                  <c:v>5.1724137931034475E-2</c:v>
                </c:pt>
              </c:numCache>
              <c:extLst/>
            </c:numRef>
          </c:val>
          <c:extLst>
            <c:ext xmlns:c16="http://schemas.microsoft.com/office/drawing/2014/chart" uri="{C3380CC4-5D6E-409C-BE32-E72D297353CC}">
              <c16:uniqueId val="{00000000-4C67-4C8A-95CF-1A76C700798D}"/>
            </c:ext>
          </c:extLst>
        </c:ser>
        <c:ser>
          <c:idx val="1"/>
          <c:order val="1"/>
          <c:tx>
            <c:strRef>
              <c:f>'[Charts unprotected.xlsx]Charts'!$F$308</c:f>
              <c:strCache>
                <c:ptCount val="1"/>
                <c:pt idx="0">
                  <c:v>Women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'[Charts unprotected.xlsx]Charts'!$A$309:$A$317</c:f>
              <c:numCache>
                <c:formatCode>General</c:formatCode>
                <c:ptCount val="9"/>
                <c:pt idx="0">
                  <c:v>2</c:v>
                </c:pt>
                <c:pt idx="1">
                  <c:v>3</c:v>
                </c:pt>
                <c:pt idx="2">
                  <c:v>4</c:v>
                </c:pt>
                <c:pt idx="3">
                  <c:v>5</c:v>
                </c:pt>
                <c:pt idx="4">
                  <c:v>6</c:v>
                </c:pt>
                <c:pt idx="5">
                  <c:v>7</c:v>
                </c:pt>
                <c:pt idx="6">
                  <c:v>8</c:v>
                </c:pt>
                <c:pt idx="7">
                  <c:v>9</c:v>
                </c:pt>
                <c:pt idx="8">
                  <c:v>10</c:v>
                </c:pt>
              </c:numCache>
              <c:extLst/>
            </c:numRef>
          </c:cat>
          <c:val>
            <c:numRef>
              <c:f>'[Charts unprotected.xlsx]Charts'!$F$309:$F$318</c:f>
              <c:numCache>
                <c:formatCode>0%</c:formatCode>
                <c:ptCount val="9"/>
                <c:pt idx="0">
                  <c:v>1.1235955056179777E-2</c:v>
                </c:pt>
                <c:pt idx="1">
                  <c:v>0.19943820224719103</c:v>
                </c:pt>
                <c:pt idx="2">
                  <c:v>0.2050561797752809</c:v>
                </c:pt>
                <c:pt idx="3">
                  <c:v>9.5505617977528101E-2</c:v>
                </c:pt>
                <c:pt idx="4">
                  <c:v>0.16853932584269662</c:v>
                </c:pt>
                <c:pt idx="5">
                  <c:v>0.13764044943820225</c:v>
                </c:pt>
                <c:pt idx="6">
                  <c:v>5.3370786516853938E-2</c:v>
                </c:pt>
                <c:pt idx="7">
                  <c:v>0.10112359550561797</c:v>
                </c:pt>
                <c:pt idx="8">
                  <c:v>2.5280898876404494E-2</c:v>
                </c:pt>
              </c:numCache>
              <c:extLst/>
            </c:numRef>
          </c:val>
          <c:extLst>
            <c:ext xmlns:c16="http://schemas.microsoft.com/office/drawing/2014/chart" uri="{C3380CC4-5D6E-409C-BE32-E72D297353CC}">
              <c16:uniqueId val="{00000001-4C67-4C8A-95CF-1A76C700798D}"/>
            </c:ext>
          </c:extLst>
        </c:ser>
        <c:dLbls>
          <c:showLegendKey val="0"/>
          <c:showVal val="0"/>
          <c:showCatName val="0"/>
          <c:showSerName val="0"/>
          <c:showPercent val="0"/>
          <c:showBubbleSize val="0"/>
        </c:dLbls>
        <c:gapWidth val="219"/>
        <c:overlap val="-27"/>
        <c:axId val="188066751"/>
        <c:axId val="190719871"/>
      </c:barChart>
      <c:catAx>
        <c:axId val="18806675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Pay band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90719871"/>
        <c:crosses val="autoZero"/>
        <c:auto val="1"/>
        <c:lblAlgn val="ctr"/>
        <c:lblOffset val="100"/>
        <c:noMultiLvlLbl val="0"/>
      </c:catAx>
      <c:valAx>
        <c:axId val="1907198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 staff</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880667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 unprotected.xlsx]Charts'!$B$120</c:f>
              <c:strCache>
                <c:ptCount val="1"/>
                <c:pt idx="0">
                  <c:v>Mean</c:v>
                </c:pt>
              </c:strCache>
            </c:strRef>
          </c:tx>
          <c:spPr>
            <a:solidFill>
              <a:srgbClr val="5C00D6"/>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unprotected.xlsx]Charts'!$A$121:$A$132</c:f>
              <c:strCache>
                <c:ptCount val="12"/>
                <c:pt idx="0">
                  <c:v>&lt;=20 years</c:v>
                </c:pt>
                <c:pt idx="1">
                  <c:v>21-25</c:v>
                </c:pt>
                <c:pt idx="2">
                  <c:v>26-30</c:v>
                </c:pt>
                <c:pt idx="3">
                  <c:v>31-35</c:v>
                </c:pt>
                <c:pt idx="4">
                  <c:v>36-40</c:v>
                </c:pt>
                <c:pt idx="5">
                  <c:v>41-45</c:v>
                </c:pt>
                <c:pt idx="6">
                  <c:v>46-50</c:v>
                </c:pt>
                <c:pt idx="7">
                  <c:v>51-55</c:v>
                </c:pt>
                <c:pt idx="8">
                  <c:v>56-60</c:v>
                </c:pt>
                <c:pt idx="9">
                  <c:v>61-65</c:v>
                </c:pt>
                <c:pt idx="10">
                  <c:v>66-70</c:v>
                </c:pt>
                <c:pt idx="11">
                  <c:v>&gt;=71 years</c:v>
                </c:pt>
              </c:strCache>
            </c:strRef>
          </c:cat>
          <c:val>
            <c:numRef>
              <c:f>'[Charts unprotected.xlsx]Charts'!$B$121:$B$132</c:f>
              <c:numCache>
                <c:formatCode>0.0%</c:formatCode>
                <c:ptCount val="12"/>
                <c:pt idx="0">
                  <c:v>-0.123</c:v>
                </c:pt>
                <c:pt idx="1">
                  <c:v>-2.7E-2</c:v>
                </c:pt>
                <c:pt idx="2">
                  <c:v>-5.1999999999999998E-2</c:v>
                </c:pt>
                <c:pt idx="3">
                  <c:v>2.1999999999999999E-2</c:v>
                </c:pt>
                <c:pt idx="4">
                  <c:v>0.123</c:v>
                </c:pt>
                <c:pt idx="5">
                  <c:v>9.9000000000000005E-2</c:v>
                </c:pt>
                <c:pt idx="6">
                  <c:v>0.30599999999999999</c:v>
                </c:pt>
                <c:pt idx="7">
                  <c:v>0.33500000000000002</c:v>
                </c:pt>
                <c:pt idx="8">
                  <c:v>0.28599999999999998</c:v>
                </c:pt>
                <c:pt idx="9">
                  <c:v>0.35799999999999998</c:v>
                </c:pt>
                <c:pt idx="10">
                  <c:v>0.55300000000000005</c:v>
                </c:pt>
                <c:pt idx="11">
                  <c:v>-0.11600000000000001</c:v>
                </c:pt>
              </c:numCache>
            </c:numRef>
          </c:val>
          <c:extLst>
            <c:ext xmlns:c16="http://schemas.microsoft.com/office/drawing/2014/chart" uri="{C3380CC4-5D6E-409C-BE32-E72D297353CC}">
              <c16:uniqueId val="{00000000-587A-4420-BA4F-B441E0F8BDE3}"/>
            </c:ext>
          </c:extLst>
        </c:ser>
        <c:ser>
          <c:idx val="1"/>
          <c:order val="1"/>
          <c:tx>
            <c:strRef>
              <c:f>'[Charts unprotected.xlsx]Charts'!$C$120</c:f>
              <c:strCache>
                <c:ptCount val="1"/>
                <c:pt idx="0">
                  <c:v>Median</c:v>
                </c:pt>
              </c:strCache>
            </c:strRef>
          </c:tx>
          <c:spPr>
            <a:solidFill>
              <a:srgbClr val="00E3B8"/>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unprotected.xlsx]Charts'!$A$121:$A$132</c:f>
              <c:strCache>
                <c:ptCount val="12"/>
                <c:pt idx="0">
                  <c:v>&lt;=20 years</c:v>
                </c:pt>
                <c:pt idx="1">
                  <c:v>21-25</c:v>
                </c:pt>
                <c:pt idx="2">
                  <c:v>26-30</c:v>
                </c:pt>
                <c:pt idx="3">
                  <c:v>31-35</c:v>
                </c:pt>
                <c:pt idx="4">
                  <c:v>36-40</c:v>
                </c:pt>
                <c:pt idx="5">
                  <c:v>41-45</c:v>
                </c:pt>
                <c:pt idx="6">
                  <c:v>46-50</c:v>
                </c:pt>
                <c:pt idx="7">
                  <c:v>51-55</c:v>
                </c:pt>
                <c:pt idx="8">
                  <c:v>56-60</c:v>
                </c:pt>
                <c:pt idx="9">
                  <c:v>61-65</c:v>
                </c:pt>
                <c:pt idx="10">
                  <c:v>66-70</c:v>
                </c:pt>
                <c:pt idx="11">
                  <c:v>&gt;=71 years</c:v>
                </c:pt>
              </c:strCache>
            </c:strRef>
          </c:cat>
          <c:val>
            <c:numRef>
              <c:f>'[Charts unprotected.xlsx]Charts'!$C$121:$C$132</c:f>
              <c:numCache>
                <c:formatCode>0.0%</c:formatCode>
                <c:ptCount val="12"/>
                <c:pt idx="0">
                  <c:v>0</c:v>
                </c:pt>
                <c:pt idx="1">
                  <c:v>-8.5000000000000006E-2</c:v>
                </c:pt>
                <c:pt idx="2">
                  <c:v>-1.2999999999999999E-2</c:v>
                </c:pt>
                <c:pt idx="3">
                  <c:v>0</c:v>
                </c:pt>
                <c:pt idx="4">
                  <c:v>0.18</c:v>
                </c:pt>
                <c:pt idx="5">
                  <c:v>4.9000000000000002E-2</c:v>
                </c:pt>
                <c:pt idx="6">
                  <c:v>0.16400000000000001</c:v>
                </c:pt>
                <c:pt idx="7">
                  <c:v>0.23</c:v>
                </c:pt>
                <c:pt idx="8">
                  <c:v>0.25700000000000001</c:v>
                </c:pt>
                <c:pt idx="9">
                  <c:v>0.379</c:v>
                </c:pt>
                <c:pt idx="10">
                  <c:v>0.66</c:v>
                </c:pt>
                <c:pt idx="11">
                  <c:v>-0.11600000000000001</c:v>
                </c:pt>
              </c:numCache>
            </c:numRef>
          </c:val>
          <c:extLst>
            <c:ext xmlns:c16="http://schemas.microsoft.com/office/drawing/2014/chart" uri="{C3380CC4-5D6E-409C-BE32-E72D297353CC}">
              <c16:uniqueId val="{00000001-587A-4420-BA4F-B441E0F8BDE3}"/>
            </c:ext>
          </c:extLst>
        </c:ser>
        <c:dLbls>
          <c:dLblPos val="outEnd"/>
          <c:showLegendKey val="0"/>
          <c:showVal val="1"/>
          <c:showCatName val="0"/>
          <c:showSerName val="0"/>
          <c:showPercent val="0"/>
          <c:showBubbleSize val="0"/>
        </c:dLbls>
        <c:gapWidth val="219"/>
        <c:overlap val="-27"/>
        <c:axId val="1631545615"/>
        <c:axId val="2099154079"/>
      </c:barChart>
      <c:catAx>
        <c:axId val="16315456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Age band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099154079"/>
        <c:crosses val="autoZero"/>
        <c:auto val="1"/>
        <c:lblAlgn val="ctr"/>
        <c:lblOffset val="100"/>
        <c:noMultiLvlLbl val="0"/>
      </c:catAx>
      <c:valAx>
        <c:axId val="2099154079"/>
        <c:scaling>
          <c:orientation val="minMax"/>
          <c:max val="0.70000000000000007"/>
          <c:min val="-0.300000000000000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456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IBM Plex Sans" panose="020B0503050203000203" pitchFamily="34"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[Charts.xlsx]Charts!$B$179</c:f>
              <c:strCache>
                <c:ptCount val="1"/>
                <c:pt idx="0">
                  <c:v>Public Health Wales</c:v>
                </c:pt>
              </c:strCache>
            </c:strRef>
          </c:tx>
          <c:spPr>
            <a:solidFill>
              <a:srgbClr val="5C00D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[Charts.xlsx]Charts!$A$180:$A$182</c:f>
              <c:strCache>
                <c:ptCount val="3"/>
                <c:pt idx="0">
                  <c:v>Asian</c:v>
                </c:pt>
                <c:pt idx="1">
                  <c:v>Black</c:v>
                </c:pt>
                <c:pt idx="2">
                  <c:v>Mixed heritage</c:v>
                </c:pt>
              </c:strCache>
            </c:strRef>
          </c:cat>
          <c:val>
            <c:numRef>
              <c:f>[Charts.xlsx]Charts!$B$180:$B$182</c:f>
              <c:numCache>
                <c:formatCode>0.0%</c:formatCode>
                <c:ptCount val="3"/>
                <c:pt idx="0">
                  <c:v>0.03</c:v>
                </c:pt>
                <c:pt idx="1">
                  <c:v>2.1999999999999999E-2</c:v>
                </c:pt>
                <c:pt idx="2">
                  <c:v>1.7000000000000001E-2</c:v>
                </c:pt>
              </c:numCache>
            </c:numRef>
          </c:val>
          <c:extLst>
            <c:ext xmlns:c16="http://schemas.microsoft.com/office/drawing/2014/chart" uri="{C3380CC4-5D6E-409C-BE32-E72D297353CC}">
              <c16:uniqueId val="{00000000-40D3-4DF5-9570-C6D76EE04DE8}"/>
            </c:ext>
          </c:extLst>
        </c:ser>
        <c:ser>
          <c:idx val="1"/>
          <c:order val="1"/>
          <c:tx>
            <c:strRef>
              <c:f>[Charts.xlsx]Charts!$C$179</c:f>
              <c:strCache>
                <c:ptCount val="1"/>
                <c:pt idx="0">
                  <c:v>Wales</c:v>
                </c:pt>
              </c:strCache>
            </c:strRef>
          </c:tx>
          <c:spPr>
            <a:solidFill>
              <a:srgbClr val="00E3B8"/>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[Charts.xlsx]Charts!$A$180:$A$182</c:f>
              <c:strCache>
                <c:ptCount val="3"/>
                <c:pt idx="0">
                  <c:v>Asian</c:v>
                </c:pt>
                <c:pt idx="1">
                  <c:v>Black</c:v>
                </c:pt>
                <c:pt idx="2">
                  <c:v>Mixed heritage</c:v>
                </c:pt>
              </c:strCache>
            </c:strRef>
          </c:cat>
          <c:val>
            <c:numRef>
              <c:f>[Charts.xlsx]Charts!$C$180:$C$182</c:f>
              <c:numCache>
                <c:formatCode>0.0%</c:formatCode>
                <c:ptCount val="3"/>
                <c:pt idx="0">
                  <c:v>2.9000000000000001E-2</c:v>
                </c:pt>
                <c:pt idx="1">
                  <c:v>8.9999999999999993E-3</c:v>
                </c:pt>
                <c:pt idx="2">
                  <c:v>1.6E-2</c:v>
                </c:pt>
              </c:numCache>
            </c:numRef>
          </c:val>
          <c:extLst>
            <c:ext xmlns:c16="http://schemas.microsoft.com/office/drawing/2014/chart" uri="{C3380CC4-5D6E-409C-BE32-E72D297353CC}">
              <c16:uniqueId val="{00000001-40D3-4DF5-9570-C6D76EE04DE8}"/>
            </c:ext>
          </c:extLst>
        </c:ser>
        <c:ser>
          <c:idx val="2"/>
          <c:order val="2"/>
          <c:tx>
            <c:strRef>
              <c:f>[Charts.xlsx]Charts!$D$179</c:f>
              <c:strCache>
                <c:ptCount val="1"/>
                <c:pt idx="0">
                  <c:v>Cardiff</c:v>
                </c:pt>
              </c:strCache>
            </c:strRef>
          </c:tx>
          <c:spPr>
            <a:solidFill>
              <a:srgbClr val="33CC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[Charts.xlsx]Charts!$D$180:$D$182</c:f>
              <c:numCache>
                <c:formatCode>0.0%</c:formatCode>
                <c:ptCount val="3"/>
                <c:pt idx="0">
                  <c:v>9.7000000000000003E-2</c:v>
                </c:pt>
                <c:pt idx="1">
                  <c:v>3.7999999999999999E-2</c:v>
                </c:pt>
                <c:pt idx="2">
                  <c:v>0.04</c:v>
                </c:pt>
              </c:numCache>
            </c:numRef>
          </c:val>
          <c:extLst>
            <c:ext xmlns:c16="http://schemas.microsoft.com/office/drawing/2014/chart" uri="{C3380CC4-5D6E-409C-BE32-E72D297353CC}">
              <c16:uniqueId val="{00000002-40D3-4DF5-9570-C6D76EE04DE8}"/>
            </c:ext>
          </c:extLst>
        </c:ser>
        <c:dLbls>
          <c:showLegendKey val="0"/>
          <c:showVal val="0"/>
          <c:showCatName val="0"/>
          <c:showSerName val="0"/>
          <c:showPercent val="0"/>
          <c:showBubbleSize val="0"/>
        </c:dLbls>
        <c:gapWidth val="219"/>
        <c:overlap val="-27"/>
        <c:axId val="183817935"/>
        <c:axId val="1108919471"/>
      </c:barChart>
      <c:catAx>
        <c:axId val="183817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108919471"/>
        <c:crosses val="autoZero"/>
        <c:auto val="1"/>
        <c:lblAlgn val="ctr"/>
        <c:lblOffset val="100"/>
        <c:noMultiLvlLbl val="0"/>
      </c:catAx>
      <c:valAx>
        <c:axId val="1108919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a:t>
                </a:r>
                <a:r>
                  <a:rPr lang="en-GB" baseline="0"/>
                  <a:t> staff</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83817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chemeClr val="accent1"/>
              </a:solidFill>
              <a:round/>
            </a:ln>
            <a:effectLst/>
          </c:spPr>
          <c:marker>
            <c:symbol val="none"/>
          </c:marker>
          <c:dLbls>
            <c:numFmt formatCode="0.0%"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'[Charts test1.xlsx]Sheet1'!$A$14:$A$29</c:f>
              <c:numCache>
                <c:formatCode>General</c:formatCode>
                <c:ptCount val="16"/>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numCache>
            </c:numRef>
          </c:cat>
          <c:val>
            <c:numRef>
              <c:f>'[Charts test1.xlsx]Sheet1'!$D$14:$D$29</c:f>
              <c:numCache>
                <c:formatCode>0%</c:formatCode>
                <c:ptCount val="16"/>
                <c:pt idx="0">
                  <c:v>4.4444444444444446E-2</c:v>
                </c:pt>
                <c:pt idx="1">
                  <c:v>3.125E-2</c:v>
                </c:pt>
                <c:pt idx="2">
                  <c:v>0</c:v>
                </c:pt>
                <c:pt idx="3">
                  <c:v>0</c:v>
                </c:pt>
                <c:pt idx="4">
                  <c:v>9.5238095238095233E-2</c:v>
                </c:pt>
                <c:pt idx="5">
                  <c:v>7.1428571428571438E-2</c:v>
                </c:pt>
                <c:pt idx="6">
                  <c:v>7.6923076923076927E-2</c:v>
                </c:pt>
                <c:pt idx="7">
                  <c:v>3.3898305084745763E-2</c:v>
                </c:pt>
                <c:pt idx="8">
                  <c:v>6.7484662576687116E-2</c:v>
                </c:pt>
                <c:pt idx="9">
                  <c:v>5.7471264367816091E-2</c:v>
                </c:pt>
                <c:pt idx="10">
                  <c:v>6.2992125984251968E-2</c:v>
                </c:pt>
                <c:pt idx="11">
                  <c:v>0.10227272727272728</c:v>
                </c:pt>
                <c:pt idx="12">
                  <c:v>9.1703056768558958E-2</c:v>
                </c:pt>
                <c:pt idx="13">
                  <c:v>6.5517241379310351E-2</c:v>
                </c:pt>
                <c:pt idx="14">
                  <c:v>0.1076923076923077</c:v>
                </c:pt>
                <c:pt idx="15">
                  <c:v>0.1348314606741573</c:v>
                </c:pt>
              </c:numCache>
            </c:numRef>
          </c:val>
          <c:smooth val="0"/>
          <c:extLst>
            <c:ext xmlns:c16="http://schemas.microsoft.com/office/drawing/2014/chart" uri="{C3380CC4-5D6E-409C-BE32-E72D297353CC}">
              <c16:uniqueId val="{00000000-11E5-4FBE-849A-8BF6D6664409}"/>
            </c:ext>
          </c:extLst>
        </c:ser>
        <c:dLbls>
          <c:showLegendKey val="0"/>
          <c:showVal val="0"/>
          <c:showCatName val="0"/>
          <c:showSerName val="0"/>
          <c:showPercent val="0"/>
          <c:showBubbleSize val="0"/>
        </c:dLbls>
        <c:smooth val="0"/>
        <c:axId val="22831584"/>
        <c:axId val="465893696"/>
      </c:lineChart>
      <c:catAx>
        <c:axId val="22831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Original hire 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465893696"/>
        <c:crosses val="autoZero"/>
        <c:auto val="1"/>
        <c:lblAlgn val="ctr"/>
        <c:lblOffset val="100"/>
        <c:noMultiLvlLbl val="0"/>
      </c:catAx>
      <c:valAx>
        <c:axId val="4658936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 staff</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2831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IBM Plex Sans" panose="020B0503050203000203" pitchFamily="34" charset="0"/>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'[Charts unprotected.xlsx]Charts'!$A$240</c:f>
              <c:strCache>
                <c:ptCount val="1"/>
                <c:pt idx="0">
                  <c:v>Pay band 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unprotected.xlsx]Charts'!$B$240:$E$240</c:f>
              <c:numCache>
                <c:formatCode>0%</c:formatCode>
                <c:ptCount val="4"/>
                <c:pt idx="0">
                  <c:v>1.1764705882352941E-2</c:v>
                </c:pt>
                <c:pt idx="1">
                  <c:v>0</c:v>
                </c:pt>
                <c:pt idx="2">
                  <c:v>2.7027027027027029E-2</c:v>
                </c:pt>
                <c:pt idx="3">
                  <c:v>1.6146993318485525E-2</c:v>
                </c:pt>
              </c:numCache>
            </c:numRef>
          </c:val>
          <c:extLst>
            <c:ext xmlns:c16="http://schemas.microsoft.com/office/drawing/2014/chart" uri="{C3380CC4-5D6E-409C-BE32-E72D297353CC}">
              <c16:uniqueId val="{00000000-8713-439E-A25B-176A9EA6A482}"/>
            </c:ext>
          </c:extLst>
        </c:ser>
        <c:ser>
          <c:idx val="1"/>
          <c:order val="1"/>
          <c:tx>
            <c:strRef>
              <c:f>'[Charts unprotected.xlsx]Charts'!$A$241</c:f>
              <c:strCache>
                <c:ptCount val="1"/>
                <c:pt idx="0">
                  <c:v>Pay band 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unprotected.xlsx]Charts'!$B$241:$E$241</c:f>
              <c:numCache>
                <c:formatCode>0%</c:formatCode>
                <c:ptCount val="4"/>
                <c:pt idx="0">
                  <c:v>0.18823529411764706</c:v>
                </c:pt>
                <c:pt idx="1">
                  <c:v>0.12244897959183673</c:v>
                </c:pt>
                <c:pt idx="2">
                  <c:v>0.1891891891891892</c:v>
                </c:pt>
                <c:pt idx="3">
                  <c:v>0.13307349665924278</c:v>
                </c:pt>
              </c:numCache>
            </c:numRef>
          </c:val>
          <c:extLst>
            <c:ext xmlns:c16="http://schemas.microsoft.com/office/drawing/2014/chart" uri="{C3380CC4-5D6E-409C-BE32-E72D297353CC}">
              <c16:uniqueId val="{00000001-8713-439E-A25B-176A9EA6A482}"/>
            </c:ext>
          </c:extLst>
        </c:ser>
        <c:ser>
          <c:idx val="2"/>
          <c:order val="2"/>
          <c:tx>
            <c:strRef>
              <c:f>'[Charts unprotected.xlsx]Charts'!$A$242</c:f>
              <c:strCache>
                <c:ptCount val="1"/>
                <c:pt idx="0">
                  <c:v>Pay band 4</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unprotected.xlsx]Charts'!$B$242:$E$242</c:f>
              <c:numCache>
                <c:formatCode>0%</c:formatCode>
                <c:ptCount val="4"/>
                <c:pt idx="0">
                  <c:v>7.0588235294117646E-2</c:v>
                </c:pt>
                <c:pt idx="1">
                  <c:v>0.10204081632653061</c:v>
                </c:pt>
                <c:pt idx="2">
                  <c:v>0.13513513513513514</c:v>
                </c:pt>
                <c:pt idx="3">
                  <c:v>0.17371937639198221</c:v>
                </c:pt>
              </c:numCache>
            </c:numRef>
          </c:val>
          <c:extLst>
            <c:ext xmlns:c16="http://schemas.microsoft.com/office/drawing/2014/chart" uri="{C3380CC4-5D6E-409C-BE32-E72D297353CC}">
              <c16:uniqueId val="{00000002-8713-439E-A25B-176A9EA6A482}"/>
            </c:ext>
          </c:extLst>
        </c:ser>
        <c:ser>
          <c:idx val="3"/>
          <c:order val="3"/>
          <c:tx>
            <c:strRef>
              <c:f>'[Charts unprotected.xlsx]Charts'!$A$243</c:f>
              <c:strCache>
                <c:ptCount val="1"/>
                <c:pt idx="0">
                  <c:v>Pay band 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unprotected.xlsx]Charts'!$B$243:$E$243</c:f>
              <c:numCache>
                <c:formatCode>0%</c:formatCode>
                <c:ptCount val="4"/>
                <c:pt idx="0">
                  <c:v>0.24705882352941178</c:v>
                </c:pt>
                <c:pt idx="1">
                  <c:v>0.30612244897959184</c:v>
                </c:pt>
                <c:pt idx="2">
                  <c:v>0.21621621621621623</c:v>
                </c:pt>
                <c:pt idx="3">
                  <c:v>0.14866369710467706</c:v>
                </c:pt>
              </c:numCache>
            </c:numRef>
          </c:val>
          <c:extLst>
            <c:ext xmlns:c16="http://schemas.microsoft.com/office/drawing/2014/chart" uri="{C3380CC4-5D6E-409C-BE32-E72D297353CC}">
              <c16:uniqueId val="{00000003-8713-439E-A25B-176A9EA6A482}"/>
            </c:ext>
          </c:extLst>
        </c:ser>
        <c:ser>
          <c:idx val="4"/>
          <c:order val="4"/>
          <c:tx>
            <c:strRef>
              <c:f>'[Charts unprotected.xlsx]Charts'!$A$244</c:f>
              <c:strCache>
                <c:ptCount val="1"/>
                <c:pt idx="0">
                  <c:v>Pay band 6</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unprotected.xlsx]Charts'!$B$244:$E$244</c:f>
              <c:numCache>
                <c:formatCode>0%</c:formatCode>
                <c:ptCount val="4"/>
                <c:pt idx="0">
                  <c:v>0.12941176470588237</c:v>
                </c:pt>
                <c:pt idx="1">
                  <c:v>0.18367346938775511</c:v>
                </c:pt>
                <c:pt idx="2">
                  <c:v>5.4054054054054057E-2</c:v>
                </c:pt>
                <c:pt idx="3">
                  <c:v>0.13975501113585745</c:v>
                </c:pt>
              </c:numCache>
            </c:numRef>
          </c:val>
          <c:extLst>
            <c:ext xmlns:c16="http://schemas.microsoft.com/office/drawing/2014/chart" uri="{C3380CC4-5D6E-409C-BE32-E72D297353CC}">
              <c16:uniqueId val="{00000004-8713-439E-A25B-176A9EA6A482}"/>
            </c:ext>
          </c:extLst>
        </c:ser>
        <c:ser>
          <c:idx val="5"/>
          <c:order val="5"/>
          <c:tx>
            <c:strRef>
              <c:f>'[Charts unprotected.xlsx]Charts'!$A$245</c:f>
              <c:strCache>
                <c:ptCount val="1"/>
                <c:pt idx="0">
                  <c:v>Pay band 7</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unprotected.xlsx]Charts'!$B$245:$E$245</c:f>
              <c:numCache>
                <c:formatCode>0%</c:formatCode>
                <c:ptCount val="4"/>
                <c:pt idx="0">
                  <c:v>0.11764705882352942</c:v>
                </c:pt>
                <c:pt idx="1">
                  <c:v>0.16326530612244899</c:v>
                </c:pt>
                <c:pt idx="2">
                  <c:v>0.27027027027027029</c:v>
                </c:pt>
                <c:pt idx="3">
                  <c:v>0.16425389755011138</c:v>
                </c:pt>
              </c:numCache>
            </c:numRef>
          </c:val>
          <c:extLst>
            <c:ext xmlns:c16="http://schemas.microsoft.com/office/drawing/2014/chart" uri="{C3380CC4-5D6E-409C-BE32-E72D297353CC}">
              <c16:uniqueId val="{00000005-8713-439E-A25B-176A9EA6A482}"/>
            </c:ext>
          </c:extLst>
        </c:ser>
        <c:ser>
          <c:idx val="6"/>
          <c:order val="6"/>
          <c:tx>
            <c:strRef>
              <c:f>'[Charts unprotected.xlsx]Charts'!$A$246</c:f>
              <c:strCache>
                <c:ptCount val="1"/>
                <c:pt idx="0">
                  <c:v>Pay band 8</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unprotected.xlsx]Charts'!$B$246:$E$246</c:f>
              <c:numCache>
                <c:formatCode>0%</c:formatCode>
                <c:ptCount val="4"/>
                <c:pt idx="0">
                  <c:v>9.4117647058823528E-2</c:v>
                </c:pt>
                <c:pt idx="1">
                  <c:v>8.1632653061224497E-2</c:v>
                </c:pt>
                <c:pt idx="2">
                  <c:v>8.1081081081081072E-2</c:v>
                </c:pt>
                <c:pt idx="3">
                  <c:v>0.12806236080178174</c:v>
                </c:pt>
              </c:numCache>
            </c:numRef>
          </c:val>
          <c:extLst>
            <c:ext xmlns:c16="http://schemas.microsoft.com/office/drawing/2014/chart" uri="{C3380CC4-5D6E-409C-BE32-E72D297353CC}">
              <c16:uniqueId val="{00000006-8713-439E-A25B-176A9EA6A482}"/>
            </c:ext>
          </c:extLst>
        </c:ser>
        <c:ser>
          <c:idx val="7"/>
          <c:order val="7"/>
          <c:tx>
            <c:strRef>
              <c:f>'[Charts unprotected.xlsx]Charts'!$A$247</c:f>
              <c:strCache>
                <c:ptCount val="1"/>
                <c:pt idx="0">
                  <c:v>Pay band 9</c:v>
                </c:pt>
              </c:strCache>
            </c:strRef>
          </c:tx>
          <c:spPr>
            <a:solidFill>
              <a:schemeClr val="accent2">
                <a:lumMod val="60000"/>
              </a:schemeClr>
            </a:solidFill>
            <a:ln>
              <a:noFill/>
            </a:ln>
            <a:effectLst/>
          </c:spPr>
          <c:invertIfNegative val="0"/>
          <c:dLbls>
            <c:dLbl>
              <c:idx val="2"/>
              <c:layout>
                <c:manualLayout>
                  <c:x val="4.2735042735042739E-3"/>
                  <c:y val="-1.1759539158145472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713-439E-A25B-176A9EA6A482}"/>
                </c:ext>
              </c:extLst>
            </c:dLbl>
            <c:dLbl>
              <c:idx val="3"/>
              <c:layout>
                <c:manualLayout>
                  <c:x val="6.41025641025641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713-439E-A25B-176A9EA6A4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unprotected.xlsx]Charts'!$B$247:$E$247</c:f>
              <c:numCache>
                <c:formatCode>0%</c:formatCode>
                <c:ptCount val="4"/>
                <c:pt idx="0">
                  <c:v>0.12941176470588237</c:v>
                </c:pt>
                <c:pt idx="1">
                  <c:v>4.0816326530612249E-2</c:v>
                </c:pt>
                <c:pt idx="2">
                  <c:v>2.7027027027027029E-2</c:v>
                </c:pt>
                <c:pt idx="3">
                  <c:v>7.5167037861915378E-2</c:v>
                </c:pt>
              </c:numCache>
            </c:numRef>
          </c:val>
          <c:extLst>
            <c:ext xmlns:c16="http://schemas.microsoft.com/office/drawing/2014/chart" uri="{C3380CC4-5D6E-409C-BE32-E72D297353CC}">
              <c16:uniqueId val="{00000007-8713-439E-A25B-176A9EA6A482}"/>
            </c:ext>
          </c:extLst>
        </c:ser>
        <c:ser>
          <c:idx val="8"/>
          <c:order val="8"/>
          <c:tx>
            <c:strRef>
              <c:f>'[Charts unprotected.xlsx]Charts'!$A$248</c:f>
              <c:strCache>
                <c:ptCount val="1"/>
                <c:pt idx="0">
                  <c:v>Pay band 10</c:v>
                </c:pt>
              </c:strCache>
            </c:strRef>
          </c:tx>
          <c:spPr>
            <a:solidFill>
              <a:schemeClr val="accent3">
                <a:lumMod val="60000"/>
              </a:schemeClr>
            </a:solidFill>
            <a:ln>
              <a:noFill/>
            </a:ln>
            <a:effectLst/>
          </c:spPr>
          <c:invertIfNegative val="0"/>
          <c:dLbls>
            <c:dLbl>
              <c:idx val="0"/>
              <c:layout>
                <c:manualLayout>
                  <c:x val="6.410256410256371E-3"/>
                  <c:y val="-1.1759539158145472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713-439E-A25B-176A9EA6A482}"/>
                </c:ext>
              </c:extLst>
            </c:dLbl>
            <c:dLbl>
              <c:idx val="2"/>
              <c:layout>
                <c:manualLayout>
                  <c:x val="2.13675213675198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713-439E-A25B-176A9EA6A482}"/>
                </c:ext>
              </c:extLst>
            </c:dLbl>
            <c:dLbl>
              <c:idx val="3"/>
              <c:layout>
                <c:manualLayout>
                  <c:x val="1.0683760683760684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713-439E-A25B-176A9EA6A4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unprotected.xlsx]Charts'!$B$239:$E$239</c:f>
              <c:strCache>
                <c:ptCount val="4"/>
                <c:pt idx="0">
                  <c:v>Asian, Asian Welsh or Asian British</c:v>
                </c:pt>
                <c:pt idx="1">
                  <c:v>Black, Black Welsh or Black British</c:v>
                </c:pt>
                <c:pt idx="2">
                  <c:v>Mixed or multiple ethnic groups</c:v>
                </c:pt>
                <c:pt idx="3">
                  <c:v>White</c:v>
                </c:pt>
              </c:strCache>
            </c:strRef>
          </c:cat>
          <c:val>
            <c:numRef>
              <c:f>'[Charts unprotected.xlsx]Charts'!$B$248:$E$248</c:f>
              <c:numCache>
                <c:formatCode>0%</c:formatCode>
                <c:ptCount val="4"/>
                <c:pt idx="0">
                  <c:v>1.1764705882352941E-2</c:v>
                </c:pt>
                <c:pt idx="1">
                  <c:v>0</c:v>
                </c:pt>
                <c:pt idx="2">
                  <c:v>0</c:v>
                </c:pt>
                <c:pt idx="3">
                  <c:v>2.115812917594655E-2</c:v>
                </c:pt>
              </c:numCache>
            </c:numRef>
          </c:val>
          <c:extLst>
            <c:ext xmlns:c16="http://schemas.microsoft.com/office/drawing/2014/chart" uri="{C3380CC4-5D6E-409C-BE32-E72D297353CC}">
              <c16:uniqueId val="{00000008-8713-439E-A25B-176A9EA6A482}"/>
            </c:ext>
          </c:extLst>
        </c:ser>
        <c:dLbls>
          <c:showLegendKey val="0"/>
          <c:showVal val="0"/>
          <c:showCatName val="0"/>
          <c:showSerName val="0"/>
          <c:showPercent val="0"/>
          <c:showBubbleSize val="0"/>
        </c:dLbls>
        <c:gapWidth val="219"/>
        <c:overlap val="-27"/>
        <c:axId val="851677744"/>
        <c:axId val="1665436000"/>
      </c:barChart>
      <c:catAx>
        <c:axId val="85167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65436000"/>
        <c:crosses val="autoZero"/>
        <c:auto val="1"/>
        <c:lblAlgn val="ctr"/>
        <c:lblOffset val="100"/>
        <c:noMultiLvlLbl val="0"/>
      </c:catAx>
      <c:valAx>
        <c:axId val="1665436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851677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'[Charts unprotected.xlsx]Charts'!$B$34</c:f>
              <c:strCache>
                <c:ptCount val="1"/>
                <c:pt idx="0">
                  <c:v>Mean gender pay gap</c:v>
                </c:pt>
              </c:strCache>
            </c:strRef>
          </c:tx>
          <c:spPr>
            <a:ln w="28575" cap="rnd">
              <a:solidFill>
                <a:srgbClr val="5C00D6"/>
              </a:solidFill>
              <a:round/>
            </a:ln>
            <a:effectLst/>
          </c:spPr>
          <c:marker>
            <c:symbol val="none"/>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'[Charts unprotected.xlsx]Charts'!$A$35:$A$41</c:f>
              <c:numCache>
                <c:formatCode>General</c:formatCode>
                <c:ptCount val="7"/>
                <c:pt idx="0">
                  <c:v>2017</c:v>
                </c:pt>
                <c:pt idx="1">
                  <c:v>2018</c:v>
                </c:pt>
                <c:pt idx="2">
                  <c:v>2019</c:v>
                </c:pt>
                <c:pt idx="3">
                  <c:v>2020</c:v>
                </c:pt>
                <c:pt idx="4">
                  <c:v>2021</c:v>
                </c:pt>
                <c:pt idx="5">
                  <c:v>2022</c:v>
                </c:pt>
                <c:pt idx="6">
                  <c:v>2023</c:v>
                </c:pt>
              </c:numCache>
            </c:numRef>
          </c:cat>
          <c:val>
            <c:numRef>
              <c:f>'[Charts unprotected.xlsx]Charts'!$B$35:$B$41</c:f>
              <c:numCache>
                <c:formatCode>0.0%</c:formatCode>
                <c:ptCount val="7"/>
                <c:pt idx="0">
                  <c:v>0.22600000000000001</c:v>
                </c:pt>
                <c:pt idx="1">
                  <c:v>0.218</c:v>
                </c:pt>
                <c:pt idx="2">
                  <c:v>0.20899999999999999</c:v>
                </c:pt>
                <c:pt idx="3">
                  <c:v>0.219</c:v>
                </c:pt>
                <c:pt idx="4">
                  <c:v>0.161</c:v>
                </c:pt>
                <c:pt idx="5">
                  <c:v>0.11799999999999999</c:v>
                </c:pt>
                <c:pt idx="6">
                  <c:v>0.13800000000000001</c:v>
                </c:pt>
              </c:numCache>
            </c:numRef>
          </c:val>
          <c:smooth val="0"/>
          <c:extLst>
            <c:ext xmlns:c16="http://schemas.microsoft.com/office/drawing/2014/chart" uri="{C3380CC4-5D6E-409C-BE32-E72D297353CC}">
              <c16:uniqueId val="{00000000-17CD-4A3E-B01C-55E23302E40D}"/>
            </c:ext>
          </c:extLst>
        </c:ser>
        <c:ser>
          <c:idx val="1"/>
          <c:order val="1"/>
          <c:tx>
            <c:strRef>
              <c:f>'[Charts unprotected.xlsx]Charts'!$C$34</c:f>
              <c:strCache>
                <c:ptCount val="1"/>
                <c:pt idx="0">
                  <c:v>Median gender pay gap</c:v>
                </c:pt>
              </c:strCache>
            </c:strRef>
          </c:tx>
          <c:spPr>
            <a:ln w="28575" cap="rnd">
              <a:solidFill>
                <a:srgbClr val="00E3B8"/>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'[Charts unprotected.xlsx]Charts'!$C$35:$C$41</c:f>
              <c:numCache>
                <c:formatCode>0.0%</c:formatCode>
                <c:ptCount val="7"/>
                <c:pt idx="0">
                  <c:v>0.192</c:v>
                </c:pt>
                <c:pt idx="1">
                  <c:v>0.192</c:v>
                </c:pt>
                <c:pt idx="2">
                  <c:v>0.19600000000000001</c:v>
                </c:pt>
                <c:pt idx="3">
                  <c:v>0.191</c:v>
                </c:pt>
                <c:pt idx="4">
                  <c:v>8.5000000000000006E-2</c:v>
                </c:pt>
                <c:pt idx="5">
                  <c:v>5.5E-2</c:v>
                </c:pt>
                <c:pt idx="6">
                  <c:v>6.4000000000000001E-2</c:v>
                </c:pt>
              </c:numCache>
            </c:numRef>
          </c:val>
          <c:smooth val="0"/>
          <c:extLst>
            <c:ext xmlns:c16="http://schemas.microsoft.com/office/drawing/2014/chart" uri="{C3380CC4-5D6E-409C-BE32-E72D297353CC}">
              <c16:uniqueId val="{00000001-17CD-4A3E-B01C-55E23302E40D}"/>
            </c:ext>
          </c:extLst>
        </c:ser>
        <c:dLbls>
          <c:showLegendKey val="0"/>
          <c:showVal val="0"/>
          <c:showCatName val="0"/>
          <c:showSerName val="0"/>
          <c:showPercent val="0"/>
          <c:showBubbleSize val="0"/>
        </c:dLbls>
        <c:smooth val="0"/>
        <c:axId val="1631539855"/>
        <c:axId val="1516203599"/>
      </c:lineChart>
      <c:catAx>
        <c:axId val="1631539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516203599"/>
        <c:crosses val="autoZero"/>
        <c:auto val="1"/>
        <c:lblAlgn val="ctr"/>
        <c:lblOffset val="100"/>
        <c:noMultiLvlLbl val="0"/>
      </c:catAx>
      <c:valAx>
        <c:axId val="1516203599"/>
        <c:scaling>
          <c:orientation val="minMax"/>
          <c:max val="0.3000000000000000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398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'[Charts unprotected.xlsx]Charts'!$B$52</c:f>
              <c:strCache>
                <c:ptCount val="1"/>
                <c:pt idx="0">
                  <c:v>Men</c:v>
                </c:pt>
              </c:strCache>
            </c:strRef>
          </c:tx>
          <c:spPr>
            <a:solidFill>
              <a:srgbClr val="33CC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unprotected.xlsx]Charts'!$A$53:$A$56</c:f>
              <c:strCache>
                <c:ptCount val="4"/>
                <c:pt idx="0">
                  <c:v>Lower quarter</c:v>
                </c:pt>
                <c:pt idx="1">
                  <c:v>Lower-middle quarter</c:v>
                </c:pt>
                <c:pt idx="2">
                  <c:v>Middle-upper quarter</c:v>
                </c:pt>
                <c:pt idx="3">
                  <c:v>Upper quarter</c:v>
                </c:pt>
              </c:strCache>
            </c:strRef>
          </c:cat>
          <c:val>
            <c:numRef>
              <c:f>'[Charts unprotected.xlsx]Charts'!$B$53:$B$56</c:f>
              <c:numCache>
                <c:formatCode>0.0%</c:formatCode>
                <c:ptCount val="4"/>
                <c:pt idx="0">
                  <c:v>0.23</c:v>
                </c:pt>
                <c:pt idx="1">
                  <c:v>0.246</c:v>
                </c:pt>
                <c:pt idx="2">
                  <c:v>0.26500000000000001</c:v>
                </c:pt>
                <c:pt idx="3">
                  <c:v>0.32300000000000001</c:v>
                </c:pt>
              </c:numCache>
            </c:numRef>
          </c:val>
          <c:extLst>
            <c:ext xmlns:c16="http://schemas.microsoft.com/office/drawing/2014/chart" uri="{C3380CC4-5D6E-409C-BE32-E72D297353CC}">
              <c16:uniqueId val="{00000000-B802-4AE4-B954-2A7E391F16AB}"/>
            </c:ext>
          </c:extLst>
        </c:ser>
        <c:ser>
          <c:idx val="1"/>
          <c:order val="1"/>
          <c:tx>
            <c:strRef>
              <c:f>'[Charts unprotected.xlsx]Charts'!$C$52</c:f>
              <c:strCache>
                <c:ptCount val="1"/>
                <c:pt idx="0">
                  <c:v>Women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unprotected.xlsx]Charts'!$A$53:$A$56</c:f>
              <c:strCache>
                <c:ptCount val="4"/>
                <c:pt idx="0">
                  <c:v>Lower quarter</c:v>
                </c:pt>
                <c:pt idx="1">
                  <c:v>Lower-middle quarter</c:v>
                </c:pt>
                <c:pt idx="2">
                  <c:v>Middle-upper quarter</c:v>
                </c:pt>
                <c:pt idx="3">
                  <c:v>Upper quarter</c:v>
                </c:pt>
              </c:strCache>
            </c:strRef>
          </c:cat>
          <c:val>
            <c:numRef>
              <c:f>'[Charts unprotected.xlsx]Charts'!$C$53:$C$56</c:f>
              <c:numCache>
                <c:formatCode>0.0%</c:formatCode>
                <c:ptCount val="4"/>
                <c:pt idx="0">
                  <c:v>0.77</c:v>
                </c:pt>
                <c:pt idx="1">
                  <c:v>0.754</c:v>
                </c:pt>
                <c:pt idx="2">
                  <c:v>0.73499999999999999</c:v>
                </c:pt>
                <c:pt idx="3">
                  <c:v>0.67700000000000005</c:v>
                </c:pt>
              </c:numCache>
            </c:numRef>
          </c:val>
          <c:extLst>
            <c:ext xmlns:c16="http://schemas.microsoft.com/office/drawing/2014/chart" uri="{C3380CC4-5D6E-409C-BE32-E72D297353CC}">
              <c16:uniqueId val="{00000001-B802-4AE4-B954-2A7E391F16AB}"/>
            </c:ext>
          </c:extLst>
        </c:ser>
        <c:dLbls>
          <c:showLegendKey val="0"/>
          <c:showVal val="0"/>
          <c:showCatName val="0"/>
          <c:showSerName val="0"/>
          <c:showPercent val="0"/>
          <c:showBubbleSize val="0"/>
        </c:dLbls>
        <c:gapWidth val="150"/>
        <c:overlap val="100"/>
        <c:axId val="1631546095"/>
        <c:axId val="1617336415"/>
      </c:barChart>
      <c:catAx>
        <c:axId val="16315460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17336415"/>
        <c:crosses val="autoZero"/>
        <c:auto val="1"/>
        <c:lblAlgn val="ctr"/>
        <c:lblOffset val="100"/>
        <c:noMultiLvlLbl val="0"/>
      </c:catAx>
      <c:valAx>
        <c:axId val="1617336415"/>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460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3"/>
          <c:order val="0"/>
          <c:tx>
            <c:strRef>
              <c:f>'[Charts unprotected.xlsx]Sheet8'!$E$1</c:f>
              <c:strCache>
                <c:ptCount val="1"/>
                <c:pt idx="0">
                  <c:v>% women, lower quarter</c:v>
                </c:pt>
              </c:strCache>
            </c:strRef>
          </c:tx>
          <c:spPr>
            <a:ln w="28575" cap="rnd">
              <a:solidFill>
                <a:srgbClr val="33CCFF"/>
              </a:solidFill>
              <a:round/>
            </a:ln>
            <a:effectLst/>
          </c:spPr>
          <c:marker>
            <c:symbol val="none"/>
          </c:marker>
          <c:cat>
            <c:numRef>
              <c:f>'[Charts unprotected.xlsx]Sheet8'!$A$2:$A$8</c:f>
              <c:numCache>
                <c:formatCode>General</c:formatCode>
                <c:ptCount val="7"/>
                <c:pt idx="0">
                  <c:v>2017</c:v>
                </c:pt>
                <c:pt idx="1">
                  <c:v>2018</c:v>
                </c:pt>
                <c:pt idx="2">
                  <c:v>2019</c:v>
                </c:pt>
                <c:pt idx="3">
                  <c:v>2020</c:v>
                </c:pt>
                <c:pt idx="4">
                  <c:v>2021</c:v>
                </c:pt>
                <c:pt idx="5">
                  <c:v>2022</c:v>
                </c:pt>
                <c:pt idx="6">
                  <c:v>2023</c:v>
                </c:pt>
              </c:numCache>
            </c:numRef>
          </c:cat>
          <c:val>
            <c:numRef>
              <c:f>'[Charts unprotected.xlsx]Sheet8'!$E$2:$E$8</c:f>
              <c:numCache>
                <c:formatCode>0.0%</c:formatCode>
                <c:ptCount val="7"/>
                <c:pt idx="0">
                  <c:v>0.84399999999999997</c:v>
                </c:pt>
                <c:pt idx="1">
                  <c:v>0.84899999999999998</c:v>
                </c:pt>
                <c:pt idx="2">
                  <c:v>0.84699999999999998</c:v>
                </c:pt>
                <c:pt idx="3">
                  <c:v>0.85</c:v>
                </c:pt>
                <c:pt idx="4">
                  <c:v>0.79300000000000004</c:v>
                </c:pt>
                <c:pt idx="5">
                  <c:v>0.79500000000000004</c:v>
                </c:pt>
                <c:pt idx="6">
                  <c:v>0.77</c:v>
                </c:pt>
              </c:numCache>
            </c:numRef>
          </c:val>
          <c:smooth val="0"/>
          <c:extLst>
            <c:ext xmlns:c16="http://schemas.microsoft.com/office/drawing/2014/chart" uri="{C3380CC4-5D6E-409C-BE32-E72D297353CC}">
              <c16:uniqueId val="{00000000-5005-4FF4-981B-70CE423CDE0E}"/>
            </c:ext>
          </c:extLst>
        </c:ser>
        <c:ser>
          <c:idx val="2"/>
          <c:order val="1"/>
          <c:tx>
            <c:strRef>
              <c:f>'[Charts unprotected.xlsx]Sheet8'!$D$1</c:f>
              <c:strCache>
                <c:ptCount val="1"/>
                <c:pt idx="0">
                  <c:v>% women, lower-middle quarter</c:v>
                </c:pt>
              </c:strCache>
            </c:strRef>
          </c:tx>
          <c:spPr>
            <a:ln w="28575" cap="rnd">
              <a:solidFill>
                <a:schemeClr val="accent3"/>
              </a:solidFill>
              <a:round/>
            </a:ln>
            <a:effectLst/>
          </c:spPr>
          <c:marker>
            <c:symbol val="none"/>
          </c:marker>
          <c:cat>
            <c:numRef>
              <c:f>'[Charts unprotected.xlsx]Sheet8'!$A$2:$A$8</c:f>
              <c:numCache>
                <c:formatCode>General</c:formatCode>
                <c:ptCount val="7"/>
                <c:pt idx="0">
                  <c:v>2017</c:v>
                </c:pt>
                <c:pt idx="1">
                  <c:v>2018</c:v>
                </c:pt>
                <c:pt idx="2">
                  <c:v>2019</c:v>
                </c:pt>
                <c:pt idx="3">
                  <c:v>2020</c:v>
                </c:pt>
                <c:pt idx="4">
                  <c:v>2021</c:v>
                </c:pt>
                <c:pt idx="5">
                  <c:v>2022</c:v>
                </c:pt>
                <c:pt idx="6">
                  <c:v>2023</c:v>
                </c:pt>
              </c:numCache>
            </c:numRef>
          </c:cat>
          <c:val>
            <c:numRef>
              <c:f>'[Charts unprotected.xlsx]Sheet8'!$D$2:$D$8</c:f>
              <c:numCache>
                <c:formatCode>0.0%</c:formatCode>
                <c:ptCount val="7"/>
                <c:pt idx="0">
                  <c:v>0.79200000000000004</c:v>
                </c:pt>
                <c:pt idx="1">
                  <c:v>0.76800000000000002</c:v>
                </c:pt>
                <c:pt idx="2">
                  <c:v>0.77500000000000002</c:v>
                </c:pt>
                <c:pt idx="3">
                  <c:v>0.77</c:v>
                </c:pt>
                <c:pt idx="4">
                  <c:v>0.76300000000000001</c:v>
                </c:pt>
                <c:pt idx="5">
                  <c:v>0.72799999999999998</c:v>
                </c:pt>
                <c:pt idx="6">
                  <c:v>0.754</c:v>
                </c:pt>
              </c:numCache>
            </c:numRef>
          </c:val>
          <c:smooth val="0"/>
          <c:extLst>
            <c:ext xmlns:c16="http://schemas.microsoft.com/office/drawing/2014/chart" uri="{C3380CC4-5D6E-409C-BE32-E72D297353CC}">
              <c16:uniqueId val="{00000001-5005-4FF4-981B-70CE423CDE0E}"/>
            </c:ext>
          </c:extLst>
        </c:ser>
        <c:ser>
          <c:idx val="1"/>
          <c:order val="2"/>
          <c:tx>
            <c:strRef>
              <c:f>'[Charts unprotected.xlsx]Sheet8'!$C$1</c:f>
              <c:strCache>
                <c:ptCount val="1"/>
                <c:pt idx="0">
                  <c:v>% women, middle-upper quarter</c:v>
                </c:pt>
              </c:strCache>
            </c:strRef>
          </c:tx>
          <c:spPr>
            <a:ln w="28575" cap="rnd">
              <a:solidFill>
                <a:srgbClr val="00E3B8"/>
              </a:solidFill>
              <a:round/>
            </a:ln>
            <a:effectLst/>
          </c:spPr>
          <c:marker>
            <c:symbol val="none"/>
          </c:marker>
          <c:cat>
            <c:numRef>
              <c:f>'[Charts unprotected.xlsx]Sheet8'!$A$2:$A$8</c:f>
              <c:numCache>
                <c:formatCode>General</c:formatCode>
                <c:ptCount val="7"/>
                <c:pt idx="0">
                  <c:v>2017</c:v>
                </c:pt>
                <c:pt idx="1">
                  <c:v>2018</c:v>
                </c:pt>
                <c:pt idx="2">
                  <c:v>2019</c:v>
                </c:pt>
                <c:pt idx="3">
                  <c:v>2020</c:v>
                </c:pt>
                <c:pt idx="4">
                  <c:v>2021</c:v>
                </c:pt>
                <c:pt idx="5">
                  <c:v>2022</c:v>
                </c:pt>
                <c:pt idx="6">
                  <c:v>2023</c:v>
                </c:pt>
              </c:numCache>
            </c:numRef>
          </c:cat>
          <c:val>
            <c:numRef>
              <c:f>'[Charts unprotected.xlsx]Sheet8'!$C$2:$C$8</c:f>
              <c:numCache>
                <c:formatCode>0.0%</c:formatCode>
                <c:ptCount val="7"/>
                <c:pt idx="0">
                  <c:v>0.77100000000000002</c:v>
                </c:pt>
                <c:pt idx="1">
                  <c:v>0.78100000000000003</c:v>
                </c:pt>
                <c:pt idx="2">
                  <c:v>0.78100000000000003</c:v>
                </c:pt>
                <c:pt idx="3">
                  <c:v>0.77700000000000002</c:v>
                </c:pt>
                <c:pt idx="4">
                  <c:v>0.749</c:v>
                </c:pt>
                <c:pt idx="5">
                  <c:v>0.77200000000000002</c:v>
                </c:pt>
                <c:pt idx="6">
                  <c:v>0.73499999999999999</c:v>
                </c:pt>
              </c:numCache>
            </c:numRef>
          </c:val>
          <c:smooth val="0"/>
          <c:extLst>
            <c:ext xmlns:c16="http://schemas.microsoft.com/office/drawing/2014/chart" uri="{C3380CC4-5D6E-409C-BE32-E72D297353CC}">
              <c16:uniqueId val="{00000002-5005-4FF4-981B-70CE423CDE0E}"/>
            </c:ext>
          </c:extLst>
        </c:ser>
        <c:ser>
          <c:idx val="0"/>
          <c:order val="3"/>
          <c:tx>
            <c:strRef>
              <c:f>'[Charts unprotected.xlsx]Sheet8'!$B$1</c:f>
              <c:strCache>
                <c:ptCount val="1"/>
                <c:pt idx="0">
                  <c:v>% women, upper quarter</c:v>
                </c:pt>
              </c:strCache>
            </c:strRef>
          </c:tx>
          <c:spPr>
            <a:ln w="28575" cap="rnd">
              <a:solidFill>
                <a:srgbClr val="5C00D6"/>
              </a:solidFill>
              <a:round/>
            </a:ln>
            <a:effectLst/>
          </c:spPr>
          <c:marker>
            <c:symbol val="none"/>
          </c:marker>
          <c:cat>
            <c:numRef>
              <c:f>'[Charts unprotected.xlsx]Sheet8'!$A$2:$A$8</c:f>
              <c:numCache>
                <c:formatCode>General</c:formatCode>
                <c:ptCount val="7"/>
                <c:pt idx="0">
                  <c:v>2017</c:v>
                </c:pt>
                <c:pt idx="1">
                  <c:v>2018</c:v>
                </c:pt>
                <c:pt idx="2">
                  <c:v>2019</c:v>
                </c:pt>
                <c:pt idx="3">
                  <c:v>2020</c:v>
                </c:pt>
                <c:pt idx="4">
                  <c:v>2021</c:v>
                </c:pt>
                <c:pt idx="5">
                  <c:v>2022</c:v>
                </c:pt>
                <c:pt idx="6">
                  <c:v>2023</c:v>
                </c:pt>
              </c:numCache>
            </c:numRef>
          </c:cat>
          <c:val>
            <c:numRef>
              <c:f>'[Charts unprotected.xlsx]Sheet8'!$B$2:$B$8</c:f>
              <c:numCache>
                <c:formatCode>0.0%</c:formatCode>
                <c:ptCount val="7"/>
                <c:pt idx="0">
                  <c:v>0.64400000000000002</c:v>
                </c:pt>
                <c:pt idx="1">
                  <c:v>0.67100000000000004</c:v>
                </c:pt>
                <c:pt idx="2">
                  <c:v>0.67300000000000004</c:v>
                </c:pt>
                <c:pt idx="3">
                  <c:v>0.65</c:v>
                </c:pt>
                <c:pt idx="4">
                  <c:v>0.68500000000000005</c:v>
                </c:pt>
                <c:pt idx="5">
                  <c:v>0.67400000000000004</c:v>
                </c:pt>
                <c:pt idx="6">
                  <c:v>0.67700000000000005</c:v>
                </c:pt>
              </c:numCache>
            </c:numRef>
          </c:val>
          <c:smooth val="0"/>
          <c:extLst>
            <c:ext xmlns:c16="http://schemas.microsoft.com/office/drawing/2014/chart" uri="{C3380CC4-5D6E-409C-BE32-E72D297353CC}">
              <c16:uniqueId val="{00000003-5005-4FF4-981B-70CE423CDE0E}"/>
            </c:ext>
          </c:extLst>
        </c:ser>
        <c:dLbls>
          <c:showLegendKey val="0"/>
          <c:showVal val="0"/>
          <c:showCatName val="0"/>
          <c:showSerName val="0"/>
          <c:showPercent val="0"/>
          <c:showBubbleSize val="0"/>
        </c:dLbls>
        <c:smooth val="0"/>
        <c:axId val="1043274000"/>
        <c:axId val="1150329647"/>
      </c:lineChart>
      <c:catAx>
        <c:axId val="1043274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329647"/>
        <c:crosses val="autoZero"/>
        <c:auto val="1"/>
        <c:lblAlgn val="ctr"/>
        <c:lblOffset val="100"/>
        <c:noMultiLvlLbl val="0"/>
      </c:catAx>
      <c:valAx>
        <c:axId val="1150329647"/>
        <c:scaling>
          <c:orientation val="minMax"/>
          <c:min val="0.60000000000000009"/>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043274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'[Charts unprotected.xlsx]Charts'!$B$202</c:f>
              <c:strCache>
                <c:ptCount val="1"/>
                <c:pt idx="0">
                  <c:v>% of men</c:v>
                </c:pt>
              </c:strCache>
            </c:strRef>
          </c:tx>
          <c:spPr>
            <a:solidFill>
              <a:srgbClr val="33CCFF"/>
            </a:solidFill>
            <a:ln>
              <a:noFill/>
            </a:ln>
            <a:effectLst/>
          </c:spPr>
          <c:invertIfNegative val="0"/>
          <c:cat>
            <c:strRef>
              <c:f>'[Charts unprotected.xlsx]Charts'!$A$203:$A$230</c:f>
              <c:strCache>
                <c:ptCount val="28"/>
                <c:pt idx="0">
                  <c:v>Less than £11.00</c:v>
                </c:pt>
                <c:pt idx="1">
                  <c:v>£11.00-£12.71</c:v>
                </c:pt>
                <c:pt idx="2">
                  <c:v>£12.72-£14.43</c:v>
                </c:pt>
                <c:pt idx="3">
                  <c:v>£14.44-£16.15</c:v>
                </c:pt>
                <c:pt idx="4">
                  <c:v>£16.16-£17.87</c:v>
                </c:pt>
                <c:pt idx="5">
                  <c:v>£17.88-£19.59</c:v>
                </c:pt>
                <c:pt idx="6">
                  <c:v>£19.60-£21.31</c:v>
                </c:pt>
                <c:pt idx="7">
                  <c:v>£21.32-£23.03</c:v>
                </c:pt>
                <c:pt idx="8">
                  <c:v>£23.04-£24.75</c:v>
                </c:pt>
                <c:pt idx="9">
                  <c:v>£24.76-£26.47</c:v>
                </c:pt>
                <c:pt idx="10">
                  <c:v>£26.48-£28.19</c:v>
                </c:pt>
                <c:pt idx="11">
                  <c:v>£28.20-£29.91</c:v>
                </c:pt>
                <c:pt idx="12">
                  <c:v>£29.92-£31.63</c:v>
                </c:pt>
                <c:pt idx="13">
                  <c:v>£31.64-£33.35</c:v>
                </c:pt>
                <c:pt idx="14">
                  <c:v>£33.36-£35.07</c:v>
                </c:pt>
                <c:pt idx="15">
                  <c:v>£35.08-£37.69</c:v>
                </c:pt>
                <c:pt idx="16">
                  <c:v>£36.80-£38.51</c:v>
                </c:pt>
                <c:pt idx="17">
                  <c:v>£38.52-£40.23</c:v>
                </c:pt>
                <c:pt idx="18">
                  <c:v>£40.24-£41.95</c:v>
                </c:pt>
                <c:pt idx="19">
                  <c:v>£41.96-£43.67</c:v>
                </c:pt>
                <c:pt idx="20">
                  <c:v>£43.68-£45.39</c:v>
                </c:pt>
                <c:pt idx="21">
                  <c:v>£45.40-£47.11</c:v>
                </c:pt>
                <c:pt idx="22">
                  <c:v>£47.12-£48.83</c:v>
                </c:pt>
                <c:pt idx="23">
                  <c:v>£48.84-£50.55</c:v>
                </c:pt>
                <c:pt idx="24">
                  <c:v>£50.56-£52.27</c:v>
                </c:pt>
                <c:pt idx="25">
                  <c:v>£52.28-£53.99</c:v>
                </c:pt>
                <c:pt idx="26">
                  <c:v>£54.00-£55.71</c:v>
                </c:pt>
                <c:pt idx="27">
                  <c:v>£55.72 and more</c:v>
                </c:pt>
              </c:strCache>
            </c:strRef>
          </c:cat>
          <c:val>
            <c:numRef>
              <c:f>'[Charts unprotected.xlsx]Charts'!$B$203:$B$230</c:f>
              <c:numCache>
                <c:formatCode>0.0%</c:formatCode>
                <c:ptCount val="28"/>
                <c:pt idx="0">
                  <c:v>1.0169491525423728E-2</c:v>
                </c:pt>
                <c:pt idx="1">
                  <c:v>0.16610169491525423</c:v>
                </c:pt>
                <c:pt idx="2">
                  <c:v>0.16949152542372881</c:v>
                </c:pt>
                <c:pt idx="3">
                  <c:v>4.9152542372881351E-2</c:v>
                </c:pt>
                <c:pt idx="4">
                  <c:v>7.796610169491526E-2</c:v>
                </c:pt>
                <c:pt idx="5">
                  <c:v>3.2203389830508473E-2</c:v>
                </c:pt>
                <c:pt idx="6">
                  <c:v>0.10169491525423728</c:v>
                </c:pt>
                <c:pt idx="7">
                  <c:v>4.9152542372881351E-2</c:v>
                </c:pt>
                <c:pt idx="8">
                  <c:v>5.084745762711864E-2</c:v>
                </c:pt>
                <c:pt idx="9">
                  <c:v>5.254237288135593E-2</c:v>
                </c:pt>
                <c:pt idx="10">
                  <c:v>2.8813559322033899E-2</c:v>
                </c:pt>
                <c:pt idx="11">
                  <c:v>2.7118644067796609E-2</c:v>
                </c:pt>
                <c:pt idx="12">
                  <c:v>1.1864406779661017E-2</c:v>
                </c:pt>
                <c:pt idx="13">
                  <c:v>1.6949152542372881E-3</c:v>
                </c:pt>
                <c:pt idx="14">
                  <c:v>3.3898305084745763E-2</c:v>
                </c:pt>
                <c:pt idx="15">
                  <c:v>3.3898305084745762E-3</c:v>
                </c:pt>
                <c:pt idx="16">
                  <c:v>0</c:v>
                </c:pt>
                <c:pt idx="17">
                  <c:v>2.8813559322033899E-2</c:v>
                </c:pt>
                <c:pt idx="18">
                  <c:v>1.1864406779661017E-2</c:v>
                </c:pt>
                <c:pt idx="19">
                  <c:v>3.3898305084745762E-3</c:v>
                </c:pt>
                <c:pt idx="20">
                  <c:v>3.3898305084745762E-3</c:v>
                </c:pt>
                <c:pt idx="21">
                  <c:v>3.3898305084745762E-3</c:v>
                </c:pt>
                <c:pt idx="22">
                  <c:v>8.4745762711864406E-3</c:v>
                </c:pt>
                <c:pt idx="23">
                  <c:v>3.3898305084745762E-3</c:v>
                </c:pt>
                <c:pt idx="24">
                  <c:v>1.6949152542372881E-3</c:v>
                </c:pt>
                <c:pt idx="25">
                  <c:v>1.3559322033898305E-2</c:v>
                </c:pt>
                <c:pt idx="26">
                  <c:v>1.1864406779661017E-2</c:v>
                </c:pt>
                <c:pt idx="27">
                  <c:v>4.4067796610169491E-2</c:v>
                </c:pt>
              </c:numCache>
            </c:numRef>
          </c:val>
          <c:extLst>
            <c:ext xmlns:c16="http://schemas.microsoft.com/office/drawing/2014/chart" uri="{C3380CC4-5D6E-409C-BE32-E72D297353CC}">
              <c16:uniqueId val="{00000000-0C5B-4F3E-852F-F60AE5A65FD0}"/>
            </c:ext>
          </c:extLst>
        </c:ser>
        <c:ser>
          <c:idx val="1"/>
          <c:order val="1"/>
          <c:tx>
            <c:strRef>
              <c:f>'[Charts unprotected.xlsx]Charts'!$C$202</c:f>
              <c:strCache>
                <c:ptCount val="1"/>
                <c:pt idx="0">
                  <c:v>% of women</c:v>
                </c:pt>
              </c:strCache>
            </c:strRef>
          </c:tx>
          <c:spPr>
            <a:solidFill>
              <a:schemeClr val="accent3"/>
            </a:solidFill>
            <a:ln>
              <a:noFill/>
            </a:ln>
            <a:effectLst/>
          </c:spPr>
          <c:invertIfNegative val="0"/>
          <c:cat>
            <c:strRef>
              <c:f>'[Charts unprotected.xlsx]Charts'!$A$203:$A$230</c:f>
              <c:strCache>
                <c:ptCount val="28"/>
                <c:pt idx="0">
                  <c:v>Less than £11.00</c:v>
                </c:pt>
                <c:pt idx="1">
                  <c:v>£11.00-£12.71</c:v>
                </c:pt>
                <c:pt idx="2">
                  <c:v>£12.72-£14.43</c:v>
                </c:pt>
                <c:pt idx="3">
                  <c:v>£14.44-£16.15</c:v>
                </c:pt>
                <c:pt idx="4">
                  <c:v>£16.16-£17.87</c:v>
                </c:pt>
                <c:pt idx="5">
                  <c:v>£17.88-£19.59</c:v>
                </c:pt>
                <c:pt idx="6">
                  <c:v>£19.60-£21.31</c:v>
                </c:pt>
                <c:pt idx="7">
                  <c:v>£21.32-£23.03</c:v>
                </c:pt>
                <c:pt idx="8">
                  <c:v>£23.04-£24.75</c:v>
                </c:pt>
                <c:pt idx="9">
                  <c:v>£24.76-£26.47</c:v>
                </c:pt>
                <c:pt idx="10">
                  <c:v>£26.48-£28.19</c:v>
                </c:pt>
                <c:pt idx="11">
                  <c:v>£28.20-£29.91</c:v>
                </c:pt>
                <c:pt idx="12">
                  <c:v>£29.92-£31.63</c:v>
                </c:pt>
                <c:pt idx="13">
                  <c:v>£31.64-£33.35</c:v>
                </c:pt>
                <c:pt idx="14">
                  <c:v>£33.36-£35.07</c:v>
                </c:pt>
                <c:pt idx="15">
                  <c:v>£35.08-£37.69</c:v>
                </c:pt>
                <c:pt idx="16">
                  <c:v>£36.80-£38.51</c:v>
                </c:pt>
                <c:pt idx="17">
                  <c:v>£38.52-£40.23</c:v>
                </c:pt>
                <c:pt idx="18">
                  <c:v>£40.24-£41.95</c:v>
                </c:pt>
                <c:pt idx="19">
                  <c:v>£41.96-£43.67</c:v>
                </c:pt>
                <c:pt idx="20">
                  <c:v>£43.68-£45.39</c:v>
                </c:pt>
                <c:pt idx="21">
                  <c:v>£45.40-£47.11</c:v>
                </c:pt>
                <c:pt idx="22">
                  <c:v>£47.12-£48.83</c:v>
                </c:pt>
                <c:pt idx="23">
                  <c:v>£48.84-£50.55</c:v>
                </c:pt>
                <c:pt idx="24">
                  <c:v>£50.56-£52.27</c:v>
                </c:pt>
                <c:pt idx="25">
                  <c:v>£52.28-£53.99</c:v>
                </c:pt>
                <c:pt idx="26">
                  <c:v>£54.00-£55.71</c:v>
                </c:pt>
                <c:pt idx="27">
                  <c:v>£55.72 and more</c:v>
                </c:pt>
              </c:strCache>
            </c:strRef>
          </c:cat>
          <c:val>
            <c:numRef>
              <c:f>'[Charts unprotected.xlsx]Charts'!$C$203:$C$230</c:f>
              <c:numCache>
                <c:formatCode>0.0%</c:formatCode>
                <c:ptCount val="28"/>
                <c:pt idx="0">
                  <c:v>1.6463414634146342E-2</c:v>
                </c:pt>
                <c:pt idx="1">
                  <c:v>0.20914634146341463</c:v>
                </c:pt>
                <c:pt idx="2">
                  <c:v>0.17378048780487804</c:v>
                </c:pt>
                <c:pt idx="3">
                  <c:v>4.5121951219512194E-2</c:v>
                </c:pt>
                <c:pt idx="4">
                  <c:v>9.451219512195122E-2</c:v>
                </c:pt>
                <c:pt idx="5">
                  <c:v>2.8658536585365851E-2</c:v>
                </c:pt>
                <c:pt idx="6">
                  <c:v>9.3902439024390244E-2</c:v>
                </c:pt>
                <c:pt idx="7">
                  <c:v>6.1585365853658536E-2</c:v>
                </c:pt>
                <c:pt idx="8">
                  <c:v>5.7317073170731703E-2</c:v>
                </c:pt>
                <c:pt idx="9">
                  <c:v>6.2804878048780488E-2</c:v>
                </c:pt>
                <c:pt idx="10">
                  <c:v>2.3780487804878049E-2</c:v>
                </c:pt>
                <c:pt idx="11">
                  <c:v>2.3170731707317073E-2</c:v>
                </c:pt>
                <c:pt idx="12">
                  <c:v>3.0487804878048782E-3</c:v>
                </c:pt>
                <c:pt idx="13">
                  <c:v>2.4390243902439024E-3</c:v>
                </c:pt>
                <c:pt idx="14">
                  <c:v>2.7439024390243903E-2</c:v>
                </c:pt>
                <c:pt idx="15">
                  <c:v>3.6585365853658534E-3</c:v>
                </c:pt>
                <c:pt idx="16">
                  <c:v>2.4390243902439024E-3</c:v>
                </c:pt>
                <c:pt idx="17">
                  <c:v>1.3414634146341463E-2</c:v>
                </c:pt>
                <c:pt idx="18">
                  <c:v>9.1463414634146336E-3</c:v>
                </c:pt>
                <c:pt idx="19">
                  <c:v>0</c:v>
                </c:pt>
                <c:pt idx="20">
                  <c:v>3.6585365853658534E-3</c:v>
                </c:pt>
                <c:pt idx="21">
                  <c:v>5.4878048780487802E-3</c:v>
                </c:pt>
                <c:pt idx="22">
                  <c:v>7.926829268292683E-3</c:v>
                </c:pt>
                <c:pt idx="23">
                  <c:v>0</c:v>
                </c:pt>
                <c:pt idx="24">
                  <c:v>2.4390243902439024E-3</c:v>
                </c:pt>
                <c:pt idx="25">
                  <c:v>3.6585365853658534E-3</c:v>
                </c:pt>
                <c:pt idx="26">
                  <c:v>5.4878048780487802E-3</c:v>
                </c:pt>
                <c:pt idx="27">
                  <c:v>1.9512195121951219E-2</c:v>
                </c:pt>
              </c:numCache>
            </c:numRef>
          </c:val>
          <c:extLst>
            <c:ext xmlns:c16="http://schemas.microsoft.com/office/drawing/2014/chart" uri="{C3380CC4-5D6E-409C-BE32-E72D297353CC}">
              <c16:uniqueId val="{00000001-0C5B-4F3E-852F-F60AE5A65FD0}"/>
            </c:ext>
          </c:extLst>
        </c:ser>
        <c:dLbls>
          <c:showLegendKey val="0"/>
          <c:showVal val="0"/>
          <c:showCatName val="0"/>
          <c:showSerName val="0"/>
          <c:showPercent val="0"/>
          <c:showBubbleSize val="0"/>
        </c:dLbls>
        <c:gapWidth val="219"/>
        <c:overlap val="-27"/>
        <c:axId val="419086880"/>
        <c:axId val="1616697408"/>
      </c:barChart>
      <c:catAx>
        <c:axId val="419086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Hourly pay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quot;£&quot;#,##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16697408"/>
        <c:crosses val="autoZero"/>
        <c:auto val="1"/>
        <c:lblAlgn val="ctr"/>
        <c:lblOffset val="100"/>
        <c:noMultiLvlLbl val="0"/>
      </c:catAx>
      <c:valAx>
        <c:axId val="1616697408"/>
        <c:scaling>
          <c:orientation val="minMax"/>
          <c:max val="0.22000000000000003"/>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a:t>
                </a:r>
                <a:r>
                  <a:rPr lang="en-GB" baseline="0"/>
                  <a:t> staff</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419086880"/>
        <c:crosses val="autoZero"/>
        <c:crossBetween val="between"/>
        <c:majorUnit val="2.5000000000000005E-2"/>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 unprotected.xlsx]Charts'!$B$68</c:f>
              <c:strCache>
                <c:ptCount val="1"/>
                <c:pt idx="0">
                  <c:v>Mean gender pay gap</c:v>
                </c:pt>
              </c:strCache>
            </c:strRef>
          </c:tx>
          <c:spPr>
            <a:solidFill>
              <a:srgbClr val="5C00D6"/>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unprotected.xlsx]Charts'!$A$69:$A$78</c:f>
              <c:strCache>
                <c:ptCount val="10"/>
                <c:pt idx="0">
                  <c:v>2</c:v>
                </c:pt>
                <c:pt idx="1">
                  <c:v>3</c:v>
                </c:pt>
                <c:pt idx="2">
                  <c:v>4</c:v>
                </c:pt>
                <c:pt idx="3">
                  <c:v>5</c:v>
                </c:pt>
                <c:pt idx="4">
                  <c:v>6</c:v>
                </c:pt>
                <c:pt idx="5">
                  <c:v>7</c:v>
                </c:pt>
                <c:pt idx="6">
                  <c:v>8</c:v>
                </c:pt>
                <c:pt idx="7">
                  <c:v>9</c:v>
                </c:pt>
                <c:pt idx="8">
                  <c:v>10</c:v>
                </c:pt>
                <c:pt idx="9">
                  <c:v>All</c:v>
                </c:pt>
              </c:strCache>
            </c:strRef>
          </c:cat>
          <c:val>
            <c:numRef>
              <c:f>'[Charts unprotected.xlsx]Charts'!$B$69:$B$78</c:f>
              <c:numCache>
                <c:formatCode>0.0%</c:formatCode>
                <c:ptCount val="10"/>
                <c:pt idx="0">
                  <c:v>8.9999999999999993E-3</c:v>
                </c:pt>
                <c:pt idx="1">
                  <c:v>5.0000000000000001E-3</c:v>
                </c:pt>
                <c:pt idx="2">
                  <c:v>-1.0999999999999999E-2</c:v>
                </c:pt>
                <c:pt idx="3">
                  <c:v>-2.5000000000000001E-2</c:v>
                </c:pt>
                <c:pt idx="4">
                  <c:v>-2.5000000000000001E-2</c:v>
                </c:pt>
                <c:pt idx="5">
                  <c:v>1.6E-2</c:v>
                </c:pt>
                <c:pt idx="6">
                  <c:v>3.3000000000000002E-2</c:v>
                </c:pt>
                <c:pt idx="7">
                  <c:v>0.123</c:v>
                </c:pt>
                <c:pt idx="8">
                  <c:v>-4.3999999999999997E-2</c:v>
                </c:pt>
                <c:pt idx="9">
                  <c:v>0.13800000000000001</c:v>
                </c:pt>
              </c:numCache>
            </c:numRef>
          </c:val>
          <c:extLst>
            <c:ext xmlns:c16="http://schemas.microsoft.com/office/drawing/2014/chart" uri="{C3380CC4-5D6E-409C-BE32-E72D297353CC}">
              <c16:uniqueId val="{00000000-692B-4591-AB9C-1249B48E9B81}"/>
            </c:ext>
          </c:extLst>
        </c:ser>
        <c:ser>
          <c:idx val="1"/>
          <c:order val="1"/>
          <c:tx>
            <c:strRef>
              <c:f>'[Charts unprotected.xlsx]Charts'!$C$68</c:f>
              <c:strCache>
                <c:ptCount val="1"/>
                <c:pt idx="0">
                  <c:v>Median gender pay gap</c:v>
                </c:pt>
              </c:strCache>
            </c:strRef>
          </c:tx>
          <c:spPr>
            <a:solidFill>
              <a:srgbClr val="00E3B8"/>
            </a:solidFill>
            <a:ln>
              <a:no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unprotected.xlsx]Charts'!$A$69:$A$78</c:f>
              <c:strCache>
                <c:ptCount val="10"/>
                <c:pt idx="0">
                  <c:v>2</c:v>
                </c:pt>
                <c:pt idx="1">
                  <c:v>3</c:v>
                </c:pt>
                <c:pt idx="2">
                  <c:v>4</c:v>
                </c:pt>
                <c:pt idx="3">
                  <c:v>5</c:v>
                </c:pt>
                <c:pt idx="4">
                  <c:v>6</c:v>
                </c:pt>
                <c:pt idx="5">
                  <c:v>7</c:v>
                </c:pt>
                <c:pt idx="6">
                  <c:v>8</c:v>
                </c:pt>
                <c:pt idx="7">
                  <c:v>9</c:v>
                </c:pt>
                <c:pt idx="8">
                  <c:v>10</c:v>
                </c:pt>
                <c:pt idx="9">
                  <c:v>All</c:v>
                </c:pt>
              </c:strCache>
            </c:strRef>
          </c:cat>
          <c:val>
            <c:numRef>
              <c:f>'[Charts unprotected.xlsx]Charts'!$C$69:$C$78</c:f>
              <c:numCache>
                <c:formatCode>0.0%</c:formatCode>
                <c:ptCount val="10"/>
                <c:pt idx="0" formatCode="0.00%">
                  <c:v>2.4E-2</c:v>
                </c:pt>
                <c:pt idx="1">
                  <c:v>-3.3000000000000002E-2</c:v>
                </c:pt>
                <c:pt idx="2">
                  <c:v>-4.2000000000000003E-2</c:v>
                </c:pt>
                <c:pt idx="3">
                  <c:v>-7.9000000000000001E-2</c:v>
                </c:pt>
                <c:pt idx="4">
                  <c:v>0</c:v>
                </c:pt>
                <c:pt idx="5">
                  <c:v>0</c:v>
                </c:pt>
                <c:pt idx="6">
                  <c:v>8.4000000000000005E-2</c:v>
                </c:pt>
                <c:pt idx="7">
                  <c:v>5.0999999999999997E-2</c:v>
                </c:pt>
                <c:pt idx="8">
                  <c:v>0</c:v>
                </c:pt>
                <c:pt idx="9">
                  <c:v>6.4000000000000001E-2</c:v>
                </c:pt>
              </c:numCache>
            </c:numRef>
          </c:val>
          <c:extLst>
            <c:ext xmlns:c16="http://schemas.microsoft.com/office/drawing/2014/chart" uri="{C3380CC4-5D6E-409C-BE32-E72D297353CC}">
              <c16:uniqueId val="{00000001-692B-4591-AB9C-1249B48E9B81}"/>
            </c:ext>
          </c:extLst>
        </c:ser>
        <c:dLbls>
          <c:dLblPos val="outEnd"/>
          <c:showLegendKey val="0"/>
          <c:showVal val="1"/>
          <c:showCatName val="0"/>
          <c:showSerName val="0"/>
          <c:showPercent val="0"/>
          <c:showBubbleSize val="0"/>
        </c:dLbls>
        <c:gapWidth val="219"/>
        <c:overlap val="-27"/>
        <c:axId val="1631548975"/>
        <c:axId val="1609350607"/>
      </c:barChart>
      <c:catAx>
        <c:axId val="163154897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Pay band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09350607"/>
        <c:crosses val="autoZero"/>
        <c:auto val="1"/>
        <c:lblAlgn val="ctr"/>
        <c:lblOffset val="100"/>
        <c:noMultiLvlLbl val="0"/>
      </c:catAx>
      <c:valAx>
        <c:axId val="1609350607"/>
        <c:scaling>
          <c:orientation val="minMax"/>
          <c:max val="0.2"/>
          <c:min val="-0.1500000000000000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489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IBM Plex Sans" panose="020B0503050203000203"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'[Charts unprotected.xlsx]Charts'!$B$84</c:f>
              <c:strCache>
                <c:ptCount val="1"/>
                <c:pt idx="0">
                  <c:v>Men</c:v>
                </c:pt>
              </c:strCache>
            </c:strRef>
          </c:tx>
          <c:spPr>
            <a:solidFill>
              <a:srgbClr val="33CCFF"/>
            </a:solidFill>
            <a:ln>
              <a:noFill/>
            </a:ln>
            <a:effectLst/>
          </c:spPr>
          <c:invertIfNegative val="0"/>
          <c:dLbls>
            <c:dLbl>
              <c:idx val="0"/>
              <c:layout>
                <c:manualLayout>
                  <c:x val="0"/>
                  <c:y val="-7.0873659472516129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CA-446C-B82C-DF75A5FE7C4D}"/>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unprotected.xlsx]Charts'!$A$85:$A$94</c:f>
              <c:strCache>
                <c:ptCount val="10"/>
                <c:pt idx="0">
                  <c:v>2</c:v>
                </c:pt>
                <c:pt idx="1">
                  <c:v>3</c:v>
                </c:pt>
                <c:pt idx="2">
                  <c:v>4</c:v>
                </c:pt>
                <c:pt idx="3">
                  <c:v>5</c:v>
                </c:pt>
                <c:pt idx="4">
                  <c:v>6</c:v>
                </c:pt>
                <c:pt idx="5">
                  <c:v>7</c:v>
                </c:pt>
                <c:pt idx="6">
                  <c:v>8</c:v>
                </c:pt>
                <c:pt idx="7">
                  <c:v>9</c:v>
                </c:pt>
                <c:pt idx="8">
                  <c:v>10</c:v>
                </c:pt>
                <c:pt idx="9">
                  <c:v>All</c:v>
                </c:pt>
              </c:strCache>
            </c:strRef>
          </c:cat>
          <c:val>
            <c:numRef>
              <c:f>'[Charts unprotected.xlsx]Charts'!$B$85:$B$94</c:f>
              <c:numCache>
                <c:formatCode>0%</c:formatCode>
                <c:ptCount val="10"/>
                <c:pt idx="0">
                  <c:v>0.06</c:v>
                </c:pt>
                <c:pt idx="1">
                  <c:v>0.21</c:v>
                </c:pt>
                <c:pt idx="2">
                  <c:v>0.23</c:v>
                </c:pt>
                <c:pt idx="3">
                  <c:v>0.26</c:v>
                </c:pt>
                <c:pt idx="4">
                  <c:v>0.26</c:v>
                </c:pt>
                <c:pt idx="5">
                  <c:v>0.28999999999999998</c:v>
                </c:pt>
                <c:pt idx="6">
                  <c:v>0.27</c:v>
                </c:pt>
                <c:pt idx="7">
                  <c:v>0.4</c:v>
                </c:pt>
                <c:pt idx="8">
                  <c:v>0.38</c:v>
                </c:pt>
                <c:pt idx="9">
                  <c:v>0.27</c:v>
                </c:pt>
              </c:numCache>
            </c:numRef>
          </c:val>
          <c:extLst>
            <c:ext xmlns:c16="http://schemas.microsoft.com/office/drawing/2014/chart" uri="{C3380CC4-5D6E-409C-BE32-E72D297353CC}">
              <c16:uniqueId val="{00000000-74CA-446C-B82C-DF75A5FE7C4D}"/>
            </c:ext>
          </c:extLst>
        </c:ser>
        <c:ser>
          <c:idx val="1"/>
          <c:order val="1"/>
          <c:tx>
            <c:strRef>
              <c:f>'[Charts unprotected.xlsx]Charts'!$C$84</c:f>
              <c:strCache>
                <c:ptCount val="1"/>
                <c:pt idx="0">
                  <c:v>Women</c:v>
                </c:pt>
              </c:strCache>
            </c:strRef>
          </c:tx>
          <c:spPr>
            <a:solidFill>
              <a:schemeClr val="accent3"/>
            </a:solidFill>
            <a:ln>
              <a:solidFill>
                <a:schemeClr val="bg2"/>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unprotected.xlsx]Charts'!$A$85:$A$94</c:f>
              <c:strCache>
                <c:ptCount val="10"/>
                <c:pt idx="0">
                  <c:v>2</c:v>
                </c:pt>
                <c:pt idx="1">
                  <c:v>3</c:v>
                </c:pt>
                <c:pt idx="2">
                  <c:v>4</c:v>
                </c:pt>
                <c:pt idx="3">
                  <c:v>5</c:v>
                </c:pt>
                <c:pt idx="4">
                  <c:v>6</c:v>
                </c:pt>
                <c:pt idx="5">
                  <c:v>7</c:v>
                </c:pt>
                <c:pt idx="6">
                  <c:v>8</c:v>
                </c:pt>
                <c:pt idx="7">
                  <c:v>9</c:v>
                </c:pt>
                <c:pt idx="8">
                  <c:v>10</c:v>
                </c:pt>
                <c:pt idx="9">
                  <c:v>All</c:v>
                </c:pt>
              </c:strCache>
            </c:strRef>
          </c:cat>
          <c:val>
            <c:numRef>
              <c:f>'[Charts unprotected.xlsx]Charts'!$C$85:$C$94</c:f>
              <c:numCache>
                <c:formatCode>0%</c:formatCode>
                <c:ptCount val="10"/>
                <c:pt idx="0">
                  <c:v>0.94</c:v>
                </c:pt>
                <c:pt idx="1">
                  <c:v>0.79</c:v>
                </c:pt>
                <c:pt idx="2">
                  <c:v>0.77</c:v>
                </c:pt>
                <c:pt idx="3">
                  <c:v>0.74</c:v>
                </c:pt>
                <c:pt idx="4">
                  <c:v>0.74</c:v>
                </c:pt>
                <c:pt idx="5">
                  <c:v>0.71</c:v>
                </c:pt>
                <c:pt idx="6">
                  <c:v>0.73</c:v>
                </c:pt>
                <c:pt idx="7">
                  <c:v>0.6</c:v>
                </c:pt>
                <c:pt idx="8">
                  <c:v>0.62</c:v>
                </c:pt>
                <c:pt idx="9">
                  <c:v>0.73</c:v>
                </c:pt>
              </c:numCache>
            </c:numRef>
          </c:val>
          <c:extLst>
            <c:ext xmlns:c16="http://schemas.microsoft.com/office/drawing/2014/chart" uri="{C3380CC4-5D6E-409C-BE32-E72D297353CC}">
              <c16:uniqueId val="{00000001-74CA-446C-B82C-DF75A5FE7C4D}"/>
            </c:ext>
          </c:extLst>
        </c:ser>
        <c:dLbls>
          <c:dLblPos val="ctr"/>
          <c:showLegendKey val="0"/>
          <c:showVal val="1"/>
          <c:showCatName val="0"/>
          <c:showSerName val="0"/>
          <c:showPercent val="0"/>
          <c:showBubbleSize val="0"/>
        </c:dLbls>
        <c:gapWidth val="150"/>
        <c:overlap val="100"/>
        <c:axId val="1631561935"/>
        <c:axId val="1089410063"/>
      </c:barChart>
      <c:catAx>
        <c:axId val="163156193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Pay band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089410063"/>
        <c:crosses val="autoZero"/>
        <c:auto val="1"/>
        <c:lblAlgn val="ctr"/>
        <c:lblOffset val="100"/>
        <c:noMultiLvlLbl val="0"/>
      </c:catAx>
      <c:valAx>
        <c:axId val="1089410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 men and women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61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5C00D6"/>
              </a:solidFill>
              <a:ln>
                <a:noFill/>
              </a:ln>
              <a:effectLst/>
            </c:spPr>
            <c:extLst>
              <c:ext xmlns:c16="http://schemas.microsoft.com/office/drawing/2014/chart" uri="{C3380CC4-5D6E-409C-BE32-E72D297353CC}">
                <c16:uniqueId val="{00000001-F3FB-4EB7-858D-40E35BC4E812}"/>
              </c:ext>
            </c:extLst>
          </c:dPt>
          <c:dPt>
            <c:idx val="1"/>
            <c:invertIfNegative val="0"/>
            <c:bubble3D val="0"/>
            <c:spPr>
              <a:gradFill flip="none" rotWithShape="1">
                <a:gsLst>
                  <a:gs pos="0">
                    <a:srgbClr val="5C00D6">
                      <a:tint val="66000"/>
                      <a:satMod val="160000"/>
                    </a:srgbClr>
                  </a:gs>
                  <a:gs pos="50000">
                    <a:srgbClr val="5C00D6">
                      <a:tint val="44500"/>
                      <a:satMod val="160000"/>
                    </a:srgbClr>
                  </a:gs>
                  <a:gs pos="100000">
                    <a:srgbClr val="5C00D6">
                      <a:tint val="23500"/>
                      <a:satMod val="160000"/>
                    </a:srgbClr>
                  </a:gs>
                </a:gsLst>
                <a:lin ang="2700000" scaled="1"/>
                <a:tileRect/>
              </a:gradFill>
              <a:ln>
                <a:noFill/>
              </a:ln>
              <a:effectLst/>
            </c:spPr>
            <c:extLst>
              <c:ext xmlns:c16="http://schemas.microsoft.com/office/drawing/2014/chart" uri="{C3380CC4-5D6E-409C-BE32-E72D297353CC}">
                <c16:uniqueId val="{00000003-F3FB-4EB7-858D-40E35BC4E812}"/>
              </c:ext>
            </c:extLst>
          </c:dPt>
          <c:dPt>
            <c:idx val="2"/>
            <c:invertIfNegative val="0"/>
            <c:bubble3D val="0"/>
            <c:spPr>
              <a:solidFill>
                <a:srgbClr val="00E3B8"/>
              </a:solidFill>
              <a:ln>
                <a:noFill/>
              </a:ln>
              <a:effectLst/>
            </c:spPr>
            <c:extLst>
              <c:ext xmlns:c16="http://schemas.microsoft.com/office/drawing/2014/chart" uri="{C3380CC4-5D6E-409C-BE32-E72D297353CC}">
                <c16:uniqueId val="{00000005-F3FB-4EB7-858D-40E35BC4E812}"/>
              </c:ext>
            </c:extLst>
          </c:dPt>
          <c:dPt>
            <c:idx val="3"/>
            <c:invertIfNegative val="0"/>
            <c:bubble3D val="0"/>
            <c:spPr>
              <a:gradFill flip="none" rotWithShape="1">
                <a:gsLst>
                  <a:gs pos="0">
                    <a:srgbClr val="00E3B8">
                      <a:shade val="30000"/>
                      <a:satMod val="115000"/>
                    </a:srgbClr>
                  </a:gs>
                  <a:gs pos="50000">
                    <a:srgbClr val="00E3B8">
                      <a:shade val="67500"/>
                      <a:satMod val="115000"/>
                    </a:srgbClr>
                  </a:gs>
                  <a:gs pos="100000">
                    <a:srgbClr val="00E3B8">
                      <a:shade val="100000"/>
                      <a:satMod val="115000"/>
                    </a:srgbClr>
                  </a:gs>
                </a:gsLst>
                <a:lin ang="2700000" scaled="1"/>
                <a:tileRect/>
              </a:gradFill>
              <a:ln>
                <a:noFill/>
              </a:ln>
              <a:effectLst/>
            </c:spPr>
            <c:extLst>
              <c:ext xmlns:c16="http://schemas.microsoft.com/office/drawing/2014/chart" uri="{C3380CC4-5D6E-409C-BE32-E72D297353CC}">
                <c16:uniqueId val="{00000007-F3FB-4EB7-858D-40E35BC4E812}"/>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unprotected.xlsx]Charts'!$A$240:$A$243</c:f>
              <c:strCache>
                <c:ptCount val="4"/>
                <c:pt idx="0">
                  <c:v>Mean pay gap (ordinary pay)</c:v>
                </c:pt>
                <c:pt idx="1">
                  <c:v>Mean pay gap (spinal salary)</c:v>
                </c:pt>
                <c:pt idx="2">
                  <c:v>Median pay gap (ordinary pay)</c:v>
                </c:pt>
                <c:pt idx="3">
                  <c:v>Median pay gap (spinal salary)</c:v>
                </c:pt>
              </c:strCache>
            </c:strRef>
          </c:cat>
          <c:val>
            <c:numRef>
              <c:f>'[Charts unprotected.xlsx]Charts'!$B$240:$B$243</c:f>
              <c:numCache>
                <c:formatCode>0.0%</c:formatCode>
                <c:ptCount val="4"/>
                <c:pt idx="0">
                  <c:v>0.13800000000000001</c:v>
                </c:pt>
                <c:pt idx="1">
                  <c:v>9.2999999999999999E-2</c:v>
                </c:pt>
                <c:pt idx="2">
                  <c:v>6.4000000000000001E-2</c:v>
                </c:pt>
                <c:pt idx="3">
                  <c:v>5.1999999999999998E-2</c:v>
                </c:pt>
              </c:numCache>
            </c:numRef>
          </c:val>
          <c:extLst>
            <c:ext xmlns:c16="http://schemas.microsoft.com/office/drawing/2014/chart" uri="{C3380CC4-5D6E-409C-BE32-E72D297353CC}">
              <c16:uniqueId val="{00000008-F3FB-4EB7-858D-40E35BC4E812}"/>
            </c:ext>
          </c:extLst>
        </c:ser>
        <c:dLbls>
          <c:showLegendKey val="0"/>
          <c:showVal val="0"/>
          <c:showCatName val="0"/>
          <c:showSerName val="0"/>
          <c:showPercent val="0"/>
          <c:showBubbleSize val="0"/>
        </c:dLbls>
        <c:gapWidth val="168"/>
        <c:overlap val="-24"/>
        <c:axId val="295806816"/>
        <c:axId val="249563984"/>
      </c:barChart>
      <c:catAx>
        <c:axId val="29580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49563984"/>
        <c:crosses val="autoZero"/>
        <c:auto val="1"/>
        <c:lblAlgn val="ctr"/>
        <c:lblOffset val="100"/>
        <c:noMultiLvlLbl val="0"/>
      </c:catAx>
      <c:valAx>
        <c:axId val="249563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gender pay gap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2958068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'[Charts unprotected.xlsx]Charts'!$B$102</c:f>
              <c:strCache>
                <c:ptCount val="1"/>
                <c:pt idx="0">
                  <c:v>Men</c:v>
                </c:pt>
              </c:strCache>
            </c:strRef>
          </c:tx>
          <c:spPr>
            <a:solidFill>
              <a:srgbClr val="33CC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unprotected.xlsx]Charts'!$A$103:$A$113</c:f>
              <c:strCache>
                <c:ptCount val="11"/>
                <c:pt idx="0">
                  <c:v>Corporate</c:v>
                </c:pt>
                <c:pt idx="1">
                  <c:v>Data, Knowledge and Research</c:v>
                </c:pt>
                <c:pt idx="2">
                  <c:v>Health and Wellbeing</c:v>
                </c:pt>
                <c:pt idx="3">
                  <c:v>Health Protection</c:v>
                </c:pt>
                <c:pt idx="4">
                  <c:v>Improvement Cymru</c:v>
                </c:pt>
                <c:pt idx="5">
                  <c:v>NHS Executive</c:v>
                </c:pt>
                <c:pt idx="6">
                  <c:v>Operations and Finance</c:v>
                </c:pt>
                <c:pt idx="7">
                  <c:v>People and OD</c:v>
                </c:pt>
                <c:pt idx="8">
                  <c:v>Quality Nursing and Allied Profs</c:v>
                </c:pt>
                <c:pt idx="9">
                  <c:v>SPRs</c:v>
                </c:pt>
                <c:pt idx="10">
                  <c:v>WHO Collaborating Centre</c:v>
                </c:pt>
              </c:strCache>
            </c:strRef>
          </c:cat>
          <c:val>
            <c:numRef>
              <c:f>'[Charts unprotected.xlsx]Charts'!$B$103:$B$113</c:f>
              <c:numCache>
                <c:formatCode>0%</c:formatCode>
                <c:ptCount val="11"/>
                <c:pt idx="0">
                  <c:v>0.48</c:v>
                </c:pt>
                <c:pt idx="1">
                  <c:v>0.3</c:v>
                </c:pt>
                <c:pt idx="2">
                  <c:v>0.24</c:v>
                </c:pt>
                <c:pt idx="3">
                  <c:v>0.25</c:v>
                </c:pt>
                <c:pt idx="4">
                  <c:v>0.37</c:v>
                </c:pt>
                <c:pt idx="5">
                  <c:v>0.23</c:v>
                </c:pt>
                <c:pt idx="6">
                  <c:v>0.51</c:v>
                </c:pt>
                <c:pt idx="7">
                  <c:v>0.14000000000000001</c:v>
                </c:pt>
                <c:pt idx="8">
                  <c:v>0.18</c:v>
                </c:pt>
                <c:pt idx="9">
                  <c:v>0.43</c:v>
                </c:pt>
                <c:pt idx="10">
                  <c:v>0.16</c:v>
                </c:pt>
              </c:numCache>
            </c:numRef>
          </c:val>
          <c:extLst>
            <c:ext xmlns:c16="http://schemas.microsoft.com/office/drawing/2014/chart" uri="{C3380CC4-5D6E-409C-BE32-E72D297353CC}">
              <c16:uniqueId val="{00000000-D0F3-4E52-9830-B8A82926BF8E}"/>
            </c:ext>
          </c:extLst>
        </c:ser>
        <c:ser>
          <c:idx val="1"/>
          <c:order val="1"/>
          <c:tx>
            <c:strRef>
              <c:f>'[Charts unprotected.xlsx]Charts'!$C$102</c:f>
              <c:strCache>
                <c:ptCount val="1"/>
                <c:pt idx="0">
                  <c:v>Women</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IBM Plex Sans" panose="020B0503050203000203" pitchFamily="34" charset="0"/>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'[Charts unprotected.xlsx]Charts'!$A$103:$A$113</c:f>
              <c:strCache>
                <c:ptCount val="11"/>
                <c:pt idx="0">
                  <c:v>Corporate</c:v>
                </c:pt>
                <c:pt idx="1">
                  <c:v>Data, Knowledge and Research</c:v>
                </c:pt>
                <c:pt idx="2">
                  <c:v>Health and Wellbeing</c:v>
                </c:pt>
                <c:pt idx="3">
                  <c:v>Health Protection</c:v>
                </c:pt>
                <c:pt idx="4">
                  <c:v>Improvement Cymru</c:v>
                </c:pt>
                <c:pt idx="5">
                  <c:v>NHS Executive</c:v>
                </c:pt>
                <c:pt idx="6">
                  <c:v>Operations and Finance</c:v>
                </c:pt>
                <c:pt idx="7">
                  <c:v>People and OD</c:v>
                </c:pt>
                <c:pt idx="8">
                  <c:v>Quality Nursing and Allied Profs</c:v>
                </c:pt>
                <c:pt idx="9">
                  <c:v>SPRs</c:v>
                </c:pt>
                <c:pt idx="10">
                  <c:v>WHO Collaborating Centre</c:v>
                </c:pt>
              </c:strCache>
            </c:strRef>
          </c:cat>
          <c:val>
            <c:numRef>
              <c:f>'[Charts unprotected.xlsx]Charts'!$C$103:$C$113</c:f>
              <c:numCache>
                <c:formatCode>0%</c:formatCode>
                <c:ptCount val="11"/>
                <c:pt idx="0">
                  <c:v>0.52</c:v>
                </c:pt>
                <c:pt idx="1">
                  <c:v>0.7</c:v>
                </c:pt>
                <c:pt idx="2">
                  <c:v>0.76</c:v>
                </c:pt>
                <c:pt idx="3">
                  <c:v>0.75</c:v>
                </c:pt>
                <c:pt idx="4">
                  <c:v>0.63</c:v>
                </c:pt>
                <c:pt idx="5">
                  <c:v>0.77</c:v>
                </c:pt>
                <c:pt idx="6">
                  <c:v>0.49</c:v>
                </c:pt>
                <c:pt idx="7">
                  <c:v>0.86</c:v>
                </c:pt>
                <c:pt idx="8">
                  <c:v>0.82000000000000006</c:v>
                </c:pt>
                <c:pt idx="9">
                  <c:v>0.57000000000000006</c:v>
                </c:pt>
                <c:pt idx="10">
                  <c:v>0.84</c:v>
                </c:pt>
              </c:numCache>
            </c:numRef>
          </c:val>
          <c:extLst>
            <c:ext xmlns:c16="http://schemas.microsoft.com/office/drawing/2014/chart" uri="{C3380CC4-5D6E-409C-BE32-E72D297353CC}">
              <c16:uniqueId val="{00000001-D0F3-4E52-9830-B8A82926BF8E}"/>
            </c:ext>
          </c:extLst>
        </c:ser>
        <c:dLbls>
          <c:dLblPos val="ctr"/>
          <c:showLegendKey val="0"/>
          <c:showVal val="1"/>
          <c:showCatName val="0"/>
          <c:showSerName val="0"/>
          <c:showPercent val="0"/>
          <c:showBubbleSize val="0"/>
        </c:dLbls>
        <c:gapWidth val="150"/>
        <c:overlap val="100"/>
        <c:axId val="1631561935"/>
        <c:axId val="1089410063"/>
      </c:barChart>
      <c:catAx>
        <c:axId val="1631561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089410063"/>
        <c:crosses val="autoZero"/>
        <c:auto val="1"/>
        <c:lblAlgn val="ctr"/>
        <c:lblOffset val="100"/>
        <c:noMultiLvlLbl val="0"/>
      </c:catAx>
      <c:valAx>
        <c:axId val="1089410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r>
                  <a:rPr lang="en-GB"/>
                  <a:t>% of men and women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crossAx val="1631561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IBM Plex Sans" panose="020B0503050203000203"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IBM Plex Sans" panose="020B0503050203000203"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Business Invoice">
      <a:dk1>
        <a:sysClr val="windowText" lastClr="000000"/>
      </a:dk1>
      <a:lt1>
        <a:sysClr val="window" lastClr="FFFFFF"/>
      </a:lt1>
      <a:dk2>
        <a:srgbClr val="4C483D"/>
      </a:dk2>
      <a:lt2>
        <a:srgbClr val="E4E3E2"/>
      </a:lt2>
      <a:accent1>
        <a:srgbClr val="F24F4F"/>
      </a:accent1>
      <a:accent2>
        <a:srgbClr val="8DBB70"/>
      </a:accent2>
      <a:accent3>
        <a:srgbClr val="F0BB44"/>
      </a:accent3>
      <a:accent4>
        <a:srgbClr val="61ADBF"/>
      </a:accent4>
      <a:accent5>
        <a:srgbClr val="A3648B"/>
      </a:accent5>
      <a:accent6>
        <a:srgbClr val="F8943F"/>
      </a:accent6>
      <a:hlink>
        <a:srgbClr val="4C483D"/>
      </a:hlink>
      <a:folHlink>
        <a:srgbClr val="A3648B"/>
      </a:folHlink>
    </a:clrScheme>
    <a:fontScheme name="Business Invoice">
      <a:majorFont>
        <a:latin typeface="Century Gothic"/>
        <a:ea typeface=""/>
        <a:cs typeface=""/>
      </a:majorFont>
      <a:minorFont>
        <a:latin typeface="Garamond"/>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741FBE0F2CD4459EA82D88B793EDAB" ma:contentTypeVersion="19" ma:contentTypeDescription="Create a new document." ma:contentTypeScope="" ma:versionID="e6453c56a083a58570f33ed79c8d9755">
  <xsd:schema xmlns:xsd="http://www.w3.org/2001/XMLSchema" xmlns:xs="http://www.w3.org/2001/XMLSchema" xmlns:p="http://schemas.microsoft.com/office/2006/metadata/properties" xmlns:ns2="d63a5e76-ee6a-4d8e-b0c7-27e8b092de1e" xmlns:ns3="49bb7b4c-6b34-4007-8d05-f5e0e571441a" targetNamespace="http://schemas.microsoft.com/office/2006/metadata/properties" ma:root="true" ma:fieldsID="426f3b4b4714697ec44347d50012006a" ns2:_="" ns3:_="">
    <xsd:import namespace="d63a5e76-ee6a-4d8e-b0c7-27e8b092de1e"/>
    <xsd:import namespace="49bb7b4c-6b34-4007-8d05-f5e0e571441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Person"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a5e76-ee6a-4d8e-b0c7-27e8b092de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Person" ma:index="17" nillable="true" ma:displayName="Person" ma:description="Person/Group" ma:list="UserInfo" ma:SearchPeopleOnly="false" ma:SharePointGroup="0" ma:internalName="Person"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aa01f457-fedd-49ea-b2cc-ee0e625aab1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bb7b4c-6b34-4007-8d05-f5e0e571441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628edb2-e9e6-428f-8611-0d7508c51884}" ma:internalName="TaxCatchAll" ma:showField="CatchAllData" ma:web="49bb7b4c-6b34-4007-8d05-f5e0e57144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erson xmlns="d63a5e76-ee6a-4d8e-b0c7-27e8b092de1e">
      <UserInfo>
        <DisplayName/>
        <AccountId xsi:nil="true"/>
        <AccountType/>
      </UserInfo>
    </Person>
    <TaxCatchAll xmlns="49bb7b4c-6b34-4007-8d05-f5e0e571441a" xsi:nil="true"/>
    <lcf76f155ced4ddcb4097134ff3c332f xmlns="d63a5e76-ee6a-4d8e-b0c7-27e8b092de1e">
      <Terms xmlns="http://schemas.microsoft.com/office/infopath/2007/PartnerControls"/>
    </lcf76f155ced4ddcb4097134ff3c332f>
    <SharedWithUsers xmlns="49bb7b4c-6b34-4007-8d05-f5e0e571441a">
      <UserInfo>
        <DisplayName>Louisa Withers</DisplayName>
        <AccountId>13</AccountId>
        <AccountType/>
      </UserInfo>
      <UserInfo>
        <DisplayName>Ken Mulkearn</DisplayName>
        <AccountId>25</AccountId>
        <AccountType/>
      </UserInfo>
    </SharedWithUsers>
  </documentManagement>
</p:properties>
</file>

<file path=customXml/item4.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FAE6FA0-DDDE-40FF-AD51-1FFA04086A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a5e76-ee6a-4d8e-b0c7-27e8b092de1e"/>
    <ds:schemaRef ds:uri="49bb7b4c-6b34-4007-8d05-f5e0e57144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DB23D5-5750-4B55-9DC7-6E30792EEB96}">
  <ds:schemaRefs>
    <ds:schemaRef ds:uri="http://schemas.microsoft.com/sharepoint/v3/contenttype/forms"/>
  </ds:schemaRefs>
</ds:datastoreItem>
</file>

<file path=customXml/itemProps3.xml><?xml version="1.0" encoding="utf-8"?>
<ds:datastoreItem xmlns:ds="http://schemas.openxmlformats.org/officeDocument/2006/customXml" ds:itemID="{2AD0B3D8-A116-4AD3-9A90-92C4D170C9B2}">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49bb7b4c-6b34-4007-8d05-f5e0e571441a"/>
    <ds:schemaRef ds:uri="http://schemas.microsoft.com/office/infopath/2007/PartnerControls"/>
    <ds:schemaRef ds:uri="d63a5e76-ee6a-4d8e-b0c7-27e8b092de1e"/>
    <ds:schemaRef ds:uri="http://www.w3.org/XML/1998/namespace"/>
    <ds:schemaRef ds:uri="http://purl.org/dc/dcmitype/"/>
  </ds:schemaRefs>
</ds:datastoreItem>
</file>

<file path=customXml/itemProps4.xml><?xml version="1.0" encoding="utf-8"?>
<ds:datastoreItem xmlns:ds="http://schemas.openxmlformats.org/officeDocument/2006/customXml" ds:itemID="{F460021B-D4A6-45BD-BA54-FFEEDCD8E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Invoice (Red design).dotx</Template>
  <TotalTime>5</TotalTime>
  <Pages>28</Pages>
  <Words>5224</Words>
  <Characters>25232</Characters>
  <Application>Microsoft Office Word</Application>
  <DocSecurity>0</DocSecurity>
  <Lines>834</Lines>
  <Paragraphs>505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30060</CharactersWithSpaces>
  <SharedDoc>false</SharedDoc>
  <HLinks>
    <vt:vector size="156" baseType="variant">
      <vt:variant>
        <vt:i4>2162742</vt:i4>
      </vt:variant>
      <vt:variant>
        <vt:i4>162</vt:i4>
      </vt:variant>
      <vt:variant>
        <vt:i4>0</vt:i4>
      </vt:variant>
      <vt:variant>
        <vt:i4>5</vt:i4>
      </vt:variant>
      <vt:variant>
        <vt:lpwstr>https://www.gov.uk/government/publications/gender-pay-gap-reporting-guidance-for-employers</vt:lpwstr>
      </vt:variant>
      <vt:variant>
        <vt:lpwstr/>
      </vt:variant>
      <vt:variant>
        <vt:i4>1769526</vt:i4>
      </vt:variant>
      <vt:variant>
        <vt:i4>152</vt:i4>
      </vt:variant>
      <vt:variant>
        <vt:i4>0</vt:i4>
      </vt:variant>
      <vt:variant>
        <vt:i4>5</vt:i4>
      </vt:variant>
      <vt:variant>
        <vt:lpwstr/>
      </vt:variant>
      <vt:variant>
        <vt:lpwstr>_Toc151647289</vt:lpwstr>
      </vt:variant>
      <vt:variant>
        <vt:i4>1769526</vt:i4>
      </vt:variant>
      <vt:variant>
        <vt:i4>146</vt:i4>
      </vt:variant>
      <vt:variant>
        <vt:i4>0</vt:i4>
      </vt:variant>
      <vt:variant>
        <vt:i4>5</vt:i4>
      </vt:variant>
      <vt:variant>
        <vt:lpwstr/>
      </vt:variant>
      <vt:variant>
        <vt:lpwstr>_Toc151647288</vt:lpwstr>
      </vt:variant>
      <vt:variant>
        <vt:i4>1769526</vt:i4>
      </vt:variant>
      <vt:variant>
        <vt:i4>140</vt:i4>
      </vt:variant>
      <vt:variant>
        <vt:i4>0</vt:i4>
      </vt:variant>
      <vt:variant>
        <vt:i4>5</vt:i4>
      </vt:variant>
      <vt:variant>
        <vt:lpwstr/>
      </vt:variant>
      <vt:variant>
        <vt:lpwstr>_Toc151647287</vt:lpwstr>
      </vt:variant>
      <vt:variant>
        <vt:i4>1769526</vt:i4>
      </vt:variant>
      <vt:variant>
        <vt:i4>134</vt:i4>
      </vt:variant>
      <vt:variant>
        <vt:i4>0</vt:i4>
      </vt:variant>
      <vt:variant>
        <vt:i4>5</vt:i4>
      </vt:variant>
      <vt:variant>
        <vt:lpwstr/>
      </vt:variant>
      <vt:variant>
        <vt:lpwstr>_Toc151647286</vt:lpwstr>
      </vt:variant>
      <vt:variant>
        <vt:i4>1769526</vt:i4>
      </vt:variant>
      <vt:variant>
        <vt:i4>128</vt:i4>
      </vt:variant>
      <vt:variant>
        <vt:i4>0</vt:i4>
      </vt:variant>
      <vt:variant>
        <vt:i4>5</vt:i4>
      </vt:variant>
      <vt:variant>
        <vt:lpwstr/>
      </vt:variant>
      <vt:variant>
        <vt:lpwstr>_Toc151647285</vt:lpwstr>
      </vt:variant>
      <vt:variant>
        <vt:i4>1769526</vt:i4>
      </vt:variant>
      <vt:variant>
        <vt:i4>119</vt:i4>
      </vt:variant>
      <vt:variant>
        <vt:i4>0</vt:i4>
      </vt:variant>
      <vt:variant>
        <vt:i4>5</vt:i4>
      </vt:variant>
      <vt:variant>
        <vt:lpwstr/>
      </vt:variant>
      <vt:variant>
        <vt:lpwstr>_Toc151647284</vt:lpwstr>
      </vt:variant>
      <vt:variant>
        <vt:i4>1769526</vt:i4>
      </vt:variant>
      <vt:variant>
        <vt:i4>113</vt:i4>
      </vt:variant>
      <vt:variant>
        <vt:i4>0</vt:i4>
      </vt:variant>
      <vt:variant>
        <vt:i4>5</vt:i4>
      </vt:variant>
      <vt:variant>
        <vt:lpwstr/>
      </vt:variant>
      <vt:variant>
        <vt:lpwstr>_Toc151647283</vt:lpwstr>
      </vt:variant>
      <vt:variant>
        <vt:i4>1769526</vt:i4>
      </vt:variant>
      <vt:variant>
        <vt:i4>107</vt:i4>
      </vt:variant>
      <vt:variant>
        <vt:i4>0</vt:i4>
      </vt:variant>
      <vt:variant>
        <vt:i4>5</vt:i4>
      </vt:variant>
      <vt:variant>
        <vt:lpwstr/>
      </vt:variant>
      <vt:variant>
        <vt:lpwstr>_Toc151647282</vt:lpwstr>
      </vt:variant>
      <vt:variant>
        <vt:i4>1769526</vt:i4>
      </vt:variant>
      <vt:variant>
        <vt:i4>101</vt:i4>
      </vt:variant>
      <vt:variant>
        <vt:i4>0</vt:i4>
      </vt:variant>
      <vt:variant>
        <vt:i4>5</vt:i4>
      </vt:variant>
      <vt:variant>
        <vt:lpwstr/>
      </vt:variant>
      <vt:variant>
        <vt:lpwstr>_Toc151647281</vt:lpwstr>
      </vt:variant>
      <vt:variant>
        <vt:i4>1769526</vt:i4>
      </vt:variant>
      <vt:variant>
        <vt:i4>95</vt:i4>
      </vt:variant>
      <vt:variant>
        <vt:i4>0</vt:i4>
      </vt:variant>
      <vt:variant>
        <vt:i4>5</vt:i4>
      </vt:variant>
      <vt:variant>
        <vt:lpwstr/>
      </vt:variant>
      <vt:variant>
        <vt:lpwstr>_Toc151647280</vt:lpwstr>
      </vt:variant>
      <vt:variant>
        <vt:i4>1310774</vt:i4>
      </vt:variant>
      <vt:variant>
        <vt:i4>89</vt:i4>
      </vt:variant>
      <vt:variant>
        <vt:i4>0</vt:i4>
      </vt:variant>
      <vt:variant>
        <vt:i4>5</vt:i4>
      </vt:variant>
      <vt:variant>
        <vt:lpwstr/>
      </vt:variant>
      <vt:variant>
        <vt:lpwstr>_Toc151647279</vt:lpwstr>
      </vt:variant>
      <vt:variant>
        <vt:i4>1310774</vt:i4>
      </vt:variant>
      <vt:variant>
        <vt:i4>83</vt:i4>
      </vt:variant>
      <vt:variant>
        <vt:i4>0</vt:i4>
      </vt:variant>
      <vt:variant>
        <vt:i4>5</vt:i4>
      </vt:variant>
      <vt:variant>
        <vt:lpwstr/>
      </vt:variant>
      <vt:variant>
        <vt:lpwstr>_Toc151647278</vt:lpwstr>
      </vt:variant>
      <vt:variant>
        <vt:i4>1310774</vt:i4>
      </vt:variant>
      <vt:variant>
        <vt:i4>77</vt:i4>
      </vt:variant>
      <vt:variant>
        <vt:i4>0</vt:i4>
      </vt:variant>
      <vt:variant>
        <vt:i4>5</vt:i4>
      </vt:variant>
      <vt:variant>
        <vt:lpwstr/>
      </vt:variant>
      <vt:variant>
        <vt:lpwstr>_Toc151647277</vt:lpwstr>
      </vt:variant>
      <vt:variant>
        <vt:i4>1310774</vt:i4>
      </vt:variant>
      <vt:variant>
        <vt:i4>71</vt:i4>
      </vt:variant>
      <vt:variant>
        <vt:i4>0</vt:i4>
      </vt:variant>
      <vt:variant>
        <vt:i4>5</vt:i4>
      </vt:variant>
      <vt:variant>
        <vt:lpwstr/>
      </vt:variant>
      <vt:variant>
        <vt:lpwstr>_Toc151647276</vt:lpwstr>
      </vt:variant>
      <vt:variant>
        <vt:i4>1245233</vt:i4>
      </vt:variant>
      <vt:variant>
        <vt:i4>62</vt:i4>
      </vt:variant>
      <vt:variant>
        <vt:i4>0</vt:i4>
      </vt:variant>
      <vt:variant>
        <vt:i4>5</vt:i4>
      </vt:variant>
      <vt:variant>
        <vt:lpwstr/>
      </vt:variant>
      <vt:variant>
        <vt:lpwstr>_Toc151647506</vt:lpwstr>
      </vt:variant>
      <vt:variant>
        <vt:i4>1245233</vt:i4>
      </vt:variant>
      <vt:variant>
        <vt:i4>56</vt:i4>
      </vt:variant>
      <vt:variant>
        <vt:i4>0</vt:i4>
      </vt:variant>
      <vt:variant>
        <vt:i4>5</vt:i4>
      </vt:variant>
      <vt:variant>
        <vt:lpwstr/>
      </vt:variant>
      <vt:variant>
        <vt:lpwstr>_Toc151647505</vt:lpwstr>
      </vt:variant>
      <vt:variant>
        <vt:i4>1245233</vt:i4>
      </vt:variant>
      <vt:variant>
        <vt:i4>50</vt:i4>
      </vt:variant>
      <vt:variant>
        <vt:i4>0</vt:i4>
      </vt:variant>
      <vt:variant>
        <vt:i4>5</vt:i4>
      </vt:variant>
      <vt:variant>
        <vt:lpwstr/>
      </vt:variant>
      <vt:variant>
        <vt:lpwstr>_Toc151647504</vt:lpwstr>
      </vt:variant>
      <vt:variant>
        <vt:i4>1245233</vt:i4>
      </vt:variant>
      <vt:variant>
        <vt:i4>44</vt:i4>
      </vt:variant>
      <vt:variant>
        <vt:i4>0</vt:i4>
      </vt:variant>
      <vt:variant>
        <vt:i4>5</vt:i4>
      </vt:variant>
      <vt:variant>
        <vt:lpwstr/>
      </vt:variant>
      <vt:variant>
        <vt:lpwstr>_Toc151647503</vt:lpwstr>
      </vt:variant>
      <vt:variant>
        <vt:i4>1245233</vt:i4>
      </vt:variant>
      <vt:variant>
        <vt:i4>38</vt:i4>
      </vt:variant>
      <vt:variant>
        <vt:i4>0</vt:i4>
      </vt:variant>
      <vt:variant>
        <vt:i4>5</vt:i4>
      </vt:variant>
      <vt:variant>
        <vt:lpwstr/>
      </vt:variant>
      <vt:variant>
        <vt:lpwstr>_Toc151647502</vt:lpwstr>
      </vt:variant>
      <vt:variant>
        <vt:i4>1245233</vt:i4>
      </vt:variant>
      <vt:variant>
        <vt:i4>32</vt:i4>
      </vt:variant>
      <vt:variant>
        <vt:i4>0</vt:i4>
      </vt:variant>
      <vt:variant>
        <vt:i4>5</vt:i4>
      </vt:variant>
      <vt:variant>
        <vt:lpwstr/>
      </vt:variant>
      <vt:variant>
        <vt:lpwstr>_Toc151647501</vt:lpwstr>
      </vt:variant>
      <vt:variant>
        <vt:i4>1245233</vt:i4>
      </vt:variant>
      <vt:variant>
        <vt:i4>26</vt:i4>
      </vt:variant>
      <vt:variant>
        <vt:i4>0</vt:i4>
      </vt:variant>
      <vt:variant>
        <vt:i4>5</vt:i4>
      </vt:variant>
      <vt:variant>
        <vt:lpwstr/>
      </vt:variant>
      <vt:variant>
        <vt:lpwstr>_Toc151647500</vt:lpwstr>
      </vt:variant>
      <vt:variant>
        <vt:i4>1703984</vt:i4>
      </vt:variant>
      <vt:variant>
        <vt:i4>20</vt:i4>
      </vt:variant>
      <vt:variant>
        <vt:i4>0</vt:i4>
      </vt:variant>
      <vt:variant>
        <vt:i4>5</vt:i4>
      </vt:variant>
      <vt:variant>
        <vt:lpwstr/>
      </vt:variant>
      <vt:variant>
        <vt:lpwstr>_Toc151647499</vt:lpwstr>
      </vt:variant>
      <vt:variant>
        <vt:i4>1703984</vt:i4>
      </vt:variant>
      <vt:variant>
        <vt:i4>14</vt:i4>
      </vt:variant>
      <vt:variant>
        <vt:i4>0</vt:i4>
      </vt:variant>
      <vt:variant>
        <vt:i4>5</vt:i4>
      </vt:variant>
      <vt:variant>
        <vt:lpwstr/>
      </vt:variant>
      <vt:variant>
        <vt:lpwstr>_Toc151647498</vt:lpwstr>
      </vt:variant>
      <vt:variant>
        <vt:i4>1703984</vt:i4>
      </vt:variant>
      <vt:variant>
        <vt:i4>8</vt:i4>
      </vt:variant>
      <vt:variant>
        <vt:i4>0</vt:i4>
      </vt:variant>
      <vt:variant>
        <vt:i4>5</vt:i4>
      </vt:variant>
      <vt:variant>
        <vt:lpwstr/>
      </vt:variant>
      <vt:variant>
        <vt:lpwstr>_Toc151647496</vt:lpwstr>
      </vt:variant>
      <vt:variant>
        <vt:i4>1703984</vt:i4>
      </vt:variant>
      <vt:variant>
        <vt:i4>2</vt:i4>
      </vt:variant>
      <vt:variant>
        <vt:i4>0</vt:i4>
      </vt:variant>
      <vt:variant>
        <vt:i4>5</vt:i4>
      </vt:variant>
      <vt:variant>
        <vt:lpwstr/>
      </vt:variant>
      <vt:variant>
        <vt:lpwstr>_Toc151647495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Sarah Brewer (Public Health Wales - No. 2 Capital Quarter)</cp:lastModifiedBy>
  <cp:revision>3</cp:revision>
  <cp:lastPrinted>2024-01-30T13:46:00Z</cp:lastPrinted>
  <dcterms:created xsi:type="dcterms:W3CDTF">2024-02-06T13:33:00Z</dcterms:created>
  <dcterms:modified xsi:type="dcterms:W3CDTF">2024-02-06T13:38:00Z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TC029014899991</vt:lpwstr>
  </property>
  <property fmtid="{D5CDD505-2E9C-101B-9397-08002B2CF9AE}" pid="3" name="ContentTypeId">
    <vt:lpwstr>0x0101006B741FBE0F2CD4459EA82D88B793EDAB</vt:lpwstr>
  </property>
  <property fmtid="{D5CDD505-2E9C-101B-9397-08002B2CF9AE}" pid="4" name="MediaServiceImageTags">
    <vt:lpwstr/>
  </property>
</Properties>
</file>