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A4B5420" w14:textId="77777777" w:rsidR="00DA6141" w:rsidRDefault="00DA6141">
      <w:pPr>
        <w:rPr>
          <w:rFonts w:ascii="Ubuntu" w:hAnsi="Ubuntu"/>
          <w:b/>
          <w:bCs/>
          <w:sz w:val="28"/>
          <w:szCs w:val="28"/>
        </w:rPr>
      </w:pPr>
    </w:p>
    <w:p w14:paraId="24BF070B" w14:textId="77777777" w:rsidR="00082A4F" w:rsidRDefault="00082A4F" w:rsidP="00082A4F">
      <w:pPr>
        <w:pStyle w:val="Heading1"/>
      </w:pPr>
      <w:r>
        <w:t>Neonatal myocarditis incident, Wales, 2022-23</w:t>
      </w:r>
    </w:p>
    <w:p w14:paraId="4F7DEC44" w14:textId="77777777" w:rsidR="00082A4F" w:rsidRDefault="00082A4F" w:rsidP="00082A4F"/>
    <w:p w14:paraId="2CDDBA2E" w14:textId="77777777" w:rsidR="00082A4F" w:rsidRDefault="00082A4F" w:rsidP="00082A4F">
      <w:pPr>
        <w:pStyle w:val="Heading2"/>
      </w:pPr>
      <w:r>
        <w:t>Background</w:t>
      </w:r>
    </w:p>
    <w:p w14:paraId="513C4982" w14:textId="288D4048" w:rsidR="00082A4F" w:rsidRDefault="00082A4F" w:rsidP="00082A4F">
      <w:r>
        <w:t>Enteroviruses can cause severe clinical syndromes in neonates, including neonatal sepsis, meningo-encephalitis, and respiratory infection. Myocarditis is a rare but recognised complication of neonatal enterovirus infection, usually associated with Coxsackie B viruses.</w:t>
      </w:r>
    </w:p>
    <w:p w14:paraId="4DE7CFB0" w14:textId="77777777" w:rsidR="00E26225" w:rsidRDefault="00E26225" w:rsidP="00082A4F"/>
    <w:p w14:paraId="10DCCF0E" w14:textId="579C2CD5" w:rsidR="00082A4F" w:rsidRDefault="00082A4F" w:rsidP="00082A4F">
      <w:r>
        <w:t>Non-polio enteroviruses are common infections, often showing seasonal patterns of transmission. The characterisation of the syndromes caused by these viruses is incomplete as testing protocols and surveillance varies across countries and regions, and typing of enteroviruses is not universal.</w:t>
      </w:r>
    </w:p>
    <w:p w14:paraId="1D70CBB6" w14:textId="77777777" w:rsidR="00E26225" w:rsidRDefault="00E26225" w:rsidP="00082A4F"/>
    <w:p w14:paraId="020002DD" w14:textId="0CDF7EC9" w:rsidR="00082A4F" w:rsidRDefault="00082A4F" w:rsidP="00082A4F">
      <w:pPr>
        <w:rPr>
          <w:color w:val="000000"/>
        </w:rPr>
      </w:pPr>
      <w:r>
        <w:t>In Wales, enterovirus testing, typing and surveillance has been undertaken since 2016, with publications on associated neurological syndromes and seasonal waves of EV D-68</w:t>
      </w:r>
      <w:sdt>
        <w:sdtPr>
          <w:rPr>
            <w:color w:val="000000"/>
          </w:rPr>
          <w:tag w:val="MENDELEY_CITATION_v3_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"/>
          <w:id w:val="306601420"/>
          <w:placeholder>
            <w:docPart w:val="62673E9A488B4673A15250C5D8994FFC"/>
          </w:placeholder>
        </w:sdtPr>
        <w:sdtEndPr/>
        <w:sdtContent>
          <w:r w:rsidRPr="00D34DB1">
            <w:rPr>
              <w:color w:val="000000"/>
            </w:rPr>
            <w:t>[1], [2]</w:t>
          </w:r>
        </w:sdtContent>
      </w:sdt>
      <w:r>
        <w:rPr>
          <w:color w:val="000000"/>
        </w:rPr>
        <w:t>.</w:t>
      </w:r>
    </w:p>
    <w:p w14:paraId="750FA35B" w14:textId="77777777" w:rsidR="00E26225" w:rsidRDefault="00E26225" w:rsidP="00082A4F"/>
    <w:p w14:paraId="557A834B" w14:textId="77777777" w:rsidR="00082A4F" w:rsidRDefault="00082A4F" w:rsidP="00082A4F">
      <w:pPr>
        <w:pStyle w:val="Heading2"/>
      </w:pPr>
      <w:r>
        <w:t>Incident</w:t>
      </w:r>
    </w:p>
    <w:p w14:paraId="580BB820" w14:textId="1B766AF9" w:rsidR="00082A4F" w:rsidRDefault="00082A4F" w:rsidP="00082A4F">
      <w:r>
        <w:t>In late 2022, clinicians in Cardiff and southwest England noted a number of cases of severe neonatal disease associated with enterovirus. The understanding that this constituted a cluster was enabled through clinical networks, and eight cases admitted to paediatric intensive care units from September to December 2022 were described in a publication</w:t>
      </w:r>
      <w:sdt>
        <w:sdtPr>
          <w:rPr>
            <w:color w:val="000000"/>
          </w:rPr>
          <w:tag w:val="MENDELEY_CITATION_v3_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"/>
          <w:id w:val="1375583454"/>
          <w:placeholder>
            <w:docPart w:val="62673E9A488B4673A15250C5D8994FFC"/>
          </w:placeholder>
        </w:sdtPr>
        <w:sdtEndPr/>
        <w:sdtContent>
          <w:r w:rsidRPr="00D34DB1">
            <w:rPr>
              <w:color w:val="000000"/>
            </w:rPr>
            <w:t>[3]</w:t>
          </w:r>
        </w:sdtContent>
      </w:sdt>
      <w:r>
        <w:t>. These cases were aged 9 to 16 days at presentation, with most resident in South Wales (5/8) and all with positive enterovirus PCR (respiratory, stool, blood, CSF, skin, pericardial fluid samples). Two Coxsackieviruses were identified in the cases where typing was available – B3 and B4.</w:t>
      </w:r>
    </w:p>
    <w:p w14:paraId="28F29CCA" w14:textId="77777777" w:rsidR="00E26225" w:rsidRDefault="00E26225" w:rsidP="00082A4F"/>
    <w:p w14:paraId="54A39956" w14:textId="3C08AA2E" w:rsidR="00082A4F" w:rsidRDefault="00082A4F" w:rsidP="00082A4F">
      <w:r>
        <w:t>This cluster constituted a higher than expected incidence of this rare infectious presentation, with the authors estimating an incidence density of 38.5 per 100,000 person years based on the hospital catchment areas. However, no single virus was responsible, with Coxsackie B3 and B4 being identified from the 6/8 cases for which typing was available.</w:t>
      </w:r>
    </w:p>
    <w:p w14:paraId="337572B0" w14:textId="77777777" w:rsidR="00E26225" w:rsidRDefault="00E26225" w:rsidP="00082A4F"/>
    <w:p w14:paraId="233E5FCC" w14:textId="6BC4CAE1" w:rsidR="00082A4F" w:rsidRDefault="00082A4F" w:rsidP="00082A4F">
      <w:r>
        <w:t xml:space="preserve">Further cases were identified and numbers monitored by the Wales Specialist Virology Centre in Public Health Wales, and reported to the Communicable Disease Surveillance Centre. Due to the ongoing concerns, Public Health Wales reported 10 cases between June 2022 and April 2023 via a Disease Outbreak Notification through the IHR national focal point in UKHSA, and incident management meetings were held in Wales (26/4/2023) and UKHSA (28/4/2023) </w:t>
      </w:r>
      <w:sdt>
        <w:sdtPr>
          <w:rPr>
            <w:color w:val="000000"/>
          </w:rPr>
          <w:tag w:val="MENDELEY_CITATION_v3_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"/>
          <w:id w:val="-584687351"/>
          <w:placeholder>
            <w:docPart w:val="62673E9A488B4673A15250C5D8994FFC"/>
          </w:placeholder>
        </w:sdtPr>
        <w:sdtEndPr/>
        <w:sdtContent>
          <w:r w:rsidRPr="00D34DB1">
            <w:rPr>
              <w:color w:val="000000"/>
            </w:rPr>
            <w:t>[4]</w:t>
          </w:r>
        </w:sdtContent>
      </w:sdt>
      <w:r>
        <w:t>.</w:t>
      </w:r>
    </w:p>
    <w:p w14:paraId="77A806E8" w14:textId="77777777" w:rsidR="00E26225" w:rsidRDefault="00E26225" w:rsidP="00082A4F"/>
    <w:p w14:paraId="2AEDC9A3" w14:textId="77777777" w:rsidR="00082A4F" w:rsidRDefault="00082A4F" w:rsidP="00082A4F">
      <w:pPr>
        <w:pStyle w:val="Heading2"/>
      </w:pPr>
      <w:r>
        <w:t>METHODS</w:t>
      </w:r>
    </w:p>
    <w:p w14:paraId="7F5D325A" w14:textId="77777777" w:rsidR="00082A4F" w:rsidRDefault="00082A4F" w:rsidP="00082A4F">
      <w:r w:rsidRPr="00EE00D8">
        <w:t>A briefing note was sent to clinicians in Wales with guidance on reporting severe enterovirus cases, including testing and typing (this was also done in England)</w:t>
      </w:r>
      <w:r>
        <w:t>, in April 2023.</w:t>
      </w:r>
    </w:p>
    <w:p w14:paraId="3561931E" w14:textId="14C7C8F7" w:rsidR="00082A4F" w:rsidRDefault="00082A4F" w:rsidP="00082A4F">
      <w:r>
        <w:t>CDSC identified cases of hospitalised enterovirus via laboratory surveillance. The virology team, working with clinicians, provided further clinical and epidemiological details via a structured form.</w:t>
      </w:r>
    </w:p>
    <w:p w14:paraId="4F756BDE" w14:textId="77777777" w:rsidR="00E26225" w:rsidRDefault="00E26225" w:rsidP="00082A4F"/>
    <w:p w14:paraId="7B55B971" w14:textId="77777777" w:rsidR="00082A4F" w:rsidRDefault="00082A4F" w:rsidP="00082A4F">
      <w:pPr>
        <w:pStyle w:val="Heading3"/>
      </w:pPr>
      <w:r>
        <w:lastRenderedPageBreak/>
        <w:t xml:space="preserve">Case definitions </w:t>
      </w:r>
    </w:p>
    <w:p w14:paraId="22B81233" w14:textId="77777777" w:rsidR="00082A4F" w:rsidRDefault="00082A4F" w:rsidP="00082A4F">
      <w:r w:rsidRPr="00214660">
        <w:t xml:space="preserve">Cases of NEM were defined as neonates (aged &lt; 28 days) with a positive EV sample, with clinical or post-mortem diagnosis of myocarditis. These cases were reported by clinicians to public health authorities via case reporting forms, encouraged through communications to clinical and microbiology networks. </w:t>
      </w:r>
    </w:p>
    <w:p w14:paraId="0A9EE29B" w14:textId="279211DE" w:rsidR="00082A4F" w:rsidRDefault="00082A4F" w:rsidP="00082A4F">
      <w:r w:rsidRPr="00EE00D8">
        <w:t>Cases of severe enterovirus were defined as neonates with a positive enterovirus sample from June  2022 to June 2024, with evidence of a severe presentation or hospital admission.</w:t>
      </w:r>
    </w:p>
    <w:p w14:paraId="29C44C8A" w14:textId="77777777" w:rsidR="00E26225" w:rsidRDefault="00E26225" w:rsidP="00082A4F"/>
    <w:p w14:paraId="0C681101" w14:textId="77777777" w:rsidR="00082A4F" w:rsidRDefault="00082A4F" w:rsidP="00082A4F">
      <w:pPr>
        <w:pStyle w:val="Heading3"/>
      </w:pPr>
      <w:r>
        <w:t>Background enterovirus epidemiology</w:t>
      </w:r>
    </w:p>
    <w:p w14:paraId="0F610BCA" w14:textId="7BB987A6" w:rsidR="00082A4F" w:rsidRDefault="00082A4F" w:rsidP="00082A4F">
      <w:r>
        <w:t>We reviewed testing and case data for enterovirus in children aged &lt;1 year and neonates (&lt;28 days). Annual testing trends for both groups were summarised from 2012 to June 2024. Monthly testing trends were summarised from 2019 to June 2024. Cases data were reviewed for the period covering 1 July 2022 to the latest available data (June 2024).</w:t>
      </w:r>
    </w:p>
    <w:p w14:paraId="1795E19F" w14:textId="77777777" w:rsidR="00E26225" w:rsidRDefault="00E26225" w:rsidP="00082A4F"/>
    <w:p w14:paraId="59DAE573" w14:textId="77777777" w:rsidR="00E26225" w:rsidRDefault="00082A4F" w:rsidP="00082A4F">
      <w:r>
        <w:t>Wales national laboratory system data (Datastore) were extracted for enterovirus tests and positive results for any sample types in each of the age group (age &lt;1year and neonates), where sample location was a hospital. For the number of tests (by year and by month), proportion of positive tests (by year and by month) and number of positive tests (by age at sample date), data were de-duplicated at episode level. This means children may appear more than once per episode of illness. For number of children confirmed with enterovirus, data were de-deduplicated to person-level.</w:t>
      </w:r>
    </w:p>
    <w:p w14:paraId="190DEF3F" w14:textId="677A4CA3" w:rsidR="00082A4F" w:rsidRDefault="00082A4F" w:rsidP="00082A4F">
      <w:r>
        <w:t xml:space="preserve"> </w:t>
      </w:r>
    </w:p>
    <w:p w14:paraId="469FF377" w14:textId="6CA4F91A" w:rsidR="00082A4F" w:rsidRDefault="00082A4F" w:rsidP="00082A4F">
      <w:r>
        <w:t>To understand the background frequency of this syndrome, we searched the Patient Episode Database for Wales for Infants aged 0–90 days with a discharge diagnosis of acute myocarditis ICD-10 I40 or unspecified myocarditis I514 or myocarditis in viral disease classified elsewhere I411, by month of year and age group. The age of the infant was calculated as age at admission date.</w:t>
      </w:r>
    </w:p>
    <w:p w14:paraId="0FF55ACD" w14:textId="77777777" w:rsidR="00E26225" w:rsidRDefault="00E26225" w:rsidP="00082A4F"/>
    <w:p w14:paraId="014C0330" w14:textId="100A3AB8" w:rsidR="00082A4F" w:rsidRDefault="00082A4F" w:rsidP="00082A4F">
      <w:r>
        <w:t>Responses to the IHR notification and WHO disease outbreak report were collated by the IHRNFP and shared with PHW.</w:t>
      </w:r>
    </w:p>
    <w:p w14:paraId="737B6FB2" w14:textId="77777777" w:rsidR="00E26225" w:rsidRDefault="00E26225" w:rsidP="00082A4F"/>
    <w:p w14:paraId="5C22EB94" w14:textId="4647750F" w:rsidR="00082A4F" w:rsidRDefault="00082A4F" w:rsidP="00082A4F">
      <w:r>
        <w:t>Further methods are described in the Eurosurveillance paper from 2023, including those used for investigations elsewhere in the UK</w:t>
      </w:r>
      <w:sdt>
        <w:sdtPr>
          <w:rPr>
            <w:color w:val="000000"/>
          </w:rPr>
          <w:tag w:val="MENDELEY_CITATION_v3_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"/>
          <w:id w:val="-461583885"/>
          <w:placeholder>
            <w:docPart w:val="62673E9A488B4673A15250C5D8994FFC"/>
          </w:placeholder>
        </w:sdtPr>
        <w:sdtEndPr/>
        <w:sdtContent>
          <w:r w:rsidRPr="00D34DB1">
            <w:rPr>
              <w:color w:val="000000"/>
            </w:rPr>
            <w:t>[5]</w:t>
          </w:r>
        </w:sdtContent>
      </w:sdt>
      <w:r>
        <w:t>.</w:t>
      </w:r>
    </w:p>
    <w:p w14:paraId="3E629C89" w14:textId="77777777" w:rsidR="00E26225" w:rsidRDefault="00E26225" w:rsidP="00082A4F"/>
    <w:p w14:paraId="42B46DE0" w14:textId="77777777" w:rsidR="00082A4F" w:rsidRDefault="00082A4F" w:rsidP="00082A4F">
      <w:pPr>
        <w:pStyle w:val="Heading3"/>
      </w:pPr>
      <w:r>
        <w:t>Virology</w:t>
      </w:r>
    </w:p>
    <w:p w14:paraId="1EE7F8E7" w14:textId="68608D36" w:rsidR="00082A4F" w:rsidRDefault="00082A4F" w:rsidP="00082A4F">
      <w:r w:rsidRPr="007F592D">
        <w:t xml:space="preserve">In Wales (population ca 3 million, ca 28,000 annual births), positive samples from patients with symptoms consistent with EV infection and/or respiratory symptoms are tested by a specific EV assay with typing of positives (enabling differentiation of enterovirus and rhinovirus). </w:t>
      </w:r>
    </w:p>
    <w:p w14:paraId="5B16310C" w14:textId="77777777" w:rsidR="00E26225" w:rsidRDefault="00E26225" w:rsidP="00082A4F"/>
    <w:p w14:paraId="4444772E" w14:textId="77777777" w:rsidR="00082A4F" w:rsidRDefault="00082A4F" w:rsidP="00082A4F">
      <w:r>
        <w:t>Surveillance for EV has been active in Wales since 2015, with a pause over the pandemic . Data are collected on all EV tests performed (positive and negative). Between 2015 and 2019, as part of a pilot programme, EV typing was attempted on all EV-positive samples. An increase in EV detections in infants aged &lt; 90 days was noted in 2018/2019, associated with peaks in CVB3 and CVB4 , in line with trends observed in England – see figure under results of historical enterovirus testing.</w:t>
      </w:r>
    </w:p>
    <w:p w14:paraId="119D0192" w14:textId="77777777" w:rsidR="00082A4F" w:rsidRPr="00214660" w:rsidRDefault="00082A4F" w:rsidP="00082A4F"/>
    <w:p w14:paraId="4F51FA0E" w14:textId="77777777" w:rsidR="00082A4F" w:rsidRDefault="00082A4F" w:rsidP="00082A4F">
      <w:pPr>
        <w:pStyle w:val="Heading2"/>
      </w:pPr>
      <w:r>
        <w:lastRenderedPageBreak/>
        <w:t>RESULTS</w:t>
      </w:r>
    </w:p>
    <w:p w14:paraId="16F2D7E2" w14:textId="77777777" w:rsidR="00082A4F" w:rsidRDefault="00082A4F" w:rsidP="00082A4F">
      <w:pPr>
        <w:pStyle w:val="Heading3"/>
      </w:pPr>
      <w:r>
        <w:t>Descriptive epidemiology of cases</w:t>
      </w:r>
    </w:p>
    <w:p w14:paraId="7D50C90C" w14:textId="77777777" w:rsidR="00082A4F" w:rsidRDefault="00082A4F" w:rsidP="00082A4F">
      <w:pPr>
        <w:pStyle w:val="Heading4"/>
      </w:pPr>
      <w:bookmarkStart w:id="0" w:name="overview"/>
      <w:r>
        <w:t>Overview – all severe EV cases</w:t>
      </w:r>
    </w:p>
    <w:p w14:paraId="1F3DCA4C" w14:textId="77777777" w:rsidR="00082A4F" w:rsidRPr="00914F6C" w:rsidRDefault="00082A4F" w:rsidP="00082A4F">
      <w:pPr>
        <w:pStyle w:val="FirstParagraph"/>
        <w:rPr>
          <w:sz w:val="22"/>
          <w:szCs w:val="22"/>
        </w:rPr>
      </w:pPr>
      <w:r w:rsidRPr="00914F6C">
        <w:rPr>
          <w:sz w:val="22"/>
          <w:szCs w:val="22"/>
        </w:rPr>
        <w:t>From 27/06/2022 to 03/06/2023 there were 53 neonates testing positive for Enterovirus. Of those 53, 2 (3.8%) resulted in death.</w:t>
      </w:r>
    </w:p>
    <w:p w14:paraId="20867FAE" w14:textId="77777777" w:rsidR="00082A4F" w:rsidRPr="00633D2E" w:rsidRDefault="00082A4F" w:rsidP="00082A4F">
      <w:pPr>
        <w:pStyle w:val="BodyText"/>
        <w:rPr>
          <w:sz w:val="22"/>
          <w:szCs w:val="22"/>
        </w:rPr>
      </w:pPr>
      <w:r w:rsidRPr="00914F6C">
        <w:rPr>
          <w:sz w:val="22"/>
          <w:szCs w:val="22"/>
        </w:rPr>
        <w:t>There were 52 (98.1 %) hospital admissions. The median length of stay is 5 days (range 1-200). There were 10 (18.9 %) critical care admissions. The median length of stay in critical care is 15 days (range 4-72).</w:t>
      </w:r>
    </w:p>
    <w:p w14:paraId="62DD0748" w14:textId="77777777" w:rsidR="00082A4F" w:rsidRDefault="00082A4F" w:rsidP="00082A4F">
      <w:pPr>
        <w:pStyle w:val="Subtitle"/>
      </w:pPr>
      <w:bookmarkStart w:id="1" w:name="summary-by-disease-category"/>
      <w:bookmarkEnd w:id="0"/>
      <w:r>
        <w:t>Summary by disease category</w:t>
      </w:r>
    </w:p>
    <w:tbl>
      <w:tblPr>
        <w:tblW w:w="0" w:type="auto"/>
        <w:tblLayout w:type="fixed"/>
        <w:tblLook w:val="0420" w:firstRow="1" w:lastRow="0" w:firstColumn="0" w:lastColumn="0" w:noHBand="0" w:noVBand="1"/>
      </w:tblPr>
      <w:tblGrid>
        <w:gridCol w:w="4752"/>
        <w:gridCol w:w="2016"/>
      </w:tblGrid>
      <w:tr w:rsidR="00082A4F" w14:paraId="4DDF0C21" w14:textId="77777777" w:rsidTr="00A760D2">
        <w:trPr>
          <w:tblHeader/>
        </w:trPr>
        <w:tc>
          <w:tcPr>
            <w:tcW w:w="4752" w:type="dxa"/>
            <w:tcBorders>
              <w:top w:val="single" w:sz="12" w:space="0" w:color="666666"/>
              <w:left w:val="none" w:sz="0" w:space="0" w:color="000000" w:themeColor="text1"/>
              <w:bottom w:val="single" w:sz="12" w:space="0" w:color="666666"/>
              <w:right w:val="none" w:sz="0" w:space="0" w:color="000000" w:themeColor="text1"/>
            </w:tcBorders>
            <w:shd w:val="clear" w:color="auto" w:fill="324F82"/>
            <w:tcMar>
              <w:top w:w="0" w:type="dxa"/>
              <w:left w:w="0" w:type="dxa"/>
              <w:bottom w:w="0" w:type="dxa"/>
              <w:right w:w="0" w:type="dxa"/>
            </w:tcMar>
            <w:vAlign w:val="center"/>
          </w:tcPr>
          <w:p w14:paraId="546D4386" w14:textId="77777777" w:rsidR="00082A4F" w:rsidRPr="00EE00D8" w:rsidRDefault="00082A4F" w:rsidP="00A760D2">
            <w:pPr>
              <w:pBdr>
                <w:top w:val="none" w:sz="0" w:space="0" w:color="000000"/>
                <w:left w:val="none" w:sz="0" w:space="0" w:color="000000"/>
                <w:bottom w:val="none" w:sz="0" w:space="0" w:color="000000"/>
                <w:right w:val="none" w:sz="0" w:space="0" w:color="000000"/>
              </w:pBdr>
              <w:spacing w:before="100" w:after="100"/>
              <w:ind w:left="100" w:right="100"/>
              <w:rPr>
                <w:rFonts w:ascii="Arial" w:eastAsia="Arial" w:hAnsi="Arial"/>
                <w:b/>
                <w:color w:val="FFFFFF" w:themeColor="background1"/>
              </w:rPr>
            </w:pPr>
            <w:r w:rsidRPr="3602F3E3">
              <w:rPr>
                <w:rFonts w:ascii="Arial" w:eastAsia="Arial" w:hAnsi="Arial"/>
                <w:b/>
                <w:bCs/>
                <w:color w:val="FFFFFF" w:themeColor="background1"/>
              </w:rPr>
              <w:t>Non Mutually Exclusive Disease Category</w:t>
            </w:r>
          </w:p>
        </w:tc>
        <w:tc>
          <w:tcPr>
            <w:tcW w:w="2016" w:type="dxa"/>
            <w:tcBorders>
              <w:top w:val="single" w:sz="12" w:space="0" w:color="666666"/>
              <w:left w:val="none" w:sz="0" w:space="0" w:color="000000" w:themeColor="text1"/>
              <w:bottom w:val="single" w:sz="12" w:space="0" w:color="666666"/>
              <w:right w:val="none" w:sz="0" w:space="0" w:color="000000" w:themeColor="text1"/>
            </w:tcBorders>
            <w:shd w:val="clear" w:color="auto" w:fill="324F82"/>
            <w:tcMar>
              <w:top w:w="0" w:type="dxa"/>
              <w:left w:w="0" w:type="dxa"/>
              <w:bottom w:w="0" w:type="dxa"/>
              <w:right w:w="0" w:type="dxa"/>
            </w:tcMar>
            <w:vAlign w:val="center"/>
          </w:tcPr>
          <w:p w14:paraId="7EC45ADF" w14:textId="77777777" w:rsidR="00082A4F" w:rsidRPr="00EE00D8" w:rsidRDefault="00082A4F" w:rsidP="00A760D2">
            <w:pPr>
              <w:pBdr>
                <w:top w:val="none" w:sz="0" w:space="0" w:color="000000"/>
                <w:left w:val="none" w:sz="0" w:space="0" w:color="000000"/>
                <w:bottom w:val="none" w:sz="0" w:space="0" w:color="000000"/>
                <w:right w:val="none" w:sz="0" w:space="0" w:color="000000"/>
              </w:pBdr>
              <w:spacing w:before="100" w:after="100"/>
              <w:ind w:left="100" w:right="100"/>
              <w:jc w:val="right"/>
              <w:rPr>
                <w:rFonts w:ascii="Arial" w:eastAsia="Arial" w:hAnsi="Arial"/>
                <w:b/>
                <w:color w:val="FFFFFF" w:themeColor="background1"/>
              </w:rPr>
            </w:pPr>
            <w:r w:rsidRPr="3317B65F">
              <w:rPr>
                <w:rFonts w:ascii="Arial" w:eastAsia="Arial" w:hAnsi="Arial"/>
                <w:b/>
                <w:color w:val="FFFFFF" w:themeColor="background1"/>
              </w:rPr>
              <w:t>Number of Cases</w:t>
            </w:r>
          </w:p>
        </w:tc>
      </w:tr>
      <w:tr w:rsidR="00082A4F" w14:paraId="50FFC156" w14:textId="77777777" w:rsidTr="00A760D2">
        <w:tc>
          <w:tcPr>
            <w:tcW w:w="4752" w:type="dxa"/>
            <w:tcBorders>
              <w:top w:val="single" w:sz="12" w:space="0" w:color="666666"/>
              <w:left w:val="none" w:sz="0" w:space="0" w:color="000000" w:themeColor="text1"/>
              <w:bottom w:val="none" w:sz="0" w:space="0" w:color="000000" w:themeColor="text1"/>
              <w:right w:val="none" w:sz="0" w:space="0" w:color="000000" w:themeColor="text1"/>
            </w:tcBorders>
            <w:shd w:val="clear" w:color="auto" w:fill="FFFFFF" w:themeFill="background1"/>
            <w:tcMar>
              <w:top w:w="0" w:type="dxa"/>
              <w:left w:w="0" w:type="dxa"/>
              <w:bottom w:w="0" w:type="dxa"/>
              <w:right w:w="0" w:type="dxa"/>
            </w:tcMar>
            <w:vAlign w:val="center"/>
          </w:tcPr>
          <w:p w14:paraId="00E13638" w14:textId="77777777" w:rsidR="00082A4F" w:rsidRPr="00EE00D8" w:rsidRDefault="00082A4F" w:rsidP="00A760D2">
            <w:pPr>
              <w:pBdr>
                <w:top w:val="none" w:sz="0" w:space="0" w:color="000000"/>
                <w:left w:val="none" w:sz="0" w:space="0" w:color="000000"/>
                <w:bottom w:val="none" w:sz="0" w:space="0" w:color="000000"/>
                <w:right w:val="none" w:sz="0" w:space="0" w:color="000000"/>
              </w:pBdr>
              <w:spacing w:before="40" w:after="40"/>
              <w:ind w:left="40" w:right="40"/>
              <w:rPr>
                <w:rFonts w:ascii="Arial" w:eastAsia="Arial" w:hAnsi="Arial"/>
                <w:color w:val="000000" w:themeColor="text1"/>
              </w:rPr>
            </w:pPr>
            <w:r w:rsidRPr="3317B65F">
              <w:rPr>
                <w:rFonts w:ascii="Arial" w:eastAsia="Arial" w:hAnsi="Arial"/>
                <w:color w:val="000000" w:themeColor="text1"/>
              </w:rPr>
              <w:t>Myocarditis</w:t>
            </w:r>
          </w:p>
        </w:tc>
        <w:tc>
          <w:tcPr>
            <w:tcW w:w="2016" w:type="dxa"/>
            <w:tcBorders>
              <w:top w:val="single" w:sz="12" w:space="0" w:color="666666"/>
              <w:left w:val="none" w:sz="0" w:space="0" w:color="000000" w:themeColor="text1"/>
              <w:bottom w:val="none" w:sz="0" w:space="0" w:color="000000" w:themeColor="text1"/>
              <w:right w:val="none" w:sz="0" w:space="0" w:color="000000" w:themeColor="text1"/>
            </w:tcBorders>
            <w:shd w:val="clear" w:color="auto" w:fill="FFFFFF" w:themeFill="background1"/>
            <w:tcMar>
              <w:top w:w="0" w:type="dxa"/>
              <w:left w:w="0" w:type="dxa"/>
              <w:bottom w:w="0" w:type="dxa"/>
              <w:right w:w="0" w:type="dxa"/>
            </w:tcMar>
            <w:vAlign w:val="center"/>
          </w:tcPr>
          <w:p w14:paraId="5AE9A8DB" w14:textId="77777777" w:rsidR="00082A4F" w:rsidRPr="00EE00D8" w:rsidRDefault="00082A4F" w:rsidP="00A760D2">
            <w:pPr>
              <w:pBdr>
                <w:top w:val="none" w:sz="0" w:space="0" w:color="000000"/>
                <w:left w:val="none" w:sz="0" w:space="0" w:color="000000"/>
                <w:bottom w:val="none" w:sz="0" w:space="0" w:color="000000"/>
                <w:right w:val="none" w:sz="0" w:space="0" w:color="000000"/>
              </w:pBdr>
              <w:spacing w:before="40" w:after="40"/>
              <w:ind w:left="40" w:right="40"/>
              <w:jc w:val="right"/>
              <w:rPr>
                <w:rFonts w:ascii="Arial" w:eastAsia="Arial" w:hAnsi="Arial"/>
                <w:color w:val="000000" w:themeColor="text1"/>
              </w:rPr>
            </w:pPr>
            <w:r w:rsidRPr="3317B65F">
              <w:rPr>
                <w:rFonts w:ascii="Arial" w:eastAsia="Arial" w:hAnsi="Arial"/>
                <w:color w:val="000000" w:themeColor="text1"/>
              </w:rPr>
              <w:t>11</w:t>
            </w:r>
          </w:p>
        </w:tc>
      </w:tr>
      <w:tr w:rsidR="00082A4F" w14:paraId="21ECFB95" w14:textId="77777777" w:rsidTr="00A760D2">
        <w:tc>
          <w:tcPr>
            <w:tcW w:w="4752" w:type="dxa"/>
            <w:tcBorders>
              <w:top w:val="none" w:sz="0" w:space="0" w:color="000000" w:themeColor="text1"/>
              <w:left w:val="none" w:sz="0" w:space="0" w:color="000000" w:themeColor="text1"/>
              <w:bottom w:val="none" w:sz="0" w:space="0" w:color="000000" w:themeColor="text1"/>
              <w:right w:val="none" w:sz="0" w:space="0" w:color="000000" w:themeColor="text1"/>
            </w:tcBorders>
            <w:shd w:val="clear" w:color="auto" w:fill="FFFFFF" w:themeFill="background1"/>
            <w:tcMar>
              <w:top w:w="0" w:type="dxa"/>
              <w:left w:w="0" w:type="dxa"/>
              <w:bottom w:w="0" w:type="dxa"/>
              <w:right w:w="0" w:type="dxa"/>
            </w:tcMar>
            <w:vAlign w:val="center"/>
          </w:tcPr>
          <w:p w14:paraId="7EA8D522" w14:textId="77777777" w:rsidR="00082A4F" w:rsidRPr="00EE00D8" w:rsidRDefault="00082A4F" w:rsidP="00A760D2">
            <w:pPr>
              <w:pBdr>
                <w:top w:val="none" w:sz="0" w:space="0" w:color="000000"/>
                <w:left w:val="none" w:sz="0" w:space="0" w:color="000000"/>
                <w:bottom w:val="none" w:sz="0" w:space="0" w:color="000000"/>
                <w:right w:val="none" w:sz="0" w:space="0" w:color="000000"/>
              </w:pBdr>
              <w:spacing w:before="40" w:after="40"/>
              <w:ind w:left="40" w:right="40"/>
              <w:rPr>
                <w:rFonts w:ascii="Arial" w:eastAsia="Arial" w:hAnsi="Arial"/>
                <w:color w:val="000000" w:themeColor="text1"/>
              </w:rPr>
            </w:pPr>
            <w:r w:rsidRPr="3317B65F">
              <w:rPr>
                <w:rFonts w:ascii="Arial" w:eastAsia="Arial" w:hAnsi="Arial"/>
                <w:color w:val="000000" w:themeColor="text1"/>
              </w:rPr>
              <w:t>Meningitis/Encephalitis</w:t>
            </w:r>
          </w:p>
        </w:tc>
        <w:tc>
          <w:tcPr>
            <w:tcW w:w="2016" w:type="dxa"/>
            <w:tcBorders>
              <w:top w:val="none" w:sz="0" w:space="0" w:color="000000" w:themeColor="text1"/>
              <w:left w:val="none" w:sz="0" w:space="0" w:color="000000" w:themeColor="text1"/>
              <w:bottom w:val="none" w:sz="0" w:space="0" w:color="000000" w:themeColor="text1"/>
              <w:right w:val="none" w:sz="0" w:space="0" w:color="000000" w:themeColor="text1"/>
            </w:tcBorders>
            <w:shd w:val="clear" w:color="auto" w:fill="FFFFFF" w:themeFill="background1"/>
            <w:tcMar>
              <w:top w:w="0" w:type="dxa"/>
              <w:left w:w="0" w:type="dxa"/>
              <w:bottom w:w="0" w:type="dxa"/>
              <w:right w:w="0" w:type="dxa"/>
            </w:tcMar>
            <w:vAlign w:val="center"/>
          </w:tcPr>
          <w:p w14:paraId="2E0571D6" w14:textId="77777777" w:rsidR="00082A4F" w:rsidRPr="00EE00D8" w:rsidRDefault="00082A4F" w:rsidP="00A760D2">
            <w:pPr>
              <w:pBdr>
                <w:top w:val="none" w:sz="0" w:space="0" w:color="000000"/>
                <w:left w:val="none" w:sz="0" w:space="0" w:color="000000"/>
                <w:bottom w:val="none" w:sz="0" w:space="0" w:color="000000"/>
                <w:right w:val="none" w:sz="0" w:space="0" w:color="000000"/>
              </w:pBdr>
              <w:spacing w:before="40" w:after="40"/>
              <w:ind w:left="40" w:right="40"/>
              <w:jc w:val="right"/>
              <w:rPr>
                <w:rFonts w:ascii="Arial" w:eastAsia="Arial" w:hAnsi="Arial"/>
                <w:color w:val="000000" w:themeColor="text1"/>
              </w:rPr>
            </w:pPr>
            <w:r w:rsidRPr="3317B65F">
              <w:rPr>
                <w:rFonts w:ascii="Arial" w:eastAsia="Arial" w:hAnsi="Arial"/>
                <w:color w:val="000000" w:themeColor="text1"/>
              </w:rPr>
              <w:t>21</w:t>
            </w:r>
          </w:p>
        </w:tc>
      </w:tr>
      <w:tr w:rsidR="00082A4F" w14:paraId="04BE06A0" w14:textId="77777777" w:rsidTr="00A760D2">
        <w:tc>
          <w:tcPr>
            <w:tcW w:w="4752" w:type="dxa"/>
            <w:tcBorders>
              <w:top w:val="none" w:sz="0" w:space="0" w:color="000000" w:themeColor="text1"/>
              <w:left w:val="none" w:sz="0" w:space="0" w:color="000000" w:themeColor="text1"/>
              <w:bottom w:val="single" w:sz="12" w:space="0" w:color="666666"/>
              <w:right w:val="none" w:sz="0" w:space="0" w:color="000000" w:themeColor="text1"/>
            </w:tcBorders>
            <w:shd w:val="clear" w:color="auto" w:fill="FFFFFF" w:themeFill="background1"/>
            <w:tcMar>
              <w:top w:w="0" w:type="dxa"/>
              <w:left w:w="0" w:type="dxa"/>
              <w:bottom w:w="0" w:type="dxa"/>
              <w:right w:w="0" w:type="dxa"/>
            </w:tcMar>
            <w:vAlign w:val="center"/>
          </w:tcPr>
          <w:p w14:paraId="1B7C38A1" w14:textId="77777777" w:rsidR="00082A4F" w:rsidRPr="00EE00D8" w:rsidRDefault="00082A4F" w:rsidP="00A760D2">
            <w:pPr>
              <w:pBdr>
                <w:top w:val="none" w:sz="0" w:space="0" w:color="000000"/>
                <w:left w:val="none" w:sz="0" w:space="0" w:color="000000"/>
                <w:bottom w:val="none" w:sz="0" w:space="0" w:color="000000"/>
                <w:right w:val="none" w:sz="0" w:space="0" w:color="000000"/>
              </w:pBdr>
              <w:spacing w:before="40" w:after="40"/>
              <w:ind w:left="40" w:right="40"/>
              <w:rPr>
                <w:rFonts w:ascii="Arial" w:eastAsia="Arial" w:hAnsi="Arial"/>
                <w:color w:val="000000" w:themeColor="text1"/>
              </w:rPr>
            </w:pPr>
            <w:r w:rsidRPr="3317B65F">
              <w:rPr>
                <w:rFonts w:ascii="Arial" w:eastAsia="Arial" w:hAnsi="Arial"/>
                <w:color w:val="000000" w:themeColor="text1"/>
              </w:rPr>
              <w:t>Sepsis</w:t>
            </w:r>
          </w:p>
        </w:tc>
        <w:tc>
          <w:tcPr>
            <w:tcW w:w="2016" w:type="dxa"/>
            <w:tcBorders>
              <w:top w:val="none" w:sz="0" w:space="0" w:color="000000" w:themeColor="text1"/>
              <w:left w:val="none" w:sz="0" w:space="0" w:color="000000" w:themeColor="text1"/>
              <w:bottom w:val="single" w:sz="12" w:space="0" w:color="666666"/>
              <w:right w:val="none" w:sz="0" w:space="0" w:color="000000" w:themeColor="text1"/>
            </w:tcBorders>
            <w:shd w:val="clear" w:color="auto" w:fill="FFFFFF" w:themeFill="background1"/>
            <w:tcMar>
              <w:top w:w="0" w:type="dxa"/>
              <w:left w:w="0" w:type="dxa"/>
              <w:bottom w:w="0" w:type="dxa"/>
              <w:right w:w="0" w:type="dxa"/>
            </w:tcMar>
            <w:vAlign w:val="center"/>
          </w:tcPr>
          <w:p w14:paraId="0795467E" w14:textId="77777777" w:rsidR="00082A4F" w:rsidRPr="00EE00D8" w:rsidRDefault="00082A4F" w:rsidP="00A760D2">
            <w:pPr>
              <w:pBdr>
                <w:top w:val="none" w:sz="0" w:space="0" w:color="000000"/>
                <w:left w:val="none" w:sz="0" w:space="0" w:color="000000"/>
                <w:bottom w:val="none" w:sz="0" w:space="0" w:color="000000"/>
                <w:right w:val="none" w:sz="0" w:space="0" w:color="000000"/>
              </w:pBdr>
              <w:spacing w:before="40" w:after="40"/>
              <w:ind w:left="40" w:right="40"/>
              <w:jc w:val="right"/>
              <w:rPr>
                <w:rFonts w:ascii="Arial" w:eastAsia="Arial" w:hAnsi="Arial"/>
                <w:color w:val="000000" w:themeColor="text1"/>
              </w:rPr>
            </w:pPr>
            <w:r w:rsidRPr="3317B65F">
              <w:rPr>
                <w:rFonts w:ascii="Arial" w:eastAsia="Arial" w:hAnsi="Arial"/>
                <w:color w:val="000000" w:themeColor="text1"/>
              </w:rPr>
              <w:t>23</w:t>
            </w:r>
          </w:p>
        </w:tc>
      </w:tr>
    </w:tbl>
    <w:p w14:paraId="0910DA1B" w14:textId="77777777" w:rsidR="00082A4F" w:rsidRDefault="00082A4F" w:rsidP="00082A4F">
      <w:pPr>
        <w:pStyle w:val="grey10"/>
      </w:pPr>
      <w:r>
        <w:t>Disease category is cleaned from both final diagnosis and clinical conditions at presentation. In the table cases are counted in all categories that they were identified as.</w:t>
      </w:r>
    </w:p>
    <w:p w14:paraId="668BF734" w14:textId="77777777" w:rsidR="00082A4F" w:rsidRDefault="00082A4F" w:rsidP="00082A4F">
      <w:pPr>
        <w:pStyle w:val="BodyText"/>
      </w:pPr>
    </w:p>
    <w:p w14:paraId="229764FA" w14:textId="77777777" w:rsidR="00082A4F" w:rsidRDefault="00082A4F" w:rsidP="00082A4F"/>
    <w:p w14:paraId="2509918E" w14:textId="77777777" w:rsidR="00082A4F" w:rsidRDefault="00082A4F" w:rsidP="00082A4F"/>
    <w:p w14:paraId="7B21BA0B" w14:textId="77777777" w:rsidR="00082A4F" w:rsidRDefault="00082A4F" w:rsidP="00082A4F"/>
    <w:p w14:paraId="57EB2072" w14:textId="77777777" w:rsidR="00082A4F" w:rsidRDefault="00082A4F" w:rsidP="00082A4F"/>
    <w:p w14:paraId="72489758" w14:textId="77777777" w:rsidR="00082A4F" w:rsidRDefault="00082A4F" w:rsidP="00082A4F"/>
    <w:p w14:paraId="65E2F451" w14:textId="77777777" w:rsidR="00082A4F" w:rsidRDefault="00082A4F" w:rsidP="00082A4F"/>
    <w:p w14:paraId="4EC3B040" w14:textId="77777777" w:rsidR="00082A4F" w:rsidRDefault="00082A4F" w:rsidP="00082A4F"/>
    <w:p w14:paraId="444D6583" w14:textId="77777777" w:rsidR="00082A4F" w:rsidRDefault="00082A4F" w:rsidP="00082A4F"/>
    <w:p w14:paraId="683C1965" w14:textId="77777777" w:rsidR="00082A4F" w:rsidRDefault="00082A4F" w:rsidP="00082A4F">
      <w:pPr>
        <w:pStyle w:val="BodyText"/>
      </w:pPr>
      <w:bookmarkStart w:id="2" w:name="X8ca11e69d22ede69f6a5c80434f4cf923678a18"/>
      <w:bookmarkEnd w:id="1"/>
    </w:p>
    <w:bookmarkEnd w:id="2"/>
    <w:p w14:paraId="64A72A7B" w14:textId="77777777" w:rsidR="00082A4F" w:rsidRDefault="00082A4F" w:rsidP="00082A4F">
      <w:pPr>
        <w:pStyle w:val="Heading2"/>
      </w:pPr>
      <w:r>
        <w:lastRenderedPageBreak/>
        <w:t>Epi curve: Weekly cases Myocarditis vs Non-Myocarditis</w:t>
      </w:r>
    </w:p>
    <w:p w14:paraId="7C159502" w14:textId="77777777" w:rsidR="00082A4F" w:rsidRDefault="00082A4F" w:rsidP="00082A4F">
      <w:pPr>
        <w:pStyle w:val="FirstParagraph"/>
      </w:pPr>
      <w:r>
        <w:rPr>
          <w:noProof/>
          <w:lang w:val="en-GB" w:eastAsia="en-GB"/>
        </w:rPr>
        <w:drawing>
          <wp:inline distT="0" distB="0" distL="0" distR="0" wp14:anchorId="7797DD3B" wp14:editId="180F0BF5">
            <wp:extent cx="5943600" cy="2971800"/>
            <wp:effectExtent l="0" t="0" r="0" b="0"/>
            <wp:docPr id="31" name="Picture"/>
            <wp:cNvGraphicFramePr/>
            <a:graphic xmlns:a="http://schemas.openxmlformats.org/drawingml/2006/main">
              <a:graphicData uri="http://schemas.openxmlformats.org/drawingml/2006/picture">
                <pic:pic xmlns:pic="http://schemas.openxmlformats.org/drawingml/2006/picture">
                  <pic:nvPicPr>
                    <pic:cNvPr id="32" name="Picture" descr="Y:\Wales\Enterovirus%20surveillance\2022-23%20Coxsackievirus\Output\Reports\Epi%20Summary%20Neonatal%20Myocarditis%20Cluster%20Wales%2020-06-2023_files/figure-docx/epi_curve_myo_cases-1.png"/>
                    <pic:cNvPicPr>
                      <a:picLocks noChangeAspect="1" noChangeArrowheads="1"/>
                    </pic:cNvPicPr>
                  </pic:nvPicPr>
                  <pic:blipFill>
                    <a:blip r:embed="rId10"/>
                    <a:stretch>
                      <a:fillRect/>
                    </a:stretch>
                  </pic:blipFill>
                  <pic:spPr bwMode="auto">
                    <a:xfrm>
                      <a:off x="0" y="0"/>
                      <a:ext cx="5943600" cy="2971800"/>
                    </a:xfrm>
                    <a:prstGeom prst="rect">
                      <a:avLst/>
                    </a:prstGeom>
                    <a:noFill/>
                    <a:ln w="9525">
                      <a:noFill/>
                      <a:headEnd/>
                      <a:tailEnd/>
                    </a:ln>
                  </pic:spPr>
                </pic:pic>
              </a:graphicData>
            </a:graphic>
          </wp:inline>
        </w:drawing>
      </w:r>
    </w:p>
    <w:p w14:paraId="6302763E" w14:textId="77777777" w:rsidR="00082A4F" w:rsidRDefault="00082A4F" w:rsidP="00082A4F">
      <w:pPr>
        <w:pStyle w:val="Heading4"/>
      </w:pPr>
      <w:r>
        <w:t>Myocarditis cases</w:t>
      </w:r>
    </w:p>
    <w:p w14:paraId="707F26ED" w14:textId="77777777" w:rsidR="00082A4F" w:rsidRDefault="00082A4F" w:rsidP="00082A4F">
      <w:r>
        <w:t>There were 11 reported cases of enterovirus myocarditis. Only one further case was reported after the first IMT (report from May 2023).</w:t>
      </w:r>
    </w:p>
    <w:p w14:paraId="59053C58" w14:textId="77777777" w:rsidR="00082A4F" w:rsidRPr="00D22547" w:rsidRDefault="00082A4F" w:rsidP="00082A4F">
      <w:r>
        <w:t>The cases were very young (median age at first positive test 9 days) and nearly all in the southern part of Wales (map redacted). There was a marked gradient by deprivation quintile of case residence, with higher numbers in the less deprived areas, although absolute case numbers were small so this may not have been statistically significant.</w:t>
      </w:r>
    </w:p>
    <w:p w14:paraId="38E8EBB0" w14:textId="77777777" w:rsidR="00082A4F" w:rsidRDefault="00082A4F" w:rsidP="00082A4F"/>
    <w:p w14:paraId="5AA6921B" w14:textId="77777777" w:rsidR="00082A4F" w:rsidRDefault="00082A4F" w:rsidP="00082A4F">
      <w:pPr>
        <w:pStyle w:val="Subtitle"/>
      </w:pPr>
      <w:bookmarkStart w:id="3" w:name="age-breakdown-for-myocarditis-cases"/>
      <w:r>
        <w:t>Age breakdown for Myocarditis cases</w:t>
      </w:r>
    </w:p>
    <w:p w14:paraId="4340077A" w14:textId="77777777" w:rsidR="00082A4F" w:rsidRDefault="00082A4F" w:rsidP="00082A4F">
      <w:pPr>
        <w:pStyle w:val="FirstParagraph"/>
      </w:pPr>
      <w:r>
        <w:t>For Myocarditis cases, median age at first positive test is 9 days (range 4 - 19)</w:t>
      </w:r>
    </w:p>
    <w:p w14:paraId="0A6B9BDB" w14:textId="77777777" w:rsidR="00082A4F" w:rsidRDefault="00082A4F" w:rsidP="00082A4F">
      <w:pPr>
        <w:pStyle w:val="BodyText"/>
      </w:pPr>
      <w:r>
        <w:rPr>
          <w:noProof/>
          <w:lang w:val="en-GB" w:eastAsia="en-GB"/>
        </w:rPr>
        <w:drawing>
          <wp:inline distT="0" distB="0" distL="0" distR="0" wp14:anchorId="144A82A9" wp14:editId="098339E8">
            <wp:extent cx="5943600" cy="2971800"/>
            <wp:effectExtent l="0" t="0" r="0" b="0"/>
            <wp:docPr id="55" name="Picture"/>
            <wp:cNvGraphicFramePr/>
            <a:graphic xmlns:a="http://schemas.openxmlformats.org/drawingml/2006/main">
              <a:graphicData uri="http://schemas.openxmlformats.org/drawingml/2006/picture">
                <pic:pic xmlns:pic="http://schemas.openxmlformats.org/drawingml/2006/picture">
                  <pic:nvPicPr>
                    <pic:cNvPr id="56" name="Picture" descr="Y:\Wales\Enterovirus%20surveillance\2022-23%20Coxsackievirus\Output\Reports\Epi%20Summary%20Neonatal%20Myocarditis%20Cluster%20Wales%2020-06-2023_files/figure-docx/age_myo-1.png"/>
                    <pic:cNvPicPr>
                      <a:picLocks noChangeAspect="1" noChangeArrowheads="1"/>
                    </pic:cNvPicPr>
                  </pic:nvPicPr>
                  <pic:blipFill>
                    <a:blip r:embed="rId11"/>
                    <a:stretch>
                      <a:fillRect/>
                    </a:stretch>
                  </pic:blipFill>
                  <pic:spPr bwMode="auto">
                    <a:xfrm>
                      <a:off x="0" y="0"/>
                      <a:ext cx="5943600" cy="2971800"/>
                    </a:xfrm>
                    <a:prstGeom prst="rect">
                      <a:avLst/>
                    </a:prstGeom>
                    <a:noFill/>
                    <a:ln w="9525">
                      <a:noFill/>
                      <a:headEnd/>
                      <a:tailEnd/>
                    </a:ln>
                  </pic:spPr>
                </pic:pic>
              </a:graphicData>
            </a:graphic>
          </wp:inline>
        </w:drawing>
      </w:r>
    </w:p>
    <w:p w14:paraId="5D46CD70" w14:textId="77777777" w:rsidR="00082A4F" w:rsidRDefault="00082A4F" w:rsidP="00082A4F">
      <w:pPr>
        <w:pStyle w:val="Subtitle"/>
      </w:pPr>
      <w:bookmarkStart w:id="4" w:name="gender-breakdown-for-myocarditis-cases"/>
      <w:bookmarkEnd w:id="3"/>
      <w:r>
        <w:t>Gender breakdown for Myocarditis cases</w:t>
      </w:r>
    </w:p>
    <w:tbl>
      <w:tblPr>
        <w:tblW w:w="0" w:type="auto"/>
        <w:tblLayout w:type="fixed"/>
        <w:tblLook w:val="0420" w:firstRow="1" w:lastRow="0" w:firstColumn="0" w:lastColumn="0" w:noHBand="0" w:noVBand="1"/>
      </w:tblPr>
      <w:tblGrid>
        <w:gridCol w:w="1080"/>
        <w:gridCol w:w="1080"/>
        <w:gridCol w:w="1080"/>
      </w:tblGrid>
      <w:tr w:rsidR="00082A4F" w14:paraId="5CCD0EF5" w14:textId="77777777" w:rsidTr="00A760D2">
        <w:trPr>
          <w:tblHeader/>
        </w:trPr>
        <w:tc>
          <w:tcPr>
            <w:tcW w:w="1080" w:type="dxa"/>
            <w:tcBorders>
              <w:top w:val="single" w:sz="12" w:space="0" w:color="666666"/>
              <w:left w:val="none" w:sz="0" w:space="0" w:color="000000" w:themeColor="text1"/>
              <w:bottom w:val="single" w:sz="12" w:space="0" w:color="666666"/>
              <w:right w:val="none" w:sz="0" w:space="0" w:color="000000" w:themeColor="text1"/>
            </w:tcBorders>
            <w:shd w:val="clear" w:color="auto" w:fill="324F82"/>
            <w:tcMar>
              <w:top w:w="0" w:type="dxa"/>
              <w:left w:w="0" w:type="dxa"/>
              <w:bottom w:w="0" w:type="dxa"/>
              <w:right w:w="0" w:type="dxa"/>
            </w:tcMar>
            <w:vAlign w:val="center"/>
          </w:tcPr>
          <w:p w14:paraId="00443A54" w14:textId="77777777" w:rsidR="00082A4F" w:rsidRPr="00EE00D8" w:rsidRDefault="00082A4F" w:rsidP="00A760D2">
            <w:pPr>
              <w:pBdr>
                <w:top w:val="none" w:sz="0" w:space="0" w:color="000000"/>
                <w:left w:val="none" w:sz="0" w:space="0" w:color="000000"/>
                <w:bottom w:val="none" w:sz="0" w:space="0" w:color="000000"/>
                <w:right w:val="none" w:sz="0" w:space="0" w:color="000000"/>
              </w:pBdr>
              <w:spacing w:before="100" w:after="100"/>
              <w:ind w:left="100" w:right="100"/>
              <w:rPr>
                <w:rFonts w:ascii="Arial" w:eastAsia="Arial" w:hAnsi="Arial"/>
                <w:b/>
                <w:color w:val="FFFFFF" w:themeColor="background1"/>
              </w:rPr>
            </w:pPr>
            <w:r w:rsidRPr="3317B65F">
              <w:rPr>
                <w:rFonts w:ascii="Arial" w:eastAsia="Arial" w:hAnsi="Arial"/>
                <w:b/>
                <w:color w:val="FFFFFF" w:themeColor="background1"/>
              </w:rPr>
              <w:lastRenderedPageBreak/>
              <w:t>Gender</w:t>
            </w:r>
          </w:p>
        </w:tc>
        <w:tc>
          <w:tcPr>
            <w:tcW w:w="1080" w:type="dxa"/>
            <w:tcBorders>
              <w:top w:val="single" w:sz="12" w:space="0" w:color="666666"/>
              <w:left w:val="none" w:sz="0" w:space="0" w:color="000000" w:themeColor="text1"/>
              <w:bottom w:val="single" w:sz="12" w:space="0" w:color="666666"/>
              <w:right w:val="none" w:sz="0" w:space="0" w:color="000000" w:themeColor="text1"/>
            </w:tcBorders>
            <w:shd w:val="clear" w:color="auto" w:fill="324F82"/>
            <w:tcMar>
              <w:top w:w="0" w:type="dxa"/>
              <w:left w:w="0" w:type="dxa"/>
              <w:bottom w:w="0" w:type="dxa"/>
              <w:right w:w="0" w:type="dxa"/>
            </w:tcMar>
            <w:vAlign w:val="center"/>
          </w:tcPr>
          <w:p w14:paraId="547E4690" w14:textId="77777777" w:rsidR="00082A4F" w:rsidRPr="00EE00D8" w:rsidRDefault="00082A4F" w:rsidP="00A760D2">
            <w:pPr>
              <w:pBdr>
                <w:top w:val="none" w:sz="0" w:space="0" w:color="000000"/>
                <w:left w:val="none" w:sz="0" w:space="0" w:color="000000"/>
                <w:bottom w:val="none" w:sz="0" w:space="0" w:color="000000"/>
                <w:right w:val="none" w:sz="0" w:space="0" w:color="000000"/>
              </w:pBdr>
              <w:spacing w:before="100" w:after="100"/>
              <w:ind w:left="100" w:right="100"/>
              <w:jc w:val="center"/>
              <w:rPr>
                <w:rFonts w:ascii="Arial" w:eastAsia="Arial" w:hAnsi="Arial"/>
                <w:b/>
                <w:color w:val="FFFFFF" w:themeColor="background1"/>
              </w:rPr>
            </w:pPr>
            <w:r w:rsidRPr="3317B65F">
              <w:rPr>
                <w:rFonts w:ascii="Arial" w:eastAsia="Arial" w:hAnsi="Arial"/>
                <w:b/>
                <w:color w:val="FFFFFF" w:themeColor="background1"/>
              </w:rPr>
              <w:t>Cases (n)</w:t>
            </w:r>
          </w:p>
        </w:tc>
        <w:tc>
          <w:tcPr>
            <w:tcW w:w="1080" w:type="dxa"/>
            <w:tcBorders>
              <w:top w:val="single" w:sz="12" w:space="0" w:color="666666"/>
              <w:left w:val="none" w:sz="0" w:space="0" w:color="000000" w:themeColor="text1"/>
              <w:bottom w:val="single" w:sz="12" w:space="0" w:color="666666"/>
              <w:right w:val="none" w:sz="0" w:space="0" w:color="000000" w:themeColor="text1"/>
            </w:tcBorders>
            <w:shd w:val="clear" w:color="auto" w:fill="324F82"/>
            <w:tcMar>
              <w:top w:w="0" w:type="dxa"/>
              <w:left w:w="0" w:type="dxa"/>
              <w:bottom w:w="0" w:type="dxa"/>
              <w:right w:w="0" w:type="dxa"/>
            </w:tcMar>
            <w:vAlign w:val="center"/>
          </w:tcPr>
          <w:p w14:paraId="0B65D5F0" w14:textId="77777777" w:rsidR="00082A4F" w:rsidRPr="00EE00D8" w:rsidRDefault="00082A4F" w:rsidP="00A760D2">
            <w:pPr>
              <w:pBdr>
                <w:top w:val="none" w:sz="0" w:space="0" w:color="000000"/>
                <w:left w:val="none" w:sz="0" w:space="0" w:color="000000"/>
                <w:bottom w:val="none" w:sz="0" w:space="0" w:color="000000"/>
                <w:right w:val="none" w:sz="0" w:space="0" w:color="000000"/>
              </w:pBdr>
              <w:spacing w:before="100" w:after="100"/>
              <w:ind w:left="100" w:right="100"/>
              <w:jc w:val="right"/>
              <w:rPr>
                <w:rFonts w:ascii="Arial" w:eastAsia="Arial" w:hAnsi="Arial"/>
                <w:b/>
                <w:color w:val="FFFFFF" w:themeColor="background1"/>
              </w:rPr>
            </w:pPr>
            <w:r w:rsidRPr="3317B65F">
              <w:rPr>
                <w:rFonts w:ascii="Arial" w:eastAsia="Arial" w:hAnsi="Arial"/>
                <w:b/>
                <w:color w:val="FFFFFF" w:themeColor="background1"/>
              </w:rPr>
              <w:t>(%)</w:t>
            </w:r>
          </w:p>
        </w:tc>
      </w:tr>
      <w:tr w:rsidR="00082A4F" w14:paraId="41513EB9" w14:textId="77777777" w:rsidTr="00A760D2">
        <w:tc>
          <w:tcPr>
            <w:tcW w:w="1080" w:type="dxa"/>
            <w:tcBorders>
              <w:top w:val="single" w:sz="12" w:space="0" w:color="666666"/>
              <w:left w:val="none" w:sz="0" w:space="0" w:color="000000" w:themeColor="text1"/>
              <w:bottom w:val="none" w:sz="0" w:space="0" w:color="000000" w:themeColor="text1"/>
              <w:right w:val="none" w:sz="0" w:space="0" w:color="000000" w:themeColor="text1"/>
            </w:tcBorders>
            <w:shd w:val="clear" w:color="auto" w:fill="FFFFFF" w:themeFill="background1"/>
            <w:tcMar>
              <w:top w:w="0" w:type="dxa"/>
              <w:left w:w="0" w:type="dxa"/>
              <w:bottom w:w="0" w:type="dxa"/>
              <w:right w:w="0" w:type="dxa"/>
            </w:tcMar>
            <w:vAlign w:val="center"/>
          </w:tcPr>
          <w:p w14:paraId="41C3C4BD" w14:textId="77777777" w:rsidR="00082A4F" w:rsidRPr="00EE00D8" w:rsidRDefault="00082A4F" w:rsidP="00A760D2">
            <w:pPr>
              <w:pBdr>
                <w:top w:val="none" w:sz="0" w:space="0" w:color="000000"/>
                <w:left w:val="none" w:sz="0" w:space="0" w:color="000000"/>
                <w:bottom w:val="none" w:sz="0" w:space="0" w:color="000000"/>
                <w:right w:val="none" w:sz="0" w:space="0" w:color="000000"/>
              </w:pBdr>
              <w:spacing w:before="40" w:after="40"/>
              <w:ind w:left="40" w:right="40"/>
              <w:rPr>
                <w:rFonts w:ascii="Arial" w:eastAsia="Arial" w:hAnsi="Arial"/>
                <w:color w:val="000000" w:themeColor="text1"/>
              </w:rPr>
            </w:pPr>
            <w:r w:rsidRPr="3317B65F">
              <w:rPr>
                <w:rFonts w:ascii="Arial" w:eastAsia="Arial" w:hAnsi="Arial"/>
                <w:color w:val="000000" w:themeColor="text1"/>
              </w:rPr>
              <w:t>Female</w:t>
            </w:r>
          </w:p>
        </w:tc>
        <w:tc>
          <w:tcPr>
            <w:tcW w:w="1080" w:type="dxa"/>
            <w:tcBorders>
              <w:top w:val="single" w:sz="12" w:space="0" w:color="666666"/>
              <w:left w:val="none" w:sz="0" w:space="0" w:color="000000" w:themeColor="text1"/>
              <w:bottom w:val="none" w:sz="0" w:space="0" w:color="000000" w:themeColor="text1"/>
              <w:right w:val="none" w:sz="0" w:space="0" w:color="000000" w:themeColor="text1"/>
            </w:tcBorders>
            <w:shd w:val="clear" w:color="auto" w:fill="FFFFFF" w:themeFill="background1"/>
            <w:tcMar>
              <w:top w:w="0" w:type="dxa"/>
              <w:left w:w="0" w:type="dxa"/>
              <w:bottom w:w="0" w:type="dxa"/>
              <w:right w:w="0" w:type="dxa"/>
            </w:tcMar>
            <w:vAlign w:val="center"/>
          </w:tcPr>
          <w:p w14:paraId="0E5F6A8B" w14:textId="77777777" w:rsidR="00082A4F" w:rsidRPr="00EE00D8" w:rsidRDefault="00082A4F" w:rsidP="00A760D2">
            <w:pPr>
              <w:pBdr>
                <w:top w:val="none" w:sz="0" w:space="0" w:color="000000"/>
                <w:left w:val="none" w:sz="0" w:space="0" w:color="000000"/>
                <w:bottom w:val="none" w:sz="0" w:space="0" w:color="000000"/>
                <w:right w:val="none" w:sz="0" w:space="0" w:color="000000"/>
              </w:pBdr>
              <w:spacing w:before="40" w:after="40"/>
              <w:ind w:left="40" w:right="40"/>
              <w:jc w:val="center"/>
              <w:rPr>
                <w:rFonts w:ascii="Arial" w:eastAsia="Arial" w:hAnsi="Arial"/>
                <w:color w:val="000000" w:themeColor="text1"/>
              </w:rPr>
            </w:pPr>
            <w:r w:rsidRPr="3317B65F">
              <w:rPr>
                <w:rFonts w:ascii="Arial" w:eastAsia="Arial" w:hAnsi="Arial"/>
                <w:color w:val="000000" w:themeColor="text1"/>
              </w:rPr>
              <w:t>6</w:t>
            </w:r>
          </w:p>
        </w:tc>
        <w:tc>
          <w:tcPr>
            <w:tcW w:w="1080" w:type="dxa"/>
            <w:tcBorders>
              <w:top w:val="single" w:sz="12" w:space="0" w:color="666666"/>
              <w:left w:val="none" w:sz="0" w:space="0" w:color="000000" w:themeColor="text1"/>
              <w:bottom w:val="none" w:sz="0" w:space="0" w:color="000000" w:themeColor="text1"/>
              <w:right w:val="none" w:sz="0" w:space="0" w:color="000000" w:themeColor="text1"/>
            </w:tcBorders>
            <w:shd w:val="clear" w:color="auto" w:fill="FFFFFF" w:themeFill="background1"/>
            <w:tcMar>
              <w:top w:w="0" w:type="dxa"/>
              <w:left w:w="0" w:type="dxa"/>
              <w:bottom w:w="0" w:type="dxa"/>
              <w:right w:w="0" w:type="dxa"/>
            </w:tcMar>
            <w:vAlign w:val="center"/>
          </w:tcPr>
          <w:p w14:paraId="7D870ED7" w14:textId="77777777" w:rsidR="00082A4F" w:rsidRPr="00EE00D8" w:rsidRDefault="00082A4F" w:rsidP="00A760D2">
            <w:pPr>
              <w:pBdr>
                <w:top w:val="none" w:sz="0" w:space="0" w:color="000000"/>
                <w:left w:val="none" w:sz="0" w:space="0" w:color="000000"/>
                <w:bottom w:val="none" w:sz="0" w:space="0" w:color="000000"/>
                <w:right w:val="none" w:sz="0" w:space="0" w:color="000000"/>
              </w:pBdr>
              <w:spacing w:before="40" w:after="40"/>
              <w:ind w:left="40" w:right="40"/>
              <w:jc w:val="right"/>
              <w:rPr>
                <w:rFonts w:ascii="Arial" w:eastAsia="Arial" w:hAnsi="Arial"/>
                <w:color w:val="000000" w:themeColor="text1"/>
              </w:rPr>
            </w:pPr>
            <w:r w:rsidRPr="3317B65F">
              <w:rPr>
                <w:rFonts w:ascii="Arial" w:eastAsia="Arial" w:hAnsi="Arial"/>
                <w:color w:val="000000" w:themeColor="text1"/>
              </w:rPr>
              <w:t>54.5</w:t>
            </w:r>
          </w:p>
        </w:tc>
      </w:tr>
      <w:tr w:rsidR="00082A4F" w14:paraId="243459A6" w14:textId="77777777" w:rsidTr="00A760D2">
        <w:tc>
          <w:tcPr>
            <w:tcW w:w="1080" w:type="dxa"/>
            <w:tcBorders>
              <w:top w:val="none" w:sz="0" w:space="0" w:color="000000" w:themeColor="text1"/>
              <w:left w:val="none" w:sz="0" w:space="0" w:color="000000" w:themeColor="text1"/>
              <w:bottom w:val="single" w:sz="12" w:space="0" w:color="000000" w:themeColor="text1"/>
              <w:right w:val="none" w:sz="0" w:space="0" w:color="000000" w:themeColor="text1"/>
            </w:tcBorders>
            <w:shd w:val="clear" w:color="auto" w:fill="FFFFFF" w:themeFill="background1"/>
            <w:tcMar>
              <w:top w:w="0" w:type="dxa"/>
              <w:left w:w="0" w:type="dxa"/>
              <w:bottom w:w="0" w:type="dxa"/>
              <w:right w:w="0" w:type="dxa"/>
            </w:tcMar>
            <w:vAlign w:val="center"/>
          </w:tcPr>
          <w:p w14:paraId="64E01958" w14:textId="77777777" w:rsidR="00082A4F" w:rsidRPr="00EE00D8" w:rsidRDefault="00082A4F" w:rsidP="00A760D2">
            <w:pPr>
              <w:pBdr>
                <w:top w:val="none" w:sz="0" w:space="0" w:color="000000"/>
                <w:left w:val="none" w:sz="0" w:space="0" w:color="000000"/>
                <w:bottom w:val="none" w:sz="0" w:space="0" w:color="000000"/>
                <w:right w:val="none" w:sz="0" w:space="0" w:color="000000"/>
              </w:pBdr>
              <w:spacing w:before="40" w:after="40"/>
              <w:ind w:left="40" w:right="40"/>
              <w:rPr>
                <w:rFonts w:ascii="Arial" w:eastAsia="Arial" w:hAnsi="Arial"/>
                <w:color w:val="000000" w:themeColor="text1"/>
              </w:rPr>
            </w:pPr>
            <w:r w:rsidRPr="3317B65F">
              <w:rPr>
                <w:rFonts w:ascii="Arial" w:eastAsia="Arial" w:hAnsi="Arial"/>
                <w:color w:val="000000" w:themeColor="text1"/>
              </w:rPr>
              <w:t>Male</w:t>
            </w:r>
          </w:p>
        </w:tc>
        <w:tc>
          <w:tcPr>
            <w:tcW w:w="1080" w:type="dxa"/>
            <w:tcBorders>
              <w:top w:val="none" w:sz="0" w:space="0" w:color="000000" w:themeColor="text1"/>
              <w:left w:val="none" w:sz="0" w:space="0" w:color="000000" w:themeColor="text1"/>
              <w:bottom w:val="single" w:sz="12" w:space="0" w:color="000000" w:themeColor="text1"/>
              <w:right w:val="none" w:sz="0" w:space="0" w:color="000000" w:themeColor="text1"/>
            </w:tcBorders>
            <w:shd w:val="clear" w:color="auto" w:fill="FFFFFF" w:themeFill="background1"/>
            <w:tcMar>
              <w:top w:w="0" w:type="dxa"/>
              <w:left w:w="0" w:type="dxa"/>
              <w:bottom w:w="0" w:type="dxa"/>
              <w:right w:w="0" w:type="dxa"/>
            </w:tcMar>
            <w:vAlign w:val="center"/>
          </w:tcPr>
          <w:p w14:paraId="04393285" w14:textId="77777777" w:rsidR="00082A4F" w:rsidRPr="00EE00D8" w:rsidRDefault="00082A4F" w:rsidP="00A760D2">
            <w:pPr>
              <w:pBdr>
                <w:top w:val="none" w:sz="0" w:space="0" w:color="000000"/>
                <w:left w:val="none" w:sz="0" w:space="0" w:color="000000"/>
                <w:bottom w:val="none" w:sz="0" w:space="0" w:color="000000"/>
                <w:right w:val="none" w:sz="0" w:space="0" w:color="000000"/>
              </w:pBdr>
              <w:spacing w:before="40" w:after="40"/>
              <w:ind w:left="40" w:right="40"/>
              <w:jc w:val="center"/>
              <w:rPr>
                <w:rFonts w:ascii="Arial" w:eastAsia="Arial" w:hAnsi="Arial"/>
                <w:color w:val="000000" w:themeColor="text1"/>
              </w:rPr>
            </w:pPr>
            <w:r w:rsidRPr="3317B65F">
              <w:rPr>
                <w:rFonts w:ascii="Arial" w:eastAsia="Arial" w:hAnsi="Arial"/>
                <w:color w:val="000000" w:themeColor="text1"/>
              </w:rPr>
              <w:t>5</w:t>
            </w:r>
          </w:p>
        </w:tc>
        <w:tc>
          <w:tcPr>
            <w:tcW w:w="1080" w:type="dxa"/>
            <w:tcBorders>
              <w:top w:val="none" w:sz="0" w:space="0" w:color="000000" w:themeColor="text1"/>
              <w:left w:val="none" w:sz="0" w:space="0" w:color="000000" w:themeColor="text1"/>
              <w:bottom w:val="single" w:sz="12" w:space="0" w:color="000000" w:themeColor="text1"/>
              <w:right w:val="none" w:sz="0" w:space="0" w:color="000000" w:themeColor="text1"/>
            </w:tcBorders>
            <w:shd w:val="clear" w:color="auto" w:fill="FFFFFF" w:themeFill="background1"/>
            <w:tcMar>
              <w:top w:w="0" w:type="dxa"/>
              <w:left w:w="0" w:type="dxa"/>
              <w:bottom w:w="0" w:type="dxa"/>
              <w:right w:w="0" w:type="dxa"/>
            </w:tcMar>
            <w:vAlign w:val="center"/>
          </w:tcPr>
          <w:p w14:paraId="2153BADC" w14:textId="77777777" w:rsidR="00082A4F" w:rsidRPr="00EE00D8" w:rsidRDefault="00082A4F" w:rsidP="00A760D2">
            <w:pPr>
              <w:pBdr>
                <w:top w:val="none" w:sz="0" w:space="0" w:color="000000"/>
                <w:left w:val="none" w:sz="0" w:space="0" w:color="000000"/>
                <w:bottom w:val="none" w:sz="0" w:space="0" w:color="000000"/>
                <w:right w:val="none" w:sz="0" w:space="0" w:color="000000"/>
              </w:pBdr>
              <w:spacing w:before="40" w:after="40"/>
              <w:ind w:left="40" w:right="40"/>
              <w:jc w:val="right"/>
              <w:rPr>
                <w:rFonts w:ascii="Arial" w:eastAsia="Arial" w:hAnsi="Arial"/>
                <w:color w:val="000000" w:themeColor="text1"/>
              </w:rPr>
            </w:pPr>
            <w:r w:rsidRPr="3317B65F">
              <w:rPr>
                <w:rFonts w:ascii="Arial" w:eastAsia="Arial" w:hAnsi="Arial"/>
                <w:color w:val="000000" w:themeColor="text1"/>
              </w:rPr>
              <w:t>45.5</w:t>
            </w:r>
          </w:p>
        </w:tc>
      </w:tr>
      <w:tr w:rsidR="00082A4F" w14:paraId="664BA315" w14:textId="77777777" w:rsidTr="00A760D2">
        <w:tc>
          <w:tcPr>
            <w:tcW w:w="1080" w:type="dxa"/>
            <w:tcBorders>
              <w:top w:val="single" w:sz="12" w:space="0" w:color="000000" w:themeColor="text1"/>
              <w:left w:val="none" w:sz="0" w:space="0" w:color="000000" w:themeColor="text1"/>
              <w:bottom w:val="single" w:sz="12" w:space="0" w:color="666666"/>
              <w:right w:val="none" w:sz="0" w:space="0" w:color="000000" w:themeColor="text1"/>
            </w:tcBorders>
            <w:shd w:val="clear" w:color="auto" w:fill="FFFFFF" w:themeFill="background1"/>
            <w:tcMar>
              <w:top w:w="0" w:type="dxa"/>
              <w:left w:w="0" w:type="dxa"/>
              <w:bottom w:w="0" w:type="dxa"/>
              <w:right w:w="0" w:type="dxa"/>
            </w:tcMar>
            <w:vAlign w:val="center"/>
          </w:tcPr>
          <w:p w14:paraId="075FF2F9" w14:textId="77777777" w:rsidR="00082A4F" w:rsidRPr="00EE00D8" w:rsidRDefault="00082A4F" w:rsidP="00A760D2">
            <w:pPr>
              <w:pBdr>
                <w:top w:val="none" w:sz="0" w:space="0" w:color="000000"/>
                <w:left w:val="none" w:sz="0" w:space="0" w:color="000000"/>
                <w:bottom w:val="none" w:sz="0" w:space="0" w:color="000000"/>
                <w:right w:val="none" w:sz="0" w:space="0" w:color="000000"/>
              </w:pBdr>
              <w:spacing w:before="40" w:after="40"/>
              <w:ind w:left="40" w:right="40"/>
              <w:rPr>
                <w:rFonts w:ascii="Arial" w:eastAsia="Arial" w:hAnsi="Arial"/>
                <w:color w:val="000000" w:themeColor="text1"/>
              </w:rPr>
            </w:pPr>
            <w:r w:rsidRPr="3317B65F">
              <w:rPr>
                <w:rFonts w:ascii="Arial" w:eastAsia="Arial" w:hAnsi="Arial"/>
                <w:color w:val="000000" w:themeColor="text1"/>
              </w:rPr>
              <w:t>Total</w:t>
            </w:r>
          </w:p>
        </w:tc>
        <w:tc>
          <w:tcPr>
            <w:tcW w:w="1080" w:type="dxa"/>
            <w:tcBorders>
              <w:top w:val="single" w:sz="12" w:space="0" w:color="000000" w:themeColor="text1"/>
              <w:left w:val="none" w:sz="0" w:space="0" w:color="000000" w:themeColor="text1"/>
              <w:bottom w:val="single" w:sz="12" w:space="0" w:color="666666"/>
              <w:right w:val="none" w:sz="0" w:space="0" w:color="000000" w:themeColor="text1"/>
            </w:tcBorders>
            <w:shd w:val="clear" w:color="auto" w:fill="FFFFFF" w:themeFill="background1"/>
            <w:tcMar>
              <w:top w:w="0" w:type="dxa"/>
              <w:left w:w="0" w:type="dxa"/>
              <w:bottom w:w="0" w:type="dxa"/>
              <w:right w:w="0" w:type="dxa"/>
            </w:tcMar>
            <w:vAlign w:val="center"/>
          </w:tcPr>
          <w:p w14:paraId="06F900BE" w14:textId="77777777" w:rsidR="00082A4F" w:rsidRPr="00EE00D8" w:rsidRDefault="00082A4F" w:rsidP="00A760D2">
            <w:pPr>
              <w:pBdr>
                <w:top w:val="none" w:sz="0" w:space="0" w:color="000000"/>
                <w:left w:val="none" w:sz="0" w:space="0" w:color="000000"/>
                <w:bottom w:val="none" w:sz="0" w:space="0" w:color="000000"/>
                <w:right w:val="none" w:sz="0" w:space="0" w:color="000000"/>
              </w:pBdr>
              <w:spacing w:before="40" w:after="40"/>
              <w:ind w:left="40" w:right="40"/>
              <w:jc w:val="center"/>
              <w:rPr>
                <w:rFonts w:ascii="Arial" w:eastAsia="Arial" w:hAnsi="Arial"/>
                <w:color w:val="000000" w:themeColor="text1"/>
              </w:rPr>
            </w:pPr>
            <w:r w:rsidRPr="3317B65F">
              <w:rPr>
                <w:rFonts w:ascii="Arial" w:eastAsia="Arial" w:hAnsi="Arial"/>
                <w:color w:val="000000" w:themeColor="text1"/>
              </w:rPr>
              <w:t>11</w:t>
            </w:r>
          </w:p>
        </w:tc>
        <w:tc>
          <w:tcPr>
            <w:tcW w:w="1080" w:type="dxa"/>
            <w:tcBorders>
              <w:top w:val="single" w:sz="12" w:space="0" w:color="000000" w:themeColor="text1"/>
              <w:left w:val="none" w:sz="0" w:space="0" w:color="000000" w:themeColor="text1"/>
              <w:bottom w:val="single" w:sz="12" w:space="0" w:color="666666"/>
              <w:right w:val="none" w:sz="0" w:space="0" w:color="000000" w:themeColor="text1"/>
            </w:tcBorders>
            <w:shd w:val="clear" w:color="auto" w:fill="FFFFFF" w:themeFill="background1"/>
            <w:tcMar>
              <w:top w:w="0" w:type="dxa"/>
              <w:left w:w="0" w:type="dxa"/>
              <w:bottom w:w="0" w:type="dxa"/>
              <w:right w:w="0" w:type="dxa"/>
            </w:tcMar>
            <w:vAlign w:val="center"/>
          </w:tcPr>
          <w:p w14:paraId="199E3B0A" w14:textId="77777777" w:rsidR="00082A4F" w:rsidRPr="00EE00D8" w:rsidRDefault="00082A4F" w:rsidP="00A760D2">
            <w:pPr>
              <w:pBdr>
                <w:top w:val="none" w:sz="0" w:space="0" w:color="000000"/>
                <w:left w:val="none" w:sz="0" w:space="0" w:color="000000"/>
                <w:bottom w:val="none" w:sz="0" w:space="0" w:color="000000"/>
                <w:right w:val="none" w:sz="0" w:space="0" w:color="000000"/>
              </w:pBdr>
              <w:spacing w:before="40" w:after="40"/>
              <w:ind w:left="40" w:right="40"/>
              <w:jc w:val="right"/>
              <w:rPr>
                <w:rFonts w:ascii="Arial" w:eastAsia="Arial" w:hAnsi="Arial"/>
                <w:color w:val="000000" w:themeColor="text1"/>
              </w:rPr>
            </w:pPr>
            <w:r w:rsidRPr="3317B65F">
              <w:rPr>
                <w:rFonts w:ascii="Arial" w:eastAsia="Arial" w:hAnsi="Arial"/>
                <w:color w:val="000000" w:themeColor="text1"/>
              </w:rPr>
              <w:t>100.0</w:t>
            </w:r>
          </w:p>
        </w:tc>
      </w:tr>
    </w:tbl>
    <w:p w14:paraId="7EBC3C29" w14:textId="77777777" w:rsidR="00082A4F" w:rsidRDefault="00082A4F" w:rsidP="00082A4F">
      <w:pPr>
        <w:pStyle w:val="FirstParagraph"/>
      </w:pPr>
    </w:p>
    <w:p w14:paraId="165CE171" w14:textId="77777777" w:rsidR="00082A4F" w:rsidRDefault="00082A4F" w:rsidP="00082A4F">
      <w:pPr>
        <w:pStyle w:val="Subtitle"/>
      </w:pPr>
      <w:bookmarkStart w:id="5" w:name="age-gender-pyramid-myocarditis-cases"/>
      <w:bookmarkEnd w:id="4"/>
      <w:r>
        <w:t>Age gender pyramid: Myocarditis cases</w:t>
      </w:r>
    </w:p>
    <w:p w14:paraId="044158F0" w14:textId="77777777" w:rsidR="00082A4F" w:rsidRDefault="00082A4F" w:rsidP="00082A4F">
      <w:pPr>
        <w:pStyle w:val="FirstParagraph"/>
      </w:pPr>
      <w:r>
        <w:rPr>
          <w:noProof/>
          <w:lang w:val="en-GB" w:eastAsia="en-GB"/>
        </w:rPr>
        <w:drawing>
          <wp:inline distT="0" distB="0" distL="0" distR="0" wp14:anchorId="0A5128B7" wp14:editId="6693A721">
            <wp:extent cx="5943600" cy="2971800"/>
            <wp:effectExtent l="0" t="0" r="0" b="0"/>
            <wp:docPr id="65" name="Picture"/>
            <wp:cNvGraphicFramePr/>
            <a:graphic xmlns:a="http://schemas.openxmlformats.org/drawingml/2006/main">
              <a:graphicData uri="http://schemas.openxmlformats.org/drawingml/2006/picture">
                <pic:pic xmlns:pic="http://schemas.openxmlformats.org/drawingml/2006/picture">
                  <pic:nvPicPr>
                    <pic:cNvPr id="66" name="Picture" descr="Y:\Wales\Enterovirus%20surveillance\2022-23%20Coxsackievirus\Output\Reports\Epi%20Summary%20Neonatal%20Myocarditis%20Cluster%20Wales%2020-06-2023_files/figure-docx/pyramid_myo-1.png"/>
                    <pic:cNvPicPr>
                      <a:picLocks noChangeAspect="1" noChangeArrowheads="1"/>
                    </pic:cNvPicPr>
                  </pic:nvPicPr>
                  <pic:blipFill>
                    <a:blip r:embed="rId12"/>
                    <a:stretch>
                      <a:fillRect/>
                    </a:stretch>
                  </pic:blipFill>
                  <pic:spPr bwMode="auto">
                    <a:xfrm>
                      <a:off x="0" y="0"/>
                      <a:ext cx="5943600" cy="2971800"/>
                    </a:xfrm>
                    <a:prstGeom prst="rect">
                      <a:avLst/>
                    </a:prstGeom>
                    <a:noFill/>
                    <a:ln w="9525">
                      <a:noFill/>
                      <a:headEnd/>
                      <a:tailEnd/>
                    </a:ln>
                  </pic:spPr>
                </pic:pic>
              </a:graphicData>
            </a:graphic>
          </wp:inline>
        </w:drawing>
      </w:r>
    </w:p>
    <w:p w14:paraId="59FD9B18" w14:textId="77777777" w:rsidR="00082A4F" w:rsidRDefault="00082A4F" w:rsidP="00082A4F">
      <w:pPr>
        <w:pStyle w:val="BodyText"/>
      </w:pPr>
    </w:p>
    <w:p w14:paraId="7133D27D" w14:textId="77777777" w:rsidR="00082A4F" w:rsidRDefault="00082A4F" w:rsidP="00082A4F">
      <w:pPr>
        <w:pStyle w:val="BodyText"/>
      </w:pPr>
      <w:r>
        <w:t>Most cases lived in the southeastern part of Wales.</w:t>
      </w:r>
    </w:p>
    <w:p w14:paraId="6C1EFF64" w14:textId="77777777" w:rsidR="00082A4F" w:rsidRPr="003C5932" w:rsidRDefault="00082A4F" w:rsidP="00082A4F">
      <w:pPr>
        <w:pStyle w:val="BodyText"/>
      </w:pPr>
    </w:p>
    <w:p w14:paraId="7C389470" w14:textId="77777777" w:rsidR="00082A4F" w:rsidRDefault="00082A4F" w:rsidP="00082A4F">
      <w:pPr>
        <w:pStyle w:val="Subtitle"/>
      </w:pPr>
      <w:r>
        <w:br w:type="page"/>
      </w:r>
      <w:bookmarkStart w:id="6" w:name="X5eaa0cc2a06a126b31aab656306dabef0158f2c"/>
      <w:bookmarkEnd w:id="5"/>
      <w:r>
        <w:lastRenderedPageBreak/>
        <w:t>Breakdown by Local Health Board of residence for Myocarditis cases</w:t>
      </w:r>
    </w:p>
    <w:tbl>
      <w:tblPr>
        <w:tblW w:w="0" w:type="auto"/>
        <w:tblLayout w:type="fixed"/>
        <w:tblLook w:val="0420" w:firstRow="1" w:lastRow="0" w:firstColumn="0" w:lastColumn="0" w:noHBand="0" w:noVBand="1"/>
      </w:tblPr>
      <w:tblGrid>
        <w:gridCol w:w="3744"/>
        <w:gridCol w:w="1440"/>
        <w:gridCol w:w="1080"/>
      </w:tblGrid>
      <w:tr w:rsidR="00082A4F" w14:paraId="64547C36" w14:textId="77777777" w:rsidTr="00A760D2">
        <w:trPr>
          <w:tblHeader/>
        </w:trPr>
        <w:tc>
          <w:tcPr>
            <w:tcW w:w="3744" w:type="dxa"/>
            <w:tcBorders>
              <w:top w:val="single" w:sz="12" w:space="0" w:color="666666"/>
              <w:left w:val="none" w:sz="0" w:space="0" w:color="000000" w:themeColor="text1"/>
              <w:bottom w:val="single" w:sz="12" w:space="0" w:color="666666"/>
              <w:right w:val="none" w:sz="0" w:space="0" w:color="000000" w:themeColor="text1"/>
            </w:tcBorders>
            <w:shd w:val="clear" w:color="auto" w:fill="324F82"/>
            <w:tcMar>
              <w:top w:w="0" w:type="dxa"/>
              <w:left w:w="0" w:type="dxa"/>
              <w:bottom w:w="0" w:type="dxa"/>
              <w:right w:w="0" w:type="dxa"/>
            </w:tcMar>
            <w:vAlign w:val="center"/>
          </w:tcPr>
          <w:p w14:paraId="21A3894C" w14:textId="77777777" w:rsidR="00082A4F" w:rsidRPr="00EE00D8" w:rsidRDefault="00082A4F" w:rsidP="00A760D2">
            <w:pPr>
              <w:pBdr>
                <w:top w:val="none" w:sz="0" w:space="0" w:color="000000"/>
                <w:left w:val="none" w:sz="0" w:space="0" w:color="000000"/>
                <w:bottom w:val="none" w:sz="0" w:space="0" w:color="000000"/>
                <w:right w:val="none" w:sz="0" w:space="0" w:color="000000"/>
              </w:pBdr>
              <w:spacing w:before="100" w:after="100"/>
              <w:ind w:left="100" w:right="100"/>
              <w:rPr>
                <w:rFonts w:ascii="Arial" w:eastAsia="Arial" w:hAnsi="Arial"/>
                <w:b/>
                <w:color w:val="FFFFFF" w:themeColor="background1"/>
              </w:rPr>
            </w:pPr>
            <w:r w:rsidRPr="3317B65F">
              <w:rPr>
                <w:rFonts w:ascii="Arial" w:eastAsia="Arial" w:hAnsi="Arial"/>
                <w:b/>
                <w:color w:val="FFFFFF" w:themeColor="background1"/>
              </w:rPr>
              <w:t>Local Health Board of Residence</w:t>
            </w:r>
          </w:p>
        </w:tc>
        <w:tc>
          <w:tcPr>
            <w:tcW w:w="1440" w:type="dxa"/>
            <w:tcBorders>
              <w:top w:val="single" w:sz="12" w:space="0" w:color="666666"/>
              <w:left w:val="none" w:sz="0" w:space="0" w:color="000000" w:themeColor="text1"/>
              <w:bottom w:val="single" w:sz="12" w:space="0" w:color="666666"/>
              <w:right w:val="none" w:sz="0" w:space="0" w:color="000000" w:themeColor="text1"/>
            </w:tcBorders>
            <w:shd w:val="clear" w:color="auto" w:fill="324F82"/>
            <w:tcMar>
              <w:top w:w="0" w:type="dxa"/>
              <w:left w:w="0" w:type="dxa"/>
              <w:bottom w:w="0" w:type="dxa"/>
              <w:right w:w="0" w:type="dxa"/>
            </w:tcMar>
            <w:vAlign w:val="center"/>
          </w:tcPr>
          <w:p w14:paraId="19D6DEC9" w14:textId="77777777" w:rsidR="00082A4F" w:rsidRPr="00EE00D8" w:rsidRDefault="00082A4F" w:rsidP="00A760D2">
            <w:pPr>
              <w:pBdr>
                <w:top w:val="none" w:sz="0" w:space="0" w:color="000000"/>
                <w:left w:val="none" w:sz="0" w:space="0" w:color="000000"/>
                <w:bottom w:val="none" w:sz="0" w:space="0" w:color="000000"/>
                <w:right w:val="none" w:sz="0" w:space="0" w:color="000000"/>
              </w:pBdr>
              <w:spacing w:before="100" w:after="100"/>
              <w:ind w:left="100" w:right="100"/>
              <w:jc w:val="center"/>
              <w:rPr>
                <w:rFonts w:ascii="Arial" w:eastAsia="Arial" w:hAnsi="Arial"/>
                <w:b/>
                <w:color w:val="FFFFFF" w:themeColor="background1"/>
              </w:rPr>
            </w:pPr>
            <w:r w:rsidRPr="3317B65F">
              <w:rPr>
                <w:rFonts w:ascii="Arial" w:eastAsia="Arial" w:hAnsi="Arial"/>
                <w:b/>
                <w:color w:val="FFFFFF" w:themeColor="background1"/>
              </w:rPr>
              <w:t>Number of cases</w:t>
            </w:r>
          </w:p>
        </w:tc>
        <w:tc>
          <w:tcPr>
            <w:tcW w:w="1080" w:type="dxa"/>
            <w:tcBorders>
              <w:top w:val="single" w:sz="12" w:space="0" w:color="666666"/>
              <w:left w:val="none" w:sz="0" w:space="0" w:color="000000" w:themeColor="text1"/>
              <w:bottom w:val="single" w:sz="12" w:space="0" w:color="666666"/>
              <w:right w:val="none" w:sz="0" w:space="0" w:color="000000" w:themeColor="text1"/>
            </w:tcBorders>
            <w:shd w:val="clear" w:color="auto" w:fill="324F82"/>
            <w:tcMar>
              <w:top w:w="0" w:type="dxa"/>
              <w:left w:w="0" w:type="dxa"/>
              <w:bottom w:w="0" w:type="dxa"/>
              <w:right w:w="0" w:type="dxa"/>
            </w:tcMar>
            <w:vAlign w:val="center"/>
          </w:tcPr>
          <w:p w14:paraId="632D8502" w14:textId="77777777" w:rsidR="00082A4F" w:rsidRPr="00EE00D8" w:rsidRDefault="00082A4F" w:rsidP="00A760D2">
            <w:pPr>
              <w:pBdr>
                <w:top w:val="none" w:sz="0" w:space="0" w:color="000000"/>
                <w:left w:val="none" w:sz="0" w:space="0" w:color="000000"/>
                <w:bottom w:val="none" w:sz="0" w:space="0" w:color="000000"/>
                <w:right w:val="none" w:sz="0" w:space="0" w:color="000000"/>
              </w:pBdr>
              <w:spacing w:before="100" w:after="100"/>
              <w:ind w:left="100" w:right="100"/>
              <w:jc w:val="right"/>
              <w:rPr>
                <w:rFonts w:ascii="Arial" w:eastAsia="Arial" w:hAnsi="Arial"/>
                <w:b/>
                <w:color w:val="FFFFFF" w:themeColor="background1"/>
              </w:rPr>
            </w:pPr>
            <w:r w:rsidRPr="3317B65F">
              <w:rPr>
                <w:rFonts w:ascii="Arial" w:eastAsia="Arial" w:hAnsi="Arial"/>
                <w:b/>
                <w:color w:val="FFFFFF" w:themeColor="background1"/>
              </w:rPr>
              <w:t>(%)</w:t>
            </w:r>
          </w:p>
        </w:tc>
      </w:tr>
      <w:tr w:rsidR="00082A4F" w14:paraId="72F96BF4" w14:textId="77777777" w:rsidTr="00A760D2">
        <w:tc>
          <w:tcPr>
            <w:tcW w:w="3744" w:type="dxa"/>
            <w:tcBorders>
              <w:top w:val="single" w:sz="12" w:space="0" w:color="666666"/>
              <w:left w:val="none" w:sz="0" w:space="0" w:color="000000" w:themeColor="text1"/>
              <w:bottom w:val="none" w:sz="0" w:space="0" w:color="000000" w:themeColor="text1"/>
              <w:right w:val="none" w:sz="0" w:space="0" w:color="000000" w:themeColor="text1"/>
            </w:tcBorders>
            <w:shd w:val="clear" w:color="auto" w:fill="FFFFFF" w:themeFill="background1"/>
            <w:tcMar>
              <w:top w:w="0" w:type="dxa"/>
              <w:left w:w="0" w:type="dxa"/>
              <w:bottom w:w="0" w:type="dxa"/>
              <w:right w:w="0" w:type="dxa"/>
            </w:tcMar>
            <w:vAlign w:val="center"/>
          </w:tcPr>
          <w:p w14:paraId="182DFF55" w14:textId="77777777" w:rsidR="00082A4F" w:rsidRPr="00EE00D8" w:rsidRDefault="00082A4F" w:rsidP="00A760D2">
            <w:pPr>
              <w:pBdr>
                <w:top w:val="none" w:sz="0" w:space="0" w:color="000000"/>
                <w:left w:val="none" w:sz="0" w:space="0" w:color="000000"/>
                <w:bottom w:val="none" w:sz="0" w:space="0" w:color="000000"/>
                <w:right w:val="none" w:sz="0" w:space="0" w:color="000000"/>
              </w:pBdr>
              <w:spacing w:before="60" w:after="60"/>
              <w:ind w:left="60" w:right="60"/>
              <w:rPr>
                <w:rFonts w:ascii="Arial" w:eastAsia="Arial" w:hAnsi="Arial"/>
                <w:color w:val="000000" w:themeColor="text1"/>
              </w:rPr>
            </w:pPr>
            <w:r w:rsidRPr="3317B65F">
              <w:rPr>
                <w:rFonts w:ascii="Arial" w:eastAsia="Arial" w:hAnsi="Arial"/>
                <w:color w:val="000000" w:themeColor="text1"/>
              </w:rPr>
              <w:t>Aneurin Bevan UHB</w:t>
            </w:r>
          </w:p>
        </w:tc>
        <w:tc>
          <w:tcPr>
            <w:tcW w:w="1440" w:type="dxa"/>
            <w:tcBorders>
              <w:top w:val="single" w:sz="12" w:space="0" w:color="666666"/>
              <w:left w:val="none" w:sz="0" w:space="0" w:color="000000" w:themeColor="text1"/>
              <w:bottom w:val="none" w:sz="0" w:space="0" w:color="000000" w:themeColor="text1"/>
              <w:right w:val="none" w:sz="0" w:space="0" w:color="000000" w:themeColor="text1"/>
            </w:tcBorders>
            <w:shd w:val="clear" w:color="auto" w:fill="FFFFFF" w:themeFill="background1"/>
            <w:tcMar>
              <w:top w:w="0" w:type="dxa"/>
              <w:left w:w="0" w:type="dxa"/>
              <w:bottom w:w="0" w:type="dxa"/>
              <w:right w:w="0" w:type="dxa"/>
            </w:tcMar>
            <w:vAlign w:val="center"/>
          </w:tcPr>
          <w:p w14:paraId="37A91FF2" w14:textId="77777777" w:rsidR="00082A4F" w:rsidRPr="00EE00D8" w:rsidRDefault="00082A4F" w:rsidP="00A760D2">
            <w:pPr>
              <w:pBdr>
                <w:top w:val="none" w:sz="0" w:space="0" w:color="000000"/>
                <w:left w:val="none" w:sz="0" w:space="0" w:color="000000"/>
                <w:bottom w:val="none" w:sz="0" w:space="0" w:color="000000"/>
                <w:right w:val="none" w:sz="0" w:space="0" w:color="000000"/>
              </w:pBdr>
              <w:spacing w:before="60" w:after="60"/>
              <w:ind w:left="60" w:right="60"/>
              <w:jc w:val="center"/>
              <w:rPr>
                <w:rFonts w:ascii="Arial" w:eastAsia="Arial" w:hAnsi="Arial"/>
                <w:color w:val="000000" w:themeColor="text1"/>
              </w:rPr>
            </w:pPr>
            <w:r w:rsidRPr="3317B65F">
              <w:rPr>
                <w:rFonts w:ascii="Arial" w:eastAsia="Arial" w:hAnsi="Arial"/>
                <w:color w:val="000000" w:themeColor="text1"/>
              </w:rPr>
              <w:t>3</w:t>
            </w:r>
          </w:p>
        </w:tc>
        <w:tc>
          <w:tcPr>
            <w:tcW w:w="1080" w:type="dxa"/>
            <w:tcBorders>
              <w:top w:val="single" w:sz="12" w:space="0" w:color="666666"/>
              <w:left w:val="none" w:sz="0" w:space="0" w:color="000000" w:themeColor="text1"/>
              <w:bottom w:val="none" w:sz="0" w:space="0" w:color="000000" w:themeColor="text1"/>
              <w:right w:val="none" w:sz="0" w:space="0" w:color="000000" w:themeColor="text1"/>
            </w:tcBorders>
            <w:shd w:val="clear" w:color="auto" w:fill="FFFFFF" w:themeFill="background1"/>
            <w:tcMar>
              <w:top w:w="0" w:type="dxa"/>
              <w:left w:w="0" w:type="dxa"/>
              <w:bottom w:w="0" w:type="dxa"/>
              <w:right w:w="0" w:type="dxa"/>
            </w:tcMar>
            <w:vAlign w:val="center"/>
          </w:tcPr>
          <w:p w14:paraId="6E3B4600" w14:textId="77777777" w:rsidR="00082A4F" w:rsidRPr="00EE00D8" w:rsidRDefault="00082A4F" w:rsidP="00A760D2">
            <w:pPr>
              <w:pBdr>
                <w:top w:val="none" w:sz="0" w:space="0" w:color="000000"/>
                <w:left w:val="none" w:sz="0" w:space="0" w:color="000000"/>
                <w:bottom w:val="none" w:sz="0" w:space="0" w:color="000000"/>
                <w:right w:val="none" w:sz="0" w:space="0" w:color="000000"/>
              </w:pBdr>
              <w:spacing w:before="60" w:after="60"/>
              <w:ind w:left="60" w:right="60"/>
              <w:jc w:val="right"/>
              <w:rPr>
                <w:rFonts w:ascii="Arial" w:eastAsia="Arial" w:hAnsi="Arial"/>
                <w:color w:val="000000" w:themeColor="text1"/>
              </w:rPr>
            </w:pPr>
            <w:r w:rsidRPr="3317B65F">
              <w:rPr>
                <w:rFonts w:ascii="Arial" w:eastAsia="Arial" w:hAnsi="Arial"/>
                <w:color w:val="000000" w:themeColor="text1"/>
              </w:rPr>
              <w:t>27.3</w:t>
            </w:r>
          </w:p>
        </w:tc>
      </w:tr>
      <w:tr w:rsidR="00082A4F" w14:paraId="4487B02D" w14:textId="77777777" w:rsidTr="00A760D2">
        <w:tc>
          <w:tcPr>
            <w:tcW w:w="3744" w:type="dxa"/>
            <w:tcBorders>
              <w:top w:val="none" w:sz="0" w:space="0" w:color="000000" w:themeColor="text1"/>
              <w:left w:val="none" w:sz="0" w:space="0" w:color="000000" w:themeColor="text1"/>
              <w:bottom w:val="none" w:sz="0" w:space="0" w:color="000000" w:themeColor="text1"/>
              <w:right w:val="none" w:sz="0" w:space="0" w:color="000000" w:themeColor="text1"/>
            </w:tcBorders>
            <w:shd w:val="clear" w:color="auto" w:fill="FFFFFF" w:themeFill="background1"/>
            <w:tcMar>
              <w:top w:w="0" w:type="dxa"/>
              <w:left w:w="0" w:type="dxa"/>
              <w:bottom w:w="0" w:type="dxa"/>
              <w:right w:w="0" w:type="dxa"/>
            </w:tcMar>
            <w:vAlign w:val="center"/>
          </w:tcPr>
          <w:p w14:paraId="65AF5684" w14:textId="77777777" w:rsidR="00082A4F" w:rsidRPr="00EE00D8" w:rsidRDefault="00082A4F" w:rsidP="00A760D2">
            <w:pPr>
              <w:pBdr>
                <w:top w:val="none" w:sz="0" w:space="0" w:color="000000"/>
                <w:left w:val="none" w:sz="0" w:space="0" w:color="000000"/>
                <w:bottom w:val="none" w:sz="0" w:space="0" w:color="000000"/>
                <w:right w:val="none" w:sz="0" w:space="0" w:color="000000"/>
              </w:pBdr>
              <w:spacing w:before="60" w:after="60"/>
              <w:ind w:left="60" w:right="60"/>
              <w:rPr>
                <w:rFonts w:ascii="Arial" w:eastAsia="Arial" w:hAnsi="Arial"/>
                <w:color w:val="000000" w:themeColor="text1"/>
              </w:rPr>
            </w:pPr>
            <w:r w:rsidRPr="3317B65F">
              <w:rPr>
                <w:rFonts w:ascii="Arial" w:eastAsia="Arial" w:hAnsi="Arial"/>
                <w:color w:val="000000" w:themeColor="text1"/>
              </w:rPr>
              <w:t>Cardiff and Vale UHB</w:t>
            </w:r>
          </w:p>
        </w:tc>
        <w:tc>
          <w:tcPr>
            <w:tcW w:w="1440" w:type="dxa"/>
            <w:tcBorders>
              <w:top w:val="none" w:sz="0" w:space="0" w:color="000000" w:themeColor="text1"/>
              <w:left w:val="none" w:sz="0" w:space="0" w:color="000000" w:themeColor="text1"/>
              <w:bottom w:val="none" w:sz="0" w:space="0" w:color="000000" w:themeColor="text1"/>
              <w:right w:val="none" w:sz="0" w:space="0" w:color="000000" w:themeColor="text1"/>
            </w:tcBorders>
            <w:shd w:val="clear" w:color="auto" w:fill="FFFFFF" w:themeFill="background1"/>
            <w:tcMar>
              <w:top w:w="0" w:type="dxa"/>
              <w:left w:w="0" w:type="dxa"/>
              <w:bottom w:w="0" w:type="dxa"/>
              <w:right w:w="0" w:type="dxa"/>
            </w:tcMar>
            <w:vAlign w:val="center"/>
          </w:tcPr>
          <w:p w14:paraId="1296EEEE" w14:textId="77777777" w:rsidR="00082A4F" w:rsidRPr="00EE00D8" w:rsidRDefault="00082A4F" w:rsidP="00A760D2">
            <w:pPr>
              <w:pBdr>
                <w:top w:val="none" w:sz="0" w:space="0" w:color="000000"/>
                <w:left w:val="none" w:sz="0" w:space="0" w:color="000000"/>
                <w:bottom w:val="none" w:sz="0" w:space="0" w:color="000000"/>
                <w:right w:val="none" w:sz="0" w:space="0" w:color="000000"/>
              </w:pBdr>
              <w:spacing w:before="60" w:after="60"/>
              <w:ind w:left="60" w:right="60"/>
              <w:jc w:val="center"/>
              <w:rPr>
                <w:rFonts w:ascii="Arial" w:eastAsia="Arial" w:hAnsi="Arial"/>
                <w:color w:val="000000" w:themeColor="text1"/>
              </w:rPr>
            </w:pPr>
            <w:r w:rsidRPr="3317B65F">
              <w:rPr>
                <w:rFonts w:ascii="Arial" w:eastAsia="Arial" w:hAnsi="Arial"/>
                <w:color w:val="000000" w:themeColor="text1"/>
              </w:rPr>
              <w:t>3</w:t>
            </w:r>
          </w:p>
        </w:tc>
        <w:tc>
          <w:tcPr>
            <w:tcW w:w="1080" w:type="dxa"/>
            <w:tcBorders>
              <w:top w:val="none" w:sz="0" w:space="0" w:color="000000" w:themeColor="text1"/>
              <w:left w:val="none" w:sz="0" w:space="0" w:color="000000" w:themeColor="text1"/>
              <w:bottom w:val="none" w:sz="0" w:space="0" w:color="000000" w:themeColor="text1"/>
              <w:right w:val="none" w:sz="0" w:space="0" w:color="000000" w:themeColor="text1"/>
            </w:tcBorders>
            <w:shd w:val="clear" w:color="auto" w:fill="FFFFFF" w:themeFill="background1"/>
            <w:tcMar>
              <w:top w:w="0" w:type="dxa"/>
              <w:left w:w="0" w:type="dxa"/>
              <w:bottom w:w="0" w:type="dxa"/>
              <w:right w:w="0" w:type="dxa"/>
            </w:tcMar>
            <w:vAlign w:val="center"/>
          </w:tcPr>
          <w:p w14:paraId="4358E64B" w14:textId="77777777" w:rsidR="00082A4F" w:rsidRPr="00EE00D8" w:rsidRDefault="00082A4F" w:rsidP="00A760D2">
            <w:pPr>
              <w:pBdr>
                <w:top w:val="none" w:sz="0" w:space="0" w:color="000000"/>
                <w:left w:val="none" w:sz="0" w:space="0" w:color="000000"/>
                <w:bottom w:val="none" w:sz="0" w:space="0" w:color="000000"/>
                <w:right w:val="none" w:sz="0" w:space="0" w:color="000000"/>
              </w:pBdr>
              <w:spacing w:before="60" w:after="60"/>
              <w:ind w:left="60" w:right="60"/>
              <w:jc w:val="right"/>
              <w:rPr>
                <w:rFonts w:ascii="Arial" w:eastAsia="Arial" w:hAnsi="Arial"/>
                <w:color w:val="000000" w:themeColor="text1"/>
              </w:rPr>
            </w:pPr>
            <w:r w:rsidRPr="3317B65F">
              <w:rPr>
                <w:rFonts w:ascii="Arial" w:eastAsia="Arial" w:hAnsi="Arial"/>
                <w:color w:val="000000" w:themeColor="text1"/>
              </w:rPr>
              <w:t>27.3</w:t>
            </w:r>
          </w:p>
        </w:tc>
      </w:tr>
      <w:tr w:rsidR="00082A4F" w14:paraId="393A7245" w14:textId="77777777" w:rsidTr="00A760D2">
        <w:tc>
          <w:tcPr>
            <w:tcW w:w="3744" w:type="dxa"/>
            <w:tcBorders>
              <w:top w:val="none" w:sz="0" w:space="0" w:color="000000" w:themeColor="text1"/>
              <w:left w:val="none" w:sz="0" w:space="0" w:color="000000" w:themeColor="text1"/>
              <w:bottom w:val="none" w:sz="0" w:space="0" w:color="000000" w:themeColor="text1"/>
              <w:right w:val="none" w:sz="0" w:space="0" w:color="000000" w:themeColor="text1"/>
            </w:tcBorders>
            <w:shd w:val="clear" w:color="auto" w:fill="FFFFFF" w:themeFill="background1"/>
            <w:tcMar>
              <w:top w:w="0" w:type="dxa"/>
              <w:left w:w="0" w:type="dxa"/>
              <w:bottom w:w="0" w:type="dxa"/>
              <w:right w:w="0" w:type="dxa"/>
            </w:tcMar>
            <w:vAlign w:val="center"/>
          </w:tcPr>
          <w:p w14:paraId="247E7B87" w14:textId="77777777" w:rsidR="00082A4F" w:rsidRPr="00EE00D8" w:rsidRDefault="00082A4F" w:rsidP="00A760D2">
            <w:pPr>
              <w:pBdr>
                <w:top w:val="none" w:sz="0" w:space="0" w:color="000000"/>
                <w:left w:val="none" w:sz="0" w:space="0" w:color="000000"/>
                <w:bottom w:val="none" w:sz="0" w:space="0" w:color="000000"/>
                <w:right w:val="none" w:sz="0" w:space="0" w:color="000000"/>
              </w:pBdr>
              <w:spacing w:before="60" w:after="60"/>
              <w:ind w:left="60" w:right="60"/>
              <w:rPr>
                <w:rFonts w:ascii="Arial" w:eastAsia="Arial" w:hAnsi="Arial"/>
                <w:color w:val="000000" w:themeColor="text1"/>
              </w:rPr>
            </w:pPr>
            <w:r w:rsidRPr="3317B65F">
              <w:rPr>
                <w:rFonts w:ascii="Arial" w:eastAsia="Arial" w:hAnsi="Arial"/>
                <w:color w:val="000000" w:themeColor="text1"/>
              </w:rPr>
              <w:t>Cwm Taf Morgannwg UHB</w:t>
            </w:r>
          </w:p>
        </w:tc>
        <w:tc>
          <w:tcPr>
            <w:tcW w:w="1440" w:type="dxa"/>
            <w:tcBorders>
              <w:top w:val="none" w:sz="0" w:space="0" w:color="000000" w:themeColor="text1"/>
              <w:left w:val="none" w:sz="0" w:space="0" w:color="000000" w:themeColor="text1"/>
              <w:bottom w:val="none" w:sz="0" w:space="0" w:color="000000" w:themeColor="text1"/>
              <w:right w:val="none" w:sz="0" w:space="0" w:color="000000" w:themeColor="text1"/>
            </w:tcBorders>
            <w:shd w:val="clear" w:color="auto" w:fill="FFFFFF" w:themeFill="background1"/>
            <w:tcMar>
              <w:top w:w="0" w:type="dxa"/>
              <w:left w:w="0" w:type="dxa"/>
              <w:bottom w:w="0" w:type="dxa"/>
              <w:right w:w="0" w:type="dxa"/>
            </w:tcMar>
            <w:vAlign w:val="center"/>
          </w:tcPr>
          <w:p w14:paraId="2355A0F8" w14:textId="77777777" w:rsidR="00082A4F" w:rsidRPr="00EE00D8" w:rsidRDefault="00082A4F" w:rsidP="00A760D2">
            <w:pPr>
              <w:pBdr>
                <w:top w:val="none" w:sz="0" w:space="0" w:color="000000"/>
                <w:left w:val="none" w:sz="0" w:space="0" w:color="000000"/>
                <w:bottom w:val="none" w:sz="0" w:space="0" w:color="000000"/>
                <w:right w:val="none" w:sz="0" w:space="0" w:color="000000"/>
              </w:pBdr>
              <w:spacing w:before="60" w:after="60"/>
              <w:ind w:left="60" w:right="60"/>
              <w:jc w:val="center"/>
              <w:rPr>
                <w:rFonts w:ascii="Arial" w:eastAsia="Arial" w:hAnsi="Arial"/>
                <w:color w:val="000000" w:themeColor="text1"/>
              </w:rPr>
            </w:pPr>
            <w:r w:rsidRPr="3317B65F">
              <w:rPr>
                <w:rFonts w:ascii="Arial" w:eastAsia="Arial" w:hAnsi="Arial"/>
                <w:color w:val="000000" w:themeColor="text1"/>
              </w:rPr>
              <w:t>3</w:t>
            </w:r>
          </w:p>
        </w:tc>
        <w:tc>
          <w:tcPr>
            <w:tcW w:w="1080" w:type="dxa"/>
            <w:tcBorders>
              <w:top w:val="none" w:sz="0" w:space="0" w:color="000000" w:themeColor="text1"/>
              <w:left w:val="none" w:sz="0" w:space="0" w:color="000000" w:themeColor="text1"/>
              <w:bottom w:val="none" w:sz="0" w:space="0" w:color="000000" w:themeColor="text1"/>
              <w:right w:val="none" w:sz="0" w:space="0" w:color="000000" w:themeColor="text1"/>
            </w:tcBorders>
            <w:shd w:val="clear" w:color="auto" w:fill="FFFFFF" w:themeFill="background1"/>
            <w:tcMar>
              <w:top w:w="0" w:type="dxa"/>
              <w:left w:w="0" w:type="dxa"/>
              <w:bottom w:w="0" w:type="dxa"/>
              <w:right w:w="0" w:type="dxa"/>
            </w:tcMar>
            <w:vAlign w:val="center"/>
          </w:tcPr>
          <w:p w14:paraId="270D030B" w14:textId="77777777" w:rsidR="00082A4F" w:rsidRPr="00EE00D8" w:rsidRDefault="00082A4F" w:rsidP="00A760D2">
            <w:pPr>
              <w:pBdr>
                <w:top w:val="none" w:sz="0" w:space="0" w:color="000000"/>
                <w:left w:val="none" w:sz="0" w:space="0" w:color="000000"/>
                <w:bottom w:val="none" w:sz="0" w:space="0" w:color="000000"/>
                <w:right w:val="none" w:sz="0" w:space="0" w:color="000000"/>
              </w:pBdr>
              <w:spacing w:before="60" w:after="60"/>
              <w:ind w:left="60" w:right="60"/>
              <w:jc w:val="right"/>
              <w:rPr>
                <w:rFonts w:ascii="Arial" w:eastAsia="Arial" w:hAnsi="Arial"/>
                <w:color w:val="000000" w:themeColor="text1"/>
              </w:rPr>
            </w:pPr>
            <w:r w:rsidRPr="3317B65F">
              <w:rPr>
                <w:rFonts w:ascii="Arial" w:eastAsia="Arial" w:hAnsi="Arial"/>
                <w:color w:val="000000" w:themeColor="text1"/>
              </w:rPr>
              <w:t>27.3</w:t>
            </w:r>
          </w:p>
        </w:tc>
      </w:tr>
      <w:tr w:rsidR="00082A4F" w14:paraId="1EFF0157" w14:textId="77777777" w:rsidTr="00A760D2">
        <w:tc>
          <w:tcPr>
            <w:tcW w:w="3744" w:type="dxa"/>
            <w:tcBorders>
              <w:top w:val="none" w:sz="0" w:space="0" w:color="000000" w:themeColor="text1"/>
              <w:left w:val="none" w:sz="0" w:space="0" w:color="000000" w:themeColor="text1"/>
              <w:bottom w:val="none" w:sz="0" w:space="0" w:color="000000" w:themeColor="text1"/>
              <w:right w:val="none" w:sz="0" w:space="0" w:color="000000" w:themeColor="text1"/>
            </w:tcBorders>
            <w:shd w:val="clear" w:color="auto" w:fill="FFFFFF" w:themeFill="background1"/>
            <w:tcMar>
              <w:top w:w="0" w:type="dxa"/>
              <w:left w:w="0" w:type="dxa"/>
              <w:bottom w:w="0" w:type="dxa"/>
              <w:right w:w="0" w:type="dxa"/>
            </w:tcMar>
            <w:vAlign w:val="center"/>
          </w:tcPr>
          <w:p w14:paraId="123EA087" w14:textId="77777777" w:rsidR="00082A4F" w:rsidRPr="00EE00D8" w:rsidRDefault="00082A4F" w:rsidP="00A760D2">
            <w:pPr>
              <w:pBdr>
                <w:top w:val="none" w:sz="0" w:space="0" w:color="000000"/>
                <w:left w:val="none" w:sz="0" w:space="0" w:color="000000"/>
                <w:bottom w:val="none" w:sz="0" w:space="0" w:color="000000"/>
                <w:right w:val="none" w:sz="0" w:space="0" w:color="000000"/>
              </w:pBdr>
              <w:spacing w:before="60" w:after="60"/>
              <w:ind w:left="60" w:right="60"/>
              <w:rPr>
                <w:rFonts w:ascii="Arial" w:eastAsia="Arial" w:hAnsi="Arial"/>
                <w:color w:val="000000" w:themeColor="text1"/>
              </w:rPr>
            </w:pPr>
            <w:r w:rsidRPr="3317B65F">
              <w:rPr>
                <w:rFonts w:ascii="Arial" w:eastAsia="Arial" w:hAnsi="Arial"/>
                <w:color w:val="000000" w:themeColor="text1"/>
              </w:rPr>
              <w:t>Hywel Dda UHB</w:t>
            </w:r>
          </w:p>
        </w:tc>
        <w:tc>
          <w:tcPr>
            <w:tcW w:w="1440" w:type="dxa"/>
            <w:tcBorders>
              <w:top w:val="none" w:sz="0" w:space="0" w:color="000000" w:themeColor="text1"/>
              <w:left w:val="none" w:sz="0" w:space="0" w:color="000000" w:themeColor="text1"/>
              <w:bottom w:val="none" w:sz="0" w:space="0" w:color="000000" w:themeColor="text1"/>
              <w:right w:val="none" w:sz="0" w:space="0" w:color="000000" w:themeColor="text1"/>
            </w:tcBorders>
            <w:shd w:val="clear" w:color="auto" w:fill="FFFFFF" w:themeFill="background1"/>
            <w:tcMar>
              <w:top w:w="0" w:type="dxa"/>
              <w:left w:w="0" w:type="dxa"/>
              <w:bottom w:w="0" w:type="dxa"/>
              <w:right w:w="0" w:type="dxa"/>
            </w:tcMar>
            <w:vAlign w:val="center"/>
          </w:tcPr>
          <w:p w14:paraId="07A11E42" w14:textId="77777777" w:rsidR="00082A4F" w:rsidRPr="00EE00D8" w:rsidRDefault="00082A4F" w:rsidP="00A760D2">
            <w:pPr>
              <w:pBdr>
                <w:top w:val="none" w:sz="0" w:space="0" w:color="000000"/>
                <w:left w:val="none" w:sz="0" w:space="0" w:color="000000"/>
                <w:bottom w:val="none" w:sz="0" w:space="0" w:color="000000"/>
                <w:right w:val="none" w:sz="0" w:space="0" w:color="000000"/>
              </w:pBdr>
              <w:spacing w:before="60" w:after="60"/>
              <w:ind w:left="60" w:right="60"/>
              <w:jc w:val="center"/>
              <w:rPr>
                <w:rFonts w:ascii="Arial" w:eastAsia="Arial" w:hAnsi="Arial"/>
                <w:color w:val="000000" w:themeColor="text1"/>
              </w:rPr>
            </w:pPr>
            <w:r w:rsidRPr="3317B65F">
              <w:rPr>
                <w:rFonts w:ascii="Arial" w:eastAsia="Arial" w:hAnsi="Arial"/>
                <w:color w:val="000000" w:themeColor="text1"/>
              </w:rPr>
              <w:t>1</w:t>
            </w:r>
          </w:p>
        </w:tc>
        <w:tc>
          <w:tcPr>
            <w:tcW w:w="1080" w:type="dxa"/>
            <w:tcBorders>
              <w:top w:val="none" w:sz="0" w:space="0" w:color="000000" w:themeColor="text1"/>
              <w:left w:val="none" w:sz="0" w:space="0" w:color="000000" w:themeColor="text1"/>
              <w:bottom w:val="none" w:sz="0" w:space="0" w:color="000000" w:themeColor="text1"/>
              <w:right w:val="none" w:sz="0" w:space="0" w:color="000000" w:themeColor="text1"/>
            </w:tcBorders>
            <w:shd w:val="clear" w:color="auto" w:fill="FFFFFF" w:themeFill="background1"/>
            <w:tcMar>
              <w:top w:w="0" w:type="dxa"/>
              <w:left w:w="0" w:type="dxa"/>
              <w:bottom w:w="0" w:type="dxa"/>
              <w:right w:w="0" w:type="dxa"/>
            </w:tcMar>
            <w:vAlign w:val="center"/>
          </w:tcPr>
          <w:p w14:paraId="4B127AD4" w14:textId="77777777" w:rsidR="00082A4F" w:rsidRPr="00EE00D8" w:rsidRDefault="00082A4F" w:rsidP="00A760D2">
            <w:pPr>
              <w:pBdr>
                <w:top w:val="none" w:sz="0" w:space="0" w:color="000000"/>
                <w:left w:val="none" w:sz="0" w:space="0" w:color="000000"/>
                <w:bottom w:val="none" w:sz="0" w:space="0" w:color="000000"/>
                <w:right w:val="none" w:sz="0" w:space="0" w:color="000000"/>
              </w:pBdr>
              <w:spacing w:before="60" w:after="60"/>
              <w:ind w:left="60" w:right="60"/>
              <w:jc w:val="right"/>
              <w:rPr>
                <w:rFonts w:ascii="Arial" w:eastAsia="Arial" w:hAnsi="Arial"/>
                <w:color w:val="000000" w:themeColor="text1"/>
              </w:rPr>
            </w:pPr>
            <w:r w:rsidRPr="3317B65F">
              <w:rPr>
                <w:rFonts w:ascii="Arial" w:eastAsia="Arial" w:hAnsi="Arial"/>
                <w:color w:val="000000" w:themeColor="text1"/>
              </w:rPr>
              <w:t>9.1</w:t>
            </w:r>
          </w:p>
        </w:tc>
      </w:tr>
      <w:tr w:rsidR="00082A4F" w14:paraId="447823AB" w14:textId="77777777" w:rsidTr="00A760D2">
        <w:tc>
          <w:tcPr>
            <w:tcW w:w="3744" w:type="dxa"/>
            <w:tcBorders>
              <w:top w:val="none" w:sz="0" w:space="0" w:color="000000" w:themeColor="text1"/>
              <w:left w:val="none" w:sz="0" w:space="0" w:color="000000" w:themeColor="text1"/>
              <w:bottom w:val="single" w:sz="12" w:space="0" w:color="000000" w:themeColor="text1"/>
              <w:right w:val="none" w:sz="0" w:space="0" w:color="000000" w:themeColor="text1"/>
            </w:tcBorders>
            <w:shd w:val="clear" w:color="auto" w:fill="FFFFFF" w:themeFill="background1"/>
            <w:tcMar>
              <w:top w:w="0" w:type="dxa"/>
              <w:left w:w="0" w:type="dxa"/>
              <w:bottom w:w="0" w:type="dxa"/>
              <w:right w:w="0" w:type="dxa"/>
            </w:tcMar>
            <w:vAlign w:val="center"/>
          </w:tcPr>
          <w:p w14:paraId="37E336C8" w14:textId="77777777" w:rsidR="00082A4F" w:rsidRPr="00EE00D8" w:rsidRDefault="00082A4F" w:rsidP="00A760D2">
            <w:pPr>
              <w:pBdr>
                <w:top w:val="none" w:sz="0" w:space="0" w:color="000000"/>
                <w:left w:val="none" w:sz="0" w:space="0" w:color="000000"/>
                <w:bottom w:val="none" w:sz="0" w:space="0" w:color="000000"/>
                <w:right w:val="none" w:sz="0" w:space="0" w:color="000000"/>
              </w:pBdr>
              <w:spacing w:before="60" w:after="60"/>
              <w:ind w:left="60" w:right="60"/>
              <w:rPr>
                <w:rFonts w:ascii="Arial" w:eastAsia="Arial" w:hAnsi="Arial"/>
                <w:color w:val="000000" w:themeColor="text1"/>
              </w:rPr>
            </w:pPr>
            <w:r w:rsidRPr="3317B65F">
              <w:rPr>
                <w:rFonts w:ascii="Arial" w:eastAsia="Arial" w:hAnsi="Arial"/>
                <w:color w:val="000000" w:themeColor="text1"/>
              </w:rPr>
              <w:t>Powys THB</w:t>
            </w:r>
          </w:p>
        </w:tc>
        <w:tc>
          <w:tcPr>
            <w:tcW w:w="1440" w:type="dxa"/>
            <w:tcBorders>
              <w:top w:val="none" w:sz="0" w:space="0" w:color="000000" w:themeColor="text1"/>
              <w:left w:val="none" w:sz="0" w:space="0" w:color="000000" w:themeColor="text1"/>
              <w:bottom w:val="single" w:sz="12" w:space="0" w:color="000000" w:themeColor="text1"/>
              <w:right w:val="none" w:sz="0" w:space="0" w:color="000000" w:themeColor="text1"/>
            </w:tcBorders>
            <w:shd w:val="clear" w:color="auto" w:fill="FFFFFF" w:themeFill="background1"/>
            <w:tcMar>
              <w:top w:w="0" w:type="dxa"/>
              <w:left w:w="0" w:type="dxa"/>
              <w:bottom w:w="0" w:type="dxa"/>
              <w:right w:w="0" w:type="dxa"/>
            </w:tcMar>
            <w:vAlign w:val="center"/>
          </w:tcPr>
          <w:p w14:paraId="22B957C5" w14:textId="77777777" w:rsidR="00082A4F" w:rsidRPr="00EE00D8" w:rsidRDefault="00082A4F" w:rsidP="00A760D2">
            <w:pPr>
              <w:pBdr>
                <w:top w:val="none" w:sz="0" w:space="0" w:color="000000"/>
                <w:left w:val="none" w:sz="0" w:space="0" w:color="000000"/>
                <w:bottom w:val="none" w:sz="0" w:space="0" w:color="000000"/>
                <w:right w:val="none" w:sz="0" w:space="0" w:color="000000"/>
              </w:pBdr>
              <w:spacing w:before="60" w:after="60"/>
              <w:ind w:left="60" w:right="60"/>
              <w:jc w:val="center"/>
              <w:rPr>
                <w:rFonts w:ascii="Arial" w:eastAsia="Arial" w:hAnsi="Arial"/>
                <w:color w:val="000000" w:themeColor="text1"/>
              </w:rPr>
            </w:pPr>
            <w:r w:rsidRPr="3317B65F">
              <w:rPr>
                <w:rFonts w:ascii="Arial" w:eastAsia="Arial" w:hAnsi="Arial"/>
                <w:color w:val="000000" w:themeColor="text1"/>
              </w:rPr>
              <w:t>1</w:t>
            </w:r>
          </w:p>
        </w:tc>
        <w:tc>
          <w:tcPr>
            <w:tcW w:w="1080" w:type="dxa"/>
            <w:tcBorders>
              <w:top w:val="none" w:sz="0" w:space="0" w:color="000000" w:themeColor="text1"/>
              <w:left w:val="none" w:sz="0" w:space="0" w:color="000000" w:themeColor="text1"/>
              <w:bottom w:val="single" w:sz="12" w:space="0" w:color="000000" w:themeColor="text1"/>
              <w:right w:val="none" w:sz="0" w:space="0" w:color="000000" w:themeColor="text1"/>
            </w:tcBorders>
            <w:shd w:val="clear" w:color="auto" w:fill="FFFFFF" w:themeFill="background1"/>
            <w:tcMar>
              <w:top w:w="0" w:type="dxa"/>
              <w:left w:w="0" w:type="dxa"/>
              <w:bottom w:w="0" w:type="dxa"/>
              <w:right w:w="0" w:type="dxa"/>
            </w:tcMar>
            <w:vAlign w:val="center"/>
          </w:tcPr>
          <w:p w14:paraId="3B68F47D" w14:textId="77777777" w:rsidR="00082A4F" w:rsidRPr="00EE00D8" w:rsidRDefault="00082A4F" w:rsidP="00A760D2">
            <w:pPr>
              <w:pBdr>
                <w:top w:val="none" w:sz="0" w:space="0" w:color="000000"/>
                <w:left w:val="none" w:sz="0" w:space="0" w:color="000000"/>
                <w:bottom w:val="none" w:sz="0" w:space="0" w:color="000000"/>
                <w:right w:val="none" w:sz="0" w:space="0" w:color="000000"/>
              </w:pBdr>
              <w:spacing w:before="60" w:after="60"/>
              <w:ind w:left="60" w:right="60"/>
              <w:jc w:val="right"/>
              <w:rPr>
                <w:rFonts w:ascii="Arial" w:eastAsia="Arial" w:hAnsi="Arial"/>
                <w:color w:val="000000" w:themeColor="text1"/>
              </w:rPr>
            </w:pPr>
            <w:r w:rsidRPr="3317B65F">
              <w:rPr>
                <w:rFonts w:ascii="Arial" w:eastAsia="Arial" w:hAnsi="Arial"/>
                <w:color w:val="000000" w:themeColor="text1"/>
              </w:rPr>
              <w:t>9.1</w:t>
            </w:r>
          </w:p>
        </w:tc>
      </w:tr>
      <w:tr w:rsidR="00082A4F" w14:paraId="389181AE" w14:textId="77777777" w:rsidTr="00A760D2">
        <w:tc>
          <w:tcPr>
            <w:tcW w:w="3744" w:type="dxa"/>
            <w:tcBorders>
              <w:top w:val="single" w:sz="12" w:space="0" w:color="000000" w:themeColor="text1"/>
              <w:left w:val="none" w:sz="0" w:space="0" w:color="000000" w:themeColor="text1"/>
              <w:bottom w:val="single" w:sz="12" w:space="0" w:color="666666"/>
              <w:right w:val="none" w:sz="0" w:space="0" w:color="000000" w:themeColor="text1"/>
            </w:tcBorders>
            <w:shd w:val="clear" w:color="auto" w:fill="FFFFFF" w:themeFill="background1"/>
            <w:tcMar>
              <w:top w:w="0" w:type="dxa"/>
              <w:left w:w="0" w:type="dxa"/>
              <w:bottom w:w="0" w:type="dxa"/>
              <w:right w:w="0" w:type="dxa"/>
            </w:tcMar>
            <w:vAlign w:val="center"/>
          </w:tcPr>
          <w:p w14:paraId="4FFD432B" w14:textId="77777777" w:rsidR="00082A4F" w:rsidRPr="00EE00D8" w:rsidRDefault="00082A4F" w:rsidP="00A760D2">
            <w:pPr>
              <w:pBdr>
                <w:top w:val="none" w:sz="0" w:space="0" w:color="000000"/>
                <w:left w:val="none" w:sz="0" w:space="0" w:color="000000"/>
                <w:bottom w:val="none" w:sz="0" w:space="0" w:color="000000"/>
                <w:right w:val="none" w:sz="0" w:space="0" w:color="000000"/>
              </w:pBdr>
              <w:spacing w:before="60" w:after="60"/>
              <w:ind w:left="60" w:right="60"/>
              <w:rPr>
                <w:rFonts w:ascii="Arial" w:eastAsia="Arial" w:hAnsi="Arial"/>
                <w:color w:val="000000" w:themeColor="text1"/>
              </w:rPr>
            </w:pPr>
            <w:r w:rsidRPr="3317B65F">
              <w:rPr>
                <w:rFonts w:ascii="Arial" w:eastAsia="Arial" w:hAnsi="Arial"/>
                <w:color w:val="000000" w:themeColor="text1"/>
              </w:rPr>
              <w:t>Total</w:t>
            </w:r>
          </w:p>
        </w:tc>
        <w:tc>
          <w:tcPr>
            <w:tcW w:w="1440" w:type="dxa"/>
            <w:tcBorders>
              <w:top w:val="single" w:sz="12" w:space="0" w:color="000000" w:themeColor="text1"/>
              <w:left w:val="none" w:sz="0" w:space="0" w:color="000000" w:themeColor="text1"/>
              <w:bottom w:val="single" w:sz="12" w:space="0" w:color="666666"/>
              <w:right w:val="none" w:sz="0" w:space="0" w:color="000000" w:themeColor="text1"/>
            </w:tcBorders>
            <w:shd w:val="clear" w:color="auto" w:fill="FFFFFF" w:themeFill="background1"/>
            <w:tcMar>
              <w:top w:w="0" w:type="dxa"/>
              <w:left w:w="0" w:type="dxa"/>
              <w:bottom w:w="0" w:type="dxa"/>
              <w:right w:w="0" w:type="dxa"/>
            </w:tcMar>
            <w:vAlign w:val="center"/>
          </w:tcPr>
          <w:p w14:paraId="42069F9D" w14:textId="77777777" w:rsidR="00082A4F" w:rsidRPr="00EE00D8" w:rsidRDefault="00082A4F" w:rsidP="00A760D2">
            <w:pPr>
              <w:pBdr>
                <w:top w:val="none" w:sz="0" w:space="0" w:color="000000"/>
                <w:left w:val="none" w:sz="0" w:space="0" w:color="000000"/>
                <w:bottom w:val="none" w:sz="0" w:space="0" w:color="000000"/>
                <w:right w:val="none" w:sz="0" w:space="0" w:color="000000"/>
              </w:pBdr>
              <w:spacing w:before="60" w:after="60"/>
              <w:ind w:left="60" w:right="60"/>
              <w:jc w:val="center"/>
              <w:rPr>
                <w:rFonts w:ascii="Arial" w:eastAsia="Arial" w:hAnsi="Arial"/>
                <w:color w:val="000000" w:themeColor="text1"/>
              </w:rPr>
            </w:pPr>
            <w:r w:rsidRPr="3317B65F">
              <w:rPr>
                <w:rFonts w:ascii="Arial" w:eastAsia="Arial" w:hAnsi="Arial"/>
                <w:color w:val="000000" w:themeColor="text1"/>
              </w:rPr>
              <w:t>11</w:t>
            </w:r>
          </w:p>
        </w:tc>
        <w:tc>
          <w:tcPr>
            <w:tcW w:w="1080" w:type="dxa"/>
            <w:tcBorders>
              <w:top w:val="single" w:sz="12" w:space="0" w:color="000000" w:themeColor="text1"/>
              <w:left w:val="none" w:sz="0" w:space="0" w:color="000000" w:themeColor="text1"/>
              <w:bottom w:val="single" w:sz="12" w:space="0" w:color="666666"/>
              <w:right w:val="none" w:sz="0" w:space="0" w:color="000000" w:themeColor="text1"/>
            </w:tcBorders>
            <w:shd w:val="clear" w:color="auto" w:fill="FFFFFF" w:themeFill="background1"/>
            <w:tcMar>
              <w:top w:w="0" w:type="dxa"/>
              <w:left w:w="0" w:type="dxa"/>
              <w:bottom w:w="0" w:type="dxa"/>
              <w:right w:w="0" w:type="dxa"/>
            </w:tcMar>
            <w:vAlign w:val="center"/>
          </w:tcPr>
          <w:p w14:paraId="13261F75" w14:textId="77777777" w:rsidR="00082A4F" w:rsidRPr="00EE00D8" w:rsidRDefault="00082A4F" w:rsidP="00A760D2">
            <w:pPr>
              <w:pBdr>
                <w:top w:val="none" w:sz="0" w:space="0" w:color="000000"/>
                <w:left w:val="none" w:sz="0" w:space="0" w:color="000000"/>
                <w:bottom w:val="none" w:sz="0" w:space="0" w:color="000000"/>
                <w:right w:val="none" w:sz="0" w:space="0" w:color="000000"/>
              </w:pBdr>
              <w:spacing w:before="60" w:after="60"/>
              <w:ind w:left="60" w:right="60"/>
              <w:jc w:val="right"/>
              <w:rPr>
                <w:rFonts w:ascii="Arial" w:eastAsia="Arial" w:hAnsi="Arial"/>
                <w:color w:val="000000" w:themeColor="text1"/>
              </w:rPr>
            </w:pPr>
            <w:r w:rsidRPr="3317B65F">
              <w:rPr>
                <w:rFonts w:ascii="Arial" w:eastAsia="Arial" w:hAnsi="Arial"/>
                <w:color w:val="000000" w:themeColor="text1"/>
              </w:rPr>
              <w:t>100.0</w:t>
            </w:r>
          </w:p>
        </w:tc>
      </w:tr>
    </w:tbl>
    <w:p w14:paraId="4128B033" w14:textId="77777777" w:rsidR="00082A4F" w:rsidRDefault="00082A4F" w:rsidP="00082A4F">
      <w:pPr>
        <w:pStyle w:val="FirstParagraph"/>
      </w:pPr>
    </w:p>
    <w:p w14:paraId="50FC7303" w14:textId="7511C5F8" w:rsidR="00082A4F" w:rsidRDefault="00082A4F" w:rsidP="00082A4F">
      <w:pPr>
        <w:pStyle w:val="FirstParagraph"/>
      </w:pPr>
      <w:bookmarkStart w:id="7" w:name="Xc97fd5a50c75050ad1346e1fbbfbf3b11111ad2"/>
      <w:bookmarkEnd w:id="6"/>
    </w:p>
    <w:p w14:paraId="7FD515CC" w14:textId="77777777" w:rsidR="00082A4F" w:rsidRDefault="00082A4F" w:rsidP="00082A4F">
      <w:pPr>
        <w:pStyle w:val="Heading4"/>
      </w:pPr>
      <w:r>
        <w:t>Virology</w:t>
      </w:r>
    </w:p>
    <w:p w14:paraId="2CB23FE7" w14:textId="77777777" w:rsidR="00082A4F" w:rsidRDefault="00082A4F" w:rsidP="00082A4F">
      <w:pPr>
        <w:pStyle w:val="Subtitle"/>
      </w:pPr>
      <w:bookmarkStart w:id="8" w:name="summary-by-typing"/>
      <w:r>
        <w:t>Summary by typing</w:t>
      </w:r>
    </w:p>
    <w:tbl>
      <w:tblPr>
        <w:tblW w:w="0" w:type="auto"/>
        <w:tblLayout w:type="fixed"/>
        <w:tblLook w:val="0420" w:firstRow="1" w:lastRow="0" w:firstColumn="0" w:lastColumn="0" w:noHBand="0" w:noVBand="1"/>
      </w:tblPr>
      <w:tblGrid>
        <w:gridCol w:w="1152"/>
        <w:gridCol w:w="1872"/>
        <w:gridCol w:w="720"/>
      </w:tblGrid>
      <w:tr w:rsidR="00082A4F" w14:paraId="3F4F0934" w14:textId="77777777" w:rsidTr="00A760D2">
        <w:trPr>
          <w:tblHeader/>
        </w:trPr>
        <w:tc>
          <w:tcPr>
            <w:tcW w:w="1152" w:type="dxa"/>
            <w:tcBorders>
              <w:top w:val="single" w:sz="12" w:space="0" w:color="666666"/>
              <w:left w:val="none" w:sz="0" w:space="0" w:color="000000" w:themeColor="text1"/>
              <w:bottom w:val="single" w:sz="12" w:space="0" w:color="666666"/>
              <w:right w:val="none" w:sz="0" w:space="0" w:color="000000" w:themeColor="text1"/>
            </w:tcBorders>
            <w:shd w:val="clear" w:color="auto" w:fill="324F82"/>
            <w:tcMar>
              <w:top w:w="0" w:type="dxa"/>
              <w:left w:w="0" w:type="dxa"/>
              <w:bottom w:w="0" w:type="dxa"/>
              <w:right w:w="0" w:type="dxa"/>
            </w:tcMar>
            <w:vAlign w:val="center"/>
          </w:tcPr>
          <w:p w14:paraId="4D4A4015" w14:textId="77777777" w:rsidR="00082A4F" w:rsidRPr="00EE00D8" w:rsidRDefault="00082A4F" w:rsidP="00A760D2">
            <w:pPr>
              <w:pBdr>
                <w:top w:val="none" w:sz="0" w:space="0" w:color="000000"/>
                <w:left w:val="none" w:sz="0" w:space="0" w:color="000000"/>
                <w:bottom w:val="none" w:sz="0" w:space="0" w:color="000000"/>
                <w:right w:val="none" w:sz="0" w:space="0" w:color="000000"/>
              </w:pBdr>
              <w:spacing w:before="100" w:after="100"/>
              <w:ind w:left="100" w:right="100"/>
              <w:rPr>
                <w:rFonts w:ascii="Arial" w:eastAsia="Arial" w:hAnsi="Arial"/>
                <w:b/>
                <w:color w:val="FFFFFF" w:themeColor="background1"/>
              </w:rPr>
            </w:pPr>
            <w:r w:rsidRPr="3317B65F">
              <w:rPr>
                <w:rFonts w:ascii="Arial" w:eastAsia="Arial" w:hAnsi="Arial"/>
                <w:b/>
                <w:color w:val="FFFFFF" w:themeColor="background1"/>
              </w:rPr>
              <w:t>Type</w:t>
            </w:r>
          </w:p>
        </w:tc>
        <w:tc>
          <w:tcPr>
            <w:tcW w:w="1872" w:type="dxa"/>
            <w:tcBorders>
              <w:top w:val="single" w:sz="12" w:space="0" w:color="666666"/>
              <w:left w:val="none" w:sz="0" w:space="0" w:color="000000" w:themeColor="text1"/>
              <w:bottom w:val="single" w:sz="12" w:space="0" w:color="666666"/>
              <w:right w:val="none" w:sz="0" w:space="0" w:color="000000" w:themeColor="text1"/>
            </w:tcBorders>
            <w:shd w:val="clear" w:color="auto" w:fill="324F82"/>
            <w:tcMar>
              <w:top w:w="0" w:type="dxa"/>
              <w:left w:w="0" w:type="dxa"/>
              <w:bottom w:w="0" w:type="dxa"/>
              <w:right w:w="0" w:type="dxa"/>
            </w:tcMar>
            <w:vAlign w:val="center"/>
          </w:tcPr>
          <w:p w14:paraId="34894430" w14:textId="77777777" w:rsidR="00082A4F" w:rsidRPr="00EE00D8" w:rsidRDefault="00082A4F" w:rsidP="00A760D2">
            <w:pPr>
              <w:pBdr>
                <w:top w:val="none" w:sz="0" w:space="0" w:color="000000"/>
                <w:left w:val="none" w:sz="0" w:space="0" w:color="000000"/>
                <w:bottom w:val="none" w:sz="0" w:space="0" w:color="000000"/>
                <w:right w:val="none" w:sz="0" w:space="0" w:color="000000"/>
              </w:pBdr>
              <w:spacing w:before="100" w:after="100"/>
              <w:ind w:left="100" w:right="100"/>
              <w:jc w:val="center"/>
              <w:rPr>
                <w:rFonts w:ascii="Arial" w:eastAsia="Arial" w:hAnsi="Arial"/>
                <w:b/>
                <w:color w:val="FFFFFF" w:themeColor="background1"/>
              </w:rPr>
            </w:pPr>
            <w:r w:rsidRPr="3317B65F">
              <w:rPr>
                <w:rFonts w:ascii="Arial" w:eastAsia="Arial" w:hAnsi="Arial"/>
                <w:b/>
                <w:color w:val="FFFFFF" w:themeColor="background1"/>
              </w:rPr>
              <w:t>Number of Cases</w:t>
            </w:r>
          </w:p>
        </w:tc>
        <w:tc>
          <w:tcPr>
            <w:tcW w:w="720" w:type="dxa"/>
            <w:tcBorders>
              <w:top w:val="single" w:sz="12" w:space="0" w:color="666666"/>
              <w:left w:val="none" w:sz="0" w:space="0" w:color="000000" w:themeColor="text1"/>
              <w:bottom w:val="single" w:sz="12" w:space="0" w:color="666666"/>
              <w:right w:val="none" w:sz="0" w:space="0" w:color="000000" w:themeColor="text1"/>
            </w:tcBorders>
            <w:shd w:val="clear" w:color="auto" w:fill="324F82"/>
            <w:tcMar>
              <w:top w:w="0" w:type="dxa"/>
              <w:left w:w="0" w:type="dxa"/>
              <w:bottom w:w="0" w:type="dxa"/>
              <w:right w:w="0" w:type="dxa"/>
            </w:tcMar>
            <w:vAlign w:val="center"/>
          </w:tcPr>
          <w:p w14:paraId="1109C81F" w14:textId="77777777" w:rsidR="00082A4F" w:rsidRPr="00EE00D8" w:rsidRDefault="00082A4F" w:rsidP="00A760D2">
            <w:pPr>
              <w:pBdr>
                <w:top w:val="none" w:sz="0" w:space="0" w:color="000000"/>
                <w:left w:val="none" w:sz="0" w:space="0" w:color="000000"/>
                <w:bottom w:val="none" w:sz="0" w:space="0" w:color="000000"/>
                <w:right w:val="none" w:sz="0" w:space="0" w:color="000000"/>
              </w:pBdr>
              <w:spacing w:before="100" w:after="100"/>
              <w:ind w:left="100" w:right="100"/>
              <w:jc w:val="right"/>
              <w:rPr>
                <w:rFonts w:ascii="Arial" w:eastAsia="Arial" w:hAnsi="Arial"/>
                <w:b/>
                <w:color w:val="FFFFFF" w:themeColor="background1"/>
              </w:rPr>
            </w:pPr>
            <w:r w:rsidRPr="3317B65F">
              <w:rPr>
                <w:rFonts w:ascii="Arial" w:eastAsia="Arial" w:hAnsi="Arial"/>
                <w:b/>
                <w:color w:val="FFFFFF" w:themeColor="background1"/>
              </w:rPr>
              <w:t>(%)</w:t>
            </w:r>
          </w:p>
        </w:tc>
      </w:tr>
      <w:tr w:rsidR="00082A4F" w14:paraId="343F04B2" w14:textId="77777777" w:rsidTr="00A760D2">
        <w:tc>
          <w:tcPr>
            <w:tcW w:w="1152" w:type="dxa"/>
            <w:tcBorders>
              <w:top w:val="single" w:sz="12" w:space="0" w:color="666666"/>
              <w:left w:val="none" w:sz="0" w:space="0" w:color="000000" w:themeColor="text1"/>
              <w:bottom w:val="none" w:sz="0" w:space="0" w:color="000000" w:themeColor="text1"/>
              <w:right w:val="none" w:sz="0" w:space="0" w:color="000000" w:themeColor="text1"/>
            </w:tcBorders>
            <w:shd w:val="clear" w:color="auto" w:fill="FFFFFF" w:themeFill="background1"/>
            <w:tcMar>
              <w:top w:w="0" w:type="dxa"/>
              <w:left w:w="0" w:type="dxa"/>
              <w:bottom w:w="0" w:type="dxa"/>
              <w:right w:w="0" w:type="dxa"/>
            </w:tcMar>
            <w:vAlign w:val="center"/>
          </w:tcPr>
          <w:p w14:paraId="5620F5B8" w14:textId="77777777" w:rsidR="00082A4F" w:rsidRPr="00EE00D8" w:rsidRDefault="00082A4F" w:rsidP="00A760D2">
            <w:pPr>
              <w:pBdr>
                <w:top w:val="none" w:sz="0" w:space="0" w:color="000000"/>
                <w:left w:val="none" w:sz="0" w:space="0" w:color="000000"/>
                <w:bottom w:val="none" w:sz="0" w:space="0" w:color="000000"/>
                <w:right w:val="none" w:sz="0" w:space="0" w:color="000000"/>
              </w:pBdr>
              <w:spacing w:before="40" w:after="40"/>
              <w:ind w:left="40" w:right="40"/>
              <w:rPr>
                <w:rFonts w:ascii="Arial" w:eastAsia="Arial" w:hAnsi="Arial"/>
                <w:color w:val="000000" w:themeColor="text1"/>
              </w:rPr>
            </w:pPr>
            <w:r w:rsidRPr="3317B65F">
              <w:rPr>
                <w:rFonts w:ascii="Arial" w:eastAsia="Arial" w:hAnsi="Arial"/>
                <w:color w:val="000000" w:themeColor="text1"/>
              </w:rPr>
              <w:t>CV-A9</w:t>
            </w:r>
          </w:p>
        </w:tc>
        <w:tc>
          <w:tcPr>
            <w:tcW w:w="1872" w:type="dxa"/>
            <w:tcBorders>
              <w:top w:val="single" w:sz="12" w:space="0" w:color="666666"/>
              <w:left w:val="none" w:sz="0" w:space="0" w:color="000000" w:themeColor="text1"/>
              <w:bottom w:val="none" w:sz="0" w:space="0" w:color="000000" w:themeColor="text1"/>
              <w:right w:val="none" w:sz="0" w:space="0" w:color="000000" w:themeColor="text1"/>
            </w:tcBorders>
            <w:shd w:val="clear" w:color="auto" w:fill="FFFFFF" w:themeFill="background1"/>
            <w:tcMar>
              <w:top w:w="0" w:type="dxa"/>
              <w:left w:w="0" w:type="dxa"/>
              <w:bottom w:w="0" w:type="dxa"/>
              <w:right w:w="0" w:type="dxa"/>
            </w:tcMar>
            <w:vAlign w:val="center"/>
          </w:tcPr>
          <w:p w14:paraId="497F67EA" w14:textId="77777777" w:rsidR="00082A4F" w:rsidRPr="00EE00D8" w:rsidRDefault="00082A4F" w:rsidP="00A760D2">
            <w:pPr>
              <w:pBdr>
                <w:top w:val="none" w:sz="0" w:space="0" w:color="000000"/>
                <w:left w:val="none" w:sz="0" w:space="0" w:color="000000"/>
                <w:bottom w:val="none" w:sz="0" w:space="0" w:color="000000"/>
                <w:right w:val="none" w:sz="0" w:space="0" w:color="000000"/>
              </w:pBdr>
              <w:spacing w:before="40" w:after="40"/>
              <w:ind w:left="40" w:right="40"/>
              <w:jc w:val="center"/>
              <w:rPr>
                <w:rFonts w:ascii="Arial" w:eastAsia="Arial" w:hAnsi="Arial"/>
                <w:color w:val="000000" w:themeColor="text1"/>
              </w:rPr>
            </w:pPr>
            <w:r w:rsidRPr="3317B65F">
              <w:rPr>
                <w:rFonts w:ascii="Arial" w:eastAsia="Arial" w:hAnsi="Arial"/>
                <w:color w:val="000000" w:themeColor="text1"/>
              </w:rPr>
              <w:t>1</w:t>
            </w:r>
          </w:p>
        </w:tc>
        <w:tc>
          <w:tcPr>
            <w:tcW w:w="720" w:type="dxa"/>
            <w:tcBorders>
              <w:top w:val="single" w:sz="12" w:space="0" w:color="666666"/>
              <w:left w:val="none" w:sz="0" w:space="0" w:color="000000" w:themeColor="text1"/>
              <w:bottom w:val="none" w:sz="0" w:space="0" w:color="000000" w:themeColor="text1"/>
              <w:right w:val="none" w:sz="0" w:space="0" w:color="000000" w:themeColor="text1"/>
            </w:tcBorders>
            <w:shd w:val="clear" w:color="auto" w:fill="FFFFFF" w:themeFill="background1"/>
            <w:tcMar>
              <w:top w:w="0" w:type="dxa"/>
              <w:left w:w="0" w:type="dxa"/>
              <w:bottom w:w="0" w:type="dxa"/>
              <w:right w:w="0" w:type="dxa"/>
            </w:tcMar>
            <w:vAlign w:val="center"/>
          </w:tcPr>
          <w:p w14:paraId="37C24E34" w14:textId="77777777" w:rsidR="00082A4F" w:rsidRPr="00EE00D8" w:rsidRDefault="00082A4F" w:rsidP="00A760D2">
            <w:pPr>
              <w:pBdr>
                <w:top w:val="none" w:sz="0" w:space="0" w:color="000000"/>
                <w:left w:val="none" w:sz="0" w:space="0" w:color="000000"/>
                <w:bottom w:val="none" w:sz="0" w:space="0" w:color="000000"/>
                <w:right w:val="none" w:sz="0" w:space="0" w:color="000000"/>
              </w:pBdr>
              <w:spacing w:before="40" w:after="40"/>
              <w:ind w:left="40" w:right="40"/>
              <w:jc w:val="right"/>
              <w:rPr>
                <w:rFonts w:ascii="Arial" w:eastAsia="Arial" w:hAnsi="Arial"/>
                <w:color w:val="000000" w:themeColor="text1"/>
              </w:rPr>
            </w:pPr>
            <w:r w:rsidRPr="3317B65F">
              <w:rPr>
                <w:rFonts w:ascii="Arial" w:eastAsia="Arial" w:hAnsi="Arial"/>
                <w:color w:val="000000" w:themeColor="text1"/>
              </w:rPr>
              <w:t>1.9</w:t>
            </w:r>
          </w:p>
        </w:tc>
      </w:tr>
      <w:tr w:rsidR="00082A4F" w14:paraId="4D15E22F" w14:textId="77777777" w:rsidTr="00A760D2">
        <w:tc>
          <w:tcPr>
            <w:tcW w:w="1152" w:type="dxa"/>
            <w:tcBorders>
              <w:top w:val="none" w:sz="0" w:space="0" w:color="000000" w:themeColor="text1"/>
              <w:left w:val="none" w:sz="0" w:space="0" w:color="000000" w:themeColor="text1"/>
              <w:bottom w:val="none" w:sz="0" w:space="0" w:color="000000" w:themeColor="text1"/>
              <w:right w:val="none" w:sz="0" w:space="0" w:color="000000" w:themeColor="text1"/>
            </w:tcBorders>
            <w:shd w:val="clear" w:color="auto" w:fill="FFFFFF" w:themeFill="background1"/>
            <w:tcMar>
              <w:top w:w="0" w:type="dxa"/>
              <w:left w:w="0" w:type="dxa"/>
              <w:bottom w:w="0" w:type="dxa"/>
              <w:right w:w="0" w:type="dxa"/>
            </w:tcMar>
            <w:vAlign w:val="center"/>
          </w:tcPr>
          <w:p w14:paraId="70A3F867" w14:textId="77777777" w:rsidR="00082A4F" w:rsidRPr="00EE00D8" w:rsidRDefault="00082A4F" w:rsidP="00A760D2">
            <w:pPr>
              <w:pBdr>
                <w:top w:val="none" w:sz="0" w:space="0" w:color="000000"/>
                <w:left w:val="none" w:sz="0" w:space="0" w:color="000000"/>
                <w:bottom w:val="none" w:sz="0" w:space="0" w:color="000000"/>
                <w:right w:val="none" w:sz="0" w:space="0" w:color="000000"/>
              </w:pBdr>
              <w:spacing w:before="40" w:after="40"/>
              <w:ind w:left="40" w:right="40"/>
              <w:rPr>
                <w:rFonts w:ascii="Arial" w:eastAsia="Arial" w:hAnsi="Arial"/>
                <w:color w:val="000000" w:themeColor="text1"/>
              </w:rPr>
            </w:pPr>
            <w:r w:rsidRPr="3317B65F">
              <w:rPr>
                <w:rFonts w:ascii="Arial" w:eastAsia="Arial" w:hAnsi="Arial"/>
                <w:color w:val="000000" w:themeColor="text1"/>
              </w:rPr>
              <w:t>CV-B3</w:t>
            </w:r>
          </w:p>
        </w:tc>
        <w:tc>
          <w:tcPr>
            <w:tcW w:w="1872" w:type="dxa"/>
            <w:tcBorders>
              <w:top w:val="none" w:sz="0" w:space="0" w:color="000000" w:themeColor="text1"/>
              <w:left w:val="none" w:sz="0" w:space="0" w:color="000000" w:themeColor="text1"/>
              <w:bottom w:val="none" w:sz="0" w:space="0" w:color="000000" w:themeColor="text1"/>
              <w:right w:val="none" w:sz="0" w:space="0" w:color="000000" w:themeColor="text1"/>
            </w:tcBorders>
            <w:shd w:val="clear" w:color="auto" w:fill="FFFFFF" w:themeFill="background1"/>
            <w:tcMar>
              <w:top w:w="0" w:type="dxa"/>
              <w:left w:w="0" w:type="dxa"/>
              <w:bottom w:w="0" w:type="dxa"/>
              <w:right w:w="0" w:type="dxa"/>
            </w:tcMar>
            <w:vAlign w:val="center"/>
          </w:tcPr>
          <w:p w14:paraId="5D7D7C28" w14:textId="77777777" w:rsidR="00082A4F" w:rsidRPr="00EE00D8" w:rsidRDefault="00082A4F" w:rsidP="00A760D2">
            <w:pPr>
              <w:pBdr>
                <w:top w:val="none" w:sz="0" w:space="0" w:color="000000"/>
                <w:left w:val="none" w:sz="0" w:space="0" w:color="000000"/>
                <w:bottom w:val="none" w:sz="0" w:space="0" w:color="000000"/>
                <w:right w:val="none" w:sz="0" w:space="0" w:color="000000"/>
              </w:pBdr>
              <w:spacing w:before="40" w:after="40"/>
              <w:ind w:left="40" w:right="40"/>
              <w:jc w:val="center"/>
              <w:rPr>
                <w:rFonts w:ascii="Arial" w:eastAsia="Arial" w:hAnsi="Arial"/>
                <w:color w:val="000000" w:themeColor="text1"/>
              </w:rPr>
            </w:pPr>
            <w:r w:rsidRPr="3317B65F">
              <w:rPr>
                <w:rFonts w:ascii="Arial" w:eastAsia="Arial" w:hAnsi="Arial"/>
                <w:color w:val="000000" w:themeColor="text1"/>
              </w:rPr>
              <w:t>3</w:t>
            </w:r>
          </w:p>
        </w:tc>
        <w:tc>
          <w:tcPr>
            <w:tcW w:w="720" w:type="dxa"/>
            <w:tcBorders>
              <w:top w:val="none" w:sz="0" w:space="0" w:color="000000" w:themeColor="text1"/>
              <w:left w:val="none" w:sz="0" w:space="0" w:color="000000" w:themeColor="text1"/>
              <w:bottom w:val="none" w:sz="0" w:space="0" w:color="000000" w:themeColor="text1"/>
              <w:right w:val="none" w:sz="0" w:space="0" w:color="000000" w:themeColor="text1"/>
            </w:tcBorders>
            <w:shd w:val="clear" w:color="auto" w:fill="FFFFFF" w:themeFill="background1"/>
            <w:tcMar>
              <w:top w:w="0" w:type="dxa"/>
              <w:left w:w="0" w:type="dxa"/>
              <w:bottom w:w="0" w:type="dxa"/>
              <w:right w:w="0" w:type="dxa"/>
            </w:tcMar>
            <w:vAlign w:val="center"/>
          </w:tcPr>
          <w:p w14:paraId="3210E45F" w14:textId="77777777" w:rsidR="00082A4F" w:rsidRPr="00EE00D8" w:rsidRDefault="00082A4F" w:rsidP="00A760D2">
            <w:pPr>
              <w:pBdr>
                <w:top w:val="none" w:sz="0" w:space="0" w:color="000000"/>
                <w:left w:val="none" w:sz="0" w:space="0" w:color="000000"/>
                <w:bottom w:val="none" w:sz="0" w:space="0" w:color="000000"/>
                <w:right w:val="none" w:sz="0" w:space="0" w:color="000000"/>
              </w:pBdr>
              <w:spacing w:before="40" w:after="40"/>
              <w:ind w:left="40" w:right="40"/>
              <w:jc w:val="right"/>
              <w:rPr>
                <w:rFonts w:ascii="Arial" w:eastAsia="Arial" w:hAnsi="Arial"/>
                <w:color w:val="000000" w:themeColor="text1"/>
              </w:rPr>
            </w:pPr>
            <w:r w:rsidRPr="3317B65F">
              <w:rPr>
                <w:rFonts w:ascii="Arial" w:eastAsia="Arial" w:hAnsi="Arial"/>
                <w:color w:val="000000" w:themeColor="text1"/>
              </w:rPr>
              <w:t>5.7</w:t>
            </w:r>
          </w:p>
        </w:tc>
      </w:tr>
      <w:tr w:rsidR="00082A4F" w14:paraId="764724F3" w14:textId="77777777" w:rsidTr="00A760D2">
        <w:tc>
          <w:tcPr>
            <w:tcW w:w="1152" w:type="dxa"/>
            <w:tcBorders>
              <w:top w:val="none" w:sz="0" w:space="0" w:color="000000" w:themeColor="text1"/>
              <w:left w:val="none" w:sz="0" w:space="0" w:color="000000" w:themeColor="text1"/>
              <w:bottom w:val="none" w:sz="0" w:space="0" w:color="000000" w:themeColor="text1"/>
              <w:right w:val="none" w:sz="0" w:space="0" w:color="000000" w:themeColor="text1"/>
            </w:tcBorders>
            <w:shd w:val="clear" w:color="auto" w:fill="FFFFFF" w:themeFill="background1"/>
            <w:tcMar>
              <w:top w:w="0" w:type="dxa"/>
              <w:left w:w="0" w:type="dxa"/>
              <w:bottom w:w="0" w:type="dxa"/>
              <w:right w:w="0" w:type="dxa"/>
            </w:tcMar>
            <w:vAlign w:val="center"/>
          </w:tcPr>
          <w:p w14:paraId="5B92FE76" w14:textId="77777777" w:rsidR="00082A4F" w:rsidRPr="00EE00D8" w:rsidRDefault="00082A4F" w:rsidP="00A760D2">
            <w:pPr>
              <w:pBdr>
                <w:top w:val="none" w:sz="0" w:space="0" w:color="000000"/>
                <w:left w:val="none" w:sz="0" w:space="0" w:color="000000"/>
                <w:bottom w:val="none" w:sz="0" w:space="0" w:color="000000"/>
                <w:right w:val="none" w:sz="0" w:space="0" w:color="000000"/>
              </w:pBdr>
              <w:spacing w:before="40" w:after="40"/>
              <w:ind w:left="40" w:right="40"/>
              <w:rPr>
                <w:rFonts w:ascii="Arial" w:eastAsia="Arial" w:hAnsi="Arial"/>
                <w:color w:val="000000" w:themeColor="text1"/>
              </w:rPr>
            </w:pPr>
            <w:r w:rsidRPr="3317B65F">
              <w:rPr>
                <w:rFonts w:ascii="Arial" w:eastAsia="Arial" w:hAnsi="Arial"/>
                <w:color w:val="000000" w:themeColor="text1"/>
              </w:rPr>
              <w:t>CV-B4</w:t>
            </w:r>
          </w:p>
        </w:tc>
        <w:tc>
          <w:tcPr>
            <w:tcW w:w="1872" w:type="dxa"/>
            <w:tcBorders>
              <w:top w:val="none" w:sz="0" w:space="0" w:color="000000" w:themeColor="text1"/>
              <w:left w:val="none" w:sz="0" w:space="0" w:color="000000" w:themeColor="text1"/>
              <w:bottom w:val="none" w:sz="0" w:space="0" w:color="000000" w:themeColor="text1"/>
              <w:right w:val="none" w:sz="0" w:space="0" w:color="000000" w:themeColor="text1"/>
            </w:tcBorders>
            <w:shd w:val="clear" w:color="auto" w:fill="FFFFFF" w:themeFill="background1"/>
            <w:tcMar>
              <w:top w:w="0" w:type="dxa"/>
              <w:left w:w="0" w:type="dxa"/>
              <w:bottom w:w="0" w:type="dxa"/>
              <w:right w:w="0" w:type="dxa"/>
            </w:tcMar>
            <w:vAlign w:val="center"/>
          </w:tcPr>
          <w:p w14:paraId="3138E975" w14:textId="77777777" w:rsidR="00082A4F" w:rsidRPr="00EE00D8" w:rsidRDefault="00082A4F" w:rsidP="00A760D2">
            <w:pPr>
              <w:pBdr>
                <w:top w:val="none" w:sz="0" w:space="0" w:color="000000"/>
                <w:left w:val="none" w:sz="0" w:space="0" w:color="000000"/>
                <w:bottom w:val="none" w:sz="0" w:space="0" w:color="000000"/>
                <w:right w:val="none" w:sz="0" w:space="0" w:color="000000"/>
              </w:pBdr>
              <w:spacing w:before="40" w:after="40"/>
              <w:ind w:left="40" w:right="40"/>
              <w:jc w:val="center"/>
              <w:rPr>
                <w:rFonts w:ascii="Arial" w:eastAsia="Arial" w:hAnsi="Arial"/>
                <w:color w:val="000000" w:themeColor="text1"/>
              </w:rPr>
            </w:pPr>
            <w:r w:rsidRPr="3317B65F">
              <w:rPr>
                <w:rFonts w:ascii="Arial" w:eastAsia="Arial" w:hAnsi="Arial"/>
                <w:color w:val="000000" w:themeColor="text1"/>
              </w:rPr>
              <w:t>4</w:t>
            </w:r>
          </w:p>
        </w:tc>
        <w:tc>
          <w:tcPr>
            <w:tcW w:w="720" w:type="dxa"/>
            <w:tcBorders>
              <w:top w:val="none" w:sz="0" w:space="0" w:color="000000" w:themeColor="text1"/>
              <w:left w:val="none" w:sz="0" w:space="0" w:color="000000" w:themeColor="text1"/>
              <w:bottom w:val="none" w:sz="0" w:space="0" w:color="000000" w:themeColor="text1"/>
              <w:right w:val="none" w:sz="0" w:space="0" w:color="000000" w:themeColor="text1"/>
            </w:tcBorders>
            <w:shd w:val="clear" w:color="auto" w:fill="FFFFFF" w:themeFill="background1"/>
            <w:tcMar>
              <w:top w:w="0" w:type="dxa"/>
              <w:left w:w="0" w:type="dxa"/>
              <w:bottom w:w="0" w:type="dxa"/>
              <w:right w:w="0" w:type="dxa"/>
            </w:tcMar>
            <w:vAlign w:val="center"/>
          </w:tcPr>
          <w:p w14:paraId="6F60F941" w14:textId="77777777" w:rsidR="00082A4F" w:rsidRPr="00EE00D8" w:rsidRDefault="00082A4F" w:rsidP="00A760D2">
            <w:pPr>
              <w:pBdr>
                <w:top w:val="none" w:sz="0" w:space="0" w:color="000000"/>
                <w:left w:val="none" w:sz="0" w:space="0" w:color="000000"/>
                <w:bottom w:val="none" w:sz="0" w:space="0" w:color="000000"/>
                <w:right w:val="none" w:sz="0" w:space="0" w:color="000000"/>
              </w:pBdr>
              <w:spacing w:before="40" w:after="40"/>
              <w:ind w:left="40" w:right="40"/>
              <w:jc w:val="right"/>
              <w:rPr>
                <w:rFonts w:ascii="Arial" w:eastAsia="Arial" w:hAnsi="Arial"/>
                <w:color w:val="000000" w:themeColor="text1"/>
              </w:rPr>
            </w:pPr>
            <w:r w:rsidRPr="3317B65F">
              <w:rPr>
                <w:rFonts w:ascii="Arial" w:eastAsia="Arial" w:hAnsi="Arial"/>
                <w:color w:val="000000" w:themeColor="text1"/>
              </w:rPr>
              <w:t>7.5</w:t>
            </w:r>
          </w:p>
        </w:tc>
      </w:tr>
      <w:tr w:rsidR="00082A4F" w14:paraId="5B2A495B" w14:textId="77777777" w:rsidTr="00A760D2">
        <w:tc>
          <w:tcPr>
            <w:tcW w:w="1152" w:type="dxa"/>
            <w:tcBorders>
              <w:top w:val="none" w:sz="0" w:space="0" w:color="000000" w:themeColor="text1"/>
              <w:left w:val="none" w:sz="0" w:space="0" w:color="000000" w:themeColor="text1"/>
              <w:bottom w:val="none" w:sz="0" w:space="0" w:color="000000" w:themeColor="text1"/>
              <w:right w:val="none" w:sz="0" w:space="0" w:color="000000" w:themeColor="text1"/>
            </w:tcBorders>
            <w:shd w:val="clear" w:color="auto" w:fill="FFFFFF" w:themeFill="background1"/>
            <w:tcMar>
              <w:top w:w="0" w:type="dxa"/>
              <w:left w:w="0" w:type="dxa"/>
              <w:bottom w:w="0" w:type="dxa"/>
              <w:right w:w="0" w:type="dxa"/>
            </w:tcMar>
            <w:vAlign w:val="center"/>
          </w:tcPr>
          <w:p w14:paraId="226185AD" w14:textId="77777777" w:rsidR="00082A4F" w:rsidRPr="00EE00D8" w:rsidRDefault="00082A4F" w:rsidP="00A760D2">
            <w:pPr>
              <w:pBdr>
                <w:top w:val="none" w:sz="0" w:space="0" w:color="000000"/>
                <w:left w:val="none" w:sz="0" w:space="0" w:color="000000"/>
                <w:bottom w:val="none" w:sz="0" w:space="0" w:color="000000"/>
                <w:right w:val="none" w:sz="0" w:space="0" w:color="000000"/>
              </w:pBdr>
              <w:spacing w:before="40" w:after="40"/>
              <w:ind w:left="40" w:right="40"/>
              <w:rPr>
                <w:rFonts w:ascii="Arial" w:eastAsia="Arial" w:hAnsi="Arial"/>
                <w:color w:val="000000" w:themeColor="text1"/>
              </w:rPr>
            </w:pPr>
            <w:r w:rsidRPr="3317B65F">
              <w:rPr>
                <w:rFonts w:ascii="Arial" w:eastAsia="Arial" w:hAnsi="Arial"/>
                <w:color w:val="000000" w:themeColor="text1"/>
              </w:rPr>
              <w:t>E-9</w:t>
            </w:r>
          </w:p>
        </w:tc>
        <w:tc>
          <w:tcPr>
            <w:tcW w:w="1872" w:type="dxa"/>
            <w:tcBorders>
              <w:top w:val="none" w:sz="0" w:space="0" w:color="000000" w:themeColor="text1"/>
              <w:left w:val="none" w:sz="0" w:space="0" w:color="000000" w:themeColor="text1"/>
              <w:bottom w:val="none" w:sz="0" w:space="0" w:color="000000" w:themeColor="text1"/>
              <w:right w:val="none" w:sz="0" w:space="0" w:color="000000" w:themeColor="text1"/>
            </w:tcBorders>
            <w:shd w:val="clear" w:color="auto" w:fill="FFFFFF" w:themeFill="background1"/>
            <w:tcMar>
              <w:top w:w="0" w:type="dxa"/>
              <w:left w:w="0" w:type="dxa"/>
              <w:bottom w:w="0" w:type="dxa"/>
              <w:right w:w="0" w:type="dxa"/>
            </w:tcMar>
            <w:vAlign w:val="center"/>
          </w:tcPr>
          <w:p w14:paraId="1251FA05" w14:textId="77777777" w:rsidR="00082A4F" w:rsidRPr="00EE00D8" w:rsidRDefault="00082A4F" w:rsidP="00A760D2">
            <w:pPr>
              <w:pBdr>
                <w:top w:val="none" w:sz="0" w:space="0" w:color="000000"/>
                <w:left w:val="none" w:sz="0" w:space="0" w:color="000000"/>
                <w:bottom w:val="none" w:sz="0" w:space="0" w:color="000000"/>
                <w:right w:val="none" w:sz="0" w:space="0" w:color="000000"/>
              </w:pBdr>
              <w:spacing w:before="40" w:after="40"/>
              <w:ind w:left="40" w:right="40"/>
              <w:jc w:val="center"/>
              <w:rPr>
                <w:rFonts w:ascii="Arial" w:eastAsia="Arial" w:hAnsi="Arial"/>
                <w:color w:val="000000" w:themeColor="text1"/>
              </w:rPr>
            </w:pPr>
            <w:r w:rsidRPr="3317B65F">
              <w:rPr>
                <w:rFonts w:ascii="Arial" w:eastAsia="Arial" w:hAnsi="Arial"/>
                <w:color w:val="000000" w:themeColor="text1"/>
              </w:rPr>
              <w:t>3</w:t>
            </w:r>
          </w:p>
        </w:tc>
        <w:tc>
          <w:tcPr>
            <w:tcW w:w="720" w:type="dxa"/>
            <w:tcBorders>
              <w:top w:val="none" w:sz="0" w:space="0" w:color="000000" w:themeColor="text1"/>
              <w:left w:val="none" w:sz="0" w:space="0" w:color="000000" w:themeColor="text1"/>
              <w:bottom w:val="none" w:sz="0" w:space="0" w:color="000000" w:themeColor="text1"/>
              <w:right w:val="none" w:sz="0" w:space="0" w:color="000000" w:themeColor="text1"/>
            </w:tcBorders>
            <w:shd w:val="clear" w:color="auto" w:fill="FFFFFF" w:themeFill="background1"/>
            <w:tcMar>
              <w:top w:w="0" w:type="dxa"/>
              <w:left w:w="0" w:type="dxa"/>
              <w:bottom w:w="0" w:type="dxa"/>
              <w:right w:w="0" w:type="dxa"/>
            </w:tcMar>
            <w:vAlign w:val="center"/>
          </w:tcPr>
          <w:p w14:paraId="6DF13FD2" w14:textId="77777777" w:rsidR="00082A4F" w:rsidRPr="00EE00D8" w:rsidRDefault="00082A4F" w:rsidP="00A760D2">
            <w:pPr>
              <w:pBdr>
                <w:top w:val="none" w:sz="0" w:space="0" w:color="000000"/>
                <w:left w:val="none" w:sz="0" w:space="0" w:color="000000"/>
                <w:bottom w:val="none" w:sz="0" w:space="0" w:color="000000"/>
                <w:right w:val="none" w:sz="0" w:space="0" w:color="000000"/>
              </w:pBdr>
              <w:spacing w:before="40" w:after="40"/>
              <w:ind w:left="40" w:right="40"/>
              <w:jc w:val="right"/>
              <w:rPr>
                <w:rFonts w:ascii="Arial" w:eastAsia="Arial" w:hAnsi="Arial"/>
                <w:color w:val="000000" w:themeColor="text1"/>
              </w:rPr>
            </w:pPr>
            <w:r w:rsidRPr="3317B65F">
              <w:rPr>
                <w:rFonts w:ascii="Arial" w:eastAsia="Arial" w:hAnsi="Arial"/>
                <w:color w:val="000000" w:themeColor="text1"/>
              </w:rPr>
              <w:t>5.7</w:t>
            </w:r>
          </w:p>
        </w:tc>
      </w:tr>
      <w:tr w:rsidR="00082A4F" w14:paraId="56B979DB" w14:textId="77777777" w:rsidTr="00A760D2">
        <w:tc>
          <w:tcPr>
            <w:tcW w:w="1152" w:type="dxa"/>
            <w:tcBorders>
              <w:top w:val="none" w:sz="0" w:space="0" w:color="000000" w:themeColor="text1"/>
              <w:left w:val="none" w:sz="0" w:space="0" w:color="000000" w:themeColor="text1"/>
              <w:bottom w:val="single" w:sz="12" w:space="0" w:color="000000" w:themeColor="text1"/>
              <w:right w:val="none" w:sz="0" w:space="0" w:color="000000" w:themeColor="text1"/>
            </w:tcBorders>
            <w:shd w:val="clear" w:color="auto" w:fill="FFFFFF" w:themeFill="background1"/>
            <w:tcMar>
              <w:top w:w="0" w:type="dxa"/>
              <w:left w:w="0" w:type="dxa"/>
              <w:bottom w:w="0" w:type="dxa"/>
              <w:right w:w="0" w:type="dxa"/>
            </w:tcMar>
            <w:vAlign w:val="center"/>
          </w:tcPr>
          <w:p w14:paraId="004D21D2" w14:textId="77777777" w:rsidR="00082A4F" w:rsidRPr="00EE00D8" w:rsidRDefault="00082A4F" w:rsidP="00A760D2">
            <w:pPr>
              <w:pBdr>
                <w:top w:val="none" w:sz="0" w:space="0" w:color="000000"/>
                <w:left w:val="none" w:sz="0" w:space="0" w:color="000000"/>
                <w:bottom w:val="none" w:sz="0" w:space="0" w:color="000000"/>
                <w:right w:val="none" w:sz="0" w:space="0" w:color="000000"/>
              </w:pBdr>
              <w:spacing w:before="40" w:after="40"/>
              <w:ind w:left="40" w:right="40"/>
              <w:rPr>
                <w:rFonts w:ascii="Arial" w:eastAsia="Arial" w:hAnsi="Arial"/>
                <w:color w:val="000000" w:themeColor="text1"/>
              </w:rPr>
            </w:pPr>
            <w:r w:rsidRPr="3317B65F">
              <w:rPr>
                <w:rFonts w:ascii="Arial" w:eastAsia="Arial" w:hAnsi="Arial"/>
                <w:color w:val="000000" w:themeColor="text1"/>
              </w:rPr>
              <w:t>Unknown</w:t>
            </w:r>
          </w:p>
        </w:tc>
        <w:tc>
          <w:tcPr>
            <w:tcW w:w="1872" w:type="dxa"/>
            <w:tcBorders>
              <w:top w:val="none" w:sz="0" w:space="0" w:color="000000" w:themeColor="text1"/>
              <w:left w:val="none" w:sz="0" w:space="0" w:color="000000" w:themeColor="text1"/>
              <w:bottom w:val="single" w:sz="12" w:space="0" w:color="000000" w:themeColor="text1"/>
              <w:right w:val="none" w:sz="0" w:space="0" w:color="000000" w:themeColor="text1"/>
            </w:tcBorders>
            <w:shd w:val="clear" w:color="auto" w:fill="FFFFFF" w:themeFill="background1"/>
            <w:tcMar>
              <w:top w:w="0" w:type="dxa"/>
              <w:left w:w="0" w:type="dxa"/>
              <w:bottom w:w="0" w:type="dxa"/>
              <w:right w:w="0" w:type="dxa"/>
            </w:tcMar>
            <w:vAlign w:val="center"/>
          </w:tcPr>
          <w:p w14:paraId="2A172F23" w14:textId="77777777" w:rsidR="00082A4F" w:rsidRPr="00EE00D8" w:rsidRDefault="00082A4F" w:rsidP="00A760D2">
            <w:pPr>
              <w:pBdr>
                <w:top w:val="none" w:sz="0" w:space="0" w:color="000000"/>
                <w:left w:val="none" w:sz="0" w:space="0" w:color="000000"/>
                <w:bottom w:val="none" w:sz="0" w:space="0" w:color="000000"/>
                <w:right w:val="none" w:sz="0" w:space="0" w:color="000000"/>
              </w:pBdr>
              <w:spacing w:before="40" w:after="40"/>
              <w:ind w:left="40" w:right="40"/>
              <w:jc w:val="center"/>
              <w:rPr>
                <w:rFonts w:ascii="Arial" w:eastAsia="Arial" w:hAnsi="Arial"/>
                <w:color w:val="000000" w:themeColor="text1"/>
              </w:rPr>
            </w:pPr>
            <w:r w:rsidRPr="3317B65F">
              <w:rPr>
                <w:rFonts w:ascii="Arial" w:eastAsia="Arial" w:hAnsi="Arial"/>
                <w:color w:val="000000" w:themeColor="text1"/>
              </w:rPr>
              <w:t>42</w:t>
            </w:r>
          </w:p>
        </w:tc>
        <w:tc>
          <w:tcPr>
            <w:tcW w:w="720" w:type="dxa"/>
            <w:tcBorders>
              <w:top w:val="none" w:sz="0" w:space="0" w:color="000000" w:themeColor="text1"/>
              <w:left w:val="none" w:sz="0" w:space="0" w:color="000000" w:themeColor="text1"/>
              <w:bottom w:val="single" w:sz="12" w:space="0" w:color="000000" w:themeColor="text1"/>
              <w:right w:val="none" w:sz="0" w:space="0" w:color="000000" w:themeColor="text1"/>
            </w:tcBorders>
            <w:shd w:val="clear" w:color="auto" w:fill="FFFFFF" w:themeFill="background1"/>
            <w:tcMar>
              <w:top w:w="0" w:type="dxa"/>
              <w:left w:w="0" w:type="dxa"/>
              <w:bottom w:w="0" w:type="dxa"/>
              <w:right w:w="0" w:type="dxa"/>
            </w:tcMar>
            <w:vAlign w:val="center"/>
          </w:tcPr>
          <w:p w14:paraId="56780DE2" w14:textId="77777777" w:rsidR="00082A4F" w:rsidRPr="00EE00D8" w:rsidRDefault="00082A4F" w:rsidP="00A760D2">
            <w:pPr>
              <w:pBdr>
                <w:top w:val="none" w:sz="0" w:space="0" w:color="000000"/>
                <w:left w:val="none" w:sz="0" w:space="0" w:color="000000"/>
                <w:bottom w:val="none" w:sz="0" w:space="0" w:color="000000"/>
                <w:right w:val="none" w:sz="0" w:space="0" w:color="000000"/>
              </w:pBdr>
              <w:spacing w:before="40" w:after="40"/>
              <w:ind w:left="40" w:right="40"/>
              <w:jc w:val="right"/>
              <w:rPr>
                <w:rFonts w:ascii="Arial" w:eastAsia="Arial" w:hAnsi="Arial"/>
                <w:color w:val="000000" w:themeColor="text1"/>
              </w:rPr>
            </w:pPr>
            <w:r w:rsidRPr="3317B65F">
              <w:rPr>
                <w:rFonts w:ascii="Arial" w:eastAsia="Arial" w:hAnsi="Arial"/>
                <w:color w:val="000000" w:themeColor="text1"/>
              </w:rPr>
              <w:t>79.2</w:t>
            </w:r>
          </w:p>
        </w:tc>
      </w:tr>
      <w:tr w:rsidR="00082A4F" w14:paraId="4D8E975D" w14:textId="77777777" w:rsidTr="00A760D2">
        <w:tc>
          <w:tcPr>
            <w:tcW w:w="1152" w:type="dxa"/>
            <w:tcBorders>
              <w:top w:val="single" w:sz="12" w:space="0" w:color="000000" w:themeColor="text1"/>
              <w:left w:val="none" w:sz="0" w:space="0" w:color="000000" w:themeColor="text1"/>
              <w:bottom w:val="single" w:sz="12" w:space="0" w:color="666666"/>
              <w:right w:val="none" w:sz="0" w:space="0" w:color="000000" w:themeColor="text1"/>
            </w:tcBorders>
            <w:shd w:val="clear" w:color="auto" w:fill="FFFFFF" w:themeFill="background1"/>
            <w:tcMar>
              <w:top w:w="0" w:type="dxa"/>
              <w:left w:w="0" w:type="dxa"/>
              <w:bottom w:w="0" w:type="dxa"/>
              <w:right w:w="0" w:type="dxa"/>
            </w:tcMar>
            <w:vAlign w:val="center"/>
          </w:tcPr>
          <w:p w14:paraId="2484AFD6" w14:textId="77777777" w:rsidR="00082A4F" w:rsidRPr="00EE00D8" w:rsidRDefault="00082A4F" w:rsidP="00A760D2">
            <w:pPr>
              <w:pBdr>
                <w:top w:val="none" w:sz="0" w:space="0" w:color="000000"/>
                <w:left w:val="none" w:sz="0" w:space="0" w:color="000000"/>
                <w:bottom w:val="none" w:sz="0" w:space="0" w:color="000000"/>
                <w:right w:val="none" w:sz="0" w:space="0" w:color="000000"/>
              </w:pBdr>
              <w:spacing w:before="40" w:after="40"/>
              <w:ind w:left="40" w:right="40"/>
              <w:rPr>
                <w:rFonts w:ascii="Arial" w:eastAsia="Arial" w:hAnsi="Arial"/>
                <w:color w:val="000000" w:themeColor="text1"/>
              </w:rPr>
            </w:pPr>
            <w:r w:rsidRPr="3317B65F">
              <w:rPr>
                <w:rFonts w:ascii="Arial" w:eastAsia="Arial" w:hAnsi="Arial"/>
                <w:color w:val="000000" w:themeColor="text1"/>
              </w:rPr>
              <w:t>Total</w:t>
            </w:r>
          </w:p>
        </w:tc>
        <w:tc>
          <w:tcPr>
            <w:tcW w:w="1872" w:type="dxa"/>
            <w:tcBorders>
              <w:top w:val="single" w:sz="12" w:space="0" w:color="000000" w:themeColor="text1"/>
              <w:left w:val="none" w:sz="0" w:space="0" w:color="000000" w:themeColor="text1"/>
              <w:bottom w:val="single" w:sz="12" w:space="0" w:color="666666"/>
              <w:right w:val="none" w:sz="0" w:space="0" w:color="000000" w:themeColor="text1"/>
            </w:tcBorders>
            <w:shd w:val="clear" w:color="auto" w:fill="FFFFFF" w:themeFill="background1"/>
            <w:tcMar>
              <w:top w:w="0" w:type="dxa"/>
              <w:left w:w="0" w:type="dxa"/>
              <w:bottom w:w="0" w:type="dxa"/>
              <w:right w:w="0" w:type="dxa"/>
            </w:tcMar>
            <w:vAlign w:val="center"/>
          </w:tcPr>
          <w:p w14:paraId="115A6017" w14:textId="77777777" w:rsidR="00082A4F" w:rsidRPr="00EE00D8" w:rsidRDefault="00082A4F" w:rsidP="00A760D2">
            <w:pPr>
              <w:pBdr>
                <w:top w:val="none" w:sz="0" w:space="0" w:color="000000"/>
                <w:left w:val="none" w:sz="0" w:space="0" w:color="000000"/>
                <w:bottom w:val="none" w:sz="0" w:space="0" w:color="000000"/>
                <w:right w:val="none" w:sz="0" w:space="0" w:color="000000"/>
              </w:pBdr>
              <w:spacing w:before="40" w:after="40"/>
              <w:ind w:left="40" w:right="40"/>
              <w:jc w:val="center"/>
              <w:rPr>
                <w:rFonts w:ascii="Arial" w:eastAsia="Arial" w:hAnsi="Arial"/>
                <w:color w:val="000000" w:themeColor="text1"/>
              </w:rPr>
            </w:pPr>
            <w:r w:rsidRPr="3317B65F">
              <w:rPr>
                <w:rFonts w:ascii="Arial" w:eastAsia="Arial" w:hAnsi="Arial"/>
                <w:color w:val="000000" w:themeColor="text1"/>
              </w:rPr>
              <w:t>53</w:t>
            </w:r>
          </w:p>
        </w:tc>
        <w:tc>
          <w:tcPr>
            <w:tcW w:w="720" w:type="dxa"/>
            <w:tcBorders>
              <w:top w:val="single" w:sz="12" w:space="0" w:color="000000" w:themeColor="text1"/>
              <w:left w:val="none" w:sz="0" w:space="0" w:color="000000" w:themeColor="text1"/>
              <w:bottom w:val="single" w:sz="12" w:space="0" w:color="666666"/>
              <w:right w:val="none" w:sz="0" w:space="0" w:color="000000" w:themeColor="text1"/>
            </w:tcBorders>
            <w:shd w:val="clear" w:color="auto" w:fill="FFFFFF" w:themeFill="background1"/>
            <w:tcMar>
              <w:top w:w="0" w:type="dxa"/>
              <w:left w:w="0" w:type="dxa"/>
              <w:bottom w:w="0" w:type="dxa"/>
              <w:right w:w="0" w:type="dxa"/>
            </w:tcMar>
            <w:vAlign w:val="center"/>
          </w:tcPr>
          <w:p w14:paraId="5325006F" w14:textId="77777777" w:rsidR="00082A4F" w:rsidRPr="00EE00D8" w:rsidRDefault="00082A4F" w:rsidP="00A760D2">
            <w:pPr>
              <w:pBdr>
                <w:top w:val="none" w:sz="0" w:space="0" w:color="000000"/>
                <w:left w:val="none" w:sz="0" w:space="0" w:color="000000"/>
                <w:bottom w:val="none" w:sz="0" w:space="0" w:color="000000"/>
                <w:right w:val="none" w:sz="0" w:space="0" w:color="000000"/>
              </w:pBdr>
              <w:spacing w:before="40" w:after="40"/>
              <w:ind w:left="40" w:right="40"/>
              <w:jc w:val="right"/>
              <w:rPr>
                <w:rFonts w:ascii="Arial" w:eastAsia="Arial" w:hAnsi="Arial"/>
                <w:color w:val="000000" w:themeColor="text1"/>
              </w:rPr>
            </w:pPr>
            <w:r w:rsidRPr="3317B65F">
              <w:rPr>
                <w:rFonts w:ascii="Arial" w:eastAsia="Arial" w:hAnsi="Arial"/>
                <w:color w:val="000000" w:themeColor="text1"/>
              </w:rPr>
              <w:t>100.0</w:t>
            </w:r>
          </w:p>
        </w:tc>
      </w:tr>
    </w:tbl>
    <w:bookmarkEnd w:id="7"/>
    <w:bookmarkEnd w:id="8"/>
    <w:p w14:paraId="725199FB" w14:textId="77777777" w:rsidR="00082A4F" w:rsidRDefault="00082A4F" w:rsidP="00082A4F">
      <w:pPr>
        <w:pStyle w:val="BodyText"/>
      </w:pPr>
      <w:r>
        <w:t>Four distinct enteroviruses were detected in severe cases. Of the myocarditis cases, all were Coxsackie B virus B3 or B4.</w:t>
      </w:r>
    </w:p>
    <w:p w14:paraId="3F8D3229" w14:textId="77777777" w:rsidR="00082A4F" w:rsidRPr="00633D2E" w:rsidRDefault="00082A4F" w:rsidP="00082A4F">
      <w:pPr>
        <w:pStyle w:val="Heading3"/>
      </w:pPr>
      <w:r>
        <w:t>Results: Background enterovirus surveillance data</w:t>
      </w:r>
    </w:p>
    <w:p w14:paraId="26CA3207" w14:textId="77777777" w:rsidR="00082A4F" w:rsidRDefault="00082A4F" w:rsidP="00082A4F">
      <w:pPr>
        <w:pStyle w:val="Subtitle"/>
      </w:pPr>
      <w:r>
        <w:t>Historical Enterovirus typing and hospital data</w:t>
      </w:r>
    </w:p>
    <w:p w14:paraId="35EDF5EF" w14:textId="77777777" w:rsidR="00082A4F" w:rsidRDefault="00082A4F" w:rsidP="00082A4F">
      <w:r w:rsidRPr="00B3366E">
        <w:rPr>
          <w:noProof/>
          <w:lang w:eastAsia="en-GB"/>
        </w:rPr>
        <w:lastRenderedPageBreak/>
        <w:drawing>
          <wp:inline distT="0" distB="0" distL="0" distR="0" wp14:anchorId="497F9519" wp14:editId="3E87C071">
            <wp:extent cx="5731510" cy="3034030"/>
            <wp:effectExtent l="0" t="0" r="2540" b="13970"/>
            <wp:docPr id="9" name="Chart 9">
              <a:extLst xmlns:a="http://schemas.openxmlformats.org/drawingml/2006/main">
                <a:ext uri="{FF2B5EF4-FFF2-40B4-BE49-F238E27FC236}">
                  <a16:creationId xmlns:a16="http://schemas.microsoft.com/office/drawing/2014/main" id="{786048CD-D735-511A-9BED-F218331A76D9}"/>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05009EEE" w14:textId="77777777" w:rsidR="00082A4F" w:rsidRDefault="00082A4F" w:rsidP="00082A4F">
      <w:pPr>
        <w:pStyle w:val="Subtitle"/>
      </w:pPr>
      <w:r>
        <w:t>Hospital episode data</w:t>
      </w:r>
    </w:p>
    <w:p w14:paraId="03DDC06B" w14:textId="77777777" w:rsidR="00082A4F" w:rsidRDefault="00082A4F" w:rsidP="00082A4F">
      <w:r w:rsidRPr="003F33D4">
        <w:rPr>
          <w:noProof/>
          <w:lang w:eastAsia="en-GB"/>
        </w:rPr>
        <w:drawing>
          <wp:inline distT="0" distB="0" distL="0" distR="0" wp14:anchorId="78EE7927" wp14:editId="6FAABFA8">
            <wp:extent cx="5731510" cy="3412490"/>
            <wp:effectExtent l="0" t="0" r="2540" b="16510"/>
            <wp:docPr id="13" name="Chart 13">
              <a:extLst xmlns:a="http://schemas.openxmlformats.org/drawingml/2006/main">
                <a:ext uri="{FF2B5EF4-FFF2-40B4-BE49-F238E27FC236}">
                  <a16:creationId xmlns:a16="http://schemas.microsoft.com/office/drawing/2014/main" id="{8F1E6F1F-70F0-2D4E-E1E3-D8517F8F95DE}"/>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14:paraId="6D2B85EF" w14:textId="77777777" w:rsidR="00082A4F" w:rsidRDefault="00082A4F" w:rsidP="00082A4F">
      <w:pPr>
        <w:pStyle w:val="Heading3"/>
      </w:pPr>
      <w:r>
        <w:t>International Health Regulations response</w:t>
      </w:r>
    </w:p>
    <w:p w14:paraId="39BE2373" w14:textId="00D2F057" w:rsidR="00082A4F" w:rsidRDefault="00082A4F" w:rsidP="00082A4F">
      <w:r>
        <w:t>The IHR national focal point confirmed to Public Health Wales that no other countries had reported similar increases in myocarditis associate with enterovirus.</w:t>
      </w:r>
    </w:p>
    <w:p w14:paraId="375AD854" w14:textId="77777777" w:rsidR="00E26225" w:rsidRDefault="00E26225" w:rsidP="00082A4F"/>
    <w:p w14:paraId="4E62D5E8" w14:textId="77777777" w:rsidR="00082A4F" w:rsidRPr="00EE00D8" w:rsidRDefault="00082A4F" w:rsidP="00082A4F">
      <w:pPr>
        <w:pStyle w:val="Heading3"/>
      </w:pPr>
      <w:r w:rsidRPr="00EE00D8">
        <w:t>ISARIC</w:t>
      </w:r>
    </w:p>
    <w:p w14:paraId="40B50B09" w14:textId="77777777" w:rsidR="00082A4F" w:rsidRPr="00EE00D8" w:rsidRDefault="00082A4F" w:rsidP="00082A4F">
      <w:r w:rsidRPr="00EE00D8">
        <w:t>ISARIC used case reports of severe enterovirus infections to recruit to a study aiming to describe the clinical and epidemiological characteristics of the cases in health boards across Wales. To date recruitment has been slow and the team are still gathering data. The final findings are likely to be published in a peer-reviewed journal.</w:t>
      </w:r>
    </w:p>
    <w:p w14:paraId="7C75255E" w14:textId="77777777" w:rsidR="00082A4F" w:rsidRPr="008D2F29" w:rsidRDefault="00082A4F" w:rsidP="00082A4F">
      <w:pPr>
        <w:pStyle w:val="Heading2"/>
      </w:pPr>
      <w:r>
        <w:lastRenderedPageBreak/>
        <w:t>DISCUSSION</w:t>
      </w:r>
    </w:p>
    <w:p w14:paraId="352783D5" w14:textId="559DFC8E" w:rsidR="00082A4F" w:rsidRDefault="00082A4F" w:rsidP="00082A4F">
      <w:r>
        <w:t>We identified 11 cases of neonatal myocarditis associated with enterovirus, with the last report from May 2023. These occurred against a background of further severe enterovirus cases, noting that circulation varies between years. There was no evidence of a resurgence of cases after this period (June 2022 to May 2023). Although there was some evidence of clustering of cases in time and place, this increase was not seen in other parts of the UK, nor in Europe or worldwide. Different types of enterovirus were involved so there was not a clear single source of infection.</w:t>
      </w:r>
    </w:p>
    <w:p w14:paraId="28EEA87B" w14:textId="77777777" w:rsidR="00E26225" w:rsidRDefault="00E26225" w:rsidP="00082A4F"/>
    <w:p w14:paraId="47F93F72" w14:textId="3FA6980E" w:rsidR="00082A4F" w:rsidRDefault="00082A4F" w:rsidP="00082A4F">
      <w:r>
        <w:t xml:space="preserve"> We did not identify any evidence through phylogenetic analysis that NEM cases in this cluster were genetically different from CVB3/CVB4 viruses circulating in the UK, although the analysis was limited to partial VP1 sequencing of available samples (those sent to the reference laboratory). High seasonal EV activity in 2022/23 may relate to reduced exposure over the COVID lockdown period, perhaps increasing susceptibility and/or severity in neonates of unexposed mothers.</w:t>
      </w:r>
    </w:p>
    <w:p w14:paraId="75242D05" w14:textId="77777777" w:rsidR="00E26225" w:rsidRDefault="00E26225" w:rsidP="00082A4F"/>
    <w:p w14:paraId="4003D3AD" w14:textId="77777777" w:rsidR="00082A4F" w:rsidRDefault="00082A4F" w:rsidP="00082A4F">
      <w:r>
        <w:t xml:space="preserve">The reasons for this cluster remain uncertain. </w:t>
      </w:r>
    </w:p>
    <w:p w14:paraId="39A9941A" w14:textId="77777777" w:rsidR="00E26225" w:rsidRDefault="00082A4F" w:rsidP="00082A4F">
      <w:r>
        <w:t>It is now recognised that the transmission of a number of common pathogens, particularly respiratory infections, was interrupted due to the social distancing measures used during the COVID-19 pandemic period in 2020-22. Seasonality in infections can be complex and is not well-understood, but a combination of age-specific population immunity, coupled with seasonal factors such as the environment and mixing patterns, is likely to account for the usual seasonal circulation of respiratory viruses</w:t>
      </w:r>
      <w:sdt>
        <w:sdtPr>
          <w:rPr>
            <w:color w:val="000000"/>
          </w:rPr>
          <w:tag w:val="MENDELEY_CITATION_v3_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"/>
          <w:id w:val="769204493"/>
          <w:placeholder>
            <w:docPart w:val="62673E9A488B4673A15250C5D8994FFC"/>
          </w:placeholder>
        </w:sdtPr>
        <w:sdtEndPr/>
        <w:sdtContent>
          <w:r w:rsidRPr="002A345B">
            <w:rPr>
              <w:color w:val="000000"/>
            </w:rPr>
            <w:t>[6]</w:t>
          </w:r>
        </w:sdtContent>
      </w:sdt>
      <w:r>
        <w:t>.</w:t>
      </w:r>
    </w:p>
    <w:p w14:paraId="6DDC76D3" w14:textId="44819122" w:rsidR="00082A4F" w:rsidRDefault="00082A4F" w:rsidP="00082A4F">
      <w:r>
        <w:t xml:space="preserve"> </w:t>
      </w:r>
    </w:p>
    <w:p w14:paraId="3DC77AD5" w14:textId="58DA843D" w:rsidR="00082A4F" w:rsidRDefault="00082A4F" w:rsidP="00082A4F">
      <w:r>
        <w:t>Changes in population immunity due to interruption of circulation of common infections have led to unseasonal, larger or unusual infection manifestations in the period following 2021/22. Examples include scarlet fever, whooping cough, and hepatitis of unknown origin associated with adenovirus infection. This may be part of the reason for the timing of this cluster</w:t>
      </w:r>
      <w:sdt>
        <w:sdtPr>
          <w:rPr>
            <w:color w:val="000000"/>
          </w:rPr>
          <w:tag w:val="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"/>
          <w:id w:val="1939097858"/>
          <w:placeholder>
            <w:docPart w:val="62673E9A488B4673A15250C5D8994FFC"/>
          </w:placeholder>
        </w:sdtPr>
        <w:sdtEndPr/>
        <w:sdtContent>
          <w:r w:rsidRPr="002A345B">
            <w:rPr>
              <w:color w:val="000000"/>
            </w:rPr>
            <w:t>[7]</w:t>
          </w:r>
        </w:sdtContent>
      </w:sdt>
      <w:r>
        <w:t xml:space="preserve">. </w:t>
      </w:r>
    </w:p>
    <w:p w14:paraId="520FF66B" w14:textId="77777777" w:rsidR="00E26225" w:rsidRDefault="00E26225" w:rsidP="00082A4F"/>
    <w:p w14:paraId="28C012B9" w14:textId="77777777" w:rsidR="00082A4F" w:rsidRDefault="00082A4F" w:rsidP="00082A4F">
      <w:r>
        <w:t>As initial reporting was clinician driven, this may have heightened awareness in a regional network and identified cases that were not diagnosed elsewhere – that is, an increased sensitivity for detection.  Wales has a strong history of enterovirus surveillance and virology, and this coupled with clinical network connections may have contributed to the detection of these cases.</w:t>
      </w:r>
    </w:p>
    <w:p w14:paraId="6B9B18C6" w14:textId="77777777" w:rsidR="00082A4F" w:rsidRDefault="00082A4F" w:rsidP="00082A4F"/>
    <w:p w14:paraId="38124E67" w14:textId="77777777" w:rsidR="00082A4F" w:rsidRDefault="00082A4F" w:rsidP="00082A4F">
      <w:pPr>
        <w:pStyle w:val="Heading2"/>
      </w:pPr>
      <w:r>
        <w:t>RECOMMENDATIONS</w:t>
      </w:r>
    </w:p>
    <w:p w14:paraId="3156A39B" w14:textId="77777777" w:rsidR="00082A4F" w:rsidRDefault="00082A4F" w:rsidP="00082A4F">
      <w:r>
        <w:t>The incident management team agreed the following recommendations:</w:t>
      </w:r>
    </w:p>
    <w:p w14:paraId="63CF3125" w14:textId="77777777" w:rsidR="00082A4F" w:rsidRDefault="00082A4F" w:rsidP="00082A4F">
      <w:pPr>
        <w:pStyle w:val="ListParagraph"/>
        <w:numPr>
          <w:ilvl w:val="0"/>
          <w:numId w:val="1"/>
        </w:numPr>
      </w:pPr>
      <w:r>
        <w:t>Continue vigilance for severe outcomes of enterovirus infection</w:t>
      </w:r>
    </w:p>
    <w:p w14:paraId="1E9D4F5B" w14:textId="77777777" w:rsidR="00082A4F" w:rsidRDefault="00082A4F" w:rsidP="00082A4F">
      <w:pPr>
        <w:pStyle w:val="ListParagraph"/>
        <w:numPr>
          <w:ilvl w:val="0"/>
          <w:numId w:val="1"/>
        </w:numPr>
      </w:pPr>
      <w:r>
        <w:t>Complete ISARIC research to characterise severe EV cases</w:t>
      </w:r>
    </w:p>
    <w:p w14:paraId="13FA13A7" w14:textId="77777777" w:rsidR="00082A4F" w:rsidRDefault="00082A4F" w:rsidP="00082A4F">
      <w:pPr>
        <w:pStyle w:val="ListParagraph"/>
        <w:numPr>
          <w:ilvl w:val="0"/>
          <w:numId w:val="1"/>
        </w:numPr>
      </w:pPr>
      <w:r>
        <w:t>Continue surveillance and typing of enterovirus in Wales.</w:t>
      </w:r>
    </w:p>
    <w:p w14:paraId="7BD0ACFB" w14:textId="77777777" w:rsidR="00082A4F" w:rsidRDefault="00082A4F" w:rsidP="00082A4F"/>
    <w:p w14:paraId="19AB7B64" w14:textId="77777777" w:rsidR="00E67749" w:rsidRDefault="00E67749">
      <w:pPr>
        <w:suppressAutoHyphens w:val="0"/>
        <w:rPr>
          <w:rFonts w:asciiTheme="majorHAnsi" w:eastAsiaTheme="majorEastAsia" w:hAnsiTheme="majorHAnsi" w:cstheme="majorBidi"/>
          <w:color w:val="2E74B5" w:themeColor="accent1" w:themeShade="BF"/>
          <w:kern w:val="2"/>
          <w:sz w:val="26"/>
          <w:szCs w:val="26"/>
          <w14:ligatures w14:val="standardContextual"/>
        </w:rPr>
      </w:pPr>
      <w:r>
        <w:br w:type="page"/>
      </w:r>
    </w:p>
    <w:p w14:paraId="0F8905AF" w14:textId="06482B22" w:rsidR="00082A4F" w:rsidRDefault="00082A4F" w:rsidP="00082A4F">
      <w:pPr>
        <w:pStyle w:val="Heading2"/>
      </w:pPr>
      <w:bookmarkStart w:id="9" w:name="_GoBack"/>
      <w:bookmarkEnd w:id="9"/>
      <w:r>
        <w:lastRenderedPageBreak/>
        <w:t>REFERENCES</w:t>
      </w:r>
    </w:p>
    <w:p w14:paraId="16ABBEA7" w14:textId="77777777" w:rsidR="00082A4F" w:rsidRDefault="00082A4F" w:rsidP="00082A4F"/>
    <w:sdt>
      <w:sdtPr>
        <w:rPr>
          <w:color w:val="000000"/>
        </w:rPr>
        <w:tag w:val="MENDELEY_BIBLIOGRAPHY"/>
        <w:id w:val="1459065793"/>
        <w:placeholder>
          <w:docPart w:val="62673E9A488B4673A15250C5D8994FFC"/>
        </w:placeholder>
      </w:sdtPr>
      <w:sdtEndPr/>
      <w:sdtContent>
        <w:p w14:paraId="55BDC95C" w14:textId="77777777" w:rsidR="00082A4F" w:rsidRPr="002A345B" w:rsidRDefault="00082A4F" w:rsidP="00082A4F">
          <w:pPr>
            <w:autoSpaceDE w:val="0"/>
            <w:ind w:hanging="640"/>
            <w:rPr>
              <w:rFonts w:eastAsia="Times New Roman"/>
              <w:color w:val="000000"/>
            </w:rPr>
          </w:pPr>
          <w:r w:rsidRPr="002A345B">
            <w:rPr>
              <w:rFonts w:eastAsia="Times New Roman"/>
              <w:color w:val="000000"/>
            </w:rPr>
            <w:t>[1]</w:t>
          </w:r>
          <w:r w:rsidRPr="002A345B">
            <w:rPr>
              <w:rFonts w:eastAsia="Times New Roman"/>
              <w:color w:val="000000"/>
            </w:rPr>
            <w:tab/>
            <w:t xml:space="preserve">S. Cottrell, C. Moore, M. Perry, E. Hilvers, C. Williams, and A. G. Shankar, “Prospective enterovirus D68 (EV-D68) surveillance from September 2015 to November 2018 indicates a current wave of activity in wales,” </w:t>
          </w:r>
          <w:r w:rsidRPr="002A345B">
            <w:rPr>
              <w:rFonts w:eastAsia="Times New Roman"/>
              <w:i/>
              <w:iCs/>
              <w:color w:val="000000"/>
            </w:rPr>
            <w:t>Eurosurveillance</w:t>
          </w:r>
          <w:r w:rsidRPr="002A345B">
            <w:rPr>
              <w:rFonts w:eastAsia="Times New Roman"/>
              <w:color w:val="000000"/>
            </w:rPr>
            <w:t>, vol. 23, no. 46, Nov. 2018, doi: 10.2807/1560-7917.ES.2018.23.46.1800578.</w:t>
          </w:r>
        </w:p>
        <w:p w14:paraId="6CE2AD34" w14:textId="77777777" w:rsidR="00082A4F" w:rsidRPr="002A345B" w:rsidRDefault="00082A4F" w:rsidP="00082A4F">
          <w:pPr>
            <w:autoSpaceDE w:val="0"/>
            <w:ind w:hanging="640"/>
            <w:rPr>
              <w:rFonts w:eastAsia="Times New Roman"/>
              <w:color w:val="000000"/>
            </w:rPr>
          </w:pPr>
          <w:r w:rsidRPr="002A345B">
            <w:rPr>
              <w:rFonts w:eastAsia="Times New Roman"/>
              <w:color w:val="000000"/>
            </w:rPr>
            <w:t>[2]</w:t>
          </w:r>
          <w:r w:rsidRPr="002A345B">
            <w:rPr>
              <w:rFonts w:eastAsia="Times New Roman"/>
              <w:color w:val="000000"/>
            </w:rPr>
            <w:tab/>
            <w:t xml:space="preserve">C. J. Williams </w:t>
          </w:r>
          <w:r w:rsidRPr="002A345B">
            <w:rPr>
              <w:rFonts w:eastAsia="Times New Roman"/>
              <w:i/>
              <w:iCs/>
              <w:color w:val="000000"/>
            </w:rPr>
            <w:t>et al.</w:t>
          </w:r>
          <w:r w:rsidRPr="002A345B">
            <w:rPr>
              <w:rFonts w:eastAsia="Times New Roman"/>
              <w:color w:val="000000"/>
            </w:rPr>
            <w:t xml:space="preserve">, “Cluster of atypical adult Guillain-Barré syndrome temporally associated with neurological illness due to EV-D68 in children, South Wales, United Kingdom, October 2015 to January 2016,” </w:t>
          </w:r>
          <w:r w:rsidRPr="002A345B">
            <w:rPr>
              <w:rFonts w:eastAsia="Times New Roman"/>
              <w:i/>
              <w:iCs/>
              <w:color w:val="000000"/>
            </w:rPr>
            <w:t>Eurosurveillance</w:t>
          </w:r>
          <w:r w:rsidRPr="002A345B">
            <w:rPr>
              <w:rFonts w:eastAsia="Times New Roman"/>
              <w:color w:val="000000"/>
            </w:rPr>
            <w:t>, vol. 21, no. 4, pp. 26–32, Jan. 2016, doi: 10.2807/1560-7917.ES.2016.21.4.30119.</w:t>
          </w:r>
        </w:p>
        <w:p w14:paraId="4F1B9B7A" w14:textId="77777777" w:rsidR="00082A4F" w:rsidRPr="002A345B" w:rsidRDefault="00082A4F" w:rsidP="00082A4F">
          <w:pPr>
            <w:autoSpaceDE w:val="0"/>
            <w:ind w:hanging="640"/>
            <w:rPr>
              <w:rFonts w:eastAsia="Times New Roman"/>
              <w:color w:val="000000"/>
            </w:rPr>
          </w:pPr>
          <w:r w:rsidRPr="002A345B">
            <w:rPr>
              <w:rFonts w:eastAsia="Times New Roman"/>
              <w:color w:val="000000"/>
            </w:rPr>
            <w:t>[3]</w:t>
          </w:r>
          <w:r w:rsidRPr="002A345B">
            <w:rPr>
              <w:rFonts w:eastAsia="Times New Roman"/>
              <w:color w:val="000000"/>
            </w:rPr>
            <w:tab/>
            <w:t xml:space="preserve">K. F. Ng </w:t>
          </w:r>
          <w:r w:rsidRPr="002A345B">
            <w:rPr>
              <w:rFonts w:eastAsia="Times New Roman"/>
              <w:i/>
              <w:iCs/>
              <w:color w:val="000000"/>
            </w:rPr>
            <w:t>et al.</w:t>
          </w:r>
          <w:r w:rsidRPr="002A345B">
            <w:rPr>
              <w:rFonts w:eastAsia="Times New Roman"/>
              <w:color w:val="000000"/>
            </w:rPr>
            <w:t>, “Remember the heart: Neonatal myocarditis,” 2023. doi: 10.1136/archdischild-2023-325316.</w:t>
          </w:r>
        </w:p>
        <w:p w14:paraId="71286D43" w14:textId="77777777" w:rsidR="00082A4F" w:rsidRPr="002A345B" w:rsidRDefault="00082A4F" w:rsidP="00082A4F">
          <w:pPr>
            <w:autoSpaceDE w:val="0"/>
            <w:ind w:hanging="640"/>
            <w:rPr>
              <w:rFonts w:eastAsia="Times New Roman"/>
              <w:color w:val="000000"/>
            </w:rPr>
          </w:pPr>
          <w:r w:rsidRPr="002A345B">
            <w:rPr>
              <w:rFonts w:eastAsia="Times New Roman"/>
              <w:color w:val="000000"/>
            </w:rPr>
            <w:t>[4]</w:t>
          </w:r>
          <w:r w:rsidRPr="002A345B">
            <w:rPr>
              <w:rFonts w:eastAsia="Times New Roman"/>
              <w:color w:val="000000"/>
            </w:rPr>
            <w:tab/>
            <w:t>World Health Organization, “WHO | Disease Outbreak News (DONs),” Who.</w:t>
          </w:r>
          <w:r>
            <w:rPr>
              <w:rFonts w:eastAsia="Times New Roman"/>
              <w:color w:val="000000"/>
            </w:rPr>
            <w:t xml:space="preserve"> 17 May 2023</w:t>
          </w:r>
          <w:r w:rsidRPr="00935FE3">
            <w:t xml:space="preserve"> </w:t>
          </w:r>
          <w:r w:rsidRPr="00935FE3">
            <w:rPr>
              <w:rFonts w:eastAsia="Times New Roman"/>
              <w:color w:val="000000"/>
            </w:rPr>
            <w:t xml:space="preserve">Myocarditis (acute infective) – United Kingdom. Available at: </w:t>
          </w:r>
          <w:hyperlink r:id="rId15" w:history="1">
            <w:r w:rsidRPr="00295E0F">
              <w:rPr>
                <w:rStyle w:val="Hyperlink"/>
                <w:rFonts w:eastAsia="Times New Roman"/>
              </w:rPr>
              <w:t>https://www.who.int/emergencies/disease-outbreak-news/item/2023-DON465</w:t>
            </w:r>
          </w:hyperlink>
          <w:r>
            <w:rPr>
              <w:rFonts w:eastAsia="Times New Roman"/>
              <w:color w:val="000000"/>
            </w:rPr>
            <w:t xml:space="preserve"> . </w:t>
          </w:r>
        </w:p>
        <w:p w14:paraId="36F48A4B" w14:textId="77777777" w:rsidR="00082A4F" w:rsidRPr="002A345B" w:rsidRDefault="00082A4F" w:rsidP="00082A4F">
          <w:pPr>
            <w:autoSpaceDE w:val="0"/>
            <w:ind w:hanging="640"/>
            <w:rPr>
              <w:rFonts w:eastAsia="Times New Roman"/>
              <w:color w:val="000000"/>
            </w:rPr>
          </w:pPr>
          <w:r w:rsidRPr="002A345B">
            <w:rPr>
              <w:rFonts w:eastAsia="Times New Roman"/>
              <w:color w:val="000000"/>
            </w:rPr>
            <w:t>[5]</w:t>
          </w:r>
          <w:r w:rsidRPr="002A345B">
            <w:rPr>
              <w:rFonts w:eastAsia="Times New Roman"/>
              <w:color w:val="000000"/>
            </w:rPr>
            <w:tab/>
            <w:t xml:space="preserve">A. Singanayagam </w:t>
          </w:r>
          <w:r w:rsidRPr="002A345B">
            <w:rPr>
              <w:rFonts w:eastAsia="Times New Roman"/>
              <w:i/>
              <w:iCs/>
              <w:color w:val="000000"/>
            </w:rPr>
            <w:t>et al.</w:t>
          </w:r>
          <w:r w:rsidRPr="002A345B">
            <w:rPr>
              <w:rFonts w:eastAsia="Times New Roman"/>
              <w:color w:val="000000"/>
            </w:rPr>
            <w:t xml:space="preserve">, “Increased reports of severe myocarditis associated with enterovirus infection in neonates, United Kingdom, 27 June 2022 to 26 April 2023,” </w:t>
          </w:r>
          <w:r w:rsidRPr="002A345B">
            <w:rPr>
              <w:rFonts w:eastAsia="Times New Roman"/>
              <w:i/>
              <w:iCs/>
              <w:color w:val="000000"/>
            </w:rPr>
            <w:t>Eurosurveillance</w:t>
          </w:r>
          <w:r w:rsidRPr="002A345B">
            <w:rPr>
              <w:rFonts w:eastAsia="Times New Roman"/>
              <w:color w:val="000000"/>
            </w:rPr>
            <w:t>, vol. 28, no. 39, Sep. 2023, doi: 10.2807/1560-7917.ES.2023.28.39.2300313.</w:t>
          </w:r>
        </w:p>
        <w:p w14:paraId="5E6A28E6" w14:textId="77777777" w:rsidR="00082A4F" w:rsidRPr="002A345B" w:rsidRDefault="00082A4F" w:rsidP="00082A4F">
          <w:pPr>
            <w:autoSpaceDE w:val="0"/>
            <w:ind w:hanging="640"/>
            <w:rPr>
              <w:rFonts w:eastAsia="Times New Roman"/>
              <w:color w:val="000000"/>
            </w:rPr>
          </w:pPr>
          <w:r w:rsidRPr="002A345B">
            <w:rPr>
              <w:rFonts w:eastAsia="Times New Roman"/>
              <w:color w:val="000000"/>
            </w:rPr>
            <w:t>[6]</w:t>
          </w:r>
          <w:r w:rsidRPr="002A345B">
            <w:rPr>
              <w:rFonts w:eastAsia="Times New Roman"/>
              <w:color w:val="000000"/>
            </w:rPr>
            <w:tab/>
            <w:t>M. Lipsitch and C. Cile Viboud, “Influenza seasonality: Lifting the fog.” [Online]. Available: https://www.pnas.org</w:t>
          </w:r>
        </w:p>
        <w:p w14:paraId="29AFEE9A" w14:textId="77777777" w:rsidR="00082A4F" w:rsidRPr="002A345B" w:rsidRDefault="00082A4F" w:rsidP="00082A4F">
          <w:pPr>
            <w:autoSpaceDE w:val="0"/>
            <w:ind w:hanging="640"/>
            <w:rPr>
              <w:rFonts w:eastAsia="Times New Roman"/>
              <w:color w:val="000000"/>
            </w:rPr>
          </w:pPr>
          <w:r w:rsidRPr="002A345B">
            <w:rPr>
              <w:rFonts w:eastAsia="Times New Roman"/>
              <w:color w:val="000000"/>
            </w:rPr>
            <w:t>[7]</w:t>
          </w:r>
          <w:r w:rsidRPr="002A345B">
            <w:rPr>
              <w:rFonts w:eastAsia="Times New Roman"/>
              <w:color w:val="000000"/>
            </w:rPr>
            <w:tab/>
            <w:t xml:space="preserve">S. Mandal </w:t>
          </w:r>
          <w:r w:rsidRPr="002A345B">
            <w:rPr>
              <w:rFonts w:eastAsia="Times New Roman"/>
              <w:i/>
              <w:iCs/>
              <w:color w:val="000000"/>
            </w:rPr>
            <w:t>et al.</w:t>
          </w:r>
          <w:r w:rsidRPr="002A345B">
            <w:rPr>
              <w:rFonts w:eastAsia="Times New Roman"/>
              <w:color w:val="000000"/>
            </w:rPr>
            <w:t xml:space="preserve">, “Paediatric acute hepatitis of unknown aetiology: a national investigation and adenoviraemia case-control study in the UK,” </w:t>
          </w:r>
          <w:r w:rsidRPr="002A345B">
            <w:rPr>
              <w:rFonts w:eastAsia="Times New Roman"/>
              <w:i/>
              <w:iCs/>
              <w:color w:val="000000"/>
            </w:rPr>
            <w:t>Lancet Child Adolesc Health</w:t>
          </w:r>
          <w:r w:rsidRPr="002A345B">
            <w:rPr>
              <w:rFonts w:eastAsia="Times New Roman"/>
              <w:color w:val="000000"/>
            </w:rPr>
            <w:t>, vol. 7, no. 11, pp. 786–796, Nov. 2023, doi: 10.1016/S2352-4642(23)00215-8.</w:t>
          </w:r>
        </w:p>
        <w:p w14:paraId="5D6144C3" w14:textId="77777777" w:rsidR="00082A4F" w:rsidRDefault="00082A4F" w:rsidP="00082A4F">
          <w:r w:rsidRPr="002A345B">
            <w:rPr>
              <w:rFonts w:eastAsia="Times New Roman"/>
              <w:color w:val="000000"/>
            </w:rPr>
            <w:t> </w:t>
          </w:r>
        </w:p>
      </w:sdtContent>
    </w:sdt>
    <w:p w14:paraId="4F8D2D7D" w14:textId="7A18CEB6" w:rsidR="00DA6141" w:rsidRDefault="00DA6141" w:rsidP="00082A4F">
      <w:pPr>
        <w:pStyle w:val="PHWSubheading"/>
      </w:pPr>
    </w:p>
    <w:sectPr w:rsidR="00DA6141">
      <w:headerReference w:type="default" r:id="rId16"/>
      <w:footerReference w:type="default" r:id="rId17"/>
      <w:pgSz w:w="11906" w:h="16838"/>
      <w:pgMar w:top="720" w:right="720" w:bottom="720" w:left="720" w:header="708" w:footer="708"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70892D5" w14:textId="77777777" w:rsidR="009742AA" w:rsidRDefault="00A97815">
      <w:r>
        <w:separator/>
      </w:r>
    </w:p>
  </w:endnote>
  <w:endnote w:type="continuationSeparator" w:id="0">
    <w:p w14:paraId="37942396" w14:textId="77777777" w:rsidR="009742AA" w:rsidRDefault="00A9781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Ubuntu">
    <w:altName w:val="Malgun Gothic"/>
    <w:charset w:val="00"/>
    <w:family w:val="swiss"/>
    <w:pitch w:val="variable"/>
  </w:font>
  <w:font w:name="Ubuntu-Light">
    <w:charset w:val="00"/>
    <w:family w:val="roman"/>
    <w:pitch w:val="variable"/>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BF0E5EB" w14:textId="209F9778" w:rsidR="00AB2272" w:rsidRDefault="00A97815">
    <w:pPr>
      <w:pStyle w:val="Footer"/>
      <w:ind w:right="360"/>
    </w:pPr>
    <w:r>
      <w:fldChar w:fldCharType="begin"/>
    </w:r>
    <w:r>
      <w:instrText xml:space="preserve"> PAGE </w:instrText>
    </w:r>
    <w:r>
      <w:fldChar w:fldCharType="separate"/>
    </w:r>
    <w:r w:rsidR="00E67749">
      <w:rPr>
        <w:noProof/>
      </w:rPr>
      <w:t>8</w:t>
    </w:r>
    <w:r>
      <w:fldChar w:fldCharType="end"/>
    </w:r>
    <w:r>
      <w:rPr>
        <w:noProof/>
        <w:lang w:eastAsia="en-GB"/>
      </w:rPr>
      <w:drawing>
        <wp:anchor distT="0" distB="0" distL="114300" distR="114300" simplePos="0" relativeHeight="251661312" behindDoc="0" locked="0" layoutInCell="1" allowOverlap="1" wp14:anchorId="42D40B10" wp14:editId="5BB945C5">
          <wp:simplePos x="0" y="0"/>
          <wp:positionH relativeFrom="page">
            <wp:align>right</wp:align>
          </wp:positionH>
          <wp:positionV relativeFrom="paragraph">
            <wp:posOffset>355601</wp:posOffset>
          </wp:positionV>
          <wp:extent cx="7704002" cy="280803"/>
          <wp:effectExtent l="0" t="0" r="0" b="4947"/>
          <wp:wrapTight wrapText="bothSides">
            <wp:wrapPolygon edited="0">
              <wp:start x="0" y="0"/>
              <wp:lineTo x="0" y="20515"/>
              <wp:lineTo x="21525" y="20515"/>
              <wp:lineTo x="21525" y="0"/>
              <wp:lineTo x="0" y="0"/>
            </wp:wrapPolygon>
          </wp:wrapTight>
          <wp:docPr id="2" name="Picture 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
                  <a:stretch>
                    <a:fillRect/>
                  </a:stretch>
                </pic:blipFill>
                <pic:spPr>
                  <a:xfrm>
                    <a:off x="0" y="0"/>
                    <a:ext cx="7704002" cy="280803"/>
                  </a:xfrm>
                  <a:prstGeom prst="rect">
                    <a:avLst/>
                  </a:prstGeom>
                  <a:noFill/>
                  <a:ln>
                    <a:noFill/>
                    <a:prstDash/>
                  </a:ln>
                </pic:spPr>
              </pic:pic>
            </a:graphicData>
          </a:graphic>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ADB469B" w14:textId="77777777" w:rsidR="009742AA" w:rsidRDefault="00A97815">
      <w:r>
        <w:rPr>
          <w:color w:val="000000"/>
        </w:rPr>
        <w:separator/>
      </w:r>
    </w:p>
  </w:footnote>
  <w:footnote w:type="continuationSeparator" w:id="0">
    <w:p w14:paraId="599288C9" w14:textId="77777777" w:rsidR="009742AA" w:rsidRDefault="00A9781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08B3036" w14:textId="77777777" w:rsidR="00AB2272" w:rsidRDefault="00A97815">
    <w:pPr>
      <w:pStyle w:val="Header"/>
    </w:pPr>
    <w:r>
      <w:rPr>
        <w:noProof/>
        <w:lang w:eastAsia="en-GB"/>
      </w:rPr>
      <w:drawing>
        <wp:anchor distT="0" distB="0" distL="114300" distR="114300" simplePos="0" relativeHeight="251659264" behindDoc="0" locked="0" layoutInCell="1" allowOverlap="1" wp14:anchorId="7F2F0A26" wp14:editId="4AA54EFD">
          <wp:simplePos x="0" y="0"/>
          <wp:positionH relativeFrom="page">
            <wp:align>right</wp:align>
          </wp:positionH>
          <wp:positionV relativeFrom="paragraph">
            <wp:posOffset>-449583</wp:posOffset>
          </wp:positionV>
          <wp:extent cx="7625081" cy="946147"/>
          <wp:effectExtent l="0" t="0" r="0" b="6353"/>
          <wp:wrapTight wrapText="bothSides">
            <wp:wrapPolygon edited="0">
              <wp:start x="0" y="0"/>
              <wp:lineTo x="0" y="21310"/>
              <wp:lineTo x="21532" y="21310"/>
              <wp:lineTo x="21532" y="0"/>
              <wp:lineTo x="0" y="0"/>
            </wp:wrapPolygon>
          </wp:wrapTight>
          <wp:docPr id="1" name="Picture 7"/>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
                  <a:stretch>
                    <a:fillRect/>
                  </a:stretch>
                </pic:blipFill>
                <pic:spPr>
                  <a:xfrm>
                    <a:off x="0" y="0"/>
                    <a:ext cx="7625081" cy="946147"/>
                  </a:xfrm>
                  <a:prstGeom prst="rect">
                    <a:avLst/>
                  </a:prstGeom>
                  <a:noFill/>
                  <a:ln>
                    <a:noFill/>
                    <a:prstDash/>
                  </a:ln>
                </pic:spPr>
              </pic:pic>
            </a:graphicData>
          </a:graphic>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E034E4B"/>
    <w:multiLevelType w:val="hybridMultilevel"/>
    <w:tmpl w:val="ABA43E8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5"/>
  <w:defaultTabStop w:val="720"/>
  <w:autoHyphenation/>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A6141"/>
    <w:rsid w:val="00082A4F"/>
    <w:rsid w:val="009742AA"/>
    <w:rsid w:val="00A97815"/>
    <w:rsid w:val="00DA6141"/>
    <w:rsid w:val="00E26225"/>
    <w:rsid w:val="00E6774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B42549D"/>
  <w15:docId w15:val="{B88B8088-CEB6-44FE-AABF-9EE3F56C2ED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Arial"/>
        <w:sz w:val="24"/>
        <w:szCs w:val="24"/>
        <w:lang w:val="en-GB" w:eastAsia="en-US" w:bidi="ar-SA"/>
      </w:rPr>
    </w:rPrDefault>
    <w:pPrDefault>
      <w:pPr>
        <w:autoSpaceDN w:val="0"/>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pPr>
      <w:suppressAutoHyphens/>
    </w:pPr>
  </w:style>
  <w:style w:type="paragraph" w:styleId="Heading1">
    <w:name w:val="heading 1"/>
    <w:basedOn w:val="Normal"/>
    <w:next w:val="Normal"/>
    <w:link w:val="Heading1Char"/>
    <w:uiPriority w:val="9"/>
    <w:qFormat/>
    <w:rsid w:val="00082A4F"/>
    <w:pPr>
      <w:keepNext/>
      <w:keepLines/>
      <w:suppressAutoHyphens w:val="0"/>
      <w:autoSpaceDN/>
      <w:spacing w:before="240" w:line="259" w:lineRule="auto"/>
      <w:outlineLvl w:val="0"/>
    </w:pPr>
    <w:rPr>
      <w:rFonts w:asciiTheme="majorHAnsi" w:eastAsiaTheme="majorEastAsia" w:hAnsiTheme="majorHAnsi" w:cstheme="majorBidi"/>
      <w:color w:val="2E74B5" w:themeColor="accent1" w:themeShade="BF"/>
      <w:kern w:val="2"/>
      <w:sz w:val="32"/>
      <w:szCs w:val="32"/>
      <w14:ligatures w14:val="standardContextual"/>
    </w:rPr>
  </w:style>
  <w:style w:type="paragraph" w:styleId="Heading2">
    <w:name w:val="heading 2"/>
    <w:basedOn w:val="Normal"/>
    <w:next w:val="Normal"/>
    <w:link w:val="Heading2Char"/>
    <w:uiPriority w:val="9"/>
    <w:unhideWhenUsed/>
    <w:qFormat/>
    <w:rsid w:val="00082A4F"/>
    <w:pPr>
      <w:keepNext/>
      <w:keepLines/>
      <w:suppressAutoHyphens w:val="0"/>
      <w:autoSpaceDN/>
      <w:spacing w:before="40" w:line="259" w:lineRule="auto"/>
      <w:outlineLvl w:val="1"/>
    </w:pPr>
    <w:rPr>
      <w:rFonts w:asciiTheme="majorHAnsi" w:eastAsiaTheme="majorEastAsia" w:hAnsiTheme="majorHAnsi" w:cstheme="majorBidi"/>
      <w:color w:val="2E74B5" w:themeColor="accent1" w:themeShade="BF"/>
      <w:kern w:val="2"/>
      <w:sz w:val="26"/>
      <w:szCs w:val="26"/>
      <w14:ligatures w14:val="standardContextual"/>
    </w:rPr>
  </w:style>
  <w:style w:type="paragraph" w:styleId="Heading3">
    <w:name w:val="heading 3"/>
    <w:basedOn w:val="Normal"/>
    <w:next w:val="Normal"/>
    <w:link w:val="Heading3Char"/>
    <w:uiPriority w:val="9"/>
    <w:unhideWhenUsed/>
    <w:qFormat/>
    <w:rsid w:val="00082A4F"/>
    <w:pPr>
      <w:keepNext/>
      <w:keepLines/>
      <w:suppressAutoHyphens w:val="0"/>
      <w:autoSpaceDN/>
      <w:spacing w:before="40" w:line="259" w:lineRule="auto"/>
      <w:outlineLvl w:val="2"/>
    </w:pPr>
    <w:rPr>
      <w:rFonts w:asciiTheme="majorHAnsi" w:eastAsiaTheme="majorEastAsia" w:hAnsiTheme="majorHAnsi" w:cstheme="majorBidi"/>
      <w:color w:val="1F4D78" w:themeColor="accent1" w:themeShade="7F"/>
      <w:kern w:val="2"/>
      <w14:ligatures w14:val="standardContextual"/>
    </w:rPr>
  </w:style>
  <w:style w:type="paragraph" w:styleId="Heading4">
    <w:name w:val="heading 4"/>
    <w:basedOn w:val="Normal"/>
    <w:next w:val="Normal"/>
    <w:link w:val="Heading4Char"/>
    <w:uiPriority w:val="9"/>
    <w:unhideWhenUsed/>
    <w:qFormat/>
    <w:rsid w:val="00082A4F"/>
    <w:pPr>
      <w:keepNext/>
      <w:keepLines/>
      <w:suppressAutoHyphens w:val="0"/>
      <w:autoSpaceDN/>
      <w:spacing w:before="40" w:line="259" w:lineRule="auto"/>
      <w:outlineLvl w:val="3"/>
    </w:pPr>
    <w:rPr>
      <w:rFonts w:asciiTheme="majorHAnsi" w:eastAsiaTheme="majorEastAsia" w:hAnsiTheme="majorHAnsi" w:cstheme="majorBidi"/>
      <w:i/>
      <w:iCs/>
      <w:color w:val="2E74B5" w:themeColor="accent1" w:themeShade="BF"/>
      <w:kern w:val="2"/>
      <w:sz w:val="22"/>
      <w:szCs w:val="22"/>
      <w14:ligatures w14:val="standardContextua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pPr>
      <w:tabs>
        <w:tab w:val="center" w:pos="4513"/>
        <w:tab w:val="right" w:pos="9026"/>
      </w:tabs>
    </w:pPr>
  </w:style>
  <w:style w:type="character" w:customStyle="1" w:styleId="HeaderChar">
    <w:name w:val="Header Char"/>
    <w:basedOn w:val="DefaultParagraphFont"/>
  </w:style>
  <w:style w:type="paragraph" w:styleId="Footer">
    <w:name w:val="footer"/>
    <w:basedOn w:val="Normal"/>
    <w:pPr>
      <w:tabs>
        <w:tab w:val="center" w:pos="4513"/>
        <w:tab w:val="right" w:pos="9026"/>
      </w:tabs>
    </w:pPr>
  </w:style>
  <w:style w:type="character" w:customStyle="1" w:styleId="FooterChar">
    <w:name w:val="Footer Char"/>
    <w:basedOn w:val="DefaultParagraphFont"/>
  </w:style>
  <w:style w:type="character" w:styleId="PageNumber">
    <w:name w:val="page number"/>
    <w:basedOn w:val="DefaultParagraphFont"/>
  </w:style>
  <w:style w:type="paragraph" w:customStyle="1" w:styleId="PHWHeading">
    <w:name w:val="PHW Heading"/>
    <w:basedOn w:val="Normal"/>
    <w:pPr>
      <w:widowControl w:val="0"/>
      <w:autoSpaceDE w:val="0"/>
    </w:pPr>
    <w:rPr>
      <w:rFonts w:ascii="Ubuntu" w:eastAsia="Ubuntu-Light" w:hAnsi="Ubuntu" w:cs="Ubuntu-Light"/>
      <w:b/>
      <w:bCs/>
      <w:sz w:val="28"/>
      <w:szCs w:val="28"/>
    </w:rPr>
  </w:style>
  <w:style w:type="paragraph" w:customStyle="1" w:styleId="PHWSubheading">
    <w:name w:val="PHW Subheading"/>
    <w:basedOn w:val="Normal"/>
    <w:pPr>
      <w:autoSpaceDE w:val="0"/>
      <w:spacing w:after="240"/>
    </w:pPr>
    <w:rPr>
      <w:rFonts w:ascii="Ubuntu" w:eastAsia="Ubuntu-Light" w:hAnsi="Ubuntu" w:cs="Ubuntu-Light"/>
      <w:sz w:val="28"/>
      <w:szCs w:val="28"/>
    </w:rPr>
  </w:style>
  <w:style w:type="character" w:customStyle="1" w:styleId="PHWHeadingChar">
    <w:name w:val="PHW Heading Char"/>
    <w:basedOn w:val="DefaultParagraphFont"/>
    <w:rPr>
      <w:rFonts w:ascii="Ubuntu" w:eastAsia="Ubuntu-Light" w:hAnsi="Ubuntu" w:cs="Ubuntu-Light"/>
      <w:b/>
      <w:bCs/>
      <w:sz w:val="28"/>
      <w:szCs w:val="28"/>
    </w:rPr>
  </w:style>
  <w:style w:type="character" w:customStyle="1" w:styleId="PHWSubheadingChar">
    <w:name w:val="PHW Subheading Char"/>
    <w:basedOn w:val="DefaultParagraphFont"/>
    <w:rPr>
      <w:rFonts w:ascii="Ubuntu" w:eastAsia="Ubuntu-Light" w:hAnsi="Ubuntu" w:cs="Ubuntu-Light"/>
      <w:sz w:val="28"/>
      <w:szCs w:val="28"/>
    </w:rPr>
  </w:style>
  <w:style w:type="character" w:customStyle="1" w:styleId="Heading1Char">
    <w:name w:val="Heading 1 Char"/>
    <w:basedOn w:val="DefaultParagraphFont"/>
    <w:link w:val="Heading1"/>
    <w:uiPriority w:val="9"/>
    <w:rsid w:val="00082A4F"/>
    <w:rPr>
      <w:rFonts w:asciiTheme="majorHAnsi" w:eastAsiaTheme="majorEastAsia" w:hAnsiTheme="majorHAnsi" w:cstheme="majorBidi"/>
      <w:color w:val="2E74B5" w:themeColor="accent1" w:themeShade="BF"/>
      <w:kern w:val="2"/>
      <w:sz w:val="32"/>
      <w:szCs w:val="32"/>
      <w14:ligatures w14:val="standardContextual"/>
    </w:rPr>
  </w:style>
  <w:style w:type="character" w:customStyle="1" w:styleId="Heading2Char">
    <w:name w:val="Heading 2 Char"/>
    <w:basedOn w:val="DefaultParagraphFont"/>
    <w:link w:val="Heading2"/>
    <w:uiPriority w:val="9"/>
    <w:rsid w:val="00082A4F"/>
    <w:rPr>
      <w:rFonts w:asciiTheme="majorHAnsi" w:eastAsiaTheme="majorEastAsia" w:hAnsiTheme="majorHAnsi" w:cstheme="majorBidi"/>
      <w:color w:val="2E74B5" w:themeColor="accent1" w:themeShade="BF"/>
      <w:kern w:val="2"/>
      <w:sz w:val="26"/>
      <w:szCs w:val="26"/>
      <w14:ligatures w14:val="standardContextual"/>
    </w:rPr>
  </w:style>
  <w:style w:type="character" w:customStyle="1" w:styleId="Heading3Char">
    <w:name w:val="Heading 3 Char"/>
    <w:basedOn w:val="DefaultParagraphFont"/>
    <w:link w:val="Heading3"/>
    <w:uiPriority w:val="9"/>
    <w:rsid w:val="00082A4F"/>
    <w:rPr>
      <w:rFonts w:asciiTheme="majorHAnsi" w:eastAsiaTheme="majorEastAsia" w:hAnsiTheme="majorHAnsi" w:cstheme="majorBidi"/>
      <w:color w:val="1F4D78" w:themeColor="accent1" w:themeShade="7F"/>
      <w:kern w:val="2"/>
      <w14:ligatures w14:val="standardContextual"/>
    </w:rPr>
  </w:style>
  <w:style w:type="character" w:customStyle="1" w:styleId="Heading4Char">
    <w:name w:val="Heading 4 Char"/>
    <w:basedOn w:val="DefaultParagraphFont"/>
    <w:link w:val="Heading4"/>
    <w:uiPriority w:val="9"/>
    <w:rsid w:val="00082A4F"/>
    <w:rPr>
      <w:rFonts w:asciiTheme="majorHAnsi" w:eastAsiaTheme="majorEastAsia" w:hAnsiTheme="majorHAnsi" w:cstheme="majorBidi"/>
      <w:i/>
      <w:iCs/>
      <w:color w:val="2E74B5" w:themeColor="accent1" w:themeShade="BF"/>
      <w:kern w:val="2"/>
      <w:sz w:val="22"/>
      <w:szCs w:val="22"/>
      <w14:ligatures w14:val="standardContextual"/>
    </w:rPr>
  </w:style>
  <w:style w:type="paragraph" w:styleId="ListParagraph">
    <w:name w:val="List Paragraph"/>
    <w:basedOn w:val="Normal"/>
    <w:uiPriority w:val="34"/>
    <w:qFormat/>
    <w:rsid w:val="00082A4F"/>
    <w:pPr>
      <w:suppressAutoHyphens w:val="0"/>
      <w:autoSpaceDN/>
      <w:spacing w:after="160" w:line="259" w:lineRule="auto"/>
      <w:ind w:left="720"/>
      <w:contextualSpacing/>
    </w:pPr>
    <w:rPr>
      <w:rFonts w:asciiTheme="minorHAnsi" w:eastAsiaTheme="minorHAnsi" w:hAnsiTheme="minorHAnsi" w:cstheme="minorBidi"/>
      <w:kern w:val="2"/>
      <w:sz w:val="22"/>
      <w:szCs w:val="22"/>
      <w14:ligatures w14:val="standardContextual"/>
    </w:rPr>
  </w:style>
  <w:style w:type="character" w:styleId="Hyperlink">
    <w:name w:val="Hyperlink"/>
    <w:basedOn w:val="DefaultParagraphFont"/>
    <w:uiPriority w:val="99"/>
    <w:unhideWhenUsed/>
    <w:rsid w:val="00082A4F"/>
    <w:rPr>
      <w:color w:val="0000FF"/>
      <w:u w:val="single"/>
    </w:rPr>
  </w:style>
  <w:style w:type="paragraph" w:styleId="BodyText">
    <w:name w:val="Body Text"/>
    <w:basedOn w:val="Normal"/>
    <w:link w:val="BodyTextChar"/>
    <w:qFormat/>
    <w:rsid w:val="00082A4F"/>
    <w:pPr>
      <w:suppressAutoHyphens w:val="0"/>
      <w:autoSpaceDN/>
      <w:spacing w:before="180" w:after="180"/>
    </w:pPr>
    <w:rPr>
      <w:rFonts w:eastAsiaTheme="minorHAnsi" w:cstheme="minorBidi"/>
      <w:lang w:val="en-US"/>
    </w:rPr>
  </w:style>
  <w:style w:type="character" w:customStyle="1" w:styleId="BodyTextChar">
    <w:name w:val="Body Text Char"/>
    <w:basedOn w:val="DefaultParagraphFont"/>
    <w:link w:val="BodyText"/>
    <w:rsid w:val="00082A4F"/>
    <w:rPr>
      <w:rFonts w:eastAsiaTheme="minorHAnsi" w:cstheme="minorBidi"/>
      <w:lang w:val="en-US"/>
    </w:rPr>
  </w:style>
  <w:style w:type="paragraph" w:customStyle="1" w:styleId="FirstParagraph">
    <w:name w:val="First Paragraph"/>
    <w:basedOn w:val="BodyText"/>
    <w:next w:val="BodyText"/>
    <w:qFormat/>
    <w:rsid w:val="00082A4F"/>
  </w:style>
  <w:style w:type="paragraph" w:customStyle="1" w:styleId="grey10">
    <w:name w:val="grey10"/>
    <w:basedOn w:val="Heading2"/>
    <w:link w:val="grey10Char"/>
    <w:qFormat/>
    <w:rsid w:val="00082A4F"/>
    <w:pPr>
      <w:spacing w:before="200" w:line="240" w:lineRule="auto"/>
    </w:pPr>
    <w:rPr>
      <w:bCs/>
      <w:i/>
      <w:color w:val="808080" w:themeColor="background1" w:themeShade="80"/>
      <w:sz w:val="20"/>
      <w:szCs w:val="28"/>
      <w:lang w:val="en-US"/>
    </w:rPr>
  </w:style>
  <w:style w:type="character" w:customStyle="1" w:styleId="grey10Char">
    <w:name w:val="grey10 Char"/>
    <w:basedOn w:val="Heading2Char"/>
    <w:link w:val="grey10"/>
    <w:rsid w:val="00082A4F"/>
    <w:rPr>
      <w:rFonts w:asciiTheme="majorHAnsi" w:eastAsiaTheme="majorEastAsia" w:hAnsiTheme="majorHAnsi" w:cstheme="majorBidi"/>
      <w:bCs/>
      <w:i/>
      <w:color w:val="808080" w:themeColor="background1" w:themeShade="80"/>
      <w:kern w:val="2"/>
      <w:sz w:val="20"/>
      <w:szCs w:val="28"/>
      <w:lang w:val="en-US"/>
      <w14:ligatures w14:val="standardContextual"/>
    </w:rPr>
  </w:style>
  <w:style w:type="paragraph" w:styleId="Subtitle">
    <w:name w:val="Subtitle"/>
    <w:basedOn w:val="Normal"/>
    <w:next w:val="Normal"/>
    <w:link w:val="SubtitleChar"/>
    <w:uiPriority w:val="11"/>
    <w:qFormat/>
    <w:rsid w:val="00082A4F"/>
    <w:pPr>
      <w:numPr>
        <w:ilvl w:val="1"/>
      </w:numPr>
      <w:suppressAutoHyphens w:val="0"/>
      <w:autoSpaceDN/>
      <w:spacing w:after="160" w:line="259" w:lineRule="auto"/>
    </w:pPr>
    <w:rPr>
      <w:rFonts w:asciiTheme="minorHAnsi" w:eastAsiaTheme="minorEastAsia" w:hAnsiTheme="minorHAnsi" w:cstheme="minorBidi"/>
      <w:color w:val="5A5A5A" w:themeColor="text1" w:themeTint="A5"/>
      <w:spacing w:val="15"/>
      <w:kern w:val="2"/>
      <w:sz w:val="22"/>
      <w:szCs w:val="22"/>
      <w14:ligatures w14:val="standardContextual"/>
    </w:rPr>
  </w:style>
  <w:style w:type="character" w:customStyle="1" w:styleId="SubtitleChar">
    <w:name w:val="Subtitle Char"/>
    <w:basedOn w:val="DefaultParagraphFont"/>
    <w:link w:val="Subtitle"/>
    <w:uiPriority w:val="11"/>
    <w:rsid w:val="00082A4F"/>
    <w:rPr>
      <w:rFonts w:asciiTheme="minorHAnsi" w:eastAsiaTheme="minorEastAsia" w:hAnsiTheme="minorHAnsi" w:cstheme="minorBidi"/>
      <w:color w:val="5A5A5A" w:themeColor="text1" w:themeTint="A5"/>
      <w:spacing w:val="15"/>
      <w:kern w:val="2"/>
      <w:sz w:val="22"/>
      <w:szCs w:val="22"/>
      <w14:ligatures w14:val="standardContextu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chart" Target="charts/chart1.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image" Target="media/image3.png"/><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image" Target="media/image2.png"/><Relationship Id="rId5" Type="http://schemas.openxmlformats.org/officeDocument/2006/relationships/styles" Target="styles.xml"/><Relationship Id="rId15" Type="http://schemas.openxmlformats.org/officeDocument/2006/relationships/hyperlink" Target="https://www.who.int/emergencies/disease-outbreak-news/item/2023-DON465" TargetMode="External"/><Relationship Id="rId10" Type="http://schemas.openxmlformats.org/officeDocument/2006/relationships/image" Target="media/image1.png"/><Relationship Id="rId19" Type="http://schemas.openxmlformats.org/officeDocument/2006/relationships/glossaryDocument" Target="glossary/document.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chart" Target="charts/chart2.xml"/></Relationships>
</file>

<file path=word/_rels/footer1.xml.rels><?xml version="1.0" encoding="UTF-8" standalone="yes"?>
<Relationships xmlns="http://schemas.openxmlformats.org/package/2006/relationships"><Relationship Id="rId1" Type="http://schemas.openxmlformats.org/officeDocument/2006/relationships/image" Target="media/image5.png"/></Relationships>
</file>

<file path=word/_rels/header1.xml.rels><?xml version="1.0" encoding="UTF-8" standalone="yes"?>
<Relationships xmlns="http://schemas.openxmlformats.org/package/2006/relationships"><Relationship Id="rId1" Type="http://schemas.openxmlformats.org/officeDocument/2006/relationships/image" Target="media/image4.png"/></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oleObject" Target="https://phecloud-my.sharepoint.com/personal/anika_singanayagam_ukhsa_gov_uk/Documents/Neonatal%20myocarditis/Documents%20for%20IMT/IMT%20outputs/Line%20lists/graphs_presentation_js_AS%20edit.xlsx" TargetMode="External"/><Relationship Id="rId2" Type="http://schemas.microsoft.com/office/2011/relationships/chartColorStyle" Target="colors2.xml"/><Relationship Id="rId1" Type="http://schemas.microsoft.com/office/2011/relationships/chartStyle" Target="style2.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stacked"/>
        <c:varyColors val="0"/>
        <c:ser>
          <c:idx val="0"/>
          <c:order val="0"/>
          <c:tx>
            <c:strRef>
              <c:f>broadtyping!$D$1</c:f>
              <c:strCache>
                <c:ptCount val="1"/>
                <c:pt idx="0">
                  <c:v>A</c:v>
                </c:pt>
              </c:strCache>
            </c:strRef>
          </c:tx>
          <c:spPr>
            <a:solidFill>
              <a:srgbClr val="6D91D1"/>
            </a:solidFill>
            <a:ln>
              <a:noFill/>
            </a:ln>
            <a:effectLst/>
          </c:spPr>
          <c:invertIfNegative val="0"/>
          <c:cat>
            <c:strRef>
              <c:f>broadtyping!$A$2:$B$52</c:f>
              <c:strCache>
                <c:ptCount val="51"/>
                <c:pt idx="0">
                  <c:v>Sep-15</c:v>
                </c:pt>
                <c:pt idx="1">
                  <c:v>Oct-15</c:v>
                </c:pt>
                <c:pt idx="2">
                  <c:v>Nov-15</c:v>
                </c:pt>
                <c:pt idx="3">
                  <c:v>Dec-15</c:v>
                </c:pt>
                <c:pt idx="4">
                  <c:v>Jan-16</c:v>
                </c:pt>
                <c:pt idx="5">
                  <c:v>Feb-16</c:v>
                </c:pt>
                <c:pt idx="6">
                  <c:v>Mar-16</c:v>
                </c:pt>
                <c:pt idx="7">
                  <c:v>Apr-16</c:v>
                </c:pt>
                <c:pt idx="8">
                  <c:v>May-16</c:v>
                </c:pt>
                <c:pt idx="9">
                  <c:v>Jun-16</c:v>
                </c:pt>
                <c:pt idx="10">
                  <c:v>Jul-16</c:v>
                </c:pt>
                <c:pt idx="11">
                  <c:v>Aug-16</c:v>
                </c:pt>
                <c:pt idx="12">
                  <c:v>Sep-16</c:v>
                </c:pt>
                <c:pt idx="13">
                  <c:v>Oct-16</c:v>
                </c:pt>
                <c:pt idx="14">
                  <c:v>Nov-16</c:v>
                </c:pt>
                <c:pt idx="15">
                  <c:v>Dec-16</c:v>
                </c:pt>
                <c:pt idx="16">
                  <c:v>Jan-17</c:v>
                </c:pt>
                <c:pt idx="17">
                  <c:v>Feb-17</c:v>
                </c:pt>
                <c:pt idx="18">
                  <c:v>Mar-17</c:v>
                </c:pt>
                <c:pt idx="19">
                  <c:v>Apr-17</c:v>
                </c:pt>
                <c:pt idx="20">
                  <c:v>May-17</c:v>
                </c:pt>
                <c:pt idx="21">
                  <c:v>Jun-17</c:v>
                </c:pt>
                <c:pt idx="22">
                  <c:v>Jul-17</c:v>
                </c:pt>
                <c:pt idx="23">
                  <c:v>Aug-17</c:v>
                </c:pt>
                <c:pt idx="24">
                  <c:v>Sep-17</c:v>
                </c:pt>
                <c:pt idx="25">
                  <c:v>Oct-17</c:v>
                </c:pt>
                <c:pt idx="26">
                  <c:v>Nov-17</c:v>
                </c:pt>
                <c:pt idx="27">
                  <c:v>Dec-17</c:v>
                </c:pt>
                <c:pt idx="28">
                  <c:v>Jan-18</c:v>
                </c:pt>
                <c:pt idx="29">
                  <c:v>Feb-18</c:v>
                </c:pt>
                <c:pt idx="30">
                  <c:v>Mar-18</c:v>
                </c:pt>
                <c:pt idx="31">
                  <c:v>Apr-18</c:v>
                </c:pt>
                <c:pt idx="32">
                  <c:v>May-18</c:v>
                </c:pt>
                <c:pt idx="33">
                  <c:v>Jun-18</c:v>
                </c:pt>
                <c:pt idx="34">
                  <c:v>Jul-18</c:v>
                </c:pt>
                <c:pt idx="35">
                  <c:v>Aug-18</c:v>
                </c:pt>
                <c:pt idx="36">
                  <c:v>Sep-18</c:v>
                </c:pt>
                <c:pt idx="37">
                  <c:v>Oct-18</c:v>
                </c:pt>
                <c:pt idx="38">
                  <c:v>Nov-18</c:v>
                </c:pt>
                <c:pt idx="39">
                  <c:v>Dec-18</c:v>
                </c:pt>
                <c:pt idx="40">
                  <c:v>Jan-19</c:v>
                </c:pt>
                <c:pt idx="41">
                  <c:v>Feb-19</c:v>
                </c:pt>
                <c:pt idx="42">
                  <c:v>Mar-19</c:v>
                </c:pt>
                <c:pt idx="43">
                  <c:v>Apr-19</c:v>
                </c:pt>
                <c:pt idx="44">
                  <c:v>May-19</c:v>
                </c:pt>
                <c:pt idx="45">
                  <c:v>Jun-19</c:v>
                </c:pt>
                <c:pt idx="46">
                  <c:v>Jul-19</c:v>
                </c:pt>
                <c:pt idx="47">
                  <c:v>Aug-19</c:v>
                </c:pt>
                <c:pt idx="48">
                  <c:v>Sep-19</c:v>
                </c:pt>
                <c:pt idx="49">
                  <c:v>Oct-19</c:v>
                </c:pt>
                <c:pt idx="50">
                  <c:v>Nov-19</c:v>
                </c:pt>
              </c:strCache>
            </c:strRef>
          </c:cat>
          <c:val>
            <c:numRef>
              <c:f>broadtyping!$D$2:$D$52</c:f>
              <c:numCache>
                <c:formatCode>General</c:formatCode>
                <c:ptCount val="51"/>
                <c:pt idx="0">
                  <c:v>1</c:v>
                </c:pt>
                <c:pt idx="1">
                  <c:v>2</c:v>
                </c:pt>
                <c:pt idx="2">
                  <c:v>2</c:v>
                </c:pt>
                <c:pt idx="3">
                  <c:v>1</c:v>
                </c:pt>
                <c:pt idx="4">
                  <c:v>5</c:v>
                </c:pt>
                <c:pt idx="5">
                  <c:v>1</c:v>
                </c:pt>
                <c:pt idx="6">
                  <c:v>0</c:v>
                </c:pt>
                <c:pt idx="7">
                  <c:v>0</c:v>
                </c:pt>
                <c:pt idx="8">
                  <c:v>1</c:v>
                </c:pt>
                <c:pt idx="9">
                  <c:v>1</c:v>
                </c:pt>
                <c:pt idx="10">
                  <c:v>12</c:v>
                </c:pt>
                <c:pt idx="11">
                  <c:v>4</c:v>
                </c:pt>
                <c:pt idx="12">
                  <c:v>8</c:v>
                </c:pt>
                <c:pt idx="13">
                  <c:v>16</c:v>
                </c:pt>
                <c:pt idx="14">
                  <c:v>17</c:v>
                </c:pt>
                <c:pt idx="15">
                  <c:v>1</c:v>
                </c:pt>
                <c:pt idx="16">
                  <c:v>8</c:v>
                </c:pt>
                <c:pt idx="17">
                  <c:v>4</c:v>
                </c:pt>
                <c:pt idx="18">
                  <c:v>8</c:v>
                </c:pt>
                <c:pt idx="19">
                  <c:v>6</c:v>
                </c:pt>
                <c:pt idx="20">
                  <c:v>9</c:v>
                </c:pt>
                <c:pt idx="21">
                  <c:v>3</c:v>
                </c:pt>
                <c:pt idx="22">
                  <c:v>11</c:v>
                </c:pt>
                <c:pt idx="23">
                  <c:v>6</c:v>
                </c:pt>
                <c:pt idx="24">
                  <c:v>5</c:v>
                </c:pt>
                <c:pt idx="25">
                  <c:v>15</c:v>
                </c:pt>
                <c:pt idx="26">
                  <c:v>14</c:v>
                </c:pt>
                <c:pt idx="27">
                  <c:v>3</c:v>
                </c:pt>
                <c:pt idx="28">
                  <c:v>0</c:v>
                </c:pt>
                <c:pt idx="29">
                  <c:v>3</c:v>
                </c:pt>
                <c:pt idx="30">
                  <c:v>0</c:v>
                </c:pt>
                <c:pt idx="31">
                  <c:v>3</c:v>
                </c:pt>
                <c:pt idx="32">
                  <c:v>6</c:v>
                </c:pt>
                <c:pt idx="33">
                  <c:v>6</c:v>
                </c:pt>
                <c:pt idx="34">
                  <c:v>7</c:v>
                </c:pt>
                <c:pt idx="35">
                  <c:v>3</c:v>
                </c:pt>
                <c:pt idx="36">
                  <c:v>6</c:v>
                </c:pt>
                <c:pt idx="37">
                  <c:v>12</c:v>
                </c:pt>
                <c:pt idx="38">
                  <c:v>22</c:v>
                </c:pt>
                <c:pt idx="39">
                  <c:v>15</c:v>
                </c:pt>
                <c:pt idx="40">
                  <c:v>13</c:v>
                </c:pt>
                <c:pt idx="41">
                  <c:v>12</c:v>
                </c:pt>
                <c:pt idx="42">
                  <c:v>18</c:v>
                </c:pt>
                <c:pt idx="43">
                  <c:v>13</c:v>
                </c:pt>
                <c:pt idx="44">
                  <c:v>8</c:v>
                </c:pt>
                <c:pt idx="45">
                  <c:v>19</c:v>
                </c:pt>
                <c:pt idx="46">
                  <c:v>29</c:v>
                </c:pt>
                <c:pt idx="47">
                  <c:v>15</c:v>
                </c:pt>
                <c:pt idx="48">
                  <c:v>15</c:v>
                </c:pt>
                <c:pt idx="49">
                  <c:v>21</c:v>
                </c:pt>
                <c:pt idx="50">
                  <c:v>0</c:v>
                </c:pt>
              </c:numCache>
            </c:numRef>
          </c:val>
          <c:extLst>
            <c:ext xmlns:c16="http://schemas.microsoft.com/office/drawing/2014/chart" uri="{C3380CC4-5D6E-409C-BE32-E72D297353CC}">
              <c16:uniqueId val="{00000000-455B-45BF-97C3-B7DC613F6369}"/>
            </c:ext>
          </c:extLst>
        </c:ser>
        <c:ser>
          <c:idx val="1"/>
          <c:order val="1"/>
          <c:tx>
            <c:strRef>
              <c:f>broadtyping!$E$1</c:f>
              <c:strCache>
                <c:ptCount val="1"/>
                <c:pt idx="0">
                  <c:v>B</c:v>
                </c:pt>
              </c:strCache>
            </c:strRef>
          </c:tx>
          <c:spPr>
            <a:solidFill>
              <a:schemeClr val="accent2"/>
            </a:solidFill>
            <a:ln>
              <a:noFill/>
            </a:ln>
            <a:effectLst/>
          </c:spPr>
          <c:invertIfNegative val="0"/>
          <c:cat>
            <c:strRef>
              <c:f>broadtyping!$A$2:$B$52</c:f>
              <c:strCache>
                <c:ptCount val="51"/>
                <c:pt idx="0">
                  <c:v>Sep-15</c:v>
                </c:pt>
                <c:pt idx="1">
                  <c:v>Oct-15</c:v>
                </c:pt>
                <c:pt idx="2">
                  <c:v>Nov-15</c:v>
                </c:pt>
                <c:pt idx="3">
                  <c:v>Dec-15</c:v>
                </c:pt>
                <c:pt idx="4">
                  <c:v>Jan-16</c:v>
                </c:pt>
                <c:pt idx="5">
                  <c:v>Feb-16</c:v>
                </c:pt>
                <c:pt idx="6">
                  <c:v>Mar-16</c:v>
                </c:pt>
                <c:pt idx="7">
                  <c:v>Apr-16</c:v>
                </c:pt>
                <c:pt idx="8">
                  <c:v>May-16</c:v>
                </c:pt>
                <c:pt idx="9">
                  <c:v>Jun-16</c:v>
                </c:pt>
                <c:pt idx="10">
                  <c:v>Jul-16</c:v>
                </c:pt>
                <c:pt idx="11">
                  <c:v>Aug-16</c:v>
                </c:pt>
                <c:pt idx="12">
                  <c:v>Sep-16</c:v>
                </c:pt>
                <c:pt idx="13">
                  <c:v>Oct-16</c:v>
                </c:pt>
                <c:pt idx="14">
                  <c:v>Nov-16</c:v>
                </c:pt>
                <c:pt idx="15">
                  <c:v>Dec-16</c:v>
                </c:pt>
                <c:pt idx="16">
                  <c:v>Jan-17</c:v>
                </c:pt>
                <c:pt idx="17">
                  <c:v>Feb-17</c:v>
                </c:pt>
                <c:pt idx="18">
                  <c:v>Mar-17</c:v>
                </c:pt>
                <c:pt idx="19">
                  <c:v>Apr-17</c:v>
                </c:pt>
                <c:pt idx="20">
                  <c:v>May-17</c:v>
                </c:pt>
                <c:pt idx="21">
                  <c:v>Jun-17</c:v>
                </c:pt>
                <c:pt idx="22">
                  <c:v>Jul-17</c:v>
                </c:pt>
                <c:pt idx="23">
                  <c:v>Aug-17</c:v>
                </c:pt>
                <c:pt idx="24">
                  <c:v>Sep-17</c:v>
                </c:pt>
                <c:pt idx="25">
                  <c:v>Oct-17</c:v>
                </c:pt>
                <c:pt idx="26">
                  <c:v>Nov-17</c:v>
                </c:pt>
                <c:pt idx="27">
                  <c:v>Dec-17</c:v>
                </c:pt>
                <c:pt idx="28">
                  <c:v>Jan-18</c:v>
                </c:pt>
                <c:pt idx="29">
                  <c:v>Feb-18</c:v>
                </c:pt>
                <c:pt idx="30">
                  <c:v>Mar-18</c:v>
                </c:pt>
                <c:pt idx="31">
                  <c:v>Apr-18</c:v>
                </c:pt>
                <c:pt idx="32">
                  <c:v>May-18</c:v>
                </c:pt>
                <c:pt idx="33">
                  <c:v>Jun-18</c:v>
                </c:pt>
                <c:pt idx="34">
                  <c:v>Jul-18</c:v>
                </c:pt>
                <c:pt idx="35">
                  <c:v>Aug-18</c:v>
                </c:pt>
                <c:pt idx="36">
                  <c:v>Sep-18</c:v>
                </c:pt>
                <c:pt idx="37">
                  <c:v>Oct-18</c:v>
                </c:pt>
                <c:pt idx="38">
                  <c:v>Nov-18</c:v>
                </c:pt>
                <c:pt idx="39">
                  <c:v>Dec-18</c:v>
                </c:pt>
                <c:pt idx="40">
                  <c:v>Jan-19</c:v>
                </c:pt>
                <c:pt idx="41">
                  <c:v>Feb-19</c:v>
                </c:pt>
                <c:pt idx="42">
                  <c:v>Mar-19</c:v>
                </c:pt>
                <c:pt idx="43">
                  <c:v>Apr-19</c:v>
                </c:pt>
                <c:pt idx="44">
                  <c:v>May-19</c:v>
                </c:pt>
                <c:pt idx="45">
                  <c:v>Jun-19</c:v>
                </c:pt>
                <c:pt idx="46">
                  <c:v>Jul-19</c:v>
                </c:pt>
                <c:pt idx="47">
                  <c:v>Aug-19</c:v>
                </c:pt>
                <c:pt idx="48">
                  <c:v>Sep-19</c:v>
                </c:pt>
                <c:pt idx="49">
                  <c:v>Oct-19</c:v>
                </c:pt>
                <c:pt idx="50">
                  <c:v>Nov-19</c:v>
                </c:pt>
              </c:strCache>
            </c:strRef>
          </c:cat>
          <c:val>
            <c:numRef>
              <c:f>broadtyping!$E$2:$E$52</c:f>
              <c:numCache>
                <c:formatCode>General</c:formatCode>
                <c:ptCount val="51"/>
                <c:pt idx="0">
                  <c:v>1</c:v>
                </c:pt>
                <c:pt idx="1">
                  <c:v>3</c:v>
                </c:pt>
                <c:pt idx="2">
                  <c:v>3</c:v>
                </c:pt>
                <c:pt idx="3">
                  <c:v>1</c:v>
                </c:pt>
                <c:pt idx="4">
                  <c:v>2</c:v>
                </c:pt>
                <c:pt idx="5">
                  <c:v>0</c:v>
                </c:pt>
                <c:pt idx="6">
                  <c:v>0</c:v>
                </c:pt>
                <c:pt idx="7">
                  <c:v>0</c:v>
                </c:pt>
                <c:pt idx="8">
                  <c:v>0</c:v>
                </c:pt>
                <c:pt idx="9">
                  <c:v>3</c:v>
                </c:pt>
                <c:pt idx="10">
                  <c:v>13</c:v>
                </c:pt>
                <c:pt idx="11">
                  <c:v>6</c:v>
                </c:pt>
                <c:pt idx="12">
                  <c:v>7</c:v>
                </c:pt>
                <c:pt idx="13">
                  <c:v>10</c:v>
                </c:pt>
                <c:pt idx="14">
                  <c:v>8</c:v>
                </c:pt>
                <c:pt idx="15">
                  <c:v>11</c:v>
                </c:pt>
                <c:pt idx="16">
                  <c:v>6</c:v>
                </c:pt>
                <c:pt idx="17">
                  <c:v>9</c:v>
                </c:pt>
                <c:pt idx="18">
                  <c:v>29</c:v>
                </c:pt>
                <c:pt idx="19">
                  <c:v>20</c:v>
                </c:pt>
                <c:pt idx="20">
                  <c:v>11</c:v>
                </c:pt>
                <c:pt idx="21">
                  <c:v>14</c:v>
                </c:pt>
                <c:pt idx="22">
                  <c:v>33</c:v>
                </c:pt>
                <c:pt idx="23">
                  <c:v>24</c:v>
                </c:pt>
                <c:pt idx="24">
                  <c:v>6</c:v>
                </c:pt>
                <c:pt idx="25">
                  <c:v>37</c:v>
                </c:pt>
                <c:pt idx="26">
                  <c:v>37</c:v>
                </c:pt>
                <c:pt idx="27">
                  <c:v>16</c:v>
                </c:pt>
                <c:pt idx="28">
                  <c:v>11</c:v>
                </c:pt>
                <c:pt idx="29">
                  <c:v>2</c:v>
                </c:pt>
                <c:pt idx="30">
                  <c:v>3</c:v>
                </c:pt>
                <c:pt idx="31">
                  <c:v>5</c:v>
                </c:pt>
                <c:pt idx="32">
                  <c:v>8</c:v>
                </c:pt>
                <c:pt idx="33">
                  <c:v>17</c:v>
                </c:pt>
                <c:pt idx="34">
                  <c:v>12</c:v>
                </c:pt>
                <c:pt idx="35">
                  <c:v>14</c:v>
                </c:pt>
                <c:pt idx="36">
                  <c:v>6</c:v>
                </c:pt>
                <c:pt idx="37">
                  <c:v>15</c:v>
                </c:pt>
                <c:pt idx="38">
                  <c:v>12</c:v>
                </c:pt>
                <c:pt idx="39">
                  <c:v>11</c:v>
                </c:pt>
                <c:pt idx="40">
                  <c:v>30</c:v>
                </c:pt>
                <c:pt idx="41">
                  <c:v>27</c:v>
                </c:pt>
                <c:pt idx="42">
                  <c:v>26</c:v>
                </c:pt>
                <c:pt idx="43">
                  <c:v>27</c:v>
                </c:pt>
                <c:pt idx="44">
                  <c:v>18</c:v>
                </c:pt>
                <c:pt idx="45">
                  <c:v>10</c:v>
                </c:pt>
                <c:pt idx="46">
                  <c:v>28</c:v>
                </c:pt>
                <c:pt idx="47">
                  <c:v>16</c:v>
                </c:pt>
                <c:pt idx="48">
                  <c:v>25</c:v>
                </c:pt>
                <c:pt idx="49">
                  <c:v>21</c:v>
                </c:pt>
                <c:pt idx="50">
                  <c:v>0</c:v>
                </c:pt>
              </c:numCache>
            </c:numRef>
          </c:val>
          <c:extLst>
            <c:ext xmlns:c16="http://schemas.microsoft.com/office/drawing/2014/chart" uri="{C3380CC4-5D6E-409C-BE32-E72D297353CC}">
              <c16:uniqueId val="{00000001-455B-45BF-97C3-B7DC613F6369}"/>
            </c:ext>
          </c:extLst>
        </c:ser>
        <c:ser>
          <c:idx val="2"/>
          <c:order val="2"/>
          <c:tx>
            <c:strRef>
              <c:f>broadtyping!$F$1</c:f>
              <c:strCache>
                <c:ptCount val="1"/>
                <c:pt idx="0">
                  <c:v>C</c:v>
                </c:pt>
              </c:strCache>
            </c:strRef>
          </c:tx>
          <c:spPr>
            <a:solidFill>
              <a:schemeClr val="accent3"/>
            </a:solidFill>
            <a:ln>
              <a:noFill/>
            </a:ln>
            <a:effectLst/>
          </c:spPr>
          <c:invertIfNegative val="0"/>
          <c:cat>
            <c:strRef>
              <c:f>broadtyping!$A$2:$B$52</c:f>
              <c:strCache>
                <c:ptCount val="51"/>
                <c:pt idx="0">
                  <c:v>Sep-15</c:v>
                </c:pt>
                <c:pt idx="1">
                  <c:v>Oct-15</c:v>
                </c:pt>
                <c:pt idx="2">
                  <c:v>Nov-15</c:v>
                </c:pt>
                <c:pt idx="3">
                  <c:v>Dec-15</c:v>
                </c:pt>
                <c:pt idx="4">
                  <c:v>Jan-16</c:v>
                </c:pt>
                <c:pt idx="5">
                  <c:v>Feb-16</c:v>
                </c:pt>
                <c:pt idx="6">
                  <c:v>Mar-16</c:v>
                </c:pt>
                <c:pt idx="7">
                  <c:v>Apr-16</c:v>
                </c:pt>
                <c:pt idx="8">
                  <c:v>May-16</c:v>
                </c:pt>
                <c:pt idx="9">
                  <c:v>Jun-16</c:v>
                </c:pt>
                <c:pt idx="10">
                  <c:v>Jul-16</c:v>
                </c:pt>
                <c:pt idx="11">
                  <c:v>Aug-16</c:v>
                </c:pt>
                <c:pt idx="12">
                  <c:v>Sep-16</c:v>
                </c:pt>
                <c:pt idx="13">
                  <c:v>Oct-16</c:v>
                </c:pt>
                <c:pt idx="14">
                  <c:v>Nov-16</c:v>
                </c:pt>
                <c:pt idx="15">
                  <c:v>Dec-16</c:v>
                </c:pt>
                <c:pt idx="16">
                  <c:v>Jan-17</c:v>
                </c:pt>
                <c:pt idx="17">
                  <c:v>Feb-17</c:v>
                </c:pt>
                <c:pt idx="18">
                  <c:v>Mar-17</c:v>
                </c:pt>
                <c:pt idx="19">
                  <c:v>Apr-17</c:v>
                </c:pt>
                <c:pt idx="20">
                  <c:v>May-17</c:v>
                </c:pt>
                <c:pt idx="21">
                  <c:v>Jun-17</c:v>
                </c:pt>
                <c:pt idx="22">
                  <c:v>Jul-17</c:v>
                </c:pt>
                <c:pt idx="23">
                  <c:v>Aug-17</c:v>
                </c:pt>
                <c:pt idx="24">
                  <c:v>Sep-17</c:v>
                </c:pt>
                <c:pt idx="25">
                  <c:v>Oct-17</c:v>
                </c:pt>
                <c:pt idx="26">
                  <c:v>Nov-17</c:v>
                </c:pt>
                <c:pt idx="27">
                  <c:v>Dec-17</c:v>
                </c:pt>
                <c:pt idx="28">
                  <c:v>Jan-18</c:v>
                </c:pt>
                <c:pt idx="29">
                  <c:v>Feb-18</c:v>
                </c:pt>
                <c:pt idx="30">
                  <c:v>Mar-18</c:v>
                </c:pt>
                <c:pt idx="31">
                  <c:v>Apr-18</c:v>
                </c:pt>
                <c:pt idx="32">
                  <c:v>May-18</c:v>
                </c:pt>
                <c:pt idx="33">
                  <c:v>Jun-18</c:v>
                </c:pt>
                <c:pt idx="34">
                  <c:v>Jul-18</c:v>
                </c:pt>
                <c:pt idx="35">
                  <c:v>Aug-18</c:v>
                </c:pt>
                <c:pt idx="36">
                  <c:v>Sep-18</c:v>
                </c:pt>
                <c:pt idx="37">
                  <c:v>Oct-18</c:v>
                </c:pt>
                <c:pt idx="38">
                  <c:v>Nov-18</c:v>
                </c:pt>
                <c:pt idx="39">
                  <c:v>Dec-18</c:v>
                </c:pt>
                <c:pt idx="40">
                  <c:v>Jan-19</c:v>
                </c:pt>
                <c:pt idx="41">
                  <c:v>Feb-19</c:v>
                </c:pt>
                <c:pt idx="42">
                  <c:v>Mar-19</c:v>
                </c:pt>
                <c:pt idx="43">
                  <c:v>Apr-19</c:v>
                </c:pt>
                <c:pt idx="44">
                  <c:v>May-19</c:v>
                </c:pt>
                <c:pt idx="45">
                  <c:v>Jun-19</c:v>
                </c:pt>
                <c:pt idx="46">
                  <c:v>Jul-19</c:v>
                </c:pt>
                <c:pt idx="47">
                  <c:v>Aug-19</c:v>
                </c:pt>
                <c:pt idx="48">
                  <c:v>Sep-19</c:v>
                </c:pt>
                <c:pt idx="49">
                  <c:v>Oct-19</c:v>
                </c:pt>
                <c:pt idx="50">
                  <c:v>Nov-19</c:v>
                </c:pt>
              </c:strCache>
            </c:strRef>
          </c:cat>
          <c:val>
            <c:numRef>
              <c:f>broadtyping!$F$2:$F$52</c:f>
              <c:numCache>
                <c:formatCode>General</c:formatCode>
                <c:ptCount val="51"/>
                <c:pt idx="0">
                  <c:v>0</c:v>
                </c:pt>
                <c:pt idx="1">
                  <c:v>0</c:v>
                </c:pt>
                <c:pt idx="2">
                  <c:v>0</c:v>
                </c:pt>
                <c:pt idx="3">
                  <c:v>0</c:v>
                </c:pt>
                <c:pt idx="4">
                  <c:v>0</c:v>
                </c:pt>
                <c:pt idx="5">
                  <c:v>0</c:v>
                </c:pt>
                <c:pt idx="6">
                  <c:v>0</c:v>
                </c:pt>
                <c:pt idx="7">
                  <c:v>0</c:v>
                </c:pt>
                <c:pt idx="8">
                  <c:v>0</c:v>
                </c:pt>
                <c:pt idx="9">
                  <c:v>0</c:v>
                </c:pt>
                <c:pt idx="10">
                  <c:v>2</c:v>
                </c:pt>
                <c:pt idx="11">
                  <c:v>1</c:v>
                </c:pt>
                <c:pt idx="12">
                  <c:v>0</c:v>
                </c:pt>
                <c:pt idx="13">
                  <c:v>3</c:v>
                </c:pt>
                <c:pt idx="14">
                  <c:v>0</c:v>
                </c:pt>
                <c:pt idx="15">
                  <c:v>0</c:v>
                </c:pt>
                <c:pt idx="16">
                  <c:v>0</c:v>
                </c:pt>
                <c:pt idx="17">
                  <c:v>0</c:v>
                </c:pt>
                <c:pt idx="18">
                  <c:v>0</c:v>
                </c:pt>
                <c:pt idx="19">
                  <c:v>0</c:v>
                </c:pt>
                <c:pt idx="20">
                  <c:v>0</c:v>
                </c:pt>
                <c:pt idx="21">
                  <c:v>0</c:v>
                </c:pt>
                <c:pt idx="22">
                  <c:v>0</c:v>
                </c:pt>
                <c:pt idx="23">
                  <c:v>0</c:v>
                </c:pt>
                <c:pt idx="24">
                  <c:v>0</c:v>
                </c:pt>
                <c:pt idx="25">
                  <c:v>0</c:v>
                </c:pt>
                <c:pt idx="26">
                  <c:v>0</c:v>
                </c:pt>
                <c:pt idx="27">
                  <c:v>0</c:v>
                </c:pt>
                <c:pt idx="28">
                  <c:v>0</c:v>
                </c:pt>
                <c:pt idx="29">
                  <c:v>0</c:v>
                </c:pt>
                <c:pt idx="30">
                  <c:v>0</c:v>
                </c:pt>
                <c:pt idx="31">
                  <c:v>0</c:v>
                </c:pt>
                <c:pt idx="32">
                  <c:v>0</c:v>
                </c:pt>
                <c:pt idx="33">
                  <c:v>0</c:v>
                </c:pt>
                <c:pt idx="34">
                  <c:v>0</c:v>
                </c:pt>
                <c:pt idx="35">
                  <c:v>0</c:v>
                </c:pt>
                <c:pt idx="36">
                  <c:v>0</c:v>
                </c:pt>
                <c:pt idx="37">
                  <c:v>0</c:v>
                </c:pt>
                <c:pt idx="38">
                  <c:v>0</c:v>
                </c:pt>
                <c:pt idx="39">
                  <c:v>0</c:v>
                </c:pt>
                <c:pt idx="40">
                  <c:v>0</c:v>
                </c:pt>
                <c:pt idx="41">
                  <c:v>0</c:v>
                </c:pt>
                <c:pt idx="42">
                  <c:v>0</c:v>
                </c:pt>
                <c:pt idx="43">
                  <c:v>0</c:v>
                </c:pt>
                <c:pt idx="44">
                  <c:v>0</c:v>
                </c:pt>
                <c:pt idx="45">
                  <c:v>0</c:v>
                </c:pt>
                <c:pt idx="46">
                  <c:v>1</c:v>
                </c:pt>
                <c:pt idx="47">
                  <c:v>0</c:v>
                </c:pt>
                <c:pt idx="48">
                  <c:v>1</c:v>
                </c:pt>
                <c:pt idx="49">
                  <c:v>0</c:v>
                </c:pt>
                <c:pt idx="50">
                  <c:v>0</c:v>
                </c:pt>
              </c:numCache>
            </c:numRef>
          </c:val>
          <c:extLst>
            <c:ext xmlns:c16="http://schemas.microsoft.com/office/drawing/2014/chart" uri="{C3380CC4-5D6E-409C-BE32-E72D297353CC}">
              <c16:uniqueId val="{00000002-455B-45BF-97C3-B7DC613F6369}"/>
            </c:ext>
          </c:extLst>
        </c:ser>
        <c:ser>
          <c:idx val="3"/>
          <c:order val="3"/>
          <c:tx>
            <c:strRef>
              <c:f>broadtyping!$G$1</c:f>
              <c:strCache>
                <c:ptCount val="1"/>
                <c:pt idx="0">
                  <c:v>D</c:v>
                </c:pt>
              </c:strCache>
            </c:strRef>
          </c:tx>
          <c:spPr>
            <a:solidFill>
              <a:schemeClr val="accent6">
                <a:lumMod val="75000"/>
              </a:schemeClr>
            </a:solidFill>
            <a:ln>
              <a:noFill/>
            </a:ln>
            <a:effectLst/>
          </c:spPr>
          <c:invertIfNegative val="0"/>
          <c:cat>
            <c:strRef>
              <c:f>broadtyping!$A$2:$B$52</c:f>
              <c:strCache>
                <c:ptCount val="51"/>
                <c:pt idx="0">
                  <c:v>Sep-15</c:v>
                </c:pt>
                <c:pt idx="1">
                  <c:v>Oct-15</c:v>
                </c:pt>
                <c:pt idx="2">
                  <c:v>Nov-15</c:v>
                </c:pt>
                <c:pt idx="3">
                  <c:v>Dec-15</c:v>
                </c:pt>
                <c:pt idx="4">
                  <c:v>Jan-16</c:v>
                </c:pt>
                <c:pt idx="5">
                  <c:v>Feb-16</c:v>
                </c:pt>
                <c:pt idx="6">
                  <c:v>Mar-16</c:v>
                </c:pt>
                <c:pt idx="7">
                  <c:v>Apr-16</c:v>
                </c:pt>
                <c:pt idx="8">
                  <c:v>May-16</c:v>
                </c:pt>
                <c:pt idx="9">
                  <c:v>Jun-16</c:v>
                </c:pt>
                <c:pt idx="10">
                  <c:v>Jul-16</c:v>
                </c:pt>
                <c:pt idx="11">
                  <c:v>Aug-16</c:v>
                </c:pt>
                <c:pt idx="12">
                  <c:v>Sep-16</c:v>
                </c:pt>
                <c:pt idx="13">
                  <c:v>Oct-16</c:v>
                </c:pt>
                <c:pt idx="14">
                  <c:v>Nov-16</c:v>
                </c:pt>
                <c:pt idx="15">
                  <c:v>Dec-16</c:v>
                </c:pt>
                <c:pt idx="16">
                  <c:v>Jan-17</c:v>
                </c:pt>
                <c:pt idx="17">
                  <c:v>Feb-17</c:v>
                </c:pt>
                <c:pt idx="18">
                  <c:v>Mar-17</c:v>
                </c:pt>
                <c:pt idx="19">
                  <c:v>Apr-17</c:v>
                </c:pt>
                <c:pt idx="20">
                  <c:v>May-17</c:v>
                </c:pt>
                <c:pt idx="21">
                  <c:v>Jun-17</c:v>
                </c:pt>
                <c:pt idx="22">
                  <c:v>Jul-17</c:v>
                </c:pt>
                <c:pt idx="23">
                  <c:v>Aug-17</c:v>
                </c:pt>
                <c:pt idx="24">
                  <c:v>Sep-17</c:v>
                </c:pt>
                <c:pt idx="25">
                  <c:v>Oct-17</c:v>
                </c:pt>
                <c:pt idx="26">
                  <c:v>Nov-17</c:v>
                </c:pt>
                <c:pt idx="27">
                  <c:v>Dec-17</c:v>
                </c:pt>
                <c:pt idx="28">
                  <c:v>Jan-18</c:v>
                </c:pt>
                <c:pt idx="29">
                  <c:v>Feb-18</c:v>
                </c:pt>
                <c:pt idx="30">
                  <c:v>Mar-18</c:v>
                </c:pt>
                <c:pt idx="31">
                  <c:v>Apr-18</c:v>
                </c:pt>
                <c:pt idx="32">
                  <c:v>May-18</c:v>
                </c:pt>
                <c:pt idx="33">
                  <c:v>Jun-18</c:v>
                </c:pt>
                <c:pt idx="34">
                  <c:v>Jul-18</c:v>
                </c:pt>
                <c:pt idx="35">
                  <c:v>Aug-18</c:v>
                </c:pt>
                <c:pt idx="36">
                  <c:v>Sep-18</c:v>
                </c:pt>
                <c:pt idx="37">
                  <c:v>Oct-18</c:v>
                </c:pt>
                <c:pt idx="38">
                  <c:v>Nov-18</c:v>
                </c:pt>
                <c:pt idx="39">
                  <c:v>Dec-18</c:v>
                </c:pt>
                <c:pt idx="40">
                  <c:v>Jan-19</c:v>
                </c:pt>
                <c:pt idx="41">
                  <c:v>Feb-19</c:v>
                </c:pt>
                <c:pt idx="42">
                  <c:v>Mar-19</c:v>
                </c:pt>
                <c:pt idx="43">
                  <c:v>Apr-19</c:v>
                </c:pt>
                <c:pt idx="44">
                  <c:v>May-19</c:v>
                </c:pt>
                <c:pt idx="45">
                  <c:v>Jun-19</c:v>
                </c:pt>
                <c:pt idx="46">
                  <c:v>Jul-19</c:v>
                </c:pt>
                <c:pt idx="47">
                  <c:v>Aug-19</c:v>
                </c:pt>
                <c:pt idx="48">
                  <c:v>Sep-19</c:v>
                </c:pt>
                <c:pt idx="49">
                  <c:v>Oct-19</c:v>
                </c:pt>
                <c:pt idx="50">
                  <c:v>Nov-19</c:v>
                </c:pt>
              </c:strCache>
            </c:strRef>
          </c:cat>
          <c:val>
            <c:numRef>
              <c:f>broadtyping!$G$2:$G$52</c:f>
              <c:numCache>
                <c:formatCode>General</c:formatCode>
                <c:ptCount val="51"/>
                <c:pt idx="0">
                  <c:v>0</c:v>
                </c:pt>
                <c:pt idx="1">
                  <c:v>0</c:v>
                </c:pt>
                <c:pt idx="2">
                  <c:v>0</c:v>
                </c:pt>
                <c:pt idx="3">
                  <c:v>2</c:v>
                </c:pt>
                <c:pt idx="4">
                  <c:v>23</c:v>
                </c:pt>
                <c:pt idx="5">
                  <c:v>31</c:v>
                </c:pt>
                <c:pt idx="6">
                  <c:v>0</c:v>
                </c:pt>
                <c:pt idx="7">
                  <c:v>0</c:v>
                </c:pt>
                <c:pt idx="8">
                  <c:v>0</c:v>
                </c:pt>
                <c:pt idx="9">
                  <c:v>0</c:v>
                </c:pt>
                <c:pt idx="10">
                  <c:v>20</c:v>
                </c:pt>
                <c:pt idx="11">
                  <c:v>8</c:v>
                </c:pt>
                <c:pt idx="12">
                  <c:v>9</c:v>
                </c:pt>
                <c:pt idx="13">
                  <c:v>7</c:v>
                </c:pt>
                <c:pt idx="14">
                  <c:v>1</c:v>
                </c:pt>
                <c:pt idx="15">
                  <c:v>2</c:v>
                </c:pt>
                <c:pt idx="16">
                  <c:v>1</c:v>
                </c:pt>
                <c:pt idx="17">
                  <c:v>0</c:v>
                </c:pt>
                <c:pt idx="18">
                  <c:v>0</c:v>
                </c:pt>
                <c:pt idx="19">
                  <c:v>0</c:v>
                </c:pt>
                <c:pt idx="20">
                  <c:v>0</c:v>
                </c:pt>
                <c:pt idx="21">
                  <c:v>0</c:v>
                </c:pt>
                <c:pt idx="22">
                  <c:v>0</c:v>
                </c:pt>
                <c:pt idx="23">
                  <c:v>0</c:v>
                </c:pt>
                <c:pt idx="24">
                  <c:v>0</c:v>
                </c:pt>
                <c:pt idx="25">
                  <c:v>2</c:v>
                </c:pt>
                <c:pt idx="26">
                  <c:v>0</c:v>
                </c:pt>
                <c:pt idx="27">
                  <c:v>0</c:v>
                </c:pt>
                <c:pt idx="28">
                  <c:v>0</c:v>
                </c:pt>
                <c:pt idx="29">
                  <c:v>0</c:v>
                </c:pt>
                <c:pt idx="30">
                  <c:v>0</c:v>
                </c:pt>
                <c:pt idx="31">
                  <c:v>0</c:v>
                </c:pt>
                <c:pt idx="32">
                  <c:v>0</c:v>
                </c:pt>
                <c:pt idx="33">
                  <c:v>2</c:v>
                </c:pt>
                <c:pt idx="34">
                  <c:v>2</c:v>
                </c:pt>
                <c:pt idx="35">
                  <c:v>12</c:v>
                </c:pt>
                <c:pt idx="36">
                  <c:v>45</c:v>
                </c:pt>
                <c:pt idx="37">
                  <c:v>53</c:v>
                </c:pt>
                <c:pt idx="38">
                  <c:v>8</c:v>
                </c:pt>
                <c:pt idx="39">
                  <c:v>1</c:v>
                </c:pt>
                <c:pt idx="40">
                  <c:v>0</c:v>
                </c:pt>
                <c:pt idx="41">
                  <c:v>1</c:v>
                </c:pt>
                <c:pt idx="42">
                  <c:v>0</c:v>
                </c:pt>
                <c:pt idx="43">
                  <c:v>0</c:v>
                </c:pt>
                <c:pt idx="44">
                  <c:v>0</c:v>
                </c:pt>
                <c:pt idx="45">
                  <c:v>0</c:v>
                </c:pt>
                <c:pt idx="46">
                  <c:v>0</c:v>
                </c:pt>
                <c:pt idx="47">
                  <c:v>1</c:v>
                </c:pt>
                <c:pt idx="48">
                  <c:v>0</c:v>
                </c:pt>
                <c:pt idx="49">
                  <c:v>3</c:v>
                </c:pt>
                <c:pt idx="50">
                  <c:v>1</c:v>
                </c:pt>
              </c:numCache>
            </c:numRef>
          </c:val>
          <c:extLst>
            <c:ext xmlns:c16="http://schemas.microsoft.com/office/drawing/2014/chart" uri="{C3380CC4-5D6E-409C-BE32-E72D297353CC}">
              <c16:uniqueId val="{00000003-455B-45BF-97C3-B7DC613F6369}"/>
            </c:ext>
          </c:extLst>
        </c:ser>
        <c:dLbls>
          <c:showLegendKey val="0"/>
          <c:showVal val="0"/>
          <c:showCatName val="0"/>
          <c:showSerName val="0"/>
          <c:showPercent val="0"/>
          <c:showBubbleSize val="0"/>
        </c:dLbls>
        <c:gapWidth val="40"/>
        <c:overlap val="100"/>
        <c:axId val="1541979872"/>
        <c:axId val="1541980288"/>
      </c:barChart>
      <c:lineChart>
        <c:grouping val="standard"/>
        <c:varyColors val="0"/>
        <c:ser>
          <c:idx val="4"/>
          <c:order val="4"/>
          <c:tx>
            <c:strRef>
              <c:f>broadtyping!$H$1</c:f>
              <c:strCache>
                <c:ptCount val="1"/>
                <c:pt idx="0">
                  <c:v>CVB3</c:v>
                </c:pt>
              </c:strCache>
            </c:strRef>
          </c:tx>
          <c:spPr>
            <a:ln w="28575" cap="rnd">
              <a:solidFill>
                <a:srgbClr val="C00000"/>
              </a:solidFill>
              <a:round/>
            </a:ln>
            <a:effectLst/>
          </c:spPr>
          <c:marker>
            <c:symbol val="none"/>
          </c:marker>
          <c:cat>
            <c:strRef>
              <c:f>broadtyping!$A$2:$B$52</c:f>
              <c:strCache>
                <c:ptCount val="51"/>
                <c:pt idx="0">
                  <c:v>Sep-15</c:v>
                </c:pt>
                <c:pt idx="1">
                  <c:v>Oct-15</c:v>
                </c:pt>
                <c:pt idx="2">
                  <c:v>Nov-15</c:v>
                </c:pt>
                <c:pt idx="3">
                  <c:v>Dec-15</c:v>
                </c:pt>
                <c:pt idx="4">
                  <c:v>Jan-16</c:v>
                </c:pt>
                <c:pt idx="5">
                  <c:v>Feb-16</c:v>
                </c:pt>
                <c:pt idx="6">
                  <c:v>Mar-16</c:v>
                </c:pt>
                <c:pt idx="7">
                  <c:v>Apr-16</c:v>
                </c:pt>
                <c:pt idx="8">
                  <c:v>May-16</c:v>
                </c:pt>
                <c:pt idx="9">
                  <c:v>Jun-16</c:v>
                </c:pt>
                <c:pt idx="10">
                  <c:v>Jul-16</c:v>
                </c:pt>
                <c:pt idx="11">
                  <c:v>Aug-16</c:v>
                </c:pt>
                <c:pt idx="12">
                  <c:v>Sep-16</c:v>
                </c:pt>
                <c:pt idx="13">
                  <c:v>Oct-16</c:v>
                </c:pt>
                <c:pt idx="14">
                  <c:v>Nov-16</c:v>
                </c:pt>
                <c:pt idx="15">
                  <c:v>Dec-16</c:v>
                </c:pt>
                <c:pt idx="16">
                  <c:v>Jan-17</c:v>
                </c:pt>
                <c:pt idx="17">
                  <c:v>Feb-17</c:v>
                </c:pt>
                <c:pt idx="18">
                  <c:v>Mar-17</c:v>
                </c:pt>
                <c:pt idx="19">
                  <c:v>Apr-17</c:v>
                </c:pt>
                <c:pt idx="20">
                  <c:v>May-17</c:v>
                </c:pt>
                <c:pt idx="21">
                  <c:v>Jun-17</c:v>
                </c:pt>
                <c:pt idx="22">
                  <c:v>Jul-17</c:v>
                </c:pt>
                <c:pt idx="23">
                  <c:v>Aug-17</c:v>
                </c:pt>
                <c:pt idx="24">
                  <c:v>Sep-17</c:v>
                </c:pt>
                <c:pt idx="25">
                  <c:v>Oct-17</c:v>
                </c:pt>
                <c:pt idx="26">
                  <c:v>Nov-17</c:v>
                </c:pt>
                <c:pt idx="27">
                  <c:v>Dec-17</c:v>
                </c:pt>
                <c:pt idx="28">
                  <c:v>Jan-18</c:v>
                </c:pt>
                <c:pt idx="29">
                  <c:v>Feb-18</c:v>
                </c:pt>
                <c:pt idx="30">
                  <c:v>Mar-18</c:v>
                </c:pt>
                <c:pt idx="31">
                  <c:v>Apr-18</c:v>
                </c:pt>
                <c:pt idx="32">
                  <c:v>May-18</c:v>
                </c:pt>
                <c:pt idx="33">
                  <c:v>Jun-18</c:v>
                </c:pt>
                <c:pt idx="34">
                  <c:v>Jul-18</c:v>
                </c:pt>
                <c:pt idx="35">
                  <c:v>Aug-18</c:v>
                </c:pt>
                <c:pt idx="36">
                  <c:v>Sep-18</c:v>
                </c:pt>
                <c:pt idx="37">
                  <c:v>Oct-18</c:v>
                </c:pt>
                <c:pt idx="38">
                  <c:v>Nov-18</c:v>
                </c:pt>
                <c:pt idx="39">
                  <c:v>Dec-18</c:v>
                </c:pt>
                <c:pt idx="40">
                  <c:v>Jan-19</c:v>
                </c:pt>
                <c:pt idx="41">
                  <c:v>Feb-19</c:v>
                </c:pt>
                <c:pt idx="42">
                  <c:v>Mar-19</c:v>
                </c:pt>
                <c:pt idx="43">
                  <c:v>Apr-19</c:v>
                </c:pt>
                <c:pt idx="44">
                  <c:v>May-19</c:v>
                </c:pt>
                <c:pt idx="45">
                  <c:v>Jun-19</c:v>
                </c:pt>
                <c:pt idx="46">
                  <c:v>Jul-19</c:v>
                </c:pt>
                <c:pt idx="47">
                  <c:v>Aug-19</c:v>
                </c:pt>
                <c:pt idx="48">
                  <c:v>Sep-19</c:v>
                </c:pt>
                <c:pt idx="49">
                  <c:v>Oct-19</c:v>
                </c:pt>
                <c:pt idx="50">
                  <c:v>Nov-19</c:v>
                </c:pt>
              </c:strCache>
            </c:strRef>
          </c:cat>
          <c:val>
            <c:numRef>
              <c:f>broadtyping!$H$2:$H$52</c:f>
              <c:numCache>
                <c:formatCode>General</c:formatCode>
                <c:ptCount val="51"/>
                <c:pt idx="0">
                  <c:v>0</c:v>
                </c:pt>
                <c:pt idx="1">
                  <c:v>0</c:v>
                </c:pt>
                <c:pt idx="2">
                  <c:v>0</c:v>
                </c:pt>
                <c:pt idx="3">
                  <c:v>0</c:v>
                </c:pt>
                <c:pt idx="4">
                  <c:v>0</c:v>
                </c:pt>
                <c:pt idx="5">
                  <c:v>0</c:v>
                </c:pt>
                <c:pt idx="6">
                  <c:v>0</c:v>
                </c:pt>
                <c:pt idx="7">
                  <c:v>0</c:v>
                </c:pt>
                <c:pt idx="8">
                  <c:v>0</c:v>
                </c:pt>
                <c:pt idx="9">
                  <c:v>5</c:v>
                </c:pt>
                <c:pt idx="10">
                  <c:v>3</c:v>
                </c:pt>
                <c:pt idx="11">
                  <c:v>2</c:v>
                </c:pt>
                <c:pt idx="12">
                  <c:v>0</c:v>
                </c:pt>
                <c:pt idx="13">
                  <c:v>0</c:v>
                </c:pt>
                <c:pt idx="14">
                  <c:v>2</c:v>
                </c:pt>
                <c:pt idx="15">
                  <c:v>1</c:v>
                </c:pt>
                <c:pt idx="16">
                  <c:v>0</c:v>
                </c:pt>
                <c:pt idx="17">
                  <c:v>0</c:v>
                </c:pt>
                <c:pt idx="18">
                  <c:v>0</c:v>
                </c:pt>
                <c:pt idx="19">
                  <c:v>0</c:v>
                </c:pt>
                <c:pt idx="20">
                  <c:v>0</c:v>
                </c:pt>
                <c:pt idx="21">
                  <c:v>2</c:v>
                </c:pt>
                <c:pt idx="22">
                  <c:v>0</c:v>
                </c:pt>
                <c:pt idx="23">
                  <c:v>0</c:v>
                </c:pt>
                <c:pt idx="24">
                  <c:v>0</c:v>
                </c:pt>
                <c:pt idx="25">
                  <c:v>0</c:v>
                </c:pt>
                <c:pt idx="26">
                  <c:v>2</c:v>
                </c:pt>
                <c:pt idx="27">
                  <c:v>0</c:v>
                </c:pt>
                <c:pt idx="28">
                  <c:v>1</c:v>
                </c:pt>
                <c:pt idx="29">
                  <c:v>0</c:v>
                </c:pt>
                <c:pt idx="30">
                  <c:v>1</c:v>
                </c:pt>
                <c:pt idx="31">
                  <c:v>0</c:v>
                </c:pt>
                <c:pt idx="32">
                  <c:v>0</c:v>
                </c:pt>
                <c:pt idx="33">
                  <c:v>0</c:v>
                </c:pt>
                <c:pt idx="34">
                  <c:v>0</c:v>
                </c:pt>
                <c:pt idx="35">
                  <c:v>0</c:v>
                </c:pt>
                <c:pt idx="36">
                  <c:v>2</c:v>
                </c:pt>
                <c:pt idx="37">
                  <c:v>0</c:v>
                </c:pt>
                <c:pt idx="38">
                  <c:v>1</c:v>
                </c:pt>
                <c:pt idx="39">
                  <c:v>4</c:v>
                </c:pt>
                <c:pt idx="40">
                  <c:v>5</c:v>
                </c:pt>
                <c:pt idx="41">
                  <c:v>8</c:v>
                </c:pt>
                <c:pt idx="42">
                  <c:v>10</c:v>
                </c:pt>
                <c:pt idx="43">
                  <c:v>4</c:v>
                </c:pt>
                <c:pt idx="44">
                  <c:v>4</c:v>
                </c:pt>
                <c:pt idx="45">
                  <c:v>2</c:v>
                </c:pt>
                <c:pt idx="46">
                  <c:v>3</c:v>
                </c:pt>
                <c:pt idx="47">
                  <c:v>1</c:v>
                </c:pt>
                <c:pt idx="48">
                  <c:v>3</c:v>
                </c:pt>
                <c:pt idx="49">
                  <c:v>0</c:v>
                </c:pt>
                <c:pt idx="50">
                  <c:v>0</c:v>
                </c:pt>
              </c:numCache>
            </c:numRef>
          </c:val>
          <c:smooth val="0"/>
          <c:extLst>
            <c:ext xmlns:c16="http://schemas.microsoft.com/office/drawing/2014/chart" uri="{C3380CC4-5D6E-409C-BE32-E72D297353CC}">
              <c16:uniqueId val="{00000004-455B-45BF-97C3-B7DC613F6369}"/>
            </c:ext>
          </c:extLst>
        </c:ser>
        <c:ser>
          <c:idx val="5"/>
          <c:order val="5"/>
          <c:tx>
            <c:strRef>
              <c:f>broadtyping!$I$1</c:f>
              <c:strCache>
                <c:ptCount val="1"/>
                <c:pt idx="0">
                  <c:v>CVB4</c:v>
                </c:pt>
              </c:strCache>
            </c:strRef>
          </c:tx>
          <c:spPr>
            <a:ln w="28575" cap="rnd">
              <a:solidFill>
                <a:schemeClr val="tx1"/>
              </a:solidFill>
              <a:round/>
            </a:ln>
            <a:effectLst/>
          </c:spPr>
          <c:marker>
            <c:symbol val="none"/>
          </c:marker>
          <c:cat>
            <c:strRef>
              <c:f>broadtyping!$A$2:$B$52</c:f>
              <c:strCache>
                <c:ptCount val="51"/>
                <c:pt idx="0">
                  <c:v>Sep-15</c:v>
                </c:pt>
                <c:pt idx="1">
                  <c:v>Oct-15</c:v>
                </c:pt>
                <c:pt idx="2">
                  <c:v>Nov-15</c:v>
                </c:pt>
                <c:pt idx="3">
                  <c:v>Dec-15</c:v>
                </c:pt>
                <c:pt idx="4">
                  <c:v>Jan-16</c:v>
                </c:pt>
                <c:pt idx="5">
                  <c:v>Feb-16</c:v>
                </c:pt>
                <c:pt idx="6">
                  <c:v>Mar-16</c:v>
                </c:pt>
                <c:pt idx="7">
                  <c:v>Apr-16</c:v>
                </c:pt>
                <c:pt idx="8">
                  <c:v>May-16</c:v>
                </c:pt>
                <c:pt idx="9">
                  <c:v>Jun-16</c:v>
                </c:pt>
                <c:pt idx="10">
                  <c:v>Jul-16</c:v>
                </c:pt>
                <c:pt idx="11">
                  <c:v>Aug-16</c:v>
                </c:pt>
                <c:pt idx="12">
                  <c:v>Sep-16</c:v>
                </c:pt>
                <c:pt idx="13">
                  <c:v>Oct-16</c:v>
                </c:pt>
                <c:pt idx="14">
                  <c:v>Nov-16</c:v>
                </c:pt>
                <c:pt idx="15">
                  <c:v>Dec-16</c:v>
                </c:pt>
                <c:pt idx="16">
                  <c:v>Jan-17</c:v>
                </c:pt>
                <c:pt idx="17">
                  <c:v>Feb-17</c:v>
                </c:pt>
                <c:pt idx="18">
                  <c:v>Mar-17</c:v>
                </c:pt>
                <c:pt idx="19">
                  <c:v>Apr-17</c:v>
                </c:pt>
                <c:pt idx="20">
                  <c:v>May-17</c:v>
                </c:pt>
                <c:pt idx="21">
                  <c:v>Jun-17</c:v>
                </c:pt>
                <c:pt idx="22">
                  <c:v>Jul-17</c:v>
                </c:pt>
                <c:pt idx="23">
                  <c:v>Aug-17</c:v>
                </c:pt>
                <c:pt idx="24">
                  <c:v>Sep-17</c:v>
                </c:pt>
                <c:pt idx="25">
                  <c:v>Oct-17</c:v>
                </c:pt>
                <c:pt idx="26">
                  <c:v>Nov-17</c:v>
                </c:pt>
                <c:pt idx="27">
                  <c:v>Dec-17</c:v>
                </c:pt>
                <c:pt idx="28">
                  <c:v>Jan-18</c:v>
                </c:pt>
                <c:pt idx="29">
                  <c:v>Feb-18</c:v>
                </c:pt>
                <c:pt idx="30">
                  <c:v>Mar-18</c:v>
                </c:pt>
                <c:pt idx="31">
                  <c:v>Apr-18</c:v>
                </c:pt>
                <c:pt idx="32">
                  <c:v>May-18</c:v>
                </c:pt>
                <c:pt idx="33">
                  <c:v>Jun-18</c:v>
                </c:pt>
                <c:pt idx="34">
                  <c:v>Jul-18</c:v>
                </c:pt>
                <c:pt idx="35">
                  <c:v>Aug-18</c:v>
                </c:pt>
                <c:pt idx="36">
                  <c:v>Sep-18</c:v>
                </c:pt>
                <c:pt idx="37">
                  <c:v>Oct-18</c:v>
                </c:pt>
                <c:pt idx="38">
                  <c:v>Nov-18</c:v>
                </c:pt>
                <c:pt idx="39">
                  <c:v>Dec-18</c:v>
                </c:pt>
                <c:pt idx="40">
                  <c:v>Jan-19</c:v>
                </c:pt>
                <c:pt idx="41">
                  <c:v>Feb-19</c:v>
                </c:pt>
                <c:pt idx="42">
                  <c:v>Mar-19</c:v>
                </c:pt>
                <c:pt idx="43">
                  <c:v>Apr-19</c:v>
                </c:pt>
                <c:pt idx="44">
                  <c:v>May-19</c:v>
                </c:pt>
                <c:pt idx="45">
                  <c:v>Jun-19</c:v>
                </c:pt>
                <c:pt idx="46">
                  <c:v>Jul-19</c:v>
                </c:pt>
                <c:pt idx="47">
                  <c:v>Aug-19</c:v>
                </c:pt>
                <c:pt idx="48">
                  <c:v>Sep-19</c:v>
                </c:pt>
                <c:pt idx="49">
                  <c:v>Oct-19</c:v>
                </c:pt>
                <c:pt idx="50">
                  <c:v>Nov-19</c:v>
                </c:pt>
              </c:strCache>
            </c:strRef>
          </c:cat>
          <c:val>
            <c:numRef>
              <c:f>broadtyping!$I$2:$I$52</c:f>
              <c:numCache>
                <c:formatCode>General</c:formatCode>
                <c:ptCount val="51"/>
                <c:pt idx="0">
                  <c:v>0</c:v>
                </c:pt>
                <c:pt idx="1">
                  <c:v>0</c:v>
                </c:pt>
                <c:pt idx="2">
                  <c:v>0</c:v>
                </c:pt>
                <c:pt idx="3">
                  <c:v>0</c:v>
                </c:pt>
                <c:pt idx="4">
                  <c:v>0</c:v>
                </c:pt>
                <c:pt idx="5">
                  <c:v>0</c:v>
                </c:pt>
                <c:pt idx="6">
                  <c:v>0</c:v>
                </c:pt>
                <c:pt idx="7">
                  <c:v>0</c:v>
                </c:pt>
                <c:pt idx="8">
                  <c:v>0</c:v>
                </c:pt>
                <c:pt idx="9">
                  <c:v>0</c:v>
                </c:pt>
                <c:pt idx="10">
                  <c:v>0</c:v>
                </c:pt>
                <c:pt idx="11">
                  <c:v>0</c:v>
                </c:pt>
                <c:pt idx="12">
                  <c:v>0</c:v>
                </c:pt>
                <c:pt idx="13">
                  <c:v>0</c:v>
                </c:pt>
                <c:pt idx="14">
                  <c:v>0</c:v>
                </c:pt>
                <c:pt idx="15">
                  <c:v>0</c:v>
                </c:pt>
                <c:pt idx="16">
                  <c:v>0</c:v>
                </c:pt>
                <c:pt idx="17">
                  <c:v>0</c:v>
                </c:pt>
                <c:pt idx="18">
                  <c:v>0</c:v>
                </c:pt>
                <c:pt idx="19">
                  <c:v>0</c:v>
                </c:pt>
                <c:pt idx="20">
                  <c:v>1</c:v>
                </c:pt>
                <c:pt idx="21">
                  <c:v>0</c:v>
                </c:pt>
                <c:pt idx="22">
                  <c:v>0</c:v>
                </c:pt>
                <c:pt idx="23">
                  <c:v>1</c:v>
                </c:pt>
                <c:pt idx="24">
                  <c:v>1</c:v>
                </c:pt>
                <c:pt idx="25">
                  <c:v>0</c:v>
                </c:pt>
                <c:pt idx="26">
                  <c:v>1</c:v>
                </c:pt>
                <c:pt idx="27">
                  <c:v>0</c:v>
                </c:pt>
                <c:pt idx="28">
                  <c:v>0</c:v>
                </c:pt>
                <c:pt idx="29">
                  <c:v>0</c:v>
                </c:pt>
                <c:pt idx="30">
                  <c:v>0</c:v>
                </c:pt>
                <c:pt idx="31">
                  <c:v>0</c:v>
                </c:pt>
                <c:pt idx="32">
                  <c:v>0</c:v>
                </c:pt>
                <c:pt idx="33">
                  <c:v>0</c:v>
                </c:pt>
                <c:pt idx="34">
                  <c:v>0</c:v>
                </c:pt>
                <c:pt idx="35">
                  <c:v>0</c:v>
                </c:pt>
                <c:pt idx="36">
                  <c:v>0</c:v>
                </c:pt>
                <c:pt idx="37">
                  <c:v>1</c:v>
                </c:pt>
                <c:pt idx="38">
                  <c:v>0</c:v>
                </c:pt>
                <c:pt idx="39">
                  <c:v>0</c:v>
                </c:pt>
                <c:pt idx="40">
                  <c:v>2</c:v>
                </c:pt>
                <c:pt idx="41">
                  <c:v>0</c:v>
                </c:pt>
                <c:pt idx="42">
                  <c:v>0</c:v>
                </c:pt>
                <c:pt idx="43">
                  <c:v>1</c:v>
                </c:pt>
                <c:pt idx="44">
                  <c:v>0</c:v>
                </c:pt>
                <c:pt idx="45">
                  <c:v>0</c:v>
                </c:pt>
                <c:pt idx="46">
                  <c:v>1</c:v>
                </c:pt>
                <c:pt idx="47">
                  <c:v>2</c:v>
                </c:pt>
                <c:pt idx="48">
                  <c:v>7</c:v>
                </c:pt>
                <c:pt idx="49">
                  <c:v>3</c:v>
                </c:pt>
                <c:pt idx="50">
                  <c:v>0</c:v>
                </c:pt>
              </c:numCache>
            </c:numRef>
          </c:val>
          <c:smooth val="0"/>
          <c:extLst>
            <c:ext xmlns:c16="http://schemas.microsoft.com/office/drawing/2014/chart" uri="{C3380CC4-5D6E-409C-BE32-E72D297353CC}">
              <c16:uniqueId val="{00000005-455B-45BF-97C3-B7DC613F6369}"/>
            </c:ext>
          </c:extLst>
        </c:ser>
        <c:dLbls>
          <c:showLegendKey val="0"/>
          <c:showVal val="0"/>
          <c:showCatName val="0"/>
          <c:showSerName val="0"/>
          <c:showPercent val="0"/>
          <c:showBubbleSize val="0"/>
        </c:dLbls>
        <c:marker val="1"/>
        <c:smooth val="0"/>
        <c:axId val="1541979872"/>
        <c:axId val="1541980288"/>
      </c:lineChart>
      <c:catAx>
        <c:axId val="1541979872"/>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GB"/>
                  <a:t>Sample</a:t>
                </a:r>
                <a:r>
                  <a:rPr lang="en-GB" baseline="0"/>
                  <a:t> date (month)</a:t>
                </a:r>
                <a:endParaRPr lang="en-GB"/>
              </a:p>
            </c:rich>
          </c:tx>
          <c:layout/>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541980288"/>
        <c:crosses val="autoZero"/>
        <c:auto val="1"/>
        <c:lblAlgn val="ctr"/>
        <c:lblOffset val="100"/>
        <c:tickLblSkip val="1"/>
        <c:noMultiLvlLbl val="1"/>
      </c:catAx>
      <c:valAx>
        <c:axId val="1541980288"/>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GB"/>
                  <a:t>Number</a:t>
                </a:r>
                <a:r>
                  <a:rPr lang="en-GB" baseline="0"/>
                  <a:t> of samples typed</a:t>
                </a:r>
                <a:endParaRPr lang="en-GB"/>
              </a:p>
            </c:rich>
          </c:tx>
          <c:layout/>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541979872"/>
        <c:crosses val="autoZero"/>
        <c:crossBetween val="between"/>
      </c:valAx>
      <c:spPr>
        <a:noFill/>
        <a:ln>
          <a:noFill/>
        </a:ln>
        <a:effectLst/>
      </c:spPr>
    </c:plotArea>
    <c:legend>
      <c:legendPos val="b"/>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'PEDW Anika'!$B$1</c:f>
              <c:strCache>
                <c:ptCount val="1"/>
                <c:pt idx="0">
                  <c:v>0 to 6 days old</c:v>
                </c:pt>
              </c:strCache>
            </c:strRef>
          </c:tx>
          <c:spPr>
            <a:solidFill>
              <a:schemeClr val="accent2"/>
            </a:solidFill>
            <a:ln>
              <a:noFill/>
            </a:ln>
            <a:effectLst/>
          </c:spPr>
          <c:invertIfNegative val="0"/>
          <c:cat>
            <c:numRef>
              <c:f>'PEDW Anika'!$A$2:$A$168</c:f>
              <c:numCache>
                <c:formatCode>mmm\-yy</c:formatCode>
                <c:ptCount val="167"/>
                <c:pt idx="0">
                  <c:v>39814</c:v>
                </c:pt>
                <c:pt idx="1">
                  <c:v>39845</c:v>
                </c:pt>
                <c:pt idx="2">
                  <c:v>39873</c:v>
                </c:pt>
                <c:pt idx="3">
                  <c:v>39904</c:v>
                </c:pt>
                <c:pt idx="4">
                  <c:v>39934</c:v>
                </c:pt>
                <c:pt idx="5">
                  <c:v>39965</c:v>
                </c:pt>
                <c:pt idx="6">
                  <c:v>39995</c:v>
                </c:pt>
                <c:pt idx="7">
                  <c:v>40026</c:v>
                </c:pt>
                <c:pt idx="8">
                  <c:v>40057</c:v>
                </c:pt>
                <c:pt idx="9">
                  <c:v>40087</c:v>
                </c:pt>
                <c:pt idx="10">
                  <c:v>40118</c:v>
                </c:pt>
                <c:pt idx="11">
                  <c:v>40148</c:v>
                </c:pt>
                <c:pt idx="12">
                  <c:v>40179</c:v>
                </c:pt>
                <c:pt idx="13">
                  <c:v>40210</c:v>
                </c:pt>
                <c:pt idx="14">
                  <c:v>40238</c:v>
                </c:pt>
                <c:pt idx="15">
                  <c:v>40269</c:v>
                </c:pt>
                <c:pt idx="16">
                  <c:v>40299</c:v>
                </c:pt>
                <c:pt idx="17">
                  <c:v>40330</c:v>
                </c:pt>
                <c:pt idx="18">
                  <c:v>40360</c:v>
                </c:pt>
                <c:pt idx="19">
                  <c:v>40391</c:v>
                </c:pt>
                <c:pt idx="20">
                  <c:v>40422</c:v>
                </c:pt>
                <c:pt idx="21">
                  <c:v>40452</c:v>
                </c:pt>
                <c:pt idx="22">
                  <c:v>40483</c:v>
                </c:pt>
                <c:pt idx="23">
                  <c:v>40513</c:v>
                </c:pt>
                <c:pt idx="24">
                  <c:v>40544</c:v>
                </c:pt>
                <c:pt idx="25">
                  <c:v>40575</c:v>
                </c:pt>
                <c:pt idx="26">
                  <c:v>40603</c:v>
                </c:pt>
                <c:pt idx="27">
                  <c:v>40634</c:v>
                </c:pt>
                <c:pt idx="28">
                  <c:v>40664</c:v>
                </c:pt>
                <c:pt idx="29">
                  <c:v>40695</c:v>
                </c:pt>
                <c:pt idx="30">
                  <c:v>40725</c:v>
                </c:pt>
                <c:pt idx="31">
                  <c:v>40756</c:v>
                </c:pt>
                <c:pt idx="32">
                  <c:v>40787</c:v>
                </c:pt>
                <c:pt idx="33">
                  <c:v>40817</c:v>
                </c:pt>
                <c:pt idx="34">
                  <c:v>40848</c:v>
                </c:pt>
                <c:pt idx="35">
                  <c:v>40878</c:v>
                </c:pt>
                <c:pt idx="36">
                  <c:v>40909</c:v>
                </c:pt>
                <c:pt idx="37">
                  <c:v>40940</c:v>
                </c:pt>
                <c:pt idx="38">
                  <c:v>40969</c:v>
                </c:pt>
                <c:pt idx="39">
                  <c:v>41000</c:v>
                </c:pt>
                <c:pt idx="40">
                  <c:v>41030</c:v>
                </c:pt>
                <c:pt idx="41">
                  <c:v>41061</c:v>
                </c:pt>
                <c:pt idx="42">
                  <c:v>41091</c:v>
                </c:pt>
                <c:pt idx="43">
                  <c:v>41122</c:v>
                </c:pt>
                <c:pt idx="44">
                  <c:v>41153</c:v>
                </c:pt>
                <c:pt idx="45">
                  <c:v>41183</c:v>
                </c:pt>
                <c:pt idx="46">
                  <c:v>41214</c:v>
                </c:pt>
                <c:pt idx="47">
                  <c:v>41244</c:v>
                </c:pt>
                <c:pt idx="48">
                  <c:v>41275</c:v>
                </c:pt>
                <c:pt idx="49">
                  <c:v>41306</c:v>
                </c:pt>
                <c:pt idx="50">
                  <c:v>41334</c:v>
                </c:pt>
                <c:pt idx="51">
                  <c:v>41365</c:v>
                </c:pt>
                <c:pt idx="52">
                  <c:v>41395</c:v>
                </c:pt>
                <c:pt idx="53">
                  <c:v>41426</c:v>
                </c:pt>
                <c:pt idx="54">
                  <c:v>41456</c:v>
                </c:pt>
                <c:pt idx="55">
                  <c:v>41487</c:v>
                </c:pt>
                <c:pt idx="56">
                  <c:v>41518</c:v>
                </c:pt>
                <c:pt idx="57">
                  <c:v>41548</c:v>
                </c:pt>
                <c:pt idx="58">
                  <c:v>41579</c:v>
                </c:pt>
                <c:pt idx="59">
                  <c:v>41609</c:v>
                </c:pt>
                <c:pt idx="60">
                  <c:v>41640</c:v>
                </c:pt>
                <c:pt idx="61">
                  <c:v>41671</c:v>
                </c:pt>
                <c:pt idx="62">
                  <c:v>41699</c:v>
                </c:pt>
                <c:pt idx="63">
                  <c:v>41730</c:v>
                </c:pt>
                <c:pt idx="64">
                  <c:v>41760</c:v>
                </c:pt>
                <c:pt idx="65">
                  <c:v>41791</c:v>
                </c:pt>
                <c:pt idx="66">
                  <c:v>41821</c:v>
                </c:pt>
                <c:pt idx="67">
                  <c:v>41852</c:v>
                </c:pt>
                <c:pt idx="68">
                  <c:v>41883</c:v>
                </c:pt>
                <c:pt idx="69">
                  <c:v>41913</c:v>
                </c:pt>
                <c:pt idx="70">
                  <c:v>41944</c:v>
                </c:pt>
                <c:pt idx="71">
                  <c:v>41974</c:v>
                </c:pt>
                <c:pt idx="72">
                  <c:v>42005</c:v>
                </c:pt>
                <c:pt idx="73">
                  <c:v>42036</c:v>
                </c:pt>
                <c:pt idx="74">
                  <c:v>42064</c:v>
                </c:pt>
                <c:pt idx="75">
                  <c:v>42095</c:v>
                </c:pt>
                <c:pt idx="76">
                  <c:v>42125</c:v>
                </c:pt>
                <c:pt idx="77">
                  <c:v>42156</c:v>
                </c:pt>
                <c:pt idx="78">
                  <c:v>42186</c:v>
                </c:pt>
                <c:pt idx="79">
                  <c:v>42217</c:v>
                </c:pt>
                <c:pt idx="80">
                  <c:v>42248</c:v>
                </c:pt>
                <c:pt idx="81">
                  <c:v>42278</c:v>
                </c:pt>
                <c:pt idx="82">
                  <c:v>42309</c:v>
                </c:pt>
                <c:pt idx="83">
                  <c:v>42339</c:v>
                </c:pt>
                <c:pt idx="84">
                  <c:v>42370</c:v>
                </c:pt>
                <c:pt idx="85">
                  <c:v>42401</c:v>
                </c:pt>
                <c:pt idx="86">
                  <c:v>42430</c:v>
                </c:pt>
                <c:pt idx="87">
                  <c:v>42461</c:v>
                </c:pt>
                <c:pt idx="88">
                  <c:v>42491</c:v>
                </c:pt>
                <c:pt idx="89">
                  <c:v>42522</c:v>
                </c:pt>
                <c:pt idx="90">
                  <c:v>42552</c:v>
                </c:pt>
                <c:pt idx="91">
                  <c:v>42583</c:v>
                </c:pt>
                <c:pt idx="92">
                  <c:v>42614</c:v>
                </c:pt>
                <c:pt idx="93">
                  <c:v>42644</c:v>
                </c:pt>
                <c:pt idx="94">
                  <c:v>42675</c:v>
                </c:pt>
                <c:pt idx="95">
                  <c:v>42705</c:v>
                </c:pt>
                <c:pt idx="96">
                  <c:v>42736</c:v>
                </c:pt>
                <c:pt idx="97">
                  <c:v>42767</c:v>
                </c:pt>
                <c:pt idx="98">
                  <c:v>42795</c:v>
                </c:pt>
                <c:pt idx="99">
                  <c:v>42826</c:v>
                </c:pt>
                <c:pt idx="100">
                  <c:v>42856</c:v>
                </c:pt>
                <c:pt idx="101">
                  <c:v>42887</c:v>
                </c:pt>
                <c:pt idx="102">
                  <c:v>42917</c:v>
                </c:pt>
                <c:pt idx="103">
                  <c:v>42948</c:v>
                </c:pt>
                <c:pt idx="104">
                  <c:v>42979</c:v>
                </c:pt>
                <c:pt idx="105">
                  <c:v>43009</c:v>
                </c:pt>
                <c:pt idx="106">
                  <c:v>43040</c:v>
                </c:pt>
                <c:pt idx="107">
                  <c:v>43070</c:v>
                </c:pt>
                <c:pt idx="108">
                  <c:v>43101</c:v>
                </c:pt>
                <c:pt idx="109">
                  <c:v>43132</c:v>
                </c:pt>
                <c:pt idx="110">
                  <c:v>43160</c:v>
                </c:pt>
                <c:pt idx="111">
                  <c:v>43191</c:v>
                </c:pt>
                <c:pt idx="112">
                  <c:v>43221</c:v>
                </c:pt>
                <c:pt idx="113">
                  <c:v>43252</c:v>
                </c:pt>
                <c:pt idx="114">
                  <c:v>43282</c:v>
                </c:pt>
                <c:pt idx="115">
                  <c:v>43313</c:v>
                </c:pt>
                <c:pt idx="116">
                  <c:v>43344</c:v>
                </c:pt>
                <c:pt idx="117">
                  <c:v>43374</c:v>
                </c:pt>
                <c:pt idx="118">
                  <c:v>43405</c:v>
                </c:pt>
                <c:pt idx="119">
                  <c:v>43435</c:v>
                </c:pt>
                <c:pt idx="120">
                  <c:v>43466</c:v>
                </c:pt>
                <c:pt idx="121">
                  <c:v>43497</c:v>
                </c:pt>
                <c:pt idx="122">
                  <c:v>43525</c:v>
                </c:pt>
                <c:pt idx="123">
                  <c:v>43556</c:v>
                </c:pt>
                <c:pt idx="124">
                  <c:v>43586</c:v>
                </c:pt>
                <c:pt idx="125">
                  <c:v>43617</c:v>
                </c:pt>
                <c:pt idx="126">
                  <c:v>43647</c:v>
                </c:pt>
                <c:pt idx="127">
                  <c:v>43678</c:v>
                </c:pt>
                <c:pt idx="128">
                  <c:v>43709</c:v>
                </c:pt>
                <c:pt idx="129">
                  <c:v>43739</c:v>
                </c:pt>
                <c:pt idx="130">
                  <c:v>43770</c:v>
                </c:pt>
                <c:pt idx="131">
                  <c:v>43800</c:v>
                </c:pt>
                <c:pt idx="132">
                  <c:v>43831</c:v>
                </c:pt>
                <c:pt idx="133">
                  <c:v>43862</c:v>
                </c:pt>
                <c:pt idx="134">
                  <c:v>43891</c:v>
                </c:pt>
                <c:pt idx="135">
                  <c:v>43922</c:v>
                </c:pt>
                <c:pt idx="136">
                  <c:v>43952</c:v>
                </c:pt>
                <c:pt idx="137">
                  <c:v>43983</c:v>
                </c:pt>
                <c:pt idx="138">
                  <c:v>44013</c:v>
                </c:pt>
                <c:pt idx="139">
                  <c:v>44044</c:v>
                </c:pt>
                <c:pt idx="140">
                  <c:v>44075</c:v>
                </c:pt>
                <c:pt idx="141">
                  <c:v>44105</c:v>
                </c:pt>
                <c:pt idx="142">
                  <c:v>44136</c:v>
                </c:pt>
                <c:pt idx="143">
                  <c:v>44166</c:v>
                </c:pt>
                <c:pt idx="144">
                  <c:v>44197</c:v>
                </c:pt>
                <c:pt idx="145">
                  <c:v>44228</c:v>
                </c:pt>
                <c:pt idx="146">
                  <c:v>44256</c:v>
                </c:pt>
                <c:pt idx="147">
                  <c:v>44287</c:v>
                </c:pt>
                <c:pt idx="148">
                  <c:v>44317</c:v>
                </c:pt>
                <c:pt idx="149">
                  <c:v>44348</c:v>
                </c:pt>
                <c:pt idx="150">
                  <c:v>44378</c:v>
                </c:pt>
                <c:pt idx="151">
                  <c:v>44409</c:v>
                </c:pt>
                <c:pt idx="152">
                  <c:v>44440</c:v>
                </c:pt>
                <c:pt idx="153">
                  <c:v>44470</c:v>
                </c:pt>
                <c:pt idx="154">
                  <c:v>44501</c:v>
                </c:pt>
                <c:pt idx="155">
                  <c:v>44531</c:v>
                </c:pt>
                <c:pt idx="156">
                  <c:v>44562</c:v>
                </c:pt>
                <c:pt idx="157">
                  <c:v>44593</c:v>
                </c:pt>
                <c:pt idx="158">
                  <c:v>44621</c:v>
                </c:pt>
                <c:pt idx="159">
                  <c:v>44652</c:v>
                </c:pt>
                <c:pt idx="160">
                  <c:v>44682</c:v>
                </c:pt>
                <c:pt idx="161">
                  <c:v>44713</c:v>
                </c:pt>
                <c:pt idx="162">
                  <c:v>44743</c:v>
                </c:pt>
                <c:pt idx="163">
                  <c:v>44774</c:v>
                </c:pt>
                <c:pt idx="164">
                  <c:v>44805</c:v>
                </c:pt>
                <c:pt idx="165">
                  <c:v>44835</c:v>
                </c:pt>
                <c:pt idx="166">
                  <c:v>44866</c:v>
                </c:pt>
              </c:numCache>
            </c:numRef>
          </c:cat>
          <c:val>
            <c:numRef>
              <c:f>'PEDW Anika'!$B$2:$B$168</c:f>
              <c:numCache>
                <c:formatCode>General</c:formatCode>
                <c:ptCount val="167"/>
                <c:pt idx="0">
                  <c:v>0</c:v>
                </c:pt>
                <c:pt idx="1">
                  <c:v>0</c:v>
                </c:pt>
                <c:pt idx="2">
                  <c:v>0</c:v>
                </c:pt>
                <c:pt idx="3">
                  <c:v>0</c:v>
                </c:pt>
                <c:pt idx="4">
                  <c:v>0</c:v>
                </c:pt>
                <c:pt idx="5">
                  <c:v>0</c:v>
                </c:pt>
                <c:pt idx="6">
                  <c:v>0</c:v>
                </c:pt>
                <c:pt idx="7">
                  <c:v>0</c:v>
                </c:pt>
                <c:pt idx="8">
                  <c:v>0</c:v>
                </c:pt>
                <c:pt idx="9">
                  <c:v>0</c:v>
                </c:pt>
                <c:pt idx="10">
                  <c:v>0</c:v>
                </c:pt>
                <c:pt idx="11">
                  <c:v>0</c:v>
                </c:pt>
                <c:pt idx="12">
                  <c:v>0</c:v>
                </c:pt>
                <c:pt idx="13">
                  <c:v>0</c:v>
                </c:pt>
                <c:pt idx="14">
                  <c:v>0</c:v>
                </c:pt>
                <c:pt idx="15">
                  <c:v>0</c:v>
                </c:pt>
                <c:pt idx="16">
                  <c:v>0</c:v>
                </c:pt>
                <c:pt idx="17">
                  <c:v>0</c:v>
                </c:pt>
                <c:pt idx="18">
                  <c:v>0</c:v>
                </c:pt>
                <c:pt idx="19">
                  <c:v>0</c:v>
                </c:pt>
                <c:pt idx="20">
                  <c:v>0</c:v>
                </c:pt>
                <c:pt idx="21">
                  <c:v>0</c:v>
                </c:pt>
                <c:pt idx="22">
                  <c:v>0</c:v>
                </c:pt>
                <c:pt idx="23">
                  <c:v>0</c:v>
                </c:pt>
                <c:pt idx="24">
                  <c:v>0</c:v>
                </c:pt>
                <c:pt idx="25">
                  <c:v>0</c:v>
                </c:pt>
                <c:pt idx="26">
                  <c:v>0</c:v>
                </c:pt>
                <c:pt idx="27">
                  <c:v>0</c:v>
                </c:pt>
                <c:pt idx="28">
                  <c:v>0</c:v>
                </c:pt>
                <c:pt idx="29">
                  <c:v>0</c:v>
                </c:pt>
                <c:pt idx="30">
                  <c:v>0</c:v>
                </c:pt>
                <c:pt idx="31">
                  <c:v>0</c:v>
                </c:pt>
                <c:pt idx="32">
                  <c:v>0</c:v>
                </c:pt>
                <c:pt idx="33">
                  <c:v>0</c:v>
                </c:pt>
                <c:pt idx="34">
                  <c:v>0</c:v>
                </c:pt>
                <c:pt idx="35">
                  <c:v>0</c:v>
                </c:pt>
                <c:pt idx="36">
                  <c:v>0</c:v>
                </c:pt>
                <c:pt idx="37">
                  <c:v>0</c:v>
                </c:pt>
                <c:pt idx="38">
                  <c:v>0</c:v>
                </c:pt>
                <c:pt idx="39">
                  <c:v>0</c:v>
                </c:pt>
                <c:pt idx="40">
                  <c:v>0</c:v>
                </c:pt>
                <c:pt idx="41">
                  <c:v>0</c:v>
                </c:pt>
                <c:pt idx="42">
                  <c:v>0</c:v>
                </c:pt>
                <c:pt idx="43">
                  <c:v>0</c:v>
                </c:pt>
                <c:pt idx="44">
                  <c:v>0</c:v>
                </c:pt>
                <c:pt idx="45">
                  <c:v>0</c:v>
                </c:pt>
                <c:pt idx="46">
                  <c:v>0</c:v>
                </c:pt>
                <c:pt idx="47">
                  <c:v>0</c:v>
                </c:pt>
                <c:pt idx="48">
                  <c:v>0</c:v>
                </c:pt>
                <c:pt idx="49">
                  <c:v>0</c:v>
                </c:pt>
                <c:pt idx="50">
                  <c:v>0</c:v>
                </c:pt>
                <c:pt idx="51">
                  <c:v>0</c:v>
                </c:pt>
                <c:pt idx="52">
                  <c:v>0</c:v>
                </c:pt>
                <c:pt idx="53">
                  <c:v>0</c:v>
                </c:pt>
                <c:pt idx="54">
                  <c:v>0</c:v>
                </c:pt>
                <c:pt idx="55">
                  <c:v>0</c:v>
                </c:pt>
                <c:pt idx="56">
                  <c:v>0</c:v>
                </c:pt>
                <c:pt idx="57">
                  <c:v>0</c:v>
                </c:pt>
                <c:pt idx="58">
                  <c:v>0</c:v>
                </c:pt>
                <c:pt idx="59">
                  <c:v>0</c:v>
                </c:pt>
                <c:pt idx="60">
                  <c:v>0</c:v>
                </c:pt>
                <c:pt idx="61">
                  <c:v>0</c:v>
                </c:pt>
                <c:pt idx="62">
                  <c:v>0</c:v>
                </c:pt>
                <c:pt idx="63">
                  <c:v>0</c:v>
                </c:pt>
                <c:pt idx="64">
                  <c:v>0</c:v>
                </c:pt>
                <c:pt idx="65">
                  <c:v>0</c:v>
                </c:pt>
                <c:pt idx="66">
                  <c:v>0</c:v>
                </c:pt>
                <c:pt idx="67">
                  <c:v>0</c:v>
                </c:pt>
                <c:pt idx="68">
                  <c:v>0</c:v>
                </c:pt>
                <c:pt idx="69">
                  <c:v>0</c:v>
                </c:pt>
                <c:pt idx="70">
                  <c:v>0</c:v>
                </c:pt>
                <c:pt idx="71">
                  <c:v>0</c:v>
                </c:pt>
                <c:pt idx="72">
                  <c:v>0</c:v>
                </c:pt>
                <c:pt idx="73">
                  <c:v>0</c:v>
                </c:pt>
                <c:pt idx="74">
                  <c:v>0</c:v>
                </c:pt>
                <c:pt idx="75">
                  <c:v>0</c:v>
                </c:pt>
                <c:pt idx="76">
                  <c:v>0</c:v>
                </c:pt>
                <c:pt idx="77">
                  <c:v>0</c:v>
                </c:pt>
                <c:pt idx="78">
                  <c:v>0</c:v>
                </c:pt>
                <c:pt idx="79">
                  <c:v>0</c:v>
                </c:pt>
                <c:pt idx="80">
                  <c:v>0</c:v>
                </c:pt>
                <c:pt idx="81">
                  <c:v>0</c:v>
                </c:pt>
                <c:pt idx="82">
                  <c:v>0</c:v>
                </c:pt>
                <c:pt idx="83">
                  <c:v>0</c:v>
                </c:pt>
                <c:pt idx="84">
                  <c:v>0</c:v>
                </c:pt>
                <c:pt idx="85">
                  <c:v>0</c:v>
                </c:pt>
                <c:pt idx="86">
                  <c:v>0</c:v>
                </c:pt>
                <c:pt idx="87">
                  <c:v>0</c:v>
                </c:pt>
                <c:pt idx="88">
                  <c:v>0</c:v>
                </c:pt>
                <c:pt idx="89">
                  <c:v>0</c:v>
                </c:pt>
                <c:pt idx="90">
                  <c:v>0</c:v>
                </c:pt>
                <c:pt idx="91">
                  <c:v>0</c:v>
                </c:pt>
                <c:pt idx="92">
                  <c:v>0</c:v>
                </c:pt>
                <c:pt idx="93">
                  <c:v>0</c:v>
                </c:pt>
                <c:pt idx="94">
                  <c:v>0</c:v>
                </c:pt>
                <c:pt idx="95">
                  <c:v>0</c:v>
                </c:pt>
                <c:pt idx="96">
                  <c:v>0</c:v>
                </c:pt>
                <c:pt idx="97">
                  <c:v>0</c:v>
                </c:pt>
                <c:pt idx="98">
                  <c:v>0</c:v>
                </c:pt>
                <c:pt idx="99">
                  <c:v>0</c:v>
                </c:pt>
                <c:pt idx="100">
                  <c:v>0</c:v>
                </c:pt>
                <c:pt idx="101">
                  <c:v>0</c:v>
                </c:pt>
                <c:pt idx="102">
                  <c:v>0</c:v>
                </c:pt>
                <c:pt idx="103">
                  <c:v>0</c:v>
                </c:pt>
                <c:pt idx="104">
                  <c:v>0</c:v>
                </c:pt>
                <c:pt idx="105">
                  <c:v>0</c:v>
                </c:pt>
                <c:pt idx="106">
                  <c:v>0</c:v>
                </c:pt>
                <c:pt idx="107">
                  <c:v>0</c:v>
                </c:pt>
                <c:pt idx="108">
                  <c:v>0</c:v>
                </c:pt>
                <c:pt idx="109">
                  <c:v>0</c:v>
                </c:pt>
                <c:pt idx="110">
                  <c:v>0</c:v>
                </c:pt>
                <c:pt idx="111">
                  <c:v>0</c:v>
                </c:pt>
                <c:pt idx="112">
                  <c:v>0</c:v>
                </c:pt>
                <c:pt idx="113">
                  <c:v>0</c:v>
                </c:pt>
                <c:pt idx="114">
                  <c:v>0</c:v>
                </c:pt>
                <c:pt idx="115">
                  <c:v>0</c:v>
                </c:pt>
                <c:pt idx="116">
                  <c:v>0</c:v>
                </c:pt>
                <c:pt idx="117">
                  <c:v>0</c:v>
                </c:pt>
                <c:pt idx="118">
                  <c:v>0</c:v>
                </c:pt>
                <c:pt idx="119">
                  <c:v>0</c:v>
                </c:pt>
                <c:pt idx="120">
                  <c:v>0</c:v>
                </c:pt>
                <c:pt idx="121">
                  <c:v>0</c:v>
                </c:pt>
                <c:pt idx="122">
                  <c:v>0</c:v>
                </c:pt>
                <c:pt idx="123">
                  <c:v>0</c:v>
                </c:pt>
                <c:pt idx="124">
                  <c:v>0</c:v>
                </c:pt>
                <c:pt idx="125">
                  <c:v>0</c:v>
                </c:pt>
                <c:pt idx="126">
                  <c:v>0</c:v>
                </c:pt>
                <c:pt idx="127">
                  <c:v>0</c:v>
                </c:pt>
                <c:pt idx="128">
                  <c:v>0</c:v>
                </c:pt>
                <c:pt idx="129">
                  <c:v>0</c:v>
                </c:pt>
                <c:pt idx="130">
                  <c:v>0</c:v>
                </c:pt>
                <c:pt idx="131">
                  <c:v>0</c:v>
                </c:pt>
                <c:pt idx="132">
                  <c:v>0</c:v>
                </c:pt>
                <c:pt idx="133">
                  <c:v>0</c:v>
                </c:pt>
                <c:pt idx="134">
                  <c:v>0</c:v>
                </c:pt>
                <c:pt idx="135">
                  <c:v>0</c:v>
                </c:pt>
                <c:pt idx="136">
                  <c:v>0</c:v>
                </c:pt>
                <c:pt idx="137">
                  <c:v>0</c:v>
                </c:pt>
                <c:pt idx="138">
                  <c:v>0</c:v>
                </c:pt>
                <c:pt idx="139">
                  <c:v>0</c:v>
                </c:pt>
                <c:pt idx="140">
                  <c:v>0</c:v>
                </c:pt>
                <c:pt idx="141">
                  <c:v>0</c:v>
                </c:pt>
                <c:pt idx="142">
                  <c:v>0</c:v>
                </c:pt>
                <c:pt idx="143">
                  <c:v>0</c:v>
                </c:pt>
                <c:pt idx="144">
                  <c:v>0</c:v>
                </c:pt>
                <c:pt idx="145">
                  <c:v>0</c:v>
                </c:pt>
                <c:pt idx="146">
                  <c:v>0</c:v>
                </c:pt>
                <c:pt idx="147">
                  <c:v>0</c:v>
                </c:pt>
                <c:pt idx="148">
                  <c:v>0</c:v>
                </c:pt>
                <c:pt idx="149">
                  <c:v>0</c:v>
                </c:pt>
                <c:pt idx="150">
                  <c:v>0</c:v>
                </c:pt>
                <c:pt idx="151">
                  <c:v>0</c:v>
                </c:pt>
                <c:pt idx="152">
                  <c:v>0</c:v>
                </c:pt>
                <c:pt idx="153">
                  <c:v>0</c:v>
                </c:pt>
                <c:pt idx="154">
                  <c:v>0</c:v>
                </c:pt>
                <c:pt idx="155">
                  <c:v>0</c:v>
                </c:pt>
                <c:pt idx="156">
                  <c:v>0</c:v>
                </c:pt>
                <c:pt idx="157">
                  <c:v>0</c:v>
                </c:pt>
                <c:pt idx="158">
                  <c:v>0</c:v>
                </c:pt>
                <c:pt idx="159">
                  <c:v>0</c:v>
                </c:pt>
                <c:pt idx="160">
                  <c:v>0</c:v>
                </c:pt>
                <c:pt idx="161">
                  <c:v>0</c:v>
                </c:pt>
                <c:pt idx="162">
                  <c:v>0</c:v>
                </c:pt>
                <c:pt idx="163">
                  <c:v>0</c:v>
                </c:pt>
                <c:pt idx="164">
                  <c:v>0</c:v>
                </c:pt>
                <c:pt idx="165">
                  <c:v>0</c:v>
                </c:pt>
                <c:pt idx="166">
                  <c:v>0</c:v>
                </c:pt>
              </c:numCache>
            </c:numRef>
          </c:val>
          <c:extLst>
            <c:ext xmlns:c16="http://schemas.microsoft.com/office/drawing/2014/chart" uri="{C3380CC4-5D6E-409C-BE32-E72D297353CC}">
              <c16:uniqueId val="{00000000-03C2-4606-A81A-35B2E711857C}"/>
            </c:ext>
          </c:extLst>
        </c:ser>
        <c:ser>
          <c:idx val="1"/>
          <c:order val="1"/>
          <c:tx>
            <c:strRef>
              <c:f>'PEDW Anika'!$C$1</c:f>
              <c:strCache>
                <c:ptCount val="1"/>
                <c:pt idx="0">
                  <c:v>7 to 28 days old</c:v>
                </c:pt>
              </c:strCache>
            </c:strRef>
          </c:tx>
          <c:spPr>
            <a:solidFill>
              <a:schemeClr val="accent4"/>
            </a:solidFill>
            <a:ln>
              <a:noFill/>
            </a:ln>
            <a:effectLst/>
          </c:spPr>
          <c:invertIfNegative val="0"/>
          <c:cat>
            <c:numRef>
              <c:f>'PEDW Anika'!$A$2:$A$168</c:f>
              <c:numCache>
                <c:formatCode>mmm\-yy</c:formatCode>
                <c:ptCount val="167"/>
                <c:pt idx="0">
                  <c:v>39814</c:v>
                </c:pt>
                <c:pt idx="1">
                  <c:v>39845</c:v>
                </c:pt>
                <c:pt idx="2">
                  <c:v>39873</c:v>
                </c:pt>
                <c:pt idx="3">
                  <c:v>39904</c:v>
                </c:pt>
                <c:pt idx="4">
                  <c:v>39934</c:v>
                </c:pt>
                <c:pt idx="5">
                  <c:v>39965</c:v>
                </c:pt>
                <c:pt idx="6">
                  <c:v>39995</c:v>
                </c:pt>
                <c:pt idx="7">
                  <c:v>40026</c:v>
                </c:pt>
                <c:pt idx="8">
                  <c:v>40057</c:v>
                </c:pt>
                <c:pt idx="9">
                  <c:v>40087</c:v>
                </c:pt>
                <c:pt idx="10">
                  <c:v>40118</c:v>
                </c:pt>
                <c:pt idx="11">
                  <c:v>40148</c:v>
                </c:pt>
                <c:pt idx="12">
                  <c:v>40179</c:v>
                </c:pt>
                <c:pt idx="13">
                  <c:v>40210</c:v>
                </c:pt>
                <c:pt idx="14">
                  <c:v>40238</c:v>
                </c:pt>
                <c:pt idx="15">
                  <c:v>40269</c:v>
                </c:pt>
                <c:pt idx="16">
                  <c:v>40299</c:v>
                </c:pt>
                <c:pt idx="17">
                  <c:v>40330</c:v>
                </c:pt>
                <c:pt idx="18">
                  <c:v>40360</c:v>
                </c:pt>
                <c:pt idx="19">
                  <c:v>40391</c:v>
                </c:pt>
                <c:pt idx="20">
                  <c:v>40422</c:v>
                </c:pt>
                <c:pt idx="21">
                  <c:v>40452</c:v>
                </c:pt>
                <c:pt idx="22">
                  <c:v>40483</c:v>
                </c:pt>
                <c:pt idx="23">
                  <c:v>40513</c:v>
                </c:pt>
                <c:pt idx="24">
                  <c:v>40544</c:v>
                </c:pt>
                <c:pt idx="25">
                  <c:v>40575</c:v>
                </c:pt>
                <c:pt idx="26">
                  <c:v>40603</c:v>
                </c:pt>
                <c:pt idx="27">
                  <c:v>40634</c:v>
                </c:pt>
                <c:pt idx="28">
                  <c:v>40664</c:v>
                </c:pt>
                <c:pt idx="29">
                  <c:v>40695</c:v>
                </c:pt>
                <c:pt idx="30">
                  <c:v>40725</c:v>
                </c:pt>
                <c:pt idx="31">
                  <c:v>40756</c:v>
                </c:pt>
                <c:pt idx="32">
                  <c:v>40787</c:v>
                </c:pt>
                <c:pt idx="33">
                  <c:v>40817</c:v>
                </c:pt>
                <c:pt idx="34">
                  <c:v>40848</c:v>
                </c:pt>
                <c:pt idx="35">
                  <c:v>40878</c:v>
                </c:pt>
                <c:pt idx="36">
                  <c:v>40909</c:v>
                </c:pt>
                <c:pt idx="37">
                  <c:v>40940</c:v>
                </c:pt>
                <c:pt idx="38">
                  <c:v>40969</c:v>
                </c:pt>
                <c:pt idx="39">
                  <c:v>41000</c:v>
                </c:pt>
                <c:pt idx="40">
                  <c:v>41030</c:v>
                </c:pt>
                <c:pt idx="41">
                  <c:v>41061</c:v>
                </c:pt>
                <c:pt idx="42">
                  <c:v>41091</c:v>
                </c:pt>
                <c:pt idx="43">
                  <c:v>41122</c:v>
                </c:pt>
                <c:pt idx="44">
                  <c:v>41153</c:v>
                </c:pt>
                <c:pt idx="45">
                  <c:v>41183</c:v>
                </c:pt>
                <c:pt idx="46">
                  <c:v>41214</c:v>
                </c:pt>
                <c:pt idx="47">
                  <c:v>41244</c:v>
                </c:pt>
                <c:pt idx="48">
                  <c:v>41275</c:v>
                </c:pt>
                <c:pt idx="49">
                  <c:v>41306</c:v>
                </c:pt>
                <c:pt idx="50">
                  <c:v>41334</c:v>
                </c:pt>
                <c:pt idx="51">
                  <c:v>41365</c:v>
                </c:pt>
                <c:pt idx="52">
                  <c:v>41395</c:v>
                </c:pt>
                <c:pt idx="53">
                  <c:v>41426</c:v>
                </c:pt>
                <c:pt idx="54">
                  <c:v>41456</c:v>
                </c:pt>
                <c:pt idx="55">
                  <c:v>41487</c:v>
                </c:pt>
                <c:pt idx="56">
                  <c:v>41518</c:v>
                </c:pt>
                <c:pt idx="57">
                  <c:v>41548</c:v>
                </c:pt>
                <c:pt idx="58">
                  <c:v>41579</c:v>
                </c:pt>
                <c:pt idx="59">
                  <c:v>41609</c:v>
                </c:pt>
                <c:pt idx="60">
                  <c:v>41640</c:v>
                </c:pt>
                <c:pt idx="61">
                  <c:v>41671</c:v>
                </c:pt>
                <c:pt idx="62">
                  <c:v>41699</c:v>
                </c:pt>
                <c:pt idx="63">
                  <c:v>41730</c:v>
                </c:pt>
                <c:pt idx="64">
                  <c:v>41760</c:v>
                </c:pt>
                <c:pt idx="65">
                  <c:v>41791</c:v>
                </c:pt>
                <c:pt idx="66">
                  <c:v>41821</c:v>
                </c:pt>
                <c:pt idx="67">
                  <c:v>41852</c:v>
                </c:pt>
                <c:pt idx="68">
                  <c:v>41883</c:v>
                </c:pt>
                <c:pt idx="69">
                  <c:v>41913</c:v>
                </c:pt>
                <c:pt idx="70">
                  <c:v>41944</c:v>
                </c:pt>
                <c:pt idx="71">
                  <c:v>41974</c:v>
                </c:pt>
                <c:pt idx="72">
                  <c:v>42005</c:v>
                </c:pt>
                <c:pt idx="73">
                  <c:v>42036</c:v>
                </c:pt>
                <c:pt idx="74">
                  <c:v>42064</c:v>
                </c:pt>
                <c:pt idx="75">
                  <c:v>42095</c:v>
                </c:pt>
                <c:pt idx="76">
                  <c:v>42125</c:v>
                </c:pt>
                <c:pt idx="77">
                  <c:v>42156</c:v>
                </c:pt>
                <c:pt idx="78">
                  <c:v>42186</c:v>
                </c:pt>
                <c:pt idx="79">
                  <c:v>42217</c:v>
                </c:pt>
                <c:pt idx="80">
                  <c:v>42248</c:v>
                </c:pt>
                <c:pt idx="81">
                  <c:v>42278</c:v>
                </c:pt>
                <c:pt idx="82">
                  <c:v>42309</c:v>
                </c:pt>
                <c:pt idx="83">
                  <c:v>42339</c:v>
                </c:pt>
                <c:pt idx="84">
                  <c:v>42370</c:v>
                </c:pt>
                <c:pt idx="85">
                  <c:v>42401</c:v>
                </c:pt>
                <c:pt idx="86">
                  <c:v>42430</c:v>
                </c:pt>
                <c:pt idx="87">
                  <c:v>42461</c:v>
                </c:pt>
                <c:pt idx="88">
                  <c:v>42491</c:v>
                </c:pt>
                <c:pt idx="89">
                  <c:v>42522</c:v>
                </c:pt>
                <c:pt idx="90">
                  <c:v>42552</c:v>
                </c:pt>
                <c:pt idx="91">
                  <c:v>42583</c:v>
                </c:pt>
                <c:pt idx="92">
                  <c:v>42614</c:v>
                </c:pt>
                <c:pt idx="93">
                  <c:v>42644</c:v>
                </c:pt>
                <c:pt idx="94">
                  <c:v>42675</c:v>
                </c:pt>
                <c:pt idx="95">
                  <c:v>42705</c:v>
                </c:pt>
                <c:pt idx="96">
                  <c:v>42736</c:v>
                </c:pt>
                <c:pt idx="97">
                  <c:v>42767</c:v>
                </c:pt>
                <c:pt idx="98">
                  <c:v>42795</c:v>
                </c:pt>
                <c:pt idx="99">
                  <c:v>42826</c:v>
                </c:pt>
                <c:pt idx="100">
                  <c:v>42856</c:v>
                </c:pt>
                <c:pt idx="101">
                  <c:v>42887</c:v>
                </c:pt>
                <c:pt idx="102">
                  <c:v>42917</c:v>
                </c:pt>
                <c:pt idx="103">
                  <c:v>42948</c:v>
                </c:pt>
                <c:pt idx="104">
                  <c:v>42979</c:v>
                </c:pt>
                <c:pt idx="105">
                  <c:v>43009</c:v>
                </c:pt>
                <c:pt idx="106">
                  <c:v>43040</c:v>
                </c:pt>
                <c:pt idx="107">
                  <c:v>43070</c:v>
                </c:pt>
                <c:pt idx="108">
                  <c:v>43101</c:v>
                </c:pt>
                <c:pt idx="109">
                  <c:v>43132</c:v>
                </c:pt>
                <c:pt idx="110">
                  <c:v>43160</c:v>
                </c:pt>
                <c:pt idx="111">
                  <c:v>43191</c:v>
                </c:pt>
                <c:pt idx="112">
                  <c:v>43221</c:v>
                </c:pt>
                <c:pt idx="113">
                  <c:v>43252</c:v>
                </c:pt>
                <c:pt idx="114">
                  <c:v>43282</c:v>
                </c:pt>
                <c:pt idx="115">
                  <c:v>43313</c:v>
                </c:pt>
                <c:pt idx="116">
                  <c:v>43344</c:v>
                </c:pt>
                <c:pt idx="117">
                  <c:v>43374</c:v>
                </c:pt>
                <c:pt idx="118">
                  <c:v>43405</c:v>
                </c:pt>
                <c:pt idx="119">
                  <c:v>43435</c:v>
                </c:pt>
                <c:pt idx="120">
                  <c:v>43466</c:v>
                </c:pt>
                <c:pt idx="121">
                  <c:v>43497</c:v>
                </c:pt>
                <c:pt idx="122">
                  <c:v>43525</c:v>
                </c:pt>
                <c:pt idx="123">
                  <c:v>43556</c:v>
                </c:pt>
                <c:pt idx="124">
                  <c:v>43586</c:v>
                </c:pt>
                <c:pt idx="125">
                  <c:v>43617</c:v>
                </c:pt>
                <c:pt idx="126">
                  <c:v>43647</c:v>
                </c:pt>
                <c:pt idx="127">
                  <c:v>43678</c:v>
                </c:pt>
                <c:pt idx="128">
                  <c:v>43709</c:v>
                </c:pt>
                <c:pt idx="129">
                  <c:v>43739</c:v>
                </c:pt>
                <c:pt idx="130">
                  <c:v>43770</c:v>
                </c:pt>
                <c:pt idx="131">
                  <c:v>43800</c:v>
                </c:pt>
                <c:pt idx="132">
                  <c:v>43831</c:v>
                </c:pt>
                <c:pt idx="133">
                  <c:v>43862</c:v>
                </c:pt>
                <c:pt idx="134">
                  <c:v>43891</c:v>
                </c:pt>
                <c:pt idx="135">
                  <c:v>43922</c:v>
                </c:pt>
                <c:pt idx="136">
                  <c:v>43952</c:v>
                </c:pt>
                <c:pt idx="137">
                  <c:v>43983</c:v>
                </c:pt>
                <c:pt idx="138">
                  <c:v>44013</c:v>
                </c:pt>
                <c:pt idx="139">
                  <c:v>44044</c:v>
                </c:pt>
                <c:pt idx="140">
                  <c:v>44075</c:v>
                </c:pt>
                <c:pt idx="141">
                  <c:v>44105</c:v>
                </c:pt>
                <c:pt idx="142">
                  <c:v>44136</c:v>
                </c:pt>
                <c:pt idx="143">
                  <c:v>44166</c:v>
                </c:pt>
                <c:pt idx="144">
                  <c:v>44197</c:v>
                </c:pt>
                <c:pt idx="145">
                  <c:v>44228</c:v>
                </c:pt>
                <c:pt idx="146">
                  <c:v>44256</c:v>
                </c:pt>
                <c:pt idx="147">
                  <c:v>44287</c:v>
                </c:pt>
                <c:pt idx="148">
                  <c:v>44317</c:v>
                </c:pt>
                <c:pt idx="149">
                  <c:v>44348</c:v>
                </c:pt>
                <c:pt idx="150">
                  <c:v>44378</c:v>
                </c:pt>
                <c:pt idx="151">
                  <c:v>44409</c:v>
                </c:pt>
                <c:pt idx="152">
                  <c:v>44440</c:v>
                </c:pt>
                <c:pt idx="153">
                  <c:v>44470</c:v>
                </c:pt>
                <c:pt idx="154">
                  <c:v>44501</c:v>
                </c:pt>
                <c:pt idx="155">
                  <c:v>44531</c:v>
                </c:pt>
                <c:pt idx="156">
                  <c:v>44562</c:v>
                </c:pt>
                <c:pt idx="157">
                  <c:v>44593</c:v>
                </c:pt>
                <c:pt idx="158">
                  <c:v>44621</c:v>
                </c:pt>
                <c:pt idx="159">
                  <c:v>44652</c:v>
                </c:pt>
                <c:pt idx="160">
                  <c:v>44682</c:v>
                </c:pt>
                <c:pt idx="161">
                  <c:v>44713</c:v>
                </c:pt>
                <c:pt idx="162">
                  <c:v>44743</c:v>
                </c:pt>
                <c:pt idx="163">
                  <c:v>44774</c:v>
                </c:pt>
                <c:pt idx="164">
                  <c:v>44805</c:v>
                </c:pt>
                <c:pt idx="165">
                  <c:v>44835</c:v>
                </c:pt>
                <c:pt idx="166">
                  <c:v>44866</c:v>
                </c:pt>
              </c:numCache>
            </c:numRef>
          </c:cat>
          <c:val>
            <c:numRef>
              <c:f>'PEDW Anika'!$C$2:$C$168</c:f>
              <c:numCache>
                <c:formatCode>General</c:formatCode>
                <c:ptCount val="167"/>
                <c:pt idx="0">
                  <c:v>0</c:v>
                </c:pt>
                <c:pt idx="1">
                  <c:v>0</c:v>
                </c:pt>
                <c:pt idx="2">
                  <c:v>0</c:v>
                </c:pt>
                <c:pt idx="3">
                  <c:v>0</c:v>
                </c:pt>
                <c:pt idx="4">
                  <c:v>0</c:v>
                </c:pt>
                <c:pt idx="5">
                  <c:v>0</c:v>
                </c:pt>
                <c:pt idx="6">
                  <c:v>0</c:v>
                </c:pt>
                <c:pt idx="7">
                  <c:v>0</c:v>
                </c:pt>
                <c:pt idx="8">
                  <c:v>0</c:v>
                </c:pt>
                <c:pt idx="9">
                  <c:v>0</c:v>
                </c:pt>
                <c:pt idx="10">
                  <c:v>1</c:v>
                </c:pt>
                <c:pt idx="11">
                  <c:v>0</c:v>
                </c:pt>
                <c:pt idx="12">
                  <c:v>0</c:v>
                </c:pt>
                <c:pt idx="13">
                  <c:v>0</c:v>
                </c:pt>
                <c:pt idx="14">
                  <c:v>0</c:v>
                </c:pt>
                <c:pt idx="15">
                  <c:v>0</c:v>
                </c:pt>
                <c:pt idx="16">
                  <c:v>0</c:v>
                </c:pt>
                <c:pt idx="17">
                  <c:v>0</c:v>
                </c:pt>
                <c:pt idx="18">
                  <c:v>0</c:v>
                </c:pt>
                <c:pt idx="19">
                  <c:v>0</c:v>
                </c:pt>
                <c:pt idx="20">
                  <c:v>0</c:v>
                </c:pt>
                <c:pt idx="21">
                  <c:v>0</c:v>
                </c:pt>
                <c:pt idx="22">
                  <c:v>0</c:v>
                </c:pt>
                <c:pt idx="23">
                  <c:v>0</c:v>
                </c:pt>
                <c:pt idx="24">
                  <c:v>0</c:v>
                </c:pt>
                <c:pt idx="25">
                  <c:v>0</c:v>
                </c:pt>
                <c:pt idx="26">
                  <c:v>0</c:v>
                </c:pt>
                <c:pt idx="27">
                  <c:v>0</c:v>
                </c:pt>
                <c:pt idx="28">
                  <c:v>0</c:v>
                </c:pt>
                <c:pt idx="29">
                  <c:v>0</c:v>
                </c:pt>
                <c:pt idx="30">
                  <c:v>0</c:v>
                </c:pt>
                <c:pt idx="31">
                  <c:v>0</c:v>
                </c:pt>
                <c:pt idx="32">
                  <c:v>0</c:v>
                </c:pt>
                <c:pt idx="33">
                  <c:v>0</c:v>
                </c:pt>
                <c:pt idx="34">
                  <c:v>0</c:v>
                </c:pt>
                <c:pt idx="35">
                  <c:v>0</c:v>
                </c:pt>
                <c:pt idx="36">
                  <c:v>0</c:v>
                </c:pt>
                <c:pt idx="37">
                  <c:v>0</c:v>
                </c:pt>
                <c:pt idx="38">
                  <c:v>0</c:v>
                </c:pt>
                <c:pt idx="39">
                  <c:v>0</c:v>
                </c:pt>
                <c:pt idx="40">
                  <c:v>0</c:v>
                </c:pt>
                <c:pt idx="41">
                  <c:v>0</c:v>
                </c:pt>
                <c:pt idx="42">
                  <c:v>0</c:v>
                </c:pt>
                <c:pt idx="43">
                  <c:v>0</c:v>
                </c:pt>
                <c:pt idx="44">
                  <c:v>0</c:v>
                </c:pt>
                <c:pt idx="45">
                  <c:v>0</c:v>
                </c:pt>
                <c:pt idx="46">
                  <c:v>0</c:v>
                </c:pt>
                <c:pt idx="47">
                  <c:v>0</c:v>
                </c:pt>
                <c:pt idx="48">
                  <c:v>0</c:v>
                </c:pt>
                <c:pt idx="49">
                  <c:v>0</c:v>
                </c:pt>
                <c:pt idx="50">
                  <c:v>0</c:v>
                </c:pt>
                <c:pt idx="51">
                  <c:v>0</c:v>
                </c:pt>
                <c:pt idx="52">
                  <c:v>0</c:v>
                </c:pt>
                <c:pt idx="53">
                  <c:v>0</c:v>
                </c:pt>
                <c:pt idx="54">
                  <c:v>1</c:v>
                </c:pt>
                <c:pt idx="55">
                  <c:v>0</c:v>
                </c:pt>
                <c:pt idx="56">
                  <c:v>1</c:v>
                </c:pt>
                <c:pt idx="57">
                  <c:v>0</c:v>
                </c:pt>
                <c:pt idx="58">
                  <c:v>0</c:v>
                </c:pt>
                <c:pt idx="59">
                  <c:v>0</c:v>
                </c:pt>
                <c:pt idx="60">
                  <c:v>0</c:v>
                </c:pt>
                <c:pt idx="61">
                  <c:v>0</c:v>
                </c:pt>
                <c:pt idx="62">
                  <c:v>0</c:v>
                </c:pt>
                <c:pt idx="63">
                  <c:v>0</c:v>
                </c:pt>
                <c:pt idx="64">
                  <c:v>1</c:v>
                </c:pt>
                <c:pt idx="65">
                  <c:v>0</c:v>
                </c:pt>
                <c:pt idx="66">
                  <c:v>0</c:v>
                </c:pt>
                <c:pt idx="67">
                  <c:v>0</c:v>
                </c:pt>
                <c:pt idx="68">
                  <c:v>0</c:v>
                </c:pt>
                <c:pt idx="69">
                  <c:v>0</c:v>
                </c:pt>
                <c:pt idx="70">
                  <c:v>0</c:v>
                </c:pt>
                <c:pt idx="71">
                  <c:v>0</c:v>
                </c:pt>
                <c:pt idx="72">
                  <c:v>0</c:v>
                </c:pt>
                <c:pt idx="73">
                  <c:v>0</c:v>
                </c:pt>
                <c:pt idx="74">
                  <c:v>0</c:v>
                </c:pt>
                <c:pt idx="75">
                  <c:v>0</c:v>
                </c:pt>
                <c:pt idx="76">
                  <c:v>0</c:v>
                </c:pt>
                <c:pt idx="77">
                  <c:v>0</c:v>
                </c:pt>
                <c:pt idx="78">
                  <c:v>0</c:v>
                </c:pt>
                <c:pt idx="79">
                  <c:v>0</c:v>
                </c:pt>
                <c:pt idx="80">
                  <c:v>0</c:v>
                </c:pt>
                <c:pt idx="81">
                  <c:v>0</c:v>
                </c:pt>
                <c:pt idx="82">
                  <c:v>0</c:v>
                </c:pt>
                <c:pt idx="83">
                  <c:v>0</c:v>
                </c:pt>
                <c:pt idx="84">
                  <c:v>0</c:v>
                </c:pt>
                <c:pt idx="85">
                  <c:v>0</c:v>
                </c:pt>
                <c:pt idx="86">
                  <c:v>0</c:v>
                </c:pt>
                <c:pt idx="87">
                  <c:v>0</c:v>
                </c:pt>
                <c:pt idx="88">
                  <c:v>0</c:v>
                </c:pt>
                <c:pt idx="89">
                  <c:v>0</c:v>
                </c:pt>
                <c:pt idx="90">
                  <c:v>0</c:v>
                </c:pt>
                <c:pt idx="91">
                  <c:v>0</c:v>
                </c:pt>
                <c:pt idx="92">
                  <c:v>0</c:v>
                </c:pt>
                <c:pt idx="93">
                  <c:v>0</c:v>
                </c:pt>
                <c:pt idx="94">
                  <c:v>0</c:v>
                </c:pt>
                <c:pt idx="95">
                  <c:v>0</c:v>
                </c:pt>
                <c:pt idx="96">
                  <c:v>0</c:v>
                </c:pt>
                <c:pt idx="97">
                  <c:v>0</c:v>
                </c:pt>
                <c:pt idx="98">
                  <c:v>0</c:v>
                </c:pt>
                <c:pt idx="99">
                  <c:v>0</c:v>
                </c:pt>
                <c:pt idx="100">
                  <c:v>0</c:v>
                </c:pt>
                <c:pt idx="101">
                  <c:v>0</c:v>
                </c:pt>
                <c:pt idx="102">
                  <c:v>0</c:v>
                </c:pt>
                <c:pt idx="103">
                  <c:v>0</c:v>
                </c:pt>
                <c:pt idx="104">
                  <c:v>0</c:v>
                </c:pt>
                <c:pt idx="105">
                  <c:v>0</c:v>
                </c:pt>
                <c:pt idx="106">
                  <c:v>0</c:v>
                </c:pt>
                <c:pt idx="107">
                  <c:v>0</c:v>
                </c:pt>
                <c:pt idx="108">
                  <c:v>0</c:v>
                </c:pt>
                <c:pt idx="109">
                  <c:v>0</c:v>
                </c:pt>
                <c:pt idx="110">
                  <c:v>0</c:v>
                </c:pt>
                <c:pt idx="111">
                  <c:v>0</c:v>
                </c:pt>
                <c:pt idx="112">
                  <c:v>0</c:v>
                </c:pt>
                <c:pt idx="113">
                  <c:v>0</c:v>
                </c:pt>
                <c:pt idx="114">
                  <c:v>0</c:v>
                </c:pt>
                <c:pt idx="115">
                  <c:v>0</c:v>
                </c:pt>
                <c:pt idx="116">
                  <c:v>0</c:v>
                </c:pt>
                <c:pt idx="117">
                  <c:v>0</c:v>
                </c:pt>
                <c:pt idx="118">
                  <c:v>0</c:v>
                </c:pt>
                <c:pt idx="119">
                  <c:v>0</c:v>
                </c:pt>
                <c:pt idx="120">
                  <c:v>0</c:v>
                </c:pt>
                <c:pt idx="121">
                  <c:v>0</c:v>
                </c:pt>
                <c:pt idx="122">
                  <c:v>0</c:v>
                </c:pt>
                <c:pt idx="123">
                  <c:v>0</c:v>
                </c:pt>
                <c:pt idx="124">
                  <c:v>0</c:v>
                </c:pt>
                <c:pt idx="125">
                  <c:v>0</c:v>
                </c:pt>
                <c:pt idx="126">
                  <c:v>0</c:v>
                </c:pt>
                <c:pt idx="127">
                  <c:v>0</c:v>
                </c:pt>
                <c:pt idx="128">
                  <c:v>0</c:v>
                </c:pt>
                <c:pt idx="129">
                  <c:v>0</c:v>
                </c:pt>
                <c:pt idx="130">
                  <c:v>0</c:v>
                </c:pt>
                <c:pt idx="131">
                  <c:v>0</c:v>
                </c:pt>
                <c:pt idx="132">
                  <c:v>0</c:v>
                </c:pt>
                <c:pt idx="133">
                  <c:v>0</c:v>
                </c:pt>
                <c:pt idx="134">
                  <c:v>0</c:v>
                </c:pt>
                <c:pt idx="135">
                  <c:v>0</c:v>
                </c:pt>
                <c:pt idx="136">
                  <c:v>0</c:v>
                </c:pt>
                <c:pt idx="137">
                  <c:v>0</c:v>
                </c:pt>
                <c:pt idx="138">
                  <c:v>0</c:v>
                </c:pt>
                <c:pt idx="139">
                  <c:v>0</c:v>
                </c:pt>
                <c:pt idx="140">
                  <c:v>0</c:v>
                </c:pt>
                <c:pt idx="141">
                  <c:v>0</c:v>
                </c:pt>
                <c:pt idx="142">
                  <c:v>0</c:v>
                </c:pt>
                <c:pt idx="143">
                  <c:v>0</c:v>
                </c:pt>
                <c:pt idx="144">
                  <c:v>0</c:v>
                </c:pt>
                <c:pt idx="145">
                  <c:v>0</c:v>
                </c:pt>
                <c:pt idx="146">
                  <c:v>0</c:v>
                </c:pt>
                <c:pt idx="147">
                  <c:v>0</c:v>
                </c:pt>
                <c:pt idx="148">
                  <c:v>0</c:v>
                </c:pt>
                <c:pt idx="149">
                  <c:v>0</c:v>
                </c:pt>
                <c:pt idx="150">
                  <c:v>0</c:v>
                </c:pt>
                <c:pt idx="151">
                  <c:v>0</c:v>
                </c:pt>
                <c:pt idx="152">
                  <c:v>0</c:v>
                </c:pt>
                <c:pt idx="153">
                  <c:v>0</c:v>
                </c:pt>
                <c:pt idx="154">
                  <c:v>0</c:v>
                </c:pt>
                <c:pt idx="155">
                  <c:v>0</c:v>
                </c:pt>
                <c:pt idx="156">
                  <c:v>0</c:v>
                </c:pt>
                <c:pt idx="157">
                  <c:v>0</c:v>
                </c:pt>
                <c:pt idx="158">
                  <c:v>0</c:v>
                </c:pt>
                <c:pt idx="159">
                  <c:v>0</c:v>
                </c:pt>
                <c:pt idx="160">
                  <c:v>0</c:v>
                </c:pt>
                <c:pt idx="161">
                  <c:v>0</c:v>
                </c:pt>
                <c:pt idx="162">
                  <c:v>0</c:v>
                </c:pt>
                <c:pt idx="163">
                  <c:v>0</c:v>
                </c:pt>
                <c:pt idx="164">
                  <c:v>0</c:v>
                </c:pt>
                <c:pt idx="165">
                  <c:v>1</c:v>
                </c:pt>
                <c:pt idx="166">
                  <c:v>0</c:v>
                </c:pt>
              </c:numCache>
            </c:numRef>
          </c:val>
          <c:extLst>
            <c:ext xmlns:c16="http://schemas.microsoft.com/office/drawing/2014/chart" uri="{C3380CC4-5D6E-409C-BE32-E72D297353CC}">
              <c16:uniqueId val="{00000001-03C2-4606-A81A-35B2E711857C}"/>
            </c:ext>
          </c:extLst>
        </c:ser>
        <c:ser>
          <c:idx val="2"/>
          <c:order val="2"/>
          <c:tx>
            <c:strRef>
              <c:f>'PEDW Anika'!$D$1</c:f>
              <c:strCache>
                <c:ptCount val="1"/>
                <c:pt idx="0">
                  <c:v>29 to 90 days old</c:v>
                </c:pt>
              </c:strCache>
            </c:strRef>
          </c:tx>
          <c:spPr>
            <a:solidFill>
              <a:schemeClr val="accent6"/>
            </a:solidFill>
            <a:ln>
              <a:noFill/>
            </a:ln>
            <a:effectLst/>
          </c:spPr>
          <c:invertIfNegative val="0"/>
          <c:cat>
            <c:numRef>
              <c:f>'PEDW Anika'!$A$2:$A$168</c:f>
              <c:numCache>
                <c:formatCode>mmm\-yy</c:formatCode>
                <c:ptCount val="167"/>
                <c:pt idx="0">
                  <c:v>39814</c:v>
                </c:pt>
                <c:pt idx="1">
                  <c:v>39845</c:v>
                </c:pt>
                <c:pt idx="2">
                  <c:v>39873</c:v>
                </c:pt>
                <c:pt idx="3">
                  <c:v>39904</c:v>
                </c:pt>
                <c:pt idx="4">
                  <c:v>39934</c:v>
                </c:pt>
                <c:pt idx="5">
                  <c:v>39965</c:v>
                </c:pt>
                <c:pt idx="6">
                  <c:v>39995</c:v>
                </c:pt>
                <c:pt idx="7">
                  <c:v>40026</c:v>
                </c:pt>
                <c:pt idx="8">
                  <c:v>40057</c:v>
                </c:pt>
                <c:pt idx="9">
                  <c:v>40087</c:v>
                </c:pt>
                <c:pt idx="10">
                  <c:v>40118</c:v>
                </c:pt>
                <c:pt idx="11">
                  <c:v>40148</c:v>
                </c:pt>
                <c:pt idx="12">
                  <c:v>40179</c:v>
                </c:pt>
                <c:pt idx="13">
                  <c:v>40210</c:v>
                </c:pt>
                <c:pt idx="14">
                  <c:v>40238</c:v>
                </c:pt>
                <c:pt idx="15">
                  <c:v>40269</c:v>
                </c:pt>
                <c:pt idx="16">
                  <c:v>40299</c:v>
                </c:pt>
                <c:pt idx="17">
                  <c:v>40330</c:v>
                </c:pt>
                <c:pt idx="18">
                  <c:v>40360</c:v>
                </c:pt>
                <c:pt idx="19">
                  <c:v>40391</c:v>
                </c:pt>
                <c:pt idx="20">
                  <c:v>40422</c:v>
                </c:pt>
                <c:pt idx="21">
                  <c:v>40452</c:v>
                </c:pt>
                <c:pt idx="22">
                  <c:v>40483</c:v>
                </c:pt>
                <c:pt idx="23">
                  <c:v>40513</c:v>
                </c:pt>
                <c:pt idx="24">
                  <c:v>40544</c:v>
                </c:pt>
                <c:pt idx="25">
                  <c:v>40575</c:v>
                </c:pt>
                <c:pt idx="26">
                  <c:v>40603</c:v>
                </c:pt>
                <c:pt idx="27">
                  <c:v>40634</c:v>
                </c:pt>
                <c:pt idx="28">
                  <c:v>40664</c:v>
                </c:pt>
                <c:pt idx="29">
                  <c:v>40695</c:v>
                </c:pt>
                <c:pt idx="30">
                  <c:v>40725</c:v>
                </c:pt>
                <c:pt idx="31">
                  <c:v>40756</c:v>
                </c:pt>
                <c:pt idx="32">
                  <c:v>40787</c:v>
                </c:pt>
                <c:pt idx="33">
                  <c:v>40817</c:v>
                </c:pt>
                <c:pt idx="34">
                  <c:v>40848</c:v>
                </c:pt>
                <c:pt idx="35">
                  <c:v>40878</c:v>
                </c:pt>
                <c:pt idx="36">
                  <c:v>40909</c:v>
                </c:pt>
                <c:pt idx="37">
                  <c:v>40940</c:v>
                </c:pt>
                <c:pt idx="38">
                  <c:v>40969</c:v>
                </c:pt>
                <c:pt idx="39">
                  <c:v>41000</c:v>
                </c:pt>
                <c:pt idx="40">
                  <c:v>41030</c:v>
                </c:pt>
                <c:pt idx="41">
                  <c:v>41061</c:v>
                </c:pt>
                <c:pt idx="42">
                  <c:v>41091</c:v>
                </c:pt>
                <c:pt idx="43">
                  <c:v>41122</c:v>
                </c:pt>
                <c:pt idx="44">
                  <c:v>41153</c:v>
                </c:pt>
                <c:pt idx="45">
                  <c:v>41183</c:v>
                </c:pt>
                <c:pt idx="46">
                  <c:v>41214</c:v>
                </c:pt>
                <c:pt idx="47">
                  <c:v>41244</c:v>
                </c:pt>
                <c:pt idx="48">
                  <c:v>41275</c:v>
                </c:pt>
                <c:pt idx="49">
                  <c:v>41306</c:v>
                </c:pt>
                <c:pt idx="50">
                  <c:v>41334</c:v>
                </c:pt>
                <c:pt idx="51">
                  <c:v>41365</c:v>
                </c:pt>
                <c:pt idx="52">
                  <c:v>41395</c:v>
                </c:pt>
                <c:pt idx="53">
                  <c:v>41426</c:v>
                </c:pt>
                <c:pt idx="54">
                  <c:v>41456</c:v>
                </c:pt>
                <c:pt idx="55">
                  <c:v>41487</c:v>
                </c:pt>
                <c:pt idx="56">
                  <c:v>41518</c:v>
                </c:pt>
                <c:pt idx="57">
                  <c:v>41548</c:v>
                </c:pt>
                <c:pt idx="58">
                  <c:v>41579</c:v>
                </c:pt>
                <c:pt idx="59">
                  <c:v>41609</c:v>
                </c:pt>
                <c:pt idx="60">
                  <c:v>41640</c:v>
                </c:pt>
                <c:pt idx="61">
                  <c:v>41671</c:v>
                </c:pt>
                <c:pt idx="62">
                  <c:v>41699</c:v>
                </c:pt>
                <c:pt idx="63">
                  <c:v>41730</c:v>
                </c:pt>
                <c:pt idx="64">
                  <c:v>41760</c:v>
                </c:pt>
                <c:pt idx="65">
                  <c:v>41791</c:v>
                </c:pt>
                <c:pt idx="66">
                  <c:v>41821</c:v>
                </c:pt>
                <c:pt idx="67">
                  <c:v>41852</c:v>
                </c:pt>
                <c:pt idx="68">
                  <c:v>41883</c:v>
                </c:pt>
                <c:pt idx="69">
                  <c:v>41913</c:v>
                </c:pt>
                <c:pt idx="70">
                  <c:v>41944</c:v>
                </c:pt>
                <c:pt idx="71">
                  <c:v>41974</c:v>
                </c:pt>
                <c:pt idx="72">
                  <c:v>42005</c:v>
                </c:pt>
                <c:pt idx="73">
                  <c:v>42036</c:v>
                </c:pt>
                <c:pt idx="74">
                  <c:v>42064</c:v>
                </c:pt>
                <c:pt idx="75">
                  <c:v>42095</c:v>
                </c:pt>
                <c:pt idx="76">
                  <c:v>42125</c:v>
                </c:pt>
                <c:pt idx="77">
                  <c:v>42156</c:v>
                </c:pt>
                <c:pt idx="78">
                  <c:v>42186</c:v>
                </c:pt>
                <c:pt idx="79">
                  <c:v>42217</c:v>
                </c:pt>
                <c:pt idx="80">
                  <c:v>42248</c:v>
                </c:pt>
                <c:pt idx="81">
                  <c:v>42278</c:v>
                </c:pt>
                <c:pt idx="82">
                  <c:v>42309</c:v>
                </c:pt>
                <c:pt idx="83">
                  <c:v>42339</c:v>
                </c:pt>
                <c:pt idx="84">
                  <c:v>42370</c:v>
                </c:pt>
                <c:pt idx="85">
                  <c:v>42401</c:v>
                </c:pt>
                <c:pt idx="86">
                  <c:v>42430</c:v>
                </c:pt>
                <c:pt idx="87">
                  <c:v>42461</c:v>
                </c:pt>
                <c:pt idx="88">
                  <c:v>42491</c:v>
                </c:pt>
                <c:pt idx="89">
                  <c:v>42522</c:v>
                </c:pt>
                <c:pt idx="90">
                  <c:v>42552</c:v>
                </c:pt>
                <c:pt idx="91">
                  <c:v>42583</c:v>
                </c:pt>
                <c:pt idx="92">
                  <c:v>42614</c:v>
                </c:pt>
                <c:pt idx="93">
                  <c:v>42644</c:v>
                </c:pt>
                <c:pt idx="94">
                  <c:v>42675</c:v>
                </c:pt>
                <c:pt idx="95">
                  <c:v>42705</c:v>
                </c:pt>
                <c:pt idx="96">
                  <c:v>42736</c:v>
                </c:pt>
                <c:pt idx="97">
                  <c:v>42767</c:v>
                </c:pt>
                <c:pt idx="98">
                  <c:v>42795</c:v>
                </c:pt>
                <c:pt idx="99">
                  <c:v>42826</c:v>
                </c:pt>
                <c:pt idx="100">
                  <c:v>42856</c:v>
                </c:pt>
                <c:pt idx="101">
                  <c:v>42887</c:v>
                </c:pt>
                <c:pt idx="102">
                  <c:v>42917</c:v>
                </c:pt>
                <c:pt idx="103">
                  <c:v>42948</c:v>
                </c:pt>
                <c:pt idx="104">
                  <c:v>42979</c:v>
                </c:pt>
                <c:pt idx="105">
                  <c:v>43009</c:v>
                </c:pt>
                <c:pt idx="106">
                  <c:v>43040</c:v>
                </c:pt>
                <c:pt idx="107">
                  <c:v>43070</c:v>
                </c:pt>
                <c:pt idx="108">
                  <c:v>43101</c:v>
                </c:pt>
                <c:pt idx="109">
                  <c:v>43132</c:v>
                </c:pt>
                <c:pt idx="110">
                  <c:v>43160</c:v>
                </c:pt>
                <c:pt idx="111">
                  <c:v>43191</c:v>
                </c:pt>
                <c:pt idx="112">
                  <c:v>43221</c:v>
                </c:pt>
                <c:pt idx="113">
                  <c:v>43252</c:v>
                </c:pt>
                <c:pt idx="114">
                  <c:v>43282</c:v>
                </c:pt>
                <c:pt idx="115">
                  <c:v>43313</c:v>
                </c:pt>
                <c:pt idx="116">
                  <c:v>43344</c:v>
                </c:pt>
                <c:pt idx="117">
                  <c:v>43374</c:v>
                </c:pt>
                <c:pt idx="118">
                  <c:v>43405</c:v>
                </c:pt>
                <c:pt idx="119">
                  <c:v>43435</c:v>
                </c:pt>
                <c:pt idx="120">
                  <c:v>43466</c:v>
                </c:pt>
                <c:pt idx="121">
                  <c:v>43497</c:v>
                </c:pt>
                <c:pt idx="122">
                  <c:v>43525</c:v>
                </c:pt>
                <c:pt idx="123">
                  <c:v>43556</c:v>
                </c:pt>
                <c:pt idx="124">
                  <c:v>43586</c:v>
                </c:pt>
                <c:pt idx="125">
                  <c:v>43617</c:v>
                </c:pt>
                <c:pt idx="126">
                  <c:v>43647</c:v>
                </c:pt>
                <c:pt idx="127">
                  <c:v>43678</c:v>
                </c:pt>
                <c:pt idx="128">
                  <c:v>43709</c:v>
                </c:pt>
                <c:pt idx="129">
                  <c:v>43739</c:v>
                </c:pt>
                <c:pt idx="130">
                  <c:v>43770</c:v>
                </c:pt>
                <c:pt idx="131">
                  <c:v>43800</c:v>
                </c:pt>
                <c:pt idx="132">
                  <c:v>43831</c:v>
                </c:pt>
                <c:pt idx="133">
                  <c:v>43862</c:v>
                </c:pt>
                <c:pt idx="134">
                  <c:v>43891</c:v>
                </c:pt>
                <c:pt idx="135">
                  <c:v>43922</c:v>
                </c:pt>
                <c:pt idx="136">
                  <c:v>43952</c:v>
                </c:pt>
                <c:pt idx="137">
                  <c:v>43983</c:v>
                </c:pt>
                <c:pt idx="138">
                  <c:v>44013</c:v>
                </c:pt>
                <c:pt idx="139">
                  <c:v>44044</c:v>
                </c:pt>
                <c:pt idx="140">
                  <c:v>44075</c:v>
                </c:pt>
                <c:pt idx="141">
                  <c:v>44105</c:v>
                </c:pt>
                <c:pt idx="142">
                  <c:v>44136</c:v>
                </c:pt>
                <c:pt idx="143">
                  <c:v>44166</c:v>
                </c:pt>
                <c:pt idx="144">
                  <c:v>44197</c:v>
                </c:pt>
                <c:pt idx="145">
                  <c:v>44228</c:v>
                </c:pt>
                <c:pt idx="146">
                  <c:v>44256</c:v>
                </c:pt>
                <c:pt idx="147">
                  <c:v>44287</c:v>
                </c:pt>
                <c:pt idx="148">
                  <c:v>44317</c:v>
                </c:pt>
                <c:pt idx="149">
                  <c:v>44348</c:v>
                </c:pt>
                <c:pt idx="150">
                  <c:v>44378</c:v>
                </c:pt>
                <c:pt idx="151">
                  <c:v>44409</c:v>
                </c:pt>
                <c:pt idx="152">
                  <c:v>44440</c:v>
                </c:pt>
                <c:pt idx="153">
                  <c:v>44470</c:v>
                </c:pt>
                <c:pt idx="154">
                  <c:v>44501</c:v>
                </c:pt>
                <c:pt idx="155">
                  <c:v>44531</c:v>
                </c:pt>
                <c:pt idx="156">
                  <c:v>44562</c:v>
                </c:pt>
                <c:pt idx="157">
                  <c:v>44593</c:v>
                </c:pt>
                <c:pt idx="158">
                  <c:v>44621</c:v>
                </c:pt>
                <c:pt idx="159">
                  <c:v>44652</c:v>
                </c:pt>
                <c:pt idx="160">
                  <c:v>44682</c:v>
                </c:pt>
                <c:pt idx="161">
                  <c:v>44713</c:v>
                </c:pt>
                <c:pt idx="162">
                  <c:v>44743</c:v>
                </c:pt>
                <c:pt idx="163">
                  <c:v>44774</c:v>
                </c:pt>
                <c:pt idx="164">
                  <c:v>44805</c:v>
                </c:pt>
                <c:pt idx="165">
                  <c:v>44835</c:v>
                </c:pt>
                <c:pt idx="166">
                  <c:v>44866</c:v>
                </c:pt>
              </c:numCache>
            </c:numRef>
          </c:cat>
          <c:val>
            <c:numRef>
              <c:f>'PEDW Anika'!$D$2:$D$168</c:f>
              <c:numCache>
                <c:formatCode>General</c:formatCode>
                <c:ptCount val="167"/>
                <c:pt idx="0">
                  <c:v>0</c:v>
                </c:pt>
                <c:pt idx="1">
                  <c:v>0</c:v>
                </c:pt>
                <c:pt idx="2">
                  <c:v>0</c:v>
                </c:pt>
                <c:pt idx="3">
                  <c:v>0</c:v>
                </c:pt>
                <c:pt idx="4">
                  <c:v>0</c:v>
                </c:pt>
                <c:pt idx="5">
                  <c:v>0</c:v>
                </c:pt>
                <c:pt idx="6">
                  <c:v>0</c:v>
                </c:pt>
                <c:pt idx="7">
                  <c:v>0</c:v>
                </c:pt>
                <c:pt idx="8">
                  <c:v>0</c:v>
                </c:pt>
                <c:pt idx="9">
                  <c:v>0</c:v>
                </c:pt>
                <c:pt idx="10">
                  <c:v>0</c:v>
                </c:pt>
                <c:pt idx="11">
                  <c:v>0</c:v>
                </c:pt>
                <c:pt idx="12">
                  <c:v>0</c:v>
                </c:pt>
                <c:pt idx="13">
                  <c:v>0</c:v>
                </c:pt>
                <c:pt idx="14">
                  <c:v>0</c:v>
                </c:pt>
                <c:pt idx="15">
                  <c:v>0</c:v>
                </c:pt>
                <c:pt idx="16">
                  <c:v>0</c:v>
                </c:pt>
                <c:pt idx="17">
                  <c:v>0</c:v>
                </c:pt>
                <c:pt idx="18">
                  <c:v>0</c:v>
                </c:pt>
                <c:pt idx="19">
                  <c:v>0</c:v>
                </c:pt>
                <c:pt idx="20">
                  <c:v>0</c:v>
                </c:pt>
                <c:pt idx="21">
                  <c:v>0</c:v>
                </c:pt>
                <c:pt idx="22">
                  <c:v>0</c:v>
                </c:pt>
                <c:pt idx="23">
                  <c:v>0</c:v>
                </c:pt>
                <c:pt idx="24">
                  <c:v>0</c:v>
                </c:pt>
                <c:pt idx="25">
                  <c:v>0</c:v>
                </c:pt>
                <c:pt idx="26">
                  <c:v>0</c:v>
                </c:pt>
                <c:pt idx="27">
                  <c:v>0</c:v>
                </c:pt>
                <c:pt idx="28">
                  <c:v>0</c:v>
                </c:pt>
                <c:pt idx="29">
                  <c:v>0</c:v>
                </c:pt>
                <c:pt idx="30">
                  <c:v>0</c:v>
                </c:pt>
                <c:pt idx="31">
                  <c:v>0</c:v>
                </c:pt>
                <c:pt idx="32">
                  <c:v>0</c:v>
                </c:pt>
                <c:pt idx="33">
                  <c:v>0</c:v>
                </c:pt>
                <c:pt idx="34">
                  <c:v>0</c:v>
                </c:pt>
                <c:pt idx="35">
                  <c:v>0</c:v>
                </c:pt>
                <c:pt idx="36">
                  <c:v>0</c:v>
                </c:pt>
                <c:pt idx="37">
                  <c:v>0</c:v>
                </c:pt>
                <c:pt idx="38">
                  <c:v>0</c:v>
                </c:pt>
                <c:pt idx="39">
                  <c:v>0</c:v>
                </c:pt>
                <c:pt idx="40">
                  <c:v>0</c:v>
                </c:pt>
                <c:pt idx="41">
                  <c:v>0</c:v>
                </c:pt>
                <c:pt idx="42">
                  <c:v>0</c:v>
                </c:pt>
                <c:pt idx="43">
                  <c:v>0</c:v>
                </c:pt>
                <c:pt idx="44">
                  <c:v>0</c:v>
                </c:pt>
                <c:pt idx="45">
                  <c:v>0</c:v>
                </c:pt>
                <c:pt idx="46">
                  <c:v>0</c:v>
                </c:pt>
                <c:pt idx="47">
                  <c:v>0</c:v>
                </c:pt>
                <c:pt idx="48">
                  <c:v>0</c:v>
                </c:pt>
                <c:pt idx="49">
                  <c:v>0</c:v>
                </c:pt>
                <c:pt idx="50">
                  <c:v>0</c:v>
                </c:pt>
                <c:pt idx="51">
                  <c:v>0</c:v>
                </c:pt>
                <c:pt idx="52">
                  <c:v>0</c:v>
                </c:pt>
                <c:pt idx="53">
                  <c:v>0</c:v>
                </c:pt>
                <c:pt idx="54">
                  <c:v>0</c:v>
                </c:pt>
                <c:pt idx="55">
                  <c:v>0</c:v>
                </c:pt>
                <c:pt idx="56">
                  <c:v>0</c:v>
                </c:pt>
                <c:pt idx="57">
                  <c:v>0</c:v>
                </c:pt>
                <c:pt idx="58">
                  <c:v>0</c:v>
                </c:pt>
                <c:pt idx="59">
                  <c:v>0</c:v>
                </c:pt>
                <c:pt idx="60">
                  <c:v>0</c:v>
                </c:pt>
                <c:pt idx="61">
                  <c:v>0</c:v>
                </c:pt>
                <c:pt idx="62">
                  <c:v>0</c:v>
                </c:pt>
                <c:pt idx="63">
                  <c:v>0</c:v>
                </c:pt>
                <c:pt idx="64">
                  <c:v>0</c:v>
                </c:pt>
                <c:pt idx="65">
                  <c:v>0</c:v>
                </c:pt>
                <c:pt idx="66">
                  <c:v>0</c:v>
                </c:pt>
                <c:pt idx="67">
                  <c:v>0</c:v>
                </c:pt>
                <c:pt idx="68">
                  <c:v>0</c:v>
                </c:pt>
                <c:pt idx="69">
                  <c:v>0</c:v>
                </c:pt>
                <c:pt idx="70">
                  <c:v>0</c:v>
                </c:pt>
                <c:pt idx="71">
                  <c:v>0</c:v>
                </c:pt>
                <c:pt idx="72">
                  <c:v>0</c:v>
                </c:pt>
                <c:pt idx="73">
                  <c:v>0</c:v>
                </c:pt>
                <c:pt idx="74">
                  <c:v>0</c:v>
                </c:pt>
                <c:pt idx="75">
                  <c:v>0</c:v>
                </c:pt>
                <c:pt idx="76">
                  <c:v>0</c:v>
                </c:pt>
                <c:pt idx="77">
                  <c:v>0</c:v>
                </c:pt>
                <c:pt idx="78">
                  <c:v>0</c:v>
                </c:pt>
                <c:pt idx="79">
                  <c:v>0</c:v>
                </c:pt>
                <c:pt idx="80">
                  <c:v>0</c:v>
                </c:pt>
                <c:pt idx="81">
                  <c:v>0</c:v>
                </c:pt>
                <c:pt idx="82">
                  <c:v>0</c:v>
                </c:pt>
                <c:pt idx="83">
                  <c:v>0</c:v>
                </c:pt>
                <c:pt idx="84">
                  <c:v>0</c:v>
                </c:pt>
                <c:pt idx="85">
                  <c:v>0</c:v>
                </c:pt>
                <c:pt idx="86">
                  <c:v>0</c:v>
                </c:pt>
                <c:pt idx="87">
                  <c:v>0</c:v>
                </c:pt>
                <c:pt idx="88">
                  <c:v>0</c:v>
                </c:pt>
                <c:pt idx="89">
                  <c:v>0</c:v>
                </c:pt>
                <c:pt idx="90">
                  <c:v>0</c:v>
                </c:pt>
                <c:pt idx="91">
                  <c:v>0</c:v>
                </c:pt>
                <c:pt idx="92">
                  <c:v>0</c:v>
                </c:pt>
                <c:pt idx="93">
                  <c:v>0</c:v>
                </c:pt>
                <c:pt idx="94">
                  <c:v>0</c:v>
                </c:pt>
                <c:pt idx="95">
                  <c:v>0</c:v>
                </c:pt>
                <c:pt idx="96">
                  <c:v>0</c:v>
                </c:pt>
                <c:pt idx="97">
                  <c:v>0</c:v>
                </c:pt>
                <c:pt idx="98">
                  <c:v>0</c:v>
                </c:pt>
                <c:pt idx="99">
                  <c:v>0</c:v>
                </c:pt>
                <c:pt idx="100">
                  <c:v>0</c:v>
                </c:pt>
                <c:pt idx="101">
                  <c:v>0</c:v>
                </c:pt>
                <c:pt idx="102">
                  <c:v>0</c:v>
                </c:pt>
                <c:pt idx="103">
                  <c:v>0</c:v>
                </c:pt>
                <c:pt idx="104">
                  <c:v>0</c:v>
                </c:pt>
                <c:pt idx="105">
                  <c:v>0</c:v>
                </c:pt>
                <c:pt idx="106">
                  <c:v>0</c:v>
                </c:pt>
                <c:pt idx="107">
                  <c:v>0</c:v>
                </c:pt>
                <c:pt idx="108">
                  <c:v>0</c:v>
                </c:pt>
                <c:pt idx="109">
                  <c:v>0</c:v>
                </c:pt>
                <c:pt idx="110">
                  <c:v>0</c:v>
                </c:pt>
                <c:pt idx="111">
                  <c:v>0</c:v>
                </c:pt>
                <c:pt idx="112">
                  <c:v>0</c:v>
                </c:pt>
                <c:pt idx="113">
                  <c:v>0</c:v>
                </c:pt>
                <c:pt idx="114">
                  <c:v>0</c:v>
                </c:pt>
                <c:pt idx="115">
                  <c:v>0</c:v>
                </c:pt>
                <c:pt idx="116">
                  <c:v>0</c:v>
                </c:pt>
                <c:pt idx="117">
                  <c:v>0</c:v>
                </c:pt>
                <c:pt idx="118">
                  <c:v>0</c:v>
                </c:pt>
                <c:pt idx="119">
                  <c:v>0</c:v>
                </c:pt>
                <c:pt idx="120">
                  <c:v>0</c:v>
                </c:pt>
                <c:pt idx="121">
                  <c:v>1</c:v>
                </c:pt>
                <c:pt idx="122">
                  <c:v>0</c:v>
                </c:pt>
                <c:pt idx="123">
                  <c:v>0</c:v>
                </c:pt>
                <c:pt idx="124">
                  <c:v>0</c:v>
                </c:pt>
                <c:pt idx="125">
                  <c:v>0</c:v>
                </c:pt>
                <c:pt idx="126">
                  <c:v>0</c:v>
                </c:pt>
                <c:pt idx="127">
                  <c:v>0</c:v>
                </c:pt>
                <c:pt idx="128">
                  <c:v>0</c:v>
                </c:pt>
                <c:pt idx="129">
                  <c:v>0</c:v>
                </c:pt>
                <c:pt idx="130">
                  <c:v>0</c:v>
                </c:pt>
                <c:pt idx="131">
                  <c:v>0</c:v>
                </c:pt>
                <c:pt idx="132">
                  <c:v>0</c:v>
                </c:pt>
                <c:pt idx="133">
                  <c:v>0</c:v>
                </c:pt>
                <c:pt idx="134">
                  <c:v>0</c:v>
                </c:pt>
                <c:pt idx="135">
                  <c:v>0</c:v>
                </c:pt>
                <c:pt idx="136">
                  <c:v>0</c:v>
                </c:pt>
                <c:pt idx="137">
                  <c:v>0</c:v>
                </c:pt>
                <c:pt idx="138">
                  <c:v>0</c:v>
                </c:pt>
                <c:pt idx="139">
                  <c:v>0</c:v>
                </c:pt>
                <c:pt idx="140">
                  <c:v>0</c:v>
                </c:pt>
                <c:pt idx="141">
                  <c:v>0</c:v>
                </c:pt>
                <c:pt idx="142">
                  <c:v>0</c:v>
                </c:pt>
                <c:pt idx="143">
                  <c:v>0</c:v>
                </c:pt>
                <c:pt idx="144">
                  <c:v>0</c:v>
                </c:pt>
                <c:pt idx="145">
                  <c:v>0</c:v>
                </c:pt>
                <c:pt idx="146">
                  <c:v>0</c:v>
                </c:pt>
                <c:pt idx="147">
                  <c:v>0</c:v>
                </c:pt>
                <c:pt idx="148">
                  <c:v>0</c:v>
                </c:pt>
                <c:pt idx="149">
                  <c:v>0</c:v>
                </c:pt>
                <c:pt idx="150">
                  <c:v>0</c:v>
                </c:pt>
                <c:pt idx="151">
                  <c:v>0</c:v>
                </c:pt>
                <c:pt idx="152">
                  <c:v>0</c:v>
                </c:pt>
                <c:pt idx="153">
                  <c:v>0</c:v>
                </c:pt>
                <c:pt idx="154">
                  <c:v>0</c:v>
                </c:pt>
                <c:pt idx="155">
                  <c:v>0</c:v>
                </c:pt>
                <c:pt idx="156">
                  <c:v>0</c:v>
                </c:pt>
                <c:pt idx="157">
                  <c:v>0</c:v>
                </c:pt>
                <c:pt idx="158">
                  <c:v>0</c:v>
                </c:pt>
                <c:pt idx="159">
                  <c:v>0</c:v>
                </c:pt>
                <c:pt idx="160">
                  <c:v>0</c:v>
                </c:pt>
                <c:pt idx="161">
                  <c:v>0</c:v>
                </c:pt>
                <c:pt idx="162">
                  <c:v>0</c:v>
                </c:pt>
                <c:pt idx="163">
                  <c:v>0</c:v>
                </c:pt>
                <c:pt idx="164">
                  <c:v>0</c:v>
                </c:pt>
                <c:pt idx="165">
                  <c:v>0</c:v>
                </c:pt>
                <c:pt idx="166">
                  <c:v>1</c:v>
                </c:pt>
              </c:numCache>
            </c:numRef>
          </c:val>
          <c:extLst>
            <c:ext xmlns:c16="http://schemas.microsoft.com/office/drawing/2014/chart" uri="{C3380CC4-5D6E-409C-BE32-E72D297353CC}">
              <c16:uniqueId val="{00000002-03C2-4606-A81A-35B2E711857C}"/>
            </c:ext>
          </c:extLst>
        </c:ser>
        <c:dLbls>
          <c:showLegendKey val="0"/>
          <c:showVal val="0"/>
          <c:showCatName val="0"/>
          <c:showSerName val="0"/>
          <c:showPercent val="0"/>
          <c:showBubbleSize val="0"/>
        </c:dLbls>
        <c:gapWidth val="219"/>
        <c:overlap val="-27"/>
        <c:axId val="1505062216"/>
        <c:axId val="1505062872"/>
      </c:barChart>
      <c:dateAx>
        <c:axId val="1505062216"/>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GB"/>
                  <a:t> Month</a:t>
                </a:r>
                <a:r>
                  <a:rPr lang="en-GB" baseline="0"/>
                  <a:t> and year of hospital admission</a:t>
                </a:r>
                <a:endParaRPr lang="en-GB"/>
              </a:p>
            </c:rich>
          </c:tx>
          <c:layout/>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mmm\-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505062872"/>
        <c:crosses val="autoZero"/>
        <c:auto val="1"/>
        <c:lblOffset val="100"/>
        <c:baseTimeUnit val="months"/>
        <c:majorUnit val="4"/>
        <c:majorTimeUnit val="months"/>
      </c:dateAx>
      <c:valAx>
        <c:axId val="1505062872"/>
        <c:scaling>
          <c:orientation val="minMax"/>
          <c:max val="6"/>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GB"/>
                  <a:t>Number</a:t>
                </a:r>
                <a:r>
                  <a:rPr lang="en-GB" baseline="0"/>
                  <a:t> of cases</a:t>
                </a:r>
                <a:endParaRPr lang="en-GB"/>
              </a:p>
            </c:rich>
          </c:tx>
          <c:layout/>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505062216"/>
        <c:crosses val="autoZero"/>
        <c:crossBetween val="between"/>
      </c:valAx>
      <c:spPr>
        <a:noFill/>
        <a:ln>
          <a:noFill/>
        </a:ln>
        <a:effectLst/>
      </c:spPr>
    </c:plotArea>
    <c:legend>
      <c:legendPos val="b"/>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2">
  <a:schemeClr val="accent2"/>
  <a:schemeClr val="accent4"/>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62673E9A488B4673A15250C5D8994FFC"/>
        <w:category>
          <w:name w:val="General"/>
          <w:gallery w:val="placeholder"/>
        </w:category>
        <w:types>
          <w:type w:val="bbPlcHdr"/>
        </w:types>
        <w:behaviors>
          <w:behavior w:val="content"/>
        </w:behaviors>
        <w:guid w:val="{E8F7E713-10C4-4454-83DA-6E3A0263A4ED}"/>
      </w:docPartPr>
      <w:docPartBody>
        <w:p w:rsidR="001D6D27" w:rsidRDefault="00843F04" w:rsidP="00843F04">
          <w:pPr>
            <w:pStyle w:val="62673E9A488B4673A15250C5D8994FFC"/>
          </w:pPr>
          <w:r w:rsidRPr="00295E0F">
            <w:rPr>
              <w:rStyle w:val="PlaceholderText"/>
            </w:rPr>
            <w:t>Click or tap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Ubuntu">
    <w:altName w:val="Malgun Gothic"/>
    <w:charset w:val="00"/>
    <w:family w:val="swiss"/>
    <w:pitch w:val="variable"/>
  </w:font>
  <w:font w:name="Ubuntu-Light">
    <w:charset w:val="00"/>
    <w:family w:val="roman"/>
    <w:pitch w:val="variable"/>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comments="0" w:insDel="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43F04"/>
    <w:rsid w:val="001D6D27"/>
    <w:rsid w:val="00843F0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843F04"/>
    <w:rPr>
      <w:color w:val="666666"/>
    </w:rPr>
  </w:style>
  <w:style w:type="paragraph" w:customStyle="1" w:styleId="62673E9A488B4673A15250C5D8994FFC">
    <w:name w:val="62673E9A488B4673A15250C5D8994FFC"/>
    <w:rsid w:val="00843F04"/>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72F936CDCDE8F8418920914B3BFFF19C" ma:contentTypeVersion="18" ma:contentTypeDescription="Create a new document." ma:contentTypeScope="" ma:versionID="1a0830cccc8bfe39d8c8e36add17f432">
  <xsd:schema xmlns:xsd="http://www.w3.org/2001/XMLSchema" xmlns:xs="http://www.w3.org/2001/XMLSchema" xmlns:p="http://schemas.microsoft.com/office/2006/metadata/properties" xmlns:ns3="f30bebb2-c01f-48d0-81da-dc8b123879c2" xmlns:ns4="b7e247b7-cca8-429f-8688-16f83c8fba5f" targetNamespace="http://schemas.microsoft.com/office/2006/metadata/properties" ma:root="true" ma:fieldsID="43b33835497fc1789a6c9ffb1d33ec76" ns3:_="" ns4:_="">
    <xsd:import namespace="f30bebb2-c01f-48d0-81da-dc8b123879c2"/>
    <xsd:import namespace="b7e247b7-cca8-429f-8688-16f83c8fba5f"/>
    <xsd:element name="properties">
      <xsd:complexType>
        <xsd:sequence>
          <xsd:element name="documentManagement">
            <xsd:complexType>
              <xsd:all>
                <xsd:element ref="ns3:MediaServiceMetadata" minOccurs="0"/>
                <xsd:element ref="ns3:MediaServiceFastMetadata" minOccurs="0"/>
                <xsd:element ref="ns4:SharedWithUsers" minOccurs="0"/>
                <xsd:element ref="ns4:SharedWithDetails" minOccurs="0"/>
                <xsd:element ref="ns4:SharingHintHash" minOccurs="0"/>
                <xsd:element ref="ns3:MediaServiceDateTaken" minOccurs="0"/>
                <xsd:element ref="ns3:MediaServiceAutoTags" minOccurs="0"/>
                <xsd:element ref="ns3:MediaServiceGenerationTime" minOccurs="0"/>
                <xsd:element ref="ns3:MediaServiceEventHashCode" minOccurs="0"/>
                <xsd:element ref="ns3:MediaServiceOCR" minOccurs="0"/>
                <xsd:element ref="ns3:MediaServiceAutoKeyPoints" minOccurs="0"/>
                <xsd:element ref="ns3:MediaServiceKeyPoints" minOccurs="0"/>
                <xsd:element ref="ns3:MediaServiceLocation" minOccurs="0"/>
                <xsd:element ref="ns3:MediaLengthInSeconds" minOccurs="0"/>
                <xsd:element ref="ns3:_activity" minOccurs="0"/>
                <xsd:element ref="ns3:MediaServiceObjectDetectorVersions" minOccurs="0"/>
                <xsd:element ref="ns3:MediaServiceSystemTag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30bebb2-c01f-48d0-81da-dc8b123879c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3" nillable="true" ma:displayName="MediaServiceDateTaken" ma:hidden="true" ma:internalName="MediaServiceDateTaken" ma:readOnly="true">
      <xsd:simpleType>
        <xsd:restriction base="dms:Text"/>
      </xsd:simpleType>
    </xsd:element>
    <xsd:element name="MediaServiceAutoTags" ma:index="14" nillable="true" ma:displayName="Tags" ma:internalName="MediaServiceAutoTags" ma:readOnly="true">
      <xsd:simpleType>
        <xsd:restriction base="dms:Text"/>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AutoKeyPoints" ma:index="18" nillable="true" ma:displayName="MediaServiceAutoKeyPoints" ma:hidden="true" ma:internalName="MediaServiceAutoKeyPoints" ma:readOnly="true">
      <xsd:simpleType>
        <xsd:restriction base="dms:Note"/>
      </xsd:simpleType>
    </xsd:element>
    <xsd:element name="MediaServiceKeyPoints" ma:index="19" nillable="true" ma:displayName="KeyPoints" ma:internalName="MediaServiceKeyPoints" ma:readOnly="true">
      <xsd:simpleType>
        <xsd:restriction base="dms:Note">
          <xsd:maxLength value="255"/>
        </xsd:restriction>
      </xsd:simpleType>
    </xsd:element>
    <xsd:element name="MediaServiceLocation" ma:index="20" nillable="true" ma:displayName="Location" ma:internalName="MediaServiceLocation" ma:readOnly="true">
      <xsd:simpleType>
        <xsd:restriction base="dms:Text"/>
      </xsd:simpleType>
    </xsd:element>
    <xsd:element name="MediaLengthInSeconds" ma:index="21" nillable="true" ma:displayName="MediaLengthInSeconds" ma:hidden="true" ma:internalName="MediaLengthInSeconds" ma:readOnly="true">
      <xsd:simpleType>
        <xsd:restriction base="dms:Unknown"/>
      </xsd:simpleType>
    </xsd:element>
    <xsd:element name="_activity" ma:index="22" nillable="true" ma:displayName="_activity" ma:hidden="true" ma:internalName="_activity">
      <xsd:simpleType>
        <xsd:restriction base="dms:Note"/>
      </xsd:simpleType>
    </xsd:element>
    <xsd:element name="MediaServiceObjectDetectorVersions" ma:index="23" nillable="true" ma:displayName="MediaServiceObjectDetectorVersions" ma:description="" ma:hidden="true" ma:indexed="true" ma:internalName="MediaServiceObjectDetectorVersions" ma:readOnly="true">
      <xsd:simpleType>
        <xsd:restriction base="dms:Text"/>
      </xsd:simpleType>
    </xsd:element>
    <xsd:element name="MediaServiceSystemTags" ma:index="24" nillable="true" ma:displayName="MediaServiceSystemTags" ma:hidden="true" ma:internalName="MediaServiceSystemTags" ma:readOnly="true">
      <xsd:simpleType>
        <xsd:restriction base="dms:Note"/>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b7e247b7-cca8-429f-8688-16f83c8fba5f"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SharingHintHash" ma:index="12"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activity xmlns="f30bebb2-c01f-48d0-81da-dc8b123879c2" xsi:nil="true"/>
  </documentManagement>
</p:properties>
</file>

<file path=customXml/itemProps1.xml><?xml version="1.0" encoding="utf-8"?>
<ds:datastoreItem xmlns:ds="http://schemas.openxmlformats.org/officeDocument/2006/customXml" ds:itemID="{071689E9-3854-4BAE-8548-D68CFD6D139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30bebb2-c01f-48d0-81da-dc8b123879c2"/>
    <ds:schemaRef ds:uri="b7e247b7-cca8-429f-8688-16f83c8fba5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ADEB0EE3-8D69-4DAB-9740-1F372A8C5A80}">
  <ds:schemaRefs>
    <ds:schemaRef ds:uri="http://schemas.microsoft.com/sharepoint/v3/contenttype/forms"/>
  </ds:schemaRefs>
</ds:datastoreItem>
</file>

<file path=customXml/itemProps3.xml><?xml version="1.0" encoding="utf-8"?>
<ds:datastoreItem xmlns:ds="http://schemas.openxmlformats.org/officeDocument/2006/customXml" ds:itemID="{901B6942-6BCF-4788-90D3-F11A7819E7C3}">
  <ds:schemaRefs>
    <ds:schemaRef ds:uri="b7e247b7-cca8-429f-8688-16f83c8fba5f"/>
    <ds:schemaRef ds:uri="http://purl.org/dc/elements/1.1/"/>
    <ds:schemaRef ds:uri="http://schemas.openxmlformats.org/package/2006/metadata/core-properties"/>
    <ds:schemaRef ds:uri="http://purl.org/dc/dcmitype/"/>
    <ds:schemaRef ds:uri="http://schemas.microsoft.com/office/infopath/2007/PartnerControls"/>
    <ds:schemaRef ds:uri="http://schemas.microsoft.com/office/2006/metadata/properties"/>
    <ds:schemaRef ds:uri="http://schemas.microsoft.com/office/2006/documentManagement/types"/>
    <ds:schemaRef ds:uri="f30bebb2-c01f-48d0-81da-dc8b123879c2"/>
    <ds:schemaRef ds:uri="http://www.w3.org/XML/1998/namespace"/>
    <ds:schemaRef ds:uri="http://purl.org/dc/terms/"/>
  </ds:schemaRefs>
</ds:datastoreItem>
</file>

<file path=docProps/app.xml><?xml version="1.0" encoding="utf-8"?>
<Properties xmlns="http://schemas.openxmlformats.org/officeDocument/2006/extended-properties" xmlns:vt="http://schemas.openxmlformats.org/officeDocument/2006/docPropsVTypes">
  <Template>Normal.dotm</Template>
  <TotalTime>14</TotalTime>
  <Pages>9</Pages>
  <Words>1891</Words>
  <Characters>10779</Characters>
  <Application>Microsoft Office Word</Application>
  <DocSecurity>0</DocSecurity>
  <Lines>89</Lines>
  <Paragraphs>25</Paragraphs>
  <ScaleCrop>false</ScaleCrop>
  <HeadingPairs>
    <vt:vector size="2" baseType="variant">
      <vt:variant>
        <vt:lpstr>Title</vt:lpstr>
      </vt:variant>
      <vt:variant>
        <vt:i4>1</vt:i4>
      </vt:variant>
    </vt:vector>
  </HeadingPairs>
  <TitlesOfParts>
    <vt:vector size="1" baseType="lpstr">
      <vt:lpstr/>
    </vt:vector>
  </TitlesOfParts>
  <Company>Public Health Wales NHS Trust</Company>
  <LinksUpToDate>false</LinksUpToDate>
  <CharactersWithSpaces>12645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O'Neil, Mark</dc:creator>
  <dc:description/>
  <cp:lastModifiedBy>Michael O'Connor (Public Health Wales - No. 2 Capital Quarter)</cp:lastModifiedBy>
  <cp:revision>4</cp:revision>
  <cp:lastPrinted>2024-11-07T14:18:00Z</cp:lastPrinted>
  <dcterms:created xsi:type="dcterms:W3CDTF">2024-11-07T13:06:00Z</dcterms:created>
  <dcterms:modified xsi:type="dcterms:W3CDTF">2024-11-07T15:22:00Z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0x01010072F936CDCDE8F8418920914B3BFFF19C</vt:lpwstr>
  </property>
</Properties>
</file>