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EFBC" w14:textId="2A589CD2" w:rsidR="000337B5" w:rsidRDefault="006744F6">
      <w:pPr>
        <w:spacing w:after="160"/>
      </w:pPr>
      <w:r>
        <w:rPr>
          <w:b/>
          <w:bCs/>
          <w:sz w:val="24"/>
          <w:szCs w:val="24"/>
        </w:rPr>
        <w:t xml:space="preserve">The </w:t>
      </w:r>
      <w:r w:rsidR="001C2534">
        <w:rPr>
          <w:b/>
          <w:bCs/>
          <w:sz w:val="24"/>
          <w:szCs w:val="24"/>
        </w:rPr>
        <w:t>National</w:t>
      </w:r>
      <w:r>
        <w:rPr>
          <w:b/>
          <w:bCs/>
          <w:sz w:val="24"/>
          <w:szCs w:val="24"/>
        </w:rPr>
        <w:t xml:space="preserve"> Programme for Primary Care</w:t>
      </w:r>
    </w:p>
    <w:p w14:paraId="363EDB9C" w14:textId="77777777" w:rsidR="000337B5" w:rsidRDefault="006744F6">
      <w:pPr>
        <w:spacing w:after="160"/>
      </w:pPr>
      <w:r>
        <w:rPr>
          <w:b/>
          <w:bCs/>
          <w:sz w:val="28"/>
          <w:szCs w:val="28"/>
        </w:rPr>
        <w:t>Additional Allied Health Professions Investment Fund — End of Year Report 2025/26</w:t>
      </w:r>
    </w:p>
    <w:p w14:paraId="247BC11F" w14:textId="77777777" w:rsidR="000337B5" w:rsidRDefault="006744F6">
      <w:pPr>
        <w:spacing w:after="160"/>
      </w:pPr>
      <w:r>
        <w:rPr>
          <w:i/>
          <w:iCs/>
          <w:color w:val="1F4E79"/>
          <w:sz w:val="24"/>
          <w:szCs w:val="24"/>
        </w:rPr>
        <w:t>Executive Summary</w:t>
      </w:r>
    </w:p>
    <w:p w14:paraId="3AAC86BF" w14:textId="77777777" w:rsidR="000337B5" w:rsidRDefault="000337B5">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6"/>
        <w:gridCol w:w="7664"/>
      </w:tblGrid>
      <w:tr w:rsidR="000337B5" w14:paraId="0AF94E53" w14:textId="77777777" w:rsidTr="7C97CDB5">
        <w:trPr>
          <w:cantSplit/>
        </w:trPr>
        <w:tc>
          <w:tcPr>
            <w:tcW w:w="16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07BA27FB" w14:textId="77777777" w:rsidR="000337B5" w:rsidRDefault="006744F6">
            <w:r>
              <w:rPr>
                <w:b/>
                <w:bCs/>
                <w:sz w:val="20"/>
                <w:szCs w:val="20"/>
              </w:rPr>
              <w:t>Author:</w:t>
            </w:r>
          </w:p>
        </w:tc>
        <w:tc>
          <w:tcPr>
            <w:tcW w:w="7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66F8FBDC" w14:textId="77777777" w:rsidR="000F3D24" w:rsidRDefault="006744F6">
            <w:pPr>
              <w:rPr>
                <w:sz w:val="20"/>
                <w:szCs w:val="20"/>
              </w:rPr>
            </w:pPr>
            <w:r>
              <w:rPr>
                <w:sz w:val="20"/>
                <w:szCs w:val="20"/>
              </w:rPr>
              <w:t xml:space="preserve">Kerrie Phipps, National </w:t>
            </w:r>
            <w:r w:rsidR="000F3D24">
              <w:rPr>
                <w:sz w:val="20"/>
                <w:szCs w:val="20"/>
              </w:rPr>
              <w:t xml:space="preserve">Allied Health Professions (AHP) </w:t>
            </w:r>
            <w:r>
              <w:rPr>
                <w:sz w:val="20"/>
                <w:szCs w:val="20"/>
              </w:rPr>
              <w:t>Lead</w:t>
            </w:r>
          </w:p>
          <w:p w14:paraId="0B9C6C74" w14:textId="246CA8B7" w:rsidR="000337B5" w:rsidRDefault="009B0FA4">
            <w:r>
              <w:rPr>
                <w:sz w:val="20"/>
                <w:szCs w:val="20"/>
              </w:rPr>
              <w:t>National Programme for Primary Care, NHS Wales Performance and Improvement</w:t>
            </w:r>
            <w:r w:rsidR="006744F6">
              <w:rPr>
                <w:sz w:val="20"/>
                <w:szCs w:val="20"/>
              </w:rPr>
              <w:t xml:space="preserve"> </w:t>
            </w:r>
          </w:p>
        </w:tc>
      </w:tr>
      <w:tr w:rsidR="000337B5" w14:paraId="70EB7AC3" w14:textId="77777777" w:rsidTr="7C97CDB5">
        <w:trPr>
          <w:cantSplit/>
        </w:trPr>
        <w:tc>
          <w:tcPr>
            <w:tcW w:w="16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193E71C3" w14:textId="77777777" w:rsidR="000337B5" w:rsidRDefault="006744F6">
            <w:r>
              <w:rPr>
                <w:b/>
                <w:bCs/>
                <w:sz w:val="20"/>
                <w:szCs w:val="20"/>
              </w:rPr>
              <w:t>Date:</w:t>
            </w:r>
          </w:p>
        </w:tc>
        <w:tc>
          <w:tcPr>
            <w:tcW w:w="7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0B9F14BE" w14:textId="748206F1" w:rsidR="000337B5" w:rsidRDefault="17F81EE2">
            <w:r w:rsidRPr="7C97CDB5">
              <w:rPr>
                <w:sz w:val="20"/>
                <w:szCs w:val="20"/>
              </w:rPr>
              <w:t>Ju</w:t>
            </w:r>
            <w:r w:rsidR="2FA4B087" w:rsidRPr="7C97CDB5">
              <w:rPr>
                <w:sz w:val="20"/>
                <w:szCs w:val="20"/>
              </w:rPr>
              <w:t>ly</w:t>
            </w:r>
            <w:r w:rsidR="511F3BE4" w:rsidRPr="7C97CDB5">
              <w:rPr>
                <w:sz w:val="20"/>
                <w:szCs w:val="20"/>
              </w:rPr>
              <w:t xml:space="preserve"> 2026</w:t>
            </w:r>
          </w:p>
        </w:tc>
      </w:tr>
      <w:tr w:rsidR="000337B5" w14:paraId="780439BF" w14:textId="77777777" w:rsidTr="7C97CDB5">
        <w:trPr>
          <w:cantSplit/>
        </w:trPr>
        <w:tc>
          <w:tcPr>
            <w:tcW w:w="16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14D17E75" w14:textId="77777777" w:rsidR="000337B5" w:rsidRDefault="006744F6">
            <w:r>
              <w:rPr>
                <w:b/>
                <w:bCs/>
                <w:sz w:val="20"/>
                <w:szCs w:val="20"/>
              </w:rPr>
              <w:t>Purpose:</w:t>
            </w:r>
          </w:p>
        </w:tc>
        <w:tc>
          <w:tcPr>
            <w:tcW w:w="7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43ED0C78" w14:textId="77777777" w:rsidR="000337B5" w:rsidRDefault="006744F6">
            <w:r>
              <w:rPr>
                <w:sz w:val="20"/>
                <w:szCs w:val="20"/>
              </w:rPr>
              <w:t>To provide a summary of the work completed during the 2025/26 financial year relating to the Additional Allied Health Professions (AHP) Investment Fund, and to highlight the effective use of Allied Health Professionals to support people to stay well at home.</w:t>
            </w:r>
          </w:p>
        </w:tc>
      </w:tr>
    </w:tbl>
    <w:p w14:paraId="60B0EF5B" w14:textId="77777777" w:rsidR="009D5529" w:rsidRDefault="009D5529">
      <w:pPr>
        <w:spacing w:after="200"/>
      </w:pPr>
    </w:p>
    <w:p w14:paraId="06F739F8" w14:textId="77777777" w:rsidR="000337B5" w:rsidRDefault="006744F6">
      <w:pPr>
        <w:pStyle w:val="Heading1"/>
      </w:pPr>
      <w:r>
        <w:t>Summary</w:t>
      </w:r>
    </w:p>
    <w:p w14:paraId="55779125" w14:textId="7BEE0EE5" w:rsidR="000337B5" w:rsidRDefault="511F3BE4" w:rsidP="009D5529">
      <w:pPr>
        <w:spacing w:after="160" w:line="276" w:lineRule="auto"/>
        <w:jc w:val="both"/>
      </w:pPr>
      <w:r>
        <w:t xml:space="preserve">The Additional </w:t>
      </w:r>
      <w:r w:rsidR="7436869A" w:rsidRPr="7C97CDB5">
        <w:t>Allied Health Professions</w:t>
      </w:r>
      <w:r w:rsidR="7436869A">
        <w:t xml:space="preserve"> (</w:t>
      </w:r>
      <w:r>
        <w:t>AHP</w:t>
      </w:r>
      <w:r w:rsidR="1DFB0027">
        <w:t>)</w:t>
      </w:r>
      <w:r>
        <w:t xml:space="preserve"> Investment Fund continued in 2025/26, building on the £5 million recurrent investment first made in April 2023 to create additional community and primary care based registered Allied Health Professional and support worker posts. </w:t>
      </w:r>
    </w:p>
    <w:p w14:paraId="416C3B82" w14:textId="2990474F" w:rsidR="009D5529" w:rsidRDefault="22285A0A" w:rsidP="009D5529">
      <w:pPr>
        <w:spacing w:after="160" w:line="276" w:lineRule="auto"/>
        <w:jc w:val="both"/>
      </w:pPr>
      <w:r w:rsidRPr="04620674">
        <w:t>The fund continues to shift AHP capacity into primary and community settings, improving access to local care that helps people remain active, independent and well at home. This strengthens the resilience and sustainability of community AHP provision and supports wider system priorities for prevention, admission avoidance, discharge, rehabilitation and independent living.</w:t>
      </w:r>
    </w:p>
    <w:p w14:paraId="3DA08F96" w14:textId="77777777" w:rsidR="000337B5" w:rsidRDefault="006744F6">
      <w:pPr>
        <w:pStyle w:val="Heading1"/>
      </w:pPr>
      <w:r>
        <w:t>Headline benefits 2025/26</w:t>
      </w:r>
    </w:p>
    <w:p w14:paraId="53B13499" w14:textId="77777777" w:rsidR="000337B5" w:rsidRDefault="006744F6" w:rsidP="009D5529">
      <w:pPr>
        <w:spacing w:after="160" w:line="276" w:lineRule="auto"/>
      </w:pPr>
      <w:r>
        <w:t>Health board regions have reported a wide range of activity and impact during 2025/26. Examples include:</w:t>
      </w:r>
    </w:p>
    <w:p w14:paraId="1AB63C10" w14:textId="77777777" w:rsidR="004231A1" w:rsidRDefault="006744F6" w:rsidP="009D5529">
      <w:pPr>
        <w:pStyle w:val="ListParagraph"/>
        <w:numPr>
          <w:ilvl w:val="0"/>
          <w:numId w:val="3"/>
        </w:numPr>
        <w:spacing w:after="100" w:line="276" w:lineRule="auto"/>
        <w:jc w:val="both"/>
      </w:pPr>
      <w:r>
        <w:t>ABUHB's Community Admission Avoidance Therapy Team (CAATT) avoided 1,783 hospital admissions from 5,198 referrals responded to, generating an estimated £1.27m of acute bed capacity value — approximately 150% recovery of the £850,000 recurrent investment.</w:t>
      </w:r>
    </w:p>
    <w:p w14:paraId="68F50F0F" w14:textId="304C66AE" w:rsidR="00F262F2" w:rsidRDefault="009972F6" w:rsidP="009D5529">
      <w:pPr>
        <w:pStyle w:val="ListParagraph"/>
        <w:numPr>
          <w:ilvl w:val="0"/>
          <w:numId w:val="3"/>
        </w:numPr>
        <w:spacing w:after="100" w:line="276" w:lineRule="auto"/>
        <w:jc w:val="both"/>
      </w:pPr>
      <w:r w:rsidRPr="009972F6">
        <w:rPr>
          <w:lang w:val="en-US"/>
        </w:rPr>
        <w:t>BCUHB’s seven-project AHP investment model </w:t>
      </w:r>
      <w:r w:rsidR="00F14A8C">
        <w:rPr>
          <w:lang w:val="en-US"/>
        </w:rPr>
        <w:t xml:space="preserve">focusses on </w:t>
      </w:r>
      <w:r w:rsidRPr="009972F6">
        <w:rPr>
          <w:lang w:val="en-US"/>
        </w:rPr>
        <w:t>prevention, pathway redesign, and community-based care delivery</w:t>
      </w:r>
      <w:r w:rsidR="00D9436A" w:rsidRPr="00D9436A">
        <w:t xml:space="preserve"> </w:t>
      </w:r>
      <w:r w:rsidR="00BA79E7">
        <w:rPr>
          <w:lang w:val="en-US"/>
        </w:rPr>
        <w:t xml:space="preserve">with </w:t>
      </w:r>
      <w:r w:rsidR="00D9436A" w:rsidRPr="00D9436A">
        <w:rPr>
          <w:lang w:val="en-US"/>
        </w:rPr>
        <w:t>upstream prevention through cluster alignment and risk stratification, positioning AHPs as system enablers.</w:t>
      </w:r>
      <w:r w:rsidR="00C74F2B" w:rsidRPr="00C74F2B">
        <w:rPr>
          <w:sz w:val="20"/>
          <w:szCs w:val="20"/>
        </w:rPr>
        <w:t xml:space="preserve"> </w:t>
      </w:r>
      <w:r w:rsidR="000841E3">
        <w:t>I</w:t>
      </w:r>
      <w:r w:rsidR="000841E3" w:rsidRPr="008E36DC">
        <w:t>ncluding 243 earlier discharges</w:t>
      </w:r>
      <w:r w:rsidR="000841E3">
        <w:t xml:space="preserve">, </w:t>
      </w:r>
      <w:r w:rsidR="000841E3" w:rsidRPr="008E36DC">
        <w:t>105 admissions avoided</w:t>
      </w:r>
      <w:r w:rsidR="000841E3">
        <w:t xml:space="preserve"> and 162 readmissions avoided</w:t>
      </w:r>
      <w:r w:rsidR="000841E3" w:rsidRPr="008E36DC">
        <w:t xml:space="preserve"> through D2RA</w:t>
      </w:r>
      <w:r w:rsidR="00197BDE">
        <w:t>.</w:t>
      </w:r>
    </w:p>
    <w:p w14:paraId="06E6B593" w14:textId="2A70830C" w:rsidR="000337B5" w:rsidRDefault="006744F6" w:rsidP="009D5529">
      <w:pPr>
        <w:pStyle w:val="ListParagraph"/>
        <w:numPr>
          <w:ilvl w:val="0"/>
          <w:numId w:val="3"/>
        </w:numPr>
        <w:spacing w:after="100" w:line="276" w:lineRule="auto"/>
        <w:jc w:val="both"/>
      </w:pPr>
      <w:r>
        <w:t>CTMUHB's Rapid Assessment and Prevention O</w:t>
      </w:r>
      <w:r w:rsidR="00B91511">
        <w:t xml:space="preserve">ccupational </w:t>
      </w:r>
      <w:r>
        <w:t>T</w:t>
      </w:r>
      <w:r w:rsidR="00B91511">
        <w:t>herapy</w:t>
      </w:r>
      <w:r>
        <w:t xml:space="preserve"> </w:t>
      </w:r>
      <w:r w:rsidR="009264D8">
        <w:t xml:space="preserve">(OT RAP) </w:t>
      </w:r>
      <w:r>
        <w:t>service prevented an estimated 309 avoidable admissions or ambulance conveyances, 87% within a 4-hour response.</w:t>
      </w:r>
    </w:p>
    <w:p w14:paraId="03435F2A" w14:textId="77777777" w:rsidR="000A588A" w:rsidRDefault="000A588A" w:rsidP="009D5529">
      <w:pPr>
        <w:pStyle w:val="ListParagraph"/>
        <w:numPr>
          <w:ilvl w:val="0"/>
          <w:numId w:val="3"/>
        </w:numPr>
        <w:spacing w:after="100" w:line="276" w:lineRule="auto"/>
        <w:jc w:val="both"/>
      </w:pPr>
      <w:r>
        <w:lastRenderedPageBreak/>
        <w:t>CAVUHB's Ageing Well course delivered a mean QALY gain of +0.08 over a 6-week intervention, equivalent to roughly 29 extra days in full health, at a cost per QALY of £1,865 — well within NICE cost-effectiveness thresholds.</w:t>
      </w:r>
    </w:p>
    <w:p w14:paraId="0C6697D1" w14:textId="4111D828" w:rsidR="00F354CD" w:rsidRDefault="511F3BE4" w:rsidP="009D5529">
      <w:pPr>
        <w:pStyle w:val="ListParagraph"/>
        <w:numPr>
          <w:ilvl w:val="0"/>
          <w:numId w:val="3"/>
        </w:numPr>
        <w:spacing w:after="100" w:line="276" w:lineRule="auto"/>
        <w:jc w:val="both"/>
      </w:pPr>
      <w:r>
        <w:t xml:space="preserve">HDdUHB's Community Integrated Stroke Team </w:t>
      </w:r>
      <w:r w:rsidR="5AC5A0DF">
        <w:t xml:space="preserve">(CIST) </w:t>
      </w:r>
      <w:r>
        <w:t>supported 327 stroke survivors across three counties, with case studies evidencing prevention of long-term disability and avoided readmission.</w:t>
      </w:r>
    </w:p>
    <w:p w14:paraId="7336104E" w14:textId="1F2A2783" w:rsidR="72A3C545" w:rsidRDefault="72A3C545" w:rsidP="009D5529">
      <w:pPr>
        <w:pStyle w:val="ListParagraph"/>
        <w:numPr>
          <w:ilvl w:val="0"/>
          <w:numId w:val="3"/>
        </w:numPr>
        <w:spacing w:after="100" w:line="276" w:lineRule="auto"/>
        <w:jc w:val="both"/>
        <w:rPr>
          <w:rFonts w:ascii="Segoe UI" w:eastAsia="Segoe UI" w:hAnsi="Segoe UI" w:cs="Segoe UI"/>
          <w:sz w:val="21"/>
          <w:szCs w:val="21"/>
        </w:rPr>
      </w:pPr>
      <w:r>
        <w:t>PTHB’s five AHP projects strengthened frailty, falls, speech and language therapy, medicines management dietetics and diabetic foot screening provision</w:t>
      </w:r>
      <w:r w:rsidR="5BDA1D96">
        <w:t>,</w:t>
      </w:r>
      <w:r w:rsidR="3BE1F51A">
        <w:t xml:space="preserve"> leading Welsh performance on diabetic foot screening. I</w:t>
      </w:r>
      <w:r>
        <w:t xml:space="preserve">ncluding 624 frailty </w:t>
      </w:r>
      <w:r w:rsidR="22418302">
        <w:t xml:space="preserve">referrals </w:t>
      </w:r>
      <w:r w:rsidR="5BDA1D96">
        <w:t>with</w:t>
      </w:r>
      <w:r w:rsidR="22418302">
        <w:t xml:space="preserve"> 337 Comprehensive Geriatric Assessments and 823 follow-up reviews</w:t>
      </w:r>
      <w:r>
        <w:t xml:space="preserve">, </w:t>
      </w:r>
      <w:r w:rsidR="5BDA1D96">
        <w:t xml:space="preserve">and </w:t>
      </w:r>
      <w:r>
        <w:t xml:space="preserve">501 falls referrals </w:t>
      </w:r>
      <w:r w:rsidR="2AD0DCA7">
        <w:t>with 245 Multifactorial Falls Assessments completed via the new app/Power BI dashboard</w:t>
      </w:r>
      <w:r w:rsidR="3BE1F51A">
        <w:t>.</w:t>
      </w:r>
    </w:p>
    <w:p w14:paraId="43A1E6F3" w14:textId="3B72E691" w:rsidR="04620674" w:rsidRDefault="57115AAD" w:rsidP="009D5529">
      <w:pPr>
        <w:pStyle w:val="ListParagraph"/>
        <w:numPr>
          <w:ilvl w:val="0"/>
          <w:numId w:val="3"/>
        </w:numPr>
        <w:spacing w:line="276" w:lineRule="auto"/>
        <w:jc w:val="both"/>
      </w:pPr>
      <w:r>
        <w:t>SBUHB's Enhanced Community Care (ECC) / Virtual Ward supported 1,058 earlier hospital discharges and 1,027 admission avoidances from 3,525 referrals, with a readmission rate of just 4.21%.</w:t>
      </w:r>
    </w:p>
    <w:p w14:paraId="15B808BC" w14:textId="1DF82FE6" w:rsidR="7C97CDB5" w:rsidRDefault="7C97CDB5" w:rsidP="7C97CDB5">
      <w:pPr>
        <w:pStyle w:val="ListParagraph"/>
        <w:ind w:left="720"/>
        <w:jc w:val="both"/>
      </w:pPr>
    </w:p>
    <w:p w14:paraId="7AFD68EE" w14:textId="77777777" w:rsidR="000337B5" w:rsidRDefault="006744F6">
      <w:pPr>
        <w:pStyle w:val="Heading1"/>
      </w:pPr>
      <w:r>
        <w:t>Summary of findings to date</w:t>
      </w:r>
    </w:p>
    <w:p w14:paraId="66AF639A" w14:textId="77777777" w:rsidR="000337B5" w:rsidRDefault="006744F6" w:rsidP="009D5529">
      <w:pPr>
        <w:spacing w:after="160" w:line="276" w:lineRule="auto"/>
        <w:jc w:val="both"/>
      </w:pPr>
      <w:r>
        <w:t>This report contains a high-level summary of each health board region — see Appendix 1. A fuller, project-by-project breakdown is available in the accompanying detailed report.</w:t>
      </w:r>
    </w:p>
    <w:p w14:paraId="718CEF92" w14:textId="0C30071C" w:rsidR="000337B5" w:rsidRDefault="006744F6" w:rsidP="009D5529">
      <w:pPr>
        <w:spacing w:after="160" w:line="276" w:lineRule="auto"/>
        <w:jc w:val="both"/>
      </w:pPr>
      <w:r>
        <w:t xml:space="preserve">The data supporting this report has been collected through collaborative meetings </w:t>
      </w:r>
      <w:r w:rsidR="006D552E">
        <w:t xml:space="preserve">and submitted reports by </w:t>
      </w:r>
      <w:r>
        <w:t>all health board regions, who are required to demonstrate the value and systems impact of the additional AHP investment.</w:t>
      </w:r>
    </w:p>
    <w:p w14:paraId="46CFB212" w14:textId="6BA29A43" w:rsidR="000337B5" w:rsidRDefault="006744F6" w:rsidP="009D5529">
      <w:pPr>
        <w:spacing w:after="160" w:line="276" w:lineRule="auto"/>
        <w:jc w:val="both"/>
      </w:pPr>
      <w:r>
        <w:t xml:space="preserve">As in the prior year, several challenges continue to affect the consistency of reporting against the agreed all-Wales data set. Recruitment difficulties, inconsistent and often inadequate digital infrastructure across Wales, and limited capability among some digital </w:t>
      </w:r>
      <w:r w:rsidR="259CB6AE">
        <w:t>outcomes'</w:t>
      </w:r>
      <w:r>
        <w:t xml:space="preserve"> platforms (e.g. PROMPTLY) continue to constrain robust capture of return on investment (ROI). </w:t>
      </w:r>
    </w:p>
    <w:p w14:paraId="37BB2493" w14:textId="5701073F" w:rsidR="00611F48" w:rsidRDefault="00611F48" w:rsidP="009D5529">
      <w:pPr>
        <w:spacing w:after="160" w:line="276" w:lineRule="auto"/>
        <w:jc w:val="both"/>
      </w:pPr>
      <w:r>
        <w:t xml:space="preserve">Despite these challenges, all regions continue to engage constructively with National AHP Leadership, sharing learning and constructive challenge. </w:t>
      </w:r>
      <w:r w:rsidR="00841B93">
        <w:t>T</w:t>
      </w:r>
      <w:r>
        <w:t xml:space="preserve">he quality and quantity of outcome and ROI evidence </w:t>
      </w:r>
      <w:r w:rsidR="7CC46E6D">
        <w:t>has improved</w:t>
      </w:r>
      <w:r>
        <w:t xml:space="preserve"> year-on-year with regions </w:t>
      </w:r>
      <w:r w:rsidR="00841B93">
        <w:t>increasingly</w:t>
      </w:r>
      <w:r>
        <w:t xml:space="preserve"> presenting quantified cost-avoidance, QALY, or EQ-5D-5L data alongside narrative impact. ABUHB, BCUHB and SBUHB have made </w:t>
      </w:r>
      <w:bookmarkStart w:id="0" w:name="_Int_hslELcfh"/>
      <w:r>
        <w:t>particular progress</w:t>
      </w:r>
      <w:bookmarkEnd w:id="0"/>
      <w:r>
        <w:t xml:space="preserve"> in developing structured ROI approaches, including conservative bed-day costing models, QALY/EQ-5D-5L analysis and improved dashboard reporting.</w:t>
      </w:r>
    </w:p>
    <w:p w14:paraId="1954DA88" w14:textId="26917B0D" w:rsidR="7C97CDB5" w:rsidRDefault="511F3BE4" w:rsidP="009D5529">
      <w:pPr>
        <w:spacing w:after="160" w:line="276" w:lineRule="auto"/>
        <w:jc w:val="both"/>
      </w:pPr>
      <w:r>
        <w:t xml:space="preserve">For 2026/27, health board regions will be required to move to </w:t>
      </w:r>
      <w:r w:rsidR="62E8957B">
        <w:t>half yearly</w:t>
      </w:r>
      <w:r>
        <w:t xml:space="preserve"> reporting, which is expected to improve in-year visibility, accountability, risk identification, and ROI capability.</w:t>
      </w:r>
    </w:p>
    <w:p w14:paraId="710DEEB6" w14:textId="77777777" w:rsidR="000337B5" w:rsidRDefault="511F3BE4">
      <w:pPr>
        <w:pStyle w:val="Heading1"/>
      </w:pPr>
      <w:r>
        <w:t>Detail behind the headlines</w:t>
      </w:r>
    </w:p>
    <w:p w14:paraId="03DB7482" w14:textId="384363FA" w:rsidR="0D31EDB8" w:rsidRDefault="0D31EDB8" w:rsidP="009D5529">
      <w:pPr>
        <w:spacing w:after="160" w:line="276" w:lineRule="auto"/>
        <w:jc w:val="both"/>
      </w:pPr>
      <w:r w:rsidRPr="7C97CDB5">
        <w:t>Recruitment and funding allocation figures for 2025/26, with 2024/25 WTE shown for comparison, are set out in the below table.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60"/>
        <w:gridCol w:w="2164"/>
        <w:gridCol w:w="2912"/>
        <w:gridCol w:w="2104"/>
      </w:tblGrid>
      <w:tr w:rsidR="7C97CDB5" w14:paraId="77F77984" w14:textId="77777777" w:rsidTr="7C97CDB5">
        <w:trPr>
          <w:trHeight w:val="6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E79"/>
            <w:vAlign w:val="center"/>
          </w:tcPr>
          <w:p w14:paraId="5B42A004" w14:textId="45242287" w:rsidR="7C97CDB5" w:rsidRDefault="7C97CDB5" w:rsidP="7C97CDB5">
            <w:pPr>
              <w:spacing w:line="360" w:lineRule="auto"/>
            </w:pPr>
            <w:r w:rsidRPr="7C97CDB5">
              <w:rPr>
                <w:b/>
                <w:bCs/>
                <w:color w:val="FFFFFF" w:themeColor="background1"/>
                <w:sz w:val="20"/>
                <w:szCs w:val="20"/>
              </w:rPr>
              <w:lastRenderedPageBreak/>
              <w:t>Health Board Region</w:t>
            </w:r>
            <w:r w:rsidRPr="7C97CDB5">
              <w:rPr>
                <w:color w:val="FFFFFF" w:themeColor="background1"/>
                <w:sz w:val="20"/>
                <w:szCs w:val="20"/>
              </w:rPr>
              <w:t xml:space="preserve">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E79"/>
            <w:vAlign w:val="center"/>
          </w:tcPr>
          <w:p w14:paraId="067212A3" w14:textId="376D647C" w:rsidR="7C97CDB5" w:rsidRDefault="7C97CDB5" w:rsidP="7C97CDB5">
            <w:pPr>
              <w:spacing w:line="360" w:lineRule="auto"/>
            </w:pPr>
            <w:r w:rsidRPr="7C97CDB5">
              <w:rPr>
                <w:b/>
                <w:bCs/>
                <w:color w:val="FFFFFF" w:themeColor="background1"/>
                <w:sz w:val="20"/>
                <w:szCs w:val="20"/>
              </w:rPr>
              <w:t>2025/26 Funding Allocation</w:t>
            </w:r>
            <w:r w:rsidRPr="7C97CDB5">
              <w:rPr>
                <w:color w:val="FFFFFF" w:themeColor="background1"/>
                <w:sz w:val="20"/>
                <w:szCs w:val="20"/>
              </w:rPr>
              <w:t xml:space="preserve">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E79"/>
            <w:vAlign w:val="center"/>
          </w:tcPr>
          <w:p w14:paraId="097D3908" w14:textId="362BF477" w:rsidR="7C97CDB5" w:rsidRDefault="7C97CDB5" w:rsidP="7C97CDB5">
            <w:pPr>
              <w:spacing w:line="360" w:lineRule="auto"/>
            </w:pPr>
            <w:r w:rsidRPr="7C97CDB5">
              <w:rPr>
                <w:b/>
                <w:bCs/>
                <w:color w:val="FFFFFF" w:themeColor="background1"/>
                <w:sz w:val="20"/>
                <w:szCs w:val="20"/>
              </w:rPr>
              <w:t>Summary of Progress (WTE)</w:t>
            </w:r>
            <w:r w:rsidRPr="7C97CDB5">
              <w:rPr>
                <w:color w:val="FFFFFF" w:themeColor="background1"/>
                <w:sz w:val="20"/>
                <w:szCs w:val="20"/>
              </w:rPr>
              <w:t xml:space="preserve">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E79"/>
            <w:vAlign w:val="center"/>
          </w:tcPr>
          <w:p w14:paraId="7A70DE8F" w14:textId="0A83CB73" w:rsidR="7C97CDB5" w:rsidRDefault="7C97CDB5" w:rsidP="7C97CDB5">
            <w:pPr>
              <w:spacing w:line="360" w:lineRule="auto"/>
            </w:pPr>
            <w:r w:rsidRPr="7C97CDB5">
              <w:rPr>
                <w:b/>
                <w:bCs/>
                <w:color w:val="FFFFFF" w:themeColor="background1"/>
                <w:sz w:val="20"/>
                <w:szCs w:val="20"/>
              </w:rPr>
              <w:t>2024/25 WTE (baseline)</w:t>
            </w:r>
            <w:r w:rsidRPr="7C97CDB5">
              <w:rPr>
                <w:color w:val="FFFFFF" w:themeColor="background1"/>
                <w:sz w:val="20"/>
                <w:szCs w:val="20"/>
              </w:rPr>
              <w:t xml:space="preserve">  </w:t>
            </w:r>
          </w:p>
        </w:tc>
      </w:tr>
      <w:tr w:rsidR="7C97CDB5" w14:paraId="3AF089D6"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03D3E09A" w14:textId="7B67E9A8" w:rsidR="7C97CDB5" w:rsidRDefault="7C97CDB5" w:rsidP="7C97CDB5">
            <w:pPr>
              <w:spacing w:line="360" w:lineRule="auto"/>
            </w:pPr>
            <w:r w:rsidRPr="7C97CDB5">
              <w:rPr>
                <w:color w:val="000000" w:themeColor="text1"/>
                <w:sz w:val="20"/>
                <w:szCs w:val="20"/>
              </w:rPr>
              <w:t xml:space="preserve">ABUHB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25E97206" w14:textId="7D6B2DA6" w:rsidR="7C97CDB5" w:rsidRDefault="7C97CDB5" w:rsidP="7C97CDB5">
            <w:pPr>
              <w:spacing w:line="360" w:lineRule="auto"/>
            </w:pPr>
            <w:r w:rsidRPr="7C97CDB5">
              <w:rPr>
                <w:color w:val="000000" w:themeColor="text1"/>
                <w:sz w:val="20"/>
                <w:szCs w:val="20"/>
              </w:rPr>
              <w:t xml:space="preserve">£850,000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65E776C6" w14:textId="5674FF3D" w:rsidR="7C97CDB5" w:rsidRDefault="7C97CDB5" w:rsidP="7C97CDB5">
            <w:pPr>
              <w:spacing w:line="360" w:lineRule="auto"/>
            </w:pPr>
            <w:r w:rsidRPr="7C97CDB5">
              <w:rPr>
                <w:color w:val="000000" w:themeColor="text1"/>
                <w:sz w:val="20"/>
                <w:szCs w:val="20"/>
              </w:rPr>
              <w:t xml:space="preserve">18.8 WTE (CAATT)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085CD950" w14:textId="1B8DB1A0" w:rsidR="7C97CDB5" w:rsidRDefault="7C97CDB5" w:rsidP="7C97CDB5">
            <w:pPr>
              <w:spacing w:line="360" w:lineRule="auto"/>
            </w:pPr>
            <w:r w:rsidRPr="7C97CDB5">
              <w:rPr>
                <w:color w:val="000000" w:themeColor="text1"/>
                <w:sz w:val="20"/>
                <w:szCs w:val="20"/>
              </w:rPr>
              <w:t xml:space="preserve">17.7 WTE   </w:t>
            </w:r>
          </w:p>
        </w:tc>
      </w:tr>
      <w:tr w:rsidR="7C97CDB5" w14:paraId="04D839CF"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6EF568F9" w14:textId="704263BF" w:rsidR="7C97CDB5" w:rsidRDefault="7C97CDB5" w:rsidP="7C97CDB5">
            <w:pPr>
              <w:spacing w:line="360" w:lineRule="auto"/>
            </w:pPr>
            <w:r w:rsidRPr="7C97CDB5">
              <w:rPr>
                <w:color w:val="000000" w:themeColor="text1"/>
                <w:sz w:val="20"/>
                <w:szCs w:val="20"/>
              </w:rPr>
              <w:t xml:space="preserve">BCUHB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3DE5CEEA" w14:textId="688B3BB1" w:rsidR="7C97CDB5" w:rsidRDefault="7C97CDB5" w:rsidP="7C97CDB5">
            <w:pPr>
              <w:spacing w:line="360" w:lineRule="auto"/>
            </w:pPr>
            <w:r w:rsidRPr="7C97CDB5">
              <w:rPr>
                <w:color w:val="000000" w:themeColor="text1"/>
                <w:sz w:val="20"/>
                <w:szCs w:val="20"/>
              </w:rPr>
              <w:t xml:space="preserve">£963,280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55A3AAEE" w14:textId="42BB4B20" w:rsidR="7C97CDB5" w:rsidRDefault="7C97CDB5" w:rsidP="7C97CDB5">
            <w:pPr>
              <w:spacing w:line="360" w:lineRule="auto"/>
            </w:pPr>
            <w:r w:rsidRPr="7C97CDB5">
              <w:rPr>
                <w:color w:val="000000" w:themeColor="text1"/>
                <w:sz w:val="20"/>
                <w:szCs w:val="20"/>
              </w:rPr>
              <w:t xml:space="preserve">~21.7 WTE across 7 projects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35F21477" w14:textId="5DED7EF7" w:rsidR="7C97CDB5" w:rsidRDefault="7C97CDB5" w:rsidP="7C97CDB5">
            <w:pPr>
              <w:spacing w:line="360" w:lineRule="auto"/>
            </w:pPr>
            <w:r w:rsidRPr="7C97CDB5">
              <w:rPr>
                <w:color w:val="000000" w:themeColor="text1"/>
                <w:sz w:val="20"/>
                <w:szCs w:val="20"/>
              </w:rPr>
              <w:t xml:space="preserve">20 WTE  </w:t>
            </w:r>
          </w:p>
        </w:tc>
      </w:tr>
      <w:tr w:rsidR="7C97CDB5" w14:paraId="60E6DF31"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77C6F3E4" w14:textId="6C330C15" w:rsidR="7C97CDB5" w:rsidRDefault="7C97CDB5" w:rsidP="7C97CDB5">
            <w:pPr>
              <w:spacing w:line="360" w:lineRule="auto"/>
            </w:pPr>
            <w:r w:rsidRPr="7C97CDB5">
              <w:rPr>
                <w:color w:val="000000" w:themeColor="text1"/>
                <w:sz w:val="20"/>
                <w:szCs w:val="20"/>
              </w:rPr>
              <w:t xml:space="preserve">CTMUHB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424E56EB" w14:textId="0A11979E" w:rsidR="7C97CDB5" w:rsidRDefault="7C97CDB5" w:rsidP="7C97CDB5">
            <w:pPr>
              <w:spacing w:line="360" w:lineRule="auto"/>
            </w:pPr>
            <w:r w:rsidRPr="7C97CDB5">
              <w:rPr>
                <w:color w:val="000000" w:themeColor="text1"/>
                <w:sz w:val="20"/>
                <w:szCs w:val="20"/>
              </w:rPr>
              <w:t xml:space="preserve">£704,720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1A6CAFE5" w14:textId="3DB7D791" w:rsidR="7C97CDB5" w:rsidRDefault="7C97CDB5" w:rsidP="7C97CDB5">
            <w:pPr>
              <w:spacing w:line="360" w:lineRule="auto"/>
            </w:pPr>
            <w:r w:rsidRPr="7C97CDB5">
              <w:rPr>
                <w:color w:val="000000" w:themeColor="text1"/>
                <w:sz w:val="20"/>
                <w:szCs w:val="20"/>
              </w:rPr>
              <w:t xml:space="preserve">15.9 WTE across 3 elements (Falls, OT, Rapid Access)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0CB424D3" w14:textId="0BCD8D48" w:rsidR="7C97CDB5" w:rsidRDefault="7C97CDB5" w:rsidP="7C97CDB5">
            <w:pPr>
              <w:spacing w:line="360" w:lineRule="auto"/>
            </w:pPr>
            <w:r w:rsidRPr="7C97CDB5">
              <w:rPr>
                <w:color w:val="000000" w:themeColor="text1"/>
                <w:sz w:val="20"/>
                <w:szCs w:val="20"/>
              </w:rPr>
              <w:t xml:space="preserve">14.6 WTE  </w:t>
            </w:r>
          </w:p>
        </w:tc>
      </w:tr>
      <w:tr w:rsidR="7C97CDB5" w14:paraId="371B2A7C"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3010A2B5" w14:textId="4B5BA103" w:rsidR="7C97CDB5" w:rsidRDefault="7C97CDB5" w:rsidP="7C97CDB5">
            <w:pPr>
              <w:spacing w:line="360" w:lineRule="auto"/>
            </w:pPr>
            <w:r w:rsidRPr="7C97CDB5">
              <w:rPr>
                <w:color w:val="000000" w:themeColor="text1"/>
                <w:sz w:val="20"/>
                <w:szCs w:val="20"/>
              </w:rPr>
              <w:t xml:space="preserve">CAVUHB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0ABB5F01" w14:textId="492C6C6E" w:rsidR="7C97CDB5" w:rsidRDefault="7C97CDB5" w:rsidP="7C97CDB5">
            <w:pPr>
              <w:spacing w:line="360" w:lineRule="auto"/>
            </w:pPr>
            <w:r w:rsidRPr="7C97CDB5">
              <w:rPr>
                <w:color w:val="000000" w:themeColor="text1"/>
                <w:sz w:val="20"/>
                <w:szCs w:val="20"/>
              </w:rPr>
              <w:t xml:space="preserve">£756,560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1C755B04" w14:textId="2818BDFD" w:rsidR="7C97CDB5" w:rsidRDefault="7C97CDB5" w:rsidP="7C97CDB5">
            <w:pPr>
              <w:spacing w:line="360" w:lineRule="auto"/>
            </w:pPr>
            <w:r w:rsidRPr="7C97CDB5">
              <w:rPr>
                <w:color w:val="000000" w:themeColor="text1"/>
                <w:sz w:val="20"/>
                <w:szCs w:val="20"/>
              </w:rPr>
              <w:t xml:space="preserve">17.1 WTE across 4 projects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7D0B0D48" w14:textId="49DAC8D3" w:rsidR="7C97CDB5" w:rsidRDefault="7C97CDB5" w:rsidP="7C97CDB5">
            <w:pPr>
              <w:spacing w:line="360" w:lineRule="auto"/>
            </w:pPr>
            <w:r w:rsidRPr="7C97CDB5">
              <w:rPr>
                <w:color w:val="000000" w:themeColor="text1"/>
                <w:sz w:val="20"/>
                <w:szCs w:val="20"/>
              </w:rPr>
              <w:t xml:space="preserve">17.5 WTE  </w:t>
            </w:r>
          </w:p>
        </w:tc>
      </w:tr>
      <w:tr w:rsidR="7C97CDB5" w14:paraId="2D78D4F6"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158590AF" w14:textId="398BEC62" w:rsidR="7C97CDB5" w:rsidRDefault="7C97CDB5" w:rsidP="7C97CDB5">
            <w:pPr>
              <w:spacing w:line="360" w:lineRule="auto"/>
            </w:pPr>
            <w:r w:rsidRPr="7C97CDB5">
              <w:rPr>
                <w:color w:val="000000" w:themeColor="text1"/>
                <w:sz w:val="20"/>
                <w:szCs w:val="20"/>
              </w:rPr>
              <w:t xml:space="preserve">HDdUHB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0D6AB6CB" w14:textId="6B7CA431" w:rsidR="7C97CDB5" w:rsidRDefault="7C97CDB5" w:rsidP="7C97CDB5">
            <w:pPr>
              <w:spacing w:line="360" w:lineRule="auto"/>
            </w:pPr>
            <w:r w:rsidRPr="7C97CDB5">
              <w:rPr>
                <w:color w:val="000000" w:themeColor="text1"/>
                <w:sz w:val="20"/>
                <w:szCs w:val="20"/>
              </w:rPr>
              <w:t xml:space="preserve">£643,280 WG allocation *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49687BB4" w14:textId="3067335D" w:rsidR="7C97CDB5" w:rsidRDefault="7C97CDB5" w:rsidP="7C97CDB5">
            <w:pPr>
              <w:spacing w:line="360" w:lineRule="auto"/>
            </w:pPr>
            <w:r w:rsidRPr="7C97CDB5">
              <w:rPr>
                <w:color w:val="000000" w:themeColor="text1"/>
                <w:sz w:val="20"/>
                <w:szCs w:val="20"/>
              </w:rPr>
              <w:t xml:space="preserve">17.61 WTE (CIST)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4DCA77C5" w14:textId="7FD04EC2" w:rsidR="7C97CDB5" w:rsidRDefault="7C97CDB5" w:rsidP="7C97CDB5">
            <w:pPr>
              <w:spacing w:line="360" w:lineRule="auto"/>
            </w:pPr>
            <w:r w:rsidRPr="7C97CDB5">
              <w:rPr>
                <w:color w:val="000000" w:themeColor="text1"/>
                <w:sz w:val="20"/>
                <w:szCs w:val="20"/>
              </w:rPr>
              <w:t xml:space="preserve">15 WTE  </w:t>
            </w:r>
          </w:p>
        </w:tc>
      </w:tr>
      <w:tr w:rsidR="7C97CDB5" w14:paraId="348C4ADF"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59057811" w14:textId="5FFB6000" w:rsidR="7C97CDB5" w:rsidRDefault="7C97CDB5" w:rsidP="7C97CDB5">
            <w:pPr>
              <w:spacing w:line="360" w:lineRule="auto"/>
            </w:pPr>
            <w:r w:rsidRPr="7C97CDB5">
              <w:rPr>
                <w:color w:val="000000" w:themeColor="text1"/>
                <w:sz w:val="20"/>
                <w:szCs w:val="20"/>
              </w:rPr>
              <w:t xml:space="preserve">PTHB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33D2A7AA" w14:textId="2D60C308" w:rsidR="7C97CDB5" w:rsidRDefault="7C97CDB5" w:rsidP="7C97CDB5">
            <w:pPr>
              <w:spacing w:line="360" w:lineRule="auto"/>
            </w:pPr>
            <w:r w:rsidRPr="7C97CDB5">
              <w:rPr>
                <w:color w:val="000000" w:themeColor="text1"/>
                <w:sz w:val="20"/>
                <w:szCs w:val="20"/>
              </w:rPr>
              <w:t xml:space="preserve">£384,720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780491D5" w14:textId="6C17C03C" w:rsidR="7C97CDB5" w:rsidRDefault="7C97CDB5" w:rsidP="7C97CDB5">
            <w:pPr>
              <w:spacing w:line="360" w:lineRule="auto"/>
            </w:pPr>
            <w:r w:rsidRPr="7C97CDB5">
              <w:rPr>
                <w:color w:val="000000" w:themeColor="text1"/>
                <w:sz w:val="20"/>
                <w:szCs w:val="20"/>
              </w:rPr>
              <w:t xml:space="preserve">8.8 WTE across 5 projects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vAlign w:val="center"/>
          </w:tcPr>
          <w:p w14:paraId="12C47F44" w14:textId="5578F5E3" w:rsidR="7C97CDB5" w:rsidRDefault="7C97CDB5" w:rsidP="7C97CDB5">
            <w:pPr>
              <w:spacing w:line="360" w:lineRule="auto"/>
            </w:pPr>
            <w:r w:rsidRPr="7C97CDB5">
              <w:rPr>
                <w:color w:val="000000" w:themeColor="text1"/>
                <w:sz w:val="20"/>
                <w:szCs w:val="20"/>
              </w:rPr>
              <w:t xml:space="preserve">8.4 WTE  </w:t>
            </w:r>
          </w:p>
        </w:tc>
      </w:tr>
      <w:tr w:rsidR="7C97CDB5" w14:paraId="0A565024"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4D2B67C3" w14:textId="71B6F487" w:rsidR="7C97CDB5" w:rsidRDefault="7C97CDB5" w:rsidP="7C97CDB5">
            <w:pPr>
              <w:spacing w:line="360" w:lineRule="auto"/>
            </w:pPr>
            <w:r w:rsidRPr="7C97CDB5">
              <w:rPr>
                <w:color w:val="000000" w:themeColor="text1"/>
                <w:sz w:val="20"/>
                <w:szCs w:val="20"/>
              </w:rPr>
              <w:t xml:space="preserve">SBUHB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7A39AF22" w14:textId="17EF5F3C" w:rsidR="7C97CDB5" w:rsidRDefault="7C97CDB5" w:rsidP="7C97CDB5">
            <w:pPr>
              <w:spacing w:line="360" w:lineRule="auto"/>
            </w:pPr>
            <w:r w:rsidRPr="7C97CDB5">
              <w:rPr>
                <w:color w:val="000000" w:themeColor="text1"/>
                <w:sz w:val="20"/>
                <w:szCs w:val="20"/>
              </w:rPr>
              <w:t xml:space="preserve">£647,440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1AB22786" w14:textId="0C32E971" w:rsidR="7C97CDB5" w:rsidRDefault="7C97CDB5" w:rsidP="7C97CDB5">
            <w:pPr>
              <w:spacing w:line="360" w:lineRule="auto"/>
            </w:pPr>
            <w:r w:rsidRPr="7C97CDB5">
              <w:rPr>
                <w:color w:val="000000" w:themeColor="text1"/>
                <w:sz w:val="20"/>
                <w:szCs w:val="20"/>
              </w:rPr>
              <w:t xml:space="preserve">9.4 WTE (ECC/Virtual Ward)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vAlign w:val="center"/>
          </w:tcPr>
          <w:p w14:paraId="3632879A" w14:textId="06722853" w:rsidR="7C97CDB5" w:rsidRDefault="7C97CDB5" w:rsidP="7C97CDB5">
            <w:pPr>
              <w:spacing w:line="360" w:lineRule="auto"/>
            </w:pPr>
            <w:r w:rsidRPr="7C97CDB5">
              <w:rPr>
                <w:color w:val="000000" w:themeColor="text1"/>
                <w:sz w:val="20"/>
                <w:szCs w:val="20"/>
              </w:rPr>
              <w:t xml:space="preserve">9.4 WTE  </w:t>
            </w:r>
          </w:p>
        </w:tc>
      </w:tr>
      <w:tr w:rsidR="7C97CDB5" w14:paraId="4597596D" w14:textId="77777777" w:rsidTr="7C97CDB5">
        <w:trPr>
          <w:trHeight w:val="300"/>
        </w:trPr>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DD7EE"/>
            <w:vAlign w:val="center"/>
          </w:tcPr>
          <w:p w14:paraId="571590AB" w14:textId="5479EEFE" w:rsidR="7C97CDB5" w:rsidRDefault="7C97CDB5" w:rsidP="7C97CDB5">
            <w:pPr>
              <w:spacing w:line="360" w:lineRule="auto"/>
            </w:pPr>
            <w:r w:rsidRPr="7C97CDB5">
              <w:rPr>
                <w:b/>
                <w:bCs/>
                <w:color w:val="000000" w:themeColor="text1"/>
                <w:sz w:val="20"/>
                <w:szCs w:val="20"/>
              </w:rPr>
              <w:t>TOTAL</w:t>
            </w:r>
            <w:r w:rsidRPr="7C97CDB5">
              <w:rPr>
                <w:color w:val="000000" w:themeColor="text1"/>
                <w:sz w:val="20"/>
                <w:szCs w:val="20"/>
              </w:rPr>
              <w:t xml:space="preserve">  </w:t>
            </w:r>
          </w:p>
        </w:tc>
        <w:tc>
          <w:tcPr>
            <w:tcW w:w="21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DD7EE"/>
            <w:vAlign w:val="center"/>
          </w:tcPr>
          <w:p w14:paraId="5EFF8940" w14:textId="135375DC" w:rsidR="7C97CDB5" w:rsidRDefault="7C97CDB5" w:rsidP="7C97CDB5">
            <w:pPr>
              <w:spacing w:line="360" w:lineRule="auto"/>
            </w:pPr>
            <w:r w:rsidRPr="7C97CDB5">
              <w:rPr>
                <w:b/>
                <w:bCs/>
                <w:color w:val="000000" w:themeColor="text1"/>
                <w:sz w:val="20"/>
                <w:szCs w:val="20"/>
              </w:rPr>
              <w:t>£4,950,000</w:t>
            </w:r>
            <w:r w:rsidRPr="7C97CDB5">
              <w:rPr>
                <w:color w:val="000000" w:themeColor="text1"/>
                <w:sz w:val="20"/>
                <w:szCs w:val="20"/>
              </w:rPr>
              <w:t xml:space="preserve">  </w:t>
            </w:r>
          </w:p>
        </w:tc>
        <w:tc>
          <w:tcPr>
            <w:tcW w:w="29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DD7EE"/>
            <w:vAlign w:val="center"/>
          </w:tcPr>
          <w:p w14:paraId="238C2D90" w14:textId="077F5D1E" w:rsidR="7C97CDB5" w:rsidRDefault="7C97CDB5" w:rsidP="7C97CDB5">
            <w:pPr>
              <w:spacing w:line="360" w:lineRule="auto"/>
            </w:pPr>
            <w:r w:rsidRPr="7C97CDB5">
              <w:rPr>
                <w:b/>
                <w:bCs/>
                <w:color w:val="000000" w:themeColor="text1"/>
                <w:sz w:val="20"/>
                <w:szCs w:val="20"/>
              </w:rPr>
              <w:t xml:space="preserve">~109.31 WTE </w:t>
            </w:r>
            <w:r w:rsidRPr="7C97CDB5">
              <w:rPr>
                <w:color w:val="000000" w:themeColor="text1"/>
                <w:sz w:val="20"/>
                <w:szCs w:val="20"/>
              </w:rPr>
              <w:t xml:space="preserve">(†)  </w:t>
            </w:r>
          </w:p>
        </w:tc>
        <w:tc>
          <w:tcPr>
            <w:tcW w:w="21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DD7EE"/>
            <w:vAlign w:val="center"/>
          </w:tcPr>
          <w:p w14:paraId="4F545EAC" w14:textId="70A062C1" w:rsidR="7C97CDB5" w:rsidRDefault="7C97CDB5" w:rsidP="7C97CDB5">
            <w:pPr>
              <w:spacing w:line="360" w:lineRule="auto"/>
            </w:pPr>
            <w:r w:rsidRPr="7C97CDB5">
              <w:rPr>
                <w:b/>
                <w:bCs/>
                <w:color w:val="000000" w:themeColor="text1"/>
                <w:sz w:val="20"/>
                <w:szCs w:val="20"/>
              </w:rPr>
              <w:t>102.6 WTE</w:t>
            </w:r>
            <w:r w:rsidRPr="7C97CDB5">
              <w:rPr>
                <w:color w:val="000000" w:themeColor="text1"/>
                <w:sz w:val="20"/>
                <w:szCs w:val="20"/>
              </w:rPr>
              <w:t xml:space="preserve"> </w:t>
            </w:r>
          </w:p>
        </w:tc>
      </w:tr>
    </w:tbl>
    <w:p w14:paraId="0B61A967" w14:textId="1E1022D5" w:rsidR="7C97CDB5" w:rsidRDefault="7C97CDB5" w:rsidP="7C97CDB5">
      <w:pPr>
        <w:spacing w:line="360" w:lineRule="auto"/>
        <w:jc w:val="both"/>
        <w:rPr>
          <w:color w:val="000000" w:themeColor="text1"/>
        </w:rPr>
      </w:pPr>
    </w:p>
    <w:p w14:paraId="63E9A747" w14:textId="630AC687" w:rsidR="0D31EDB8" w:rsidRDefault="0D31EDB8" w:rsidP="009D5529">
      <w:pPr>
        <w:spacing w:after="160" w:line="276" w:lineRule="auto"/>
        <w:jc w:val="both"/>
        <w:rPr>
          <w:i/>
          <w:iCs/>
          <w:sz w:val="20"/>
          <w:szCs w:val="20"/>
        </w:rPr>
      </w:pPr>
      <w:r w:rsidRPr="7C97CDB5">
        <w:rPr>
          <w:i/>
          <w:iCs/>
          <w:sz w:val="20"/>
          <w:szCs w:val="20"/>
        </w:rPr>
        <w:t xml:space="preserve">* HDdUHB: total recurrent funding increased to £884,018; this is due to a </w:t>
      </w:r>
      <w:r w:rsidRPr="7C97CDB5">
        <w:rPr>
          <w:b/>
          <w:bCs/>
          <w:i/>
          <w:iCs/>
          <w:sz w:val="20"/>
          <w:szCs w:val="20"/>
        </w:rPr>
        <w:t>locally</w:t>
      </w:r>
      <w:r w:rsidRPr="7C97CDB5">
        <w:rPr>
          <w:i/>
          <w:iCs/>
          <w:sz w:val="20"/>
          <w:szCs w:val="20"/>
        </w:rPr>
        <w:t xml:space="preserve"> funded 37.4% increase to expand its Community Integrated Stroke Team (and not increased WG allocation). </w:t>
      </w:r>
    </w:p>
    <w:p w14:paraId="25FA9E0E" w14:textId="7185169B" w:rsidR="31DFF923" w:rsidRDefault="31DFF923" w:rsidP="009D5529">
      <w:pPr>
        <w:spacing w:after="160" w:line="276" w:lineRule="auto"/>
        <w:jc w:val="both"/>
        <w:rPr>
          <w:i/>
          <w:iCs/>
          <w:sz w:val="20"/>
          <w:szCs w:val="20"/>
        </w:rPr>
      </w:pPr>
      <w:r w:rsidRPr="7C97CDB5">
        <w:rPr>
          <w:i/>
          <w:iCs/>
          <w:sz w:val="20"/>
          <w:szCs w:val="20"/>
        </w:rPr>
        <w:t xml:space="preserve">(†) </w:t>
      </w:r>
      <w:r w:rsidR="72C37B94" w:rsidRPr="7C97CDB5">
        <w:rPr>
          <w:i/>
          <w:iCs/>
          <w:sz w:val="20"/>
          <w:szCs w:val="20"/>
        </w:rPr>
        <w:t xml:space="preserve">WTE figures for 2025/26 reflect funded establishment as reported by each region; several regions now fund multiple smaller projects rather than a single service, so WTE totals are aggregated across projects. Therefore, whilst WTE increased overall from 110 posts to </w:t>
      </w:r>
      <w:r w:rsidR="72C37B94" w:rsidRPr="7C97CDB5">
        <w:rPr>
          <w:b/>
          <w:bCs/>
          <w:i/>
          <w:iCs/>
          <w:sz w:val="20"/>
          <w:szCs w:val="20"/>
        </w:rPr>
        <w:t>118</w:t>
      </w:r>
      <w:r w:rsidR="72C37B94" w:rsidRPr="7C97CDB5">
        <w:rPr>
          <w:i/>
          <w:iCs/>
          <w:sz w:val="20"/>
          <w:szCs w:val="20"/>
        </w:rPr>
        <w:t>, this is influenced by more granular project-level reporting, re-profiling of roles, projects being counted differently and</w:t>
      </w:r>
      <w:r w:rsidR="72C37B94" w:rsidRPr="7C97CDB5">
        <w:rPr>
          <w:i/>
          <w:iCs/>
          <w:color w:val="000000" w:themeColor="text1"/>
          <w:sz w:val="20"/>
          <w:szCs w:val="20"/>
        </w:rPr>
        <w:t xml:space="preserve"> internal organisational’ transformation and prioritisation of</w:t>
      </w:r>
      <w:r w:rsidR="72C37B94" w:rsidRPr="7C97CDB5">
        <w:rPr>
          <w:i/>
          <w:iCs/>
          <w:sz w:val="20"/>
          <w:szCs w:val="20"/>
        </w:rPr>
        <w:t xml:space="preserve"> vacancies being actively recruited to. A full project-by-project breakdown is provided in the detailed report.</w:t>
      </w:r>
    </w:p>
    <w:p w14:paraId="75FBD8B7" w14:textId="7C0A5BC2" w:rsidR="009D5529" w:rsidRDefault="63A61DC0" w:rsidP="009D5529">
      <w:pPr>
        <w:spacing w:after="160" w:line="276" w:lineRule="auto"/>
        <w:jc w:val="both"/>
      </w:pPr>
      <w:r w:rsidRPr="7C97CDB5">
        <w:t xml:space="preserve">The 2025/26 AHP investment represents an increase in existing Health Board establishment, with investment-funded WTE rising from a 2024/25 baseline of 102.6 WTE to approximately 109.31 WTE — an increase of around 6.71 WTE across Wales. In May 2026, this equated to approximately 1.82% of the wider qualified </w:t>
      </w:r>
      <w:r w:rsidR="6BA43CAE" w:rsidRPr="7C97CDB5">
        <w:t xml:space="preserve">Health Board </w:t>
      </w:r>
      <w:r w:rsidRPr="7C97CDB5">
        <w:t xml:space="preserve">AHP workforce establishment of 6,011 WTE, excluding support, assistant and associate AHP practitioners. This compares with May 2025, when the qualified </w:t>
      </w:r>
      <w:r w:rsidR="54C179DA" w:rsidRPr="7C97CDB5">
        <w:t xml:space="preserve">Health Board </w:t>
      </w:r>
      <w:r w:rsidRPr="7C97CDB5">
        <w:t xml:space="preserve">AHP workforce establishment was reported as 5,912 WTE and investment-funded WTE accounted for approximately 1.74%. The year-on-year movement therefore indicates an increase in both absolute investment-funded capacity and its relative share of the qualified </w:t>
      </w:r>
      <w:r w:rsidR="20AAE81F" w:rsidRPr="7C97CDB5">
        <w:t xml:space="preserve">Health Board </w:t>
      </w:r>
      <w:r w:rsidRPr="7C97CDB5">
        <w:t>AHP workforce.</w:t>
      </w:r>
    </w:p>
    <w:p w14:paraId="2C3A02E8" w14:textId="527F3AB3" w:rsidR="4189A0A0" w:rsidRDefault="4189A0A0" w:rsidP="7C97CDB5">
      <w:pPr>
        <w:pStyle w:val="Heading1"/>
      </w:pPr>
      <w:r>
        <w:t>Conclusion and next steps</w:t>
      </w:r>
    </w:p>
    <w:p w14:paraId="0B6BF85B" w14:textId="7B5FFFD2" w:rsidR="6024B3EB" w:rsidRDefault="6024B3EB" w:rsidP="009D5529">
      <w:pPr>
        <w:spacing w:after="160" w:line="276" w:lineRule="auto"/>
        <w:jc w:val="both"/>
      </w:pPr>
      <w:r w:rsidRPr="7C97CDB5">
        <w:t xml:space="preserve">Overall, the investment has strengthened AHP capacity across Health Boards in primary, community and enhanced community care pathways. </w:t>
      </w:r>
    </w:p>
    <w:p w14:paraId="735685D1" w14:textId="1EDC1913" w:rsidR="4189A0A0" w:rsidRDefault="4189A0A0" w:rsidP="009D5529">
      <w:pPr>
        <w:spacing w:after="160" w:line="276" w:lineRule="auto"/>
        <w:jc w:val="both"/>
      </w:pPr>
      <w:r>
        <w:t xml:space="preserve">The evidence from 2025/26 demonstrates that recurrent AHP investment is delivering tangible value across Wales: improving timely access to rehabilitation, prevention and recovery support closer to home; avoiding admissions and readmissions; enabling earlier discharge; and strengthening community capacity in line with national system priorities. </w:t>
      </w:r>
    </w:p>
    <w:p w14:paraId="7F5E968D" w14:textId="72E7DFC6" w:rsidR="4189A0A0" w:rsidRDefault="4189A0A0" w:rsidP="009D5529">
      <w:pPr>
        <w:spacing w:after="160" w:line="276" w:lineRule="auto"/>
        <w:jc w:val="both"/>
      </w:pPr>
      <w:r>
        <w:lastRenderedPageBreak/>
        <w:t>While the maturity and consistency of outcome reporting varies, the direction of travel is clear.</w:t>
      </w:r>
      <w:r w:rsidR="37E02618">
        <w:t xml:space="preserve"> </w:t>
      </w:r>
      <w:r>
        <w:t>Where AHP capacity is embedded in primary, community and enhanced community care pathways, it contributes directly to improved outcomes for individuals, better use of acute capacity, and more sustainable models of care.</w:t>
      </w:r>
    </w:p>
    <w:p w14:paraId="78A1221E" w14:textId="0AC802C2" w:rsidR="4189A0A0" w:rsidRDefault="4189A0A0" w:rsidP="009D5529">
      <w:pPr>
        <w:spacing w:after="160" w:line="276" w:lineRule="auto"/>
        <w:jc w:val="both"/>
      </w:pPr>
      <w:r>
        <w:t xml:space="preserve">The priority for 2026/27 is to consolidate and strengthen this impact: maintaining recurrent investment, improving the consistency of all-Wales outcome and ROI reporting, and supporting regions to move from activity description to clearer evidence of system benefit. This will require improved digital infrastructure, more consistent use of agreed outcome measures, and continued national leadership to share learning, identify risk early and ensure </w:t>
      </w:r>
      <w:r w:rsidR="000C4CCE">
        <w:t>multi-professional led</w:t>
      </w:r>
      <w:r>
        <w:t xml:space="preserve"> models are embedded as core components of community and primary care transformation.</w:t>
      </w:r>
    </w:p>
    <w:p w14:paraId="3F566BBD" w14:textId="3CE3F798" w:rsidR="7C97CDB5" w:rsidRDefault="7C97CDB5" w:rsidP="009D5529">
      <w:pPr>
        <w:spacing w:after="160" w:line="276" w:lineRule="auto"/>
        <w:jc w:val="both"/>
      </w:pPr>
      <w:r>
        <w:t>This will be taken forward through a reporting framework that supports regional teams to capture meaningful ROI data and provides national assurance and insight on the impact of the investment.</w:t>
      </w:r>
    </w:p>
    <w:p w14:paraId="5E3131DA" w14:textId="1A6B7507" w:rsidR="7C97CDB5" w:rsidRDefault="7C97CDB5" w:rsidP="009D5529">
      <w:pPr>
        <w:pStyle w:val="ListParagraph"/>
        <w:numPr>
          <w:ilvl w:val="0"/>
          <w:numId w:val="1"/>
        </w:numPr>
        <w:spacing w:line="276" w:lineRule="auto"/>
      </w:pPr>
      <w:r>
        <w:t>At national level:</w:t>
      </w:r>
    </w:p>
    <w:p w14:paraId="2A775FF6" w14:textId="71394F01" w:rsidR="7C97CDB5" w:rsidRDefault="7C97CDB5" w:rsidP="009D5529">
      <w:pPr>
        <w:pStyle w:val="ListParagraph"/>
        <w:numPr>
          <w:ilvl w:val="1"/>
          <w:numId w:val="1"/>
        </w:numPr>
        <w:spacing w:line="276" w:lineRule="auto"/>
      </w:pPr>
      <w:r>
        <w:t>Review and revise the 2026/27 reporting template with health economics input, ensuring it captures system impact and is aligned to Community by Design and relevant national policy.</w:t>
      </w:r>
    </w:p>
    <w:p w14:paraId="3F9823A2" w14:textId="0EC4E463" w:rsidR="4640AF2F" w:rsidRDefault="54C0662C" w:rsidP="009D5529">
      <w:pPr>
        <w:numPr>
          <w:ilvl w:val="1"/>
          <w:numId w:val="1"/>
        </w:numPr>
        <w:spacing w:line="276" w:lineRule="auto"/>
        <w:jc w:val="both"/>
      </w:pPr>
      <w:r w:rsidRPr="005629F1">
        <w:rPr>
          <w:color w:val="000000" w:themeColor="text1"/>
        </w:rPr>
        <w:t>Work with Value Transformation as a clinical partner in the codesign of the proposed NHS Wales Performance and Improvement Value Transformation’ National Evaluation Framework</w:t>
      </w:r>
      <w:r w:rsidR="05299E25" w:rsidRPr="005629F1">
        <w:rPr>
          <w:color w:val="000000" w:themeColor="text1"/>
        </w:rPr>
        <w:t>.</w:t>
      </w:r>
      <w:r w:rsidR="005629F1">
        <w:rPr>
          <w:color w:val="000000" w:themeColor="text1"/>
        </w:rPr>
        <w:t xml:space="preserve">  </w:t>
      </w:r>
      <w:r w:rsidR="4640AF2F" w:rsidRPr="005629F1">
        <w:rPr>
          <w:color w:val="000000" w:themeColor="text1"/>
        </w:rPr>
        <w:t xml:space="preserve">Ensuring the </w:t>
      </w:r>
      <w:r w:rsidR="675B7DC8" w:rsidRPr="005629F1">
        <w:rPr>
          <w:color w:val="000000" w:themeColor="text1"/>
        </w:rPr>
        <w:t xml:space="preserve">national </w:t>
      </w:r>
      <w:r w:rsidR="4640AF2F" w:rsidRPr="005629F1">
        <w:rPr>
          <w:color w:val="000000" w:themeColor="text1"/>
        </w:rPr>
        <w:t xml:space="preserve">framework is informed by </w:t>
      </w:r>
      <w:r w:rsidR="09C4F01A" w:rsidRPr="005629F1">
        <w:rPr>
          <w:color w:val="000000" w:themeColor="text1"/>
        </w:rPr>
        <w:t>a</w:t>
      </w:r>
      <w:r w:rsidR="4640AF2F" w:rsidRPr="005629F1">
        <w:rPr>
          <w:color w:val="000000" w:themeColor="text1"/>
        </w:rPr>
        <w:t xml:space="preserve"> </w:t>
      </w:r>
      <w:r w:rsidR="06648104" w:rsidRPr="005629F1">
        <w:rPr>
          <w:color w:val="000000" w:themeColor="text1"/>
        </w:rPr>
        <w:t>m</w:t>
      </w:r>
      <w:r w:rsidR="4640AF2F" w:rsidRPr="005629F1">
        <w:rPr>
          <w:color w:val="000000" w:themeColor="text1"/>
        </w:rPr>
        <w:t>ulti-professional, primary and community care delivery lens aligned to Welsh Government investment decisions.</w:t>
      </w:r>
    </w:p>
    <w:p w14:paraId="258D0CC8" w14:textId="38890219" w:rsidR="7C97CDB5" w:rsidRDefault="7C97CDB5" w:rsidP="009D5529">
      <w:pPr>
        <w:spacing w:line="276" w:lineRule="auto"/>
        <w:ind w:left="1440"/>
        <w:jc w:val="both"/>
        <w:rPr>
          <w:color w:val="000000" w:themeColor="text1"/>
        </w:rPr>
      </w:pPr>
    </w:p>
    <w:p w14:paraId="679A45BF" w14:textId="3E0D3B38" w:rsidR="7C97CDB5" w:rsidRDefault="7C97CDB5" w:rsidP="009D5529">
      <w:pPr>
        <w:pStyle w:val="ListParagraph"/>
        <w:numPr>
          <w:ilvl w:val="0"/>
          <w:numId w:val="1"/>
        </w:numPr>
        <w:spacing w:line="276" w:lineRule="auto"/>
      </w:pPr>
      <w:r>
        <w:t>At regional level:</w:t>
      </w:r>
    </w:p>
    <w:p w14:paraId="50658AD1" w14:textId="6A7691C7" w:rsidR="7C97CDB5" w:rsidRDefault="7C97CDB5" w:rsidP="009D5529">
      <w:pPr>
        <w:pStyle w:val="ListParagraph"/>
        <w:numPr>
          <w:ilvl w:val="1"/>
          <w:numId w:val="1"/>
        </w:numPr>
        <w:spacing w:line="276" w:lineRule="auto"/>
      </w:pPr>
      <w:r>
        <w:t>Present themes relating to reporting opportunities and challenges to the National AHP Leadership Peer Group for discussion, working with national leadership to agree how these themes should inform the standard reporting framework.</w:t>
      </w:r>
    </w:p>
    <w:p w14:paraId="26997880" w14:textId="3614411D" w:rsidR="7C97CDB5" w:rsidRDefault="7C97CDB5" w:rsidP="009D5529">
      <w:pPr>
        <w:pStyle w:val="ListParagraph"/>
        <w:numPr>
          <w:ilvl w:val="2"/>
          <w:numId w:val="1"/>
        </w:numPr>
        <w:spacing w:line="276" w:lineRule="auto"/>
      </w:pPr>
      <w:r>
        <w:t>Inform and facilitate subsequent actions to integrate agreed themes into the standard reporting framework.</w:t>
      </w:r>
    </w:p>
    <w:p w14:paraId="5CF0FA2C" w14:textId="77777777" w:rsidR="009D5529" w:rsidRDefault="12C2EF26" w:rsidP="009D5529">
      <w:pPr>
        <w:numPr>
          <w:ilvl w:val="2"/>
          <w:numId w:val="1"/>
        </w:numPr>
        <w:spacing w:line="276" w:lineRule="auto"/>
        <w:jc w:val="both"/>
      </w:pPr>
      <w:r w:rsidRPr="7C97CDB5">
        <w:t>E</w:t>
      </w:r>
      <w:r w:rsidR="6E42E6B6" w:rsidRPr="7C97CDB5">
        <w:t>xplore opportunities to scale initiatives where ROI evidence demonstrates improvements in care delivery, clinical outcomes and service user experience.</w:t>
      </w:r>
    </w:p>
    <w:p w14:paraId="3AA27D47" w14:textId="77777777" w:rsidR="009D5529" w:rsidRDefault="331AF5D4" w:rsidP="009D5529">
      <w:pPr>
        <w:numPr>
          <w:ilvl w:val="2"/>
          <w:numId w:val="1"/>
        </w:numPr>
        <w:spacing w:line="276" w:lineRule="auto"/>
        <w:jc w:val="both"/>
      </w:pPr>
      <w:r w:rsidRPr="7C97CDB5">
        <w:t>S</w:t>
      </w:r>
      <w:r w:rsidR="6E42E6B6" w:rsidRPr="7C97CDB5">
        <w:t xml:space="preserve">ervices using the Additional AHP Investment to </w:t>
      </w:r>
      <w:r w:rsidR="69BB0AEA" w:rsidRPr="7C97CDB5">
        <w:t xml:space="preserve">work with national leadership to </w:t>
      </w:r>
      <w:r w:rsidR="6E42E6B6" w:rsidRPr="7C97CDB5">
        <w:t>support development of the National Evaluation Framework, ensuring it is co-produced with those currently transforming delivery.</w:t>
      </w:r>
    </w:p>
    <w:p w14:paraId="2E55B1D9" w14:textId="77777777" w:rsidR="009D5529" w:rsidRDefault="009D5529" w:rsidP="009D5529">
      <w:pPr>
        <w:spacing w:line="276" w:lineRule="auto"/>
        <w:jc w:val="both"/>
      </w:pPr>
    </w:p>
    <w:p w14:paraId="0D63BB25" w14:textId="06ACCD89" w:rsidR="006431F8" w:rsidRDefault="006431F8" w:rsidP="009D5529">
      <w:pPr>
        <w:spacing w:line="276" w:lineRule="auto"/>
        <w:jc w:val="both"/>
      </w:pPr>
      <w:r w:rsidRPr="00653563">
        <w:t>Given that this funding is part of the recurring allocation to Health Board</w:t>
      </w:r>
      <w:r>
        <w:t xml:space="preserve"> regions</w:t>
      </w:r>
      <w:r w:rsidRPr="00653563">
        <w:t>, it is the expectation that this is business as usual.  However, to reinforce to Health Boards that the continued focus of this funding should be maintained, an annual report will be produced by NHS</w:t>
      </w:r>
      <w:r>
        <w:t xml:space="preserve"> </w:t>
      </w:r>
      <w:r w:rsidRPr="00653563">
        <w:t>W</w:t>
      </w:r>
      <w:r>
        <w:t xml:space="preserve">ales </w:t>
      </w:r>
      <w:r w:rsidRPr="00653563">
        <w:t>P</w:t>
      </w:r>
      <w:r>
        <w:t>erformance and Improvement</w:t>
      </w:r>
      <w:r w:rsidR="008E6A72">
        <w:t xml:space="preserve"> informed by the above</w:t>
      </w:r>
      <w:r w:rsidRPr="00653563">
        <w:t xml:space="preserve"> going forward.</w:t>
      </w:r>
    </w:p>
    <w:p w14:paraId="776EE7CF" w14:textId="77777777" w:rsidR="009D5529" w:rsidRDefault="009D5529" w:rsidP="7C97CDB5">
      <w:pPr>
        <w:pStyle w:val="Heading1"/>
        <w:spacing w:after="160"/>
      </w:pPr>
    </w:p>
    <w:p w14:paraId="7F30C980" w14:textId="7E4962D0" w:rsidR="000337B5" w:rsidRDefault="006744F6" w:rsidP="04620674">
      <w:pPr>
        <w:pStyle w:val="Heading1"/>
        <w:spacing w:after="160"/>
      </w:pPr>
      <w:r>
        <w:lastRenderedPageBreak/>
        <w:t>Appendix 1</w:t>
      </w:r>
      <w:r w:rsidR="0C7725B9">
        <w:t xml:space="preserve">: </w:t>
      </w:r>
      <w:r>
        <w:t>2025/26 health board region headlines.</w:t>
      </w:r>
    </w:p>
    <w:tbl>
      <w:tblPr>
        <w:tblW w:w="949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3380"/>
        <w:gridCol w:w="4515"/>
      </w:tblGrid>
      <w:tr w:rsidR="000337B5" w14:paraId="224BCB37"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1F4E79"/>
            <w:tcMar>
              <w:top w:w="80" w:type="dxa"/>
              <w:left w:w="120" w:type="dxa"/>
              <w:bottom w:w="80" w:type="dxa"/>
              <w:right w:w="120" w:type="dxa"/>
            </w:tcMar>
            <w:vAlign w:val="center"/>
          </w:tcPr>
          <w:p w14:paraId="0DAF2911" w14:textId="77777777" w:rsidR="000337B5" w:rsidRDefault="006744F6">
            <w:r>
              <w:rPr>
                <w:b/>
                <w:bCs/>
                <w:color w:val="FFFFFF"/>
                <w:sz w:val="20"/>
                <w:szCs w:val="20"/>
              </w:rPr>
              <w:t>Health Board Region</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1F4E79"/>
            <w:tcMar>
              <w:top w:w="80" w:type="dxa"/>
              <w:left w:w="120" w:type="dxa"/>
              <w:bottom w:w="80" w:type="dxa"/>
              <w:right w:w="120" w:type="dxa"/>
            </w:tcMar>
            <w:vAlign w:val="center"/>
          </w:tcPr>
          <w:p w14:paraId="13C72481" w14:textId="77777777" w:rsidR="000337B5" w:rsidRDefault="006744F6">
            <w:r>
              <w:rPr>
                <w:b/>
                <w:bCs/>
                <w:color w:val="FFFFFF"/>
                <w:sz w:val="20"/>
                <w:szCs w:val="20"/>
              </w:rPr>
              <w:t>Project detail (2025/26)</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1F4E79"/>
            <w:tcMar>
              <w:top w:w="80" w:type="dxa"/>
              <w:left w:w="120" w:type="dxa"/>
              <w:bottom w:w="80" w:type="dxa"/>
              <w:right w:w="120" w:type="dxa"/>
            </w:tcMar>
            <w:vAlign w:val="center"/>
          </w:tcPr>
          <w:p w14:paraId="59D02C99" w14:textId="77777777" w:rsidR="000337B5" w:rsidRDefault="006744F6">
            <w:r>
              <w:rPr>
                <w:b/>
                <w:bCs/>
                <w:color w:val="FFFFFF"/>
                <w:sz w:val="20"/>
                <w:szCs w:val="20"/>
              </w:rPr>
              <w:t>Summary of key headlines at end of 2025/26</w:t>
            </w:r>
          </w:p>
        </w:tc>
      </w:tr>
      <w:tr w:rsidR="000337B5" w14:paraId="0BD3C945"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50BFCA75" w14:textId="77777777" w:rsidR="000337B5" w:rsidRDefault="006744F6">
            <w:pPr>
              <w:spacing w:after="160"/>
            </w:pPr>
            <w:r>
              <w:rPr>
                <w:b/>
                <w:bCs/>
                <w:sz w:val="20"/>
                <w:szCs w:val="20"/>
              </w:rPr>
              <w:t>ABUHB</w:t>
            </w:r>
          </w:p>
          <w:p w14:paraId="68C6BD4C" w14:textId="77777777" w:rsidR="000337B5" w:rsidRDefault="006744F6">
            <w:pPr>
              <w:spacing w:after="160"/>
            </w:pPr>
            <w:r>
              <w:rPr>
                <w:sz w:val="20"/>
                <w:szCs w:val="20"/>
              </w:rPr>
              <w:t>£850,000</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2B5901CC" w14:textId="77777777" w:rsidR="000337B5" w:rsidRDefault="006744F6">
            <w:pPr>
              <w:spacing w:after="80"/>
            </w:pPr>
            <w:r>
              <w:rPr>
                <w:sz w:val="20"/>
                <w:szCs w:val="20"/>
              </w:rPr>
              <w:t>Community Admission Avoidance Therapy Team (CAATT) — single, pan-Gwent admission avoidance service operating from the acute front door, now running 7/7 on a 12-hour shift pattern (launched January 2026).</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10A6CC40" w14:textId="77777777" w:rsidR="000337B5" w:rsidRDefault="006744F6">
            <w:pPr>
              <w:spacing w:after="80"/>
            </w:pPr>
            <w:r>
              <w:rPr>
                <w:sz w:val="20"/>
                <w:szCs w:val="20"/>
              </w:rPr>
              <w:t>5,198 referrals responded to; 1,783 admissions avoided (51% of those reaching assessment); 73% of avoidances achieved within 24 hours.</w:t>
            </w:r>
          </w:p>
          <w:p w14:paraId="69F65E42" w14:textId="77777777" w:rsidR="000337B5" w:rsidRDefault="006744F6">
            <w:pPr>
              <w:spacing w:after="80"/>
            </w:pPr>
            <w:r>
              <w:rPr>
                <w:sz w:val="20"/>
                <w:szCs w:val="20"/>
              </w:rPr>
              <w:t>Estimated £1.27m of acute bed capacity value released (≈150% recovery of the £850k recurrent investment), using a conservative £300-per-bed-day methodology.</w:t>
            </w:r>
          </w:p>
          <w:p w14:paraId="2B8AEDDC" w14:textId="77777777" w:rsidR="000337B5" w:rsidRDefault="006744F6">
            <w:pPr>
              <w:spacing w:after="80"/>
            </w:pPr>
            <w:r>
              <w:rPr>
                <w:sz w:val="20"/>
                <w:szCs w:val="20"/>
              </w:rPr>
              <w:t>100% of survey respondents felt treated with dignity and respect; strong multi-professional partnership working across ED, WAST, and community services.</w:t>
            </w:r>
          </w:p>
        </w:tc>
      </w:tr>
      <w:tr w:rsidR="000337B5" w14:paraId="39F83BF7"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56DD2652" w14:textId="77777777" w:rsidR="000337B5" w:rsidRDefault="006744F6">
            <w:pPr>
              <w:spacing w:after="160"/>
            </w:pPr>
            <w:r>
              <w:rPr>
                <w:b/>
                <w:bCs/>
                <w:sz w:val="20"/>
                <w:szCs w:val="20"/>
              </w:rPr>
              <w:t>BCUHB</w:t>
            </w:r>
          </w:p>
          <w:p w14:paraId="7D13F1D9" w14:textId="77777777" w:rsidR="000337B5" w:rsidRDefault="006744F6">
            <w:pPr>
              <w:spacing w:after="160"/>
            </w:pPr>
            <w:r>
              <w:rPr>
                <w:sz w:val="20"/>
                <w:szCs w:val="20"/>
              </w:rPr>
              <w:t>£963,280</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01321EC7" w14:textId="3B580253" w:rsidR="000337B5" w:rsidRDefault="006744F6">
            <w:pPr>
              <w:spacing w:after="80"/>
            </w:pPr>
            <w:r>
              <w:rPr>
                <w:sz w:val="20"/>
                <w:szCs w:val="20"/>
              </w:rPr>
              <w:t xml:space="preserve">Seven distinct </w:t>
            </w:r>
            <w:r w:rsidR="00CD5559">
              <w:rPr>
                <w:sz w:val="20"/>
                <w:szCs w:val="20"/>
              </w:rPr>
              <w:t xml:space="preserve">but complementary </w:t>
            </w:r>
            <w:r>
              <w:rPr>
                <w:sz w:val="20"/>
                <w:szCs w:val="20"/>
              </w:rPr>
              <w:t xml:space="preserve">projects: Discharge to Recover &amp; Assess (D2RA); Occupational Therapy </w:t>
            </w:r>
            <w:r w:rsidR="00503657">
              <w:rPr>
                <w:sz w:val="20"/>
                <w:szCs w:val="20"/>
              </w:rPr>
              <w:t xml:space="preserve">(OT) </w:t>
            </w:r>
            <w:r>
              <w:rPr>
                <w:sz w:val="20"/>
                <w:szCs w:val="20"/>
              </w:rPr>
              <w:t>Early Intervention Service</w:t>
            </w:r>
            <w:r w:rsidR="0074486E">
              <w:rPr>
                <w:sz w:val="20"/>
                <w:szCs w:val="20"/>
              </w:rPr>
              <w:t xml:space="preserve"> for people with Chronic Conditions</w:t>
            </w:r>
            <w:r>
              <w:rPr>
                <w:sz w:val="20"/>
                <w:szCs w:val="20"/>
              </w:rPr>
              <w:t>; OT Care Home Project; Enhanced AHP Rehab Service; two Dietetics MDT/diabetes enhancement projects; and Physiotherapy Primary Care Improvement.</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7AD35F07" w14:textId="42F8B8A5" w:rsidR="000337B5" w:rsidRDefault="006744F6">
            <w:pPr>
              <w:spacing w:after="80"/>
              <w:rPr>
                <w:sz w:val="20"/>
                <w:szCs w:val="20"/>
              </w:rPr>
            </w:pPr>
            <w:r>
              <w:rPr>
                <w:sz w:val="20"/>
                <w:szCs w:val="20"/>
              </w:rPr>
              <w:t>D2RA: 703 new patients, 1,940 follow-ups; 243 earlier discharges and 105 admissions avoided</w:t>
            </w:r>
            <w:r w:rsidR="00503657">
              <w:t xml:space="preserve"> </w:t>
            </w:r>
            <w:r w:rsidR="00503657" w:rsidRPr="00503657">
              <w:rPr>
                <w:sz w:val="20"/>
                <w:szCs w:val="20"/>
              </w:rPr>
              <w:t>and 162 avoided readmissions</w:t>
            </w:r>
            <w:r>
              <w:rPr>
                <w:sz w:val="20"/>
                <w:szCs w:val="20"/>
              </w:rPr>
              <w:t>.</w:t>
            </w:r>
          </w:p>
          <w:p w14:paraId="330252BA" w14:textId="32BAC2D0" w:rsidR="00DF1973" w:rsidRPr="00DF1973" w:rsidRDefault="00F62BE5">
            <w:pPr>
              <w:spacing w:after="80"/>
              <w:rPr>
                <w:sz w:val="20"/>
                <w:szCs w:val="20"/>
              </w:rPr>
            </w:pPr>
            <w:r w:rsidRPr="00F62BE5">
              <w:rPr>
                <w:sz w:val="20"/>
                <w:szCs w:val="20"/>
              </w:rPr>
              <w:t xml:space="preserve">The </w:t>
            </w:r>
            <w:r w:rsidR="00A6798F">
              <w:rPr>
                <w:sz w:val="20"/>
                <w:szCs w:val="20"/>
              </w:rPr>
              <w:t>OT</w:t>
            </w:r>
            <w:r w:rsidRPr="00F62BE5">
              <w:rPr>
                <w:sz w:val="20"/>
                <w:szCs w:val="20"/>
              </w:rPr>
              <w:t xml:space="preserve"> Early Intervention Service now demonstrates measurable improvement in </w:t>
            </w:r>
            <w:r>
              <w:rPr>
                <w:sz w:val="20"/>
                <w:szCs w:val="20"/>
              </w:rPr>
              <w:t>individuals</w:t>
            </w:r>
            <w:r w:rsidR="00B762FD">
              <w:rPr>
                <w:sz w:val="20"/>
                <w:szCs w:val="20"/>
              </w:rPr>
              <w:t>’</w:t>
            </w:r>
            <w:r w:rsidRPr="00F62BE5">
              <w:rPr>
                <w:sz w:val="20"/>
                <w:szCs w:val="20"/>
              </w:rPr>
              <w:t xml:space="preserve"> confidence (+0.65) and functional ability (6.54 to 7.68), supported by group-based fatigue management.</w:t>
            </w:r>
          </w:p>
          <w:p w14:paraId="15077E06" w14:textId="3107D2FD" w:rsidR="000C1207" w:rsidRDefault="00A6798F">
            <w:pPr>
              <w:spacing w:after="80"/>
              <w:rPr>
                <w:sz w:val="20"/>
                <w:szCs w:val="20"/>
              </w:rPr>
            </w:pPr>
            <w:r>
              <w:rPr>
                <w:sz w:val="20"/>
                <w:szCs w:val="20"/>
              </w:rPr>
              <w:t>OT</w:t>
            </w:r>
            <w:r w:rsidR="005D6B3B">
              <w:rPr>
                <w:sz w:val="20"/>
                <w:szCs w:val="20"/>
              </w:rPr>
              <w:t xml:space="preserve"> Care Home Project</w:t>
            </w:r>
            <w:r w:rsidR="000C1207" w:rsidRPr="000C1207">
              <w:rPr>
                <w:sz w:val="20"/>
                <w:szCs w:val="20"/>
              </w:rPr>
              <w:t xml:space="preserve">: </w:t>
            </w:r>
            <w:r w:rsidR="00E93794">
              <w:rPr>
                <w:sz w:val="20"/>
                <w:szCs w:val="20"/>
              </w:rPr>
              <w:t>now</w:t>
            </w:r>
            <w:r w:rsidR="00E93794" w:rsidRPr="00E93794">
              <w:rPr>
                <w:sz w:val="20"/>
                <w:szCs w:val="20"/>
              </w:rPr>
              <w:t xml:space="preserve"> scaled across 74 homes and contributes to safeguarding, </w:t>
            </w:r>
            <w:r w:rsidR="00D855A5">
              <w:rPr>
                <w:sz w:val="20"/>
                <w:szCs w:val="20"/>
              </w:rPr>
              <w:t xml:space="preserve">optimised </w:t>
            </w:r>
            <w:r w:rsidR="00E93794" w:rsidRPr="00E93794">
              <w:rPr>
                <w:sz w:val="20"/>
                <w:szCs w:val="20"/>
              </w:rPr>
              <w:t>pathway</w:t>
            </w:r>
            <w:r w:rsidR="00860EAA">
              <w:rPr>
                <w:sz w:val="20"/>
                <w:szCs w:val="20"/>
              </w:rPr>
              <w:t xml:space="preserve">s </w:t>
            </w:r>
            <w:r w:rsidR="00E93794" w:rsidRPr="00E93794">
              <w:rPr>
                <w:sz w:val="20"/>
                <w:szCs w:val="20"/>
              </w:rPr>
              <w:t>and system</w:t>
            </w:r>
            <w:r w:rsidR="00860EAA">
              <w:rPr>
                <w:sz w:val="20"/>
                <w:szCs w:val="20"/>
              </w:rPr>
              <w:t>s</w:t>
            </w:r>
            <w:r w:rsidR="00E93794" w:rsidRPr="00E93794">
              <w:rPr>
                <w:sz w:val="20"/>
                <w:szCs w:val="20"/>
              </w:rPr>
              <w:t xml:space="preserve"> oversight.</w:t>
            </w:r>
            <w:r w:rsidR="00BC761A">
              <w:rPr>
                <w:sz w:val="20"/>
                <w:szCs w:val="20"/>
              </w:rPr>
              <w:t xml:space="preserve"> </w:t>
            </w:r>
          </w:p>
          <w:p w14:paraId="19F18C3A" w14:textId="52498B7E" w:rsidR="000337B5" w:rsidRDefault="006744F6" w:rsidP="01461FEC">
            <w:pPr>
              <w:spacing w:after="80"/>
              <w:rPr>
                <w:sz w:val="20"/>
                <w:szCs w:val="20"/>
              </w:rPr>
            </w:pPr>
            <w:r w:rsidRPr="04620674">
              <w:rPr>
                <w:sz w:val="20"/>
                <w:szCs w:val="20"/>
              </w:rPr>
              <w:t xml:space="preserve">Enhanced AHP Rehab Service: </w:t>
            </w:r>
            <w:r w:rsidR="6D7DEC1A" w:rsidRPr="04620674">
              <w:rPr>
                <w:sz w:val="20"/>
                <w:szCs w:val="20"/>
              </w:rPr>
              <w:t xml:space="preserve">demonstrating significant progress in supporting service review and developing transformational planning with </w:t>
            </w:r>
            <w:r w:rsidRPr="04620674">
              <w:rPr>
                <w:sz w:val="20"/>
                <w:szCs w:val="20"/>
              </w:rPr>
              <w:t>average EQ-5D-5L change of -2.07, indicating a clinically meaningful reduction in severity; 92% of service users 'extremely likely' or 'likely' to recommend.</w:t>
            </w:r>
          </w:p>
          <w:p w14:paraId="0DB707E6" w14:textId="065A3B80" w:rsidR="00C320A9" w:rsidRPr="00CE785B" w:rsidRDefault="00C320A9" w:rsidP="00C320A9">
            <w:pPr>
              <w:spacing w:after="80"/>
              <w:rPr>
                <w:sz w:val="20"/>
                <w:szCs w:val="20"/>
              </w:rPr>
            </w:pPr>
            <w:r w:rsidRPr="00CE785B">
              <w:rPr>
                <w:sz w:val="20"/>
                <w:szCs w:val="20"/>
              </w:rPr>
              <w:t>Dietetics MDT Community Service: 1,353 contacts, with 87% requiring nutrition support, contributing to frailty prevention and stabilisation in community settings. </w:t>
            </w:r>
          </w:p>
          <w:p w14:paraId="70761AB5" w14:textId="77777777" w:rsidR="00C320A9" w:rsidRDefault="00C320A9" w:rsidP="00C320A9">
            <w:pPr>
              <w:spacing w:after="80"/>
            </w:pPr>
            <w:r w:rsidRPr="00CE785B">
              <w:rPr>
                <w:sz w:val="20"/>
                <w:szCs w:val="20"/>
              </w:rPr>
              <w:t>Diabetes Dietetics (ACP model): establishment of dietetic-led prescribing clinics in primary care, reducing reliance on secondary care and enabling earlier, integrated management.</w:t>
            </w:r>
            <w:r>
              <w:t> </w:t>
            </w:r>
          </w:p>
          <w:p w14:paraId="48ECA810" w14:textId="028C4C87" w:rsidR="00CE785B" w:rsidRPr="00CE785B" w:rsidRDefault="00CE785B" w:rsidP="00C320A9">
            <w:pPr>
              <w:spacing w:after="80"/>
              <w:rPr>
                <w:sz w:val="20"/>
                <w:szCs w:val="20"/>
              </w:rPr>
            </w:pPr>
            <w:r w:rsidRPr="00CE785B">
              <w:rPr>
                <w:sz w:val="20"/>
                <w:szCs w:val="20"/>
              </w:rPr>
              <w:t xml:space="preserve">Physiotherapy Primary Care </w:t>
            </w:r>
            <w:r w:rsidR="008C0479">
              <w:rPr>
                <w:sz w:val="20"/>
                <w:szCs w:val="20"/>
              </w:rPr>
              <w:t xml:space="preserve">Mobility </w:t>
            </w:r>
            <w:r w:rsidRPr="00CE785B">
              <w:rPr>
                <w:sz w:val="20"/>
                <w:szCs w:val="20"/>
              </w:rPr>
              <w:t>Improvement</w:t>
            </w:r>
            <w:r w:rsidR="00027698">
              <w:rPr>
                <w:sz w:val="20"/>
                <w:szCs w:val="20"/>
              </w:rPr>
              <w:t xml:space="preserve"> within care homes</w:t>
            </w:r>
            <w:r w:rsidRPr="00CE785B">
              <w:rPr>
                <w:sz w:val="20"/>
                <w:szCs w:val="20"/>
              </w:rPr>
              <w:t xml:space="preserve">: reviewed </w:t>
            </w:r>
            <w:r w:rsidR="008C0479">
              <w:rPr>
                <w:sz w:val="20"/>
                <w:szCs w:val="20"/>
              </w:rPr>
              <w:t>815</w:t>
            </w:r>
            <w:r w:rsidRPr="00CE785B">
              <w:rPr>
                <w:sz w:val="20"/>
                <w:szCs w:val="20"/>
              </w:rPr>
              <w:t xml:space="preserve"> </w:t>
            </w:r>
            <w:r w:rsidR="00975DA9">
              <w:rPr>
                <w:sz w:val="20"/>
                <w:szCs w:val="20"/>
              </w:rPr>
              <w:t>individuals</w:t>
            </w:r>
            <w:r w:rsidRPr="00CE785B">
              <w:rPr>
                <w:sz w:val="20"/>
                <w:szCs w:val="20"/>
              </w:rPr>
              <w:t xml:space="preserve"> </w:t>
            </w:r>
            <w:r w:rsidR="00975DA9">
              <w:rPr>
                <w:sz w:val="20"/>
                <w:szCs w:val="20"/>
              </w:rPr>
              <w:t>with</w:t>
            </w:r>
            <w:r w:rsidRPr="00CE785B">
              <w:rPr>
                <w:sz w:val="20"/>
                <w:szCs w:val="20"/>
              </w:rPr>
              <w:t xml:space="preserve"> 1,008 follow-ups reducing unnecessary onward referrals </w:t>
            </w:r>
            <w:r w:rsidR="00556F1D" w:rsidRPr="00556F1D">
              <w:rPr>
                <w:sz w:val="20"/>
                <w:szCs w:val="20"/>
              </w:rPr>
              <w:t>and falls risk</w:t>
            </w:r>
            <w:r w:rsidR="00556F1D">
              <w:rPr>
                <w:sz w:val="20"/>
                <w:szCs w:val="20"/>
              </w:rPr>
              <w:t xml:space="preserve">, </w:t>
            </w:r>
            <w:r w:rsidR="00556F1D" w:rsidRPr="00556F1D">
              <w:rPr>
                <w:sz w:val="20"/>
                <w:szCs w:val="20"/>
              </w:rPr>
              <w:t>demonstrating more efficient use of resources and improved outcomes for residents</w:t>
            </w:r>
            <w:r w:rsidRPr="00CE785B">
              <w:rPr>
                <w:sz w:val="20"/>
                <w:szCs w:val="20"/>
              </w:rPr>
              <w:t xml:space="preserve">. </w:t>
            </w:r>
          </w:p>
        </w:tc>
      </w:tr>
      <w:tr w:rsidR="000337B5" w14:paraId="02E1655B"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03213785" w14:textId="77777777" w:rsidR="000337B5" w:rsidRDefault="006744F6">
            <w:pPr>
              <w:spacing w:after="160"/>
            </w:pPr>
            <w:r>
              <w:rPr>
                <w:b/>
                <w:bCs/>
                <w:sz w:val="20"/>
                <w:szCs w:val="20"/>
              </w:rPr>
              <w:lastRenderedPageBreak/>
              <w:t>CTMUHB</w:t>
            </w:r>
          </w:p>
          <w:p w14:paraId="2C5B930E" w14:textId="77777777" w:rsidR="000337B5" w:rsidRDefault="006744F6">
            <w:pPr>
              <w:spacing w:after="160"/>
            </w:pPr>
            <w:r>
              <w:rPr>
                <w:sz w:val="20"/>
                <w:szCs w:val="20"/>
              </w:rPr>
              <w:t>£704,720</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50253A3B" w14:textId="15776F68" w:rsidR="000337B5" w:rsidRDefault="006744F6">
            <w:pPr>
              <w:spacing w:after="80"/>
            </w:pPr>
            <w:r>
              <w:rPr>
                <w:sz w:val="20"/>
                <w:szCs w:val="20"/>
              </w:rPr>
              <w:t>Three funded elements: 'Don't Fall for It' Falls Prevention Service; Rapid Assessment and Prevention OT service (RAP); and pan-region Rapid Access 'Hot Clinics' for SLT, Dietetics and Podiatry.</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3F37D87A" w14:textId="77777777" w:rsidR="000337B5" w:rsidRDefault="006744F6">
            <w:pPr>
              <w:spacing w:after="80"/>
            </w:pPr>
            <w:r>
              <w:rPr>
                <w:sz w:val="20"/>
                <w:szCs w:val="20"/>
              </w:rPr>
              <w:t>Falls Prevention: 323 referrals plus 990 people reached through public events; 67% improvement in EQ-5D quality-of-life scores and 68% improvement in fear-of-falling scores among programme completers.</w:t>
            </w:r>
          </w:p>
          <w:p w14:paraId="5C78A180" w14:textId="77777777" w:rsidR="000337B5" w:rsidRDefault="006744F6">
            <w:pPr>
              <w:spacing w:after="80"/>
            </w:pPr>
            <w:r>
              <w:rPr>
                <w:sz w:val="20"/>
                <w:szCs w:val="20"/>
              </w:rPr>
              <w:t>RAP OT: 482 referrals; 309 avoidable admissions/conveyances prevented (87% within a 4-hour response), an estimated £222,789 cost avoidance.</w:t>
            </w:r>
          </w:p>
          <w:p w14:paraId="1AD89BE5" w14:textId="77777777" w:rsidR="000337B5" w:rsidRDefault="006744F6">
            <w:pPr>
              <w:spacing w:after="80"/>
            </w:pPr>
            <w:r>
              <w:rPr>
                <w:sz w:val="20"/>
                <w:szCs w:val="20"/>
              </w:rPr>
              <w:t>Rapid Access Clinics: Podiatry achieved 91% of patients seen within 48 hours; SLT prevented 52 hospital admissions; Dietetics maintained a 12.6-day average referral-to-treatment time against a 14-day target.</w:t>
            </w:r>
          </w:p>
        </w:tc>
      </w:tr>
      <w:tr w:rsidR="000337B5" w14:paraId="76AA5FEF"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1BF9FA46" w14:textId="77777777" w:rsidR="000337B5" w:rsidRDefault="006744F6">
            <w:pPr>
              <w:spacing w:after="160"/>
            </w:pPr>
            <w:r>
              <w:rPr>
                <w:b/>
                <w:bCs/>
                <w:sz w:val="20"/>
                <w:szCs w:val="20"/>
              </w:rPr>
              <w:t>CAVUHB</w:t>
            </w:r>
          </w:p>
          <w:p w14:paraId="60031B55" w14:textId="77777777" w:rsidR="000337B5" w:rsidRDefault="006744F6">
            <w:pPr>
              <w:spacing w:after="160"/>
            </w:pPr>
            <w:r>
              <w:rPr>
                <w:sz w:val="20"/>
                <w:szCs w:val="20"/>
              </w:rPr>
              <w:t>£756,560</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723C7CCB" w14:textId="77777777" w:rsidR="000337B5" w:rsidRDefault="006744F6">
            <w:pPr>
              <w:spacing w:after="80"/>
            </w:pPr>
            <w:r>
              <w:rPr>
                <w:sz w:val="20"/>
                <w:szCs w:val="20"/>
              </w:rPr>
              <w:t>Four projects: Prepare Well Orthopaedics &amp; Ageing Well; Cardiff CRT Telecare Falls Pathway; Vale CRS Falls Service enhancement; and an AHP Strategic Lead role for Community/Intermediate Care (ECC/ICCS).</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48AEEE7F" w14:textId="2C819682" w:rsidR="00D24CFA" w:rsidRDefault="00D24CFA">
            <w:pPr>
              <w:spacing w:after="80"/>
              <w:rPr>
                <w:sz w:val="20"/>
                <w:szCs w:val="20"/>
              </w:rPr>
            </w:pPr>
            <w:r>
              <w:rPr>
                <w:sz w:val="20"/>
                <w:szCs w:val="20"/>
              </w:rPr>
              <w:t xml:space="preserve">Prepare Well Orthopaedics: </w:t>
            </w:r>
            <w:r w:rsidRPr="002029F8">
              <w:rPr>
                <w:sz w:val="20"/>
                <w:szCs w:val="20"/>
              </w:rPr>
              <w:t xml:space="preserve">582 new individuals supported during 2025/26 and 3,093 follow-up contacts delivered. </w:t>
            </w:r>
            <w:r w:rsidR="009C4A22" w:rsidRPr="009C4A22">
              <w:rPr>
                <w:sz w:val="20"/>
                <w:szCs w:val="20"/>
              </w:rPr>
              <w:t>Global Rating of Change data showed 60% of participants reporting a positive change.</w:t>
            </w:r>
          </w:p>
          <w:p w14:paraId="131E3CC0" w14:textId="0277D2B2" w:rsidR="00D24CFA" w:rsidRDefault="00D24CFA">
            <w:pPr>
              <w:spacing w:after="80"/>
              <w:rPr>
                <w:sz w:val="20"/>
                <w:szCs w:val="20"/>
              </w:rPr>
            </w:pPr>
            <w:r>
              <w:rPr>
                <w:sz w:val="20"/>
                <w:szCs w:val="20"/>
              </w:rPr>
              <w:t>Also providing</w:t>
            </w:r>
            <w:r w:rsidRPr="002029F8">
              <w:rPr>
                <w:sz w:val="20"/>
                <w:szCs w:val="20"/>
              </w:rPr>
              <w:t xml:space="preserve"> targeted intervention for 154 people living with frailty or complex needs, including home visits and individual assessments. </w:t>
            </w:r>
          </w:p>
          <w:p w14:paraId="158C6DB0" w14:textId="7980439E" w:rsidR="000337B5" w:rsidRDefault="006744F6">
            <w:pPr>
              <w:spacing w:after="80"/>
            </w:pPr>
            <w:r>
              <w:rPr>
                <w:sz w:val="20"/>
                <w:szCs w:val="20"/>
              </w:rPr>
              <w:t>Ageing Well course: mean QALY gain of +0.08 over a 6-week course (≈29 extra days in full health); cost per QALY of £1,865, well within NICE cost-effectiveness thresholds.</w:t>
            </w:r>
          </w:p>
          <w:p w14:paraId="4758A8D1" w14:textId="344743A1" w:rsidR="000337B5" w:rsidRDefault="006744F6">
            <w:pPr>
              <w:spacing w:after="80"/>
            </w:pPr>
            <w:r>
              <w:rPr>
                <w:sz w:val="20"/>
                <w:szCs w:val="20"/>
              </w:rPr>
              <w:t>100% of Ageing Well participants would recommend the course to friends and family.</w:t>
            </w:r>
            <w:r w:rsidR="00EF33AB">
              <w:t xml:space="preserve"> </w:t>
            </w:r>
          </w:p>
          <w:p w14:paraId="2F513663" w14:textId="6681D286" w:rsidR="000337B5" w:rsidRDefault="006744F6">
            <w:pPr>
              <w:spacing w:after="80"/>
            </w:pPr>
            <w:r>
              <w:rPr>
                <w:sz w:val="20"/>
                <w:szCs w:val="20"/>
              </w:rPr>
              <w:t>New AHP Strategic Lead role now holds Steering Group membership across all four ICCS/ECC workstreams, embedding AHP voice in system design.</w:t>
            </w:r>
            <w:r w:rsidR="00001D25">
              <w:t xml:space="preserve"> </w:t>
            </w:r>
          </w:p>
          <w:p w14:paraId="6391464B" w14:textId="77777777" w:rsidR="001533FF" w:rsidRDefault="00971257">
            <w:pPr>
              <w:spacing w:after="80"/>
              <w:rPr>
                <w:sz w:val="20"/>
                <w:szCs w:val="20"/>
              </w:rPr>
            </w:pPr>
            <w:r w:rsidRPr="00971257">
              <w:rPr>
                <w:sz w:val="20"/>
                <w:szCs w:val="20"/>
              </w:rPr>
              <w:t>Rehabilitation Coach role embedded within the Vale CRS to expand the falls offer and increase referral triage coverage.</w:t>
            </w:r>
          </w:p>
          <w:p w14:paraId="59A05359" w14:textId="6B02C01F" w:rsidR="000337B5" w:rsidRDefault="006744F6">
            <w:pPr>
              <w:spacing w:after="80"/>
            </w:pPr>
            <w:r>
              <w:rPr>
                <w:sz w:val="20"/>
                <w:szCs w:val="20"/>
              </w:rPr>
              <w:t>Telecare Falls Pathway</w:t>
            </w:r>
            <w:r w:rsidR="00D162CE">
              <w:rPr>
                <w:sz w:val="20"/>
                <w:szCs w:val="20"/>
              </w:rPr>
              <w:t>: n</w:t>
            </w:r>
            <w:r w:rsidR="00D162CE" w:rsidRPr="00D162CE">
              <w:rPr>
                <w:sz w:val="20"/>
                <w:szCs w:val="20"/>
              </w:rPr>
              <w:t>ew pathway (from September 2025) creating a direct referral route from Cardiff Telecare into Cardiff CRT, targeting people beginning to experience falls or identified as at risk by telecare staff.</w:t>
            </w:r>
          </w:p>
        </w:tc>
      </w:tr>
      <w:tr w:rsidR="000337B5" w14:paraId="020110AD"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012F5587" w14:textId="77777777" w:rsidR="000337B5" w:rsidRDefault="006744F6">
            <w:pPr>
              <w:spacing w:after="160"/>
            </w:pPr>
            <w:r w:rsidRPr="04620674">
              <w:rPr>
                <w:b/>
                <w:bCs/>
                <w:sz w:val="20"/>
                <w:szCs w:val="20"/>
              </w:rPr>
              <w:lastRenderedPageBreak/>
              <w:t>HDdUHB</w:t>
            </w:r>
          </w:p>
          <w:p w14:paraId="5D6834E4" w14:textId="077D0DA2" w:rsidR="000337B5" w:rsidRDefault="006744F6">
            <w:pPr>
              <w:spacing w:after="160"/>
            </w:pPr>
            <w:r w:rsidRPr="04620674">
              <w:rPr>
                <w:sz w:val="20"/>
                <w:szCs w:val="20"/>
              </w:rPr>
              <w:t>£884,018</w:t>
            </w:r>
          </w:p>
          <w:p w14:paraId="0FF0DFB5" w14:textId="3CEDB463" w:rsidR="000337B5" w:rsidRDefault="708B5643">
            <w:pPr>
              <w:spacing w:after="160"/>
            </w:pPr>
            <w:r w:rsidRPr="04620674">
              <w:rPr>
                <w:sz w:val="20"/>
                <w:szCs w:val="20"/>
              </w:rPr>
              <w:t>(£643,280 WG allocation)</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26C2D70F" w14:textId="6DF71A75" w:rsidR="000337B5" w:rsidRDefault="006744F6" w:rsidP="04620674">
            <w:pPr>
              <w:spacing w:after="80"/>
              <w:rPr>
                <w:sz w:val="20"/>
                <w:szCs w:val="20"/>
              </w:rPr>
            </w:pPr>
            <w:r w:rsidRPr="04620674">
              <w:rPr>
                <w:sz w:val="20"/>
                <w:szCs w:val="20"/>
              </w:rPr>
              <w:t xml:space="preserve">Community Integrated Stroke Team (CIST) — four locality teams (Carmarthenshire, Pembrokeshire, Ceredigion) delivering home-based, multi-disciplinary stroke </w:t>
            </w:r>
            <w:r w:rsidR="0C358864" w:rsidRPr="04620674">
              <w:rPr>
                <w:sz w:val="20"/>
                <w:szCs w:val="20"/>
              </w:rPr>
              <w:t>rehabilitation.</w:t>
            </w:r>
            <w:r w:rsidR="7C9BB421" w:rsidRPr="04620674">
              <w:rPr>
                <w:sz w:val="20"/>
                <w:szCs w:val="20"/>
              </w:rPr>
              <w:t xml:space="preserve"> The service now includes embedded</w:t>
            </w:r>
            <w:r w:rsidRPr="04620674">
              <w:rPr>
                <w:sz w:val="20"/>
                <w:szCs w:val="20"/>
              </w:rPr>
              <w:t xml:space="preserve"> Psychology provision</w:t>
            </w:r>
            <w:r w:rsidR="620666EA" w:rsidRPr="04620674">
              <w:rPr>
                <w:sz w:val="20"/>
                <w:szCs w:val="20"/>
              </w:rPr>
              <w:t xml:space="preserve"> to support holistic stroke rehabilitation</w:t>
            </w:r>
            <w:r w:rsidRPr="04620674">
              <w:rPr>
                <w:sz w:val="20"/>
                <w:szCs w:val="20"/>
              </w:rPr>
              <w:t>.</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1BC11130" w14:textId="77777777" w:rsidR="000337B5" w:rsidRDefault="006744F6">
            <w:pPr>
              <w:spacing w:after="80"/>
            </w:pPr>
            <w:r>
              <w:rPr>
                <w:sz w:val="20"/>
                <w:szCs w:val="20"/>
              </w:rPr>
              <w:t>327 referrals across the three counties; referrals in Carmarthenshire rose 20.8% year-on-year, reflecting growing demand.</w:t>
            </w:r>
          </w:p>
          <w:p w14:paraId="58BD1925" w14:textId="77777777" w:rsidR="000337B5" w:rsidRDefault="006744F6">
            <w:pPr>
              <w:spacing w:after="80"/>
            </w:pPr>
            <w:r>
              <w:rPr>
                <w:sz w:val="20"/>
                <w:szCs w:val="20"/>
              </w:rPr>
              <w:t>Case studies demonstrate prevention of long-term contractures, accelerated recovery, and avoided readmission in complex post-stroke presentations.</w:t>
            </w:r>
          </w:p>
          <w:p w14:paraId="697A7333" w14:textId="77777777" w:rsidR="000337B5" w:rsidRDefault="006744F6">
            <w:pPr>
              <w:spacing w:after="80"/>
            </w:pPr>
            <w:r>
              <w:rPr>
                <w:sz w:val="20"/>
                <w:szCs w:val="20"/>
              </w:rPr>
              <w:t>Psychology Stroke Service received 97 referrals; patient feedback described psychological input as transformative during recovery.</w:t>
            </w:r>
          </w:p>
          <w:p w14:paraId="36FFABF3" w14:textId="1D9A5438" w:rsidR="000337B5" w:rsidRDefault="511F3BE4">
            <w:pPr>
              <w:spacing w:after="80"/>
            </w:pPr>
            <w:r w:rsidRPr="7C97CDB5">
              <w:rPr>
                <w:sz w:val="20"/>
                <w:szCs w:val="20"/>
              </w:rPr>
              <w:t>Five-day operating model and rising case complexity constrain how early the team can intervene, particularly in higher-demand Carmarthenshire.</w:t>
            </w:r>
          </w:p>
          <w:p w14:paraId="14CB9E11" w14:textId="52B5071A" w:rsidR="000337B5" w:rsidRDefault="000337B5" w:rsidP="7C97CDB5">
            <w:pPr>
              <w:spacing w:after="80"/>
              <w:rPr>
                <w:sz w:val="20"/>
                <w:szCs w:val="20"/>
              </w:rPr>
            </w:pPr>
          </w:p>
          <w:p w14:paraId="19A24A17" w14:textId="09EA3A90" w:rsidR="000337B5" w:rsidRDefault="000337B5" w:rsidP="7C97CDB5">
            <w:pPr>
              <w:spacing w:after="80"/>
              <w:rPr>
                <w:sz w:val="20"/>
                <w:szCs w:val="20"/>
              </w:rPr>
            </w:pPr>
          </w:p>
        </w:tc>
      </w:tr>
      <w:tr w:rsidR="000337B5" w14:paraId="5B1118DC"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7DE978C9" w14:textId="77777777" w:rsidR="000337B5" w:rsidRDefault="006744F6">
            <w:pPr>
              <w:spacing w:after="160"/>
            </w:pPr>
            <w:r>
              <w:rPr>
                <w:b/>
                <w:bCs/>
                <w:sz w:val="20"/>
                <w:szCs w:val="20"/>
              </w:rPr>
              <w:t>PTHB</w:t>
            </w:r>
          </w:p>
          <w:p w14:paraId="00CBC338" w14:textId="77777777" w:rsidR="000337B5" w:rsidRDefault="006744F6">
            <w:pPr>
              <w:spacing w:after="160"/>
            </w:pPr>
            <w:r>
              <w:rPr>
                <w:sz w:val="20"/>
                <w:szCs w:val="20"/>
              </w:rPr>
              <w:t>£385,000</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240CD9B1" w14:textId="45387596" w:rsidR="000337B5" w:rsidRDefault="006744F6">
            <w:pPr>
              <w:spacing w:after="80"/>
            </w:pPr>
            <w:r>
              <w:rPr>
                <w:sz w:val="20"/>
                <w:szCs w:val="20"/>
              </w:rPr>
              <w:t>Five projects: Frailty AHP; increased access to S</w:t>
            </w:r>
            <w:r w:rsidR="00B32EC7">
              <w:rPr>
                <w:sz w:val="20"/>
                <w:szCs w:val="20"/>
              </w:rPr>
              <w:t>peech and Language Therapy (S</w:t>
            </w:r>
            <w:r>
              <w:rPr>
                <w:sz w:val="20"/>
                <w:szCs w:val="20"/>
              </w:rPr>
              <w:t>LT</w:t>
            </w:r>
            <w:r w:rsidR="00B32EC7">
              <w:rPr>
                <w:sz w:val="20"/>
                <w:szCs w:val="20"/>
              </w:rPr>
              <w:t xml:space="preserve">) </w:t>
            </w:r>
            <w:r>
              <w:rPr>
                <w:sz w:val="20"/>
                <w:szCs w:val="20"/>
              </w:rPr>
              <w:t>programmes; a medicines management dietetics role; increased diabetic foot screening; and a Falls service.</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cMar>
              <w:top w:w="80" w:type="dxa"/>
              <w:left w:w="120" w:type="dxa"/>
              <w:bottom w:w="80" w:type="dxa"/>
              <w:right w:w="120" w:type="dxa"/>
            </w:tcMar>
            <w:vAlign w:val="center"/>
          </w:tcPr>
          <w:p w14:paraId="1C08246F" w14:textId="77777777" w:rsidR="000337B5" w:rsidRDefault="006744F6">
            <w:pPr>
              <w:spacing w:after="80"/>
            </w:pPr>
            <w:r>
              <w:rPr>
                <w:sz w:val="20"/>
                <w:szCs w:val="20"/>
              </w:rPr>
              <w:t>Frailty AHP: 624 unique patients seen, including 337 Comprehensive Geriatric Assessments and 823 follow-up reviews.</w:t>
            </w:r>
          </w:p>
          <w:p w14:paraId="7F6A8016" w14:textId="77777777" w:rsidR="000337B5" w:rsidRDefault="006744F6">
            <w:pPr>
              <w:spacing w:after="80"/>
            </w:pPr>
            <w:r>
              <w:rPr>
                <w:sz w:val="20"/>
                <w:szCs w:val="20"/>
              </w:rPr>
              <w:t>Falls service: 501 referrals; 245 Multifactorial Falls Assessments completed via the new app/Power BI dashboard, with anxiety-about-falling scores trending down.</w:t>
            </w:r>
          </w:p>
          <w:p w14:paraId="33C0D8AC" w14:textId="77777777" w:rsidR="000337B5" w:rsidRDefault="006744F6">
            <w:pPr>
              <w:spacing w:after="80"/>
              <w:rPr>
                <w:sz w:val="20"/>
                <w:szCs w:val="20"/>
              </w:rPr>
            </w:pPr>
            <w:r>
              <w:rPr>
                <w:sz w:val="20"/>
                <w:szCs w:val="20"/>
              </w:rPr>
              <w:t>Diabetic foot screening: Powys was the leading health board in Wales on the diabetic foot screening care process as of August 2025.</w:t>
            </w:r>
          </w:p>
          <w:p w14:paraId="25C7B8C1" w14:textId="05C07999" w:rsidR="00B32EC7" w:rsidRPr="00B32EC7" w:rsidRDefault="00193B02">
            <w:pPr>
              <w:spacing w:after="80"/>
              <w:rPr>
                <w:sz w:val="20"/>
                <w:szCs w:val="20"/>
              </w:rPr>
            </w:pPr>
            <w:r>
              <w:rPr>
                <w:sz w:val="20"/>
                <w:szCs w:val="20"/>
              </w:rPr>
              <w:t xml:space="preserve">Increase in </w:t>
            </w:r>
            <w:r w:rsidR="00B32EC7" w:rsidRPr="00B32EC7">
              <w:rPr>
                <w:sz w:val="20"/>
                <w:szCs w:val="20"/>
              </w:rPr>
              <w:t>SLT Support Worker capacity releasing SLT time for complex assessment and management.</w:t>
            </w:r>
          </w:p>
          <w:p w14:paraId="08450658" w14:textId="77777777" w:rsidR="000337B5" w:rsidRDefault="006744F6">
            <w:pPr>
              <w:spacing w:after="80"/>
            </w:pPr>
            <w:r>
              <w:rPr>
                <w:sz w:val="20"/>
                <w:szCs w:val="20"/>
              </w:rPr>
              <w:t>Medicines management dietetics role filled in January 2026 after a five-month vacancy; revised prescribing pathways now in place.</w:t>
            </w:r>
          </w:p>
        </w:tc>
      </w:tr>
      <w:tr w:rsidR="000337B5" w14:paraId="59ECEC7A" w14:textId="77777777" w:rsidTr="7C97CDB5">
        <w:trPr>
          <w:cantSplit/>
        </w:trPr>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39F3A749" w14:textId="77777777" w:rsidR="000337B5" w:rsidRDefault="006744F6">
            <w:pPr>
              <w:spacing w:after="160"/>
            </w:pPr>
            <w:r>
              <w:rPr>
                <w:b/>
                <w:bCs/>
                <w:sz w:val="20"/>
                <w:szCs w:val="20"/>
              </w:rPr>
              <w:t>SBUHB</w:t>
            </w:r>
          </w:p>
          <w:p w14:paraId="53655C8E" w14:textId="77777777" w:rsidR="000337B5" w:rsidRDefault="006744F6">
            <w:pPr>
              <w:spacing w:after="160"/>
            </w:pPr>
            <w:r>
              <w:rPr>
                <w:sz w:val="20"/>
                <w:szCs w:val="20"/>
              </w:rPr>
              <w:t>£647,440</w:t>
            </w:r>
          </w:p>
        </w:tc>
        <w:tc>
          <w:tcPr>
            <w:tcW w:w="33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729CA6E6" w14:textId="1D90CB71" w:rsidR="000337B5" w:rsidRDefault="006744F6">
            <w:pPr>
              <w:spacing w:after="80"/>
            </w:pPr>
            <w:r>
              <w:rPr>
                <w:sz w:val="20"/>
                <w:szCs w:val="20"/>
              </w:rPr>
              <w:t>Single project: continued expansion of the Occupational Therapy, Physiotherapy and Dietetics offer within the Enhanced Community Care (Virtual Ward) model, covering all eight SBUHB clusters.</w:t>
            </w:r>
          </w:p>
        </w:tc>
        <w:tc>
          <w:tcPr>
            <w:tcW w:w="4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vAlign w:val="center"/>
          </w:tcPr>
          <w:p w14:paraId="7EBBB44C" w14:textId="77777777" w:rsidR="000337B5" w:rsidRDefault="006744F6">
            <w:pPr>
              <w:spacing w:after="80"/>
            </w:pPr>
            <w:r>
              <w:rPr>
                <w:sz w:val="20"/>
                <w:szCs w:val="20"/>
              </w:rPr>
              <w:t>3,525 referrals (broadly in line with 3,681 in 2024/25); 1,058 earlier discharges and 1,027 admissions avoided.</w:t>
            </w:r>
          </w:p>
          <w:p w14:paraId="0200B36F" w14:textId="77777777" w:rsidR="000337B5" w:rsidRDefault="006744F6">
            <w:pPr>
              <w:spacing w:after="80"/>
            </w:pPr>
            <w:r>
              <w:rPr>
                <w:sz w:val="20"/>
                <w:szCs w:val="20"/>
              </w:rPr>
              <w:t>Readmission rate of just 4.21%, well below baseline acute trust rates; average Virtual Ward length of stay 20 days.</w:t>
            </w:r>
          </w:p>
          <w:p w14:paraId="6FF06B7C" w14:textId="77777777" w:rsidR="000337B5" w:rsidRDefault="006744F6">
            <w:pPr>
              <w:spacing w:after="80"/>
            </w:pPr>
            <w:r>
              <w:rPr>
                <w:sz w:val="20"/>
                <w:szCs w:val="20"/>
              </w:rPr>
              <w:t>EQ-5D-5L data shows improvement across mobility, self-care, usual activities, pain, anxiety and overall quality of life domains.</w:t>
            </w:r>
          </w:p>
          <w:p w14:paraId="75585CCC" w14:textId="77777777" w:rsidR="000337B5" w:rsidRDefault="006744F6">
            <w:pPr>
              <w:spacing w:after="80"/>
            </w:pPr>
            <w:r>
              <w:rPr>
                <w:sz w:val="20"/>
                <w:szCs w:val="20"/>
              </w:rPr>
              <w:t>Service presented to the Cabinet Secretary for Health and the Older People's Commissioner for Wales as an exemplar model.</w:t>
            </w:r>
          </w:p>
        </w:tc>
      </w:tr>
    </w:tbl>
    <w:p w14:paraId="740C60CE" w14:textId="3ED0A368" w:rsidR="7C97CDB5" w:rsidRDefault="7C97CDB5" w:rsidP="7C97CDB5">
      <w:pPr>
        <w:spacing w:after="200"/>
        <w:rPr>
          <w:i/>
          <w:iCs/>
          <w:sz w:val="16"/>
          <w:szCs w:val="16"/>
        </w:rPr>
      </w:pPr>
    </w:p>
    <w:p w14:paraId="30E5B795" w14:textId="0BC79DCE" w:rsidR="000337B5" w:rsidRDefault="511F3BE4" w:rsidP="7C97CDB5">
      <w:pPr>
        <w:spacing w:after="200"/>
        <w:jc w:val="both"/>
        <w:rPr>
          <w:i/>
          <w:iCs/>
          <w:sz w:val="16"/>
          <w:szCs w:val="16"/>
        </w:rPr>
      </w:pPr>
      <w:r w:rsidRPr="7C97CDB5">
        <w:rPr>
          <w:i/>
          <w:iCs/>
          <w:sz w:val="16"/>
          <w:szCs w:val="16"/>
        </w:rPr>
        <w:t>Allied Health Professions: art therapists, drama therapists, music therapists, podiatrists, dietitians, occupational therapists, orthoptists, prosthetists and orthotists, paramedics, physiotherapists, speech and language therapists, psychologists.</w:t>
      </w:r>
    </w:p>
    <w:sectPr w:rsidR="000337B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364B2" w14:textId="77777777" w:rsidR="00F06DE1" w:rsidRDefault="00F06DE1">
      <w:r>
        <w:separator/>
      </w:r>
    </w:p>
  </w:endnote>
  <w:endnote w:type="continuationSeparator" w:id="0">
    <w:p w14:paraId="2D9D2D07" w14:textId="77777777" w:rsidR="00F06DE1" w:rsidRDefault="00F0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5F57" w14:textId="77777777" w:rsidR="005716E6" w:rsidRDefault="00571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50DA" w14:textId="77777777" w:rsidR="000337B5" w:rsidRDefault="006744F6">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4837AB">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4837AB">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610AD" w14:textId="77777777" w:rsidR="005716E6" w:rsidRDefault="00571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E1328" w14:textId="77777777" w:rsidR="00F06DE1" w:rsidRDefault="00F06DE1">
      <w:r>
        <w:separator/>
      </w:r>
    </w:p>
  </w:footnote>
  <w:footnote w:type="continuationSeparator" w:id="0">
    <w:p w14:paraId="02ADCA2A" w14:textId="77777777" w:rsidR="00F06DE1" w:rsidRDefault="00F0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706E" w14:textId="77777777" w:rsidR="005716E6" w:rsidRDefault="00571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1CDD" w14:textId="79FDE569" w:rsidR="000337B5" w:rsidRDefault="006744F6">
    <w:pPr>
      <w:jc w:val="right"/>
    </w:pPr>
    <w:r>
      <w:rPr>
        <w:color w:val="808080"/>
        <w:sz w:val="16"/>
        <w:szCs w:val="16"/>
      </w:rPr>
      <w:t>Additional AHP Investment Fund — Executive Summary 2025/26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DC34" w14:textId="77777777" w:rsidR="005716E6" w:rsidRDefault="005716E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slELcfh" int2:invalidationBookmarkName="" int2:hashCode="schjNZl3wmnRc/" int2:id="B8vRn4Hy">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6469"/>
    <w:multiLevelType w:val="hybridMultilevel"/>
    <w:tmpl w:val="C0D8934A"/>
    <w:lvl w:ilvl="0" w:tplc="2084CE74">
      <w:start w:val="1"/>
      <w:numFmt w:val="bullet"/>
      <w:lvlText w:val=""/>
      <w:lvlJc w:val="left"/>
      <w:pPr>
        <w:ind w:left="1080" w:hanging="360"/>
      </w:pPr>
      <w:rPr>
        <w:rFonts w:ascii="Symbol" w:hAnsi="Symbol"/>
      </w:rPr>
    </w:lvl>
    <w:lvl w:ilvl="1" w:tplc="D780DBF6">
      <w:start w:val="1"/>
      <w:numFmt w:val="bullet"/>
      <w:lvlText w:val=""/>
      <w:lvlJc w:val="left"/>
      <w:pPr>
        <w:ind w:left="1080" w:hanging="360"/>
      </w:pPr>
      <w:rPr>
        <w:rFonts w:ascii="Symbol" w:hAnsi="Symbol"/>
      </w:rPr>
    </w:lvl>
    <w:lvl w:ilvl="2" w:tplc="08227864">
      <w:start w:val="1"/>
      <w:numFmt w:val="bullet"/>
      <w:lvlText w:val=""/>
      <w:lvlJc w:val="left"/>
      <w:pPr>
        <w:ind w:left="1080" w:hanging="360"/>
      </w:pPr>
      <w:rPr>
        <w:rFonts w:ascii="Symbol" w:hAnsi="Symbol"/>
      </w:rPr>
    </w:lvl>
    <w:lvl w:ilvl="3" w:tplc="F0FEF0B8">
      <w:start w:val="1"/>
      <w:numFmt w:val="bullet"/>
      <w:lvlText w:val=""/>
      <w:lvlJc w:val="left"/>
      <w:pPr>
        <w:ind w:left="1080" w:hanging="360"/>
      </w:pPr>
      <w:rPr>
        <w:rFonts w:ascii="Symbol" w:hAnsi="Symbol"/>
      </w:rPr>
    </w:lvl>
    <w:lvl w:ilvl="4" w:tplc="56C059CA">
      <w:start w:val="1"/>
      <w:numFmt w:val="bullet"/>
      <w:lvlText w:val=""/>
      <w:lvlJc w:val="left"/>
      <w:pPr>
        <w:ind w:left="1080" w:hanging="360"/>
      </w:pPr>
      <w:rPr>
        <w:rFonts w:ascii="Symbol" w:hAnsi="Symbol"/>
      </w:rPr>
    </w:lvl>
    <w:lvl w:ilvl="5" w:tplc="ECC83FB6">
      <w:start w:val="1"/>
      <w:numFmt w:val="bullet"/>
      <w:lvlText w:val=""/>
      <w:lvlJc w:val="left"/>
      <w:pPr>
        <w:ind w:left="1080" w:hanging="360"/>
      </w:pPr>
      <w:rPr>
        <w:rFonts w:ascii="Symbol" w:hAnsi="Symbol"/>
      </w:rPr>
    </w:lvl>
    <w:lvl w:ilvl="6" w:tplc="9A6A8228">
      <w:start w:val="1"/>
      <w:numFmt w:val="bullet"/>
      <w:lvlText w:val=""/>
      <w:lvlJc w:val="left"/>
      <w:pPr>
        <w:ind w:left="1080" w:hanging="360"/>
      </w:pPr>
      <w:rPr>
        <w:rFonts w:ascii="Symbol" w:hAnsi="Symbol"/>
      </w:rPr>
    </w:lvl>
    <w:lvl w:ilvl="7" w:tplc="D2E6485C">
      <w:start w:val="1"/>
      <w:numFmt w:val="bullet"/>
      <w:lvlText w:val=""/>
      <w:lvlJc w:val="left"/>
      <w:pPr>
        <w:ind w:left="1080" w:hanging="360"/>
      </w:pPr>
      <w:rPr>
        <w:rFonts w:ascii="Symbol" w:hAnsi="Symbol"/>
      </w:rPr>
    </w:lvl>
    <w:lvl w:ilvl="8" w:tplc="442CD388">
      <w:start w:val="1"/>
      <w:numFmt w:val="bullet"/>
      <w:lvlText w:val=""/>
      <w:lvlJc w:val="left"/>
      <w:pPr>
        <w:ind w:left="1080" w:hanging="360"/>
      </w:pPr>
      <w:rPr>
        <w:rFonts w:ascii="Symbol" w:hAnsi="Symbol"/>
      </w:rPr>
    </w:lvl>
  </w:abstractNum>
  <w:abstractNum w:abstractNumId="1" w15:restartNumberingAfterBreak="0">
    <w:nsid w:val="0BB4351A"/>
    <w:multiLevelType w:val="hybridMultilevel"/>
    <w:tmpl w:val="E910871C"/>
    <w:lvl w:ilvl="0" w:tplc="C248C856">
      <w:start w:val="1"/>
      <w:numFmt w:val="bullet"/>
      <w:lvlText w:val=""/>
      <w:lvlJc w:val="left"/>
      <w:pPr>
        <w:ind w:left="1080" w:hanging="360"/>
      </w:pPr>
      <w:rPr>
        <w:rFonts w:ascii="Symbol" w:hAnsi="Symbol"/>
      </w:rPr>
    </w:lvl>
    <w:lvl w:ilvl="1" w:tplc="3D4CF0E8">
      <w:start w:val="1"/>
      <w:numFmt w:val="bullet"/>
      <w:lvlText w:val=""/>
      <w:lvlJc w:val="left"/>
      <w:pPr>
        <w:ind w:left="1080" w:hanging="360"/>
      </w:pPr>
      <w:rPr>
        <w:rFonts w:ascii="Symbol" w:hAnsi="Symbol"/>
      </w:rPr>
    </w:lvl>
    <w:lvl w:ilvl="2" w:tplc="983A8EE8">
      <w:start w:val="1"/>
      <w:numFmt w:val="bullet"/>
      <w:lvlText w:val=""/>
      <w:lvlJc w:val="left"/>
      <w:pPr>
        <w:ind w:left="1080" w:hanging="360"/>
      </w:pPr>
      <w:rPr>
        <w:rFonts w:ascii="Symbol" w:hAnsi="Symbol"/>
      </w:rPr>
    </w:lvl>
    <w:lvl w:ilvl="3" w:tplc="D20002A6">
      <w:start w:val="1"/>
      <w:numFmt w:val="bullet"/>
      <w:lvlText w:val=""/>
      <w:lvlJc w:val="left"/>
      <w:pPr>
        <w:ind w:left="1080" w:hanging="360"/>
      </w:pPr>
      <w:rPr>
        <w:rFonts w:ascii="Symbol" w:hAnsi="Symbol"/>
      </w:rPr>
    </w:lvl>
    <w:lvl w:ilvl="4" w:tplc="F05A3078">
      <w:start w:val="1"/>
      <w:numFmt w:val="bullet"/>
      <w:lvlText w:val=""/>
      <w:lvlJc w:val="left"/>
      <w:pPr>
        <w:ind w:left="1080" w:hanging="360"/>
      </w:pPr>
      <w:rPr>
        <w:rFonts w:ascii="Symbol" w:hAnsi="Symbol"/>
      </w:rPr>
    </w:lvl>
    <w:lvl w:ilvl="5" w:tplc="C00C2C54">
      <w:start w:val="1"/>
      <w:numFmt w:val="bullet"/>
      <w:lvlText w:val=""/>
      <w:lvlJc w:val="left"/>
      <w:pPr>
        <w:ind w:left="1080" w:hanging="360"/>
      </w:pPr>
      <w:rPr>
        <w:rFonts w:ascii="Symbol" w:hAnsi="Symbol"/>
      </w:rPr>
    </w:lvl>
    <w:lvl w:ilvl="6" w:tplc="DAFC9424">
      <w:start w:val="1"/>
      <w:numFmt w:val="bullet"/>
      <w:lvlText w:val=""/>
      <w:lvlJc w:val="left"/>
      <w:pPr>
        <w:ind w:left="1080" w:hanging="360"/>
      </w:pPr>
      <w:rPr>
        <w:rFonts w:ascii="Symbol" w:hAnsi="Symbol"/>
      </w:rPr>
    </w:lvl>
    <w:lvl w:ilvl="7" w:tplc="94AAC808">
      <w:start w:val="1"/>
      <w:numFmt w:val="bullet"/>
      <w:lvlText w:val=""/>
      <w:lvlJc w:val="left"/>
      <w:pPr>
        <w:ind w:left="1080" w:hanging="360"/>
      </w:pPr>
      <w:rPr>
        <w:rFonts w:ascii="Symbol" w:hAnsi="Symbol"/>
      </w:rPr>
    </w:lvl>
    <w:lvl w:ilvl="8" w:tplc="885468CA">
      <w:start w:val="1"/>
      <w:numFmt w:val="bullet"/>
      <w:lvlText w:val=""/>
      <w:lvlJc w:val="left"/>
      <w:pPr>
        <w:ind w:left="1080" w:hanging="360"/>
      </w:pPr>
      <w:rPr>
        <w:rFonts w:ascii="Symbol" w:hAnsi="Symbol"/>
      </w:rPr>
    </w:lvl>
  </w:abstractNum>
  <w:abstractNum w:abstractNumId="2" w15:restartNumberingAfterBreak="0">
    <w:nsid w:val="168A56EB"/>
    <w:multiLevelType w:val="multilevel"/>
    <w:tmpl w:val="57EA0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4A6E7A"/>
    <w:multiLevelType w:val="multilevel"/>
    <w:tmpl w:val="14F8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3622A7"/>
    <w:multiLevelType w:val="hybridMultilevel"/>
    <w:tmpl w:val="0D608F3A"/>
    <w:lvl w:ilvl="0" w:tplc="3B3A7308">
      <w:start w:val="1"/>
      <w:numFmt w:val="bullet"/>
      <w:lvlText w:val=""/>
      <w:lvlJc w:val="left"/>
      <w:pPr>
        <w:ind w:left="1080" w:hanging="360"/>
      </w:pPr>
      <w:rPr>
        <w:rFonts w:ascii="Symbol" w:hAnsi="Symbol"/>
      </w:rPr>
    </w:lvl>
    <w:lvl w:ilvl="1" w:tplc="93A480D4">
      <w:start w:val="1"/>
      <w:numFmt w:val="bullet"/>
      <w:lvlText w:val=""/>
      <w:lvlJc w:val="left"/>
      <w:pPr>
        <w:ind w:left="1080" w:hanging="360"/>
      </w:pPr>
      <w:rPr>
        <w:rFonts w:ascii="Symbol" w:hAnsi="Symbol"/>
      </w:rPr>
    </w:lvl>
    <w:lvl w:ilvl="2" w:tplc="E01C4366">
      <w:start w:val="1"/>
      <w:numFmt w:val="bullet"/>
      <w:lvlText w:val=""/>
      <w:lvlJc w:val="left"/>
      <w:pPr>
        <w:ind w:left="1080" w:hanging="360"/>
      </w:pPr>
      <w:rPr>
        <w:rFonts w:ascii="Symbol" w:hAnsi="Symbol"/>
      </w:rPr>
    </w:lvl>
    <w:lvl w:ilvl="3" w:tplc="11BCBC66">
      <w:start w:val="1"/>
      <w:numFmt w:val="bullet"/>
      <w:lvlText w:val=""/>
      <w:lvlJc w:val="left"/>
      <w:pPr>
        <w:ind w:left="1080" w:hanging="360"/>
      </w:pPr>
      <w:rPr>
        <w:rFonts w:ascii="Symbol" w:hAnsi="Symbol"/>
      </w:rPr>
    </w:lvl>
    <w:lvl w:ilvl="4" w:tplc="4A84377E">
      <w:start w:val="1"/>
      <w:numFmt w:val="bullet"/>
      <w:lvlText w:val=""/>
      <w:lvlJc w:val="left"/>
      <w:pPr>
        <w:ind w:left="1080" w:hanging="360"/>
      </w:pPr>
      <w:rPr>
        <w:rFonts w:ascii="Symbol" w:hAnsi="Symbol"/>
      </w:rPr>
    </w:lvl>
    <w:lvl w:ilvl="5" w:tplc="4A20292E">
      <w:start w:val="1"/>
      <w:numFmt w:val="bullet"/>
      <w:lvlText w:val=""/>
      <w:lvlJc w:val="left"/>
      <w:pPr>
        <w:ind w:left="1080" w:hanging="360"/>
      </w:pPr>
      <w:rPr>
        <w:rFonts w:ascii="Symbol" w:hAnsi="Symbol"/>
      </w:rPr>
    </w:lvl>
    <w:lvl w:ilvl="6" w:tplc="3E12A752">
      <w:start w:val="1"/>
      <w:numFmt w:val="bullet"/>
      <w:lvlText w:val=""/>
      <w:lvlJc w:val="left"/>
      <w:pPr>
        <w:ind w:left="1080" w:hanging="360"/>
      </w:pPr>
      <w:rPr>
        <w:rFonts w:ascii="Symbol" w:hAnsi="Symbol"/>
      </w:rPr>
    </w:lvl>
    <w:lvl w:ilvl="7" w:tplc="A8042A2E">
      <w:start w:val="1"/>
      <w:numFmt w:val="bullet"/>
      <w:lvlText w:val=""/>
      <w:lvlJc w:val="left"/>
      <w:pPr>
        <w:ind w:left="1080" w:hanging="360"/>
      </w:pPr>
      <w:rPr>
        <w:rFonts w:ascii="Symbol" w:hAnsi="Symbol"/>
      </w:rPr>
    </w:lvl>
    <w:lvl w:ilvl="8" w:tplc="9384CEFA">
      <w:start w:val="1"/>
      <w:numFmt w:val="bullet"/>
      <w:lvlText w:val=""/>
      <w:lvlJc w:val="left"/>
      <w:pPr>
        <w:ind w:left="1080" w:hanging="360"/>
      </w:pPr>
      <w:rPr>
        <w:rFonts w:ascii="Symbol" w:hAnsi="Symbol"/>
      </w:rPr>
    </w:lvl>
  </w:abstractNum>
  <w:abstractNum w:abstractNumId="5" w15:restartNumberingAfterBreak="0">
    <w:nsid w:val="58044C3A"/>
    <w:multiLevelType w:val="hybridMultilevel"/>
    <w:tmpl w:val="24B475BA"/>
    <w:lvl w:ilvl="0" w:tplc="ECC6ECBC">
      <w:start w:val="1"/>
      <w:numFmt w:val="bullet"/>
      <w:lvlText w:val=""/>
      <w:lvlJc w:val="left"/>
      <w:pPr>
        <w:ind w:left="1080" w:hanging="360"/>
      </w:pPr>
      <w:rPr>
        <w:rFonts w:ascii="Symbol" w:hAnsi="Symbol"/>
      </w:rPr>
    </w:lvl>
    <w:lvl w:ilvl="1" w:tplc="A6687052">
      <w:start w:val="1"/>
      <w:numFmt w:val="bullet"/>
      <w:lvlText w:val=""/>
      <w:lvlJc w:val="left"/>
      <w:pPr>
        <w:ind w:left="1080" w:hanging="360"/>
      </w:pPr>
      <w:rPr>
        <w:rFonts w:ascii="Symbol" w:hAnsi="Symbol"/>
      </w:rPr>
    </w:lvl>
    <w:lvl w:ilvl="2" w:tplc="5B54FFF0">
      <w:start w:val="1"/>
      <w:numFmt w:val="bullet"/>
      <w:lvlText w:val=""/>
      <w:lvlJc w:val="left"/>
      <w:pPr>
        <w:ind w:left="1080" w:hanging="360"/>
      </w:pPr>
      <w:rPr>
        <w:rFonts w:ascii="Symbol" w:hAnsi="Symbol"/>
      </w:rPr>
    </w:lvl>
    <w:lvl w:ilvl="3" w:tplc="2780B5DC">
      <w:start w:val="1"/>
      <w:numFmt w:val="bullet"/>
      <w:lvlText w:val=""/>
      <w:lvlJc w:val="left"/>
      <w:pPr>
        <w:ind w:left="1080" w:hanging="360"/>
      </w:pPr>
      <w:rPr>
        <w:rFonts w:ascii="Symbol" w:hAnsi="Symbol"/>
      </w:rPr>
    </w:lvl>
    <w:lvl w:ilvl="4" w:tplc="42CC112C">
      <w:start w:val="1"/>
      <w:numFmt w:val="bullet"/>
      <w:lvlText w:val=""/>
      <w:lvlJc w:val="left"/>
      <w:pPr>
        <w:ind w:left="1080" w:hanging="360"/>
      </w:pPr>
      <w:rPr>
        <w:rFonts w:ascii="Symbol" w:hAnsi="Symbol"/>
      </w:rPr>
    </w:lvl>
    <w:lvl w:ilvl="5" w:tplc="03D2C7D0">
      <w:start w:val="1"/>
      <w:numFmt w:val="bullet"/>
      <w:lvlText w:val=""/>
      <w:lvlJc w:val="left"/>
      <w:pPr>
        <w:ind w:left="1080" w:hanging="360"/>
      </w:pPr>
      <w:rPr>
        <w:rFonts w:ascii="Symbol" w:hAnsi="Symbol"/>
      </w:rPr>
    </w:lvl>
    <w:lvl w:ilvl="6" w:tplc="347E2224">
      <w:start w:val="1"/>
      <w:numFmt w:val="bullet"/>
      <w:lvlText w:val=""/>
      <w:lvlJc w:val="left"/>
      <w:pPr>
        <w:ind w:left="1080" w:hanging="360"/>
      </w:pPr>
      <w:rPr>
        <w:rFonts w:ascii="Symbol" w:hAnsi="Symbol"/>
      </w:rPr>
    </w:lvl>
    <w:lvl w:ilvl="7" w:tplc="0D247C5C">
      <w:start w:val="1"/>
      <w:numFmt w:val="bullet"/>
      <w:lvlText w:val=""/>
      <w:lvlJc w:val="left"/>
      <w:pPr>
        <w:ind w:left="1080" w:hanging="360"/>
      </w:pPr>
      <w:rPr>
        <w:rFonts w:ascii="Symbol" w:hAnsi="Symbol"/>
      </w:rPr>
    </w:lvl>
    <w:lvl w:ilvl="8" w:tplc="381E552A">
      <w:start w:val="1"/>
      <w:numFmt w:val="bullet"/>
      <w:lvlText w:val=""/>
      <w:lvlJc w:val="left"/>
      <w:pPr>
        <w:ind w:left="1080" w:hanging="360"/>
      </w:pPr>
      <w:rPr>
        <w:rFonts w:ascii="Symbol" w:hAnsi="Symbol"/>
      </w:rPr>
    </w:lvl>
  </w:abstractNum>
  <w:abstractNum w:abstractNumId="6" w15:restartNumberingAfterBreak="0">
    <w:nsid w:val="5B40F9BE"/>
    <w:multiLevelType w:val="hybridMultilevel"/>
    <w:tmpl w:val="FFFFFFFF"/>
    <w:lvl w:ilvl="0" w:tplc="157C88CE">
      <w:start w:val="1"/>
      <w:numFmt w:val="bullet"/>
      <w:lvlText w:val=""/>
      <w:lvlJc w:val="left"/>
      <w:pPr>
        <w:ind w:left="720" w:hanging="360"/>
      </w:pPr>
      <w:rPr>
        <w:rFonts w:ascii="Symbol" w:hAnsi="Symbol" w:hint="default"/>
      </w:rPr>
    </w:lvl>
    <w:lvl w:ilvl="1" w:tplc="BAAC0D08">
      <w:start w:val="1"/>
      <w:numFmt w:val="bullet"/>
      <w:lvlText w:val="o"/>
      <w:lvlJc w:val="left"/>
      <w:pPr>
        <w:ind w:left="1440" w:hanging="360"/>
      </w:pPr>
      <w:rPr>
        <w:rFonts w:ascii="Courier New" w:hAnsi="Courier New" w:hint="default"/>
      </w:rPr>
    </w:lvl>
    <w:lvl w:ilvl="2" w:tplc="44CA66D0">
      <w:start w:val="1"/>
      <w:numFmt w:val="bullet"/>
      <w:lvlText w:val=""/>
      <w:lvlJc w:val="left"/>
      <w:pPr>
        <w:ind w:left="2160" w:hanging="360"/>
      </w:pPr>
      <w:rPr>
        <w:rFonts w:ascii="Wingdings" w:hAnsi="Wingdings" w:hint="default"/>
      </w:rPr>
    </w:lvl>
    <w:lvl w:ilvl="3" w:tplc="95069564">
      <w:start w:val="1"/>
      <w:numFmt w:val="bullet"/>
      <w:lvlText w:val=""/>
      <w:lvlJc w:val="left"/>
      <w:pPr>
        <w:ind w:left="2880" w:hanging="360"/>
      </w:pPr>
      <w:rPr>
        <w:rFonts w:ascii="Symbol" w:hAnsi="Symbol" w:hint="default"/>
      </w:rPr>
    </w:lvl>
    <w:lvl w:ilvl="4" w:tplc="9A1803CC">
      <w:start w:val="1"/>
      <w:numFmt w:val="bullet"/>
      <w:lvlText w:val="o"/>
      <w:lvlJc w:val="left"/>
      <w:pPr>
        <w:ind w:left="3600" w:hanging="360"/>
      </w:pPr>
      <w:rPr>
        <w:rFonts w:ascii="Courier New" w:hAnsi="Courier New" w:hint="default"/>
      </w:rPr>
    </w:lvl>
    <w:lvl w:ilvl="5" w:tplc="F0BC0FE2">
      <w:start w:val="1"/>
      <w:numFmt w:val="bullet"/>
      <w:lvlText w:val=""/>
      <w:lvlJc w:val="left"/>
      <w:pPr>
        <w:ind w:left="4320" w:hanging="360"/>
      </w:pPr>
      <w:rPr>
        <w:rFonts w:ascii="Wingdings" w:hAnsi="Wingdings" w:hint="default"/>
      </w:rPr>
    </w:lvl>
    <w:lvl w:ilvl="6" w:tplc="CAE678A0">
      <w:start w:val="1"/>
      <w:numFmt w:val="bullet"/>
      <w:lvlText w:val=""/>
      <w:lvlJc w:val="left"/>
      <w:pPr>
        <w:ind w:left="5040" w:hanging="360"/>
      </w:pPr>
      <w:rPr>
        <w:rFonts w:ascii="Symbol" w:hAnsi="Symbol" w:hint="default"/>
      </w:rPr>
    </w:lvl>
    <w:lvl w:ilvl="7" w:tplc="2848A368">
      <w:start w:val="1"/>
      <w:numFmt w:val="bullet"/>
      <w:lvlText w:val="o"/>
      <w:lvlJc w:val="left"/>
      <w:pPr>
        <w:ind w:left="5760" w:hanging="360"/>
      </w:pPr>
      <w:rPr>
        <w:rFonts w:ascii="Courier New" w:hAnsi="Courier New" w:hint="default"/>
      </w:rPr>
    </w:lvl>
    <w:lvl w:ilvl="8" w:tplc="6D7ED7AE">
      <w:start w:val="1"/>
      <w:numFmt w:val="bullet"/>
      <w:lvlText w:val=""/>
      <w:lvlJc w:val="left"/>
      <w:pPr>
        <w:ind w:left="6480" w:hanging="360"/>
      </w:pPr>
      <w:rPr>
        <w:rFonts w:ascii="Wingdings" w:hAnsi="Wingdings" w:hint="default"/>
      </w:rPr>
    </w:lvl>
  </w:abstractNum>
  <w:abstractNum w:abstractNumId="7" w15:restartNumberingAfterBreak="0">
    <w:nsid w:val="69146E91"/>
    <w:multiLevelType w:val="hybridMultilevel"/>
    <w:tmpl w:val="0554C41C"/>
    <w:lvl w:ilvl="0" w:tplc="E70429FC">
      <w:start w:val="1"/>
      <w:numFmt w:val="bullet"/>
      <w:lvlText w:val="•"/>
      <w:lvlJc w:val="left"/>
      <w:pPr>
        <w:ind w:left="720" w:hanging="360"/>
      </w:pPr>
    </w:lvl>
    <w:lvl w:ilvl="1" w:tplc="162E3500">
      <w:numFmt w:val="decimal"/>
      <w:lvlText w:val=""/>
      <w:lvlJc w:val="left"/>
    </w:lvl>
    <w:lvl w:ilvl="2" w:tplc="A5702D7E">
      <w:numFmt w:val="decimal"/>
      <w:lvlText w:val=""/>
      <w:lvlJc w:val="left"/>
    </w:lvl>
    <w:lvl w:ilvl="3" w:tplc="C4FED53E">
      <w:numFmt w:val="decimal"/>
      <w:lvlText w:val=""/>
      <w:lvlJc w:val="left"/>
    </w:lvl>
    <w:lvl w:ilvl="4" w:tplc="439AC60A">
      <w:numFmt w:val="decimal"/>
      <w:lvlText w:val=""/>
      <w:lvlJc w:val="left"/>
    </w:lvl>
    <w:lvl w:ilvl="5" w:tplc="09428E58">
      <w:numFmt w:val="decimal"/>
      <w:lvlText w:val=""/>
      <w:lvlJc w:val="left"/>
    </w:lvl>
    <w:lvl w:ilvl="6" w:tplc="5B3A3582">
      <w:numFmt w:val="decimal"/>
      <w:lvlText w:val=""/>
      <w:lvlJc w:val="left"/>
    </w:lvl>
    <w:lvl w:ilvl="7" w:tplc="0A8043FA">
      <w:numFmt w:val="decimal"/>
      <w:lvlText w:val=""/>
      <w:lvlJc w:val="left"/>
    </w:lvl>
    <w:lvl w:ilvl="8" w:tplc="2A7C2FC2">
      <w:numFmt w:val="decimal"/>
      <w:lvlText w:val=""/>
      <w:lvlJc w:val="left"/>
    </w:lvl>
  </w:abstractNum>
  <w:abstractNum w:abstractNumId="8" w15:restartNumberingAfterBreak="0">
    <w:nsid w:val="70D203FE"/>
    <w:multiLevelType w:val="hybridMultilevel"/>
    <w:tmpl w:val="90B0176E"/>
    <w:lvl w:ilvl="0" w:tplc="32E25C7A">
      <w:start w:val="1"/>
      <w:numFmt w:val="bullet"/>
      <w:lvlText w:val=""/>
      <w:lvlJc w:val="left"/>
      <w:pPr>
        <w:ind w:left="1080" w:hanging="360"/>
      </w:pPr>
      <w:rPr>
        <w:rFonts w:ascii="Symbol" w:hAnsi="Symbol"/>
      </w:rPr>
    </w:lvl>
    <w:lvl w:ilvl="1" w:tplc="2E94647E">
      <w:start w:val="1"/>
      <w:numFmt w:val="bullet"/>
      <w:lvlText w:val=""/>
      <w:lvlJc w:val="left"/>
      <w:pPr>
        <w:ind w:left="1080" w:hanging="360"/>
      </w:pPr>
      <w:rPr>
        <w:rFonts w:ascii="Symbol" w:hAnsi="Symbol"/>
      </w:rPr>
    </w:lvl>
    <w:lvl w:ilvl="2" w:tplc="99FA7AF4">
      <w:start w:val="1"/>
      <w:numFmt w:val="bullet"/>
      <w:lvlText w:val=""/>
      <w:lvlJc w:val="left"/>
      <w:pPr>
        <w:ind w:left="1080" w:hanging="360"/>
      </w:pPr>
      <w:rPr>
        <w:rFonts w:ascii="Symbol" w:hAnsi="Symbol"/>
      </w:rPr>
    </w:lvl>
    <w:lvl w:ilvl="3" w:tplc="7736F00A">
      <w:start w:val="1"/>
      <w:numFmt w:val="bullet"/>
      <w:lvlText w:val=""/>
      <w:lvlJc w:val="left"/>
      <w:pPr>
        <w:ind w:left="1080" w:hanging="360"/>
      </w:pPr>
      <w:rPr>
        <w:rFonts w:ascii="Symbol" w:hAnsi="Symbol"/>
      </w:rPr>
    </w:lvl>
    <w:lvl w:ilvl="4" w:tplc="49B623CC">
      <w:start w:val="1"/>
      <w:numFmt w:val="bullet"/>
      <w:lvlText w:val=""/>
      <w:lvlJc w:val="left"/>
      <w:pPr>
        <w:ind w:left="1080" w:hanging="360"/>
      </w:pPr>
      <w:rPr>
        <w:rFonts w:ascii="Symbol" w:hAnsi="Symbol"/>
      </w:rPr>
    </w:lvl>
    <w:lvl w:ilvl="5" w:tplc="BA862B48">
      <w:start w:val="1"/>
      <w:numFmt w:val="bullet"/>
      <w:lvlText w:val=""/>
      <w:lvlJc w:val="left"/>
      <w:pPr>
        <w:ind w:left="1080" w:hanging="360"/>
      </w:pPr>
      <w:rPr>
        <w:rFonts w:ascii="Symbol" w:hAnsi="Symbol"/>
      </w:rPr>
    </w:lvl>
    <w:lvl w:ilvl="6" w:tplc="D624BEFE">
      <w:start w:val="1"/>
      <w:numFmt w:val="bullet"/>
      <w:lvlText w:val=""/>
      <w:lvlJc w:val="left"/>
      <w:pPr>
        <w:ind w:left="1080" w:hanging="360"/>
      </w:pPr>
      <w:rPr>
        <w:rFonts w:ascii="Symbol" w:hAnsi="Symbol"/>
      </w:rPr>
    </w:lvl>
    <w:lvl w:ilvl="7" w:tplc="C59C84FA">
      <w:start w:val="1"/>
      <w:numFmt w:val="bullet"/>
      <w:lvlText w:val=""/>
      <w:lvlJc w:val="left"/>
      <w:pPr>
        <w:ind w:left="1080" w:hanging="360"/>
      </w:pPr>
      <w:rPr>
        <w:rFonts w:ascii="Symbol" w:hAnsi="Symbol"/>
      </w:rPr>
    </w:lvl>
    <w:lvl w:ilvl="8" w:tplc="C8E0CCAC">
      <w:start w:val="1"/>
      <w:numFmt w:val="bullet"/>
      <w:lvlText w:val=""/>
      <w:lvlJc w:val="left"/>
      <w:pPr>
        <w:ind w:left="1080" w:hanging="360"/>
      </w:pPr>
      <w:rPr>
        <w:rFonts w:ascii="Symbol" w:hAnsi="Symbol"/>
      </w:rPr>
    </w:lvl>
  </w:abstractNum>
  <w:abstractNum w:abstractNumId="9" w15:restartNumberingAfterBreak="0">
    <w:nsid w:val="73167295"/>
    <w:multiLevelType w:val="hybridMultilevel"/>
    <w:tmpl w:val="256639EA"/>
    <w:lvl w:ilvl="0" w:tplc="1C8CAA8A">
      <w:start w:val="1"/>
      <w:numFmt w:val="bullet"/>
      <w:lvlText w:val=""/>
      <w:lvlJc w:val="left"/>
      <w:pPr>
        <w:ind w:left="1080" w:hanging="360"/>
      </w:pPr>
      <w:rPr>
        <w:rFonts w:ascii="Symbol" w:hAnsi="Symbol"/>
      </w:rPr>
    </w:lvl>
    <w:lvl w:ilvl="1" w:tplc="1268A61E">
      <w:start w:val="1"/>
      <w:numFmt w:val="bullet"/>
      <w:lvlText w:val=""/>
      <w:lvlJc w:val="left"/>
      <w:pPr>
        <w:ind w:left="1080" w:hanging="360"/>
      </w:pPr>
      <w:rPr>
        <w:rFonts w:ascii="Symbol" w:hAnsi="Symbol"/>
      </w:rPr>
    </w:lvl>
    <w:lvl w:ilvl="2" w:tplc="66DC93D2">
      <w:start w:val="1"/>
      <w:numFmt w:val="bullet"/>
      <w:lvlText w:val=""/>
      <w:lvlJc w:val="left"/>
      <w:pPr>
        <w:ind w:left="1080" w:hanging="360"/>
      </w:pPr>
      <w:rPr>
        <w:rFonts w:ascii="Symbol" w:hAnsi="Symbol"/>
      </w:rPr>
    </w:lvl>
    <w:lvl w:ilvl="3" w:tplc="7C3C9184">
      <w:start w:val="1"/>
      <w:numFmt w:val="bullet"/>
      <w:lvlText w:val=""/>
      <w:lvlJc w:val="left"/>
      <w:pPr>
        <w:ind w:left="1080" w:hanging="360"/>
      </w:pPr>
      <w:rPr>
        <w:rFonts w:ascii="Symbol" w:hAnsi="Symbol"/>
      </w:rPr>
    </w:lvl>
    <w:lvl w:ilvl="4" w:tplc="F00CBF70">
      <w:start w:val="1"/>
      <w:numFmt w:val="bullet"/>
      <w:lvlText w:val=""/>
      <w:lvlJc w:val="left"/>
      <w:pPr>
        <w:ind w:left="1080" w:hanging="360"/>
      </w:pPr>
      <w:rPr>
        <w:rFonts w:ascii="Symbol" w:hAnsi="Symbol"/>
      </w:rPr>
    </w:lvl>
    <w:lvl w:ilvl="5" w:tplc="B27A8570">
      <w:start w:val="1"/>
      <w:numFmt w:val="bullet"/>
      <w:lvlText w:val=""/>
      <w:lvlJc w:val="left"/>
      <w:pPr>
        <w:ind w:left="1080" w:hanging="360"/>
      </w:pPr>
      <w:rPr>
        <w:rFonts w:ascii="Symbol" w:hAnsi="Symbol"/>
      </w:rPr>
    </w:lvl>
    <w:lvl w:ilvl="6" w:tplc="97F40E3C">
      <w:start w:val="1"/>
      <w:numFmt w:val="bullet"/>
      <w:lvlText w:val=""/>
      <w:lvlJc w:val="left"/>
      <w:pPr>
        <w:ind w:left="1080" w:hanging="360"/>
      </w:pPr>
      <w:rPr>
        <w:rFonts w:ascii="Symbol" w:hAnsi="Symbol"/>
      </w:rPr>
    </w:lvl>
    <w:lvl w:ilvl="7" w:tplc="68DAEDEA">
      <w:start w:val="1"/>
      <w:numFmt w:val="bullet"/>
      <w:lvlText w:val=""/>
      <w:lvlJc w:val="left"/>
      <w:pPr>
        <w:ind w:left="1080" w:hanging="360"/>
      </w:pPr>
      <w:rPr>
        <w:rFonts w:ascii="Symbol" w:hAnsi="Symbol"/>
      </w:rPr>
    </w:lvl>
    <w:lvl w:ilvl="8" w:tplc="E0AA5722">
      <w:start w:val="1"/>
      <w:numFmt w:val="bullet"/>
      <w:lvlText w:val=""/>
      <w:lvlJc w:val="left"/>
      <w:pPr>
        <w:ind w:left="1080" w:hanging="360"/>
      </w:pPr>
      <w:rPr>
        <w:rFonts w:ascii="Symbol" w:hAnsi="Symbol"/>
      </w:rPr>
    </w:lvl>
  </w:abstractNum>
  <w:abstractNum w:abstractNumId="10" w15:restartNumberingAfterBreak="0">
    <w:nsid w:val="797C6374"/>
    <w:multiLevelType w:val="hybridMultilevel"/>
    <w:tmpl w:val="583EB4BC"/>
    <w:lvl w:ilvl="0" w:tplc="FCD6437C">
      <w:start w:val="1"/>
      <w:numFmt w:val="bullet"/>
      <w:lvlText w:val=""/>
      <w:lvlJc w:val="left"/>
      <w:pPr>
        <w:ind w:left="1080" w:hanging="360"/>
      </w:pPr>
      <w:rPr>
        <w:rFonts w:ascii="Symbol" w:hAnsi="Symbol"/>
      </w:rPr>
    </w:lvl>
    <w:lvl w:ilvl="1" w:tplc="3E3AC424">
      <w:start w:val="1"/>
      <w:numFmt w:val="bullet"/>
      <w:lvlText w:val=""/>
      <w:lvlJc w:val="left"/>
      <w:pPr>
        <w:ind w:left="1080" w:hanging="360"/>
      </w:pPr>
      <w:rPr>
        <w:rFonts w:ascii="Symbol" w:hAnsi="Symbol"/>
      </w:rPr>
    </w:lvl>
    <w:lvl w:ilvl="2" w:tplc="16784AE0">
      <w:start w:val="1"/>
      <w:numFmt w:val="bullet"/>
      <w:lvlText w:val=""/>
      <w:lvlJc w:val="left"/>
      <w:pPr>
        <w:ind w:left="1080" w:hanging="360"/>
      </w:pPr>
      <w:rPr>
        <w:rFonts w:ascii="Symbol" w:hAnsi="Symbol"/>
      </w:rPr>
    </w:lvl>
    <w:lvl w:ilvl="3" w:tplc="D3367FAA">
      <w:start w:val="1"/>
      <w:numFmt w:val="bullet"/>
      <w:lvlText w:val=""/>
      <w:lvlJc w:val="left"/>
      <w:pPr>
        <w:ind w:left="1080" w:hanging="360"/>
      </w:pPr>
      <w:rPr>
        <w:rFonts w:ascii="Symbol" w:hAnsi="Symbol"/>
      </w:rPr>
    </w:lvl>
    <w:lvl w:ilvl="4" w:tplc="3078B91E">
      <w:start w:val="1"/>
      <w:numFmt w:val="bullet"/>
      <w:lvlText w:val=""/>
      <w:lvlJc w:val="left"/>
      <w:pPr>
        <w:ind w:left="1080" w:hanging="360"/>
      </w:pPr>
      <w:rPr>
        <w:rFonts w:ascii="Symbol" w:hAnsi="Symbol"/>
      </w:rPr>
    </w:lvl>
    <w:lvl w:ilvl="5" w:tplc="33A6DA8C">
      <w:start w:val="1"/>
      <w:numFmt w:val="bullet"/>
      <w:lvlText w:val=""/>
      <w:lvlJc w:val="left"/>
      <w:pPr>
        <w:ind w:left="1080" w:hanging="360"/>
      </w:pPr>
      <w:rPr>
        <w:rFonts w:ascii="Symbol" w:hAnsi="Symbol"/>
      </w:rPr>
    </w:lvl>
    <w:lvl w:ilvl="6" w:tplc="EB7A2C3E">
      <w:start w:val="1"/>
      <w:numFmt w:val="bullet"/>
      <w:lvlText w:val=""/>
      <w:lvlJc w:val="left"/>
      <w:pPr>
        <w:ind w:left="1080" w:hanging="360"/>
      </w:pPr>
      <w:rPr>
        <w:rFonts w:ascii="Symbol" w:hAnsi="Symbol"/>
      </w:rPr>
    </w:lvl>
    <w:lvl w:ilvl="7" w:tplc="CD0247A2">
      <w:start w:val="1"/>
      <w:numFmt w:val="bullet"/>
      <w:lvlText w:val=""/>
      <w:lvlJc w:val="left"/>
      <w:pPr>
        <w:ind w:left="1080" w:hanging="360"/>
      </w:pPr>
      <w:rPr>
        <w:rFonts w:ascii="Symbol" w:hAnsi="Symbol"/>
      </w:rPr>
    </w:lvl>
    <w:lvl w:ilvl="8" w:tplc="6602B596">
      <w:start w:val="1"/>
      <w:numFmt w:val="bullet"/>
      <w:lvlText w:val=""/>
      <w:lvlJc w:val="left"/>
      <w:pPr>
        <w:ind w:left="1080" w:hanging="360"/>
      </w:pPr>
      <w:rPr>
        <w:rFonts w:ascii="Symbol" w:hAnsi="Symbol"/>
      </w:rPr>
    </w:lvl>
  </w:abstractNum>
  <w:abstractNum w:abstractNumId="11" w15:restartNumberingAfterBreak="0">
    <w:nsid w:val="7F842E97"/>
    <w:multiLevelType w:val="hybridMultilevel"/>
    <w:tmpl w:val="E5126DF8"/>
    <w:lvl w:ilvl="0" w:tplc="62CA7C9C">
      <w:start w:val="1"/>
      <w:numFmt w:val="bullet"/>
      <w:lvlText w:val="●"/>
      <w:lvlJc w:val="left"/>
      <w:pPr>
        <w:ind w:left="720" w:hanging="360"/>
      </w:pPr>
    </w:lvl>
    <w:lvl w:ilvl="1" w:tplc="DB8E987C">
      <w:start w:val="1"/>
      <w:numFmt w:val="bullet"/>
      <w:lvlText w:val="○"/>
      <w:lvlJc w:val="left"/>
      <w:pPr>
        <w:ind w:left="1440" w:hanging="360"/>
      </w:pPr>
    </w:lvl>
    <w:lvl w:ilvl="2" w:tplc="37A06C36">
      <w:start w:val="1"/>
      <w:numFmt w:val="bullet"/>
      <w:lvlText w:val="■"/>
      <w:lvlJc w:val="left"/>
      <w:pPr>
        <w:ind w:left="2160" w:hanging="360"/>
      </w:pPr>
    </w:lvl>
    <w:lvl w:ilvl="3" w:tplc="E134062A">
      <w:start w:val="1"/>
      <w:numFmt w:val="bullet"/>
      <w:lvlText w:val="●"/>
      <w:lvlJc w:val="left"/>
      <w:pPr>
        <w:ind w:left="2880" w:hanging="360"/>
      </w:pPr>
    </w:lvl>
    <w:lvl w:ilvl="4" w:tplc="D910FB60">
      <w:start w:val="1"/>
      <w:numFmt w:val="bullet"/>
      <w:lvlText w:val="○"/>
      <w:lvlJc w:val="left"/>
      <w:pPr>
        <w:ind w:left="3600" w:hanging="360"/>
      </w:pPr>
    </w:lvl>
    <w:lvl w:ilvl="5" w:tplc="1F0EBCB2">
      <w:start w:val="1"/>
      <w:numFmt w:val="bullet"/>
      <w:lvlText w:val="■"/>
      <w:lvlJc w:val="left"/>
      <w:pPr>
        <w:ind w:left="4320" w:hanging="360"/>
      </w:pPr>
    </w:lvl>
    <w:lvl w:ilvl="6" w:tplc="78A6D962">
      <w:start w:val="1"/>
      <w:numFmt w:val="bullet"/>
      <w:lvlText w:val="●"/>
      <w:lvlJc w:val="left"/>
      <w:pPr>
        <w:ind w:left="5040" w:hanging="360"/>
      </w:pPr>
    </w:lvl>
    <w:lvl w:ilvl="7" w:tplc="1D28CCCE">
      <w:start w:val="1"/>
      <w:numFmt w:val="bullet"/>
      <w:lvlText w:val="●"/>
      <w:lvlJc w:val="left"/>
      <w:pPr>
        <w:ind w:left="5760" w:hanging="360"/>
      </w:pPr>
    </w:lvl>
    <w:lvl w:ilvl="8" w:tplc="9CA626AA">
      <w:start w:val="1"/>
      <w:numFmt w:val="bullet"/>
      <w:lvlText w:val="●"/>
      <w:lvlJc w:val="left"/>
      <w:pPr>
        <w:ind w:left="6480" w:hanging="360"/>
      </w:pPr>
    </w:lvl>
  </w:abstractNum>
  <w:num w:numId="1" w16cid:durableId="520356674">
    <w:abstractNumId w:val="6"/>
  </w:num>
  <w:num w:numId="2" w16cid:durableId="810753644">
    <w:abstractNumId w:val="11"/>
    <w:lvlOverride w:ilvl="0">
      <w:startOverride w:val="1"/>
    </w:lvlOverride>
  </w:num>
  <w:num w:numId="3" w16cid:durableId="571082878">
    <w:abstractNumId w:val="7"/>
    <w:lvlOverride w:ilvl="0">
      <w:startOverride w:val="1"/>
    </w:lvlOverride>
  </w:num>
  <w:num w:numId="4" w16cid:durableId="1249998496">
    <w:abstractNumId w:val="1"/>
  </w:num>
  <w:num w:numId="5" w16cid:durableId="1780878519">
    <w:abstractNumId w:val="4"/>
  </w:num>
  <w:num w:numId="6" w16cid:durableId="1188446068">
    <w:abstractNumId w:val="8"/>
  </w:num>
  <w:num w:numId="7" w16cid:durableId="1520462335">
    <w:abstractNumId w:val="10"/>
  </w:num>
  <w:num w:numId="8" w16cid:durableId="1364672757">
    <w:abstractNumId w:val="0"/>
  </w:num>
  <w:num w:numId="9" w16cid:durableId="1634751109">
    <w:abstractNumId w:val="5"/>
  </w:num>
  <w:num w:numId="10" w16cid:durableId="137040075">
    <w:abstractNumId w:val="9"/>
  </w:num>
  <w:num w:numId="11" w16cid:durableId="180778930">
    <w:abstractNumId w:val="2"/>
  </w:num>
  <w:num w:numId="12" w16cid:durableId="28915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7B5"/>
    <w:rsid w:val="00001D25"/>
    <w:rsid w:val="00027698"/>
    <w:rsid w:val="000337B5"/>
    <w:rsid w:val="0006073B"/>
    <w:rsid w:val="000767FD"/>
    <w:rsid w:val="000841E3"/>
    <w:rsid w:val="000A588A"/>
    <w:rsid w:val="000C1207"/>
    <w:rsid w:val="000C2F0C"/>
    <w:rsid w:val="000C4CCE"/>
    <w:rsid w:val="000C5162"/>
    <w:rsid w:val="000F3D24"/>
    <w:rsid w:val="001165B9"/>
    <w:rsid w:val="001325E3"/>
    <w:rsid w:val="001533FF"/>
    <w:rsid w:val="001715E8"/>
    <w:rsid w:val="00171765"/>
    <w:rsid w:val="00184778"/>
    <w:rsid w:val="00193B02"/>
    <w:rsid w:val="00197BDE"/>
    <w:rsid w:val="001C2534"/>
    <w:rsid w:val="00200E8B"/>
    <w:rsid w:val="002029F8"/>
    <w:rsid w:val="00241A99"/>
    <w:rsid w:val="002552D3"/>
    <w:rsid w:val="002817B3"/>
    <w:rsid w:val="002A627E"/>
    <w:rsid w:val="002B1CA0"/>
    <w:rsid w:val="002E6B7A"/>
    <w:rsid w:val="002F55F0"/>
    <w:rsid w:val="002F7575"/>
    <w:rsid w:val="00306201"/>
    <w:rsid w:val="003126BF"/>
    <w:rsid w:val="00334D57"/>
    <w:rsid w:val="003819BD"/>
    <w:rsid w:val="003B3740"/>
    <w:rsid w:val="004231A1"/>
    <w:rsid w:val="0042649E"/>
    <w:rsid w:val="004577CC"/>
    <w:rsid w:val="004823D3"/>
    <w:rsid w:val="00482B1D"/>
    <w:rsid w:val="004837AB"/>
    <w:rsid w:val="00484909"/>
    <w:rsid w:val="00493D5D"/>
    <w:rsid w:val="004A6D70"/>
    <w:rsid w:val="004B3D57"/>
    <w:rsid w:val="004B5477"/>
    <w:rsid w:val="004E6277"/>
    <w:rsid w:val="00503657"/>
    <w:rsid w:val="00552B20"/>
    <w:rsid w:val="005560F5"/>
    <w:rsid w:val="00556F1D"/>
    <w:rsid w:val="005629F1"/>
    <w:rsid w:val="005716E6"/>
    <w:rsid w:val="005964D6"/>
    <w:rsid w:val="005A4391"/>
    <w:rsid w:val="005B47AC"/>
    <w:rsid w:val="005C2957"/>
    <w:rsid w:val="005D503F"/>
    <w:rsid w:val="005D6B3B"/>
    <w:rsid w:val="00607EF2"/>
    <w:rsid w:val="00611F48"/>
    <w:rsid w:val="0062185D"/>
    <w:rsid w:val="006431F8"/>
    <w:rsid w:val="00653563"/>
    <w:rsid w:val="0066204C"/>
    <w:rsid w:val="00663A6E"/>
    <w:rsid w:val="00673DDB"/>
    <w:rsid w:val="006744F6"/>
    <w:rsid w:val="006A43AD"/>
    <w:rsid w:val="006C132C"/>
    <w:rsid w:val="006C7C7F"/>
    <w:rsid w:val="006D34E1"/>
    <w:rsid w:val="006D552E"/>
    <w:rsid w:val="006E05BA"/>
    <w:rsid w:val="007135C2"/>
    <w:rsid w:val="00723A07"/>
    <w:rsid w:val="00726AF1"/>
    <w:rsid w:val="0074486E"/>
    <w:rsid w:val="00771920"/>
    <w:rsid w:val="007837C2"/>
    <w:rsid w:val="007C284E"/>
    <w:rsid w:val="007C61D3"/>
    <w:rsid w:val="007D07F3"/>
    <w:rsid w:val="00815616"/>
    <w:rsid w:val="00816371"/>
    <w:rsid w:val="00830EB8"/>
    <w:rsid w:val="008347F5"/>
    <w:rsid w:val="00841B93"/>
    <w:rsid w:val="00854272"/>
    <w:rsid w:val="00856B3D"/>
    <w:rsid w:val="00860B55"/>
    <w:rsid w:val="00860EAA"/>
    <w:rsid w:val="008A09B9"/>
    <w:rsid w:val="008A4A55"/>
    <w:rsid w:val="008A5603"/>
    <w:rsid w:val="008C0479"/>
    <w:rsid w:val="008D2E79"/>
    <w:rsid w:val="008E36DC"/>
    <w:rsid w:val="008E6A72"/>
    <w:rsid w:val="009264D8"/>
    <w:rsid w:val="0093709B"/>
    <w:rsid w:val="00942255"/>
    <w:rsid w:val="00957DC9"/>
    <w:rsid w:val="00971257"/>
    <w:rsid w:val="00975DA9"/>
    <w:rsid w:val="00980EF2"/>
    <w:rsid w:val="0098710C"/>
    <w:rsid w:val="0099565E"/>
    <w:rsid w:val="009972F6"/>
    <w:rsid w:val="009B0FA4"/>
    <w:rsid w:val="009C4A22"/>
    <w:rsid w:val="009D5529"/>
    <w:rsid w:val="009F6084"/>
    <w:rsid w:val="00A30BCD"/>
    <w:rsid w:val="00A544DC"/>
    <w:rsid w:val="00A54B48"/>
    <w:rsid w:val="00A6798F"/>
    <w:rsid w:val="00A953A0"/>
    <w:rsid w:val="00AA2CA0"/>
    <w:rsid w:val="00AC0CE9"/>
    <w:rsid w:val="00AC2ADD"/>
    <w:rsid w:val="00AF60DA"/>
    <w:rsid w:val="00B223BB"/>
    <w:rsid w:val="00B32EC7"/>
    <w:rsid w:val="00B762FD"/>
    <w:rsid w:val="00B91511"/>
    <w:rsid w:val="00B97040"/>
    <w:rsid w:val="00BA79E7"/>
    <w:rsid w:val="00BB3427"/>
    <w:rsid w:val="00BB4385"/>
    <w:rsid w:val="00BC761A"/>
    <w:rsid w:val="00BE07FE"/>
    <w:rsid w:val="00BE1741"/>
    <w:rsid w:val="00BE1CA2"/>
    <w:rsid w:val="00C0407A"/>
    <w:rsid w:val="00C13BC9"/>
    <w:rsid w:val="00C166C5"/>
    <w:rsid w:val="00C21023"/>
    <w:rsid w:val="00C320A9"/>
    <w:rsid w:val="00C4428D"/>
    <w:rsid w:val="00C55751"/>
    <w:rsid w:val="00C74F2B"/>
    <w:rsid w:val="00CA7C86"/>
    <w:rsid w:val="00CB5A53"/>
    <w:rsid w:val="00CC1F1D"/>
    <w:rsid w:val="00CC6335"/>
    <w:rsid w:val="00CD3301"/>
    <w:rsid w:val="00CD5559"/>
    <w:rsid w:val="00CE785B"/>
    <w:rsid w:val="00CF4A77"/>
    <w:rsid w:val="00D033A5"/>
    <w:rsid w:val="00D162CE"/>
    <w:rsid w:val="00D24CFA"/>
    <w:rsid w:val="00D36295"/>
    <w:rsid w:val="00D546A4"/>
    <w:rsid w:val="00D624AC"/>
    <w:rsid w:val="00D66418"/>
    <w:rsid w:val="00D70F14"/>
    <w:rsid w:val="00D75613"/>
    <w:rsid w:val="00D779EE"/>
    <w:rsid w:val="00D855A5"/>
    <w:rsid w:val="00D9436A"/>
    <w:rsid w:val="00DF0203"/>
    <w:rsid w:val="00DF1973"/>
    <w:rsid w:val="00DF6B00"/>
    <w:rsid w:val="00E3684F"/>
    <w:rsid w:val="00E5382E"/>
    <w:rsid w:val="00E61904"/>
    <w:rsid w:val="00E732EC"/>
    <w:rsid w:val="00E73FF4"/>
    <w:rsid w:val="00E932EF"/>
    <w:rsid w:val="00E93794"/>
    <w:rsid w:val="00E971FE"/>
    <w:rsid w:val="00EA4006"/>
    <w:rsid w:val="00ED7C65"/>
    <w:rsid w:val="00EE7CD1"/>
    <w:rsid w:val="00EF33AB"/>
    <w:rsid w:val="00F06DE1"/>
    <w:rsid w:val="00F14A8C"/>
    <w:rsid w:val="00F14F65"/>
    <w:rsid w:val="00F262F2"/>
    <w:rsid w:val="00F31FF8"/>
    <w:rsid w:val="00F354CD"/>
    <w:rsid w:val="00F371EC"/>
    <w:rsid w:val="00F458FE"/>
    <w:rsid w:val="00F500FE"/>
    <w:rsid w:val="00F519DA"/>
    <w:rsid w:val="00F53D0C"/>
    <w:rsid w:val="00F62BE5"/>
    <w:rsid w:val="00F642A8"/>
    <w:rsid w:val="00F670FE"/>
    <w:rsid w:val="00FA3BA6"/>
    <w:rsid w:val="00FA5680"/>
    <w:rsid w:val="00FB40C2"/>
    <w:rsid w:val="00FB6BBB"/>
    <w:rsid w:val="01098CCE"/>
    <w:rsid w:val="0136F41F"/>
    <w:rsid w:val="01461FEC"/>
    <w:rsid w:val="033A0CA8"/>
    <w:rsid w:val="0372BB09"/>
    <w:rsid w:val="04620674"/>
    <w:rsid w:val="049B7E50"/>
    <w:rsid w:val="04C04664"/>
    <w:rsid w:val="04D6441A"/>
    <w:rsid w:val="05299E25"/>
    <w:rsid w:val="055C4DAC"/>
    <w:rsid w:val="055EC053"/>
    <w:rsid w:val="06351CE0"/>
    <w:rsid w:val="06648104"/>
    <w:rsid w:val="07EAE3FB"/>
    <w:rsid w:val="082F5542"/>
    <w:rsid w:val="0991DFE7"/>
    <w:rsid w:val="09C4F01A"/>
    <w:rsid w:val="0B405272"/>
    <w:rsid w:val="0B8A812E"/>
    <w:rsid w:val="0BCC82B4"/>
    <w:rsid w:val="0C358864"/>
    <w:rsid w:val="0C7725B9"/>
    <w:rsid w:val="0CC3E3F4"/>
    <w:rsid w:val="0D251B85"/>
    <w:rsid w:val="0D31EDB8"/>
    <w:rsid w:val="0E7737CD"/>
    <w:rsid w:val="100A283E"/>
    <w:rsid w:val="10520757"/>
    <w:rsid w:val="111F1A47"/>
    <w:rsid w:val="117E80E2"/>
    <w:rsid w:val="121872FF"/>
    <w:rsid w:val="12B1CC7E"/>
    <w:rsid w:val="12C2EF26"/>
    <w:rsid w:val="1301B046"/>
    <w:rsid w:val="1315F912"/>
    <w:rsid w:val="1480E0A1"/>
    <w:rsid w:val="14B0E7C0"/>
    <w:rsid w:val="1559F4A6"/>
    <w:rsid w:val="156C2CB6"/>
    <w:rsid w:val="157C4055"/>
    <w:rsid w:val="160F4021"/>
    <w:rsid w:val="167A3846"/>
    <w:rsid w:val="16A0722D"/>
    <w:rsid w:val="1740F218"/>
    <w:rsid w:val="174945B5"/>
    <w:rsid w:val="17A2565E"/>
    <w:rsid w:val="17C5BC39"/>
    <w:rsid w:val="17F81EE2"/>
    <w:rsid w:val="1809AED7"/>
    <w:rsid w:val="187BAE20"/>
    <w:rsid w:val="18D99D10"/>
    <w:rsid w:val="1A0E8A8B"/>
    <w:rsid w:val="1AA9944E"/>
    <w:rsid w:val="1B4983C6"/>
    <w:rsid w:val="1B735F63"/>
    <w:rsid w:val="1BDADC2F"/>
    <w:rsid w:val="1CB3B554"/>
    <w:rsid w:val="1CF99E47"/>
    <w:rsid w:val="1DC209EB"/>
    <w:rsid w:val="1DC53E50"/>
    <w:rsid w:val="1DCEF071"/>
    <w:rsid w:val="1DFB0027"/>
    <w:rsid w:val="1FE55133"/>
    <w:rsid w:val="20AAE81F"/>
    <w:rsid w:val="20B59C3B"/>
    <w:rsid w:val="2145F8BF"/>
    <w:rsid w:val="221DAA51"/>
    <w:rsid w:val="22285A0A"/>
    <w:rsid w:val="22418302"/>
    <w:rsid w:val="237AB40E"/>
    <w:rsid w:val="239351CA"/>
    <w:rsid w:val="239D8275"/>
    <w:rsid w:val="2411788C"/>
    <w:rsid w:val="24535D29"/>
    <w:rsid w:val="2525B342"/>
    <w:rsid w:val="25533927"/>
    <w:rsid w:val="259CB6AE"/>
    <w:rsid w:val="265C27D1"/>
    <w:rsid w:val="277A6C6C"/>
    <w:rsid w:val="2808381C"/>
    <w:rsid w:val="28FAAB1E"/>
    <w:rsid w:val="2A200BB4"/>
    <w:rsid w:val="2A57849B"/>
    <w:rsid w:val="2AAECC38"/>
    <w:rsid w:val="2AD0DCA7"/>
    <w:rsid w:val="2C106B98"/>
    <w:rsid w:val="2C258A64"/>
    <w:rsid w:val="2C7F07DB"/>
    <w:rsid w:val="2D350547"/>
    <w:rsid w:val="2D84A967"/>
    <w:rsid w:val="2D9E4923"/>
    <w:rsid w:val="2DBA2843"/>
    <w:rsid w:val="2DC3C515"/>
    <w:rsid w:val="2E15DC6C"/>
    <w:rsid w:val="2E827823"/>
    <w:rsid w:val="2F01CA6A"/>
    <w:rsid w:val="2F3863FB"/>
    <w:rsid w:val="2F9DD774"/>
    <w:rsid w:val="2FA4B087"/>
    <w:rsid w:val="31DFF923"/>
    <w:rsid w:val="31FD9BA6"/>
    <w:rsid w:val="3257FD1E"/>
    <w:rsid w:val="329AA287"/>
    <w:rsid w:val="3318D6C9"/>
    <w:rsid w:val="331AF5D4"/>
    <w:rsid w:val="335E639E"/>
    <w:rsid w:val="3425AA91"/>
    <w:rsid w:val="3473EB2C"/>
    <w:rsid w:val="34C2574A"/>
    <w:rsid w:val="3553D51D"/>
    <w:rsid w:val="358D6E1D"/>
    <w:rsid w:val="37CD795B"/>
    <w:rsid w:val="37E02618"/>
    <w:rsid w:val="38080311"/>
    <w:rsid w:val="38A4026F"/>
    <w:rsid w:val="3A9CBE3A"/>
    <w:rsid w:val="3BE1F51A"/>
    <w:rsid w:val="3C1E7AA2"/>
    <w:rsid w:val="3DEE5289"/>
    <w:rsid w:val="3E08C567"/>
    <w:rsid w:val="3F4EF078"/>
    <w:rsid w:val="410345B8"/>
    <w:rsid w:val="4173A44E"/>
    <w:rsid w:val="4189A0A0"/>
    <w:rsid w:val="44364284"/>
    <w:rsid w:val="445D3E60"/>
    <w:rsid w:val="45124458"/>
    <w:rsid w:val="4573CC86"/>
    <w:rsid w:val="4640AF2F"/>
    <w:rsid w:val="47F7FFB8"/>
    <w:rsid w:val="4949D442"/>
    <w:rsid w:val="4A6BFC1B"/>
    <w:rsid w:val="4AA4D501"/>
    <w:rsid w:val="4B14B715"/>
    <w:rsid w:val="4C3228E2"/>
    <w:rsid w:val="4CDB2DD1"/>
    <w:rsid w:val="4CE875C8"/>
    <w:rsid w:val="4CF9DFB9"/>
    <w:rsid w:val="4D3123A7"/>
    <w:rsid w:val="4D6A4CE9"/>
    <w:rsid w:val="4E02952A"/>
    <w:rsid w:val="4EAB4F1B"/>
    <w:rsid w:val="4FD4EC66"/>
    <w:rsid w:val="50EE87FD"/>
    <w:rsid w:val="50FF043A"/>
    <w:rsid w:val="5118D8B7"/>
    <w:rsid w:val="511F3BE4"/>
    <w:rsid w:val="5226FE30"/>
    <w:rsid w:val="52EB85F4"/>
    <w:rsid w:val="52EDBB58"/>
    <w:rsid w:val="534DDFB6"/>
    <w:rsid w:val="537F17B7"/>
    <w:rsid w:val="53E3D355"/>
    <w:rsid w:val="5499CFB4"/>
    <w:rsid w:val="54C0662C"/>
    <w:rsid w:val="54C179DA"/>
    <w:rsid w:val="56901EB3"/>
    <w:rsid w:val="569FC662"/>
    <w:rsid w:val="57115AAD"/>
    <w:rsid w:val="572D4825"/>
    <w:rsid w:val="5782FB53"/>
    <w:rsid w:val="57E4FA12"/>
    <w:rsid w:val="5A58D8A4"/>
    <w:rsid w:val="5AC5A0DF"/>
    <w:rsid w:val="5B4AF65F"/>
    <w:rsid w:val="5B96653A"/>
    <w:rsid w:val="5BDA1D96"/>
    <w:rsid w:val="5C5953CB"/>
    <w:rsid w:val="5C78E4CB"/>
    <w:rsid w:val="5D64C241"/>
    <w:rsid w:val="5D7AD73A"/>
    <w:rsid w:val="5D8FD886"/>
    <w:rsid w:val="5DB12DC2"/>
    <w:rsid w:val="5E6884DF"/>
    <w:rsid w:val="5E7A6DFE"/>
    <w:rsid w:val="5E8B4454"/>
    <w:rsid w:val="5EACF02E"/>
    <w:rsid w:val="5FAA543A"/>
    <w:rsid w:val="600EBC40"/>
    <w:rsid w:val="6024B3EB"/>
    <w:rsid w:val="60FD3C25"/>
    <w:rsid w:val="6158B722"/>
    <w:rsid w:val="620666EA"/>
    <w:rsid w:val="628E12C8"/>
    <w:rsid w:val="62E8957B"/>
    <w:rsid w:val="63A61DC0"/>
    <w:rsid w:val="63CBB6A6"/>
    <w:rsid w:val="6405F730"/>
    <w:rsid w:val="643826D6"/>
    <w:rsid w:val="646DE5CB"/>
    <w:rsid w:val="652C396A"/>
    <w:rsid w:val="65618408"/>
    <w:rsid w:val="66A537F7"/>
    <w:rsid w:val="675B7DC8"/>
    <w:rsid w:val="68B20189"/>
    <w:rsid w:val="69302519"/>
    <w:rsid w:val="69640377"/>
    <w:rsid w:val="69BB0AEA"/>
    <w:rsid w:val="69D66BD6"/>
    <w:rsid w:val="6A3BC78B"/>
    <w:rsid w:val="6A7903B7"/>
    <w:rsid w:val="6BA43CAE"/>
    <w:rsid w:val="6BE3D85F"/>
    <w:rsid w:val="6C23AE1E"/>
    <w:rsid w:val="6C5AE4DA"/>
    <w:rsid w:val="6C728B1D"/>
    <w:rsid w:val="6CD4DABD"/>
    <w:rsid w:val="6D7DEC1A"/>
    <w:rsid w:val="6E0168FE"/>
    <w:rsid w:val="6E3AC540"/>
    <w:rsid w:val="6E42E6B6"/>
    <w:rsid w:val="6E987698"/>
    <w:rsid w:val="6EE5CCAB"/>
    <w:rsid w:val="6F68EFB3"/>
    <w:rsid w:val="6F72ECF1"/>
    <w:rsid w:val="6FAC4390"/>
    <w:rsid w:val="704E7C25"/>
    <w:rsid w:val="708B5643"/>
    <w:rsid w:val="70E91952"/>
    <w:rsid w:val="71819BAF"/>
    <w:rsid w:val="72A3C545"/>
    <w:rsid w:val="72C37B94"/>
    <w:rsid w:val="742A6015"/>
    <w:rsid w:val="7436869A"/>
    <w:rsid w:val="74D060BD"/>
    <w:rsid w:val="75AB20AD"/>
    <w:rsid w:val="76EDAF72"/>
    <w:rsid w:val="771BBA42"/>
    <w:rsid w:val="776A1B93"/>
    <w:rsid w:val="77E7B62D"/>
    <w:rsid w:val="79EB79D8"/>
    <w:rsid w:val="7AA0707C"/>
    <w:rsid w:val="7B0EFBAE"/>
    <w:rsid w:val="7B15C50A"/>
    <w:rsid w:val="7B21F780"/>
    <w:rsid w:val="7BCC364C"/>
    <w:rsid w:val="7C18A1B4"/>
    <w:rsid w:val="7C97CDB5"/>
    <w:rsid w:val="7C9BB421"/>
    <w:rsid w:val="7CC46E6D"/>
    <w:rsid w:val="7CEA2F24"/>
    <w:rsid w:val="7D2A25AB"/>
    <w:rsid w:val="7F5722EA"/>
    <w:rsid w:val="7F5C1422"/>
    <w:rsid w:val="7F65B6F6"/>
    <w:rsid w:val="7F86DA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C2176"/>
  <w15:docId w15:val="{ACE9AAC5-0797-454A-A346-BE0632D8C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200"/>
      <w:outlineLvl w:val="0"/>
    </w:pPr>
    <w:rPr>
      <w:b/>
      <w:bCs/>
      <w:color w:val="1F4E79"/>
      <w:sz w:val="32"/>
      <w:szCs w:val="32"/>
    </w:rPr>
  </w:style>
  <w:style w:type="paragraph" w:styleId="Heading2">
    <w:name w:val="heading 2"/>
    <w:uiPriority w:val="9"/>
    <w:semiHidden/>
    <w:unhideWhenUsed/>
    <w:qFormat/>
    <w:pPr>
      <w:spacing w:before="220" w:after="160"/>
      <w:outlineLvl w:val="1"/>
    </w:pPr>
    <w:rPr>
      <w:b/>
      <w:bCs/>
      <w:color w:val="1F4E79"/>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62185D"/>
    <w:rPr>
      <w:sz w:val="16"/>
      <w:szCs w:val="16"/>
    </w:rPr>
  </w:style>
  <w:style w:type="paragraph" w:styleId="CommentText">
    <w:name w:val="annotation text"/>
    <w:basedOn w:val="Normal"/>
    <w:link w:val="CommentTextChar"/>
    <w:uiPriority w:val="99"/>
    <w:unhideWhenUsed/>
    <w:rsid w:val="0062185D"/>
    <w:rPr>
      <w:sz w:val="20"/>
      <w:szCs w:val="20"/>
    </w:rPr>
  </w:style>
  <w:style w:type="character" w:customStyle="1" w:styleId="CommentTextChar">
    <w:name w:val="Comment Text Char"/>
    <w:basedOn w:val="DefaultParagraphFont"/>
    <w:link w:val="CommentText"/>
    <w:uiPriority w:val="99"/>
    <w:rsid w:val="0062185D"/>
    <w:rPr>
      <w:sz w:val="20"/>
      <w:szCs w:val="20"/>
    </w:rPr>
  </w:style>
  <w:style w:type="paragraph" w:styleId="CommentSubject">
    <w:name w:val="annotation subject"/>
    <w:basedOn w:val="CommentText"/>
    <w:next w:val="CommentText"/>
    <w:link w:val="CommentSubjectChar"/>
    <w:uiPriority w:val="99"/>
    <w:semiHidden/>
    <w:unhideWhenUsed/>
    <w:rsid w:val="0062185D"/>
    <w:rPr>
      <w:b/>
      <w:bCs/>
    </w:rPr>
  </w:style>
  <w:style w:type="character" w:customStyle="1" w:styleId="CommentSubjectChar">
    <w:name w:val="Comment Subject Char"/>
    <w:basedOn w:val="CommentTextChar"/>
    <w:link w:val="CommentSubject"/>
    <w:uiPriority w:val="99"/>
    <w:semiHidden/>
    <w:rsid w:val="0062185D"/>
    <w:rPr>
      <w:b/>
      <w:bCs/>
      <w:sz w:val="20"/>
      <w:szCs w:val="20"/>
    </w:rPr>
  </w:style>
  <w:style w:type="paragraph" w:styleId="Header">
    <w:name w:val="header"/>
    <w:basedOn w:val="Normal"/>
    <w:link w:val="HeaderChar"/>
    <w:uiPriority w:val="99"/>
    <w:unhideWhenUsed/>
    <w:rsid w:val="005716E6"/>
    <w:pPr>
      <w:tabs>
        <w:tab w:val="center" w:pos="4513"/>
        <w:tab w:val="right" w:pos="9026"/>
      </w:tabs>
    </w:pPr>
  </w:style>
  <w:style w:type="character" w:customStyle="1" w:styleId="HeaderChar">
    <w:name w:val="Header Char"/>
    <w:basedOn w:val="DefaultParagraphFont"/>
    <w:link w:val="Header"/>
    <w:uiPriority w:val="99"/>
    <w:rsid w:val="005716E6"/>
  </w:style>
  <w:style w:type="paragraph" w:styleId="Footer">
    <w:name w:val="footer"/>
    <w:basedOn w:val="Normal"/>
    <w:link w:val="FooterChar"/>
    <w:uiPriority w:val="99"/>
    <w:unhideWhenUsed/>
    <w:rsid w:val="005716E6"/>
    <w:pPr>
      <w:tabs>
        <w:tab w:val="center" w:pos="4513"/>
        <w:tab w:val="right" w:pos="9026"/>
      </w:tabs>
    </w:pPr>
  </w:style>
  <w:style w:type="character" w:customStyle="1" w:styleId="FooterChar">
    <w:name w:val="Footer Char"/>
    <w:basedOn w:val="DefaultParagraphFont"/>
    <w:link w:val="Footer"/>
    <w:uiPriority w:val="99"/>
    <w:rsid w:val="005716E6"/>
  </w:style>
  <w:style w:type="paragraph" w:styleId="Revision">
    <w:name w:val="Revision"/>
    <w:hidden/>
    <w:uiPriority w:val="99"/>
    <w:semiHidden/>
    <w:rsid w:val="002029F8"/>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2750AF436734C98DD6D4B557304A0" ma:contentTypeVersion="18" ma:contentTypeDescription="Create a new document." ma:contentTypeScope="" ma:versionID="62b9bf1637fc471a217d0ad10a46384d">
  <xsd:schema xmlns:xsd="http://www.w3.org/2001/XMLSchema" xmlns:xs="http://www.w3.org/2001/XMLSchema" xmlns:p="http://schemas.microsoft.com/office/2006/metadata/properties" xmlns:ns2="a50ef397-56e1-4974-af91-0aea86427ccb" xmlns:ns3="8a24512a-d19f-407d-a9d4-a7b6198351ac" targetNamespace="http://schemas.microsoft.com/office/2006/metadata/properties" ma:root="true" ma:fieldsID="b4402c316e1e8a60d994e4ca354b64aa" ns2:_="" ns3:_="">
    <xsd:import namespace="a50ef397-56e1-4974-af91-0aea86427ccb"/>
    <xsd:import namespace="8a24512a-d19f-407d-a9d4-a7b6198351ac"/>
    <xsd:element name="properties">
      <xsd:complexType>
        <xsd:sequence>
          <xsd:element name="documentManagement">
            <xsd:complexType>
              <xsd:all>
                <xsd:element ref="ns2:Workstream" minOccurs="0"/>
                <xsd:element ref="ns2:Meetings" minOccurs="0"/>
                <xsd:element ref="ns2:MediaServiceMetadata" minOccurs="0"/>
                <xsd:element ref="ns2:MediaServiceFastMetadata" minOccurs="0"/>
                <xsd:element ref="ns2:MediaServiceSearchProperties" minOccurs="0"/>
                <xsd:element ref="ns2:DocumentType" minOccurs="0"/>
                <xsd:element ref="ns2:MeetingDate" minOccurs="0"/>
                <xsd:element ref="ns2:DocumentGr" minOccurs="0"/>
                <xsd:element ref="ns2:DocumentType0" minOccurs="0"/>
                <xsd:element ref="ns2:RetentionDate"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ef397-56e1-4974-af91-0aea86427ccb" elementFormDefault="qualified">
    <xsd:import namespace="http://schemas.microsoft.com/office/2006/documentManagement/types"/>
    <xsd:import namespace="http://schemas.microsoft.com/office/infopath/2007/PartnerControls"/>
    <xsd:element name="Workstream" ma:index="8" nillable="true" ma:displayName="Workstream" ma:format="Dropdown" ma:internalName="Workstream">
      <xsd:simpleType>
        <xsd:restriction base="dms:Choice">
          <xsd:enumeration value="NPCB"/>
          <xsd:enumeration value="DPCC"/>
          <xsd:enumeration value="HoPC"/>
          <xsd:enumeration value="AMDs"/>
          <xsd:enumeration value="AWCLG"/>
          <xsd:enumeration value="GP Peer Group"/>
          <xsd:enumeration value="AHP"/>
          <xsd:enumeration value="SNPG"/>
        </xsd:restriction>
      </xsd:simpleType>
    </xsd:element>
    <xsd:element name="Meetings" ma:index="9" nillable="true" ma:displayName="Meetings" ma:format="Dropdown" ma:internalName="Meetings">
      <xsd:simpleType>
        <xsd:restriction base="dms:Choice">
          <xsd:enumeration value="Learning Group"/>
          <xsd:enumeration value="PCSG"/>
          <xsd:enumeration value="POE"/>
          <xsd:enumeration value="NHS Executive"/>
          <xsd:enumeration value="SNPG Meeting"/>
          <xsd:enumeration value="PCC Nurse Network"/>
          <xsd:enumeration value="HoPC"/>
          <xsd:enumeration value="GP Peer Group"/>
          <xsd:enumeration value="Choice 9"/>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DocumentType" ma:index="13" nillable="true" ma:displayName="Document Type" ma:format="Dropdown" ma:internalName="DocumentType">
      <xsd:simpleType>
        <xsd:restriction base="dms:Choice">
          <xsd:enumeration value="Action Log"/>
          <xsd:enumeration value="Action Notes"/>
          <xsd:enumeration value="Agenda"/>
          <xsd:enumeration value="Attendance Log"/>
          <xsd:enumeration value="Chair's Brief"/>
          <xsd:enumeration value="Distribution List"/>
          <xsd:enumeration value="Evaluation"/>
          <xsd:enumeration value="Highlight Reports"/>
          <xsd:enumeration value="Invoice"/>
          <xsd:enumeration value="Minutes"/>
          <xsd:enumeration value="Options Appraisal"/>
          <xsd:enumeration value="POAP"/>
          <xsd:enumeration value="Presentations"/>
          <xsd:enumeration value="Project Closure Report"/>
          <xsd:enumeration value="PSR"/>
          <xsd:enumeration value="Release Notes"/>
          <xsd:enumeration value="Risk and Issue Log"/>
          <xsd:enumeration value="Sbar"/>
          <xsd:enumeration value="ToR"/>
        </xsd:restriction>
      </xsd:simpleType>
    </xsd:element>
    <xsd:element name="MeetingDate" ma:index="14" nillable="true" ma:displayName="Meeting Date" ma:format="DateOnly" ma:internalName="MeetingDate">
      <xsd:simpleType>
        <xsd:restriction base="dms:DateTime"/>
      </xsd:simpleType>
    </xsd:element>
    <xsd:element name="DocumentGr" ma:index="15" nillable="true" ma:displayName="Document Groups" ma:format="Dropdown" ma:internalName="DocumentGr">
      <xsd:simpleType>
        <xsd:restriction base="dms:Choice">
          <xsd:enumeration value="Meeting Doc"/>
          <xsd:enumeration value="Project Doc"/>
          <xsd:enumeration value="Finance Doc"/>
          <xsd:enumeration value="General Doc"/>
        </xsd:restriction>
      </xsd:simpleType>
    </xsd:element>
    <xsd:element name="DocumentType0" ma:index="16" nillable="true" ma:displayName="Document Type " ma:format="Dropdown" ma:internalName="DocumentType0">
      <xsd:simpleType>
        <xsd:restriction base="dms:Choice">
          <xsd:enumeration value="Agenda"/>
          <xsd:enumeration value="Action Log"/>
          <xsd:enumeration value="Minutes"/>
          <xsd:enumeration value="Action Notes"/>
          <xsd:enumeration value="Attendance Log"/>
          <xsd:enumeration value="Chair's Brief"/>
          <xsd:enumeration value="Communique"/>
          <xsd:enumeration value="Highlight Reports"/>
          <xsd:enumeration value="Invoice"/>
          <xsd:enumeration value="POAP"/>
          <xsd:enumeration value="Presentations"/>
          <xsd:enumeration value="Distribution List"/>
          <xsd:enumeration value="Evaluation"/>
          <xsd:enumeration value="Options Appraisal"/>
          <xsd:enumeration value="Project Closure Report"/>
          <xsd:enumeration value="ToR"/>
        </xsd:restriction>
      </xsd:simpleType>
    </xsd:element>
    <xsd:element name="RetentionDate" ma:index="17" nillable="true" ma:displayName="Retention Date " ma:format="DateOnly" ma:internalName="RetentionDate">
      <xsd:simpleType>
        <xsd:restriction base="dms:DateTim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24512a-d19f-407d-a9d4-a7b6198351a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3d653af-5ffa-4bac-ad92-2c2ea8c1d533}" ma:internalName="TaxCatchAll" ma:showField="CatchAllData" ma:web="8a24512a-d19f-407d-a9d4-a7b619835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0 xmlns="a50ef397-56e1-4974-af91-0aea86427ccb" xsi:nil="true"/>
    <DocumentType xmlns="a50ef397-56e1-4974-af91-0aea86427ccb" xsi:nil="true"/>
    <Workstream xmlns="a50ef397-56e1-4974-af91-0aea86427ccb" xsi:nil="true"/>
    <Meetings xmlns="a50ef397-56e1-4974-af91-0aea86427ccb" xsi:nil="true"/>
    <MeetingDate xmlns="a50ef397-56e1-4974-af91-0aea86427ccb" xsi:nil="true"/>
    <RetentionDate xmlns="a50ef397-56e1-4974-af91-0aea86427ccb" xsi:nil="true"/>
    <TaxCatchAll xmlns="8a24512a-d19f-407d-a9d4-a7b6198351ac" xsi:nil="true"/>
    <DocumentGr xmlns="a50ef397-56e1-4974-af91-0aea86427ccb" xsi:nil="true"/>
    <lcf76f155ced4ddcb4097134ff3c332f xmlns="a50ef397-56e1-4974-af91-0aea86427c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1AE8BC-4621-4E90-9F6C-D406562BD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ef397-56e1-4974-af91-0aea86427ccb"/>
    <ds:schemaRef ds:uri="8a24512a-d19f-407d-a9d4-a7b619835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1CC31-047A-415F-94EF-53191BB4D945}">
  <ds:schemaRefs>
    <ds:schemaRef ds:uri="http://schemas.microsoft.com/sharepoint/v3/contenttype/forms"/>
  </ds:schemaRefs>
</ds:datastoreItem>
</file>

<file path=customXml/itemProps3.xml><?xml version="1.0" encoding="utf-8"?>
<ds:datastoreItem xmlns:ds="http://schemas.openxmlformats.org/officeDocument/2006/customXml" ds:itemID="{6E412519-5322-43DE-B8D3-65BF9EC293B8}">
  <ds:schemaRefs>
    <ds:schemaRef ds:uri="http://schemas.microsoft.com/office/2006/metadata/properties"/>
    <ds:schemaRef ds:uri="http://schemas.microsoft.com/office/infopath/2007/PartnerControls"/>
    <ds:schemaRef ds:uri="a50ef397-56e1-4974-af91-0aea86427ccb"/>
    <ds:schemaRef ds:uri="8a24512a-d19f-407d-a9d4-a7b6198351a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2586</Words>
  <Characters>14745</Characters>
  <Application>Microsoft Office Word</Application>
  <DocSecurity>0</DocSecurity>
  <Lines>122</Lines>
  <Paragraphs>34</Paragraphs>
  <ScaleCrop>false</ScaleCrop>
  <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Kerrie Phipps (NHS Wales Performance and Improvement)</cp:lastModifiedBy>
  <cp:revision>3</cp:revision>
  <dcterms:created xsi:type="dcterms:W3CDTF">2026-09-09T10:48:00Z</dcterms:created>
  <dcterms:modified xsi:type="dcterms:W3CDTF">2026-09-09T10:53:00Z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0x0101007C92750AF436734C98DD6D4B557304A0</vt:lpwstr>
  </property>
  <property fmtid="{D5CDD505-2E9C-101B-9397-08002B2CF9AE}" pid="3" name="MediaServiceImageTags">
    <vt:lpwstr/>
  </property>
  <property fmtid="{D5CDD505-2E9C-101B-9397-08002B2CF9AE}" pid="4" name="docLang">
    <vt:lpwstr>en</vt:lpwstr>
  </property>
</Properties>
</file>