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1227" w14:textId="77777777" w:rsidR="00E01F3E" w:rsidRPr="00A71BCD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inline distT="0" distB="0" distL="0" distR="0" wp14:anchorId="4A071330" wp14:editId="4A071331">
            <wp:extent cx="3140765" cy="735258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123" cy="73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71228" w14:textId="77777777" w:rsidR="00E01F3E" w:rsidRPr="00A71BCD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</w:p>
    <w:p w14:paraId="4A071229" w14:textId="77777777" w:rsidR="00E01F3E" w:rsidRPr="00A71BCD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</w:p>
    <w:p w14:paraId="4A07122A" w14:textId="77777777" w:rsidR="00E01F3E" w:rsidRPr="00A71BCD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</w:p>
    <w:p w14:paraId="4A07122B" w14:textId="77777777" w:rsidR="00E01F3E" w:rsidRPr="00A71BCD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A71BCD">
        <w:rPr>
          <w:rFonts w:cstheme="minorHAnsi"/>
          <w:b/>
          <w:sz w:val="28"/>
          <w:szCs w:val="28"/>
        </w:rPr>
        <w:t>Fast Food Density in Wales</w:t>
      </w:r>
    </w:p>
    <w:p w14:paraId="4A07122C" w14:textId="77777777" w:rsidR="00E01F3E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</w:p>
    <w:p w14:paraId="4A07122D" w14:textId="77777777" w:rsidR="00E01F3E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</w:p>
    <w:p w14:paraId="4A07122E" w14:textId="77777777" w:rsidR="00E01F3E" w:rsidRPr="00A71BCD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</w:p>
    <w:p w14:paraId="4A07122F" w14:textId="77777777" w:rsidR="00E01F3E" w:rsidRPr="00A71BCD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Report prepared by:</w:t>
      </w:r>
    </w:p>
    <w:p w14:paraId="4A071230" w14:textId="77777777" w:rsidR="00E01F3E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A71BCD">
        <w:rPr>
          <w:rFonts w:cstheme="minorHAnsi"/>
          <w:b/>
          <w:sz w:val="28"/>
          <w:szCs w:val="28"/>
        </w:rPr>
        <w:t xml:space="preserve">Claire Beynon </w:t>
      </w:r>
      <w:r w:rsidRPr="00A71BCD">
        <w:rPr>
          <w:rFonts w:cstheme="minorHAnsi"/>
          <w:b/>
          <w:sz w:val="28"/>
          <w:szCs w:val="28"/>
        </w:rPr>
        <w:t>Specialty Registrar in Public Health</w:t>
      </w:r>
      <w:r>
        <w:rPr>
          <w:rFonts w:cstheme="minorHAnsi"/>
          <w:b/>
          <w:sz w:val="28"/>
          <w:szCs w:val="28"/>
        </w:rPr>
        <w:t xml:space="preserve">, Public Health Wales </w:t>
      </w:r>
      <w:r w:rsidRPr="00A71BCD">
        <w:rPr>
          <w:rFonts w:cstheme="minorHAnsi"/>
          <w:b/>
          <w:sz w:val="28"/>
          <w:szCs w:val="28"/>
        </w:rPr>
        <w:t xml:space="preserve"> </w:t>
      </w:r>
    </w:p>
    <w:p w14:paraId="4A071231" w14:textId="77777777" w:rsidR="00E01F3E" w:rsidRPr="00A71BCD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A71BCD">
        <w:rPr>
          <w:rFonts w:cstheme="minorHAnsi"/>
          <w:b/>
          <w:sz w:val="28"/>
          <w:szCs w:val="28"/>
        </w:rPr>
        <w:t xml:space="preserve">and </w:t>
      </w:r>
    </w:p>
    <w:p w14:paraId="4A071232" w14:textId="77777777" w:rsidR="00E01F3E" w:rsidRPr="00A71BCD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A71BCD">
        <w:rPr>
          <w:rFonts w:cstheme="minorHAnsi"/>
          <w:b/>
          <w:sz w:val="28"/>
          <w:szCs w:val="28"/>
        </w:rPr>
        <w:t xml:space="preserve">Linda Bailey, </w:t>
      </w:r>
      <w:r w:rsidRPr="00A71BCD">
        <w:rPr>
          <w:rFonts w:cstheme="minorHAnsi"/>
          <w:b/>
          <w:sz w:val="28"/>
          <w:szCs w:val="28"/>
        </w:rPr>
        <w:t xml:space="preserve">Consultant in Public Health, </w:t>
      </w:r>
      <w:r w:rsidRPr="00A71BCD">
        <w:rPr>
          <w:rFonts w:cstheme="minorHAnsi"/>
          <w:b/>
          <w:sz w:val="28"/>
          <w:szCs w:val="28"/>
        </w:rPr>
        <w:t>Public Health Wales.</w:t>
      </w:r>
    </w:p>
    <w:p w14:paraId="4A071233" w14:textId="77777777" w:rsidR="00E01F3E" w:rsidRPr="00A71BCD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</w:p>
    <w:p w14:paraId="4A071234" w14:textId="77777777" w:rsidR="00E01F3E" w:rsidRPr="00A71BCD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</w:p>
    <w:p w14:paraId="4A071235" w14:textId="77777777" w:rsidR="00E01F3E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A71BCD">
        <w:rPr>
          <w:rFonts w:cstheme="minorHAnsi"/>
          <w:b/>
          <w:sz w:val="28"/>
          <w:szCs w:val="28"/>
        </w:rPr>
        <w:t xml:space="preserve">With acknowledgement to </w:t>
      </w:r>
    </w:p>
    <w:p w14:paraId="4A071236" w14:textId="77777777" w:rsidR="00E01F3E" w:rsidRPr="00A71BCD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A71BCD">
        <w:rPr>
          <w:rFonts w:cstheme="minorHAnsi"/>
          <w:b/>
          <w:sz w:val="28"/>
          <w:szCs w:val="28"/>
        </w:rPr>
        <w:t xml:space="preserve">Anna Childs and Rhys </w:t>
      </w:r>
      <w:r w:rsidRPr="00A71BCD">
        <w:rPr>
          <w:rFonts w:cstheme="minorHAnsi"/>
          <w:b/>
          <w:sz w:val="28"/>
          <w:szCs w:val="28"/>
        </w:rPr>
        <w:t>Powell, Public Health Wales.</w:t>
      </w:r>
    </w:p>
    <w:p w14:paraId="4A071237" w14:textId="77777777" w:rsidR="00E01F3E" w:rsidRPr="00A71BCD" w:rsidRDefault="00E01F3E" w:rsidP="00A71BCD">
      <w:pPr>
        <w:spacing w:line="360" w:lineRule="auto"/>
        <w:rPr>
          <w:rFonts w:cstheme="minorHAnsi"/>
          <w:b/>
        </w:rPr>
      </w:pPr>
    </w:p>
    <w:p w14:paraId="4A071238" w14:textId="77777777" w:rsidR="00E01F3E" w:rsidRPr="00A71BCD" w:rsidRDefault="00E01F3E" w:rsidP="00A71BCD">
      <w:pPr>
        <w:spacing w:line="360" w:lineRule="auto"/>
        <w:ind w:left="5760" w:firstLine="720"/>
        <w:rPr>
          <w:rFonts w:cstheme="minorHAnsi"/>
          <w:b/>
          <w:sz w:val="28"/>
          <w:szCs w:val="28"/>
        </w:rPr>
      </w:pPr>
    </w:p>
    <w:p w14:paraId="4A071239" w14:textId="77777777" w:rsidR="00E01F3E" w:rsidRPr="00A71BCD" w:rsidRDefault="00E01F3E" w:rsidP="00A71BCD">
      <w:pPr>
        <w:spacing w:line="360" w:lineRule="auto"/>
        <w:ind w:left="5760" w:firstLine="720"/>
        <w:rPr>
          <w:rFonts w:cstheme="minorHAnsi"/>
          <w:b/>
          <w:sz w:val="28"/>
          <w:szCs w:val="28"/>
        </w:rPr>
      </w:pPr>
    </w:p>
    <w:p w14:paraId="4A07123A" w14:textId="77777777" w:rsidR="00E01F3E" w:rsidRPr="00A71BCD" w:rsidRDefault="00E01F3E" w:rsidP="00A71BCD">
      <w:pPr>
        <w:spacing w:line="360" w:lineRule="auto"/>
        <w:ind w:left="5760" w:firstLine="720"/>
        <w:rPr>
          <w:rFonts w:cstheme="minorHAnsi"/>
          <w:b/>
          <w:sz w:val="28"/>
          <w:szCs w:val="28"/>
        </w:rPr>
      </w:pPr>
    </w:p>
    <w:p w14:paraId="4A07123B" w14:textId="77777777" w:rsidR="00E01F3E" w:rsidRPr="00A71BCD" w:rsidRDefault="00E01F3E" w:rsidP="00A71BCD">
      <w:pPr>
        <w:spacing w:line="360" w:lineRule="auto"/>
        <w:ind w:left="5760" w:firstLine="720"/>
        <w:rPr>
          <w:rFonts w:cstheme="minorHAnsi"/>
          <w:b/>
          <w:sz w:val="28"/>
          <w:szCs w:val="28"/>
        </w:rPr>
      </w:pPr>
      <w:r w:rsidRPr="00A71BCD">
        <w:rPr>
          <w:rFonts w:cstheme="minorHAnsi"/>
          <w:b/>
          <w:sz w:val="28"/>
          <w:szCs w:val="28"/>
        </w:rPr>
        <w:t>February 2019</w:t>
      </w:r>
    </w:p>
    <w:p w14:paraId="4A07123C" w14:textId="77777777" w:rsidR="00E01F3E" w:rsidRPr="00A71BCD" w:rsidRDefault="00E01F3E" w:rsidP="00A71BCD">
      <w:pPr>
        <w:spacing w:line="360" w:lineRule="auto"/>
        <w:rPr>
          <w:rFonts w:cstheme="minorHAnsi"/>
          <w:b/>
        </w:rPr>
      </w:pPr>
    </w:p>
    <w:p w14:paraId="4A07123D" w14:textId="77777777" w:rsidR="00E01F3E" w:rsidRPr="00200F6B" w:rsidRDefault="00E01F3E">
      <w:pPr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t>Contents</w:t>
      </w:r>
    </w:p>
    <w:p w14:paraId="4A07123E" w14:textId="77777777" w:rsidR="00E01F3E" w:rsidRDefault="00E01F3E">
      <w:pPr>
        <w:rPr>
          <w:rFonts w:cstheme="minorHAnsi"/>
          <w:b/>
        </w:rPr>
      </w:pPr>
    </w:p>
    <w:tbl>
      <w:tblPr>
        <w:tblW w:w="9351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2"/>
        <w:gridCol w:w="1559"/>
      </w:tblGrid>
      <w:tr w:rsidR="00235209" w14:paraId="4A071242" w14:textId="77777777" w:rsidTr="004C5D6A">
        <w:tblPrEx>
          <w:tblCellMar>
            <w:top w:w="0" w:type="dxa"/>
            <w:bottom w:w="0" w:type="dxa"/>
          </w:tblCellMar>
        </w:tblPrEx>
        <w:tc>
          <w:tcPr>
            <w:tcW w:w="7792" w:type="dxa"/>
          </w:tcPr>
          <w:p w14:paraId="4A07123F" w14:textId="77777777" w:rsidR="00E01F3E" w:rsidRDefault="00E01F3E" w:rsidP="00C52711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A071240" w14:textId="77777777" w:rsidR="00E01F3E" w:rsidRDefault="00E01F3E" w:rsidP="00C527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Page number</w:t>
            </w:r>
          </w:p>
          <w:p w14:paraId="4A071241" w14:textId="77777777" w:rsidR="00E01F3E" w:rsidRDefault="00E01F3E" w:rsidP="00C52711">
            <w:pPr>
              <w:rPr>
                <w:rFonts w:cstheme="minorHAnsi"/>
                <w:b/>
              </w:rPr>
            </w:pPr>
          </w:p>
        </w:tc>
      </w:tr>
      <w:tr w:rsidR="00235209" w14:paraId="4A071246" w14:textId="77777777" w:rsidTr="004C5D6A">
        <w:tblPrEx>
          <w:tblCellMar>
            <w:top w:w="0" w:type="dxa"/>
            <w:bottom w:w="0" w:type="dxa"/>
          </w:tblCellMar>
        </w:tblPrEx>
        <w:tc>
          <w:tcPr>
            <w:tcW w:w="7792" w:type="dxa"/>
          </w:tcPr>
          <w:p w14:paraId="4A071243" w14:textId="77777777" w:rsidR="00E01F3E" w:rsidRDefault="00E01F3E" w:rsidP="00C52711">
            <w:pPr>
              <w:rPr>
                <w:rFonts w:cstheme="minorHAnsi"/>
                <w:b/>
              </w:rPr>
            </w:pPr>
            <w:r w:rsidRPr="00A71BCD">
              <w:rPr>
                <w:rFonts w:cstheme="minorHAnsi"/>
                <w:b/>
              </w:rPr>
              <w:t>Introduction</w:t>
            </w:r>
          </w:p>
          <w:p w14:paraId="4A071244" w14:textId="77777777" w:rsidR="00E01F3E" w:rsidRDefault="00E01F3E" w:rsidP="00C52711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A071245" w14:textId="77777777" w:rsidR="00E01F3E" w:rsidRDefault="00E01F3E" w:rsidP="00C527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4C5D6A" w14:paraId="4A07124A" w14:textId="77777777" w:rsidTr="004C5D6A">
        <w:tblPrEx>
          <w:tblCellMar>
            <w:top w:w="0" w:type="dxa"/>
            <w:bottom w:w="0" w:type="dxa"/>
          </w:tblCellMar>
        </w:tblPrEx>
        <w:tc>
          <w:tcPr>
            <w:tcW w:w="7792" w:type="dxa"/>
          </w:tcPr>
          <w:p w14:paraId="4A071247" w14:textId="77777777" w:rsidR="00E01F3E" w:rsidRDefault="00E01F3E" w:rsidP="004C5D6A">
            <w:pPr>
              <w:rPr>
                <w:rFonts w:cstheme="minorHAnsi"/>
                <w:b/>
              </w:rPr>
            </w:pPr>
            <w:r w:rsidRPr="004C5D6A">
              <w:rPr>
                <w:rFonts w:cstheme="minorHAnsi"/>
                <w:b/>
              </w:rPr>
              <w:t>Food Standards Agency Food Hygiene Ratings</w:t>
            </w:r>
          </w:p>
          <w:p w14:paraId="4A071248" w14:textId="77777777" w:rsidR="00E01F3E" w:rsidRDefault="00E01F3E" w:rsidP="004C5D6A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A071249" w14:textId="77777777" w:rsidR="00E01F3E" w:rsidRDefault="00E01F3E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4C5D6A" w14:paraId="4A07124E" w14:textId="77777777" w:rsidTr="004C5D6A">
        <w:tblPrEx>
          <w:tblCellMar>
            <w:top w:w="0" w:type="dxa"/>
            <w:bottom w:w="0" w:type="dxa"/>
          </w:tblCellMar>
        </w:tblPrEx>
        <w:tc>
          <w:tcPr>
            <w:tcW w:w="7792" w:type="dxa"/>
          </w:tcPr>
          <w:p w14:paraId="4A07124B" w14:textId="77777777" w:rsidR="00E01F3E" w:rsidRDefault="00E01F3E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Methodology</w:t>
            </w:r>
          </w:p>
          <w:p w14:paraId="4A07124C" w14:textId="77777777" w:rsidR="00E01F3E" w:rsidRDefault="00E01F3E" w:rsidP="004C5D6A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A07124D" w14:textId="77777777" w:rsidR="00E01F3E" w:rsidRDefault="00E01F3E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4C5D6A" w14:paraId="4A071252" w14:textId="77777777" w:rsidTr="004C5D6A">
        <w:tblPrEx>
          <w:tblCellMar>
            <w:top w:w="0" w:type="dxa"/>
            <w:bottom w:w="0" w:type="dxa"/>
          </w:tblCellMar>
        </w:tblPrEx>
        <w:tc>
          <w:tcPr>
            <w:tcW w:w="7792" w:type="dxa"/>
          </w:tcPr>
          <w:p w14:paraId="4A07124F" w14:textId="77777777" w:rsidR="00E01F3E" w:rsidRDefault="00E01F3E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Results</w:t>
            </w:r>
          </w:p>
          <w:p w14:paraId="4A071250" w14:textId="77777777" w:rsidR="00E01F3E" w:rsidRDefault="00E01F3E" w:rsidP="004C5D6A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A071251" w14:textId="77777777" w:rsidR="00E01F3E" w:rsidRDefault="00E01F3E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C5D6A" w14:paraId="4A071256" w14:textId="77777777" w:rsidTr="004C5D6A">
        <w:tblPrEx>
          <w:tblCellMar>
            <w:top w:w="0" w:type="dxa"/>
            <w:bottom w:w="0" w:type="dxa"/>
          </w:tblCellMar>
        </w:tblPrEx>
        <w:tc>
          <w:tcPr>
            <w:tcW w:w="7792" w:type="dxa"/>
          </w:tcPr>
          <w:p w14:paraId="4A071253" w14:textId="77777777" w:rsidR="00E01F3E" w:rsidRDefault="00E01F3E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Discussion</w:t>
            </w:r>
          </w:p>
          <w:p w14:paraId="4A071254" w14:textId="77777777" w:rsidR="00E01F3E" w:rsidRDefault="00E01F3E" w:rsidP="004C5D6A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A071255" w14:textId="77777777" w:rsidR="00E01F3E" w:rsidRDefault="00E01F3E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4C5D6A" w14:paraId="4A07125A" w14:textId="77777777" w:rsidTr="004C5D6A">
        <w:tblPrEx>
          <w:tblCellMar>
            <w:top w:w="0" w:type="dxa"/>
            <w:bottom w:w="0" w:type="dxa"/>
          </w:tblCellMar>
        </w:tblPrEx>
        <w:tc>
          <w:tcPr>
            <w:tcW w:w="7792" w:type="dxa"/>
          </w:tcPr>
          <w:p w14:paraId="4A071257" w14:textId="77777777" w:rsidR="00E01F3E" w:rsidRDefault="00E01F3E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Further Research</w:t>
            </w:r>
          </w:p>
          <w:p w14:paraId="4A071258" w14:textId="77777777" w:rsidR="00E01F3E" w:rsidRDefault="00E01F3E" w:rsidP="004C5D6A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A071259" w14:textId="77777777" w:rsidR="00E01F3E" w:rsidRDefault="00E01F3E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4C5D6A" w14:paraId="4A07125E" w14:textId="77777777" w:rsidTr="004C5D6A">
        <w:tblPrEx>
          <w:tblCellMar>
            <w:top w:w="0" w:type="dxa"/>
            <w:bottom w:w="0" w:type="dxa"/>
          </w:tblCellMar>
        </w:tblPrEx>
        <w:tc>
          <w:tcPr>
            <w:tcW w:w="7792" w:type="dxa"/>
          </w:tcPr>
          <w:p w14:paraId="4A07125B" w14:textId="77777777" w:rsidR="00E01F3E" w:rsidRDefault="00E01F3E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Data</w:t>
            </w:r>
          </w:p>
          <w:p w14:paraId="4A07125C" w14:textId="77777777" w:rsidR="00E01F3E" w:rsidRDefault="00E01F3E" w:rsidP="004C5D6A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A07125D" w14:textId="77777777" w:rsidR="00E01F3E" w:rsidRDefault="00E01F3E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</w:tbl>
    <w:p w14:paraId="4A07125F" w14:textId="77777777" w:rsidR="00E01F3E" w:rsidRDefault="00E01F3E">
      <w:pPr>
        <w:rPr>
          <w:rFonts w:cstheme="minorHAnsi"/>
          <w:b/>
        </w:rPr>
      </w:pPr>
    </w:p>
    <w:p w14:paraId="4A071260" w14:textId="77777777" w:rsidR="00E01F3E" w:rsidRDefault="00E01F3E">
      <w:pPr>
        <w:rPr>
          <w:rFonts w:cstheme="minorHAnsi"/>
          <w:b/>
        </w:rPr>
      </w:pPr>
      <w:r>
        <w:rPr>
          <w:rFonts w:cstheme="minorHAnsi"/>
          <w:b/>
        </w:rPr>
        <w:t>Tables and Figures</w:t>
      </w:r>
    </w:p>
    <w:tbl>
      <w:tblPr>
        <w:tblW w:w="9351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2"/>
        <w:gridCol w:w="1559"/>
      </w:tblGrid>
      <w:tr w:rsidR="004C5D6A" w14:paraId="4A071264" w14:textId="77777777" w:rsidTr="009C5836">
        <w:tblPrEx>
          <w:tblCellMar>
            <w:top w:w="0" w:type="dxa"/>
            <w:bottom w:w="0" w:type="dxa"/>
          </w:tblCellMar>
        </w:tblPrEx>
        <w:tc>
          <w:tcPr>
            <w:tcW w:w="7792" w:type="dxa"/>
          </w:tcPr>
          <w:p w14:paraId="4A071261" w14:textId="77777777" w:rsidR="00E01F3E" w:rsidRDefault="00E01F3E" w:rsidP="00C52711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A071262" w14:textId="77777777" w:rsidR="00E01F3E" w:rsidRDefault="00E01F3E" w:rsidP="00C527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Page number</w:t>
            </w:r>
          </w:p>
          <w:p w14:paraId="4A071263" w14:textId="77777777" w:rsidR="00E01F3E" w:rsidRDefault="00E01F3E" w:rsidP="00C52711">
            <w:pPr>
              <w:rPr>
                <w:rFonts w:cstheme="minorHAnsi"/>
                <w:b/>
              </w:rPr>
            </w:pPr>
          </w:p>
        </w:tc>
      </w:tr>
      <w:tr w:rsidR="004C5D6A" w14:paraId="4A071268" w14:textId="77777777" w:rsidTr="009C5836">
        <w:tblPrEx>
          <w:tblCellMar>
            <w:top w:w="0" w:type="dxa"/>
            <w:bottom w:w="0" w:type="dxa"/>
          </w:tblCellMar>
        </w:tblPrEx>
        <w:tc>
          <w:tcPr>
            <w:tcW w:w="7792" w:type="dxa"/>
          </w:tcPr>
          <w:p w14:paraId="4A071265" w14:textId="77777777" w:rsidR="00E01F3E" w:rsidRDefault="00E01F3E" w:rsidP="00C52711">
            <w:pPr>
              <w:rPr>
                <w:rFonts w:cstheme="minorHAnsi"/>
                <w:b/>
              </w:rPr>
            </w:pPr>
            <w:r w:rsidRPr="004C5D6A">
              <w:rPr>
                <w:rFonts w:cstheme="minorHAnsi"/>
                <w:b/>
              </w:rPr>
              <w:t xml:space="preserve">Table 1: Inclusion and Exclusion Criteria Based on Food Standards Agency </w:t>
            </w:r>
            <w:r w:rsidRPr="004C5D6A">
              <w:rPr>
                <w:rFonts w:cstheme="minorHAnsi"/>
                <w:b/>
              </w:rPr>
              <w:lastRenderedPageBreak/>
              <w:t>Categories</w:t>
            </w:r>
          </w:p>
          <w:p w14:paraId="4A071266" w14:textId="77777777" w:rsidR="00E01F3E" w:rsidRDefault="00E01F3E" w:rsidP="00C52711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A071267" w14:textId="77777777" w:rsidR="00E01F3E" w:rsidRDefault="00E01F3E" w:rsidP="00C527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</w:p>
        </w:tc>
      </w:tr>
      <w:tr w:rsidR="004C5D6A" w14:paraId="4A07126C" w14:textId="77777777" w:rsidTr="009C5836">
        <w:tblPrEx>
          <w:tblCellMar>
            <w:top w:w="0" w:type="dxa"/>
            <w:bottom w:w="0" w:type="dxa"/>
          </w:tblCellMar>
        </w:tblPrEx>
        <w:tc>
          <w:tcPr>
            <w:tcW w:w="7792" w:type="dxa"/>
          </w:tcPr>
          <w:p w14:paraId="4A071269" w14:textId="77777777" w:rsidR="00E01F3E" w:rsidRDefault="00E01F3E" w:rsidP="00C52711">
            <w:pPr>
              <w:rPr>
                <w:rFonts w:cstheme="minorHAnsi"/>
                <w:b/>
              </w:rPr>
            </w:pPr>
            <w:r w:rsidRPr="004C5D6A">
              <w:rPr>
                <w:rFonts w:cstheme="minorHAnsi"/>
                <w:b/>
              </w:rPr>
              <w:t>Table 2: Fast Food Outlets per 100,000 Population by Local Authority for Wales, November 2018</w:t>
            </w:r>
          </w:p>
          <w:p w14:paraId="4A07126A" w14:textId="77777777" w:rsidR="00E01F3E" w:rsidRDefault="00E01F3E" w:rsidP="00C52711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A07126B" w14:textId="77777777" w:rsidR="00E01F3E" w:rsidRDefault="00E01F3E" w:rsidP="00C527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C5D6A" w14:paraId="4A071270" w14:textId="77777777" w:rsidTr="009C5836">
        <w:tblPrEx>
          <w:tblCellMar>
            <w:top w:w="0" w:type="dxa"/>
            <w:bottom w:w="0" w:type="dxa"/>
          </w:tblCellMar>
        </w:tblPrEx>
        <w:tc>
          <w:tcPr>
            <w:tcW w:w="7792" w:type="dxa"/>
          </w:tcPr>
          <w:p w14:paraId="4A07126D" w14:textId="77777777" w:rsidR="00E01F3E" w:rsidRDefault="00E01F3E" w:rsidP="00C52711">
            <w:pPr>
              <w:rPr>
                <w:rFonts w:cstheme="minorHAnsi"/>
                <w:b/>
              </w:rPr>
            </w:pPr>
            <w:r w:rsidRPr="004C5D6A">
              <w:rPr>
                <w:rFonts w:cstheme="minorHAnsi"/>
                <w:b/>
              </w:rPr>
              <w:t xml:space="preserve">Figure 1: Map of </w:t>
            </w:r>
            <w:proofErr w:type="gramStart"/>
            <w:r w:rsidRPr="004C5D6A">
              <w:rPr>
                <w:rFonts w:cstheme="minorHAnsi"/>
                <w:b/>
              </w:rPr>
              <w:t>Fast Food</w:t>
            </w:r>
            <w:proofErr w:type="gramEnd"/>
            <w:r w:rsidRPr="004C5D6A">
              <w:rPr>
                <w:rFonts w:cstheme="minorHAnsi"/>
                <w:b/>
              </w:rPr>
              <w:t xml:space="preserve"> Density for Wales by Local Authority Area</w:t>
            </w:r>
          </w:p>
          <w:p w14:paraId="4A07126E" w14:textId="77777777" w:rsidR="00E01F3E" w:rsidRDefault="00E01F3E" w:rsidP="00C52711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A07126F" w14:textId="77777777" w:rsidR="00E01F3E" w:rsidRDefault="00E01F3E" w:rsidP="00C527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</w:tbl>
    <w:p w14:paraId="4A071271" w14:textId="77777777" w:rsidR="00E01F3E" w:rsidRDefault="00E01F3E">
      <w:pPr>
        <w:rPr>
          <w:rFonts w:cstheme="minorHAnsi"/>
          <w:b/>
        </w:rPr>
      </w:pPr>
    </w:p>
    <w:p w14:paraId="4A071272" w14:textId="77777777" w:rsidR="00E01F3E" w:rsidRDefault="00E01F3E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A071273" w14:textId="77777777" w:rsidR="00E01F3E" w:rsidRPr="00200F6B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lastRenderedPageBreak/>
        <w:t xml:space="preserve">1.0 </w:t>
      </w:r>
      <w:r w:rsidRPr="00200F6B">
        <w:rPr>
          <w:rFonts w:cstheme="minorHAnsi"/>
          <w:b/>
          <w:sz w:val="28"/>
          <w:szCs w:val="28"/>
        </w:rPr>
        <w:t>Introduction</w:t>
      </w:r>
    </w:p>
    <w:p w14:paraId="4A071274" w14:textId="77777777" w:rsidR="00E01F3E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 xml:space="preserve">As part of a wider study </w:t>
      </w:r>
      <w:r w:rsidRPr="00A71BCD">
        <w:rPr>
          <w:rFonts w:cstheme="minorHAnsi"/>
        </w:rPr>
        <w:t xml:space="preserve">examining population level risk factors for childhood obesity </w:t>
      </w:r>
      <w:r w:rsidRPr="00A71BCD">
        <w:rPr>
          <w:rFonts w:cstheme="minorHAnsi"/>
        </w:rPr>
        <w:t xml:space="preserve">there was a need to </w:t>
      </w:r>
      <w:r w:rsidRPr="00A71BCD">
        <w:rPr>
          <w:rFonts w:cstheme="minorHAnsi"/>
        </w:rPr>
        <w:t xml:space="preserve">examine the food environment </w:t>
      </w:r>
      <w:r w:rsidRPr="00A71BCD">
        <w:rPr>
          <w:rFonts w:cstheme="minorHAnsi"/>
        </w:rPr>
        <w:t xml:space="preserve">in Wales </w:t>
      </w:r>
      <w:r w:rsidRPr="00A71BCD">
        <w:rPr>
          <w:rFonts w:cstheme="minorHAnsi"/>
        </w:rPr>
        <w:t xml:space="preserve">and therefore to </w:t>
      </w:r>
      <w:r w:rsidRPr="00A71BCD">
        <w:rPr>
          <w:rFonts w:cstheme="minorHAnsi"/>
        </w:rPr>
        <w:t xml:space="preserve">calculate fast food density by local authority area for Wales.  </w:t>
      </w:r>
    </w:p>
    <w:p w14:paraId="4A071275" w14:textId="77777777" w:rsidR="00E01F3E" w:rsidRDefault="00E01F3E" w:rsidP="00A71BCD">
      <w:pPr>
        <w:spacing w:line="360" w:lineRule="auto"/>
        <w:rPr>
          <w:rFonts w:cstheme="minorHAnsi"/>
        </w:rPr>
      </w:pPr>
    </w:p>
    <w:p w14:paraId="4A071276" w14:textId="77777777" w:rsidR="00E01F3E" w:rsidRDefault="00E01F3E" w:rsidP="00BA66F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 xml:space="preserve">The term 'fast food' does not have one agreed definition in the literature. We </w:t>
      </w:r>
      <w:r>
        <w:rPr>
          <w:rFonts w:cstheme="minorHAnsi"/>
        </w:rPr>
        <w:t xml:space="preserve">attempted to </w:t>
      </w:r>
      <w:r w:rsidRPr="00A71BCD">
        <w:rPr>
          <w:rFonts w:cstheme="minorHAnsi"/>
        </w:rPr>
        <w:t xml:space="preserve">delineated food outlets that sell energy dense savoury food that could provide a </w:t>
      </w:r>
      <w:r>
        <w:rPr>
          <w:rFonts w:cstheme="minorHAnsi"/>
        </w:rPr>
        <w:t xml:space="preserve">substitute </w:t>
      </w:r>
      <w:r w:rsidRPr="00A71BCD">
        <w:rPr>
          <w:rFonts w:cstheme="minorHAnsi"/>
        </w:rPr>
        <w:t xml:space="preserve">meal </w:t>
      </w:r>
      <w:r>
        <w:rPr>
          <w:rFonts w:cstheme="minorHAnsi"/>
        </w:rPr>
        <w:t>prepared</w:t>
      </w:r>
      <w:r w:rsidRPr="00A71BCD">
        <w:rPr>
          <w:rFonts w:cstheme="minorHAnsi"/>
        </w:rPr>
        <w:t xml:space="preserve"> outside the</w:t>
      </w:r>
      <w:r>
        <w:rPr>
          <w:rFonts w:cstheme="minorHAnsi"/>
        </w:rPr>
        <w:t xml:space="preserve"> home that is available quickly.  This definition therefore </w:t>
      </w:r>
      <w:r w:rsidRPr="00A71BCD">
        <w:rPr>
          <w:rFonts w:cstheme="minorHAnsi"/>
        </w:rPr>
        <w:t>covers a range of outlets that include, but are not limited to, burger bars, kebab and chicken shops, chip shops, Indian takeaways, Chinese takeaways and pizza outlets.</w:t>
      </w:r>
    </w:p>
    <w:p w14:paraId="4A071277" w14:textId="77777777" w:rsidR="00E01F3E" w:rsidRPr="00A71BCD" w:rsidRDefault="00E01F3E" w:rsidP="00A71BCD">
      <w:pPr>
        <w:spacing w:line="360" w:lineRule="auto"/>
        <w:rPr>
          <w:rFonts w:cstheme="minorHAnsi"/>
        </w:rPr>
      </w:pPr>
    </w:p>
    <w:p w14:paraId="4A071278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 xml:space="preserve">Public Health England reported fast food density by local authority area in 2018. </w:t>
      </w:r>
      <w:r w:rsidRPr="00A71BCD">
        <w:rPr>
          <w:rFonts w:cstheme="minorHAnsi"/>
        </w:rPr>
        <w:t xml:space="preserve">See </w:t>
      </w:r>
      <w:hyperlink r:id="rId8" w:history="1">
        <w:r w:rsidRPr="00A71BCD">
          <w:rPr>
            <w:rFonts w:cstheme="minorHAnsi"/>
          </w:rPr>
          <w:t>https://assets.publishing.service.gov.uk/government/uploads/system/uploads/attachment_data/file/741555/Fast_Food_map.pdf</w:t>
        </w:r>
      </w:hyperlink>
      <w:r w:rsidRPr="00A71BCD">
        <w:rPr>
          <w:rFonts w:cstheme="minorHAnsi"/>
        </w:rPr>
        <w:t>.</w:t>
      </w:r>
      <w:r>
        <w:rPr>
          <w:rFonts w:cstheme="minorHAnsi"/>
        </w:rPr>
        <w:t xml:space="preserve">  </w:t>
      </w:r>
      <w:r w:rsidRPr="00A71BCD">
        <w:rPr>
          <w:rFonts w:cstheme="minorHAnsi"/>
        </w:rPr>
        <w:t xml:space="preserve">The </w:t>
      </w:r>
      <w:r>
        <w:rPr>
          <w:rFonts w:cstheme="minorHAnsi"/>
        </w:rPr>
        <w:t xml:space="preserve">Public Health England </w:t>
      </w:r>
      <w:r w:rsidRPr="00A71BCD">
        <w:rPr>
          <w:rFonts w:cstheme="minorHAnsi"/>
        </w:rPr>
        <w:t xml:space="preserve">methodology used by </w:t>
      </w:r>
      <w:r w:rsidRPr="00A71BCD">
        <w:rPr>
          <w:rFonts w:cstheme="minorHAnsi"/>
        </w:rPr>
        <w:t>Public Health England was examined</w:t>
      </w:r>
      <w:r w:rsidRPr="00A71BCD">
        <w:rPr>
          <w:rFonts w:cstheme="minorHAnsi"/>
        </w:rPr>
        <w:t xml:space="preserve">.  </w:t>
      </w:r>
      <w:r w:rsidRPr="00A71BCD">
        <w:rPr>
          <w:rFonts w:cstheme="minorHAnsi"/>
        </w:rPr>
        <w:t xml:space="preserve">This </w:t>
      </w:r>
      <w:r w:rsidRPr="00A71BCD">
        <w:rPr>
          <w:rFonts w:cstheme="minorHAnsi"/>
        </w:rPr>
        <w:t xml:space="preserve">methodology </w:t>
      </w:r>
      <w:r w:rsidRPr="00A71BCD">
        <w:rPr>
          <w:rFonts w:cstheme="minorHAnsi"/>
        </w:rPr>
        <w:t xml:space="preserve">used </w:t>
      </w:r>
      <w:r w:rsidRPr="00A71BCD">
        <w:rPr>
          <w:rFonts w:cstheme="minorHAnsi"/>
        </w:rPr>
        <w:t xml:space="preserve">the Food Standards Agency data </w:t>
      </w:r>
      <w:r w:rsidRPr="00A71BCD">
        <w:rPr>
          <w:rFonts w:cstheme="minorHAnsi"/>
        </w:rPr>
        <w:t xml:space="preserve">on hygiene ratings as the basis for the analysis. A review of potential data sources for Wales was undertaken and similarly the Food Standards Agency Hygiene Ratings data was considered the best source of routine data for the analysis </w:t>
      </w:r>
      <w:r w:rsidRPr="00A71BCD">
        <w:rPr>
          <w:rFonts w:cstheme="minorHAnsi"/>
        </w:rPr>
        <w:t>in Wales</w:t>
      </w:r>
      <w:r w:rsidRPr="00A71BCD">
        <w:rPr>
          <w:rFonts w:cstheme="minorHAnsi"/>
        </w:rPr>
        <w:t>.</w:t>
      </w:r>
      <w:r w:rsidRPr="00A71BCD">
        <w:rPr>
          <w:rFonts w:cstheme="minorHAnsi"/>
        </w:rPr>
        <w:t xml:space="preserve">  </w:t>
      </w:r>
    </w:p>
    <w:p w14:paraId="4A071279" w14:textId="77777777" w:rsidR="00E01F3E" w:rsidRPr="00A71BCD" w:rsidRDefault="00E01F3E" w:rsidP="00A71BCD">
      <w:pPr>
        <w:spacing w:line="360" w:lineRule="auto"/>
        <w:rPr>
          <w:rFonts w:cstheme="minorHAnsi"/>
          <w:b/>
        </w:rPr>
      </w:pPr>
    </w:p>
    <w:p w14:paraId="4A07127A" w14:textId="77777777" w:rsidR="00E01F3E" w:rsidRPr="00200F6B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t>1.1</w:t>
      </w:r>
      <w:r w:rsidRPr="00200F6B">
        <w:rPr>
          <w:rFonts w:cstheme="minorHAnsi"/>
          <w:b/>
          <w:sz w:val="28"/>
          <w:szCs w:val="28"/>
        </w:rPr>
        <w:t xml:space="preserve"> </w:t>
      </w:r>
      <w:r w:rsidRPr="00200F6B">
        <w:rPr>
          <w:rFonts w:cstheme="minorHAnsi"/>
          <w:b/>
          <w:sz w:val="28"/>
          <w:szCs w:val="28"/>
        </w:rPr>
        <w:t xml:space="preserve">Food Standards Agency </w:t>
      </w:r>
      <w:r w:rsidRPr="00200F6B">
        <w:rPr>
          <w:rFonts w:cstheme="minorHAnsi"/>
          <w:b/>
          <w:sz w:val="28"/>
          <w:szCs w:val="28"/>
        </w:rPr>
        <w:t>Food Hygiene Rating</w:t>
      </w:r>
      <w:r w:rsidRPr="00200F6B">
        <w:rPr>
          <w:rFonts w:cstheme="minorHAnsi"/>
          <w:b/>
          <w:sz w:val="28"/>
          <w:szCs w:val="28"/>
        </w:rPr>
        <w:t>s</w:t>
      </w:r>
    </w:p>
    <w:p w14:paraId="4A07127B" w14:textId="77777777" w:rsidR="00E01F3E" w:rsidRPr="00425C79" w:rsidRDefault="00E01F3E" w:rsidP="00A71BCD">
      <w:pPr>
        <w:spacing w:line="360" w:lineRule="auto"/>
        <w:rPr>
          <w:rFonts w:eastAsia="Times New Roman" w:cstheme="minorHAnsi"/>
          <w:spacing w:val="4"/>
          <w:lang w:val="en"/>
        </w:rPr>
      </w:pPr>
      <w:r w:rsidRPr="00A71BCD">
        <w:rPr>
          <w:rFonts w:cstheme="minorHAnsi"/>
        </w:rPr>
        <w:t>The Food Hygiene Ratin</w:t>
      </w:r>
      <w:r>
        <w:rPr>
          <w:rFonts w:cstheme="minorHAnsi"/>
        </w:rPr>
        <w:t>gs allows potential patrons to find</w:t>
      </w:r>
      <w:r w:rsidRPr="00A71BCD">
        <w:rPr>
          <w:rFonts w:cstheme="minorHAnsi"/>
          <w:lang w:val="en"/>
        </w:rPr>
        <w:t xml:space="preserve"> out if a restaurant, takeaway or food shop has good food hygiene standards.</w:t>
      </w:r>
      <w:r w:rsidRPr="00A71BCD">
        <w:rPr>
          <w:rFonts w:cstheme="minorHAnsi"/>
          <w:lang w:val="en"/>
        </w:rPr>
        <w:t xml:space="preserve">  </w:t>
      </w:r>
      <w:r w:rsidRPr="00425C79">
        <w:rPr>
          <w:rFonts w:eastAsia="Times New Roman" w:cstheme="minorHAnsi"/>
          <w:spacing w:val="4"/>
          <w:lang w:val="en"/>
        </w:rPr>
        <w:t xml:space="preserve">Ratings are typically given to places where food is supplied, sold or </w:t>
      </w:r>
      <w:r w:rsidRPr="00425C79">
        <w:rPr>
          <w:rFonts w:eastAsia="Times New Roman" w:cstheme="minorHAnsi"/>
          <w:spacing w:val="4"/>
          <w:lang w:val="en"/>
        </w:rPr>
        <w:t>consumed, such as:</w:t>
      </w:r>
    </w:p>
    <w:p w14:paraId="4A07127C" w14:textId="77777777" w:rsidR="00E01F3E" w:rsidRPr="00425C79" w:rsidRDefault="00E01F3E" w:rsidP="00A71BCD">
      <w:pPr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/>
        </w:rPr>
      </w:pPr>
      <w:r w:rsidRPr="00425C79">
        <w:rPr>
          <w:rFonts w:eastAsia="Times New Roman" w:cstheme="minorHAnsi"/>
          <w:spacing w:val="4"/>
          <w:lang w:val="en"/>
        </w:rPr>
        <w:t>restaurants, pubs and cafes</w:t>
      </w:r>
    </w:p>
    <w:p w14:paraId="4A07127D" w14:textId="77777777" w:rsidR="00E01F3E" w:rsidRPr="00425C79" w:rsidRDefault="00E01F3E" w:rsidP="00A71BCD">
      <w:pPr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/>
        </w:rPr>
      </w:pPr>
      <w:r w:rsidRPr="00425C79">
        <w:rPr>
          <w:rFonts w:eastAsia="Times New Roman" w:cstheme="minorHAnsi"/>
          <w:spacing w:val="4"/>
          <w:lang w:val="en"/>
        </w:rPr>
        <w:t>takeaways, food vans and stalls</w:t>
      </w:r>
    </w:p>
    <w:p w14:paraId="4A07127E" w14:textId="77777777" w:rsidR="00E01F3E" w:rsidRPr="00425C79" w:rsidRDefault="00E01F3E" w:rsidP="00A71BCD">
      <w:pPr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/>
        </w:rPr>
      </w:pPr>
      <w:r w:rsidRPr="00425C79">
        <w:rPr>
          <w:rFonts w:eastAsia="Times New Roman" w:cstheme="minorHAnsi"/>
          <w:spacing w:val="4"/>
          <w:lang w:val="en"/>
        </w:rPr>
        <w:t>canteens and hotels</w:t>
      </w:r>
    </w:p>
    <w:p w14:paraId="4A07127F" w14:textId="77777777" w:rsidR="00E01F3E" w:rsidRPr="00425C79" w:rsidRDefault="00E01F3E" w:rsidP="00A71BCD">
      <w:pPr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/>
        </w:rPr>
      </w:pPr>
      <w:r w:rsidRPr="00425C79">
        <w:rPr>
          <w:rFonts w:eastAsia="Times New Roman" w:cstheme="minorHAnsi"/>
          <w:spacing w:val="4"/>
          <w:lang w:val="en"/>
        </w:rPr>
        <w:t>supermarkets and other food shops</w:t>
      </w:r>
    </w:p>
    <w:p w14:paraId="4A071280" w14:textId="77777777" w:rsidR="00E01F3E" w:rsidRPr="00425C79" w:rsidRDefault="00E01F3E" w:rsidP="00A71BCD">
      <w:pPr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/>
        </w:rPr>
      </w:pPr>
      <w:r w:rsidRPr="00425C79">
        <w:rPr>
          <w:rFonts w:eastAsia="Times New Roman" w:cstheme="minorHAnsi"/>
          <w:spacing w:val="4"/>
          <w:lang w:val="en"/>
        </w:rPr>
        <w:lastRenderedPageBreak/>
        <w:t>schools, hospitals and care homes</w:t>
      </w:r>
    </w:p>
    <w:p w14:paraId="4A071281" w14:textId="77777777" w:rsidR="00E01F3E" w:rsidRPr="00A71BCD" w:rsidRDefault="00E01F3E" w:rsidP="00A71BCD">
      <w:pPr>
        <w:spacing w:line="360" w:lineRule="auto"/>
        <w:jc w:val="both"/>
        <w:rPr>
          <w:rFonts w:eastAsia="Times New Roman" w:cstheme="minorHAnsi"/>
          <w:spacing w:val="4"/>
          <w:lang w:val="en"/>
        </w:rPr>
      </w:pPr>
      <w:r w:rsidRPr="00A71BCD">
        <w:rPr>
          <w:rFonts w:cstheme="minorHAnsi"/>
          <w:lang w:val="en"/>
        </w:rPr>
        <w:t>Each business receives a rating when inspected by a local authority Food Safety Officer. The rating is based on the standards of compliance with food hygiene law.</w:t>
      </w:r>
      <w:r w:rsidRPr="00A71BCD">
        <w:rPr>
          <w:rFonts w:cstheme="minorHAnsi"/>
          <w:spacing w:val="4"/>
          <w:lang w:val="en"/>
        </w:rPr>
        <w:t xml:space="preserve"> </w:t>
      </w:r>
      <w:r w:rsidRPr="00425C79">
        <w:rPr>
          <w:rFonts w:eastAsia="Times New Roman" w:cstheme="minorHAnsi"/>
          <w:spacing w:val="4"/>
          <w:lang w:val="en"/>
        </w:rPr>
        <w:t>There are two groups of exempt businesses which are inspected by the local authority food safety officer but are not given a food hygiene rating:</w:t>
      </w:r>
    </w:p>
    <w:p w14:paraId="4A071282" w14:textId="77777777" w:rsidR="00E01F3E" w:rsidRPr="00425C79" w:rsidRDefault="00E01F3E" w:rsidP="00A71BCD">
      <w:pPr>
        <w:numPr>
          <w:ilvl w:val="0"/>
          <w:numId w:val="2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/>
        </w:rPr>
      </w:pPr>
      <w:r w:rsidRPr="00425C79">
        <w:rPr>
          <w:rFonts w:eastAsia="Times New Roman" w:cstheme="minorHAnsi"/>
          <w:spacing w:val="4"/>
          <w:lang w:val="en"/>
        </w:rPr>
        <w:t xml:space="preserve">businesses that are </w:t>
      </w:r>
      <w:proofErr w:type="gramStart"/>
      <w:r w:rsidRPr="00425C79">
        <w:rPr>
          <w:rFonts w:eastAsia="Times New Roman" w:cstheme="minorHAnsi"/>
          <w:spacing w:val="4"/>
          <w:lang w:val="en"/>
        </w:rPr>
        <w:t>low-risk</w:t>
      </w:r>
      <w:proofErr w:type="gramEnd"/>
      <w:r w:rsidRPr="00425C79">
        <w:rPr>
          <w:rFonts w:eastAsia="Times New Roman" w:cstheme="minorHAnsi"/>
          <w:spacing w:val="4"/>
          <w:lang w:val="en"/>
        </w:rPr>
        <w:t xml:space="preserve"> to public health, for example, newsagents, chemist shops or visitor </w:t>
      </w:r>
      <w:proofErr w:type="spellStart"/>
      <w:r w:rsidRPr="00425C79">
        <w:rPr>
          <w:rFonts w:eastAsia="Times New Roman" w:cstheme="minorHAnsi"/>
          <w:spacing w:val="4"/>
          <w:lang w:val="en"/>
        </w:rPr>
        <w:t>centres</w:t>
      </w:r>
      <w:proofErr w:type="spellEnd"/>
      <w:r w:rsidRPr="00425C79">
        <w:rPr>
          <w:rFonts w:eastAsia="Times New Roman" w:cstheme="minorHAnsi"/>
          <w:spacing w:val="4"/>
          <w:lang w:val="en"/>
        </w:rPr>
        <w:t xml:space="preserve"> selling pre-wrapped goods that do not require refrigeration </w:t>
      </w:r>
    </w:p>
    <w:p w14:paraId="4A071283" w14:textId="77777777" w:rsidR="00E01F3E" w:rsidRPr="00425C79" w:rsidRDefault="00E01F3E" w:rsidP="00A71BCD">
      <w:pPr>
        <w:numPr>
          <w:ilvl w:val="0"/>
          <w:numId w:val="2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/>
        </w:rPr>
      </w:pPr>
      <w:r w:rsidRPr="00425C79">
        <w:rPr>
          <w:rFonts w:eastAsia="Times New Roman" w:cstheme="minorHAnsi"/>
          <w:spacing w:val="4"/>
          <w:lang w:val="en"/>
        </w:rPr>
        <w:t>childminders and businesses that offer caring services at home</w:t>
      </w:r>
    </w:p>
    <w:p w14:paraId="4A071284" w14:textId="77777777" w:rsidR="00E01F3E" w:rsidRDefault="00E01F3E" w:rsidP="0053578F">
      <w:pPr>
        <w:spacing w:line="360" w:lineRule="auto"/>
        <w:rPr>
          <w:rFonts w:cstheme="minorHAnsi"/>
          <w:spacing w:val="4"/>
          <w:lang w:val="en"/>
        </w:rPr>
      </w:pPr>
      <w:r w:rsidRPr="00A71BCD">
        <w:rPr>
          <w:rFonts w:cstheme="minorHAnsi"/>
          <w:spacing w:val="4"/>
          <w:lang w:val="en"/>
        </w:rPr>
        <w:t>The rating scheme is set out in law in Wales and Northern Ireland but display of the rating sticker is voluntary in England. </w:t>
      </w:r>
    </w:p>
    <w:p w14:paraId="4A071285" w14:textId="77777777" w:rsidR="00E01F3E" w:rsidRDefault="00E01F3E" w:rsidP="0053578F">
      <w:pPr>
        <w:spacing w:line="360" w:lineRule="auto"/>
        <w:rPr>
          <w:rFonts w:cstheme="minorHAnsi"/>
          <w:spacing w:val="4"/>
          <w:lang w:val="en"/>
        </w:rPr>
      </w:pPr>
    </w:p>
    <w:p w14:paraId="4A071286" w14:textId="77777777" w:rsidR="00E01F3E" w:rsidRPr="00C82FA4" w:rsidRDefault="00E01F3E" w:rsidP="0053578F">
      <w:pPr>
        <w:spacing w:line="360" w:lineRule="auto"/>
        <w:rPr>
          <w:rFonts w:eastAsia="Times New Roman" w:cstheme="minorHAnsi"/>
          <w:spacing w:val="4"/>
        </w:rPr>
      </w:pPr>
      <w:r w:rsidRPr="00425C79">
        <w:rPr>
          <w:rFonts w:eastAsia="Times New Roman" w:cstheme="minorHAnsi"/>
          <w:spacing w:val="4"/>
          <w:lang w:val="en"/>
        </w:rPr>
        <w:t xml:space="preserve">Each local authority plans a </w:t>
      </w:r>
      <w:proofErr w:type="spellStart"/>
      <w:r w:rsidRPr="00425C79">
        <w:rPr>
          <w:rFonts w:eastAsia="Times New Roman" w:cstheme="minorHAnsi"/>
          <w:spacing w:val="4"/>
          <w:lang w:val="en"/>
        </w:rPr>
        <w:t>programme</w:t>
      </w:r>
      <w:proofErr w:type="spellEnd"/>
      <w:r w:rsidRPr="00425C79">
        <w:rPr>
          <w:rFonts w:eastAsia="Times New Roman" w:cstheme="minorHAnsi"/>
          <w:spacing w:val="4"/>
          <w:lang w:val="en"/>
        </w:rPr>
        <w:t xml:space="preserve"> of inspections every year. The frequency of inspections depends on the potential risk to public health. </w:t>
      </w:r>
      <w:r w:rsidRPr="00425C79">
        <w:rPr>
          <w:rFonts w:eastAsia="Times New Roman" w:cstheme="minorHAnsi"/>
          <w:spacing w:val="4"/>
          <w:lang w:val="en"/>
        </w:rPr>
        <w:t>Businesses that pose a higher risk are inspected more often than businesses that pose a lower risk</w:t>
      </w:r>
      <w:r w:rsidRPr="00A71BCD">
        <w:rPr>
          <w:rFonts w:eastAsia="Times New Roman" w:cstheme="minorHAnsi"/>
          <w:spacing w:val="4"/>
          <w:lang w:val="en"/>
        </w:rPr>
        <w:t xml:space="preserve">. </w:t>
      </w:r>
      <w:r w:rsidRPr="00425C79">
        <w:rPr>
          <w:rFonts w:eastAsia="Times New Roman" w:cstheme="minorHAnsi"/>
          <w:spacing w:val="4"/>
          <w:lang w:val="en"/>
        </w:rPr>
        <w:t>The assessment takes account of the following factors:</w:t>
      </w:r>
    </w:p>
    <w:p w14:paraId="4A071287" w14:textId="77777777" w:rsidR="00E01F3E" w:rsidRPr="00425C79" w:rsidRDefault="00E01F3E" w:rsidP="00A71BCD">
      <w:pPr>
        <w:numPr>
          <w:ilvl w:val="0"/>
          <w:numId w:val="3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/>
        </w:rPr>
      </w:pPr>
      <w:r w:rsidRPr="00425C79">
        <w:rPr>
          <w:rFonts w:eastAsia="Times New Roman" w:cstheme="minorHAnsi"/>
          <w:spacing w:val="4"/>
          <w:lang w:val="en"/>
        </w:rPr>
        <w:t>type of food that is handled</w:t>
      </w:r>
    </w:p>
    <w:p w14:paraId="4A071288" w14:textId="77777777" w:rsidR="00E01F3E" w:rsidRPr="00425C79" w:rsidRDefault="00E01F3E" w:rsidP="00A71BCD">
      <w:pPr>
        <w:numPr>
          <w:ilvl w:val="0"/>
          <w:numId w:val="3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/>
        </w:rPr>
      </w:pPr>
      <w:r w:rsidRPr="00425C79">
        <w:rPr>
          <w:rFonts w:eastAsia="Times New Roman" w:cstheme="minorHAnsi"/>
          <w:spacing w:val="4"/>
          <w:lang w:val="en"/>
        </w:rPr>
        <w:t>the number and type of customers, for example vulnerable groups</w:t>
      </w:r>
    </w:p>
    <w:p w14:paraId="4A071289" w14:textId="77777777" w:rsidR="00E01F3E" w:rsidRPr="00425C79" w:rsidRDefault="00E01F3E" w:rsidP="00A71BCD">
      <w:pPr>
        <w:numPr>
          <w:ilvl w:val="0"/>
          <w:numId w:val="3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/>
        </w:rPr>
      </w:pPr>
      <w:r w:rsidRPr="00425C79">
        <w:rPr>
          <w:rFonts w:eastAsia="Times New Roman" w:cstheme="minorHAnsi"/>
          <w:spacing w:val="4"/>
          <w:lang w:val="en"/>
        </w:rPr>
        <w:t xml:space="preserve">types of processes carried out before the food is </w:t>
      </w:r>
      <w:r w:rsidRPr="00425C79">
        <w:rPr>
          <w:rFonts w:eastAsia="Times New Roman" w:cstheme="minorHAnsi"/>
          <w:spacing w:val="4"/>
          <w:lang w:val="en"/>
        </w:rPr>
        <w:t>sold or served</w:t>
      </w:r>
    </w:p>
    <w:p w14:paraId="4A07128A" w14:textId="77777777" w:rsidR="00E01F3E" w:rsidRPr="00425C79" w:rsidRDefault="00E01F3E" w:rsidP="00A71BCD">
      <w:pPr>
        <w:numPr>
          <w:ilvl w:val="0"/>
          <w:numId w:val="3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/>
        </w:rPr>
      </w:pPr>
      <w:r w:rsidRPr="00425C79">
        <w:rPr>
          <w:rFonts w:eastAsia="Times New Roman" w:cstheme="minorHAnsi"/>
          <w:spacing w:val="4"/>
          <w:lang w:val="en"/>
        </w:rPr>
        <w:t>hygiene standards seen on the day of the last inspection</w:t>
      </w:r>
    </w:p>
    <w:p w14:paraId="4A07128B" w14:textId="77777777" w:rsidR="00E01F3E" w:rsidRPr="00A71BCD" w:rsidRDefault="00E01F3E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The data contained within the Food Standards Agency </w:t>
      </w:r>
      <w:r>
        <w:rPr>
          <w:rFonts w:cstheme="minorHAnsi"/>
        </w:rPr>
        <w:t>f</w:t>
      </w:r>
      <w:r>
        <w:rPr>
          <w:rFonts w:cstheme="minorHAnsi"/>
        </w:rPr>
        <w:t xml:space="preserve">ood </w:t>
      </w:r>
      <w:r>
        <w:rPr>
          <w:rFonts w:cstheme="minorHAnsi"/>
        </w:rPr>
        <w:t>h</w:t>
      </w:r>
      <w:r>
        <w:rPr>
          <w:rFonts w:cstheme="minorHAnsi"/>
        </w:rPr>
        <w:t xml:space="preserve">ygiene </w:t>
      </w:r>
      <w:r>
        <w:rPr>
          <w:rFonts w:cstheme="minorHAnsi"/>
        </w:rPr>
        <w:t>r</w:t>
      </w:r>
      <w:r>
        <w:rPr>
          <w:rFonts w:cstheme="minorHAnsi"/>
        </w:rPr>
        <w:t xml:space="preserve">ating system was identified as a source of readily accessible data useful in identifying counts of </w:t>
      </w:r>
      <w:proofErr w:type="gramStart"/>
      <w:r>
        <w:rPr>
          <w:rFonts w:cstheme="minorHAnsi"/>
        </w:rPr>
        <w:t>fast food</w:t>
      </w:r>
      <w:proofErr w:type="gramEnd"/>
      <w:r>
        <w:rPr>
          <w:rFonts w:cstheme="minorHAnsi"/>
        </w:rPr>
        <w:t xml:space="preserve"> outlets in Wales.</w:t>
      </w:r>
    </w:p>
    <w:p w14:paraId="4A07128C" w14:textId="77777777" w:rsidR="00E01F3E" w:rsidRDefault="00E01F3E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A07128D" w14:textId="77777777" w:rsidR="00E01F3E" w:rsidRPr="00200F6B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lastRenderedPageBreak/>
        <w:t>2</w:t>
      </w:r>
      <w:r w:rsidRPr="00200F6B">
        <w:rPr>
          <w:rFonts w:cstheme="minorHAnsi"/>
          <w:b/>
          <w:sz w:val="28"/>
          <w:szCs w:val="28"/>
        </w:rPr>
        <w:t xml:space="preserve">.0 </w:t>
      </w:r>
      <w:r w:rsidRPr="00200F6B">
        <w:rPr>
          <w:rFonts w:cstheme="minorHAnsi"/>
          <w:b/>
          <w:sz w:val="28"/>
          <w:szCs w:val="28"/>
        </w:rPr>
        <w:t>Methodology</w:t>
      </w:r>
    </w:p>
    <w:p w14:paraId="4A07128E" w14:textId="77777777" w:rsidR="00E01F3E" w:rsidRPr="00A71BCD" w:rsidRDefault="00E01F3E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The </w:t>
      </w:r>
      <w:r>
        <w:rPr>
          <w:rFonts w:cstheme="minorHAnsi"/>
        </w:rPr>
        <w:t>f</w:t>
      </w:r>
      <w:r>
        <w:rPr>
          <w:rFonts w:cstheme="minorHAnsi"/>
        </w:rPr>
        <w:t xml:space="preserve">ood </w:t>
      </w:r>
      <w:r>
        <w:rPr>
          <w:rFonts w:cstheme="minorHAnsi"/>
        </w:rPr>
        <w:t>h</w:t>
      </w:r>
      <w:r>
        <w:rPr>
          <w:rFonts w:cstheme="minorHAnsi"/>
        </w:rPr>
        <w:t xml:space="preserve">ygiene </w:t>
      </w:r>
      <w:r>
        <w:rPr>
          <w:rFonts w:cstheme="minorHAnsi"/>
        </w:rPr>
        <w:t>r</w:t>
      </w:r>
      <w:r>
        <w:rPr>
          <w:rFonts w:cstheme="minorHAnsi"/>
        </w:rPr>
        <w:t xml:space="preserve">ating </w:t>
      </w:r>
      <w:r>
        <w:rPr>
          <w:rFonts w:cstheme="minorHAnsi"/>
        </w:rPr>
        <w:t xml:space="preserve">data </w:t>
      </w:r>
      <w:r>
        <w:rPr>
          <w:rFonts w:cstheme="minorHAnsi"/>
        </w:rPr>
        <w:t xml:space="preserve">table for </w:t>
      </w:r>
      <w:r>
        <w:rPr>
          <w:rFonts w:cstheme="minorHAnsi"/>
        </w:rPr>
        <w:t xml:space="preserve">each of </w:t>
      </w:r>
      <w:r>
        <w:rPr>
          <w:rFonts w:cstheme="minorHAnsi"/>
        </w:rPr>
        <w:t xml:space="preserve">the </w:t>
      </w:r>
      <w:proofErr w:type="gramStart"/>
      <w:r>
        <w:rPr>
          <w:rFonts w:cstheme="minorHAnsi"/>
        </w:rPr>
        <w:t>twenty two</w:t>
      </w:r>
      <w:proofErr w:type="gramEnd"/>
      <w:r w:rsidRPr="00A71BCD">
        <w:rPr>
          <w:rFonts w:cstheme="minorHAnsi"/>
        </w:rPr>
        <w:t xml:space="preserve"> local </w:t>
      </w:r>
      <w:r>
        <w:rPr>
          <w:rFonts w:cstheme="minorHAnsi"/>
        </w:rPr>
        <w:t>authorities in Wales</w:t>
      </w:r>
      <w:r w:rsidRPr="00A71BCD">
        <w:rPr>
          <w:rFonts w:cstheme="minorHAnsi"/>
        </w:rPr>
        <w:t xml:space="preserve"> was downloaded from the Food Standards Agency in November 2018.  </w:t>
      </w:r>
      <w:r w:rsidRPr="00A71BCD">
        <w:rPr>
          <w:rFonts w:cstheme="minorHAnsi"/>
        </w:rPr>
        <w:tab/>
      </w:r>
    </w:p>
    <w:p w14:paraId="4A07128F" w14:textId="77777777" w:rsidR="00E01F3E" w:rsidRDefault="00E01F3E" w:rsidP="00A71BCD">
      <w:pPr>
        <w:spacing w:line="360" w:lineRule="auto"/>
        <w:rPr>
          <w:rFonts w:cstheme="minorHAnsi"/>
        </w:rPr>
      </w:pPr>
    </w:p>
    <w:p w14:paraId="4A071290" w14:textId="77777777" w:rsidR="00E01F3E" w:rsidRPr="00200F6B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t>2</w:t>
      </w:r>
      <w:r w:rsidRPr="00200F6B">
        <w:rPr>
          <w:rFonts w:cstheme="minorHAnsi"/>
          <w:b/>
          <w:sz w:val="28"/>
          <w:szCs w:val="28"/>
        </w:rPr>
        <w:t xml:space="preserve">.1 </w:t>
      </w:r>
      <w:r w:rsidRPr="00200F6B">
        <w:rPr>
          <w:rFonts w:cstheme="minorHAnsi"/>
          <w:b/>
          <w:sz w:val="28"/>
          <w:szCs w:val="28"/>
        </w:rPr>
        <w:t>Inclusion and Exclusion Criteria</w:t>
      </w:r>
    </w:p>
    <w:p w14:paraId="4A071291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 xml:space="preserve">All food outlets defined under the existing heading of ‘Takeaway and sandwich shop’ were </w:t>
      </w:r>
      <w:r>
        <w:rPr>
          <w:rFonts w:cstheme="minorHAnsi"/>
        </w:rPr>
        <w:t xml:space="preserve">included in the count of outlets.  In addition, </w:t>
      </w:r>
      <w:r w:rsidRPr="00A71BCD">
        <w:rPr>
          <w:rFonts w:cstheme="minorHAnsi"/>
        </w:rPr>
        <w:t>to overcome the fact that some food outlets classified as restauran</w:t>
      </w:r>
      <w:r>
        <w:rPr>
          <w:rFonts w:cstheme="minorHAnsi"/>
        </w:rPr>
        <w:t xml:space="preserve">ts also sell food to take away, </w:t>
      </w:r>
      <w:r w:rsidRPr="00A71BCD">
        <w:rPr>
          <w:rFonts w:cstheme="minorHAnsi"/>
        </w:rPr>
        <w:t xml:space="preserve">a review of the restaurants was undertaken using key words to identify them.  </w:t>
      </w:r>
      <w:r>
        <w:rPr>
          <w:rFonts w:cstheme="minorHAnsi"/>
        </w:rPr>
        <w:t>Table 1 shows which outlets were included or excluded.</w:t>
      </w:r>
    </w:p>
    <w:p w14:paraId="4A071292" w14:textId="77777777" w:rsidR="00E01F3E" w:rsidRPr="006B6107" w:rsidRDefault="00E01F3E" w:rsidP="00A71BCD">
      <w:pPr>
        <w:spacing w:line="360" w:lineRule="auto"/>
        <w:rPr>
          <w:rFonts w:cstheme="minorHAnsi"/>
          <w:b/>
        </w:rPr>
      </w:pPr>
      <w:r w:rsidRPr="006B6107">
        <w:rPr>
          <w:rFonts w:cstheme="minorHAnsi"/>
          <w:b/>
        </w:rPr>
        <w:t>Table 1: Inclusion and Exclusion Criteria Based on Food Standards Agency Categories</w:t>
      </w:r>
      <w:r w:rsidRPr="006B6107">
        <w:rPr>
          <w:rFonts w:cstheme="minorHAnsi"/>
          <w:b/>
        </w:rPr>
        <w:tab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D635AA" w:rsidRPr="00D635AA" w14:paraId="4A071295" w14:textId="77777777" w:rsidTr="00DF1D1F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071293" w14:textId="77777777" w:rsidR="00E01F3E" w:rsidRPr="00D635AA" w:rsidRDefault="00E01F3E" w:rsidP="0017636E">
            <w:pPr>
              <w:spacing w:line="360" w:lineRule="auto"/>
              <w:rPr>
                <w:rFonts w:cstheme="minorHAnsi"/>
                <w:b/>
              </w:rPr>
            </w:pPr>
            <w:r w:rsidRPr="00D635AA">
              <w:rPr>
                <w:rFonts w:cstheme="minorHAnsi"/>
                <w:b/>
              </w:rPr>
              <w:t>Business Type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071294" w14:textId="77777777" w:rsidR="00E01F3E" w:rsidRPr="00D635AA" w:rsidRDefault="00E01F3E" w:rsidP="0017636E">
            <w:pPr>
              <w:spacing w:line="360" w:lineRule="auto"/>
              <w:rPr>
                <w:rFonts w:cstheme="minorHAnsi"/>
                <w:b/>
              </w:rPr>
            </w:pPr>
            <w:r w:rsidRPr="00D635AA">
              <w:rPr>
                <w:rFonts w:cstheme="minorHAnsi"/>
                <w:b/>
              </w:rPr>
              <w:t>Inclusion/Exclusion criteria</w:t>
            </w:r>
          </w:p>
        </w:tc>
      </w:tr>
      <w:tr w:rsidR="00D635AA" w:rsidRPr="00D635AA" w14:paraId="4A071298" w14:textId="77777777" w:rsidTr="00D635AA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auto"/>
            </w:tcBorders>
          </w:tcPr>
          <w:p w14:paraId="4A071296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Takeaway/sandwich shop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A071297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Include fully</w:t>
            </w:r>
          </w:p>
        </w:tc>
      </w:tr>
      <w:tr w:rsidR="00D635AA" w:rsidRPr="00D635AA" w14:paraId="4A07129B" w14:textId="77777777" w:rsidTr="00D635AA">
        <w:tblPrEx>
          <w:tblCellMar>
            <w:top w:w="0" w:type="dxa"/>
            <w:bottom w:w="0" w:type="dxa"/>
          </w:tblCellMar>
        </w:tblPrEx>
        <w:tc>
          <w:tcPr>
            <w:tcW w:w="4508" w:type="dxa"/>
          </w:tcPr>
          <w:p w14:paraId="4A071299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Restaurant/Cafe/Canteen</w:t>
            </w:r>
          </w:p>
        </w:tc>
        <w:tc>
          <w:tcPr>
            <w:tcW w:w="4508" w:type="dxa"/>
          </w:tcPr>
          <w:p w14:paraId="4A07129A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 xml:space="preserve">Include via key search terms </w:t>
            </w:r>
          </w:p>
        </w:tc>
      </w:tr>
      <w:tr w:rsidR="00D635AA" w:rsidRPr="00D635AA" w14:paraId="4A07129E" w14:textId="77777777" w:rsidTr="00D635AA">
        <w:tblPrEx>
          <w:tblCellMar>
            <w:top w:w="0" w:type="dxa"/>
            <w:bottom w:w="0" w:type="dxa"/>
          </w:tblCellMar>
        </w:tblPrEx>
        <w:tc>
          <w:tcPr>
            <w:tcW w:w="4508" w:type="dxa"/>
          </w:tcPr>
          <w:p w14:paraId="4A07129C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Distributors/Transporters</w:t>
            </w:r>
          </w:p>
        </w:tc>
        <w:tc>
          <w:tcPr>
            <w:tcW w:w="4508" w:type="dxa"/>
          </w:tcPr>
          <w:p w14:paraId="4A07129D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Exclude fully</w:t>
            </w:r>
          </w:p>
        </w:tc>
      </w:tr>
      <w:tr w:rsidR="00D635AA" w:rsidRPr="00D635AA" w14:paraId="4A0712A1" w14:textId="77777777" w:rsidTr="00D635AA">
        <w:tblPrEx>
          <w:tblCellMar>
            <w:top w:w="0" w:type="dxa"/>
            <w:bottom w:w="0" w:type="dxa"/>
          </w:tblCellMar>
        </w:tblPrEx>
        <w:tc>
          <w:tcPr>
            <w:tcW w:w="4508" w:type="dxa"/>
          </w:tcPr>
          <w:p w14:paraId="4A07129F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Farmers/growers</w:t>
            </w:r>
          </w:p>
        </w:tc>
        <w:tc>
          <w:tcPr>
            <w:tcW w:w="4508" w:type="dxa"/>
          </w:tcPr>
          <w:p w14:paraId="4A0712A0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Exclude fully</w:t>
            </w:r>
          </w:p>
        </w:tc>
      </w:tr>
      <w:tr w:rsidR="00D635AA" w:rsidRPr="00D635AA" w14:paraId="4A0712A4" w14:textId="77777777" w:rsidTr="00D635AA">
        <w:tblPrEx>
          <w:tblCellMar>
            <w:top w:w="0" w:type="dxa"/>
            <w:bottom w:w="0" w:type="dxa"/>
          </w:tblCellMar>
        </w:tblPrEx>
        <w:tc>
          <w:tcPr>
            <w:tcW w:w="4508" w:type="dxa"/>
          </w:tcPr>
          <w:p w14:paraId="4A0712A2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Hospitals/Childcare/Caring Premises</w:t>
            </w:r>
          </w:p>
        </w:tc>
        <w:tc>
          <w:tcPr>
            <w:tcW w:w="4508" w:type="dxa"/>
          </w:tcPr>
          <w:p w14:paraId="4A0712A3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Exclude fully</w:t>
            </w:r>
          </w:p>
        </w:tc>
      </w:tr>
      <w:tr w:rsidR="00D635AA" w:rsidRPr="00D635AA" w14:paraId="4A0712A7" w14:textId="77777777" w:rsidTr="00D635AA">
        <w:tblPrEx>
          <w:tblCellMar>
            <w:top w:w="0" w:type="dxa"/>
            <w:bottom w:w="0" w:type="dxa"/>
          </w:tblCellMar>
        </w:tblPrEx>
        <w:tc>
          <w:tcPr>
            <w:tcW w:w="4508" w:type="dxa"/>
          </w:tcPr>
          <w:p w14:paraId="4A0712A5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Hotel/bed and breakfast/guest house</w:t>
            </w:r>
          </w:p>
        </w:tc>
        <w:tc>
          <w:tcPr>
            <w:tcW w:w="4508" w:type="dxa"/>
          </w:tcPr>
          <w:p w14:paraId="4A0712A6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Exclude fully</w:t>
            </w:r>
          </w:p>
        </w:tc>
      </w:tr>
      <w:tr w:rsidR="00D635AA" w:rsidRPr="00D635AA" w14:paraId="4A0712AA" w14:textId="77777777" w:rsidTr="00D635AA">
        <w:tblPrEx>
          <w:tblCellMar>
            <w:top w:w="0" w:type="dxa"/>
            <w:bottom w:w="0" w:type="dxa"/>
          </w:tblCellMar>
        </w:tblPrEx>
        <w:tc>
          <w:tcPr>
            <w:tcW w:w="4508" w:type="dxa"/>
          </w:tcPr>
          <w:p w14:paraId="4A0712A8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Importers/Exporters</w:t>
            </w:r>
          </w:p>
        </w:tc>
        <w:tc>
          <w:tcPr>
            <w:tcW w:w="4508" w:type="dxa"/>
          </w:tcPr>
          <w:p w14:paraId="4A0712A9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Exclude fully</w:t>
            </w:r>
          </w:p>
        </w:tc>
      </w:tr>
      <w:tr w:rsidR="00D635AA" w:rsidRPr="00D635AA" w14:paraId="4A0712AD" w14:textId="77777777" w:rsidTr="00D635AA">
        <w:tblPrEx>
          <w:tblCellMar>
            <w:top w:w="0" w:type="dxa"/>
            <w:bottom w:w="0" w:type="dxa"/>
          </w:tblCellMar>
        </w:tblPrEx>
        <w:tc>
          <w:tcPr>
            <w:tcW w:w="4508" w:type="dxa"/>
          </w:tcPr>
          <w:p w14:paraId="4A0712AB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Manufacturers/packers</w:t>
            </w:r>
          </w:p>
        </w:tc>
        <w:tc>
          <w:tcPr>
            <w:tcW w:w="4508" w:type="dxa"/>
          </w:tcPr>
          <w:p w14:paraId="4A0712AC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Exclude fully</w:t>
            </w:r>
          </w:p>
        </w:tc>
      </w:tr>
      <w:tr w:rsidR="00D635AA" w:rsidRPr="00D635AA" w14:paraId="4A0712B0" w14:textId="77777777" w:rsidTr="00D635AA">
        <w:tblPrEx>
          <w:tblCellMar>
            <w:top w:w="0" w:type="dxa"/>
            <w:bottom w:w="0" w:type="dxa"/>
          </w:tblCellMar>
        </w:tblPrEx>
        <w:tc>
          <w:tcPr>
            <w:tcW w:w="4508" w:type="dxa"/>
          </w:tcPr>
          <w:p w14:paraId="4A0712AE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Mobile caterer</w:t>
            </w:r>
          </w:p>
        </w:tc>
        <w:tc>
          <w:tcPr>
            <w:tcW w:w="4508" w:type="dxa"/>
          </w:tcPr>
          <w:p w14:paraId="4A0712AF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Exclude fully</w:t>
            </w:r>
          </w:p>
        </w:tc>
      </w:tr>
      <w:tr w:rsidR="00D635AA" w:rsidRPr="00D635AA" w14:paraId="4A0712B3" w14:textId="77777777" w:rsidTr="00D635AA">
        <w:tblPrEx>
          <w:tblCellMar>
            <w:top w:w="0" w:type="dxa"/>
            <w:bottom w:w="0" w:type="dxa"/>
          </w:tblCellMar>
        </w:tblPrEx>
        <w:tc>
          <w:tcPr>
            <w:tcW w:w="4508" w:type="dxa"/>
          </w:tcPr>
          <w:p w14:paraId="4A0712B1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Other catering premises</w:t>
            </w:r>
          </w:p>
        </w:tc>
        <w:tc>
          <w:tcPr>
            <w:tcW w:w="4508" w:type="dxa"/>
          </w:tcPr>
          <w:p w14:paraId="4A0712B2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Exclude fully</w:t>
            </w:r>
          </w:p>
        </w:tc>
      </w:tr>
      <w:tr w:rsidR="00D635AA" w:rsidRPr="00D635AA" w14:paraId="4A0712B6" w14:textId="77777777" w:rsidTr="00D635AA">
        <w:tblPrEx>
          <w:tblCellMar>
            <w:top w:w="0" w:type="dxa"/>
            <w:bottom w:w="0" w:type="dxa"/>
          </w:tblCellMar>
        </w:tblPrEx>
        <w:tc>
          <w:tcPr>
            <w:tcW w:w="4508" w:type="dxa"/>
          </w:tcPr>
          <w:p w14:paraId="4A0712B4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Pub/bar/nightclub</w:t>
            </w:r>
          </w:p>
        </w:tc>
        <w:tc>
          <w:tcPr>
            <w:tcW w:w="4508" w:type="dxa"/>
          </w:tcPr>
          <w:p w14:paraId="4A0712B5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Exclude fully</w:t>
            </w:r>
          </w:p>
        </w:tc>
      </w:tr>
      <w:tr w:rsidR="00D635AA" w:rsidRPr="00D635AA" w14:paraId="4A0712B9" w14:textId="77777777" w:rsidTr="00D635AA">
        <w:tblPrEx>
          <w:tblCellMar>
            <w:top w:w="0" w:type="dxa"/>
            <w:bottom w:w="0" w:type="dxa"/>
          </w:tblCellMar>
        </w:tblPrEx>
        <w:tc>
          <w:tcPr>
            <w:tcW w:w="4508" w:type="dxa"/>
          </w:tcPr>
          <w:p w14:paraId="4A0712B7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lastRenderedPageBreak/>
              <w:t xml:space="preserve">Retailers – other </w:t>
            </w:r>
          </w:p>
        </w:tc>
        <w:tc>
          <w:tcPr>
            <w:tcW w:w="4508" w:type="dxa"/>
          </w:tcPr>
          <w:p w14:paraId="4A0712B8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Exclude fully</w:t>
            </w:r>
          </w:p>
        </w:tc>
      </w:tr>
      <w:tr w:rsidR="00D635AA" w:rsidRPr="00D635AA" w14:paraId="4A0712BC" w14:textId="77777777" w:rsidTr="00D635AA">
        <w:tblPrEx>
          <w:tblCellMar>
            <w:top w:w="0" w:type="dxa"/>
            <w:bottom w:w="0" w:type="dxa"/>
          </w:tblCellMar>
        </w:tblPrEx>
        <w:tc>
          <w:tcPr>
            <w:tcW w:w="4508" w:type="dxa"/>
          </w:tcPr>
          <w:p w14:paraId="4A0712BA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Retailers - supermarkets/hypermarkets</w:t>
            </w:r>
          </w:p>
        </w:tc>
        <w:tc>
          <w:tcPr>
            <w:tcW w:w="4508" w:type="dxa"/>
          </w:tcPr>
          <w:p w14:paraId="4A0712BB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Exclude fully</w:t>
            </w:r>
          </w:p>
        </w:tc>
      </w:tr>
      <w:tr w:rsidR="00D635AA" w:rsidRPr="00D635AA" w14:paraId="4A0712BF" w14:textId="77777777" w:rsidTr="00D635AA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bottom w:val="single" w:sz="4" w:space="0" w:color="auto"/>
            </w:tcBorders>
          </w:tcPr>
          <w:p w14:paraId="4A0712BD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School/college/university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A0712BE" w14:textId="77777777" w:rsidR="00E01F3E" w:rsidRPr="00D635AA" w:rsidRDefault="00E01F3E" w:rsidP="00D635AA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Exclude fully</w:t>
            </w:r>
          </w:p>
        </w:tc>
      </w:tr>
    </w:tbl>
    <w:p w14:paraId="4A0712C0" w14:textId="77777777" w:rsidR="00E01F3E" w:rsidRDefault="00E01F3E" w:rsidP="00A71BCD">
      <w:pPr>
        <w:spacing w:line="360" w:lineRule="auto"/>
        <w:rPr>
          <w:rFonts w:cstheme="minorHAnsi"/>
        </w:rPr>
      </w:pPr>
    </w:p>
    <w:p w14:paraId="4A0712C1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 xml:space="preserve">The key search terms used were:  </w:t>
      </w:r>
    </w:p>
    <w:p w14:paraId="4A0712C2" w14:textId="77777777" w:rsidR="00E01F3E" w:rsidRPr="00A71BCD" w:rsidRDefault="00E01F3E" w:rsidP="00A71BCD">
      <w:pPr>
        <w:spacing w:line="360" w:lineRule="auto"/>
        <w:ind w:left="720" w:hanging="720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>“fish” to identify fish and chip shops.  Note: Fish</w:t>
      </w:r>
      <w:r>
        <w:rPr>
          <w:rFonts w:cstheme="minorHAnsi"/>
        </w:rPr>
        <w:t>eries and place names with fish</w:t>
      </w:r>
      <w:r w:rsidRPr="00A71BCD">
        <w:rPr>
          <w:rFonts w:cstheme="minorHAnsi"/>
        </w:rPr>
        <w:t xml:space="preserve"> e.g. Fishguard were excluded.</w:t>
      </w:r>
    </w:p>
    <w:p w14:paraId="4A0712C3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>“India” and “Tand</w:t>
      </w:r>
      <w:r w:rsidRPr="00A71BCD">
        <w:rPr>
          <w:rFonts w:cstheme="minorHAnsi"/>
        </w:rPr>
        <w:t xml:space="preserve">” to identify Indian restaurants which often also sell food to take away. </w:t>
      </w:r>
    </w:p>
    <w:p w14:paraId="4A0712C4" w14:textId="77777777" w:rsidR="00E01F3E" w:rsidRPr="00A71BCD" w:rsidRDefault="00E01F3E" w:rsidP="00A71BCD">
      <w:pPr>
        <w:spacing w:line="360" w:lineRule="auto"/>
        <w:ind w:left="720" w:hanging="720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 xml:space="preserve">“chin” to identify Chinese restaurants which often also sell food to take away. Tea Rooms which referred to </w:t>
      </w:r>
      <w:proofErr w:type="spellStart"/>
      <w:r w:rsidRPr="00A71BCD">
        <w:rPr>
          <w:rFonts w:cstheme="minorHAnsi"/>
        </w:rPr>
        <w:t>china</w:t>
      </w:r>
      <w:proofErr w:type="spellEnd"/>
      <w:r w:rsidRPr="00A71BCD">
        <w:rPr>
          <w:rFonts w:cstheme="minorHAnsi"/>
        </w:rPr>
        <w:t xml:space="preserve"> in the title were excluded.</w:t>
      </w:r>
    </w:p>
    <w:p w14:paraId="4A0712C5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>"pizza" to identify pizza restaurants which often also sell food to take away.</w:t>
      </w:r>
    </w:p>
    <w:p w14:paraId="4A0712C6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 xml:space="preserve">"burger" </w:t>
      </w:r>
    </w:p>
    <w:p w14:paraId="4A0712C7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 xml:space="preserve">"chicken" </w:t>
      </w:r>
    </w:p>
    <w:p w14:paraId="4A0712C8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 xml:space="preserve">"kebab" </w:t>
      </w:r>
    </w:p>
    <w:p w14:paraId="4A0712C9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 xml:space="preserve">In </w:t>
      </w:r>
      <w:proofErr w:type="gramStart"/>
      <w:r w:rsidRPr="00A71BCD">
        <w:rPr>
          <w:rFonts w:cstheme="minorHAnsi"/>
        </w:rPr>
        <w:t>addition</w:t>
      </w:r>
      <w:proofErr w:type="gramEnd"/>
      <w:r w:rsidRPr="00A71BCD">
        <w:rPr>
          <w:rFonts w:cstheme="minorHAnsi"/>
        </w:rPr>
        <w:t xml:space="preserve"> well some known chains which were classified as sandwich and takeaways by certain local authorities and restaurants by other local authorities but sell food to </w:t>
      </w:r>
      <w:r w:rsidRPr="00A71BCD">
        <w:rPr>
          <w:rFonts w:cstheme="minorHAnsi"/>
        </w:rPr>
        <w:t>take away were searched for to rectify any misclassification.  This included burger, chicken and sandwich shops.  The terms used were</w:t>
      </w:r>
    </w:p>
    <w:p w14:paraId="4A0712CA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 xml:space="preserve">"Dona" to identify </w:t>
      </w:r>
      <w:r>
        <w:rPr>
          <w:rFonts w:cstheme="minorHAnsi"/>
        </w:rPr>
        <w:t>McDonalds (and account for mis</w:t>
      </w:r>
      <w:r w:rsidRPr="00A71BCD">
        <w:rPr>
          <w:rFonts w:cstheme="minorHAnsi"/>
        </w:rPr>
        <w:t>spelling)</w:t>
      </w:r>
    </w:p>
    <w:p w14:paraId="4A0712CB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>“Wimpy”</w:t>
      </w:r>
    </w:p>
    <w:p w14:paraId="4A0712CC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 xml:space="preserve">"KFC" </w:t>
      </w:r>
    </w:p>
    <w:p w14:paraId="4A0712CD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>“Greggs”</w:t>
      </w:r>
    </w:p>
    <w:p w14:paraId="4A0712CE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>"Subway"</w:t>
      </w:r>
    </w:p>
    <w:p w14:paraId="4A0712CF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lastRenderedPageBreak/>
        <w:tab/>
      </w:r>
    </w:p>
    <w:p w14:paraId="4A0712D0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 xml:space="preserve">Once the number of outlets had been counted, this total was divided by the latest mid-year estimates of population for each local authority as produced by the </w:t>
      </w:r>
      <w:r>
        <w:rPr>
          <w:rFonts w:cstheme="minorHAnsi"/>
        </w:rPr>
        <w:t>Office of National Statistics</w:t>
      </w:r>
      <w:r w:rsidRPr="00A71BCD">
        <w:rPr>
          <w:rFonts w:cstheme="minorHAnsi"/>
        </w:rPr>
        <w:t xml:space="preserve"> (2017 data) and then a figure per 100,000 population was produced.</w:t>
      </w:r>
    </w:p>
    <w:p w14:paraId="4A0712D1" w14:textId="77777777" w:rsidR="00E01F3E" w:rsidRPr="00A71BCD" w:rsidRDefault="00E01F3E" w:rsidP="00A71BCD">
      <w:pPr>
        <w:spacing w:line="360" w:lineRule="auto"/>
        <w:rPr>
          <w:rFonts w:cstheme="minorHAnsi"/>
        </w:rPr>
      </w:pPr>
    </w:p>
    <w:p w14:paraId="4A0712D2" w14:textId="77777777" w:rsidR="00E01F3E" w:rsidRDefault="00E01F3E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A0712D3" w14:textId="77777777" w:rsidR="00E01F3E" w:rsidRPr="00200F6B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lastRenderedPageBreak/>
        <w:t>3</w:t>
      </w:r>
      <w:r w:rsidRPr="00200F6B">
        <w:rPr>
          <w:rFonts w:cstheme="minorHAnsi"/>
          <w:b/>
          <w:sz w:val="28"/>
          <w:szCs w:val="28"/>
        </w:rPr>
        <w:t xml:space="preserve">.0 </w:t>
      </w:r>
      <w:r w:rsidRPr="00200F6B">
        <w:rPr>
          <w:rFonts w:cstheme="minorHAnsi"/>
          <w:b/>
          <w:sz w:val="28"/>
          <w:szCs w:val="28"/>
        </w:rPr>
        <w:t>Results</w:t>
      </w:r>
    </w:p>
    <w:p w14:paraId="4A0712D4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 xml:space="preserve">Table </w:t>
      </w:r>
      <w:r>
        <w:rPr>
          <w:rFonts w:cstheme="minorHAnsi"/>
        </w:rPr>
        <w:t>2</w:t>
      </w:r>
      <w:r w:rsidRPr="00A71BCD">
        <w:rPr>
          <w:rFonts w:cstheme="minorHAnsi"/>
        </w:rPr>
        <w:t xml:space="preserve"> shows the </w:t>
      </w:r>
      <w:r w:rsidRPr="00A71BCD">
        <w:rPr>
          <w:rFonts w:cstheme="minorHAnsi"/>
        </w:rPr>
        <w:t xml:space="preserve">number of </w:t>
      </w:r>
      <w:proofErr w:type="gramStart"/>
      <w:r w:rsidRPr="00A71BCD">
        <w:rPr>
          <w:rFonts w:cstheme="minorHAnsi"/>
        </w:rPr>
        <w:t>fast food</w:t>
      </w:r>
      <w:proofErr w:type="gramEnd"/>
      <w:r w:rsidRPr="00A71BCD">
        <w:rPr>
          <w:rFonts w:cstheme="minorHAnsi"/>
        </w:rPr>
        <w:t xml:space="preserve"> outlets per 100,000 population</w:t>
      </w:r>
      <w:r w:rsidRPr="00A71BCD">
        <w:rPr>
          <w:rFonts w:cstheme="minorHAnsi"/>
        </w:rPr>
        <w:t xml:space="preserve"> by local authority area </w:t>
      </w:r>
      <w:r w:rsidRPr="00A71BCD">
        <w:rPr>
          <w:rFonts w:cstheme="minorHAnsi"/>
        </w:rPr>
        <w:t>to two decimal places</w:t>
      </w:r>
      <w:r w:rsidRPr="00A71BCD">
        <w:rPr>
          <w:rFonts w:cstheme="minorHAnsi"/>
        </w:rPr>
        <w:t xml:space="preserve">. </w:t>
      </w:r>
      <w:r w:rsidRPr="00A71BCD">
        <w:rPr>
          <w:rFonts w:cstheme="minorHAnsi"/>
        </w:rPr>
        <w:t xml:space="preserve">The mean for Wales is 100.65 fast food outlets per 100,000 population.  With the highest </w:t>
      </w:r>
      <w:r w:rsidRPr="00A71BCD">
        <w:rPr>
          <w:rFonts w:cstheme="minorHAnsi"/>
        </w:rPr>
        <w:t>value</w:t>
      </w:r>
      <w:r w:rsidRPr="00A71BCD">
        <w:rPr>
          <w:rFonts w:cstheme="minorHAnsi"/>
        </w:rPr>
        <w:t xml:space="preserve"> found</w:t>
      </w:r>
      <w:r w:rsidRPr="00A71BCD">
        <w:rPr>
          <w:rFonts w:cstheme="minorHAnsi"/>
        </w:rPr>
        <w:t xml:space="preserve"> in Conwy at 132.58 fast food outlets per 10</w:t>
      </w:r>
      <w:r w:rsidRPr="00A71BCD">
        <w:rPr>
          <w:rFonts w:cstheme="minorHAnsi"/>
        </w:rPr>
        <w:t xml:space="preserve">0,000 population and the lowest in Monmouthshire at 73.72 per 100,000 population.  </w:t>
      </w:r>
    </w:p>
    <w:p w14:paraId="4A0712D5" w14:textId="77777777" w:rsidR="00E01F3E" w:rsidRPr="00A71BCD" w:rsidRDefault="00E01F3E" w:rsidP="00A71BCD">
      <w:pPr>
        <w:spacing w:line="360" w:lineRule="auto"/>
        <w:rPr>
          <w:rFonts w:cstheme="minorHAnsi"/>
        </w:rPr>
      </w:pPr>
    </w:p>
    <w:p w14:paraId="4A0712D6" w14:textId="77777777" w:rsidR="00E01F3E" w:rsidRPr="00A71BCD" w:rsidRDefault="00E01F3E" w:rsidP="00A71BCD">
      <w:pPr>
        <w:spacing w:line="360" w:lineRule="auto"/>
        <w:rPr>
          <w:rFonts w:cstheme="minorHAnsi"/>
          <w:b/>
        </w:rPr>
      </w:pPr>
      <w:r w:rsidRPr="00A71BCD">
        <w:rPr>
          <w:rFonts w:cstheme="minorHAnsi"/>
          <w:b/>
        </w:rPr>
        <w:t xml:space="preserve">Table </w:t>
      </w:r>
      <w:r>
        <w:rPr>
          <w:rFonts w:cstheme="minorHAnsi"/>
          <w:b/>
        </w:rPr>
        <w:t>2</w:t>
      </w:r>
      <w:r w:rsidRPr="00A71BCD">
        <w:rPr>
          <w:rFonts w:cstheme="minorHAnsi"/>
          <w:b/>
        </w:rPr>
        <w:t>: Fast Food Outlets per 100,000 Population by Local Authority for Wales, November 2018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4961"/>
      </w:tblGrid>
      <w:tr w:rsidR="00E9044E" w:rsidRPr="00E9044E" w14:paraId="4A0712D9" w14:textId="77777777" w:rsidTr="003755C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4A0712D7" w14:textId="77777777" w:rsidR="00E01F3E" w:rsidRPr="00E9044E" w:rsidRDefault="00E01F3E" w:rsidP="00396F1F">
            <w:pPr>
              <w:spacing w:line="360" w:lineRule="auto"/>
              <w:rPr>
                <w:rFonts w:cstheme="minorHAnsi"/>
                <w:b/>
                <w:bCs/>
              </w:rPr>
            </w:pPr>
            <w:r w:rsidRPr="00E9044E">
              <w:rPr>
                <w:rFonts w:cstheme="minorHAnsi"/>
                <w:b/>
                <w:bCs/>
              </w:rPr>
              <w:t xml:space="preserve">Local Authority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4A0712D8" w14:textId="77777777" w:rsidR="00E01F3E" w:rsidRPr="00E9044E" w:rsidRDefault="00E01F3E" w:rsidP="00E9044E">
            <w:pPr>
              <w:spacing w:line="360" w:lineRule="auto"/>
              <w:rPr>
                <w:rFonts w:cstheme="minorHAnsi"/>
                <w:b/>
                <w:bCs/>
              </w:rPr>
            </w:pPr>
            <w:r w:rsidRPr="00E9044E">
              <w:rPr>
                <w:rFonts w:cstheme="minorHAnsi"/>
                <w:b/>
                <w:bCs/>
              </w:rPr>
              <w:t xml:space="preserve">Fast food outlets per 100 000 head of population </w:t>
            </w:r>
          </w:p>
        </w:tc>
      </w:tr>
      <w:tr w:rsidR="00E9044E" w:rsidRPr="00E9044E" w14:paraId="4A0712DC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tcBorders>
              <w:top w:val="single" w:sz="4" w:space="0" w:color="auto"/>
            </w:tcBorders>
            <w:noWrap/>
            <w:hideMark/>
          </w:tcPr>
          <w:p w14:paraId="4A0712DA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Blaenau Gwent 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noWrap/>
            <w:hideMark/>
          </w:tcPr>
          <w:p w14:paraId="4A0712DB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125.00</w:t>
            </w:r>
          </w:p>
        </w:tc>
      </w:tr>
      <w:tr w:rsidR="00E9044E" w:rsidRPr="00E9044E" w14:paraId="4A0712DF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2DD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Bridgend </w:t>
            </w:r>
          </w:p>
        </w:tc>
        <w:tc>
          <w:tcPr>
            <w:tcW w:w="4961" w:type="dxa"/>
            <w:noWrap/>
            <w:hideMark/>
          </w:tcPr>
          <w:p w14:paraId="4A0712DE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108.80</w:t>
            </w:r>
          </w:p>
        </w:tc>
      </w:tr>
      <w:tr w:rsidR="00E9044E" w:rsidRPr="00E9044E" w14:paraId="4A0712E2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2E0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Caerphilly </w:t>
            </w:r>
          </w:p>
        </w:tc>
        <w:tc>
          <w:tcPr>
            <w:tcW w:w="4961" w:type="dxa"/>
            <w:noWrap/>
            <w:hideMark/>
          </w:tcPr>
          <w:p w14:paraId="4A0712E1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99.00</w:t>
            </w:r>
          </w:p>
        </w:tc>
      </w:tr>
      <w:tr w:rsidR="00E9044E" w:rsidRPr="00E9044E" w14:paraId="4A0712E5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2E3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Cardiff </w:t>
            </w:r>
          </w:p>
        </w:tc>
        <w:tc>
          <w:tcPr>
            <w:tcW w:w="4961" w:type="dxa"/>
            <w:noWrap/>
            <w:hideMark/>
          </w:tcPr>
          <w:p w14:paraId="4A0712E4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93.99</w:t>
            </w:r>
          </w:p>
        </w:tc>
      </w:tr>
      <w:tr w:rsidR="00E9044E" w:rsidRPr="00E9044E" w14:paraId="4A0712E8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2E6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Carmarthenshire </w:t>
            </w:r>
          </w:p>
        </w:tc>
        <w:tc>
          <w:tcPr>
            <w:tcW w:w="4961" w:type="dxa"/>
            <w:noWrap/>
            <w:hideMark/>
          </w:tcPr>
          <w:p w14:paraId="4A0712E7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89.01</w:t>
            </w:r>
          </w:p>
        </w:tc>
      </w:tr>
      <w:tr w:rsidR="00E9044E" w:rsidRPr="00E9044E" w14:paraId="4A0712EB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2E9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Ceredigion </w:t>
            </w:r>
          </w:p>
        </w:tc>
        <w:tc>
          <w:tcPr>
            <w:tcW w:w="4961" w:type="dxa"/>
            <w:noWrap/>
            <w:hideMark/>
          </w:tcPr>
          <w:p w14:paraId="4A0712EA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99.86</w:t>
            </w:r>
          </w:p>
        </w:tc>
      </w:tr>
      <w:tr w:rsidR="00E9044E" w:rsidRPr="00E9044E" w14:paraId="4A0712EE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2EC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Conwy </w:t>
            </w:r>
          </w:p>
        </w:tc>
        <w:tc>
          <w:tcPr>
            <w:tcW w:w="4961" w:type="dxa"/>
            <w:noWrap/>
            <w:hideMark/>
          </w:tcPr>
          <w:p w14:paraId="4A0712ED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132.59</w:t>
            </w:r>
          </w:p>
        </w:tc>
      </w:tr>
      <w:tr w:rsidR="00E9044E" w:rsidRPr="00E9044E" w14:paraId="4A0712F1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2EF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>Denbighshire</w:t>
            </w:r>
          </w:p>
        </w:tc>
        <w:tc>
          <w:tcPr>
            <w:tcW w:w="4961" w:type="dxa"/>
            <w:noWrap/>
            <w:hideMark/>
          </w:tcPr>
          <w:p w14:paraId="4A0712F0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107.14</w:t>
            </w:r>
          </w:p>
        </w:tc>
      </w:tr>
      <w:tr w:rsidR="00E9044E" w:rsidRPr="00E9044E" w14:paraId="4A0712F4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2F2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Flintshire </w:t>
            </w:r>
          </w:p>
        </w:tc>
        <w:tc>
          <w:tcPr>
            <w:tcW w:w="4961" w:type="dxa"/>
            <w:noWrap/>
            <w:hideMark/>
          </w:tcPr>
          <w:p w14:paraId="4A0712F3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99.23</w:t>
            </w:r>
          </w:p>
        </w:tc>
      </w:tr>
      <w:tr w:rsidR="00E9044E" w:rsidRPr="00E9044E" w14:paraId="4A0712F7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2F5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Gwynedd </w:t>
            </w:r>
          </w:p>
        </w:tc>
        <w:tc>
          <w:tcPr>
            <w:tcW w:w="4961" w:type="dxa"/>
            <w:noWrap/>
            <w:hideMark/>
          </w:tcPr>
          <w:p w14:paraId="4A0712F6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132.58</w:t>
            </w:r>
          </w:p>
        </w:tc>
      </w:tr>
      <w:tr w:rsidR="00E9044E" w:rsidRPr="00E9044E" w14:paraId="4A0712FA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2F8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Isle of Anglesey </w:t>
            </w:r>
          </w:p>
        </w:tc>
        <w:tc>
          <w:tcPr>
            <w:tcW w:w="4961" w:type="dxa"/>
            <w:noWrap/>
            <w:hideMark/>
          </w:tcPr>
          <w:p w14:paraId="4A0712F9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107.45</w:t>
            </w:r>
          </w:p>
        </w:tc>
      </w:tr>
      <w:tr w:rsidR="00E9044E" w:rsidRPr="00E9044E" w14:paraId="4A0712FD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2FB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Merthyr Tydfil </w:t>
            </w:r>
          </w:p>
        </w:tc>
        <w:tc>
          <w:tcPr>
            <w:tcW w:w="4961" w:type="dxa"/>
            <w:noWrap/>
            <w:hideMark/>
          </w:tcPr>
          <w:p w14:paraId="4A0712FC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118.33</w:t>
            </w:r>
          </w:p>
        </w:tc>
      </w:tr>
      <w:tr w:rsidR="00E9044E" w:rsidRPr="00E9044E" w14:paraId="4A071300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2FE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Monmouthshire </w:t>
            </w:r>
          </w:p>
        </w:tc>
        <w:tc>
          <w:tcPr>
            <w:tcW w:w="4961" w:type="dxa"/>
            <w:noWrap/>
            <w:hideMark/>
          </w:tcPr>
          <w:p w14:paraId="4A0712FF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73.72</w:t>
            </w:r>
          </w:p>
        </w:tc>
      </w:tr>
      <w:tr w:rsidR="00E9044E" w:rsidRPr="00E9044E" w14:paraId="4A071303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301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Neath Port Talbot </w:t>
            </w:r>
          </w:p>
        </w:tc>
        <w:tc>
          <w:tcPr>
            <w:tcW w:w="4961" w:type="dxa"/>
            <w:noWrap/>
            <w:hideMark/>
          </w:tcPr>
          <w:p w14:paraId="4A071302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104.86</w:t>
            </w:r>
          </w:p>
        </w:tc>
      </w:tr>
      <w:tr w:rsidR="00E9044E" w:rsidRPr="00E9044E" w14:paraId="4A071306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304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lastRenderedPageBreak/>
              <w:t xml:space="preserve">Newport </w:t>
            </w:r>
          </w:p>
        </w:tc>
        <w:tc>
          <w:tcPr>
            <w:tcW w:w="4961" w:type="dxa"/>
            <w:noWrap/>
            <w:hideMark/>
          </w:tcPr>
          <w:p w14:paraId="4A071305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89.77</w:t>
            </w:r>
          </w:p>
        </w:tc>
      </w:tr>
      <w:tr w:rsidR="00E9044E" w:rsidRPr="00E9044E" w14:paraId="4A071309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307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Pembrokeshire </w:t>
            </w:r>
          </w:p>
        </w:tc>
        <w:tc>
          <w:tcPr>
            <w:tcW w:w="4961" w:type="dxa"/>
            <w:noWrap/>
            <w:hideMark/>
          </w:tcPr>
          <w:p w14:paraId="4A071308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76.98</w:t>
            </w:r>
          </w:p>
        </w:tc>
      </w:tr>
      <w:tr w:rsidR="00E9044E" w:rsidRPr="00E9044E" w14:paraId="4A07130C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30A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Powys </w:t>
            </w:r>
          </w:p>
        </w:tc>
        <w:tc>
          <w:tcPr>
            <w:tcW w:w="4961" w:type="dxa"/>
            <w:noWrap/>
            <w:hideMark/>
          </w:tcPr>
          <w:p w14:paraId="4A07130B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80.00</w:t>
            </w:r>
          </w:p>
        </w:tc>
      </w:tr>
      <w:tr w:rsidR="00E9044E" w:rsidRPr="00E9044E" w14:paraId="4A07130F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30D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Rhondda Cynon Taf </w:t>
            </w:r>
          </w:p>
        </w:tc>
        <w:tc>
          <w:tcPr>
            <w:tcW w:w="4961" w:type="dxa"/>
            <w:noWrap/>
            <w:hideMark/>
          </w:tcPr>
          <w:p w14:paraId="4A07130E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107.49</w:t>
            </w:r>
          </w:p>
        </w:tc>
      </w:tr>
      <w:tr w:rsidR="00E9044E" w:rsidRPr="00E9044E" w14:paraId="4A071312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310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Swansea </w:t>
            </w:r>
          </w:p>
        </w:tc>
        <w:tc>
          <w:tcPr>
            <w:tcW w:w="4961" w:type="dxa"/>
            <w:noWrap/>
            <w:hideMark/>
          </w:tcPr>
          <w:p w14:paraId="4A071311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101.83</w:t>
            </w:r>
          </w:p>
        </w:tc>
      </w:tr>
      <w:tr w:rsidR="00E9044E" w:rsidRPr="00E9044E" w14:paraId="4A071315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313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Torfaen </w:t>
            </w:r>
          </w:p>
        </w:tc>
        <w:tc>
          <w:tcPr>
            <w:tcW w:w="4961" w:type="dxa"/>
            <w:noWrap/>
            <w:hideMark/>
          </w:tcPr>
          <w:p w14:paraId="4A071314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97.51</w:t>
            </w:r>
          </w:p>
        </w:tc>
      </w:tr>
      <w:tr w:rsidR="00E9044E" w:rsidRPr="00E9044E" w14:paraId="4A071318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316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Vale of Glamorgan </w:t>
            </w:r>
          </w:p>
        </w:tc>
        <w:tc>
          <w:tcPr>
            <w:tcW w:w="4961" w:type="dxa"/>
            <w:noWrap/>
            <w:hideMark/>
          </w:tcPr>
          <w:p w14:paraId="4A071317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88.75</w:t>
            </w:r>
          </w:p>
        </w:tc>
      </w:tr>
      <w:tr w:rsidR="00E9044E" w:rsidRPr="00E9044E" w14:paraId="4A07131B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noWrap/>
            <w:hideMark/>
          </w:tcPr>
          <w:p w14:paraId="4A071319" w14:textId="77777777" w:rsidR="00E01F3E" w:rsidRPr="00396F1F" w:rsidRDefault="00E01F3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Wrexham </w:t>
            </w:r>
          </w:p>
        </w:tc>
        <w:tc>
          <w:tcPr>
            <w:tcW w:w="4961" w:type="dxa"/>
            <w:noWrap/>
            <w:hideMark/>
          </w:tcPr>
          <w:p w14:paraId="4A07131A" w14:textId="77777777" w:rsidR="00E01F3E" w:rsidRPr="00396F1F" w:rsidRDefault="00E01F3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80.38</w:t>
            </w:r>
          </w:p>
        </w:tc>
      </w:tr>
      <w:tr w:rsidR="00E9044E" w:rsidRPr="00E9044E" w14:paraId="4A07131E" w14:textId="77777777" w:rsidTr="00396F1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114" w:type="dxa"/>
            <w:tcBorders>
              <w:bottom w:val="single" w:sz="4" w:space="0" w:color="auto"/>
            </w:tcBorders>
            <w:noWrap/>
            <w:hideMark/>
          </w:tcPr>
          <w:p w14:paraId="4A07131C" w14:textId="77777777" w:rsidR="00E01F3E" w:rsidRPr="00E9044E" w:rsidRDefault="00E01F3E" w:rsidP="00E9044E">
            <w:pPr>
              <w:spacing w:line="360" w:lineRule="auto"/>
              <w:rPr>
                <w:rFonts w:cstheme="minorHAnsi"/>
                <w:b/>
                <w:bCs/>
              </w:rPr>
            </w:pPr>
            <w:r w:rsidRPr="00E9044E">
              <w:rPr>
                <w:rFonts w:cstheme="minorHAnsi"/>
                <w:b/>
                <w:bCs/>
              </w:rPr>
              <w:t>Wales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noWrap/>
            <w:hideMark/>
          </w:tcPr>
          <w:p w14:paraId="4A07131D" w14:textId="77777777" w:rsidR="00E01F3E" w:rsidRPr="00E9044E" w:rsidRDefault="00E01F3E" w:rsidP="00396F1F">
            <w:pPr>
              <w:spacing w:line="360" w:lineRule="auto"/>
              <w:jc w:val="right"/>
              <w:rPr>
                <w:rFonts w:cstheme="minorHAnsi"/>
                <w:b/>
                <w:bCs/>
              </w:rPr>
            </w:pPr>
            <w:r w:rsidRPr="00E9044E">
              <w:rPr>
                <w:rFonts w:cstheme="minorHAnsi"/>
                <w:b/>
                <w:bCs/>
              </w:rPr>
              <w:t>100.65</w:t>
            </w:r>
          </w:p>
        </w:tc>
      </w:tr>
    </w:tbl>
    <w:p w14:paraId="4A07131F" w14:textId="77777777" w:rsidR="00E01F3E" w:rsidRPr="00396F1F" w:rsidRDefault="00E01F3E" w:rsidP="00A71BCD">
      <w:pPr>
        <w:spacing w:line="360" w:lineRule="auto"/>
        <w:rPr>
          <w:rFonts w:cstheme="minorHAnsi"/>
          <w:sz w:val="18"/>
          <w:szCs w:val="18"/>
        </w:rPr>
      </w:pPr>
      <w:r w:rsidRPr="00396F1F">
        <w:rPr>
          <w:rFonts w:cstheme="minorHAnsi"/>
          <w:sz w:val="18"/>
          <w:szCs w:val="18"/>
        </w:rPr>
        <w:t>Calculated using Food Standards Agency Food Hygiene Ratings from November 2018 and the Office of National Statistics Mid-</w:t>
      </w:r>
      <w:proofErr w:type="gramStart"/>
      <w:r w:rsidRPr="00396F1F">
        <w:rPr>
          <w:rFonts w:cstheme="minorHAnsi"/>
          <w:sz w:val="18"/>
          <w:szCs w:val="18"/>
        </w:rPr>
        <w:t>year</w:t>
      </w:r>
      <w:proofErr w:type="gramEnd"/>
      <w:r w:rsidRPr="00396F1F">
        <w:rPr>
          <w:rFonts w:cstheme="minorHAnsi"/>
          <w:sz w:val="18"/>
          <w:szCs w:val="18"/>
        </w:rPr>
        <w:t xml:space="preserve"> </w:t>
      </w:r>
      <w:r w:rsidRPr="00396F1F">
        <w:rPr>
          <w:rFonts w:cstheme="minorHAnsi"/>
          <w:sz w:val="18"/>
          <w:szCs w:val="18"/>
        </w:rPr>
        <w:t>Population Estimates for 2017</w:t>
      </w:r>
      <w:r w:rsidRPr="00396F1F">
        <w:rPr>
          <w:rFonts w:cstheme="minorHAnsi"/>
          <w:sz w:val="18"/>
          <w:szCs w:val="18"/>
        </w:rPr>
        <w:br w:type="page"/>
      </w:r>
    </w:p>
    <w:p w14:paraId="4A071320" w14:textId="77777777" w:rsidR="00E01F3E" w:rsidRPr="006C7585" w:rsidRDefault="00E01F3E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>This data is presented in Figure 1 as a map of Wales, using five categories.  The darker the shading</w:t>
      </w:r>
      <w:r>
        <w:rPr>
          <w:rFonts w:cstheme="minorHAnsi"/>
        </w:rPr>
        <w:t>,</w:t>
      </w:r>
      <w:r>
        <w:rPr>
          <w:rFonts w:cstheme="minorHAnsi"/>
        </w:rPr>
        <w:t xml:space="preserve"> the greater the density of </w:t>
      </w:r>
      <w:proofErr w:type="gramStart"/>
      <w:r>
        <w:rPr>
          <w:rFonts w:cstheme="minorHAnsi"/>
        </w:rPr>
        <w:t>fast food</w:t>
      </w:r>
      <w:proofErr w:type="gramEnd"/>
      <w:r>
        <w:rPr>
          <w:rFonts w:cstheme="minorHAnsi"/>
        </w:rPr>
        <w:t xml:space="preserve"> outlet per 100,000 population in that Local Authority area.</w:t>
      </w:r>
    </w:p>
    <w:p w14:paraId="4A071321" w14:textId="77777777" w:rsidR="00E01F3E" w:rsidRDefault="00E01F3E" w:rsidP="00A71BCD">
      <w:pPr>
        <w:spacing w:line="360" w:lineRule="auto"/>
        <w:rPr>
          <w:rFonts w:cstheme="minorHAnsi"/>
          <w:b/>
        </w:rPr>
      </w:pPr>
    </w:p>
    <w:p w14:paraId="4A071322" w14:textId="77777777" w:rsidR="00E01F3E" w:rsidRPr="00A71BCD" w:rsidRDefault="00E01F3E" w:rsidP="00A71BCD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Figure 1: </w:t>
      </w:r>
      <w:r w:rsidRPr="00A71BCD">
        <w:rPr>
          <w:rFonts w:cstheme="minorHAnsi"/>
          <w:b/>
        </w:rPr>
        <w:t xml:space="preserve">Map of </w:t>
      </w:r>
      <w:proofErr w:type="gramStart"/>
      <w:r w:rsidRPr="00A71BCD">
        <w:rPr>
          <w:rFonts w:cstheme="minorHAnsi"/>
          <w:b/>
        </w:rPr>
        <w:t>Fast Food</w:t>
      </w:r>
      <w:proofErr w:type="gramEnd"/>
      <w:r w:rsidRPr="00A71BCD">
        <w:rPr>
          <w:rFonts w:cstheme="minorHAnsi"/>
          <w:b/>
        </w:rPr>
        <w:t xml:space="preserve"> Density </w:t>
      </w:r>
      <w:r w:rsidRPr="00A71BCD">
        <w:rPr>
          <w:rFonts w:cstheme="minorHAnsi"/>
          <w:b/>
        </w:rPr>
        <w:t>for Wales</w:t>
      </w:r>
      <w:r>
        <w:rPr>
          <w:rFonts w:cstheme="minorHAnsi"/>
          <w:b/>
        </w:rPr>
        <w:t xml:space="preserve"> by Local Authority Area </w:t>
      </w:r>
    </w:p>
    <w:p w14:paraId="4A071323" w14:textId="77777777" w:rsidR="00E01F3E" w:rsidRPr="00A71BCD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  <w:noProof/>
        </w:rPr>
        <w:drawing>
          <wp:inline distT="0" distB="0" distL="0" distR="0" wp14:anchorId="4A071332" wp14:editId="4A071333">
            <wp:extent cx="5276137" cy="6384743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130" cy="6396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71324" w14:textId="77777777" w:rsidR="00E01F3E" w:rsidRDefault="00E01F3E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ab/>
      </w:r>
    </w:p>
    <w:p w14:paraId="4A071325" w14:textId="77777777" w:rsidR="00E01F3E" w:rsidRDefault="00E01F3E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14:paraId="4A071326" w14:textId="77777777" w:rsidR="00E01F3E" w:rsidRPr="00200F6B" w:rsidRDefault="00E01F3E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lastRenderedPageBreak/>
        <w:t>4</w:t>
      </w:r>
      <w:r w:rsidRPr="00200F6B">
        <w:rPr>
          <w:rFonts w:cstheme="minorHAnsi"/>
          <w:b/>
          <w:sz w:val="28"/>
          <w:szCs w:val="28"/>
        </w:rPr>
        <w:t xml:space="preserve">.0 </w:t>
      </w:r>
      <w:r w:rsidRPr="00200F6B">
        <w:rPr>
          <w:rFonts w:cstheme="minorHAnsi"/>
          <w:b/>
          <w:sz w:val="28"/>
          <w:szCs w:val="28"/>
        </w:rPr>
        <w:t>Discussion</w:t>
      </w:r>
    </w:p>
    <w:p w14:paraId="4A071327" w14:textId="77777777" w:rsidR="00E01F3E" w:rsidRPr="00A71BCD" w:rsidRDefault="00E01F3E" w:rsidP="00F71219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 xml:space="preserve">This is </w:t>
      </w:r>
      <w:r>
        <w:rPr>
          <w:rFonts w:cstheme="minorHAnsi"/>
        </w:rPr>
        <w:t xml:space="preserve">the first time that fast food density has been calculated for Wales, and this provides a different insight into existing data which may have an impact on the health of the </w:t>
      </w:r>
      <w:r>
        <w:rPr>
          <w:rFonts w:cstheme="minorHAnsi"/>
        </w:rPr>
        <w:t>population of Wales.</w:t>
      </w:r>
      <w:r w:rsidRPr="004954AE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71BCD">
        <w:rPr>
          <w:rFonts w:cstheme="minorHAnsi"/>
        </w:rPr>
        <w:t>The major limitation of the use of this dataset is the fact that the data is updated by each local authority regularly and is therefore continuously changing.</w:t>
      </w:r>
    </w:p>
    <w:p w14:paraId="4A071328" w14:textId="77777777" w:rsidR="00E01F3E" w:rsidRDefault="00E01F3E" w:rsidP="00E14224">
      <w:pPr>
        <w:spacing w:line="360" w:lineRule="auto"/>
        <w:rPr>
          <w:rFonts w:cstheme="minorHAnsi"/>
        </w:rPr>
      </w:pPr>
    </w:p>
    <w:p w14:paraId="4A071329" w14:textId="77777777" w:rsidR="00E01F3E" w:rsidRDefault="00E01F3E" w:rsidP="00E14224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The methodology used was different from that used by Public Health England and as such data is not </w:t>
      </w:r>
      <w:r>
        <w:rPr>
          <w:rFonts w:cstheme="minorHAnsi"/>
        </w:rPr>
        <w:t xml:space="preserve">directly </w:t>
      </w:r>
      <w:r>
        <w:rPr>
          <w:rFonts w:cstheme="minorHAnsi"/>
        </w:rPr>
        <w:t xml:space="preserve">comparable.  Public Health England </w:t>
      </w:r>
      <w:proofErr w:type="gramStart"/>
      <w:r>
        <w:rPr>
          <w:rFonts w:cstheme="minorHAnsi"/>
        </w:rPr>
        <w:t>were not able to</w:t>
      </w:r>
      <w:proofErr w:type="gramEnd"/>
      <w:r>
        <w:rPr>
          <w:rFonts w:cstheme="minorHAnsi"/>
        </w:rPr>
        <w:t xml:space="preserve"> disclose their full methodology </w:t>
      </w:r>
      <w:r>
        <w:rPr>
          <w:rFonts w:cstheme="minorHAnsi"/>
        </w:rPr>
        <w:t>i.e</w:t>
      </w:r>
      <w:r>
        <w:rPr>
          <w:rFonts w:cstheme="minorHAnsi"/>
        </w:rPr>
        <w:t>.</w:t>
      </w:r>
      <w:r>
        <w:rPr>
          <w:rFonts w:cstheme="minorHAnsi"/>
        </w:rPr>
        <w:t xml:space="preserve"> the names of the eight major chains </w:t>
      </w:r>
      <w:r>
        <w:rPr>
          <w:rFonts w:cstheme="minorHAnsi"/>
        </w:rPr>
        <w:t>used in their searches</w:t>
      </w:r>
      <w:r>
        <w:rPr>
          <w:rFonts w:cstheme="minorHAnsi"/>
        </w:rPr>
        <w:t xml:space="preserve"> </w:t>
      </w:r>
      <w:r>
        <w:rPr>
          <w:rFonts w:cstheme="minorHAnsi"/>
        </w:rPr>
        <w:t>and a pragmatic decision was</w:t>
      </w:r>
      <w:r>
        <w:rPr>
          <w:rFonts w:cstheme="minorHAnsi"/>
        </w:rPr>
        <w:t xml:space="preserve"> therefore</w:t>
      </w:r>
      <w:r>
        <w:rPr>
          <w:rFonts w:cstheme="minorHAnsi"/>
        </w:rPr>
        <w:t xml:space="preserve"> taken to develop the methodology in Wales </w:t>
      </w:r>
      <w:r>
        <w:rPr>
          <w:rFonts w:cstheme="minorHAnsi"/>
        </w:rPr>
        <w:t>independently</w:t>
      </w:r>
      <w:r>
        <w:rPr>
          <w:rFonts w:cstheme="minorHAnsi"/>
        </w:rPr>
        <w:t xml:space="preserve">.  The methodology used </w:t>
      </w:r>
      <w:r>
        <w:rPr>
          <w:rFonts w:cstheme="minorHAnsi"/>
        </w:rPr>
        <w:t>by Public Health England included searches of categories such as mobile caterers, other catering premises, retailers-other, retailers- supermarkets and schools, colleges and universities</w:t>
      </w:r>
      <w:r>
        <w:rPr>
          <w:rFonts w:cstheme="minorHAnsi"/>
        </w:rPr>
        <w:t xml:space="preserve"> for the eight major chains</w:t>
      </w:r>
      <w:r>
        <w:rPr>
          <w:rFonts w:cstheme="minorHAnsi"/>
        </w:rPr>
        <w:t xml:space="preserve"> and using key words set</w:t>
      </w:r>
      <w:r>
        <w:rPr>
          <w:rFonts w:cstheme="minorHAnsi"/>
        </w:rPr>
        <w:t xml:space="preserve"> out </w:t>
      </w:r>
      <w:r>
        <w:rPr>
          <w:rFonts w:cstheme="minorHAnsi"/>
        </w:rPr>
        <w:t xml:space="preserve">here: </w:t>
      </w:r>
      <w:r w:rsidRPr="00C66FB8">
        <w:rPr>
          <w:rFonts w:cstheme="minorHAnsi"/>
        </w:rPr>
        <w:t>https://www.gov.uk/government/publications/fast-food-outlets-density-by-local-authority-in-england</w:t>
      </w:r>
      <w:r>
        <w:rPr>
          <w:rFonts w:cstheme="minorHAnsi"/>
        </w:rPr>
        <w:t xml:space="preserve">.  </w:t>
      </w:r>
      <w:r>
        <w:rPr>
          <w:rFonts w:cstheme="minorHAnsi"/>
        </w:rPr>
        <w:t>As the methodology in Wales only searched using the key words and major chains in the category ‘Restaurant/Café/Canteen’ i</w:t>
      </w:r>
      <w:r>
        <w:rPr>
          <w:rFonts w:cstheme="minorHAnsi"/>
        </w:rPr>
        <w:t xml:space="preserve">t is possible that </w:t>
      </w:r>
      <w:r>
        <w:rPr>
          <w:rFonts w:cstheme="minorHAnsi"/>
        </w:rPr>
        <w:t xml:space="preserve">if </w:t>
      </w:r>
      <w:r>
        <w:rPr>
          <w:rFonts w:cstheme="minorHAnsi"/>
        </w:rPr>
        <w:t xml:space="preserve">any comparison </w:t>
      </w:r>
      <w:r>
        <w:rPr>
          <w:rFonts w:cstheme="minorHAnsi"/>
        </w:rPr>
        <w:t>w</w:t>
      </w:r>
      <w:r>
        <w:rPr>
          <w:rFonts w:cstheme="minorHAnsi"/>
        </w:rPr>
        <w:t>ere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made between the countries </w:t>
      </w:r>
      <w:r>
        <w:rPr>
          <w:rFonts w:cstheme="minorHAnsi"/>
        </w:rPr>
        <w:t xml:space="preserve">this </w:t>
      </w:r>
      <w:r>
        <w:rPr>
          <w:rFonts w:cstheme="minorHAnsi"/>
        </w:rPr>
        <w:t xml:space="preserve">would underestimate the levels of </w:t>
      </w:r>
      <w:proofErr w:type="gramStart"/>
      <w:r>
        <w:rPr>
          <w:rFonts w:cstheme="minorHAnsi"/>
        </w:rPr>
        <w:t>fast food</w:t>
      </w:r>
      <w:proofErr w:type="gramEnd"/>
      <w:r>
        <w:rPr>
          <w:rFonts w:cstheme="minorHAnsi"/>
        </w:rPr>
        <w:t xml:space="preserve"> outlets in Wales </w:t>
      </w:r>
      <w:r>
        <w:rPr>
          <w:rFonts w:cstheme="minorHAnsi"/>
        </w:rPr>
        <w:t xml:space="preserve">in comparison to England </w:t>
      </w:r>
      <w:r>
        <w:rPr>
          <w:rFonts w:cstheme="minorHAnsi"/>
        </w:rPr>
        <w:t>due to this difference in methodology.</w:t>
      </w:r>
      <w:r>
        <w:rPr>
          <w:rFonts w:cstheme="minorHAnsi"/>
        </w:rPr>
        <w:t xml:space="preserve"> </w:t>
      </w:r>
    </w:p>
    <w:p w14:paraId="4A07132A" w14:textId="77777777" w:rsidR="00E01F3E" w:rsidRDefault="00E01F3E" w:rsidP="00E14224">
      <w:pPr>
        <w:spacing w:line="360" w:lineRule="auto"/>
        <w:rPr>
          <w:rFonts w:cstheme="minorHAnsi"/>
        </w:rPr>
      </w:pPr>
    </w:p>
    <w:p w14:paraId="4A07132B" w14:textId="77777777" w:rsidR="00E01F3E" w:rsidRPr="00200F6B" w:rsidRDefault="00E01F3E" w:rsidP="00E14224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t xml:space="preserve">4.1 </w:t>
      </w:r>
      <w:r w:rsidRPr="00200F6B">
        <w:rPr>
          <w:rFonts w:cstheme="minorHAnsi"/>
          <w:b/>
          <w:sz w:val="28"/>
          <w:szCs w:val="28"/>
        </w:rPr>
        <w:t>Further Research</w:t>
      </w:r>
    </w:p>
    <w:p w14:paraId="4A07132C" w14:textId="77777777" w:rsidR="00E01F3E" w:rsidRPr="00A71BCD" w:rsidRDefault="00E01F3E" w:rsidP="00B11266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The data presented represents a </w:t>
      </w:r>
      <w:proofErr w:type="gramStart"/>
      <w:r>
        <w:rPr>
          <w:rFonts w:cstheme="minorHAnsi"/>
        </w:rPr>
        <w:t>snap shot</w:t>
      </w:r>
      <w:proofErr w:type="gramEnd"/>
      <w:r>
        <w:rPr>
          <w:rFonts w:cstheme="minorHAnsi"/>
        </w:rPr>
        <w:t xml:space="preserve"> in time at November 2018.  As the data changes it will be interesting to recalculate this to assess the future </w:t>
      </w:r>
      <w:r>
        <w:rPr>
          <w:rFonts w:cstheme="minorHAnsi"/>
        </w:rPr>
        <w:t xml:space="preserve">levels and </w:t>
      </w:r>
      <w:r>
        <w:rPr>
          <w:rFonts w:cstheme="minorHAnsi"/>
        </w:rPr>
        <w:t>trends</w:t>
      </w:r>
      <w:r>
        <w:rPr>
          <w:rFonts w:cstheme="minorHAnsi"/>
        </w:rPr>
        <w:t xml:space="preserve"> over time</w:t>
      </w:r>
      <w:r>
        <w:rPr>
          <w:rFonts w:cstheme="minorHAnsi"/>
        </w:rPr>
        <w:t xml:space="preserve"> in any local authority area. It was not possible to explore if retrospective data is held by the Food Standards Agency over time, but a retrospective study of </w:t>
      </w:r>
      <w:proofErr w:type="gramStart"/>
      <w:r>
        <w:rPr>
          <w:rFonts w:cstheme="minorHAnsi"/>
        </w:rPr>
        <w:t>fast food</w:t>
      </w:r>
      <w:proofErr w:type="gramEnd"/>
      <w:r>
        <w:rPr>
          <w:rFonts w:cstheme="minorHAnsi"/>
        </w:rPr>
        <w:t xml:space="preserve"> density over time would be another interesting research project if resources were available and the data is accessible.</w:t>
      </w:r>
    </w:p>
    <w:p w14:paraId="4A07132D" w14:textId="77777777" w:rsidR="00E01F3E" w:rsidRDefault="00E01F3E" w:rsidP="00E14224">
      <w:pPr>
        <w:spacing w:line="360" w:lineRule="auto"/>
        <w:rPr>
          <w:rFonts w:cstheme="minorHAnsi"/>
        </w:rPr>
      </w:pPr>
    </w:p>
    <w:p w14:paraId="4A07132E" w14:textId="77777777" w:rsidR="00E01F3E" w:rsidRPr="00200F6B" w:rsidRDefault="00E01F3E" w:rsidP="00E14224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t xml:space="preserve">4.2 </w:t>
      </w:r>
      <w:r w:rsidRPr="00200F6B">
        <w:rPr>
          <w:rFonts w:cstheme="minorHAnsi"/>
          <w:b/>
          <w:sz w:val="28"/>
          <w:szCs w:val="28"/>
        </w:rPr>
        <w:t>Use</w:t>
      </w:r>
      <w:r w:rsidRPr="00200F6B">
        <w:rPr>
          <w:rFonts w:cstheme="minorHAnsi"/>
          <w:b/>
          <w:sz w:val="28"/>
          <w:szCs w:val="28"/>
        </w:rPr>
        <w:t xml:space="preserve"> of the Data</w:t>
      </w:r>
    </w:p>
    <w:p w14:paraId="4A07132F" w14:textId="77777777" w:rsidR="00E01F3E" w:rsidRPr="00A71BCD" w:rsidRDefault="00E01F3E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>This data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may be useful for Local Authorities and Local Public Health Teams when discussing fast food density in the local area.  It may </w:t>
      </w:r>
      <w:r>
        <w:rPr>
          <w:rFonts w:cstheme="minorHAnsi"/>
        </w:rPr>
        <w:t xml:space="preserve">also </w:t>
      </w:r>
      <w:r>
        <w:rPr>
          <w:rFonts w:cstheme="minorHAnsi"/>
        </w:rPr>
        <w:t xml:space="preserve">help </w:t>
      </w:r>
      <w:r w:rsidRPr="00E14224">
        <w:rPr>
          <w:rFonts w:cstheme="minorHAnsi"/>
        </w:rPr>
        <w:t xml:space="preserve">Local Authorities and Local Public Health Teams when </w:t>
      </w:r>
      <w:r>
        <w:rPr>
          <w:rFonts w:cstheme="minorHAnsi"/>
        </w:rPr>
        <w:t>considering planning applications fo</w:t>
      </w:r>
      <w:r>
        <w:rPr>
          <w:rFonts w:cstheme="minorHAnsi"/>
        </w:rPr>
        <w:t xml:space="preserve">r additional </w:t>
      </w:r>
      <w:proofErr w:type="gramStart"/>
      <w:r>
        <w:rPr>
          <w:rFonts w:cstheme="minorHAnsi"/>
        </w:rPr>
        <w:t>fast food</w:t>
      </w:r>
      <w:proofErr w:type="gramEnd"/>
      <w:r>
        <w:rPr>
          <w:rFonts w:cstheme="minorHAnsi"/>
        </w:rPr>
        <w:t xml:space="preserve"> outlets.  </w:t>
      </w:r>
    </w:p>
    <w:sectPr w:rsidR="00044347" w:rsidRPr="00A71BCD" w:rsidSect="002C08C4"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133C" w14:textId="77777777" w:rsidR="00E01F3E" w:rsidRDefault="00E01F3E">
      <w:pPr>
        <w:spacing w:after="0" w:line="240" w:lineRule="auto"/>
      </w:pPr>
      <w:r>
        <w:separator/>
      </w:r>
    </w:p>
  </w:endnote>
  <w:endnote w:type="continuationSeparator" w:id="0">
    <w:p w14:paraId="4A07133E" w14:textId="77777777" w:rsidR="00E01F3E" w:rsidRDefault="00E0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1334" w14:textId="77777777" w:rsidR="00E01F3E" w:rsidRDefault="00E01F3E">
    <w:pPr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4A071335" w14:textId="77777777" w:rsidR="00E01F3E" w:rsidRDefault="00E01F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1336" w14:textId="77777777" w:rsidR="00E01F3E" w:rsidRDefault="00E01F3E">
    <w:pPr>
      <w:jc w:val="center"/>
    </w:pPr>
    <w:r>
      <w:t>1</w:t>
    </w:r>
  </w:p>
  <w:p w14:paraId="4A071337" w14:textId="77777777" w:rsidR="00E01F3E" w:rsidRDefault="00E01F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1338" w14:textId="77777777" w:rsidR="00E01F3E" w:rsidRDefault="00E01F3E">
      <w:pPr>
        <w:spacing w:after="0" w:line="240" w:lineRule="auto"/>
      </w:pPr>
      <w:r>
        <w:separator/>
      </w:r>
    </w:p>
  </w:footnote>
  <w:footnote w:type="continuationSeparator" w:id="0">
    <w:p w14:paraId="4A07133A" w14:textId="77777777" w:rsidR="00E01F3E" w:rsidRDefault="00E01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7F28"/>
    <w:multiLevelType w:val="multilevel"/>
    <w:tmpl w:val="B174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7996481">
    <w:abstractNumId w:val="0"/>
  </w:num>
  <w:num w:numId="2" w16cid:durableId="812527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0115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EF1"/>
    <w:rsid w:val="001F2A67"/>
    <w:rsid w:val="00602EF1"/>
    <w:rsid w:val="00E0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1227"/>
  <w15:docId w15:val="{D625BDE0-6F18-4C39-84C3-E1045699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741555/Fast_Food_map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1497</Words>
  <Characters>8534</Characters>
  <Application>Microsoft Office Word</Application>
  <DocSecurity>0</DocSecurity>
  <Lines>71</Lines>
  <Paragraphs>20</Paragraphs>
  <ScaleCrop>false</ScaleCrop>
  <Company>Public Health Wales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Jones (Public Health Wales - No. 2 Capital Quarter)</cp:lastModifiedBy>
  <cp:revision>1</cp:revision>
  <dcterms:created xsi:type="dcterms:W3CDTF">2026-02-26T16:16:00Z</dcterms:created>
  <dcterms:modified xsi:type="dcterms:W3CDTF">2026-02-26T16:17:00Z</dcterms:modified>
</cp:coreProperties>
</file>