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935A4" w14:textId="448CC509" w:rsidR="009F740E" w:rsidRPr="00C83343" w:rsidRDefault="009F740E" w:rsidP="00824FB3">
      <w:pPr>
        <w:pStyle w:val="Barheadings"/>
      </w:pPr>
      <w:r>
        <w:rPr>
          <w:noProof/>
          <w:lang w:eastAsia="en-GB"/>
        </w:rPr>
        <mc:AlternateContent>
          <mc:Choice Requires="wps">
            <w:drawing>
              <wp:anchor distT="0" distB="0" distL="114300" distR="114300" simplePos="0" relativeHeight="251658240" behindDoc="0" locked="0" layoutInCell="1" allowOverlap="1" wp14:anchorId="4324ED03" wp14:editId="5246DD58">
                <wp:simplePos x="0" y="0"/>
                <wp:positionH relativeFrom="margin">
                  <wp:posOffset>5679440</wp:posOffset>
                </wp:positionH>
                <wp:positionV relativeFrom="margin">
                  <wp:posOffset>-1791970</wp:posOffset>
                </wp:positionV>
                <wp:extent cx="1133475" cy="481330"/>
                <wp:effectExtent l="0" t="0" r="0" b="1270"/>
                <wp:wrapSquare wrapText="bothSides"/>
                <wp:docPr id="10" name="Text Box 10"/>
                <wp:cNvGraphicFramePr/>
                <a:graphic xmlns:a="http://schemas.openxmlformats.org/drawingml/2006/main">
                  <a:graphicData uri="http://schemas.microsoft.com/office/word/2010/wordprocessingShape">
                    <wps:wsp>
                      <wps:cNvSpPr txBox="1"/>
                      <wps:spPr>
                        <a:xfrm>
                          <a:off x="0" y="0"/>
                          <a:ext cx="1133475" cy="481330"/>
                        </a:xfrm>
                        <a:prstGeom prst="rect">
                          <a:avLst/>
                        </a:prstGeom>
                        <a:gradFill flip="none" rotWithShape="1">
                          <a:gsLst>
                            <a:gs pos="2000">
                              <a:srgbClr val="2F4D75"/>
                            </a:gs>
                            <a:gs pos="99000">
                              <a:srgbClr val="2EB6BE"/>
                            </a:gs>
                          </a:gsLst>
                          <a:lin ang="18900000" scaled="1"/>
                          <a:tileRect/>
                        </a:gradFill>
                        <a:ln w="6350">
                          <a:noFill/>
                        </a:ln>
                      </wps:spPr>
                      <wps:txbx>
                        <w:txbxContent>
                          <w:p w14:paraId="4067AEA7" w14:textId="45D0A542" w:rsidR="009F740E" w:rsidRPr="006002FE" w:rsidRDefault="006002FE" w:rsidP="006002FE">
                            <w:pPr>
                              <w:rPr>
                                <w:rFonts w:ascii="Verdana" w:hAnsi="Verdana"/>
                                <w:b/>
                                <w:color w:val="FFFFFF" w:themeColor="background1"/>
                                <w:sz w:val="24"/>
                                <w:szCs w:val="24"/>
                              </w:rPr>
                            </w:pPr>
                            <w:r>
                              <w:rPr>
                                <w:rFonts w:ascii="Verdana" w:hAnsi="Verdana"/>
                                <w:b/>
                                <w:color w:val="FFFFFF" w:themeColor="background1"/>
                                <w:sz w:val="24"/>
                                <w:szCs w:val="24"/>
                              </w:rPr>
                              <w:br/>
                            </w:r>
                            <w:r w:rsidR="009F740E" w:rsidRPr="006002FE">
                              <w:rPr>
                                <w:rFonts w:ascii="Verdana" w:hAnsi="Verdana"/>
                                <w:b/>
                                <w:color w:val="FFFFFF" w:themeColor="background1"/>
                                <w:sz w:val="24"/>
                                <w:szCs w:val="24"/>
                              </w:rPr>
                              <w:t xml:space="preserve">Case </w:t>
                            </w:r>
                            <w:r w:rsidR="009F740E" w:rsidRPr="006002FE">
                              <w:rPr>
                                <w:rFonts w:ascii="Verdana" w:hAnsi="Verdana" w:cs="Times New Roman (Body CS)"/>
                                <w:b/>
                                <w:color w:val="FFFFFF" w:themeColor="background1"/>
                                <w:sz w:val="24"/>
                                <w:szCs w:val="24"/>
                              </w:rPr>
                              <w:t>study</w:t>
                            </w:r>
                          </w:p>
                          <w:p w14:paraId="383296E4" w14:textId="77777777" w:rsidR="009F740E" w:rsidRDefault="009F74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24ED03" id="_x0000_t202" coordsize="21600,21600" o:spt="202" path="m,l,21600r21600,l21600,xe">
                <v:stroke joinstyle="miter"/>
                <v:path gradientshapeok="t" o:connecttype="rect"/>
              </v:shapetype>
              <v:shape id="Text Box 10" o:spid="_x0000_s1026" type="#_x0000_t202" style="position:absolute;margin-left:447.2pt;margin-top:-141.1pt;width:89.25pt;height:37.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" fillcolor="#2f4d75" stroked="f" strokeweight=".5pt">
                <v:fill color2="#2eb6be" rotate="t" angle="135" colors="0 #2f4d75;1311f #2f4d75" focus="100%" type="gradient"/>
                <v:textbox>
                  <w:txbxContent>
                    <w:p w14:paraId="4067AEA7" w14:textId="45D0A542" w:rsidR="009F740E" w:rsidRPr="006002FE" w:rsidRDefault="006002FE" w:rsidP="006002FE">
                      <w:pPr>
                        <w:rPr>
                          <w:rFonts w:ascii="Verdana" w:hAnsi="Verdana"/>
                          <w:b/>
                          <w:color w:val="FFFFFF" w:themeColor="background1"/>
                          <w:sz w:val="24"/>
                          <w:szCs w:val="24"/>
                        </w:rPr>
                      </w:pPr>
                      <w:r>
                        <w:rPr>
                          <w:rFonts w:ascii="Verdana" w:hAnsi="Verdana"/>
                          <w:b/>
                          <w:color w:val="FFFFFF" w:themeColor="background1"/>
                          <w:sz w:val="24"/>
                          <w:szCs w:val="24"/>
                        </w:rPr>
                        <w:br/>
                      </w:r>
                      <w:r w:rsidR="009F740E" w:rsidRPr="006002FE">
                        <w:rPr>
                          <w:rFonts w:ascii="Verdana" w:hAnsi="Verdana"/>
                          <w:b/>
                          <w:color w:val="FFFFFF" w:themeColor="background1"/>
                          <w:sz w:val="24"/>
                          <w:szCs w:val="24"/>
                        </w:rPr>
                        <w:t xml:space="preserve">Case </w:t>
                      </w:r>
                      <w:r w:rsidR="009F740E" w:rsidRPr="006002FE">
                        <w:rPr>
                          <w:rFonts w:ascii="Verdana" w:hAnsi="Verdana" w:cs="Times New Roman (Body CS)"/>
                          <w:b/>
                          <w:color w:val="FFFFFF" w:themeColor="background1"/>
                          <w:sz w:val="24"/>
                          <w:szCs w:val="24"/>
                        </w:rPr>
                        <w:t>study</w:t>
                      </w:r>
                    </w:p>
                    <w:p w14:paraId="383296E4" w14:textId="77777777" w:rsidR="009F740E" w:rsidRDefault="009F740E"/>
                  </w:txbxContent>
                </v:textbox>
                <w10:wrap type="square" anchorx="margin" anchory="margin"/>
              </v:shape>
            </w:pict>
          </mc:Fallback>
        </mc:AlternateContent>
      </w:r>
      <w:r w:rsidRPr="00C83343">
        <w:t xml:space="preserve">What does </w:t>
      </w:r>
      <w:r w:rsidRPr="0026784E">
        <w:t>this</w:t>
      </w:r>
      <w:r w:rsidRPr="00C83343">
        <w:t xml:space="preserve"> case study </w:t>
      </w:r>
      <w:r w:rsidR="004A0807">
        <w:t>explain</w:t>
      </w:r>
      <w:r w:rsidRPr="00C83343">
        <w:t>?</w:t>
      </w:r>
    </w:p>
    <w:p w14:paraId="027F9F8A" w14:textId="53D18708" w:rsidR="009F740E" w:rsidRPr="004A0807" w:rsidRDefault="004A0807" w:rsidP="004A0807">
      <w:pPr>
        <w:rPr>
          <w:rFonts w:ascii="Verdana" w:hAnsi="Verdana"/>
          <w:b/>
        </w:rPr>
      </w:pPr>
      <w:r>
        <w:rPr>
          <w:rFonts w:ascii="Verdana" w:hAnsi="Verdana"/>
        </w:rPr>
        <w:t>The subject of this case study is a peer research project carried out in HMP Parc, Wales. This case study explains</w:t>
      </w:r>
      <w:r w:rsidRPr="000A4898">
        <w:rPr>
          <w:rFonts w:ascii="Verdana" w:hAnsi="Verdana"/>
        </w:rPr>
        <w:t xml:space="preserve"> why the methodology of engaging imprisoned men as peer </w:t>
      </w:r>
      <w:r>
        <w:rPr>
          <w:rFonts w:ascii="Verdana" w:hAnsi="Verdana"/>
        </w:rPr>
        <w:t xml:space="preserve">researchers was a factor which </w:t>
      </w:r>
      <w:r w:rsidR="00C90BF2">
        <w:rPr>
          <w:rFonts w:ascii="Verdana" w:hAnsi="Verdana"/>
        </w:rPr>
        <w:t>e</w:t>
      </w:r>
      <w:r w:rsidR="00C90BF2" w:rsidRPr="000A4898">
        <w:rPr>
          <w:rFonts w:ascii="Verdana" w:hAnsi="Verdana"/>
        </w:rPr>
        <w:t xml:space="preserve">ffected </w:t>
      </w:r>
      <w:r w:rsidRPr="000A4898">
        <w:rPr>
          <w:rFonts w:ascii="Verdana" w:hAnsi="Verdana"/>
        </w:rPr>
        <w:t>the acknowledgement and distribution of pow</w:t>
      </w:r>
      <w:r>
        <w:rPr>
          <w:rFonts w:ascii="Verdana" w:hAnsi="Verdana"/>
        </w:rPr>
        <w:t>er within that prison community.</w:t>
      </w:r>
    </w:p>
    <w:p w14:paraId="509EAF62" w14:textId="13D7F6CF" w:rsidR="00966EF6" w:rsidRPr="006E0585" w:rsidRDefault="004A0807" w:rsidP="0026784E">
      <w:pPr>
        <w:pStyle w:val="Barheadings"/>
      </w:pPr>
      <w:r>
        <w:t>Background – about peer research methodology in prison communities</w:t>
      </w:r>
    </w:p>
    <w:p w14:paraId="0A6C3ECB" w14:textId="77777777" w:rsidR="004A0807" w:rsidRPr="000A4898" w:rsidRDefault="004A0807" w:rsidP="004A0807">
      <w:pPr>
        <w:rPr>
          <w:rFonts w:ascii="Verdana" w:hAnsi="Verdana"/>
        </w:rPr>
      </w:pPr>
      <w:r w:rsidRPr="000A4898">
        <w:rPr>
          <w:rFonts w:ascii="Verdana" w:hAnsi="Verdana"/>
        </w:rPr>
        <w:t xml:space="preserve">The </w:t>
      </w:r>
      <w:r>
        <w:rPr>
          <w:rFonts w:ascii="Verdana" w:hAnsi="Verdana"/>
        </w:rPr>
        <w:t>peer research project</w:t>
      </w:r>
      <w:r>
        <w:rPr>
          <w:rStyle w:val="FootnoteReference"/>
          <w:rFonts w:ascii="Verdana" w:hAnsi="Verdana"/>
        </w:rPr>
        <w:footnoteReference w:id="1"/>
      </w:r>
      <w:r>
        <w:rPr>
          <w:rFonts w:ascii="Verdana" w:hAnsi="Verdana"/>
        </w:rPr>
        <w:t xml:space="preserve"> </w:t>
      </w:r>
      <w:r w:rsidRPr="000A4898">
        <w:rPr>
          <w:rFonts w:ascii="Verdana" w:hAnsi="Verdana"/>
        </w:rPr>
        <w:t>aimed to determine the feasibility of engaging imprisoned me</w:t>
      </w:r>
      <w:r>
        <w:rPr>
          <w:rFonts w:ascii="Verdana" w:hAnsi="Verdana"/>
        </w:rPr>
        <w:t>n in peer research to identify health and wellbeing concerns of inmates.</w:t>
      </w:r>
      <w:r w:rsidRPr="000A4898">
        <w:rPr>
          <w:rFonts w:ascii="Verdana" w:hAnsi="Verdana"/>
        </w:rPr>
        <w:t xml:space="preserve"> </w:t>
      </w:r>
    </w:p>
    <w:p w14:paraId="37BA7082" w14:textId="6A256DFE" w:rsidR="003A3343" w:rsidRPr="004A0807" w:rsidRDefault="004A0807" w:rsidP="004A0807">
      <w:pPr>
        <w:rPr>
          <w:rFonts w:ascii="Verdana" w:hAnsi="Verdana"/>
          <w:b/>
        </w:rPr>
      </w:pPr>
      <w:r w:rsidRPr="000A4898">
        <w:rPr>
          <w:rFonts w:ascii="Verdana" w:hAnsi="Verdana"/>
        </w:rPr>
        <w:t xml:space="preserve">There is an increasing use of peer roles within prison communities, demonstrating positive outcomes (South et al, 2014; Bagnall et al, 2015). However the concept of peer researcher roles within the prison environment is still in early development. Learning from a project to develop participatory health research among incarcerated women in a Canadian prison (Elwood-Martin et al, 2009) was drawn upon to inform the peer research project in Wales. This intentionally collaborative approach explored the opportunity to develop understanding of </w:t>
      </w:r>
      <w:r>
        <w:rPr>
          <w:rFonts w:ascii="Verdana" w:hAnsi="Verdana"/>
        </w:rPr>
        <w:t>health and well-being concerns in prison,</w:t>
      </w:r>
      <w:r w:rsidRPr="000A4898">
        <w:rPr>
          <w:rFonts w:ascii="Verdana" w:hAnsi="Verdana"/>
        </w:rPr>
        <w:t xml:space="preserve"> directly from those for whom it is their lived experience</w:t>
      </w:r>
      <w:r>
        <w:rPr>
          <w:rFonts w:ascii="Verdana" w:hAnsi="Verdana"/>
        </w:rPr>
        <w:t>;</w:t>
      </w:r>
      <w:r w:rsidRPr="000A4898">
        <w:rPr>
          <w:rFonts w:ascii="Verdana" w:hAnsi="Verdana"/>
        </w:rPr>
        <w:t xml:space="preserve"> whilst providing skills, confidence and sense of purpose to those in the </w:t>
      </w:r>
      <w:r>
        <w:rPr>
          <w:rFonts w:ascii="Verdana" w:hAnsi="Verdana"/>
        </w:rPr>
        <w:t xml:space="preserve">peer researcher </w:t>
      </w:r>
      <w:r w:rsidRPr="000A4898">
        <w:rPr>
          <w:rFonts w:ascii="Verdana" w:hAnsi="Verdana"/>
        </w:rPr>
        <w:t>role.</w:t>
      </w:r>
    </w:p>
    <w:p w14:paraId="54CABE28" w14:textId="3ED040A2" w:rsidR="00966EF6" w:rsidRPr="004A0807" w:rsidRDefault="004A0807" w:rsidP="003A3343">
      <w:pPr>
        <w:pStyle w:val="Barheadings"/>
        <w:rPr>
          <w:sz w:val="23"/>
          <w:szCs w:val="23"/>
        </w:rPr>
      </w:pPr>
      <w:r w:rsidRPr="004A0807">
        <w:rPr>
          <w:sz w:val="23"/>
          <w:szCs w:val="23"/>
        </w:rPr>
        <w:t>Why did the methodology of engaging imprisoned men as peer researchers effect the creation of new configurations of power within the prison community?</w:t>
      </w:r>
    </w:p>
    <w:p w14:paraId="0B7D49BA" w14:textId="77777777" w:rsidR="004A0807" w:rsidRDefault="004A0807" w:rsidP="004A0807">
      <w:pPr>
        <w:pStyle w:val="Text"/>
        <w:spacing w:after="0"/>
        <w:jc w:val="center"/>
        <w:rPr>
          <w:i/>
          <w:color w:val="2EB6BE"/>
        </w:rPr>
      </w:pPr>
      <w:r w:rsidRPr="004A0807">
        <w:rPr>
          <w:i/>
          <w:color w:val="2EB6BE"/>
        </w:rPr>
        <w:t>“Men were empowered to be listened to and help implement positive change”</w:t>
      </w:r>
    </w:p>
    <w:p w14:paraId="3C1CCAF5" w14:textId="46AD3FBB" w:rsidR="004A0807" w:rsidRPr="004A0807" w:rsidRDefault="004A0807" w:rsidP="004A0807">
      <w:pPr>
        <w:pStyle w:val="Text"/>
        <w:jc w:val="center"/>
        <w:rPr>
          <w:i/>
          <w:color w:val="2EB6BE"/>
        </w:rPr>
      </w:pPr>
      <w:r w:rsidRPr="000A4898">
        <w:t>(Peer-researcher, HMP Parc)</w:t>
      </w:r>
    </w:p>
    <w:p w14:paraId="3F63410E" w14:textId="77777777" w:rsidR="004A0807" w:rsidRPr="000A4898" w:rsidRDefault="004A0807" w:rsidP="004A0807">
      <w:pPr>
        <w:spacing w:after="0"/>
        <w:rPr>
          <w:rFonts w:ascii="Verdana" w:hAnsi="Verdana"/>
        </w:rPr>
      </w:pPr>
      <w:r w:rsidRPr="000A4898">
        <w:rPr>
          <w:rFonts w:ascii="Verdana" w:hAnsi="Verdana"/>
        </w:rPr>
        <w:t xml:space="preserve">Peer researchers from the HMP Parc study experienced a change in power dynamics during the research project. ‘Power within’ increased as men felt an increased sense of group efficacy through collaborative working and setting common goals. ‘Power with’ increased as dialogue led to more positive relationships developing between the men and with prison staff. ’Power to’ increased as peer researcher recommendations influenced actions taken by prison staff, resulting in improvements to the environment, relationships and the health and wellbeing of men in the prison. </w:t>
      </w:r>
    </w:p>
    <w:p w14:paraId="5DC384D6" w14:textId="77777777" w:rsidR="004A0807" w:rsidRPr="000A4898" w:rsidRDefault="004A0807" w:rsidP="004A0807">
      <w:pPr>
        <w:spacing w:after="0"/>
        <w:rPr>
          <w:rFonts w:ascii="Verdana" w:hAnsi="Verdana"/>
        </w:rPr>
      </w:pPr>
    </w:p>
    <w:p w14:paraId="30CBDBE9" w14:textId="47A8D538" w:rsidR="004A0807" w:rsidRDefault="004A0807" w:rsidP="004A0807">
      <w:pPr>
        <w:spacing w:after="0"/>
        <w:rPr>
          <w:rFonts w:ascii="Verdana" w:hAnsi="Verdana"/>
        </w:rPr>
      </w:pPr>
      <w:r w:rsidRPr="000A4898">
        <w:rPr>
          <w:rFonts w:ascii="Verdana" w:hAnsi="Verdana"/>
        </w:rPr>
        <w:t>A number of features are apparent that may explain the reconfigurations of power</w:t>
      </w:r>
      <w:r>
        <w:rPr>
          <w:rFonts w:ascii="Verdana" w:hAnsi="Verdana"/>
        </w:rPr>
        <w:t xml:space="preserve"> that were felt by the men</w:t>
      </w:r>
      <w:r w:rsidRPr="000A4898">
        <w:rPr>
          <w:rFonts w:ascii="Verdana" w:hAnsi="Verdana"/>
        </w:rPr>
        <w:t xml:space="preserve"> as a result of the peer</w:t>
      </w:r>
      <w:r>
        <w:rPr>
          <w:rFonts w:ascii="Verdana" w:hAnsi="Verdana"/>
        </w:rPr>
        <w:t xml:space="preserve"> </w:t>
      </w:r>
      <w:r w:rsidRPr="000A4898">
        <w:rPr>
          <w:rFonts w:ascii="Verdana" w:hAnsi="Verdana"/>
        </w:rPr>
        <w:t xml:space="preserve">research approach. </w:t>
      </w:r>
    </w:p>
    <w:p w14:paraId="6AD5264D" w14:textId="77777777" w:rsidR="004A0807" w:rsidRDefault="004A0807" w:rsidP="004A0807">
      <w:pPr>
        <w:pStyle w:val="Boldsubheadblue"/>
      </w:pPr>
    </w:p>
    <w:p w14:paraId="459DA70B" w14:textId="77777777" w:rsidR="004A0807" w:rsidRPr="004A0807" w:rsidRDefault="004A0807" w:rsidP="004A0807">
      <w:pPr>
        <w:spacing w:after="0"/>
        <w:rPr>
          <w:rFonts w:ascii="Verdana" w:hAnsi="Verdana"/>
          <w:b/>
          <w:color w:val="2F4D75"/>
          <w:u w:val="single"/>
        </w:rPr>
      </w:pPr>
      <w:r w:rsidRPr="004A0807">
        <w:rPr>
          <w:rFonts w:ascii="Verdana" w:hAnsi="Verdana"/>
          <w:b/>
          <w:color w:val="2F4D75"/>
          <w:u w:val="single"/>
        </w:rPr>
        <w:t xml:space="preserve">Explicitly acknowledging the power imbalance, and responding to this </w:t>
      </w:r>
    </w:p>
    <w:p w14:paraId="18366E08" w14:textId="28361281" w:rsidR="004A0807" w:rsidRDefault="004A0807" w:rsidP="004A0807">
      <w:pPr>
        <w:rPr>
          <w:rFonts w:ascii="Verdana" w:hAnsi="Verdana"/>
        </w:rPr>
      </w:pPr>
      <w:r w:rsidRPr="000A4898">
        <w:rPr>
          <w:rFonts w:ascii="Verdana" w:hAnsi="Verdana"/>
        </w:rPr>
        <w:t>The prison environment is intentionally</w:t>
      </w:r>
      <w:r>
        <w:rPr>
          <w:rFonts w:ascii="Verdana" w:hAnsi="Verdana"/>
        </w:rPr>
        <w:t xml:space="preserve"> </w:t>
      </w:r>
      <w:r w:rsidRPr="000A4898">
        <w:rPr>
          <w:rFonts w:ascii="Verdana" w:hAnsi="Verdana"/>
        </w:rPr>
        <w:t>designed to disempower. The authoritarian environment means that acknowledging and relinquishing power in this context is challenging. Peer researchers felt that prison</w:t>
      </w:r>
      <w:r>
        <w:rPr>
          <w:rFonts w:ascii="Verdana" w:hAnsi="Verdana"/>
        </w:rPr>
        <w:t>s</w:t>
      </w:r>
      <w:r w:rsidRPr="000A4898">
        <w:rPr>
          <w:rFonts w:ascii="Verdana" w:hAnsi="Verdana"/>
        </w:rPr>
        <w:t xml:space="preserve">  ‘power over’ the community, demonstrated by the various </w:t>
      </w:r>
      <w:r w:rsidRPr="000A4898">
        <w:rPr>
          <w:rFonts w:ascii="Verdana" w:hAnsi="Verdana"/>
        </w:rPr>
        <w:lastRenderedPageBreak/>
        <w:t xml:space="preserve">permissions required, processes </w:t>
      </w:r>
      <w:r>
        <w:rPr>
          <w:rFonts w:ascii="Verdana" w:hAnsi="Verdana"/>
        </w:rPr>
        <w:t xml:space="preserve">and orders </w:t>
      </w:r>
      <w:r w:rsidRPr="000A4898">
        <w:rPr>
          <w:rFonts w:ascii="Verdana" w:hAnsi="Verdana"/>
        </w:rPr>
        <w:t xml:space="preserve">to follow at discretion of the prison staff; impacted upon their ability to carry out the project. </w:t>
      </w:r>
      <w:r>
        <w:rPr>
          <w:rFonts w:ascii="Verdana" w:hAnsi="Verdana"/>
        </w:rPr>
        <w:t xml:space="preserve">One peer researcher reflected that </w:t>
      </w:r>
      <w:r w:rsidRPr="004A0807">
        <w:rPr>
          <w:rFonts w:ascii="Verdana" w:hAnsi="Verdana"/>
          <w:i/>
          <w:color w:val="2EB6BE"/>
        </w:rPr>
        <w:t xml:space="preserve">“the majority of inmates don’t get the chance to express their feelings, issues and concerns within an ‘authoritarian’ environment” </w:t>
      </w:r>
      <w:r w:rsidRPr="000A4898">
        <w:rPr>
          <w:rFonts w:ascii="Verdana" w:hAnsi="Verdana"/>
        </w:rPr>
        <w:t>(Peer-researcher, HMP Parc)</w:t>
      </w:r>
      <w:r>
        <w:rPr>
          <w:rFonts w:ascii="Verdana" w:hAnsi="Verdana"/>
        </w:rPr>
        <w:t xml:space="preserve">. </w:t>
      </w:r>
    </w:p>
    <w:p w14:paraId="3D391893" w14:textId="2171EEC3" w:rsidR="004A0807" w:rsidRPr="000A4898" w:rsidRDefault="004A0807" w:rsidP="004A0807">
      <w:pPr>
        <w:rPr>
          <w:rFonts w:ascii="Verdana" w:hAnsi="Verdana"/>
        </w:rPr>
      </w:pPr>
      <w:r>
        <w:rPr>
          <w:rFonts w:ascii="Verdana" w:hAnsi="Verdana"/>
        </w:rPr>
        <w:t>T</w:t>
      </w:r>
      <w:r w:rsidRPr="000A4898">
        <w:rPr>
          <w:rFonts w:ascii="Verdana" w:hAnsi="Verdana"/>
        </w:rPr>
        <w:t xml:space="preserve">he participatory research </w:t>
      </w:r>
      <w:r>
        <w:rPr>
          <w:rFonts w:ascii="Verdana" w:hAnsi="Verdana"/>
        </w:rPr>
        <w:t xml:space="preserve">approach </w:t>
      </w:r>
      <w:r w:rsidRPr="000A4898">
        <w:rPr>
          <w:rFonts w:ascii="Verdana" w:hAnsi="Verdana"/>
        </w:rPr>
        <w:t>recognise</w:t>
      </w:r>
      <w:r>
        <w:rPr>
          <w:rFonts w:ascii="Verdana" w:hAnsi="Verdana"/>
        </w:rPr>
        <w:t>s</w:t>
      </w:r>
      <w:r w:rsidRPr="000A4898">
        <w:rPr>
          <w:rFonts w:ascii="Verdana" w:hAnsi="Verdana"/>
        </w:rPr>
        <w:t>, respect</w:t>
      </w:r>
      <w:r>
        <w:rPr>
          <w:rFonts w:ascii="Verdana" w:hAnsi="Verdana"/>
        </w:rPr>
        <w:t>s</w:t>
      </w:r>
      <w:r w:rsidRPr="000A4898">
        <w:rPr>
          <w:rFonts w:ascii="Verdana" w:hAnsi="Verdana"/>
        </w:rPr>
        <w:t xml:space="preserve"> and challenge</w:t>
      </w:r>
      <w:r>
        <w:rPr>
          <w:rFonts w:ascii="Verdana" w:hAnsi="Verdana"/>
        </w:rPr>
        <w:t>s</w:t>
      </w:r>
      <w:r w:rsidRPr="000A4898">
        <w:rPr>
          <w:rFonts w:ascii="Verdana" w:hAnsi="Verdana"/>
        </w:rPr>
        <w:t xml:space="preserve"> power relationships between all participants. Elwood-Martin, R. 2009 talks about the Canadian experience as </w:t>
      </w:r>
      <w:r w:rsidRPr="004A0807">
        <w:rPr>
          <w:rFonts w:ascii="Verdana" w:hAnsi="Verdana"/>
          <w:i/>
          <w:color w:val="2EB6BE"/>
        </w:rPr>
        <w:t>“silence traditionally held by women in the system [being] broken”</w:t>
      </w:r>
      <w:r>
        <w:rPr>
          <w:rFonts w:ascii="Verdana" w:hAnsi="Verdana"/>
        </w:rPr>
        <w:t>.</w:t>
      </w:r>
      <w:r w:rsidRPr="000A4898">
        <w:rPr>
          <w:rFonts w:ascii="Verdana" w:hAnsi="Verdana"/>
          <w:i/>
        </w:rPr>
        <w:t xml:space="preserve"> </w:t>
      </w:r>
      <w:r w:rsidRPr="000A4898">
        <w:rPr>
          <w:rFonts w:ascii="Verdana" w:hAnsi="Verdana"/>
        </w:rPr>
        <w:t xml:space="preserve">This suggests the importance of letting go of something that normally prevented the voice from being spoken and heard. </w:t>
      </w:r>
    </w:p>
    <w:p w14:paraId="5270957F" w14:textId="25D909BF" w:rsidR="004A0807" w:rsidRDefault="004A0807" w:rsidP="004A0807">
      <w:pPr>
        <w:tabs>
          <w:tab w:val="left" w:pos="2355"/>
        </w:tabs>
        <w:spacing w:after="0"/>
        <w:rPr>
          <w:rFonts w:ascii="Verdana" w:hAnsi="Verdana"/>
        </w:rPr>
      </w:pPr>
      <w:r w:rsidRPr="000A4898">
        <w:rPr>
          <w:rFonts w:ascii="Verdana" w:hAnsi="Verdana"/>
        </w:rPr>
        <w:t>In the HMP project,</w:t>
      </w:r>
      <w:r>
        <w:rPr>
          <w:rFonts w:ascii="Verdana" w:hAnsi="Verdana"/>
        </w:rPr>
        <w:t xml:space="preserve"> the prison responded to the power dynamics and found ways to work with the peer researchers which enabled the men to </w:t>
      </w:r>
      <w:r w:rsidRPr="000A4898">
        <w:rPr>
          <w:rFonts w:ascii="Verdana" w:hAnsi="Verdana"/>
        </w:rPr>
        <w:t xml:space="preserve">adapt research processes to achieve better outcomes. </w:t>
      </w:r>
      <w:r>
        <w:rPr>
          <w:rFonts w:ascii="Verdana" w:hAnsi="Verdana"/>
        </w:rPr>
        <w:t xml:space="preserve">Peer researchers were given the space to discuss and identify potential solutions to barriers faced by the project. They were supported by the prison to establish themselves </w:t>
      </w:r>
      <w:r w:rsidRPr="000A4898">
        <w:rPr>
          <w:rFonts w:ascii="Verdana" w:hAnsi="Verdana"/>
        </w:rPr>
        <w:t xml:space="preserve">in a visible role within the prison community by wearing t-shirts that distinguished their </w:t>
      </w:r>
      <w:r>
        <w:rPr>
          <w:rFonts w:ascii="Verdana" w:hAnsi="Verdana"/>
        </w:rPr>
        <w:t xml:space="preserve">peer-researcher position. There was also prison support for the use of </w:t>
      </w:r>
      <w:r w:rsidRPr="000A4898">
        <w:rPr>
          <w:rFonts w:ascii="Verdana" w:hAnsi="Verdana"/>
        </w:rPr>
        <w:t>language</w:t>
      </w:r>
      <w:r w:rsidR="00FA3583">
        <w:rPr>
          <w:rFonts w:ascii="Verdana" w:hAnsi="Verdana"/>
        </w:rPr>
        <w:t xml:space="preserve">, </w:t>
      </w:r>
      <w:r w:rsidRPr="000A4898">
        <w:rPr>
          <w:rFonts w:ascii="Verdana" w:hAnsi="Verdana"/>
        </w:rPr>
        <w:t>intended to challenge power configurations, i.e.</w:t>
      </w:r>
      <w:r>
        <w:rPr>
          <w:rFonts w:ascii="Verdana" w:hAnsi="Verdana"/>
        </w:rPr>
        <w:t xml:space="preserve"> promoting participation as an opportunity to</w:t>
      </w:r>
      <w:r w:rsidRPr="000A4898">
        <w:rPr>
          <w:rFonts w:ascii="Verdana" w:hAnsi="Verdana"/>
        </w:rPr>
        <w:t xml:space="preserve"> “be heard”</w:t>
      </w:r>
      <w:r w:rsidR="00FA3583">
        <w:rPr>
          <w:rFonts w:ascii="Verdana" w:hAnsi="Verdana"/>
        </w:rPr>
        <w:t xml:space="preserve"> </w:t>
      </w:r>
      <w:r w:rsidR="00FA3583">
        <w:rPr>
          <w:rFonts w:ascii="Verdana" w:hAnsi="Verdana"/>
        </w:rPr>
        <w:t>on project awareness raising material</w:t>
      </w:r>
      <w:r>
        <w:rPr>
          <w:rFonts w:ascii="Verdana" w:hAnsi="Verdana"/>
        </w:rPr>
        <w:t xml:space="preserve">. </w:t>
      </w:r>
      <w:r w:rsidRPr="000A4898">
        <w:rPr>
          <w:rFonts w:ascii="Verdana" w:hAnsi="Verdana"/>
        </w:rPr>
        <w:t>Academic publication of peer researchers’ work is</w:t>
      </w:r>
      <w:r>
        <w:rPr>
          <w:rFonts w:ascii="Verdana" w:hAnsi="Verdana"/>
        </w:rPr>
        <w:t xml:space="preserve"> rare, and is</w:t>
      </w:r>
      <w:r w:rsidRPr="000A4898">
        <w:rPr>
          <w:rFonts w:ascii="Verdana" w:hAnsi="Verdana"/>
        </w:rPr>
        <w:t xml:space="preserve"> in its own right an indication of shifting power configurations. </w:t>
      </w:r>
    </w:p>
    <w:p w14:paraId="4423F7A9" w14:textId="77777777" w:rsidR="004A0807" w:rsidRDefault="004A0807" w:rsidP="004A0807">
      <w:pPr>
        <w:tabs>
          <w:tab w:val="left" w:pos="2355"/>
        </w:tabs>
        <w:spacing w:after="0"/>
        <w:rPr>
          <w:rFonts w:ascii="Verdana" w:hAnsi="Verdana"/>
        </w:rPr>
      </w:pPr>
    </w:p>
    <w:p w14:paraId="55393D12" w14:textId="37364472" w:rsidR="004A0807" w:rsidRDefault="004A0807" w:rsidP="004A0807">
      <w:pPr>
        <w:tabs>
          <w:tab w:val="left" w:pos="2355"/>
        </w:tabs>
        <w:spacing w:after="0"/>
        <w:rPr>
          <w:rFonts w:ascii="Verdana" w:hAnsi="Verdana"/>
        </w:rPr>
      </w:pPr>
      <w:r>
        <w:rPr>
          <w:rFonts w:ascii="Verdana" w:hAnsi="Verdana"/>
        </w:rPr>
        <w:t xml:space="preserve">The prison and peer researchers working together to accept the institution leadership’s  ‘power over’ and respond to the power imbalance in project delivery, enabled new configurations of power within the prison community for the duration of the project.  </w:t>
      </w:r>
    </w:p>
    <w:p w14:paraId="37EC904C" w14:textId="77777777" w:rsidR="004A0807" w:rsidRDefault="004A0807" w:rsidP="004A0807">
      <w:pPr>
        <w:tabs>
          <w:tab w:val="left" w:pos="2355"/>
        </w:tabs>
        <w:spacing w:after="0"/>
        <w:rPr>
          <w:rFonts w:ascii="Verdana" w:hAnsi="Verdana"/>
        </w:rPr>
      </w:pPr>
    </w:p>
    <w:p w14:paraId="1EC918C1" w14:textId="57438B06" w:rsidR="004A0807" w:rsidRPr="004A0807" w:rsidRDefault="004A0807" w:rsidP="004A0807">
      <w:pPr>
        <w:spacing w:after="0"/>
        <w:rPr>
          <w:rFonts w:ascii="Verdana" w:hAnsi="Verdana"/>
          <w:b/>
          <w:color w:val="2F4D75"/>
          <w:u w:val="single"/>
        </w:rPr>
      </w:pPr>
      <w:r w:rsidRPr="004A0807">
        <w:rPr>
          <w:rFonts w:ascii="Verdana" w:hAnsi="Verdana"/>
          <w:b/>
          <w:color w:val="2F4D75"/>
          <w:u w:val="single"/>
        </w:rPr>
        <w:t xml:space="preserve">Commitment to take action </w:t>
      </w:r>
    </w:p>
    <w:p w14:paraId="5570B4DA" w14:textId="77777777" w:rsidR="004A0807" w:rsidRPr="000A4898" w:rsidRDefault="004A0807" w:rsidP="004A0807">
      <w:pPr>
        <w:spacing w:after="0" w:line="240" w:lineRule="auto"/>
        <w:jc w:val="both"/>
        <w:rPr>
          <w:rFonts w:ascii="Verdana" w:hAnsi="Verdana"/>
        </w:rPr>
      </w:pPr>
      <w:r w:rsidRPr="000A4898">
        <w:rPr>
          <w:rFonts w:ascii="Verdana" w:hAnsi="Verdana"/>
        </w:rPr>
        <w:t>The backing from prison management and their continued active support for the project contributed to creating the conditions</w:t>
      </w:r>
      <w:r>
        <w:rPr>
          <w:rFonts w:ascii="Verdana" w:hAnsi="Verdana"/>
        </w:rPr>
        <w:t xml:space="preserve"> where the men felt empowered. P</w:t>
      </w:r>
      <w:r w:rsidRPr="000A4898">
        <w:rPr>
          <w:rFonts w:ascii="Verdana" w:hAnsi="Verdana"/>
        </w:rPr>
        <w:t xml:space="preserve">eer researchers were able to make formal recommendations for positive change in the prison community from their findings. Furthermore, management support to implement some of these changes gave the peer researchers a strong sense of achievement; which contributed to their experience of empowerment. </w:t>
      </w:r>
    </w:p>
    <w:p w14:paraId="5FD6E284" w14:textId="77777777" w:rsidR="004A0807" w:rsidRPr="000A4898" w:rsidRDefault="004A0807" w:rsidP="004A0807">
      <w:pPr>
        <w:spacing w:after="0" w:line="240" w:lineRule="auto"/>
        <w:jc w:val="both"/>
        <w:rPr>
          <w:rFonts w:ascii="Verdana" w:hAnsi="Verdana"/>
          <w:i/>
        </w:rPr>
      </w:pPr>
    </w:p>
    <w:p w14:paraId="51BCBB31" w14:textId="0B002651" w:rsidR="004A0807" w:rsidRPr="000A4898" w:rsidRDefault="004A0807" w:rsidP="004A0807">
      <w:pPr>
        <w:rPr>
          <w:rFonts w:ascii="Verdana" w:hAnsi="Verdana"/>
        </w:rPr>
      </w:pPr>
      <w:r w:rsidRPr="000A4898">
        <w:rPr>
          <w:rFonts w:ascii="Verdana" w:hAnsi="Verdana"/>
        </w:rPr>
        <w:t xml:space="preserve">Women involved in the </w:t>
      </w:r>
      <w:r>
        <w:rPr>
          <w:rFonts w:ascii="Verdana" w:hAnsi="Verdana"/>
        </w:rPr>
        <w:t>earlier</w:t>
      </w:r>
      <w:r w:rsidRPr="000A4898">
        <w:rPr>
          <w:rFonts w:ascii="Verdana" w:hAnsi="Verdana"/>
        </w:rPr>
        <w:t xml:space="preserve"> research project in Canada expressed views on the importance of prison management attitude and support.</w:t>
      </w:r>
      <w:r>
        <w:rPr>
          <w:rFonts w:ascii="Verdana" w:hAnsi="Verdana"/>
        </w:rPr>
        <w:t xml:space="preserve"> </w:t>
      </w:r>
      <w:r w:rsidRPr="004A0807">
        <w:rPr>
          <w:rFonts w:ascii="Verdana" w:hAnsi="Verdana"/>
          <w:i/>
          <w:color w:val="2EB6BE"/>
        </w:rPr>
        <w:t xml:space="preserve">"What a feeling it is to be and feel empowered. It was hoped that this research project would help not only our prison but others as well to be managed with a healing hand and not an iron fist." </w:t>
      </w:r>
      <w:r w:rsidRPr="000A4898">
        <w:rPr>
          <w:rFonts w:ascii="Verdana" w:hAnsi="Verdana"/>
        </w:rPr>
        <w:t>(Peer researcher, Elwood-Martin, R. 2009) These sentiments are echoed in the context of HMP Parc; where peer researchers reflected upon the positive reaction from senior prison management and external organisations to all of their findings</w:t>
      </w:r>
      <w:r>
        <w:rPr>
          <w:rFonts w:ascii="Verdana" w:hAnsi="Verdana"/>
        </w:rPr>
        <w:t xml:space="preserve"> – </w:t>
      </w:r>
      <w:r w:rsidRPr="004A0807">
        <w:rPr>
          <w:rFonts w:ascii="Verdana" w:hAnsi="Verdana"/>
          <w:i/>
          <w:color w:val="2EB6BE"/>
        </w:rPr>
        <w:t xml:space="preserve">“the director took all of the information positively, even the negative comments.  A few of the recommendations we made were implemented.” </w:t>
      </w:r>
      <w:r>
        <w:rPr>
          <w:rFonts w:ascii="Verdana" w:hAnsi="Verdana"/>
        </w:rPr>
        <w:t>(Peer researcher, HMP Parc).</w:t>
      </w:r>
      <w:r w:rsidRPr="000A4898">
        <w:rPr>
          <w:rFonts w:ascii="Verdana" w:hAnsi="Verdana"/>
        </w:rPr>
        <w:t xml:space="preserve"> </w:t>
      </w:r>
    </w:p>
    <w:p w14:paraId="50662D74" w14:textId="77777777" w:rsidR="004A0807" w:rsidRPr="000A4898" w:rsidRDefault="004A0807" w:rsidP="004A0807">
      <w:pPr>
        <w:rPr>
          <w:rFonts w:ascii="Verdana" w:hAnsi="Verdana"/>
          <w:i/>
        </w:rPr>
      </w:pPr>
      <w:r w:rsidRPr="000A4898">
        <w:rPr>
          <w:rFonts w:ascii="Verdana" w:hAnsi="Verdana"/>
        </w:rPr>
        <w:t xml:space="preserve">In terms of implementing recommendations, whilst the men in prison were keen to share information about their health and wellbeing it was often accompanied by a presumption that nothing would change within their environment. Whilst some positive action was taken it must be acknowledged that any change in this community remains under the tight control of the prison despite genuine intention to facilitate community empowerment.  </w:t>
      </w:r>
    </w:p>
    <w:p w14:paraId="4F70F272" w14:textId="77777777" w:rsidR="004A0807" w:rsidRDefault="004A0807" w:rsidP="004A0807">
      <w:pPr>
        <w:spacing w:after="0"/>
        <w:rPr>
          <w:rFonts w:ascii="Verdana" w:hAnsi="Verdana"/>
          <w:b/>
          <w:color w:val="2F4D75"/>
          <w:u w:val="single"/>
        </w:rPr>
      </w:pPr>
      <w:r w:rsidRPr="004A0807">
        <w:rPr>
          <w:rFonts w:ascii="Verdana" w:hAnsi="Verdana"/>
          <w:b/>
          <w:color w:val="2F4D75"/>
          <w:u w:val="single"/>
        </w:rPr>
        <w:lastRenderedPageBreak/>
        <w:t>Learning and working together – facilitators to empowerment</w:t>
      </w:r>
      <w:r>
        <w:rPr>
          <w:rFonts w:ascii="Verdana" w:hAnsi="Verdana"/>
          <w:b/>
          <w:color w:val="2F4D75"/>
          <w:u w:val="single"/>
        </w:rPr>
        <w:t>.</w:t>
      </w:r>
    </w:p>
    <w:p w14:paraId="5345EB29" w14:textId="3E063DC7" w:rsidR="004A0807" w:rsidRPr="004A0807" w:rsidRDefault="004A0807" w:rsidP="004A0807">
      <w:pPr>
        <w:rPr>
          <w:rFonts w:ascii="Verdana" w:hAnsi="Verdana"/>
          <w:b/>
          <w:color w:val="2F4D75"/>
          <w:u w:val="single"/>
        </w:rPr>
      </w:pPr>
      <w:r w:rsidRPr="000A4898">
        <w:rPr>
          <w:rFonts w:ascii="Verdana" w:hAnsi="Verdana"/>
        </w:rPr>
        <w:t xml:space="preserve">Peer research methodology facilitates the exposure of the empowered voice of a group, </w:t>
      </w:r>
      <w:r>
        <w:rPr>
          <w:rFonts w:ascii="Verdana" w:hAnsi="Verdana"/>
        </w:rPr>
        <w:t>which may not have been captured using other approaches</w:t>
      </w:r>
      <w:r w:rsidRPr="000A4898">
        <w:rPr>
          <w:rFonts w:ascii="Verdana" w:hAnsi="Verdana"/>
        </w:rPr>
        <w:t xml:space="preserve">.  </w:t>
      </w:r>
      <w:r>
        <w:rPr>
          <w:rFonts w:ascii="Verdana" w:hAnsi="Verdana"/>
        </w:rPr>
        <w:t>In HMP Parc, p</w:t>
      </w:r>
      <w:r w:rsidRPr="000A4898">
        <w:rPr>
          <w:rFonts w:ascii="Verdana" w:hAnsi="Verdana"/>
        </w:rPr>
        <w:t>eer researchers reflected upon the collaborative nature of the project; which involved discussion, combining skills and working together. This experience of setting common goals and being part of a team contributed to development of relationships, which increased a sense of collective identity and common cause.</w:t>
      </w:r>
      <w:r>
        <w:rPr>
          <w:rFonts w:ascii="Verdana" w:hAnsi="Verdana"/>
        </w:rPr>
        <w:t xml:space="preserve"> </w:t>
      </w:r>
      <w:r w:rsidRPr="004A0807">
        <w:rPr>
          <w:rFonts w:ascii="Verdana" w:hAnsi="Verdana"/>
          <w:i/>
          <w:color w:val="2EB6BE"/>
        </w:rPr>
        <w:t xml:space="preserve">“They were men who I didn’t really know and the project brought us closer together. We worked as a team with the common goal of identifying the health and well-being concerns.”  </w:t>
      </w:r>
      <w:r>
        <w:rPr>
          <w:rFonts w:ascii="Verdana" w:hAnsi="Verdana"/>
        </w:rPr>
        <w:t>(Peer researcher, HMP Parc).</w:t>
      </w:r>
      <w:r w:rsidRPr="000A4898">
        <w:rPr>
          <w:rFonts w:ascii="Verdana" w:hAnsi="Verdana"/>
        </w:rPr>
        <w:t xml:space="preserve"> </w:t>
      </w:r>
    </w:p>
    <w:p w14:paraId="19165C3D" w14:textId="3FEE07B0" w:rsidR="004A0807" w:rsidRPr="004A0807" w:rsidRDefault="004A0807" w:rsidP="004A0807">
      <w:pPr>
        <w:spacing w:after="0" w:line="240" w:lineRule="auto"/>
        <w:rPr>
          <w:rFonts w:ascii="Verdana" w:hAnsi="Verdana"/>
        </w:rPr>
      </w:pPr>
      <w:r>
        <w:rPr>
          <w:rFonts w:ascii="Verdana" w:hAnsi="Verdana"/>
        </w:rPr>
        <w:t xml:space="preserve">Positional power exists within all communities and effects how people act and behave towards each other. The participatory and collaborative approach acknowledged the power dynamics between the </w:t>
      </w:r>
      <w:r w:rsidRPr="000A4898">
        <w:rPr>
          <w:rFonts w:ascii="Verdana" w:hAnsi="Verdana"/>
        </w:rPr>
        <w:t>men in the prison community</w:t>
      </w:r>
      <w:r>
        <w:rPr>
          <w:rFonts w:ascii="Verdana" w:hAnsi="Verdana"/>
        </w:rPr>
        <w:t xml:space="preserve"> and facilitated trust, contributing to an increase </w:t>
      </w:r>
      <w:r w:rsidRPr="000A4898">
        <w:rPr>
          <w:rFonts w:ascii="Verdana" w:hAnsi="Verdana"/>
        </w:rPr>
        <w:t>of ‘power within’ felt by the men.</w:t>
      </w:r>
      <w:r>
        <w:rPr>
          <w:rFonts w:ascii="Verdana" w:hAnsi="Verdana"/>
        </w:rPr>
        <w:t xml:space="preserve"> </w:t>
      </w:r>
      <w:r w:rsidRPr="004A0807">
        <w:rPr>
          <w:rFonts w:ascii="Verdana" w:hAnsi="Verdana"/>
          <w:i/>
          <w:color w:val="2EB6BE"/>
        </w:rPr>
        <w:t>“I feel that they trusted us as researchers to take their information and use it to improve the conditions the men were currently living in.”</w:t>
      </w:r>
      <w:r>
        <w:rPr>
          <w:rFonts w:ascii="Verdana" w:hAnsi="Verdana"/>
        </w:rPr>
        <w:t xml:space="preserve"> (Peer researcher, HMP Parc).</w:t>
      </w:r>
      <w:r w:rsidRPr="000A4898">
        <w:rPr>
          <w:rFonts w:ascii="Verdana" w:hAnsi="Verdana"/>
        </w:rPr>
        <w:t xml:space="preserve"> </w:t>
      </w:r>
    </w:p>
    <w:p w14:paraId="09DD4669" w14:textId="77777777" w:rsidR="004A0807" w:rsidRPr="000A4898" w:rsidRDefault="004A0807" w:rsidP="004A0807">
      <w:pPr>
        <w:spacing w:after="0" w:line="240" w:lineRule="auto"/>
        <w:jc w:val="both"/>
        <w:rPr>
          <w:rFonts w:ascii="Verdana" w:hAnsi="Verdana"/>
        </w:rPr>
      </w:pPr>
    </w:p>
    <w:p w14:paraId="1D0CBAD2" w14:textId="3B180D58" w:rsidR="0026784E" w:rsidRDefault="004A0807" w:rsidP="004A0807">
      <w:pPr>
        <w:spacing w:after="0" w:line="240" w:lineRule="auto"/>
        <w:jc w:val="both"/>
        <w:rPr>
          <w:rFonts w:ascii="Verdana" w:hAnsi="Verdana"/>
        </w:rPr>
      </w:pPr>
      <w:r w:rsidRPr="000A4898">
        <w:rPr>
          <w:rFonts w:ascii="Verdana" w:hAnsi="Verdana"/>
        </w:rPr>
        <w:t>The research project also provided opportunities for peer researchers to engage in knowledge and skills development</w:t>
      </w:r>
      <w:r w:rsidR="00C90BF2">
        <w:rPr>
          <w:rFonts w:ascii="Verdana" w:hAnsi="Verdana"/>
        </w:rPr>
        <w:t>, for example</w:t>
      </w:r>
      <w:r w:rsidRPr="000A4898">
        <w:rPr>
          <w:rFonts w:ascii="Verdana" w:hAnsi="Verdana"/>
        </w:rPr>
        <w:t xml:space="preserve"> </w:t>
      </w:r>
      <w:r w:rsidR="00C90BF2">
        <w:rPr>
          <w:rFonts w:ascii="Verdana" w:hAnsi="Verdana"/>
        </w:rPr>
        <w:t>b</w:t>
      </w:r>
      <w:r w:rsidRPr="000A4898">
        <w:rPr>
          <w:rFonts w:ascii="Verdana" w:hAnsi="Verdana"/>
        </w:rPr>
        <w:t>eing able to communicate more effectively and to advocate for change motivated the men involved and raised</w:t>
      </w:r>
      <w:r w:rsidR="00C90BF2">
        <w:rPr>
          <w:rFonts w:ascii="Verdana" w:hAnsi="Verdana"/>
        </w:rPr>
        <w:t xml:space="preserve"> their</w:t>
      </w:r>
      <w:r w:rsidRPr="000A4898">
        <w:rPr>
          <w:rFonts w:ascii="Verdana" w:hAnsi="Verdana"/>
        </w:rPr>
        <w:t xml:space="preserve"> self-esteem</w:t>
      </w:r>
      <w:r w:rsidR="00C90BF2">
        <w:rPr>
          <w:rFonts w:ascii="Verdana" w:hAnsi="Verdana"/>
        </w:rPr>
        <w:t xml:space="preserve"> which</w:t>
      </w:r>
      <w:r w:rsidR="00583AD1">
        <w:rPr>
          <w:rFonts w:ascii="Verdana" w:hAnsi="Verdana"/>
        </w:rPr>
        <w:t xml:space="preserve"> </w:t>
      </w:r>
      <w:r w:rsidRPr="000A4898">
        <w:rPr>
          <w:rFonts w:ascii="Verdana" w:hAnsi="Verdana"/>
        </w:rPr>
        <w:t xml:space="preserve">lead to setting personal objectives and collective actions for the whole prison community. </w:t>
      </w:r>
    </w:p>
    <w:p w14:paraId="2980724B" w14:textId="77777777" w:rsidR="004A0807" w:rsidRPr="0026784E" w:rsidRDefault="004A0807" w:rsidP="004A0807">
      <w:pPr>
        <w:spacing w:after="0" w:line="240" w:lineRule="auto"/>
        <w:jc w:val="both"/>
      </w:pPr>
    </w:p>
    <w:p w14:paraId="64D58E08" w14:textId="05CA7820" w:rsidR="008429CE" w:rsidRDefault="004A0807" w:rsidP="006002FE">
      <w:pPr>
        <w:pStyle w:val="Barheadings"/>
      </w:pPr>
      <w:r>
        <w:t>What does this case study demonstrate?</w:t>
      </w:r>
    </w:p>
    <w:p w14:paraId="4496E400" w14:textId="77777777" w:rsidR="004A0807" w:rsidRPr="000A4898" w:rsidRDefault="004A0807" w:rsidP="004A0807">
      <w:pPr>
        <w:rPr>
          <w:rFonts w:ascii="Verdana" w:hAnsi="Verdana"/>
          <w:b/>
          <w:lang w:val="en-US"/>
        </w:rPr>
      </w:pPr>
      <w:r w:rsidRPr="000A4898">
        <w:rPr>
          <w:rFonts w:ascii="Verdana" w:hAnsi="Verdana"/>
          <w:lang w:val="en-US"/>
        </w:rPr>
        <w:t xml:space="preserve">This case study has presented learning from a particular project to explain power in practice. It has provided suggested explanations about why the methodology of engaging imprisoned men as peer researchers </w:t>
      </w:r>
      <w:r>
        <w:rPr>
          <w:rFonts w:ascii="Verdana" w:hAnsi="Verdana"/>
          <w:lang w:val="en-US"/>
        </w:rPr>
        <w:t xml:space="preserve">influenced the </w:t>
      </w:r>
      <w:r w:rsidRPr="000A4898">
        <w:rPr>
          <w:rFonts w:ascii="Verdana" w:hAnsi="Verdana"/>
          <w:lang w:val="en-US"/>
        </w:rPr>
        <w:t>power</w:t>
      </w:r>
      <w:r>
        <w:rPr>
          <w:rFonts w:ascii="Verdana" w:hAnsi="Verdana"/>
          <w:lang w:val="en-US"/>
        </w:rPr>
        <w:t xml:space="preserve"> balance</w:t>
      </w:r>
      <w:r w:rsidRPr="000A4898">
        <w:rPr>
          <w:rFonts w:ascii="Verdana" w:hAnsi="Verdana"/>
          <w:lang w:val="en-US"/>
        </w:rPr>
        <w:t xml:space="preserve"> within the prison community.</w:t>
      </w:r>
    </w:p>
    <w:p w14:paraId="6BB5A5BF" w14:textId="77777777" w:rsidR="004A0807" w:rsidRDefault="004A0807" w:rsidP="004A0807">
      <w:pPr>
        <w:rPr>
          <w:rFonts w:ascii="Verdana" w:hAnsi="Verdana"/>
          <w:lang w:val="en-US"/>
        </w:rPr>
      </w:pPr>
      <w:r w:rsidRPr="000A4898">
        <w:rPr>
          <w:rFonts w:ascii="Verdana" w:hAnsi="Verdana"/>
          <w:lang w:val="en-US"/>
        </w:rPr>
        <w:t>Acknowledging power dynamics within communities, and being honest about</w:t>
      </w:r>
      <w:r>
        <w:rPr>
          <w:rFonts w:ascii="Verdana" w:hAnsi="Verdana"/>
          <w:lang w:val="en-US"/>
        </w:rPr>
        <w:t xml:space="preserve"> working together to enable new configurations of power that increase community ‘power within’,  ‘power with’  and ‘power to’, is </w:t>
      </w:r>
      <w:r w:rsidRPr="000A4898">
        <w:rPr>
          <w:rFonts w:ascii="Verdana" w:hAnsi="Verdana"/>
          <w:lang w:val="en-US"/>
        </w:rPr>
        <w:t>crucial to creating the conditions for meaningful engagement that leads to empowerment.</w:t>
      </w:r>
    </w:p>
    <w:p w14:paraId="704C97E7" w14:textId="3F816CF9" w:rsidR="00DC2EC6" w:rsidRPr="005E35AF" w:rsidRDefault="00C90BF2" w:rsidP="005E35AF">
      <w:pPr>
        <w:rPr>
          <w:rFonts w:ascii="Verdana" w:hAnsi="Verdana"/>
          <w:lang w:val="en-US"/>
        </w:rPr>
      </w:pPr>
      <w:r>
        <w:rPr>
          <w:rFonts w:ascii="Verdana" w:hAnsi="Verdana"/>
          <w:lang w:val="en-US"/>
        </w:rPr>
        <w:t>In</w:t>
      </w:r>
      <w:r w:rsidRPr="000A4898">
        <w:rPr>
          <w:rFonts w:ascii="Verdana" w:hAnsi="Verdana"/>
          <w:lang w:val="en-US"/>
        </w:rPr>
        <w:t xml:space="preserve"> order to bring about change </w:t>
      </w:r>
      <w:r>
        <w:rPr>
          <w:rFonts w:ascii="Verdana" w:hAnsi="Verdana"/>
          <w:lang w:val="en-US"/>
        </w:rPr>
        <w:t>o</w:t>
      </w:r>
      <w:r w:rsidR="004A0807" w:rsidRPr="000A4898">
        <w:rPr>
          <w:rFonts w:ascii="Verdana" w:hAnsi="Verdana"/>
          <w:lang w:val="en-US"/>
        </w:rPr>
        <w:t xml:space="preserve">rganisations need to be willing to listen to communities, taking direct </w:t>
      </w:r>
      <w:r w:rsidRPr="000A4898">
        <w:rPr>
          <w:rFonts w:ascii="Verdana" w:hAnsi="Verdana"/>
          <w:lang w:val="en-US"/>
        </w:rPr>
        <w:t xml:space="preserve">action </w:t>
      </w:r>
      <w:r>
        <w:rPr>
          <w:rFonts w:ascii="Verdana" w:hAnsi="Verdana"/>
          <w:lang w:val="en-US"/>
        </w:rPr>
        <w:t>and/</w:t>
      </w:r>
      <w:r w:rsidR="004A0807" w:rsidRPr="000A4898">
        <w:rPr>
          <w:rFonts w:ascii="Verdana" w:hAnsi="Verdana"/>
          <w:lang w:val="en-US"/>
        </w:rPr>
        <w:t xml:space="preserve">or influencing the actions of others. The importance of positive and trusting relationships and their contribution to self and group efficacy cannot be underestimated. </w:t>
      </w:r>
    </w:p>
    <w:p w14:paraId="15DA8285" w14:textId="5167DC86" w:rsidR="00B36078" w:rsidRPr="00712570" w:rsidRDefault="005E35AF" w:rsidP="006002FE">
      <w:pPr>
        <w:pStyle w:val="Barheadings"/>
      </w:pPr>
      <w:r>
        <w:t>Producing this case study</w:t>
      </w:r>
    </w:p>
    <w:p w14:paraId="44717ACE" w14:textId="77777777" w:rsidR="005E35AF" w:rsidRPr="000A4898" w:rsidRDefault="005E35AF" w:rsidP="005E35AF">
      <w:pPr>
        <w:rPr>
          <w:rFonts w:ascii="Verdana" w:hAnsi="Verdana"/>
        </w:rPr>
      </w:pPr>
      <w:r w:rsidRPr="000A4898">
        <w:rPr>
          <w:rFonts w:ascii="Verdana" w:hAnsi="Verdana"/>
        </w:rPr>
        <w:t xml:space="preserve">This case was selected through conversation with the project lead, following presentation of the findings from the study at a research showcase conference. It was agreed that the peer research methodology had an impact upon the configurations of power within the prison, and that an explanatory case study would be an appropriate way to investigate why this may have been so, explaining the presumed causal links in this complex situation. </w:t>
      </w:r>
    </w:p>
    <w:p w14:paraId="508117DD" w14:textId="77777777" w:rsidR="005E35AF" w:rsidRDefault="005E35AF" w:rsidP="005E35AF">
      <w:pPr>
        <w:rPr>
          <w:rFonts w:ascii="Verdana" w:hAnsi="Verdana"/>
          <w:b/>
          <w:lang w:val="en-US"/>
        </w:rPr>
      </w:pPr>
      <w:r w:rsidRPr="000A4898">
        <w:rPr>
          <w:rFonts w:ascii="Verdana" w:hAnsi="Verdana"/>
        </w:rPr>
        <w:t xml:space="preserve">Existing material generated by the </w:t>
      </w:r>
      <w:r>
        <w:rPr>
          <w:rFonts w:ascii="Verdana" w:hAnsi="Verdana"/>
        </w:rPr>
        <w:t>peer research project</w:t>
      </w:r>
      <w:r w:rsidRPr="000A4898">
        <w:rPr>
          <w:rFonts w:ascii="Verdana" w:hAnsi="Verdana"/>
        </w:rPr>
        <w:t xml:space="preserve"> was reviewed. Key documents were identified and shared by the </w:t>
      </w:r>
      <w:r>
        <w:rPr>
          <w:rFonts w:ascii="Verdana" w:hAnsi="Verdana"/>
        </w:rPr>
        <w:t>project</w:t>
      </w:r>
      <w:r w:rsidRPr="000A4898">
        <w:rPr>
          <w:rFonts w:ascii="Verdana" w:hAnsi="Verdana"/>
        </w:rPr>
        <w:t xml:space="preserve"> lead, with the necessary appropriate permissions. These </w:t>
      </w:r>
      <w:r w:rsidRPr="000A4898">
        <w:rPr>
          <w:rFonts w:ascii="Verdana" w:hAnsi="Verdana"/>
        </w:rPr>
        <w:lastRenderedPageBreak/>
        <w:t xml:space="preserve">included reflections from peer researchers and research reports. A database was created to organise and document the information gathered. Through explanation building analysis techniques, an interpretation of lived experience has been produced which aims to provide; insight into how this prison community made sense of power within the </w:t>
      </w:r>
      <w:r>
        <w:rPr>
          <w:rFonts w:ascii="Verdana" w:hAnsi="Verdana"/>
        </w:rPr>
        <w:t>project</w:t>
      </w:r>
      <w:r w:rsidRPr="000A4898">
        <w:rPr>
          <w:rFonts w:ascii="Verdana" w:hAnsi="Verdana"/>
        </w:rPr>
        <w:t>, and a narrative explanation of why power configurations changed within the community</w:t>
      </w:r>
      <w:r>
        <w:rPr>
          <w:rFonts w:ascii="Verdana" w:hAnsi="Verdana"/>
        </w:rPr>
        <w:t>.</w:t>
      </w:r>
      <w:r w:rsidRPr="000A4898">
        <w:rPr>
          <w:rFonts w:ascii="Verdana" w:hAnsi="Verdana"/>
        </w:rPr>
        <w:t xml:space="preserve"> This case study has been reviewed by the</w:t>
      </w:r>
      <w:r>
        <w:rPr>
          <w:rFonts w:ascii="Verdana" w:hAnsi="Verdana"/>
        </w:rPr>
        <w:t xml:space="preserve"> peer research</w:t>
      </w:r>
      <w:r w:rsidRPr="000A4898">
        <w:rPr>
          <w:rFonts w:ascii="Verdana" w:hAnsi="Verdana"/>
        </w:rPr>
        <w:t xml:space="preserve"> project lead.</w:t>
      </w:r>
    </w:p>
    <w:p w14:paraId="17FAF41E" w14:textId="77777777" w:rsidR="005E35AF" w:rsidRDefault="005E35AF" w:rsidP="005E35AF">
      <w:pPr>
        <w:pStyle w:val="Boldsubheadblue"/>
      </w:pPr>
    </w:p>
    <w:p w14:paraId="24F3C70A" w14:textId="31F70904" w:rsidR="005E35AF" w:rsidRDefault="005E35AF" w:rsidP="005E35AF">
      <w:pPr>
        <w:pStyle w:val="Boldsubheadblue"/>
      </w:pPr>
    </w:p>
    <w:p w14:paraId="6D21BA03" w14:textId="41EA03F2" w:rsidR="005E35AF" w:rsidRDefault="005E35AF" w:rsidP="005E35AF">
      <w:pPr>
        <w:pStyle w:val="Boldsubheadblue"/>
      </w:pPr>
    </w:p>
    <w:p w14:paraId="49A62252" w14:textId="057F819A" w:rsidR="005E35AF" w:rsidRDefault="005E35AF" w:rsidP="005E35AF">
      <w:pPr>
        <w:pStyle w:val="Boldsubheadblue"/>
      </w:pPr>
    </w:p>
    <w:p w14:paraId="079BB44F" w14:textId="7B60F97C" w:rsidR="005E35AF" w:rsidRDefault="005E35AF" w:rsidP="005E35AF">
      <w:pPr>
        <w:pStyle w:val="Boldsubheadblue"/>
      </w:pPr>
    </w:p>
    <w:p w14:paraId="5250127E" w14:textId="64E23CC5" w:rsidR="005E35AF" w:rsidRDefault="005E35AF" w:rsidP="005E35AF">
      <w:pPr>
        <w:pStyle w:val="Boldsubheadblue"/>
      </w:pPr>
    </w:p>
    <w:p w14:paraId="564238F7" w14:textId="45904F0C" w:rsidR="005E35AF" w:rsidRDefault="005E35AF" w:rsidP="005E35AF">
      <w:pPr>
        <w:pStyle w:val="Boldsubheadblue"/>
      </w:pPr>
    </w:p>
    <w:p w14:paraId="4C3547BD" w14:textId="330E0955" w:rsidR="005E35AF" w:rsidRDefault="005E35AF" w:rsidP="005E35AF">
      <w:pPr>
        <w:pStyle w:val="Boldsubheadblue"/>
      </w:pPr>
    </w:p>
    <w:p w14:paraId="3C88DC65" w14:textId="697BD259" w:rsidR="005E35AF" w:rsidRDefault="005E35AF" w:rsidP="005E35AF">
      <w:pPr>
        <w:pStyle w:val="Boldsubheadblue"/>
      </w:pPr>
    </w:p>
    <w:p w14:paraId="4E41A15C" w14:textId="46D81805" w:rsidR="005E35AF" w:rsidRDefault="005E35AF" w:rsidP="005E35AF">
      <w:pPr>
        <w:pStyle w:val="Boldsubheadblue"/>
      </w:pPr>
    </w:p>
    <w:p w14:paraId="6B1E4A3C" w14:textId="0412D883" w:rsidR="005E35AF" w:rsidRDefault="005E35AF" w:rsidP="005E35AF">
      <w:pPr>
        <w:pStyle w:val="Boldsubheadblue"/>
      </w:pPr>
    </w:p>
    <w:p w14:paraId="2B94A132" w14:textId="3F01C44F" w:rsidR="005E35AF" w:rsidRDefault="005E35AF" w:rsidP="005E35AF">
      <w:pPr>
        <w:pStyle w:val="Boldsubheadblue"/>
      </w:pPr>
    </w:p>
    <w:p w14:paraId="03934D86" w14:textId="77777777" w:rsidR="005E35AF" w:rsidRDefault="005E35AF" w:rsidP="005E35AF">
      <w:pPr>
        <w:pStyle w:val="Boldsubheadblue"/>
      </w:pPr>
    </w:p>
    <w:p w14:paraId="7EDE032A" w14:textId="77777777" w:rsidR="00FA3583" w:rsidRDefault="00FA3583" w:rsidP="005E35AF">
      <w:pPr>
        <w:pStyle w:val="Boldsubheadblue"/>
      </w:pPr>
    </w:p>
    <w:p w14:paraId="108AB207" w14:textId="77777777" w:rsidR="00FA3583" w:rsidRDefault="00FA3583" w:rsidP="005E35AF">
      <w:pPr>
        <w:pStyle w:val="Boldsubheadblue"/>
      </w:pPr>
    </w:p>
    <w:p w14:paraId="20F77078" w14:textId="262C677B" w:rsidR="005E35AF" w:rsidRDefault="005E35AF" w:rsidP="005E35AF">
      <w:pPr>
        <w:pStyle w:val="Boldsubheadblue"/>
      </w:pPr>
      <w:r>
        <w:t>References</w:t>
      </w:r>
    </w:p>
    <w:p w14:paraId="5A29B4E6" w14:textId="77777777" w:rsidR="005E35AF" w:rsidRDefault="005E35AF" w:rsidP="005E35AF">
      <w:pPr>
        <w:rPr>
          <w:rFonts w:ascii="Verdana" w:hAnsi="Verdana"/>
        </w:rPr>
      </w:pPr>
      <w:r w:rsidRPr="000A4898">
        <w:rPr>
          <w:rFonts w:ascii="Verdana" w:hAnsi="Verdana"/>
        </w:rPr>
        <w:t>L.C.G., D.C.E., S E Perrett. 2017. A peer-research exploration of well-being amongst older and younger men at HMP Parc, Wales, UK</w:t>
      </w:r>
    </w:p>
    <w:p w14:paraId="0D0DC07D" w14:textId="77777777" w:rsidR="005E35AF" w:rsidRDefault="005E35AF" w:rsidP="005E35AF">
      <w:pPr>
        <w:rPr>
          <w:rFonts w:ascii="Verdana" w:hAnsi="Verdana"/>
        </w:rPr>
      </w:pPr>
      <w:r w:rsidRPr="00C5101A">
        <w:rPr>
          <w:rFonts w:ascii="Verdana" w:hAnsi="Verdana"/>
        </w:rPr>
        <w:t>South, J., Bagnall, A. M., Hulme, C., Woodall, J., Longo, R., Kinsella, K., Raine, G., Vinall-Collier, K. and Wright, N. (2014) “A systematic review of the effectiveness and cost-effectiveness of peer-based interventions to maintain and improve offender health in prison settings”, Health Services and Delivery Research, Vol. 2 No. 35</w:t>
      </w:r>
    </w:p>
    <w:p w14:paraId="639E3939" w14:textId="77777777" w:rsidR="005E35AF" w:rsidRDefault="005E35AF" w:rsidP="005E35AF">
      <w:pPr>
        <w:rPr>
          <w:rFonts w:ascii="Verdana" w:hAnsi="Verdana"/>
        </w:rPr>
      </w:pPr>
      <w:r w:rsidRPr="00C5101A">
        <w:rPr>
          <w:rFonts w:ascii="Verdana" w:hAnsi="Verdana"/>
        </w:rPr>
        <w:t>Bagnall, A., South, J., Hulme, C., Woodall, J., Vinall-Collier, K., Raine, G., Kinsella, K., Dixey, R., Harris, L. and Wright, N. M. (2015) “A systematic review of the effectiveness and cost-effectiveness of peer education and peer support in prisons”, BMC Public Health, Vol. 15 No. 290.</w:t>
      </w:r>
    </w:p>
    <w:p w14:paraId="2611F87C" w14:textId="2ABF2946" w:rsidR="00E47E66" w:rsidRPr="0026784E" w:rsidRDefault="005E35AF" w:rsidP="00FA3583">
      <w:pPr>
        <w:spacing w:after="0"/>
      </w:pPr>
      <w:r w:rsidRPr="009B7822">
        <w:rPr>
          <w:rFonts w:ascii="Verdana" w:hAnsi="Verdana"/>
        </w:rPr>
        <w:t>R. Elwood Martin, K. Murphy, D. Hanson, C. Hemingway, V Ramsden, J Buxton, A. Granger</w:t>
      </w:r>
      <w:r w:rsidRPr="009B7822">
        <w:rPr>
          <w:rFonts w:ascii="Cambria Math" w:hAnsi="Cambria Math" w:cs="Cambria Math"/>
        </w:rPr>
        <w:t>‐</w:t>
      </w:r>
      <w:r w:rsidRPr="009B7822">
        <w:rPr>
          <w:rFonts w:ascii="Verdana" w:hAnsi="Verdana"/>
        </w:rPr>
        <w:t>Brown, L</w:t>
      </w:r>
      <w:r w:rsidRPr="009B7822">
        <w:rPr>
          <w:rFonts w:ascii="Cambria Math" w:hAnsi="Cambria Math" w:cs="Cambria Math"/>
        </w:rPr>
        <w:t>‐</w:t>
      </w:r>
      <w:r w:rsidRPr="009B7822">
        <w:rPr>
          <w:rFonts w:ascii="Verdana" w:hAnsi="Verdana"/>
        </w:rPr>
        <w:t>L. Condello, M. Buchanan, N. Espinoza</w:t>
      </w:r>
      <w:r w:rsidRPr="009B7822">
        <w:rPr>
          <w:rFonts w:ascii="Cambria Math" w:hAnsi="Cambria Math" w:cs="Cambria Math"/>
        </w:rPr>
        <w:t>‐</w:t>
      </w:r>
      <w:r w:rsidRPr="009B7822">
        <w:rPr>
          <w:rFonts w:ascii="Verdana" w:hAnsi="Verdana"/>
        </w:rPr>
        <w:t>Magana, G. Edworthy and T. G. Hislop(2009)"The development of participatory health research among incarcerated women in a Canadian prison", International Journal of Prisoner Health,Vol. 5No. 2, pp. 95-107</w:t>
      </w:r>
      <w:bookmarkStart w:id="0" w:name="_GoBack"/>
      <w:bookmarkEnd w:id="0"/>
    </w:p>
    <w:sectPr w:rsidR="00E47E66" w:rsidRPr="0026784E" w:rsidSect="001C6108">
      <w:headerReference w:type="even" r:id="rId7"/>
      <w:headerReference w:type="default" r:id="rId8"/>
      <w:footerReference w:type="even" r:id="rId9"/>
      <w:footerReference w:type="default" r:id="rId10"/>
      <w:headerReference w:type="first" r:id="rId11"/>
      <w:footerReference w:type="first" r:id="rId12"/>
      <w:pgSz w:w="11906" w:h="16838"/>
      <w:pgMar w:top="2835" w:right="567" w:bottom="816"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6E198" w14:textId="77777777" w:rsidR="007D16F4" w:rsidRDefault="007D16F4" w:rsidP="00584E90">
      <w:pPr>
        <w:spacing w:after="0" w:line="240" w:lineRule="auto"/>
      </w:pPr>
      <w:r>
        <w:separator/>
      </w:r>
    </w:p>
  </w:endnote>
  <w:endnote w:type="continuationSeparator" w:id="0">
    <w:p w14:paraId="222152F2" w14:textId="77777777" w:rsidR="007D16F4" w:rsidRDefault="007D16F4" w:rsidP="0058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5E1C" w14:textId="77777777" w:rsidR="00F95B7E" w:rsidRDefault="00F95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9D750" w14:textId="77777777" w:rsidR="00F95B7E" w:rsidRDefault="00F95B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CBE8" w14:textId="77777777" w:rsidR="00F95B7E" w:rsidRDefault="00F95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46AF4" w14:textId="77777777" w:rsidR="007D16F4" w:rsidRDefault="007D16F4" w:rsidP="00584E90">
      <w:pPr>
        <w:spacing w:after="0" w:line="240" w:lineRule="auto"/>
      </w:pPr>
      <w:r>
        <w:separator/>
      </w:r>
    </w:p>
  </w:footnote>
  <w:footnote w:type="continuationSeparator" w:id="0">
    <w:p w14:paraId="5C6FFBA2" w14:textId="77777777" w:rsidR="007D16F4" w:rsidRDefault="007D16F4" w:rsidP="00584E90">
      <w:pPr>
        <w:spacing w:after="0" w:line="240" w:lineRule="auto"/>
      </w:pPr>
      <w:r>
        <w:continuationSeparator/>
      </w:r>
    </w:p>
  </w:footnote>
  <w:footnote w:id="1">
    <w:p w14:paraId="3D16369E" w14:textId="77777777" w:rsidR="004A0807" w:rsidRDefault="004A0807" w:rsidP="004A0807">
      <w:pPr>
        <w:pStyle w:val="FootnoteText"/>
      </w:pPr>
      <w:r>
        <w:rPr>
          <w:rStyle w:val="FootnoteReference"/>
        </w:rPr>
        <w:footnoteRef/>
      </w:r>
      <w:r>
        <w:t xml:space="preserve"> </w:t>
      </w:r>
      <w:r w:rsidRPr="000A4898">
        <w:rPr>
          <w:rFonts w:ascii="Verdana" w:hAnsi="Verdana"/>
        </w:rPr>
        <w:t>L.C.G., D.C.E., S E Perrett. 2017. A peer-research exploration of well-being amongst older and younger men at HMP Parc, Wales, UK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6D22E" w14:textId="5DE38E5C" w:rsidR="00584E90" w:rsidRDefault="00584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95E59" w14:textId="2311059D" w:rsidR="001800D1" w:rsidRPr="00555697" w:rsidRDefault="00F95B7E" w:rsidP="006700BF">
    <w:pPr>
      <w:spacing w:after="0"/>
      <w:ind w:left="2160"/>
      <w:rPr>
        <w:rFonts w:ascii="Verdana" w:hAnsi="Verdana"/>
        <w:b/>
        <w:color w:val="FFFFFF" w:themeColor="background1"/>
        <w:sz w:val="24"/>
        <w:szCs w:val="24"/>
      </w:rPr>
    </w:pPr>
    <w:r>
      <w:rPr>
        <w:rFonts w:ascii="Verdana" w:hAnsi="Verdana"/>
        <w:b/>
        <w:bCs/>
        <w:noProof/>
        <w:color w:val="FFFFFF" w:themeColor="background1"/>
        <w:sz w:val="28"/>
        <w:szCs w:val="28"/>
        <w:lang w:eastAsia="en-GB"/>
      </w:rPr>
      <w:drawing>
        <wp:anchor distT="0" distB="0" distL="114300" distR="114300" simplePos="0" relativeHeight="251664384" behindDoc="1" locked="0" layoutInCell="1" allowOverlap="1" wp14:anchorId="134F43E4" wp14:editId="238D5F72">
          <wp:simplePos x="0" y="0"/>
          <wp:positionH relativeFrom="column">
            <wp:posOffset>-376555</wp:posOffset>
          </wp:positionH>
          <wp:positionV relativeFrom="paragraph">
            <wp:posOffset>-351388</wp:posOffset>
          </wp:positionV>
          <wp:extent cx="7610159" cy="180363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 panels3.jpg"/>
                  <pic:cNvPicPr/>
                </pic:nvPicPr>
                <pic:blipFill>
                  <a:blip r:embed="rId1">
                    <a:extLst>
                      <a:ext uri="{28A0092B-C50C-407E-A947-70E740481C1C}">
                        <a14:useLocalDpi xmlns:a14="http://schemas.microsoft.com/office/drawing/2010/main" val="0"/>
                      </a:ext>
                    </a:extLst>
                  </a:blip>
                  <a:stretch>
                    <a:fillRect/>
                  </a:stretch>
                </pic:blipFill>
                <pic:spPr>
                  <a:xfrm>
                    <a:off x="0" y="0"/>
                    <a:ext cx="7610159" cy="1803633"/>
                  </a:xfrm>
                  <a:prstGeom prst="rect">
                    <a:avLst/>
                  </a:prstGeom>
                </pic:spPr>
              </pic:pic>
            </a:graphicData>
          </a:graphic>
          <wp14:sizeRelH relativeFrom="page">
            <wp14:pctWidth>0</wp14:pctWidth>
          </wp14:sizeRelH>
          <wp14:sizeRelV relativeFrom="page">
            <wp14:pctHeight>0</wp14:pctHeight>
          </wp14:sizeRelV>
        </wp:anchor>
      </w:drawing>
    </w:r>
    <w:r w:rsidR="0026784E" w:rsidRPr="0026784E">
      <w:rPr>
        <w:rFonts w:ascii="Verdana" w:hAnsi="Verdana"/>
        <w:b/>
        <w:bCs/>
        <w:color w:val="FFFFFF" w:themeColor="background1"/>
        <w:sz w:val="28"/>
        <w:szCs w:val="28"/>
      </w:rPr>
      <w:t xml:space="preserve">Principle </w:t>
    </w:r>
    <w:r w:rsidR="006700BF">
      <w:rPr>
        <w:rFonts w:ascii="Verdana" w:hAnsi="Verdana"/>
        <w:b/>
        <w:bCs/>
        <w:color w:val="FFFFFF" w:themeColor="background1"/>
        <w:sz w:val="28"/>
        <w:szCs w:val="28"/>
      </w:rPr>
      <w:t>3</w:t>
    </w:r>
    <w:r w:rsidR="0026784E" w:rsidRPr="0026784E">
      <w:rPr>
        <w:rFonts w:ascii="Verdana" w:hAnsi="Verdana"/>
        <w:b/>
        <w:bCs/>
        <w:color w:val="FFFFFF" w:themeColor="background1"/>
        <w:sz w:val="28"/>
        <w:szCs w:val="28"/>
      </w:rPr>
      <w:t xml:space="preserve">:  </w:t>
    </w:r>
    <w:r w:rsidR="0026784E" w:rsidRPr="0026784E">
      <w:rPr>
        <w:rFonts w:ascii="Verdana" w:hAnsi="Verdana"/>
        <w:b/>
        <w:bCs/>
        <w:color w:val="FFFFFF" w:themeColor="background1"/>
        <w:sz w:val="28"/>
        <w:szCs w:val="28"/>
      </w:rPr>
      <w:br/>
    </w:r>
    <w:r w:rsidR="006700BF" w:rsidRPr="00555697">
      <w:rPr>
        <w:rFonts w:ascii="Verdana" w:hAnsi="Verdana"/>
        <w:b/>
        <w:color w:val="FFFFFF" w:themeColor="background1"/>
        <w:sz w:val="24"/>
        <w:szCs w:val="24"/>
      </w:rPr>
      <w:t>Community engagement, which leads to individual and community empowerment, means acknowledging the power imbalance and being explicit about relinquishing power</w:t>
    </w:r>
    <w:r w:rsidR="00BA791E" w:rsidRPr="00555697">
      <w:rPr>
        <w:rFonts w:ascii="Verdana" w:hAnsi="Verdana"/>
        <w:b/>
        <w:color w:val="FFFFFF" w:themeColor="background1"/>
        <w:sz w:val="24"/>
        <w:szCs w:val="24"/>
      </w:rPr>
      <w:t xml:space="preserve">. </w:t>
    </w:r>
  </w:p>
  <w:p w14:paraId="1B0E628B" w14:textId="7DD9562E" w:rsidR="00584E90" w:rsidRDefault="00584E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EFE05" w14:textId="74258170" w:rsidR="00584E90" w:rsidRDefault="00584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21C76"/>
    <w:multiLevelType w:val="hybridMultilevel"/>
    <w:tmpl w:val="734A5B46"/>
    <w:lvl w:ilvl="0" w:tplc="74B0ED90">
      <w:start w:val="1"/>
      <w:numFmt w:val="bullet"/>
      <w:lvlText w:val=""/>
      <w:lvlJc w:val="left"/>
      <w:pPr>
        <w:ind w:left="1080" w:hanging="360"/>
      </w:pPr>
      <w:rPr>
        <w:rFonts w:ascii="Symbol" w:hAnsi="Symbol" w:hint="default"/>
        <w:color w:val="31B6BE"/>
        <w:sz w:val="2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DF2276E"/>
    <w:multiLevelType w:val="hybridMultilevel"/>
    <w:tmpl w:val="C3BEF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E65DFF"/>
    <w:multiLevelType w:val="hybridMultilevel"/>
    <w:tmpl w:val="8B6AC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630434"/>
    <w:multiLevelType w:val="hybridMultilevel"/>
    <w:tmpl w:val="F93E54F2"/>
    <w:lvl w:ilvl="0" w:tplc="2AAC80F0">
      <w:start w:val="1"/>
      <w:numFmt w:val="bullet"/>
      <w:lvlText w:val="•"/>
      <w:lvlJc w:val="left"/>
      <w:pPr>
        <w:tabs>
          <w:tab w:val="num" w:pos="720"/>
        </w:tabs>
        <w:ind w:left="720" w:hanging="360"/>
      </w:pPr>
      <w:rPr>
        <w:rFonts w:ascii="Arial" w:hAnsi="Arial" w:hint="default"/>
      </w:rPr>
    </w:lvl>
    <w:lvl w:ilvl="1" w:tplc="13646AF6" w:tentative="1">
      <w:start w:val="1"/>
      <w:numFmt w:val="bullet"/>
      <w:lvlText w:val="•"/>
      <w:lvlJc w:val="left"/>
      <w:pPr>
        <w:tabs>
          <w:tab w:val="num" w:pos="1440"/>
        </w:tabs>
        <w:ind w:left="1440" w:hanging="360"/>
      </w:pPr>
      <w:rPr>
        <w:rFonts w:ascii="Arial" w:hAnsi="Arial" w:hint="default"/>
      </w:rPr>
    </w:lvl>
    <w:lvl w:ilvl="2" w:tplc="BB821E86" w:tentative="1">
      <w:start w:val="1"/>
      <w:numFmt w:val="bullet"/>
      <w:lvlText w:val="•"/>
      <w:lvlJc w:val="left"/>
      <w:pPr>
        <w:tabs>
          <w:tab w:val="num" w:pos="2160"/>
        </w:tabs>
        <w:ind w:left="2160" w:hanging="360"/>
      </w:pPr>
      <w:rPr>
        <w:rFonts w:ascii="Arial" w:hAnsi="Arial" w:hint="default"/>
      </w:rPr>
    </w:lvl>
    <w:lvl w:ilvl="3" w:tplc="4FAE4C20" w:tentative="1">
      <w:start w:val="1"/>
      <w:numFmt w:val="bullet"/>
      <w:lvlText w:val="•"/>
      <w:lvlJc w:val="left"/>
      <w:pPr>
        <w:tabs>
          <w:tab w:val="num" w:pos="2880"/>
        </w:tabs>
        <w:ind w:left="2880" w:hanging="360"/>
      </w:pPr>
      <w:rPr>
        <w:rFonts w:ascii="Arial" w:hAnsi="Arial" w:hint="default"/>
      </w:rPr>
    </w:lvl>
    <w:lvl w:ilvl="4" w:tplc="D7B603CA" w:tentative="1">
      <w:start w:val="1"/>
      <w:numFmt w:val="bullet"/>
      <w:lvlText w:val="•"/>
      <w:lvlJc w:val="left"/>
      <w:pPr>
        <w:tabs>
          <w:tab w:val="num" w:pos="3600"/>
        </w:tabs>
        <w:ind w:left="3600" w:hanging="360"/>
      </w:pPr>
      <w:rPr>
        <w:rFonts w:ascii="Arial" w:hAnsi="Arial" w:hint="default"/>
      </w:rPr>
    </w:lvl>
    <w:lvl w:ilvl="5" w:tplc="D2664740" w:tentative="1">
      <w:start w:val="1"/>
      <w:numFmt w:val="bullet"/>
      <w:lvlText w:val="•"/>
      <w:lvlJc w:val="left"/>
      <w:pPr>
        <w:tabs>
          <w:tab w:val="num" w:pos="4320"/>
        </w:tabs>
        <w:ind w:left="4320" w:hanging="360"/>
      </w:pPr>
      <w:rPr>
        <w:rFonts w:ascii="Arial" w:hAnsi="Arial" w:hint="default"/>
      </w:rPr>
    </w:lvl>
    <w:lvl w:ilvl="6" w:tplc="DE0C2A86" w:tentative="1">
      <w:start w:val="1"/>
      <w:numFmt w:val="bullet"/>
      <w:lvlText w:val="•"/>
      <w:lvlJc w:val="left"/>
      <w:pPr>
        <w:tabs>
          <w:tab w:val="num" w:pos="5040"/>
        </w:tabs>
        <w:ind w:left="5040" w:hanging="360"/>
      </w:pPr>
      <w:rPr>
        <w:rFonts w:ascii="Arial" w:hAnsi="Arial" w:hint="default"/>
      </w:rPr>
    </w:lvl>
    <w:lvl w:ilvl="7" w:tplc="D640055C" w:tentative="1">
      <w:start w:val="1"/>
      <w:numFmt w:val="bullet"/>
      <w:lvlText w:val="•"/>
      <w:lvlJc w:val="left"/>
      <w:pPr>
        <w:tabs>
          <w:tab w:val="num" w:pos="5760"/>
        </w:tabs>
        <w:ind w:left="5760" w:hanging="360"/>
      </w:pPr>
      <w:rPr>
        <w:rFonts w:ascii="Arial" w:hAnsi="Arial" w:hint="default"/>
      </w:rPr>
    </w:lvl>
    <w:lvl w:ilvl="8" w:tplc="D8D2A7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7A25292"/>
    <w:multiLevelType w:val="hybridMultilevel"/>
    <w:tmpl w:val="E1204522"/>
    <w:lvl w:ilvl="0" w:tplc="B27A696C">
      <w:start w:val="1"/>
      <w:numFmt w:val="bullet"/>
      <w:pStyle w:val="Bullets"/>
      <w:lvlText w:val=""/>
      <w:lvlJc w:val="left"/>
      <w:pPr>
        <w:ind w:left="1069" w:hanging="360"/>
      </w:pPr>
      <w:rPr>
        <w:rFonts w:ascii="Symbol" w:hAnsi="Symbol" w:hint="default"/>
        <w:color w:val="31B6BE"/>
        <w:sz w:val="28"/>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5" w15:restartNumberingAfterBreak="0">
    <w:nsid w:val="7A9738DF"/>
    <w:multiLevelType w:val="hybridMultilevel"/>
    <w:tmpl w:val="F91E94E2"/>
    <w:lvl w:ilvl="0" w:tplc="1A68837A">
      <w:start w:val="1"/>
      <w:numFmt w:val="bullet"/>
      <w:lvlText w:val="•"/>
      <w:lvlJc w:val="left"/>
      <w:pPr>
        <w:tabs>
          <w:tab w:val="num" w:pos="720"/>
        </w:tabs>
        <w:ind w:left="720" w:hanging="360"/>
      </w:pPr>
      <w:rPr>
        <w:rFonts w:ascii="Arial" w:hAnsi="Arial" w:hint="default"/>
      </w:rPr>
    </w:lvl>
    <w:lvl w:ilvl="1" w:tplc="5F4C3C24" w:tentative="1">
      <w:start w:val="1"/>
      <w:numFmt w:val="bullet"/>
      <w:lvlText w:val="•"/>
      <w:lvlJc w:val="left"/>
      <w:pPr>
        <w:tabs>
          <w:tab w:val="num" w:pos="1440"/>
        </w:tabs>
        <w:ind w:left="1440" w:hanging="360"/>
      </w:pPr>
      <w:rPr>
        <w:rFonts w:ascii="Arial" w:hAnsi="Arial" w:hint="default"/>
      </w:rPr>
    </w:lvl>
    <w:lvl w:ilvl="2" w:tplc="98964470" w:tentative="1">
      <w:start w:val="1"/>
      <w:numFmt w:val="bullet"/>
      <w:lvlText w:val="•"/>
      <w:lvlJc w:val="left"/>
      <w:pPr>
        <w:tabs>
          <w:tab w:val="num" w:pos="2160"/>
        </w:tabs>
        <w:ind w:left="2160" w:hanging="360"/>
      </w:pPr>
      <w:rPr>
        <w:rFonts w:ascii="Arial" w:hAnsi="Arial" w:hint="default"/>
      </w:rPr>
    </w:lvl>
    <w:lvl w:ilvl="3" w:tplc="F42CE28C" w:tentative="1">
      <w:start w:val="1"/>
      <w:numFmt w:val="bullet"/>
      <w:lvlText w:val="•"/>
      <w:lvlJc w:val="left"/>
      <w:pPr>
        <w:tabs>
          <w:tab w:val="num" w:pos="2880"/>
        </w:tabs>
        <w:ind w:left="2880" w:hanging="360"/>
      </w:pPr>
      <w:rPr>
        <w:rFonts w:ascii="Arial" w:hAnsi="Arial" w:hint="default"/>
      </w:rPr>
    </w:lvl>
    <w:lvl w:ilvl="4" w:tplc="BC5A5D80" w:tentative="1">
      <w:start w:val="1"/>
      <w:numFmt w:val="bullet"/>
      <w:lvlText w:val="•"/>
      <w:lvlJc w:val="left"/>
      <w:pPr>
        <w:tabs>
          <w:tab w:val="num" w:pos="3600"/>
        </w:tabs>
        <w:ind w:left="3600" w:hanging="360"/>
      </w:pPr>
      <w:rPr>
        <w:rFonts w:ascii="Arial" w:hAnsi="Arial" w:hint="default"/>
      </w:rPr>
    </w:lvl>
    <w:lvl w:ilvl="5" w:tplc="4B44ED2A" w:tentative="1">
      <w:start w:val="1"/>
      <w:numFmt w:val="bullet"/>
      <w:lvlText w:val="•"/>
      <w:lvlJc w:val="left"/>
      <w:pPr>
        <w:tabs>
          <w:tab w:val="num" w:pos="4320"/>
        </w:tabs>
        <w:ind w:left="4320" w:hanging="360"/>
      </w:pPr>
      <w:rPr>
        <w:rFonts w:ascii="Arial" w:hAnsi="Arial" w:hint="default"/>
      </w:rPr>
    </w:lvl>
    <w:lvl w:ilvl="6" w:tplc="0F9A088C" w:tentative="1">
      <w:start w:val="1"/>
      <w:numFmt w:val="bullet"/>
      <w:lvlText w:val="•"/>
      <w:lvlJc w:val="left"/>
      <w:pPr>
        <w:tabs>
          <w:tab w:val="num" w:pos="5040"/>
        </w:tabs>
        <w:ind w:left="5040" w:hanging="360"/>
      </w:pPr>
      <w:rPr>
        <w:rFonts w:ascii="Arial" w:hAnsi="Arial" w:hint="default"/>
      </w:rPr>
    </w:lvl>
    <w:lvl w:ilvl="7" w:tplc="549EC78C" w:tentative="1">
      <w:start w:val="1"/>
      <w:numFmt w:val="bullet"/>
      <w:lvlText w:val="•"/>
      <w:lvlJc w:val="left"/>
      <w:pPr>
        <w:tabs>
          <w:tab w:val="num" w:pos="5760"/>
        </w:tabs>
        <w:ind w:left="5760" w:hanging="360"/>
      </w:pPr>
      <w:rPr>
        <w:rFonts w:ascii="Arial" w:hAnsi="Arial" w:hint="default"/>
      </w:rPr>
    </w:lvl>
    <w:lvl w:ilvl="8" w:tplc="E5965C5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9CE"/>
    <w:rsid w:val="00005AE8"/>
    <w:rsid w:val="000570E5"/>
    <w:rsid w:val="000A75A6"/>
    <w:rsid w:val="00123A08"/>
    <w:rsid w:val="00160B5A"/>
    <w:rsid w:val="001800D1"/>
    <w:rsid w:val="001B7FE4"/>
    <w:rsid w:val="001C6108"/>
    <w:rsid w:val="001E4AB4"/>
    <w:rsid w:val="00203D8C"/>
    <w:rsid w:val="0026784E"/>
    <w:rsid w:val="002A3F3B"/>
    <w:rsid w:val="002A656D"/>
    <w:rsid w:val="002F1AAE"/>
    <w:rsid w:val="00380C5C"/>
    <w:rsid w:val="003A09E0"/>
    <w:rsid w:val="003A3343"/>
    <w:rsid w:val="003A61B7"/>
    <w:rsid w:val="00402FF9"/>
    <w:rsid w:val="004042AE"/>
    <w:rsid w:val="004156D3"/>
    <w:rsid w:val="004158CF"/>
    <w:rsid w:val="00420D44"/>
    <w:rsid w:val="00482AA4"/>
    <w:rsid w:val="00487B18"/>
    <w:rsid w:val="004A0807"/>
    <w:rsid w:val="005017C2"/>
    <w:rsid w:val="00520CEE"/>
    <w:rsid w:val="00537645"/>
    <w:rsid w:val="00555697"/>
    <w:rsid w:val="00583AD1"/>
    <w:rsid w:val="00584E90"/>
    <w:rsid w:val="005A2DEC"/>
    <w:rsid w:val="005E35AF"/>
    <w:rsid w:val="005F7BA3"/>
    <w:rsid w:val="006002FE"/>
    <w:rsid w:val="00624246"/>
    <w:rsid w:val="006415C7"/>
    <w:rsid w:val="00644885"/>
    <w:rsid w:val="00663E8D"/>
    <w:rsid w:val="006700BF"/>
    <w:rsid w:val="006A56BF"/>
    <w:rsid w:val="006D413A"/>
    <w:rsid w:val="006E0585"/>
    <w:rsid w:val="007049EF"/>
    <w:rsid w:val="00712570"/>
    <w:rsid w:val="007258F2"/>
    <w:rsid w:val="00732C69"/>
    <w:rsid w:val="00742818"/>
    <w:rsid w:val="00762C7A"/>
    <w:rsid w:val="007738F8"/>
    <w:rsid w:val="007B1D3A"/>
    <w:rsid w:val="007B7F34"/>
    <w:rsid w:val="007D16F4"/>
    <w:rsid w:val="007D63C5"/>
    <w:rsid w:val="00824FB3"/>
    <w:rsid w:val="008429CE"/>
    <w:rsid w:val="008B3C3D"/>
    <w:rsid w:val="008E22AF"/>
    <w:rsid w:val="00905252"/>
    <w:rsid w:val="00926E15"/>
    <w:rsid w:val="00966EF6"/>
    <w:rsid w:val="00974ACF"/>
    <w:rsid w:val="009D6D84"/>
    <w:rsid w:val="009F740E"/>
    <w:rsid w:val="00A45F83"/>
    <w:rsid w:val="00B03211"/>
    <w:rsid w:val="00B045B5"/>
    <w:rsid w:val="00B125FE"/>
    <w:rsid w:val="00B36078"/>
    <w:rsid w:val="00BA791E"/>
    <w:rsid w:val="00C2573F"/>
    <w:rsid w:val="00C63FA2"/>
    <w:rsid w:val="00C83343"/>
    <w:rsid w:val="00C90BF2"/>
    <w:rsid w:val="00CB77FA"/>
    <w:rsid w:val="00D737C6"/>
    <w:rsid w:val="00DC2EC6"/>
    <w:rsid w:val="00DC4E11"/>
    <w:rsid w:val="00E47E66"/>
    <w:rsid w:val="00E7469B"/>
    <w:rsid w:val="00EF1483"/>
    <w:rsid w:val="00F31E4F"/>
    <w:rsid w:val="00F819E5"/>
    <w:rsid w:val="00F84E43"/>
    <w:rsid w:val="00F95B7E"/>
    <w:rsid w:val="00FA3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FE4939"/>
  <w15:chartTrackingRefBased/>
  <w15:docId w15:val="{FB6BDF12-6345-4026-9775-E70C2339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5AE8"/>
    <w:rPr>
      <w:color w:val="0563C1" w:themeColor="hyperlink"/>
      <w:u w:val="single"/>
    </w:rPr>
  </w:style>
  <w:style w:type="paragraph" w:customStyle="1" w:styleId="Text">
    <w:name w:val="Text"/>
    <w:qFormat/>
    <w:rsid w:val="0026784E"/>
    <w:rPr>
      <w:rFonts w:ascii="Verdana" w:hAnsi="Verdana"/>
      <w:color w:val="000000" w:themeColor="text1"/>
    </w:rPr>
  </w:style>
  <w:style w:type="paragraph" w:styleId="Header">
    <w:name w:val="header"/>
    <w:basedOn w:val="Normal"/>
    <w:link w:val="HeaderChar"/>
    <w:uiPriority w:val="99"/>
    <w:unhideWhenUsed/>
    <w:rsid w:val="00584E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E90"/>
  </w:style>
  <w:style w:type="paragraph" w:styleId="Footer">
    <w:name w:val="footer"/>
    <w:basedOn w:val="Normal"/>
    <w:link w:val="FooterChar"/>
    <w:uiPriority w:val="99"/>
    <w:unhideWhenUsed/>
    <w:rsid w:val="00584E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E90"/>
  </w:style>
  <w:style w:type="character" w:styleId="CommentReference">
    <w:name w:val="annotation reference"/>
    <w:basedOn w:val="DefaultParagraphFont"/>
    <w:uiPriority w:val="99"/>
    <w:semiHidden/>
    <w:unhideWhenUsed/>
    <w:rsid w:val="002A656D"/>
    <w:rPr>
      <w:sz w:val="16"/>
      <w:szCs w:val="16"/>
    </w:rPr>
  </w:style>
  <w:style w:type="paragraph" w:styleId="CommentText">
    <w:name w:val="annotation text"/>
    <w:basedOn w:val="Normal"/>
    <w:link w:val="CommentTextChar"/>
    <w:uiPriority w:val="99"/>
    <w:unhideWhenUsed/>
    <w:rsid w:val="002A656D"/>
    <w:pPr>
      <w:spacing w:line="240" w:lineRule="auto"/>
    </w:pPr>
    <w:rPr>
      <w:sz w:val="20"/>
      <w:szCs w:val="20"/>
    </w:rPr>
  </w:style>
  <w:style w:type="character" w:customStyle="1" w:styleId="CommentTextChar">
    <w:name w:val="Comment Text Char"/>
    <w:basedOn w:val="DefaultParagraphFont"/>
    <w:link w:val="CommentText"/>
    <w:uiPriority w:val="99"/>
    <w:rsid w:val="002A656D"/>
    <w:rPr>
      <w:sz w:val="20"/>
      <w:szCs w:val="20"/>
    </w:rPr>
  </w:style>
  <w:style w:type="paragraph" w:styleId="CommentSubject">
    <w:name w:val="annotation subject"/>
    <w:basedOn w:val="CommentText"/>
    <w:next w:val="CommentText"/>
    <w:link w:val="CommentSubjectChar"/>
    <w:uiPriority w:val="99"/>
    <w:semiHidden/>
    <w:unhideWhenUsed/>
    <w:rsid w:val="002A656D"/>
    <w:rPr>
      <w:b/>
      <w:bCs/>
    </w:rPr>
  </w:style>
  <w:style w:type="character" w:customStyle="1" w:styleId="CommentSubjectChar">
    <w:name w:val="Comment Subject Char"/>
    <w:basedOn w:val="CommentTextChar"/>
    <w:link w:val="CommentSubject"/>
    <w:uiPriority w:val="99"/>
    <w:semiHidden/>
    <w:rsid w:val="002A656D"/>
    <w:rPr>
      <w:b/>
      <w:bCs/>
      <w:sz w:val="20"/>
      <w:szCs w:val="20"/>
    </w:rPr>
  </w:style>
  <w:style w:type="paragraph" w:styleId="BalloonText">
    <w:name w:val="Balloon Text"/>
    <w:basedOn w:val="Normal"/>
    <w:link w:val="BalloonTextChar"/>
    <w:uiPriority w:val="99"/>
    <w:semiHidden/>
    <w:unhideWhenUsed/>
    <w:rsid w:val="002A6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56D"/>
    <w:rPr>
      <w:rFonts w:ascii="Segoe UI" w:hAnsi="Segoe UI" w:cs="Segoe UI"/>
      <w:sz w:val="18"/>
      <w:szCs w:val="18"/>
    </w:rPr>
  </w:style>
  <w:style w:type="paragraph" w:styleId="NormalWeb">
    <w:name w:val="Normal (Web)"/>
    <w:basedOn w:val="Normal"/>
    <w:uiPriority w:val="99"/>
    <w:semiHidden/>
    <w:unhideWhenUsed/>
    <w:rsid w:val="001800D1"/>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Barheadings">
    <w:name w:val="Bar headings"/>
    <w:basedOn w:val="Normal"/>
    <w:qFormat/>
    <w:rsid w:val="00824FB3"/>
    <w:pPr>
      <w:pBdr>
        <w:top w:val="single" w:sz="8" w:space="4" w:color="2F4D75"/>
        <w:left w:val="single" w:sz="8" w:space="4" w:color="2F4D75"/>
        <w:bottom w:val="single" w:sz="8" w:space="4" w:color="2F4D75"/>
        <w:right w:val="single" w:sz="8" w:space="4" w:color="2F4D75"/>
      </w:pBdr>
      <w:shd w:val="solid" w:color="2F4D75" w:fill="auto"/>
    </w:pPr>
    <w:rPr>
      <w:rFonts w:ascii="Verdana" w:hAnsi="Verdana"/>
      <w:b/>
      <w:color w:val="FFFFFF" w:themeColor="background1"/>
      <w:sz w:val="24"/>
    </w:rPr>
  </w:style>
  <w:style w:type="paragraph" w:customStyle="1" w:styleId="Boldsubheadblue">
    <w:name w:val="Bold sub head blue"/>
    <w:basedOn w:val="Normal"/>
    <w:qFormat/>
    <w:rsid w:val="009F740E"/>
    <w:pPr>
      <w:spacing w:after="120"/>
    </w:pPr>
    <w:rPr>
      <w:rFonts w:ascii="Verdana" w:hAnsi="Verdana"/>
      <w:b/>
      <w:color w:val="2F4D75"/>
    </w:rPr>
  </w:style>
  <w:style w:type="paragraph" w:customStyle="1" w:styleId="Bullets">
    <w:name w:val="Bullets"/>
    <w:basedOn w:val="Normal"/>
    <w:qFormat/>
    <w:rsid w:val="0026784E"/>
    <w:pPr>
      <w:numPr>
        <w:numId w:val="6"/>
      </w:numPr>
      <w:contextualSpacing/>
    </w:pPr>
    <w:rPr>
      <w:rFonts w:ascii="Verdana" w:hAnsi="Verdana"/>
    </w:rPr>
  </w:style>
  <w:style w:type="paragraph" w:customStyle="1" w:styleId="PHWbluequote">
    <w:name w:val="PHW blue quote"/>
    <w:basedOn w:val="Normal"/>
    <w:qFormat/>
    <w:rsid w:val="006002FE"/>
    <w:rPr>
      <w:rFonts w:ascii="Verdana" w:hAnsi="Verdana"/>
      <w:i/>
      <w:color w:val="2EB6BE"/>
    </w:rPr>
  </w:style>
  <w:style w:type="character" w:styleId="BookTitle">
    <w:name w:val="Book Title"/>
    <w:basedOn w:val="DefaultParagraphFont"/>
    <w:uiPriority w:val="33"/>
    <w:qFormat/>
    <w:rsid w:val="0026784E"/>
    <w:rPr>
      <w:b/>
      <w:bCs/>
      <w:i/>
      <w:iCs/>
      <w:spacing w:val="5"/>
    </w:rPr>
  </w:style>
  <w:style w:type="character" w:styleId="FollowedHyperlink">
    <w:name w:val="FollowedHyperlink"/>
    <w:basedOn w:val="DefaultParagraphFont"/>
    <w:uiPriority w:val="99"/>
    <w:semiHidden/>
    <w:unhideWhenUsed/>
    <w:rsid w:val="0026784E"/>
    <w:rPr>
      <w:color w:val="954F72" w:themeColor="followedHyperlink"/>
      <w:u w:val="single"/>
    </w:rPr>
  </w:style>
  <w:style w:type="paragraph" w:customStyle="1" w:styleId="Referencetext">
    <w:name w:val="Reference text"/>
    <w:basedOn w:val="Text"/>
    <w:qFormat/>
    <w:rsid w:val="0026784E"/>
    <w:rPr>
      <w:sz w:val="20"/>
    </w:rPr>
  </w:style>
  <w:style w:type="paragraph" w:styleId="FootnoteText">
    <w:name w:val="footnote text"/>
    <w:basedOn w:val="Normal"/>
    <w:link w:val="FootnoteTextChar"/>
    <w:uiPriority w:val="99"/>
    <w:semiHidden/>
    <w:unhideWhenUsed/>
    <w:rsid w:val="004A08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0807"/>
    <w:rPr>
      <w:sz w:val="20"/>
      <w:szCs w:val="20"/>
    </w:rPr>
  </w:style>
  <w:style w:type="character" w:styleId="FootnoteReference">
    <w:name w:val="footnote reference"/>
    <w:basedOn w:val="DefaultParagraphFont"/>
    <w:uiPriority w:val="99"/>
    <w:semiHidden/>
    <w:unhideWhenUsed/>
    <w:rsid w:val="004A08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437937">
      <w:bodyDiv w:val="1"/>
      <w:marLeft w:val="0"/>
      <w:marRight w:val="0"/>
      <w:marTop w:val="0"/>
      <w:marBottom w:val="0"/>
      <w:divBdr>
        <w:top w:val="none" w:sz="0" w:space="0" w:color="auto"/>
        <w:left w:val="none" w:sz="0" w:space="0" w:color="auto"/>
        <w:bottom w:val="none" w:sz="0" w:space="0" w:color="auto"/>
        <w:right w:val="none" w:sz="0" w:space="0" w:color="auto"/>
      </w:divBdr>
    </w:div>
    <w:div w:id="1204176133">
      <w:bodyDiv w:val="1"/>
      <w:marLeft w:val="0"/>
      <w:marRight w:val="0"/>
      <w:marTop w:val="0"/>
      <w:marBottom w:val="0"/>
      <w:divBdr>
        <w:top w:val="none" w:sz="0" w:space="0" w:color="auto"/>
        <w:left w:val="none" w:sz="0" w:space="0" w:color="auto"/>
        <w:bottom w:val="none" w:sz="0" w:space="0" w:color="auto"/>
        <w:right w:val="none" w:sz="0" w:space="0" w:color="auto"/>
      </w:divBdr>
    </w:div>
    <w:div w:id="1579945526">
      <w:bodyDiv w:val="1"/>
      <w:marLeft w:val="0"/>
      <w:marRight w:val="0"/>
      <w:marTop w:val="0"/>
      <w:marBottom w:val="0"/>
      <w:divBdr>
        <w:top w:val="none" w:sz="0" w:space="0" w:color="auto"/>
        <w:left w:val="none" w:sz="0" w:space="0" w:color="auto"/>
        <w:bottom w:val="none" w:sz="0" w:space="0" w:color="auto"/>
        <w:right w:val="none" w:sz="0" w:space="0" w:color="auto"/>
      </w:divBdr>
      <w:divsChild>
        <w:div w:id="296227704">
          <w:marLeft w:val="864"/>
          <w:marRight w:val="0"/>
          <w:marTop w:val="0"/>
          <w:marBottom w:val="160"/>
          <w:divBdr>
            <w:top w:val="none" w:sz="0" w:space="0" w:color="auto"/>
            <w:left w:val="none" w:sz="0" w:space="0" w:color="auto"/>
            <w:bottom w:val="none" w:sz="0" w:space="0" w:color="auto"/>
            <w:right w:val="none" w:sz="0" w:space="0" w:color="auto"/>
          </w:divBdr>
        </w:div>
      </w:divsChild>
    </w:div>
    <w:div w:id="1919316441">
      <w:bodyDiv w:val="1"/>
      <w:marLeft w:val="0"/>
      <w:marRight w:val="0"/>
      <w:marTop w:val="0"/>
      <w:marBottom w:val="0"/>
      <w:divBdr>
        <w:top w:val="none" w:sz="0" w:space="0" w:color="auto"/>
        <w:left w:val="none" w:sz="0" w:space="0" w:color="auto"/>
        <w:bottom w:val="none" w:sz="0" w:space="0" w:color="auto"/>
        <w:right w:val="none" w:sz="0" w:space="0" w:color="auto"/>
      </w:divBdr>
      <w:divsChild>
        <w:div w:id="2124373672">
          <w:marLeft w:val="864"/>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Public Health Wales NHS Trust</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Davies (Public Health Wales - Matrix House)</dc:creator>
  <cp:keywords/>
  <dc:description/>
  <cp:lastModifiedBy>Amy Davies (Public Health Wales - Matrix House)</cp:lastModifiedBy>
  <cp:revision>2</cp:revision>
  <cp:lastPrinted>2019-09-27T15:06:00Z</cp:lastPrinted>
  <dcterms:created xsi:type="dcterms:W3CDTF">2019-10-02T08:52:00Z</dcterms:created>
  <dcterms:modified xsi:type="dcterms:W3CDTF">2019-10-02T08:52:00Z</dcterms:modified>
</cp:coreProperties>
</file>