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926" w:type="dxa"/>
        <w:tblInd w:w="-5" w:type="dxa"/>
        <w:tblLook w:val="04A0" w:firstRow="1" w:lastRow="0" w:firstColumn="1" w:lastColumn="0" w:noHBand="0" w:noVBand="1"/>
      </w:tblPr>
      <w:tblGrid>
        <w:gridCol w:w="1848"/>
        <w:gridCol w:w="954"/>
        <w:gridCol w:w="894"/>
        <w:gridCol w:w="1506"/>
        <w:gridCol w:w="334"/>
        <w:gridCol w:w="1662"/>
        <w:gridCol w:w="1728"/>
      </w:tblGrid>
      <w:tr w:rsidR="0013075E" w:rsidRPr="008F1F7E" w14:paraId="361CA59C" w14:textId="77777777" w:rsidTr="005B564E">
        <w:tc>
          <w:tcPr>
            <w:tcW w:w="5202" w:type="dxa"/>
            <w:gridSpan w:val="4"/>
            <w:vMerge w:val="restart"/>
          </w:tcPr>
          <w:p w14:paraId="361CA599" w14:textId="77777777" w:rsidR="0013075E" w:rsidRPr="008F1F7E" w:rsidRDefault="0013075E" w:rsidP="00CF7674">
            <w:r w:rsidRPr="008F1F7E">
              <w:rPr>
                <w:b/>
                <w:noProof/>
                <w:lang w:eastAsia="en-GB"/>
              </w:rPr>
              <w:drawing>
                <wp:inline distT="0" distB="0" distL="0" distR="0" wp14:anchorId="361CA63C" wp14:editId="361CA63D">
                  <wp:extent cx="3122083" cy="734018"/>
                  <wp:effectExtent l="19050" t="0" r="2117" b="0"/>
                  <wp:docPr id="4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503" cy="73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4" w:type="dxa"/>
            <w:gridSpan w:val="3"/>
            <w:tcBorders>
              <w:bottom w:val="nil"/>
            </w:tcBorders>
          </w:tcPr>
          <w:p w14:paraId="361CA59A" w14:textId="77777777" w:rsidR="0013075E" w:rsidRPr="00D34F08" w:rsidRDefault="0013075E" w:rsidP="00EE7097">
            <w:pPr>
              <w:jc w:val="right"/>
              <w:rPr>
                <w:b/>
                <w:szCs w:val="24"/>
              </w:rPr>
            </w:pPr>
            <w:r w:rsidRPr="00D34F08">
              <w:rPr>
                <w:b/>
                <w:szCs w:val="24"/>
              </w:rPr>
              <w:t>Name of Meeting</w:t>
            </w:r>
          </w:p>
          <w:sdt>
            <w:sdtPr>
              <w:rPr>
                <w:rStyle w:val="Dropdown"/>
              </w:rPr>
              <w:alias w:val="Name of meeting"/>
              <w:tag w:val="Name of meeting"/>
              <w:id w:val="1886526"/>
              <w:placeholder>
                <w:docPart w:val="B71CEBAFED744FBDBE7668212525C5EB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Knowledge, Research and Information Committee" w:value="Knowledge, Research and Information Committee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b/>
                <w:sz w:val="22"/>
                <w:szCs w:val="24"/>
              </w:rPr>
            </w:sdtEndPr>
            <w:sdtContent>
              <w:p w14:paraId="361CA59B" w14:textId="16B84640" w:rsidR="0013075E" w:rsidRPr="00EE7097" w:rsidRDefault="00832121" w:rsidP="00EE7097">
                <w:pPr>
                  <w:jc w:val="right"/>
                  <w:rPr>
                    <w:b/>
                    <w:szCs w:val="24"/>
                  </w:rPr>
                </w:pPr>
                <w:r>
                  <w:rPr>
                    <w:rStyle w:val="Dropdown"/>
                  </w:rPr>
                  <w:t>Board</w:t>
                </w:r>
              </w:p>
            </w:sdtContent>
          </w:sdt>
        </w:tc>
      </w:tr>
      <w:tr w:rsidR="0013075E" w:rsidRPr="008F1F7E" w14:paraId="361CA5A0" w14:textId="77777777" w:rsidTr="005B564E">
        <w:tc>
          <w:tcPr>
            <w:tcW w:w="5202" w:type="dxa"/>
            <w:gridSpan w:val="4"/>
            <w:vMerge/>
          </w:tcPr>
          <w:p w14:paraId="361CA59D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3724" w:type="dxa"/>
            <w:gridSpan w:val="3"/>
            <w:tcBorders>
              <w:top w:val="nil"/>
              <w:bottom w:val="nil"/>
            </w:tcBorders>
          </w:tcPr>
          <w:p w14:paraId="361CA59E" w14:textId="77777777" w:rsidR="00D34F08" w:rsidRPr="00D34F08" w:rsidRDefault="00D34F08" w:rsidP="00EE7097">
            <w:pPr>
              <w:jc w:val="right"/>
              <w:rPr>
                <w:b/>
              </w:rPr>
            </w:pPr>
            <w:r w:rsidRPr="00D34F08">
              <w:rPr>
                <w:b/>
              </w:rPr>
              <w:t>Date of Meeting</w:t>
            </w:r>
          </w:p>
          <w:p w14:paraId="361CA59F" w14:textId="2AFEA898" w:rsidR="0013075E" w:rsidRPr="00D34F08" w:rsidRDefault="00832121" w:rsidP="00941424">
            <w:pPr>
              <w:jc w:val="right"/>
              <w:rPr>
                <w:color w:val="FF0000"/>
              </w:rPr>
            </w:pPr>
            <w:r>
              <w:t>24 November 2022</w:t>
            </w:r>
          </w:p>
        </w:tc>
      </w:tr>
      <w:tr w:rsidR="0013075E" w:rsidRPr="008F1F7E" w14:paraId="361CA5A4" w14:textId="77777777" w:rsidTr="005B564E">
        <w:tc>
          <w:tcPr>
            <w:tcW w:w="5202" w:type="dxa"/>
            <w:gridSpan w:val="4"/>
            <w:vMerge/>
            <w:tcBorders>
              <w:bottom w:val="single" w:sz="4" w:space="0" w:color="auto"/>
            </w:tcBorders>
          </w:tcPr>
          <w:p w14:paraId="361CA5A1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3724" w:type="dxa"/>
            <w:gridSpan w:val="3"/>
            <w:tcBorders>
              <w:top w:val="nil"/>
              <w:bottom w:val="single" w:sz="4" w:space="0" w:color="auto"/>
            </w:tcBorders>
          </w:tcPr>
          <w:p w14:paraId="361CA5A2" w14:textId="5412CFC7" w:rsidR="0013075E" w:rsidRPr="008F1F7E" w:rsidRDefault="0013075E" w:rsidP="00EE7097">
            <w:pPr>
              <w:jc w:val="right"/>
              <w:rPr>
                <w:b/>
              </w:rPr>
            </w:pPr>
            <w:r w:rsidRPr="008F1F7E">
              <w:rPr>
                <w:b/>
              </w:rPr>
              <w:t>Agenda item:</w:t>
            </w:r>
          </w:p>
          <w:p w14:paraId="361CA5A3" w14:textId="2F6035B4" w:rsidR="0071099D" w:rsidRPr="0071099D" w:rsidRDefault="00372917" w:rsidP="00A97191">
            <w:pPr>
              <w:jc w:val="right"/>
            </w:pPr>
            <w:r>
              <w:t>6</w:t>
            </w:r>
            <w:bookmarkStart w:id="0" w:name="_GoBack"/>
            <w:bookmarkEnd w:id="0"/>
            <w:r w:rsidR="00EF7DBD">
              <w:t>.2.</w:t>
            </w:r>
          </w:p>
        </w:tc>
      </w:tr>
      <w:tr w:rsidR="00EE7097" w:rsidRPr="008F1F7E" w14:paraId="361CA5A8" w14:textId="77777777" w:rsidTr="005B564E">
        <w:tc>
          <w:tcPr>
            <w:tcW w:w="8926" w:type="dxa"/>
            <w:gridSpan w:val="7"/>
            <w:tcBorders>
              <w:left w:val="nil"/>
              <w:right w:val="nil"/>
            </w:tcBorders>
            <w:vAlign w:val="center"/>
          </w:tcPr>
          <w:p w14:paraId="361CA5A7" w14:textId="48ADEB16" w:rsidR="00D34F08" w:rsidRPr="00912C7B" w:rsidRDefault="00D34F08" w:rsidP="00720EC2">
            <w:pPr>
              <w:rPr>
                <w:b/>
                <w:sz w:val="28"/>
              </w:rPr>
            </w:pPr>
          </w:p>
        </w:tc>
      </w:tr>
      <w:tr w:rsidR="00EE7097" w:rsidRPr="008F1F7E" w14:paraId="361CA5AA" w14:textId="77777777" w:rsidTr="005B564E">
        <w:tc>
          <w:tcPr>
            <w:tcW w:w="8926" w:type="dxa"/>
            <w:gridSpan w:val="7"/>
            <w:vAlign w:val="center"/>
          </w:tcPr>
          <w:p w14:paraId="361CA5A9" w14:textId="2C4A84B2" w:rsidR="00EE7097" w:rsidRPr="00D34F08" w:rsidRDefault="002F22A2" w:rsidP="008517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Review of Committee Terms of Reference</w:t>
            </w:r>
            <w:r w:rsidR="00851721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EE7097" w:rsidRPr="001C60B5" w14:paraId="361CA5AD" w14:textId="77777777" w:rsidTr="005B564E">
        <w:tc>
          <w:tcPr>
            <w:tcW w:w="2802" w:type="dxa"/>
            <w:gridSpan w:val="2"/>
          </w:tcPr>
          <w:p w14:paraId="361CA5AB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Executive lead:</w:t>
            </w:r>
          </w:p>
        </w:tc>
        <w:tc>
          <w:tcPr>
            <w:tcW w:w="6124" w:type="dxa"/>
            <w:gridSpan w:val="5"/>
          </w:tcPr>
          <w:p w14:paraId="361CA5AC" w14:textId="40B9D903" w:rsidR="00EE7097" w:rsidRPr="00851721" w:rsidRDefault="00851721">
            <w:pPr>
              <w:rPr>
                <w:szCs w:val="24"/>
              </w:rPr>
            </w:pPr>
            <w:r>
              <w:rPr>
                <w:szCs w:val="24"/>
              </w:rPr>
              <w:t>Helen Bushell, Board Secretary and Head of Board Business Unit</w:t>
            </w:r>
          </w:p>
        </w:tc>
      </w:tr>
      <w:tr w:rsidR="00EE7097" w:rsidRPr="001C60B5" w14:paraId="361CA5B0" w14:textId="77777777" w:rsidTr="005B564E">
        <w:tc>
          <w:tcPr>
            <w:tcW w:w="2802" w:type="dxa"/>
            <w:gridSpan w:val="2"/>
          </w:tcPr>
          <w:p w14:paraId="361CA5AE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Author:</w:t>
            </w:r>
          </w:p>
        </w:tc>
        <w:tc>
          <w:tcPr>
            <w:tcW w:w="6124" w:type="dxa"/>
            <w:gridSpan w:val="5"/>
          </w:tcPr>
          <w:p w14:paraId="361CA5AF" w14:textId="084BA6F0" w:rsidR="00EE7097" w:rsidRPr="00851721" w:rsidRDefault="00851721" w:rsidP="00051E74">
            <w:pPr>
              <w:rPr>
                <w:szCs w:val="24"/>
              </w:rPr>
            </w:pPr>
            <w:r>
              <w:rPr>
                <w:szCs w:val="24"/>
              </w:rPr>
              <w:t xml:space="preserve">Liz Blayney, </w:t>
            </w:r>
            <w:r w:rsidR="00F254D7">
              <w:rPr>
                <w:szCs w:val="24"/>
              </w:rPr>
              <w:t xml:space="preserve">Deputy Board Secretary and </w:t>
            </w:r>
            <w:r>
              <w:rPr>
                <w:szCs w:val="24"/>
              </w:rPr>
              <w:t>Board Governance Manager</w:t>
            </w:r>
          </w:p>
        </w:tc>
      </w:tr>
      <w:tr w:rsidR="00EE7097" w:rsidRPr="001C60B5" w14:paraId="361CA5B3" w14:textId="77777777" w:rsidTr="005B564E">
        <w:trPr>
          <w:trHeight w:val="149"/>
        </w:trPr>
        <w:tc>
          <w:tcPr>
            <w:tcW w:w="2802" w:type="dxa"/>
            <w:gridSpan w:val="2"/>
            <w:tcBorders>
              <w:left w:val="nil"/>
              <w:right w:val="nil"/>
            </w:tcBorders>
          </w:tcPr>
          <w:p w14:paraId="361CA5B1" w14:textId="77777777" w:rsidR="00EE7097" w:rsidRPr="005B4E75" w:rsidRDefault="00EE7097">
            <w:pPr>
              <w:rPr>
                <w:b/>
                <w:sz w:val="12"/>
                <w:szCs w:val="12"/>
              </w:rPr>
            </w:pPr>
          </w:p>
        </w:tc>
        <w:tc>
          <w:tcPr>
            <w:tcW w:w="6124" w:type="dxa"/>
            <w:gridSpan w:val="5"/>
            <w:tcBorders>
              <w:left w:val="nil"/>
              <w:right w:val="nil"/>
            </w:tcBorders>
          </w:tcPr>
          <w:p w14:paraId="361CA5B2" w14:textId="77777777" w:rsidR="00EE7097" w:rsidRPr="00851721" w:rsidRDefault="00EE7097">
            <w:pPr>
              <w:rPr>
                <w:sz w:val="12"/>
                <w:szCs w:val="12"/>
              </w:rPr>
            </w:pPr>
          </w:p>
        </w:tc>
      </w:tr>
      <w:tr w:rsidR="00EE7097" w:rsidRPr="001C60B5" w14:paraId="361CA5B6" w14:textId="77777777" w:rsidTr="005B564E">
        <w:tc>
          <w:tcPr>
            <w:tcW w:w="2802" w:type="dxa"/>
            <w:gridSpan w:val="2"/>
          </w:tcPr>
          <w:p w14:paraId="361CA5B4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Approval/Scrutiny route:</w:t>
            </w:r>
          </w:p>
        </w:tc>
        <w:tc>
          <w:tcPr>
            <w:tcW w:w="6124" w:type="dxa"/>
            <w:gridSpan w:val="5"/>
          </w:tcPr>
          <w:p w14:paraId="065E3587" w14:textId="08D810B3" w:rsidR="00832121" w:rsidRDefault="00832121" w:rsidP="00CA5841">
            <w:pPr>
              <w:rPr>
                <w:szCs w:val="24"/>
              </w:rPr>
            </w:pPr>
            <w:r>
              <w:rPr>
                <w:szCs w:val="24"/>
              </w:rPr>
              <w:t>The LPF Terms of reference were considered by the Business Executive Team (17 October 2022)</w:t>
            </w:r>
          </w:p>
          <w:p w14:paraId="571FB249" w14:textId="77777777" w:rsidR="00832121" w:rsidRDefault="00832121" w:rsidP="00CA5841">
            <w:pPr>
              <w:rPr>
                <w:szCs w:val="24"/>
              </w:rPr>
            </w:pPr>
          </w:p>
          <w:p w14:paraId="361CA5B5" w14:textId="6FD8575F" w:rsidR="00832121" w:rsidRPr="00851721" w:rsidRDefault="00832121" w:rsidP="00CA5841">
            <w:pPr>
              <w:rPr>
                <w:szCs w:val="24"/>
              </w:rPr>
            </w:pPr>
            <w:r>
              <w:rPr>
                <w:szCs w:val="24"/>
              </w:rPr>
              <w:t xml:space="preserve">People and Organisational Development Committee considered the draft Committee Terms of Reference on 6 October 2022. </w:t>
            </w:r>
          </w:p>
        </w:tc>
      </w:tr>
      <w:tr w:rsidR="006C4A51" w:rsidRPr="001C60B5" w14:paraId="361CA5B8" w14:textId="77777777" w:rsidTr="005B564E">
        <w:tc>
          <w:tcPr>
            <w:tcW w:w="892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61CA5B7" w14:textId="77777777" w:rsidR="006C4A51" w:rsidRPr="005B4E75" w:rsidRDefault="006C4A51">
            <w:pPr>
              <w:rPr>
                <w:b/>
                <w:sz w:val="12"/>
                <w:szCs w:val="12"/>
              </w:rPr>
            </w:pPr>
          </w:p>
        </w:tc>
      </w:tr>
      <w:tr w:rsidR="005B4E75" w:rsidRPr="001C60B5" w14:paraId="361CA5BA" w14:textId="77777777" w:rsidTr="005B564E">
        <w:tc>
          <w:tcPr>
            <w:tcW w:w="89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61CA5B9" w14:textId="77777777" w:rsidR="005B4E75" w:rsidRPr="001C60B5" w:rsidRDefault="005B4E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Purpose</w:t>
            </w:r>
          </w:p>
        </w:tc>
      </w:tr>
      <w:tr w:rsidR="005B4E75" w:rsidRPr="001C60B5" w14:paraId="361CA5BD" w14:textId="77777777" w:rsidTr="005B564E">
        <w:tc>
          <w:tcPr>
            <w:tcW w:w="892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3BEC119" w14:textId="77777777" w:rsidR="003D5328" w:rsidRDefault="003D5328" w:rsidP="00A31294">
            <w:pPr>
              <w:spacing w:after="200"/>
              <w:rPr>
                <w:szCs w:val="24"/>
              </w:rPr>
            </w:pPr>
            <w:r>
              <w:rPr>
                <w:szCs w:val="24"/>
              </w:rPr>
              <w:t>The purpose of this paper is to present revised terms of reference for the following groups for Board approval:</w:t>
            </w:r>
          </w:p>
          <w:p w14:paraId="5042CA93" w14:textId="4917036B" w:rsidR="003D5328" w:rsidRDefault="003D5328" w:rsidP="003D5328">
            <w:pPr>
              <w:pStyle w:val="ListParagraph"/>
              <w:numPr>
                <w:ilvl w:val="0"/>
                <w:numId w:val="22"/>
              </w:numPr>
              <w:spacing w:after="200"/>
              <w:rPr>
                <w:szCs w:val="24"/>
              </w:rPr>
            </w:pPr>
            <w:r>
              <w:rPr>
                <w:szCs w:val="24"/>
              </w:rPr>
              <w:t xml:space="preserve">People and Organisational Development (POD) Committee </w:t>
            </w:r>
          </w:p>
          <w:p w14:paraId="231150F8" w14:textId="309D6C39" w:rsidR="003D5328" w:rsidRPr="003D5328" w:rsidRDefault="003D5328" w:rsidP="003D5328">
            <w:pPr>
              <w:pStyle w:val="ListParagraph"/>
              <w:numPr>
                <w:ilvl w:val="0"/>
                <w:numId w:val="22"/>
              </w:numPr>
              <w:spacing w:after="200"/>
              <w:rPr>
                <w:szCs w:val="24"/>
              </w:rPr>
            </w:pPr>
            <w:r>
              <w:rPr>
                <w:szCs w:val="24"/>
              </w:rPr>
              <w:t>Local Partnership Forum (LPF)</w:t>
            </w:r>
          </w:p>
          <w:p w14:paraId="4CC8E0CC" w14:textId="0A8F1C23" w:rsidR="00D54EFC" w:rsidRDefault="002F22A2" w:rsidP="003D5328">
            <w:pPr>
              <w:spacing w:after="200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3D5328">
              <w:rPr>
                <w:szCs w:val="24"/>
              </w:rPr>
              <w:t xml:space="preserve">POD </w:t>
            </w:r>
            <w:r>
              <w:rPr>
                <w:szCs w:val="24"/>
              </w:rPr>
              <w:t>Committees Terms of Reference</w:t>
            </w:r>
            <w:r w:rsidR="008E5907">
              <w:rPr>
                <w:szCs w:val="24"/>
              </w:rPr>
              <w:t xml:space="preserve"> were last </w:t>
            </w:r>
            <w:r w:rsidR="003D5328">
              <w:rPr>
                <w:szCs w:val="24"/>
              </w:rPr>
              <w:t>updated</w:t>
            </w:r>
            <w:r w:rsidR="008E5907">
              <w:rPr>
                <w:szCs w:val="24"/>
              </w:rPr>
              <w:t xml:space="preserve"> in </w:t>
            </w:r>
            <w:r w:rsidR="00A31294">
              <w:rPr>
                <w:szCs w:val="24"/>
              </w:rPr>
              <w:t>May 202</w:t>
            </w:r>
            <w:r w:rsidR="009601B3">
              <w:rPr>
                <w:szCs w:val="24"/>
              </w:rPr>
              <w:t>2</w:t>
            </w:r>
            <w:r w:rsidR="00A31294">
              <w:rPr>
                <w:szCs w:val="24"/>
              </w:rPr>
              <w:t>.</w:t>
            </w:r>
            <w:r w:rsidR="00720EC2">
              <w:rPr>
                <w:szCs w:val="24"/>
              </w:rPr>
              <w:t xml:space="preserve"> </w:t>
            </w:r>
            <w:r w:rsidR="003D5328">
              <w:rPr>
                <w:szCs w:val="24"/>
              </w:rPr>
              <w:t xml:space="preserve">The People and Organisational Development Committee reviewed the revised Committee Terms of reference on 6 October 2022, and recommended these to the Board for approval. </w:t>
            </w:r>
            <w:r w:rsidR="009D501F">
              <w:rPr>
                <w:szCs w:val="24"/>
              </w:rPr>
              <w:t xml:space="preserve">.  </w:t>
            </w:r>
          </w:p>
          <w:p w14:paraId="6AD9A801" w14:textId="3AF6D78B" w:rsidR="003D5328" w:rsidRDefault="003D5328" w:rsidP="003D5328">
            <w:pPr>
              <w:spacing w:after="200"/>
              <w:rPr>
                <w:szCs w:val="24"/>
              </w:rPr>
            </w:pPr>
            <w:r>
              <w:rPr>
                <w:szCs w:val="24"/>
              </w:rPr>
              <w:t xml:space="preserve">The LPF Terms of reference </w:t>
            </w:r>
            <w:r w:rsidR="00097A37">
              <w:rPr>
                <w:szCs w:val="24"/>
              </w:rPr>
              <w:t xml:space="preserve">have also been reviewed and the proposed revised draft has been developed </w:t>
            </w:r>
            <w:r w:rsidR="00097A37">
              <w:t>in consultation with the LPF and support more efficient planning and governance.</w:t>
            </w:r>
          </w:p>
          <w:p w14:paraId="361CA5BC" w14:textId="2F371A25" w:rsidR="003D5328" w:rsidRPr="00851721" w:rsidRDefault="00097A37" w:rsidP="003D5328">
            <w:pPr>
              <w:spacing w:after="200"/>
              <w:rPr>
                <w:szCs w:val="24"/>
              </w:rPr>
            </w:pPr>
            <w:r>
              <w:rPr>
                <w:szCs w:val="24"/>
              </w:rPr>
              <w:t xml:space="preserve">Terms of Reference should be reviewed annually to ensure compliance with Standing Orders.  </w:t>
            </w:r>
          </w:p>
        </w:tc>
      </w:tr>
      <w:tr w:rsidR="005B4E75" w:rsidRPr="001C60B5" w14:paraId="361CA5BF" w14:textId="77777777" w:rsidTr="005B564E">
        <w:tc>
          <w:tcPr>
            <w:tcW w:w="8926" w:type="dxa"/>
            <w:gridSpan w:val="7"/>
            <w:tcBorders>
              <w:left w:val="nil"/>
              <w:right w:val="nil"/>
            </w:tcBorders>
          </w:tcPr>
          <w:p w14:paraId="361CA5BE" w14:textId="77777777" w:rsidR="005B4E75" w:rsidRPr="005B4E75" w:rsidRDefault="005B4E75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361CA5C1" w14:textId="77777777" w:rsidTr="005B564E">
        <w:tc>
          <w:tcPr>
            <w:tcW w:w="8926" w:type="dxa"/>
            <w:gridSpan w:val="7"/>
          </w:tcPr>
          <w:p w14:paraId="361CA5C0" w14:textId="04AEB19C" w:rsidR="00EE7097" w:rsidRPr="0013075E" w:rsidRDefault="0013075E" w:rsidP="0085172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Recommendation:</w:t>
            </w:r>
            <w:r w:rsidR="00E07F66">
              <w:rPr>
                <w:b/>
                <w:szCs w:val="24"/>
              </w:rPr>
              <w:t xml:space="preserve"> </w:t>
            </w:r>
          </w:p>
        </w:tc>
      </w:tr>
      <w:tr w:rsidR="005B4E75" w:rsidRPr="001C60B5" w14:paraId="361CA5CC" w14:textId="77777777" w:rsidTr="005B564E">
        <w:tc>
          <w:tcPr>
            <w:tcW w:w="1848" w:type="dxa"/>
            <w:tcBorders>
              <w:bottom w:val="single" w:sz="4" w:space="0" w:color="auto"/>
            </w:tcBorders>
          </w:tcPr>
          <w:p w14:paraId="361CA5C2" w14:textId="77777777" w:rsidR="005B4E75" w:rsidRPr="007A47F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APPROVE</w:t>
            </w:r>
          </w:p>
          <w:p w14:paraId="361CA5C3" w14:textId="7A05A3DF" w:rsidR="005B4E75" w:rsidRPr="007A47F5" w:rsidRDefault="00A31294" w:rsidP="00D34F08">
            <w:pPr>
              <w:jc w:val="center"/>
              <w:rPr>
                <w:rFonts w:ascii="Wingdings" w:hAnsi="Wingdings"/>
                <w:szCs w:val="24"/>
              </w:rPr>
            </w:pPr>
            <w:r>
              <w:rPr>
                <w:rFonts w:ascii="Wingdings" w:hAnsi="Wingdings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Wingdings" w:hAnsi="Wingdings"/>
                <w:szCs w:val="24"/>
              </w:rPr>
              <w:instrText xml:space="preserve"> FORMCHECKBOX </w:instrText>
            </w:r>
            <w:r w:rsidR="00372917">
              <w:rPr>
                <w:rFonts w:ascii="Wingdings" w:hAnsi="Wingdings"/>
                <w:szCs w:val="24"/>
              </w:rPr>
            </w:r>
            <w:r w:rsidR="00372917">
              <w:rPr>
                <w:rFonts w:ascii="Wingdings" w:hAnsi="Wingdings"/>
                <w:szCs w:val="24"/>
              </w:rPr>
              <w:fldChar w:fldCharType="separate"/>
            </w:r>
            <w:r>
              <w:rPr>
                <w:rFonts w:ascii="Wingdings" w:hAnsi="Wingdings"/>
                <w:szCs w:val="24"/>
              </w:rPr>
              <w:fldChar w:fldCharType="end"/>
            </w:r>
            <w:bookmarkEnd w:id="1"/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14:paraId="361CA5C4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CONSIDER</w:t>
            </w:r>
          </w:p>
          <w:p w14:paraId="361CA5C5" w14:textId="21196A79" w:rsidR="005B4E75" w:rsidRPr="007A47F5" w:rsidRDefault="00E85420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Cs w:val="24"/>
              </w:rPr>
              <w:instrText xml:space="preserve"> FORMCHECKBOX </w:instrText>
            </w:r>
            <w:r w:rsidR="00372917">
              <w:rPr>
                <w:szCs w:val="24"/>
              </w:rPr>
            </w:r>
            <w:r w:rsidR="00372917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14:paraId="361CA5C6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RECOMMEND</w:t>
            </w:r>
          </w:p>
          <w:p w14:paraId="361CA5C7" w14:textId="279E05C4" w:rsidR="005B4E75" w:rsidRPr="007A47F5" w:rsidRDefault="005B564E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szCs w:val="24"/>
              </w:rPr>
              <w:instrText xml:space="preserve"> FORMCHECKBOX </w:instrText>
            </w:r>
            <w:r w:rsidR="00372917">
              <w:rPr>
                <w:szCs w:val="24"/>
              </w:rPr>
            </w:r>
            <w:r w:rsidR="00372917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61CA5C8" w14:textId="77777777" w:rsidR="005B4E75" w:rsidRDefault="005B4E75" w:rsidP="00D34F08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ADOPT</w:t>
            </w:r>
          </w:p>
          <w:p w14:paraId="361CA5C9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5B4E75">
              <w:rPr>
                <w:szCs w:val="24"/>
              </w:rPr>
              <w:instrText xml:space="preserve"> FORMCHECKBOX </w:instrText>
            </w:r>
            <w:r w:rsidR="00372917">
              <w:rPr>
                <w:szCs w:val="24"/>
              </w:rPr>
            </w:r>
            <w:r w:rsidR="00372917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"/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61CA5CA" w14:textId="77777777" w:rsidR="005B4E75" w:rsidRDefault="00141FC5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ASSURANCE</w:t>
            </w:r>
          </w:p>
          <w:p w14:paraId="361CA5CB" w14:textId="77777777" w:rsidR="005B4E75" w:rsidRPr="007A47F5" w:rsidRDefault="007F7EA7" w:rsidP="00D34F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5B4E75">
              <w:rPr>
                <w:szCs w:val="24"/>
              </w:rPr>
              <w:instrText xml:space="preserve"> FORMCHECKBOX </w:instrText>
            </w:r>
            <w:r w:rsidR="00372917">
              <w:rPr>
                <w:szCs w:val="24"/>
              </w:rPr>
            </w:r>
            <w:r w:rsidR="00372917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EE7097" w:rsidRPr="001C60B5" w14:paraId="361CA5D3" w14:textId="77777777" w:rsidTr="005B564E">
        <w:tc>
          <w:tcPr>
            <w:tcW w:w="8926" w:type="dxa"/>
            <w:gridSpan w:val="7"/>
            <w:tcBorders>
              <w:bottom w:val="single" w:sz="4" w:space="0" w:color="auto"/>
            </w:tcBorders>
          </w:tcPr>
          <w:p w14:paraId="178ED51D" w14:textId="77777777" w:rsidR="005B564E" w:rsidRDefault="005B564E" w:rsidP="005B56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41994ABE" w14:textId="6BBB9D4F" w:rsidR="005B564E" w:rsidRDefault="005B564E" w:rsidP="005B564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The Board is asked to approve the revised terms of reference for:</w:t>
            </w:r>
          </w:p>
          <w:p w14:paraId="6C2AD724" w14:textId="1E7DFB7D" w:rsidR="005B564E" w:rsidRDefault="005B564E" w:rsidP="005B564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People and Organisational Development Committee (Appendix 1)</w:t>
            </w:r>
          </w:p>
          <w:p w14:paraId="2EB4CBBB" w14:textId="7E613E17" w:rsidR="005B564E" w:rsidRDefault="005B564E" w:rsidP="005B564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Local Partnership Forum (Appendix 2)</w:t>
            </w:r>
          </w:p>
          <w:p w14:paraId="361CA5D2" w14:textId="3D0B1320" w:rsidR="00A31294" w:rsidRPr="00720EC2" w:rsidRDefault="00A31294" w:rsidP="005B564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14:paraId="5EA380A3" w14:textId="77777777" w:rsidR="005B564E" w:rsidRDefault="005B564E">
      <w:r>
        <w:br w:type="page"/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3192"/>
        <w:gridCol w:w="5834"/>
      </w:tblGrid>
      <w:tr w:rsidR="00D713DC" w:rsidRPr="001C60B5" w14:paraId="361CA5D6" w14:textId="77777777" w:rsidTr="005B564E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1CA5D5" w14:textId="63AF7EE2" w:rsidR="00D713DC" w:rsidRPr="005B4E75" w:rsidRDefault="00916053">
            <w:pPr>
              <w:rPr>
                <w:b/>
                <w:sz w:val="12"/>
                <w:szCs w:val="12"/>
              </w:rPr>
            </w:pPr>
            <w:r>
              <w:lastRenderedPageBreak/>
              <w:br w:type="page"/>
            </w:r>
          </w:p>
        </w:tc>
      </w:tr>
      <w:tr w:rsidR="00EE7097" w:rsidRPr="001C60B5" w14:paraId="361CA5DC" w14:textId="77777777" w:rsidTr="005B564E">
        <w:tc>
          <w:tcPr>
            <w:tcW w:w="9026" w:type="dxa"/>
            <w:gridSpan w:val="2"/>
            <w:shd w:val="clear" w:color="auto" w:fill="F2F2F2" w:themeFill="background1" w:themeFillShade="F2"/>
          </w:tcPr>
          <w:p w14:paraId="361CA5D7" w14:textId="77777777" w:rsidR="00EE7097" w:rsidRPr="001C60B5" w:rsidRDefault="00EE7097" w:rsidP="00680248">
            <w:pPr>
              <w:rPr>
                <w:szCs w:val="24"/>
              </w:rPr>
            </w:pPr>
            <w:r w:rsidRPr="001C60B5">
              <w:rPr>
                <w:b/>
                <w:szCs w:val="24"/>
              </w:rPr>
              <w:t xml:space="preserve">Link to Public Health Wales </w:t>
            </w:r>
            <w:hyperlink r:id="rId13" w:history="1">
              <w:r w:rsidRPr="001C60B5">
                <w:rPr>
                  <w:rStyle w:val="Hyperlink"/>
                  <w:b/>
                  <w:szCs w:val="24"/>
                </w:rPr>
                <w:t>Strategic Plan</w:t>
              </w:r>
            </w:hyperlink>
          </w:p>
          <w:p w14:paraId="361CA5D8" w14:textId="77777777" w:rsidR="00EE7097" w:rsidRPr="001C60B5" w:rsidRDefault="00EE7097" w:rsidP="00680248">
            <w:pPr>
              <w:rPr>
                <w:szCs w:val="24"/>
              </w:rPr>
            </w:pPr>
          </w:p>
          <w:p w14:paraId="361CA5D9" w14:textId="77777777" w:rsidR="0013075E" w:rsidRDefault="00B52B29" w:rsidP="00EE7097">
            <w:pPr>
              <w:rPr>
                <w:szCs w:val="24"/>
              </w:rPr>
            </w:pPr>
            <w:r w:rsidRPr="001C60B5">
              <w:rPr>
                <w:szCs w:val="24"/>
              </w:rPr>
              <w:t>Public Health Wales has an agreed strategic plan</w:t>
            </w:r>
            <w:r>
              <w:rPr>
                <w:szCs w:val="24"/>
              </w:rPr>
              <w:t xml:space="preserve">, which has identified seven strategic priorities and well-being objectives.  </w:t>
            </w:r>
          </w:p>
          <w:p w14:paraId="361CA5DA" w14:textId="77777777" w:rsidR="00B52B29" w:rsidRDefault="00B52B29" w:rsidP="00EE7097">
            <w:pPr>
              <w:rPr>
                <w:bCs/>
                <w:szCs w:val="24"/>
              </w:rPr>
            </w:pPr>
          </w:p>
          <w:p w14:paraId="361CA5DB" w14:textId="77777777" w:rsidR="00EE7097" w:rsidRPr="001C60B5" w:rsidRDefault="00EE7097" w:rsidP="00EE7097">
            <w:pPr>
              <w:rPr>
                <w:szCs w:val="24"/>
              </w:rPr>
            </w:pPr>
            <w:r w:rsidRPr="001C60B5">
              <w:rPr>
                <w:szCs w:val="24"/>
              </w:rPr>
              <w:t>This report contributes to the following:</w:t>
            </w:r>
          </w:p>
        </w:tc>
      </w:tr>
      <w:tr w:rsidR="00EE7097" w:rsidRPr="001C60B5" w14:paraId="361CA5DF" w14:textId="77777777" w:rsidTr="005B564E">
        <w:tc>
          <w:tcPr>
            <w:tcW w:w="3192" w:type="dxa"/>
            <w:shd w:val="clear" w:color="auto" w:fill="auto"/>
          </w:tcPr>
          <w:p w14:paraId="361CA5DD" w14:textId="77777777" w:rsidR="00EE7097" w:rsidRPr="001C60B5" w:rsidRDefault="00B52B29" w:rsidP="00B52B29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Strategic </w:t>
            </w:r>
            <w:r>
              <w:rPr>
                <w:b/>
                <w:szCs w:val="24"/>
              </w:rPr>
              <w:t>Priority/Well-being Objective</w:t>
            </w:r>
          </w:p>
        </w:tc>
        <w:tc>
          <w:tcPr>
            <w:tcW w:w="5834" w:type="dxa"/>
            <w:shd w:val="clear" w:color="auto" w:fill="auto"/>
          </w:tcPr>
          <w:p w14:paraId="361CA5DE" w14:textId="60CBC389" w:rsidR="00EE7097" w:rsidRPr="0013075E" w:rsidRDefault="00372917" w:rsidP="00554429">
            <w:pPr>
              <w:rPr>
                <w:szCs w:val="24"/>
              </w:rPr>
            </w:pPr>
            <w:sdt>
              <w:sdtPr>
                <w:rPr>
                  <w:rStyle w:val="Dropdown"/>
                </w:rPr>
                <w:alias w:val="Strategic Objective"/>
                <w:tag w:val="Strategic Objective"/>
                <w:id w:val="1886465"/>
                <w:placeholder>
                  <w:docPart w:val="0E25CCC5DD4F43AAA642CDCC18DDB6A6"/>
                </w:placeholder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  <w:listItem w:displayText="All Strategic Priorities/Well-being Objectives" w:value="All Strategic Priorities/Well-being Objectives"/>
                </w:dropDownList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8E5907">
                  <w:rPr>
                    <w:rStyle w:val="Dropdown"/>
                  </w:rPr>
                  <w:t>All Strategic Priorities/Well-being Objectives</w:t>
                </w:r>
              </w:sdtContent>
            </w:sdt>
          </w:p>
        </w:tc>
      </w:tr>
      <w:tr w:rsidR="00EE7097" w:rsidRPr="001C60B5" w14:paraId="361CA5E7" w14:textId="77777777" w:rsidTr="005B564E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1CA5E6" w14:textId="77777777" w:rsidR="00EE7097" w:rsidRPr="005B4E75" w:rsidRDefault="00EE7097" w:rsidP="00211B9D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361CA5EA" w14:textId="77777777" w:rsidTr="005B564E">
        <w:tc>
          <w:tcPr>
            <w:tcW w:w="9026" w:type="dxa"/>
            <w:gridSpan w:val="2"/>
            <w:shd w:val="clear" w:color="auto" w:fill="F2F2F2" w:themeFill="background1" w:themeFillShade="F2"/>
          </w:tcPr>
          <w:p w14:paraId="361CA5E9" w14:textId="4C7F6C08" w:rsidR="00EE7097" w:rsidRPr="00897F8D" w:rsidRDefault="00EE7097" w:rsidP="00CA5841">
            <w:pPr>
              <w:rPr>
                <w:i/>
                <w:color w:val="FF0000"/>
                <w:szCs w:val="24"/>
              </w:rPr>
            </w:pPr>
            <w:r w:rsidRPr="001C60B5">
              <w:rPr>
                <w:b/>
                <w:szCs w:val="24"/>
              </w:rPr>
              <w:t xml:space="preserve">Summary impact analysis </w:t>
            </w:r>
            <w:r w:rsidRPr="001C60B5">
              <w:rPr>
                <w:i/>
                <w:color w:val="FF0000"/>
                <w:szCs w:val="24"/>
              </w:rPr>
              <w:t xml:space="preserve"> </w:t>
            </w:r>
          </w:p>
        </w:tc>
      </w:tr>
      <w:tr w:rsidR="00EE7097" w:rsidRPr="001C60B5" w14:paraId="361CA5F1" w14:textId="77777777" w:rsidTr="005B564E">
        <w:trPr>
          <w:trHeight w:val="692"/>
        </w:trPr>
        <w:tc>
          <w:tcPr>
            <w:tcW w:w="3192" w:type="dxa"/>
          </w:tcPr>
          <w:p w14:paraId="361CA5EB" w14:textId="77777777" w:rsidR="00EE7097" w:rsidRPr="001C60B5" w:rsidRDefault="00EE7097" w:rsidP="00097ACD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Equality and Health Impact Assessment</w:t>
            </w:r>
          </w:p>
        </w:tc>
        <w:tc>
          <w:tcPr>
            <w:tcW w:w="5834" w:type="dxa"/>
          </w:tcPr>
          <w:p w14:paraId="361CA5F0" w14:textId="01625B4D" w:rsidR="00EE7097" w:rsidRPr="001913AB" w:rsidRDefault="00EF2460" w:rsidP="008E5907">
            <w:pPr>
              <w:rPr>
                <w:color w:val="FF0000"/>
                <w:szCs w:val="24"/>
              </w:rPr>
            </w:pPr>
            <w:r w:rsidRPr="001913AB">
              <w:rPr>
                <w:szCs w:val="24"/>
              </w:rPr>
              <w:t xml:space="preserve">Not required </w:t>
            </w:r>
          </w:p>
        </w:tc>
      </w:tr>
      <w:tr w:rsidR="003A3414" w:rsidRPr="001C60B5" w14:paraId="361CA5F4" w14:textId="77777777" w:rsidTr="005B564E">
        <w:tc>
          <w:tcPr>
            <w:tcW w:w="3192" w:type="dxa"/>
          </w:tcPr>
          <w:p w14:paraId="361CA5F2" w14:textId="77777777" w:rsidR="003A3414" w:rsidRPr="00593A31" w:rsidRDefault="003A3414">
            <w:pPr>
              <w:rPr>
                <w:b/>
                <w:szCs w:val="24"/>
              </w:rPr>
            </w:pPr>
            <w:r w:rsidRPr="00593A31">
              <w:rPr>
                <w:b/>
                <w:szCs w:val="24"/>
              </w:rPr>
              <w:t>Risk and Assurance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361CA5F3" w14:textId="41925725" w:rsidR="003A3414" w:rsidRPr="00593A31" w:rsidRDefault="00593A31" w:rsidP="003A3414">
            <w:pPr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593A31">
              <w:rPr>
                <w:szCs w:val="24"/>
              </w:rPr>
              <w:t xml:space="preserve"> organisation will not be compliant with its Standing orders if an annual review of terms of reference is not undertaken.</w:t>
            </w:r>
          </w:p>
        </w:tc>
      </w:tr>
      <w:tr w:rsidR="00EE7097" w:rsidRPr="001C60B5" w14:paraId="361CA5F7" w14:textId="77777777" w:rsidTr="005B564E">
        <w:trPr>
          <w:trHeight w:val="1030"/>
        </w:trPr>
        <w:tc>
          <w:tcPr>
            <w:tcW w:w="3192" w:type="dxa"/>
            <w:vMerge w:val="restart"/>
          </w:tcPr>
          <w:p w14:paraId="361CA5F5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Health and Care Standards</w:t>
            </w:r>
          </w:p>
        </w:tc>
        <w:tc>
          <w:tcPr>
            <w:tcW w:w="5834" w:type="dxa"/>
            <w:tcBorders>
              <w:bottom w:val="nil"/>
            </w:tcBorders>
          </w:tcPr>
          <w:p w14:paraId="361CA5F6" w14:textId="77777777" w:rsidR="00EE7097" w:rsidRPr="001C60B5" w:rsidRDefault="00EE7097" w:rsidP="00126327">
            <w:pPr>
              <w:rPr>
                <w:szCs w:val="24"/>
              </w:rPr>
            </w:pPr>
            <w:r w:rsidRPr="001C60B5">
              <w:rPr>
                <w:szCs w:val="24"/>
              </w:rPr>
              <w:t xml:space="preserve">This report supports and/or takes into account the </w:t>
            </w:r>
            <w:hyperlink r:id="rId14" w:history="1">
              <w:r w:rsidRPr="001C60B5">
                <w:rPr>
                  <w:rStyle w:val="Hyperlink"/>
                  <w:color w:val="0000FF"/>
                  <w:szCs w:val="24"/>
                </w:rPr>
                <w:t>Health and Care Standards for NHS Wales</w:t>
              </w:r>
            </w:hyperlink>
            <w:r w:rsidRPr="001C60B5">
              <w:rPr>
                <w:szCs w:val="24"/>
              </w:rPr>
              <w:t xml:space="preserve"> Quality Themes</w:t>
            </w:r>
            <w:r w:rsidRPr="001C60B5">
              <w:rPr>
                <w:i/>
                <w:color w:val="FF0000"/>
                <w:szCs w:val="24"/>
              </w:rPr>
              <w:t xml:space="preserve"> </w:t>
            </w:r>
          </w:p>
        </w:tc>
      </w:tr>
      <w:tr w:rsidR="00E263D4" w:rsidRPr="001C60B5" w14:paraId="361CA5FA" w14:textId="77777777" w:rsidTr="005B564E">
        <w:trPr>
          <w:trHeight w:val="281"/>
        </w:trPr>
        <w:tc>
          <w:tcPr>
            <w:tcW w:w="3192" w:type="dxa"/>
            <w:vMerge/>
          </w:tcPr>
          <w:p w14:paraId="361CA5F8" w14:textId="77777777" w:rsidR="00E263D4" w:rsidRPr="001C60B5" w:rsidRDefault="00E263D4" w:rsidP="00E263D4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  <w:bottom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29471429"/>
              <w:placeholder>
                <w:docPart w:val="C04374CD51A040E4BEE1F4C1F29763FE"/>
              </w:placeholder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  <w:listItem w:displayText="All themes" w:value="All themes"/>
              </w:dropDownList>
            </w:sdtPr>
            <w:sdtEndPr>
              <w:rPr>
                <w:rStyle w:val="DefaultParagraphFont"/>
                <w:sz w:val="22"/>
                <w:szCs w:val="24"/>
              </w:rPr>
            </w:sdtEndPr>
            <w:sdtContent>
              <w:p w14:paraId="361CA5F9" w14:textId="4264D01F" w:rsidR="00E263D4" w:rsidRPr="001C60B5" w:rsidRDefault="008E5907" w:rsidP="00E263D4">
                <w:pPr>
                  <w:ind w:left="436"/>
                  <w:rPr>
                    <w:szCs w:val="24"/>
                  </w:rPr>
                </w:pPr>
                <w:r>
                  <w:rPr>
                    <w:rStyle w:val="Dropdown"/>
                  </w:rPr>
                  <w:t>Governance, Leadership and Accountability</w:t>
                </w:r>
              </w:p>
            </w:sdtContent>
          </w:sdt>
        </w:tc>
      </w:tr>
      <w:tr w:rsidR="00EE7097" w:rsidRPr="001C60B5" w14:paraId="361CA603" w14:textId="77777777" w:rsidTr="005B564E">
        <w:tc>
          <w:tcPr>
            <w:tcW w:w="3192" w:type="dxa"/>
          </w:tcPr>
          <w:p w14:paraId="361CA601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Financial implications</w:t>
            </w:r>
          </w:p>
        </w:tc>
        <w:tc>
          <w:tcPr>
            <w:tcW w:w="5834" w:type="dxa"/>
          </w:tcPr>
          <w:p w14:paraId="361CA602" w14:textId="4B49FDB5" w:rsidR="00EE7097" w:rsidRPr="00126327" w:rsidRDefault="008E5907" w:rsidP="007D03B8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E7097" w:rsidRPr="001C60B5" w14:paraId="361CA606" w14:textId="77777777" w:rsidTr="005B564E">
        <w:tc>
          <w:tcPr>
            <w:tcW w:w="3192" w:type="dxa"/>
          </w:tcPr>
          <w:p w14:paraId="361CA604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People implications 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361CA605" w14:textId="3F9CF1CA" w:rsidR="00EE7097" w:rsidRPr="00126327" w:rsidRDefault="008E5907" w:rsidP="007D03B8">
            <w:pPr>
              <w:rPr>
                <w:color w:val="FF0000"/>
                <w:szCs w:val="24"/>
              </w:rPr>
            </w:pPr>
            <w:r w:rsidRPr="008E5907">
              <w:rPr>
                <w:szCs w:val="24"/>
              </w:rPr>
              <w:t>N/A</w:t>
            </w:r>
          </w:p>
        </w:tc>
      </w:tr>
    </w:tbl>
    <w:p w14:paraId="361CA607" w14:textId="77777777" w:rsidR="007D03B8" w:rsidRPr="001C60B5" w:rsidRDefault="007D03B8" w:rsidP="006F654D">
      <w:pPr>
        <w:pStyle w:val="ListBullet"/>
        <w:rPr>
          <w:b/>
          <w:color w:val="FF0000"/>
          <w:szCs w:val="24"/>
        </w:rPr>
        <w:sectPr w:rsidR="007D03B8" w:rsidRPr="001C60B5" w:rsidSect="008902AA"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101337" w14:textId="5660552E" w:rsidR="00D54EFC" w:rsidRDefault="0087331D" w:rsidP="00BF21DF">
      <w:pPr>
        <w:pStyle w:val="Heading1"/>
        <w:numPr>
          <w:ilvl w:val="0"/>
          <w:numId w:val="1"/>
        </w:numPr>
        <w:tabs>
          <w:tab w:val="left" w:pos="567"/>
        </w:tabs>
        <w:ind w:left="567" w:hanging="708"/>
        <w:jc w:val="both"/>
        <w:rPr>
          <w:szCs w:val="24"/>
        </w:rPr>
      </w:pPr>
      <w:r w:rsidRPr="001C60B5">
        <w:rPr>
          <w:szCs w:val="24"/>
        </w:rPr>
        <w:lastRenderedPageBreak/>
        <w:t>Purpose</w:t>
      </w:r>
      <w:r w:rsidR="00051E74" w:rsidRPr="001C60B5">
        <w:rPr>
          <w:szCs w:val="24"/>
        </w:rPr>
        <w:t xml:space="preserve"> / situation</w:t>
      </w:r>
    </w:p>
    <w:p w14:paraId="0B81D986" w14:textId="77777777" w:rsidR="00BF21DF" w:rsidRDefault="00BF21DF" w:rsidP="008E6140">
      <w:pPr>
        <w:jc w:val="both"/>
      </w:pPr>
    </w:p>
    <w:p w14:paraId="6EBD1139" w14:textId="77777777" w:rsidR="005B564E" w:rsidRDefault="005B564E" w:rsidP="005B564E">
      <w:pPr>
        <w:spacing w:after="200"/>
        <w:rPr>
          <w:szCs w:val="24"/>
        </w:rPr>
      </w:pPr>
      <w:r>
        <w:rPr>
          <w:szCs w:val="24"/>
        </w:rPr>
        <w:t>The purpose of this paper is to present revised terms of reference for the following groups for Board approval:</w:t>
      </w:r>
    </w:p>
    <w:p w14:paraId="664AB92E" w14:textId="77777777" w:rsidR="005B564E" w:rsidRDefault="005B564E" w:rsidP="005B564E">
      <w:pPr>
        <w:pStyle w:val="ListParagraph"/>
        <w:numPr>
          <w:ilvl w:val="0"/>
          <w:numId w:val="26"/>
        </w:numPr>
        <w:spacing w:after="200"/>
        <w:ind w:left="426"/>
        <w:rPr>
          <w:szCs w:val="24"/>
        </w:rPr>
      </w:pPr>
      <w:r>
        <w:rPr>
          <w:szCs w:val="24"/>
        </w:rPr>
        <w:t xml:space="preserve">People and Organisational Development (POD) Committee </w:t>
      </w:r>
    </w:p>
    <w:p w14:paraId="5BAF151E" w14:textId="77777777" w:rsidR="005B564E" w:rsidRPr="003D5328" w:rsidRDefault="005B564E" w:rsidP="005B564E">
      <w:pPr>
        <w:pStyle w:val="ListParagraph"/>
        <w:numPr>
          <w:ilvl w:val="0"/>
          <w:numId w:val="26"/>
        </w:numPr>
        <w:spacing w:after="200"/>
        <w:ind w:left="426"/>
        <w:rPr>
          <w:szCs w:val="24"/>
        </w:rPr>
      </w:pPr>
      <w:r>
        <w:rPr>
          <w:szCs w:val="24"/>
        </w:rPr>
        <w:t>Local Partnership Forum (LPF)</w:t>
      </w:r>
    </w:p>
    <w:p w14:paraId="66C9FFF4" w14:textId="68FDCE23" w:rsidR="005B564E" w:rsidRDefault="005B564E" w:rsidP="005B564E">
      <w:pPr>
        <w:spacing w:after="200"/>
        <w:rPr>
          <w:szCs w:val="24"/>
        </w:rPr>
      </w:pPr>
      <w:r>
        <w:rPr>
          <w:szCs w:val="24"/>
        </w:rPr>
        <w:t xml:space="preserve">The </w:t>
      </w:r>
      <w:r w:rsidR="00AE012D">
        <w:rPr>
          <w:szCs w:val="24"/>
        </w:rPr>
        <w:t>People and Organisational Development Committee</w:t>
      </w:r>
      <w:r>
        <w:rPr>
          <w:szCs w:val="24"/>
        </w:rPr>
        <w:t xml:space="preserve"> Committees Terms of Reference were last upda</w:t>
      </w:r>
      <w:r w:rsidR="00C138DD">
        <w:rPr>
          <w:szCs w:val="24"/>
        </w:rPr>
        <w:t xml:space="preserve">ted in May 2022. The </w:t>
      </w:r>
      <w:r>
        <w:rPr>
          <w:szCs w:val="24"/>
        </w:rPr>
        <w:t xml:space="preserve">Committee </w:t>
      </w:r>
      <w:r w:rsidR="00C138DD">
        <w:rPr>
          <w:szCs w:val="24"/>
        </w:rPr>
        <w:t xml:space="preserve">undertook a further review in early October based on some discussions that had taken place within the Committee over the summer. The revised </w:t>
      </w:r>
      <w:r>
        <w:rPr>
          <w:szCs w:val="24"/>
        </w:rPr>
        <w:t xml:space="preserve">Committee Terms of reference </w:t>
      </w:r>
      <w:r w:rsidR="00C138DD">
        <w:rPr>
          <w:szCs w:val="24"/>
        </w:rPr>
        <w:t xml:space="preserve">are </w:t>
      </w:r>
      <w:r>
        <w:rPr>
          <w:szCs w:val="24"/>
        </w:rPr>
        <w:t xml:space="preserve">recommended </w:t>
      </w:r>
      <w:r w:rsidR="00AE012D">
        <w:rPr>
          <w:szCs w:val="24"/>
        </w:rPr>
        <w:t xml:space="preserve">to the Board for approval. </w:t>
      </w:r>
    </w:p>
    <w:p w14:paraId="6E6D2E98" w14:textId="707C9B2D" w:rsidR="005B564E" w:rsidRDefault="005B564E" w:rsidP="00AE1A84">
      <w:r>
        <w:rPr>
          <w:szCs w:val="24"/>
        </w:rPr>
        <w:t>The L</w:t>
      </w:r>
      <w:r w:rsidR="00C138DD">
        <w:rPr>
          <w:szCs w:val="24"/>
        </w:rPr>
        <w:t xml:space="preserve">ocal </w:t>
      </w:r>
      <w:r>
        <w:rPr>
          <w:szCs w:val="24"/>
        </w:rPr>
        <w:t>P</w:t>
      </w:r>
      <w:r w:rsidR="00C138DD">
        <w:rPr>
          <w:szCs w:val="24"/>
        </w:rPr>
        <w:t xml:space="preserve">artnership </w:t>
      </w:r>
      <w:r>
        <w:rPr>
          <w:szCs w:val="24"/>
        </w:rPr>
        <w:t>F</w:t>
      </w:r>
      <w:r w:rsidR="00C138DD">
        <w:rPr>
          <w:szCs w:val="24"/>
        </w:rPr>
        <w:t>orum (LPF)</w:t>
      </w:r>
      <w:r>
        <w:rPr>
          <w:szCs w:val="24"/>
        </w:rPr>
        <w:t xml:space="preserve"> Terms of reference have also been reviewed and the proposed revised draft has been developed </w:t>
      </w:r>
      <w:r>
        <w:t>in consultation with the LPF and support more efficient planning and governance</w:t>
      </w:r>
      <w:r w:rsidR="00C138DD">
        <w:t xml:space="preserve"> of the group</w:t>
      </w:r>
      <w:r>
        <w:t>.</w:t>
      </w:r>
      <w:r w:rsidR="00C138DD">
        <w:t xml:space="preserve"> The LPF terms of reference have not been reviewed since pre the COVID-19 pandemic. </w:t>
      </w:r>
    </w:p>
    <w:p w14:paraId="53FCC6B5" w14:textId="77777777" w:rsidR="002102EF" w:rsidRDefault="002102EF" w:rsidP="00AE1A84"/>
    <w:p w14:paraId="27EB6878" w14:textId="77777777" w:rsidR="00AE1A84" w:rsidRDefault="00AE1A84" w:rsidP="00AE1A84">
      <w:pPr>
        <w:rPr>
          <w:szCs w:val="24"/>
        </w:rPr>
      </w:pPr>
    </w:p>
    <w:p w14:paraId="361CA60B" w14:textId="40435F3C" w:rsidR="0087331D" w:rsidRPr="001C60B5" w:rsidRDefault="005B564E" w:rsidP="00AE1A84">
      <w:pPr>
        <w:pStyle w:val="Heading1"/>
        <w:numPr>
          <w:ilvl w:val="0"/>
          <w:numId w:val="1"/>
        </w:numPr>
        <w:tabs>
          <w:tab w:val="left" w:pos="567"/>
        </w:tabs>
        <w:spacing w:before="0"/>
        <w:jc w:val="both"/>
        <w:rPr>
          <w:szCs w:val="24"/>
        </w:rPr>
      </w:pPr>
      <w:r>
        <w:rPr>
          <w:szCs w:val="24"/>
        </w:rPr>
        <w:t xml:space="preserve">People and Organisational Development Committee </w:t>
      </w:r>
    </w:p>
    <w:p w14:paraId="1DA3AC45" w14:textId="77777777" w:rsidR="00AE1A84" w:rsidRDefault="00AE1A84" w:rsidP="00AE1A84">
      <w:pPr>
        <w:jc w:val="both"/>
        <w:rPr>
          <w:szCs w:val="24"/>
        </w:rPr>
      </w:pPr>
    </w:p>
    <w:p w14:paraId="562A124A" w14:textId="5062AB6F" w:rsidR="00AE1A84" w:rsidRDefault="00CC37F8" w:rsidP="00AE1A84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>
        <w:rPr>
          <w:szCs w:val="24"/>
        </w:rPr>
        <w:t xml:space="preserve">Following feedback at Board in May 2022, </w:t>
      </w:r>
      <w:r w:rsidR="00A31294" w:rsidRPr="008E6140">
        <w:rPr>
          <w:szCs w:val="24"/>
        </w:rPr>
        <w:t xml:space="preserve">the Terms of Reference </w:t>
      </w:r>
      <w:r>
        <w:rPr>
          <w:szCs w:val="24"/>
        </w:rPr>
        <w:t>have been amended to include the staff engagement and partnership working with Trade Unions as a specific item in the assurance sect</w:t>
      </w:r>
      <w:r w:rsidR="00AE1A84">
        <w:rPr>
          <w:szCs w:val="24"/>
        </w:rPr>
        <w:t xml:space="preserve">ion of the Terms of Reference. </w:t>
      </w:r>
      <w:r w:rsidR="00AE1A84">
        <w:rPr>
          <w:rFonts w:cs="Arial"/>
        </w:rPr>
        <w:t xml:space="preserve">A full copy of the revised terms of reference are included at </w:t>
      </w:r>
      <w:r w:rsidR="00AE1A84" w:rsidRPr="00AE1A84">
        <w:rPr>
          <w:rFonts w:cs="Arial"/>
          <w:b/>
        </w:rPr>
        <w:t>appendix 1</w:t>
      </w:r>
      <w:r w:rsidR="00AE1A84">
        <w:rPr>
          <w:rFonts w:cs="Arial"/>
        </w:rPr>
        <w:t>.</w:t>
      </w:r>
    </w:p>
    <w:p w14:paraId="2787C0CA" w14:textId="0830F3EE" w:rsidR="005B564E" w:rsidRDefault="005B564E" w:rsidP="00AE1A84">
      <w:pPr>
        <w:jc w:val="both"/>
        <w:rPr>
          <w:szCs w:val="24"/>
        </w:rPr>
      </w:pPr>
    </w:p>
    <w:p w14:paraId="33ED42BE" w14:textId="6D6C4CE9" w:rsidR="00A31294" w:rsidRDefault="005B564E" w:rsidP="00AE1A84">
      <w:pPr>
        <w:jc w:val="both"/>
        <w:rPr>
          <w:szCs w:val="24"/>
        </w:rPr>
      </w:pPr>
      <w:r>
        <w:rPr>
          <w:szCs w:val="24"/>
        </w:rPr>
        <w:t xml:space="preserve">On 6 October 2022, the People and Organisational Development Committee considered the revised draft, and agreed to recommend to the Board for approval. </w:t>
      </w:r>
      <w:r w:rsidR="00A31294" w:rsidRPr="008E6140">
        <w:rPr>
          <w:szCs w:val="24"/>
        </w:rPr>
        <w:t xml:space="preserve">  </w:t>
      </w:r>
    </w:p>
    <w:p w14:paraId="58F2DECD" w14:textId="49988086" w:rsidR="005F3477" w:rsidRDefault="005F3477" w:rsidP="00AE1A84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1E3BB0C2" w14:textId="0F8D1197" w:rsidR="005F3477" w:rsidRDefault="005F3477" w:rsidP="00AE1A84">
      <w:pPr>
        <w:widowControl w:val="0"/>
        <w:autoSpaceDE w:val="0"/>
        <w:autoSpaceDN w:val="0"/>
        <w:adjustRightInd w:val="0"/>
        <w:jc w:val="both"/>
      </w:pPr>
      <w:r>
        <w:t>The proposed change</w:t>
      </w:r>
      <w:r w:rsidR="00BF3B6C">
        <w:t>s</w:t>
      </w:r>
      <w:r>
        <w:t xml:space="preserve"> are intended to clarify </w:t>
      </w:r>
      <w:r w:rsidR="003C45B6">
        <w:t xml:space="preserve">the role of the Committee in ensuring effective arrangements are in place for Staff Engagement and partnership working with Trade Unions. </w:t>
      </w:r>
    </w:p>
    <w:p w14:paraId="167511B9" w14:textId="016DD59B" w:rsidR="003C45B6" w:rsidRDefault="003C45B6" w:rsidP="00DB4770">
      <w:pPr>
        <w:widowControl w:val="0"/>
        <w:autoSpaceDE w:val="0"/>
        <w:autoSpaceDN w:val="0"/>
        <w:adjustRightInd w:val="0"/>
        <w:jc w:val="both"/>
      </w:pPr>
    </w:p>
    <w:p w14:paraId="59EE33CE" w14:textId="77777777" w:rsidR="00C138DD" w:rsidRDefault="00C138DD" w:rsidP="00C138DD">
      <w:pPr>
        <w:jc w:val="both"/>
      </w:pPr>
      <w:r>
        <w:t>The key changes to the Terms of Reference are detailed below:</w:t>
      </w:r>
    </w:p>
    <w:p w14:paraId="6DA83D19" w14:textId="77777777" w:rsidR="00C138DD" w:rsidRDefault="00C138DD" w:rsidP="00DB4770">
      <w:pPr>
        <w:widowControl w:val="0"/>
        <w:autoSpaceDE w:val="0"/>
        <w:autoSpaceDN w:val="0"/>
        <w:adjustRightInd w:val="0"/>
        <w:jc w:val="both"/>
      </w:pPr>
    </w:p>
    <w:tbl>
      <w:tblPr>
        <w:tblStyle w:val="TableGrid"/>
        <w:tblW w:w="9582" w:type="dxa"/>
        <w:tblInd w:w="-431" w:type="dxa"/>
        <w:tblLook w:val="04A0" w:firstRow="1" w:lastRow="0" w:firstColumn="1" w:lastColumn="0" w:noHBand="0" w:noVBand="1"/>
      </w:tblPr>
      <w:tblGrid>
        <w:gridCol w:w="2563"/>
        <w:gridCol w:w="7019"/>
      </w:tblGrid>
      <w:tr w:rsidR="00A31294" w:rsidRPr="00C0078B" w14:paraId="4B1A3A13" w14:textId="77777777" w:rsidTr="00DB4770">
        <w:trPr>
          <w:trHeight w:val="546"/>
          <w:tblHeader/>
        </w:trPr>
        <w:tc>
          <w:tcPr>
            <w:tcW w:w="2563" w:type="dxa"/>
            <w:shd w:val="clear" w:color="auto" w:fill="DBE5F1" w:themeFill="accent1" w:themeFillTint="33"/>
          </w:tcPr>
          <w:p w14:paraId="3DB8AE0F" w14:textId="77777777" w:rsidR="00A31294" w:rsidRPr="00C0078B" w:rsidRDefault="00A31294" w:rsidP="009601B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C0078B">
              <w:rPr>
                <w:rFonts w:cs="Arial"/>
                <w:b/>
              </w:rPr>
              <w:t>Section</w:t>
            </w:r>
          </w:p>
        </w:tc>
        <w:tc>
          <w:tcPr>
            <w:tcW w:w="7019" w:type="dxa"/>
            <w:shd w:val="clear" w:color="auto" w:fill="DBE5F1" w:themeFill="accent1" w:themeFillTint="33"/>
          </w:tcPr>
          <w:p w14:paraId="70FA3D9A" w14:textId="77777777" w:rsidR="00A31294" w:rsidRPr="00C0078B" w:rsidRDefault="00A31294" w:rsidP="009601B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C0078B">
              <w:rPr>
                <w:rFonts w:cs="Arial"/>
                <w:b/>
              </w:rPr>
              <w:t>Proposed Amendment</w:t>
            </w:r>
          </w:p>
        </w:tc>
      </w:tr>
      <w:tr w:rsidR="00A31294" w:rsidRPr="00C0078B" w14:paraId="511C18CF" w14:textId="77777777" w:rsidTr="003C45B6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4832D1EE" w14:textId="77777777" w:rsidR="00A31294" w:rsidRPr="00515937" w:rsidRDefault="00A31294" w:rsidP="009601B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15937">
              <w:rPr>
                <w:b/>
              </w:rPr>
              <w:t xml:space="preserve">Throughout </w:t>
            </w:r>
          </w:p>
        </w:tc>
        <w:tc>
          <w:tcPr>
            <w:tcW w:w="7019" w:type="dxa"/>
            <w:shd w:val="clear" w:color="auto" w:fill="auto"/>
          </w:tcPr>
          <w:p w14:paraId="60AC67EF" w14:textId="5500D582" w:rsidR="001451D5" w:rsidRDefault="003C45B6" w:rsidP="009601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No changes</w:t>
            </w:r>
          </w:p>
        </w:tc>
      </w:tr>
      <w:tr w:rsidR="00A31294" w:rsidRPr="00C0078B" w14:paraId="3A49A070" w14:textId="77777777" w:rsidTr="003C45B6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3DF0A700" w14:textId="77777777" w:rsidR="00A31294" w:rsidRPr="00515937" w:rsidRDefault="00A31294" w:rsidP="009601B3">
            <w:pPr>
              <w:pStyle w:val="CoverSheet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Introduction</w:t>
            </w:r>
          </w:p>
        </w:tc>
        <w:tc>
          <w:tcPr>
            <w:tcW w:w="7019" w:type="dxa"/>
            <w:shd w:val="clear" w:color="auto" w:fill="auto"/>
          </w:tcPr>
          <w:p w14:paraId="544370C2" w14:textId="77777777" w:rsidR="00A31294" w:rsidRDefault="00A31294" w:rsidP="009601B3">
            <w:pPr>
              <w:widowControl w:val="0"/>
              <w:autoSpaceDE w:val="0"/>
              <w:autoSpaceDN w:val="0"/>
              <w:adjustRightInd w:val="0"/>
            </w:pPr>
            <w:r>
              <w:t>No changes</w:t>
            </w:r>
          </w:p>
        </w:tc>
      </w:tr>
      <w:tr w:rsidR="00A31294" w:rsidRPr="00C0078B" w14:paraId="53E4CC55" w14:textId="77777777" w:rsidTr="003C45B6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359CB9FC" w14:textId="77777777" w:rsidR="00A31294" w:rsidRDefault="00A31294" w:rsidP="009601B3">
            <w:pPr>
              <w:pStyle w:val="CoverSheet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Purpose</w:t>
            </w:r>
          </w:p>
        </w:tc>
        <w:tc>
          <w:tcPr>
            <w:tcW w:w="7019" w:type="dxa"/>
            <w:shd w:val="clear" w:color="auto" w:fill="auto"/>
          </w:tcPr>
          <w:p w14:paraId="5897D575" w14:textId="77777777" w:rsidR="00A31294" w:rsidRDefault="00A31294" w:rsidP="009601B3">
            <w:pPr>
              <w:widowControl w:val="0"/>
              <w:autoSpaceDE w:val="0"/>
              <w:autoSpaceDN w:val="0"/>
              <w:adjustRightInd w:val="0"/>
            </w:pPr>
            <w:r>
              <w:t>No changes</w:t>
            </w:r>
          </w:p>
        </w:tc>
      </w:tr>
      <w:tr w:rsidR="00A31294" w:rsidRPr="00C0078B" w14:paraId="5F8F64A6" w14:textId="77777777" w:rsidTr="003C45B6">
        <w:trPr>
          <w:trHeight w:val="273"/>
          <w:tblHeader/>
        </w:trPr>
        <w:tc>
          <w:tcPr>
            <w:tcW w:w="2563" w:type="dxa"/>
            <w:shd w:val="clear" w:color="auto" w:fill="auto"/>
          </w:tcPr>
          <w:p w14:paraId="0B7FC920" w14:textId="77777777" w:rsidR="00A31294" w:rsidRPr="00C0078B" w:rsidRDefault="00A31294" w:rsidP="009601B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Remit</w:t>
            </w:r>
          </w:p>
        </w:tc>
        <w:tc>
          <w:tcPr>
            <w:tcW w:w="7019" w:type="dxa"/>
            <w:shd w:val="clear" w:color="auto" w:fill="auto"/>
          </w:tcPr>
          <w:p w14:paraId="6279499D" w14:textId="0AE3FDCB" w:rsidR="001451D5" w:rsidRPr="00F30098" w:rsidRDefault="003C45B6" w:rsidP="001451D5">
            <w:pPr>
              <w:jc w:val="both"/>
              <w:rPr>
                <w:rFonts w:cs="Lucida Sans Unicode"/>
              </w:rPr>
            </w:pPr>
            <w:r>
              <w:rPr>
                <w:rFonts w:cs="Arial"/>
              </w:rPr>
              <w:t xml:space="preserve">Addition of the following in the bullet list: </w:t>
            </w:r>
          </w:p>
          <w:p w14:paraId="50A9C238" w14:textId="2C440139" w:rsidR="003C45B6" w:rsidRPr="003C45B6" w:rsidRDefault="003C45B6" w:rsidP="003C45B6">
            <w:pPr>
              <w:pStyle w:val="StyleOutlinenumberedArialOutlinenumberedArial11Outli"/>
              <w:numPr>
                <w:ilvl w:val="0"/>
                <w:numId w:val="19"/>
              </w:numPr>
              <w:ind w:left="453"/>
              <w:jc w:val="both"/>
              <w:rPr>
                <w:rFonts w:ascii="Verdana" w:hAnsi="Verdana" w:cs="Lucida Sans Unicode"/>
                <w:b w:val="0"/>
                <w:bCs w:val="0"/>
                <w:i/>
                <w:lang w:eastAsia="en-GB"/>
              </w:rPr>
            </w:pPr>
            <w:r w:rsidRPr="003C45B6">
              <w:rPr>
                <w:i/>
              </w:rPr>
              <w:t>‘</w:t>
            </w:r>
            <w:r w:rsidRPr="003C45B6">
              <w:rPr>
                <w:rFonts w:ascii="Verdana" w:hAnsi="Verdana" w:cs="Lucida Sans Unicode"/>
                <w:b w:val="0"/>
                <w:bCs w:val="0"/>
                <w:i/>
                <w:lang w:eastAsia="en-GB"/>
              </w:rPr>
              <w:t>Staff Engagement and Partnership Working with Trade Unions’</w:t>
            </w:r>
          </w:p>
          <w:p w14:paraId="405387D9" w14:textId="7B9D3077" w:rsidR="001451D5" w:rsidRPr="006668C6" w:rsidRDefault="001451D5" w:rsidP="009601B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C45B6" w:rsidRPr="00C0078B" w14:paraId="0A53AE61" w14:textId="77777777" w:rsidTr="00BF3B6C">
        <w:trPr>
          <w:trHeight w:val="1363"/>
          <w:tblHeader/>
        </w:trPr>
        <w:tc>
          <w:tcPr>
            <w:tcW w:w="2563" w:type="dxa"/>
            <w:shd w:val="clear" w:color="auto" w:fill="auto"/>
          </w:tcPr>
          <w:p w14:paraId="1B1525D3" w14:textId="77777777" w:rsidR="003C45B6" w:rsidRDefault="003C45B6" w:rsidP="009601B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Assurance</w:t>
            </w:r>
          </w:p>
        </w:tc>
        <w:tc>
          <w:tcPr>
            <w:tcW w:w="7019" w:type="dxa"/>
            <w:shd w:val="clear" w:color="auto" w:fill="auto"/>
          </w:tcPr>
          <w:p w14:paraId="3D59D338" w14:textId="77777777" w:rsidR="00BF3B6C" w:rsidRDefault="00BF3B6C" w:rsidP="009601B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Additional point at 1.9:</w:t>
            </w:r>
          </w:p>
          <w:p w14:paraId="06F5FB7D" w14:textId="77777777" w:rsidR="00BF3B6C" w:rsidRDefault="00BF3B6C" w:rsidP="009601B3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558CA40" w14:textId="5704E726" w:rsidR="00BF3B6C" w:rsidRPr="00BF3B6C" w:rsidRDefault="00BF3B6C" w:rsidP="00BF3B6C">
            <w:pPr>
              <w:jc w:val="both"/>
              <w:rPr>
                <w:i/>
              </w:rPr>
            </w:pPr>
            <w:r w:rsidRPr="00BF3B6C">
              <w:rPr>
                <w:i/>
              </w:rPr>
              <w:t>‘The arrangements for Staff engagement and partnership working with Trade Unions. ‘</w:t>
            </w:r>
          </w:p>
        </w:tc>
      </w:tr>
      <w:tr w:rsidR="003C45B6" w:rsidRPr="00C0078B" w14:paraId="14060F24" w14:textId="77777777" w:rsidTr="00DB4770">
        <w:trPr>
          <w:trHeight w:val="273"/>
          <w:tblHeader/>
        </w:trPr>
        <w:tc>
          <w:tcPr>
            <w:tcW w:w="2563" w:type="dxa"/>
            <w:shd w:val="clear" w:color="auto" w:fill="auto"/>
          </w:tcPr>
          <w:p w14:paraId="292DA58B" w14:textId="4DB10A3F" w:rsidR="003C45B6" w:rsidRDefault="003C45B6" w:rsidP="003C45B6">
            <w:pPr>
              <w:pStyle w:val="CoverSheet"/>
              <w:spacing w:before="0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Comment / Recommendation to Board</w:t>
            </w:r>
          </w:p>
        </w:tc>
        <w:tc>
          <w:tcPr>
            <w:tcW w:w="7019" w:type="dxa"/>
            <w:shd w:val="clear" w:color="auto" w:fill="auto"/>
          </w:tcPr>
          <w:p w14:paraId="57347F57" w14:textId="3AFFDF13" w:rsidR="003C45B6" w:rsidRDefault="003C45B6" w:rsidP="003C45B6">
            <w:pPr>
              <w:widowControl w:val="0"/>
              <w:autoSpaceDE w:val="0"/>
              <w:autoSpaceDN w:val="0"/>
              <w:adjustRightInd w:val="0"/>
              <w:rPr>
                <w:rFonts w:cs="Lucida Sans Unicode"/>
              </w:rPr>
            </w:pPr>
            <w:r w:rsidRPr="00D54F79">
              <w:t>No changes</w:t>
            </w:r>
          </w:p>
        </w:tc>
      </w:tr>
      <w:tr w:rsidR="003C45B6" w:rsidRPr="00C0078B" w14:paraId="1DF90694" w14:textId="77777777" w:rsidTr="00DB4770">
        <w:trPr>
          <w:trHeight w:val="273"/>
          <w:tblHeader/>
        </w:trPr>
        <w:tc>
          <w:tcPr>
            <w:tcW w:w="2563" w:type="dxa"/>
            <w:shd w:val="clear" w:color="auto" w:fill="auto"/>
          </w:tcPr>
          <w:p w14:paraId="0247C1B4" w14:textId="0AEFF07B" w:rsidR="003C45B6" w:rsidRPr="00DB4770" w:rsidRDefault="003C45B6" w:rsidP="003C45B6">
            <w:pPr>
              <w:pStyle w:val="CoverSheet"/>
              <w:spacing w:before="0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Delegated Decisions</w:t>
            </w:r>
          </w:p>
        </w:tc>
        <w:tc>
          <w:tcPr>
            <w:tcW w:w="7019" w:type="dxa"/>
            <w:shd w:val="clear" w:color="auto" w:fill="auto"/>
          </w:tcPr>
          <w:p w14:paraId="15DEC35A" w14:textId="5F6D7038" w:rsidR="003C45B6" w:rsidRDefault="003C45B6" w:rsidP="003C45B6">
            <w:pPr>
              <w:widowControl w:val="0"/>
              <w:autoSpaceDE w:val="0"/>
              <w:autoSpaceDN w:val="0"/>
              <w:adjustRightInd w:val="0"/>
              <w:rPr>
                <w:rFonts w:cs="Lucida Sans Unicode"/>
              </w:rPr>
            </w:pPr>
            <w:r w:rsidRPr="00D54F79">
              <w:t>No changes</w:t>
            </w:r>
          </w:p>
        </w:tc>
      </w:tr>
      <w:tr w:rsidR="003C45B6" w:rsidRPr="00C0078B" w14:paraId="702E0086" w14:textId="77777777" w:rsidTr="00DB4770">
        <w:trPr>
          <w:trHeight w:val="273"/>
          <w:tblHeader/>
        </w:trPr>
        <w:tc>
          <w:tcPr>
            <w:tcW w:w="2563" w:type="dxa"/>
            <w:shd w:val="clear" w:color="auto" w:fill="auto"/>
          </w:tcPr>
          <w:p w14:paraId="62F7E091" w14:textId="1E8C1156" w:rsidR="003C45B6" w:rsidRDefault="003C45B6" w:rsidP="003C45B6">
            <w:pPr>
              <w:pStyle w:val="CoverSheet"/>
              <w:spacing w:before="0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Sub-Committee / Groups</w:t>
            </w:r>
          </w:p>
        </w:tc>
        <w:tc>
          <w:tcPr>
            <w:tcW w:w="7019" w:type="dxa"/>
            <w:shd w:val="clear" w:color="auto" w:fill="auto"/>
          </w:tcPr>
          <w:p w14:paraId="5A6F055F" w14:textId="04770AE2" w:rsidR="003C45B6" w:rsidRDefault="003C45B6" w:rsidP="003C45B6">
            <w:pPr>
              <w:widowControl w:val="0"/>
              <w:autoSpaceDE w:val="0"/>
              <w:autoSpaceDN w:val="0"/>
              <w:adjustRightInd w:val="0"/>
              <w:rPr>
                <w:rFonts w:cs="Lucida Sans Unicode"/>
              </w:rPr>
            </w:pPr>
            <w:r w:rsidRPr="00D54F79">
              <w:t>No changes</w:t>
            </w:r>
          </w:p>
        </w:tc>
      </w:tr>
      <w:tr w:rsidR="003C45B6" w:rsidRPr="00C0078B" w14:paraId="16F73A46" w14:textId="77777777" w:rsidTr="00DB4770">
        <w:trPr>
          <w:trHeight w:val="273"/>
          <w:tblHeader/>
        </w:trPr>
        <w:tc>
          <w:tcPr>
            <w:tcW w:w="2563" w:type="dxa"/>
            <w:shd w:val="clear" w:color="auto" w:fill="auto"/>
          </w:tcPr>
          <w:p w14:paraId="757E0CB1" w14:textId="77777777" w:rsidR="003C45B6" w:rsidRDefault="003C45B6" w:rsidP="003C45B6">
            <w:pPr>
              <w:pStyle w:val="CoverSheet"/>
              <w:spacing w:before="0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Membership</w:t>
            </w:r>
          </w:p>
        </w:tc>
        <w:tc>
          <w:tcPr>
            <w:tcW w:w="7019" w:type="dxa"/>
            <w:shd w:val="clear" w:color="auto" w:fill="auto"/>
          </w:tcPr>
          <w:p w14:paraId="7FB9D397" w14:textId="34536B14" w:rsidR="003C45B6" w:rsidRDefault="003C45B6" w:rsidP="003C45B6">
            <w:pPr>
              <w:widowControl w:val="0"/>
              <w:autoSpaceDE w:val="0"/>
              <w:autoSpaceDN w:val="0"/>
              <w:adjustRightInd w:val="0"/>
              <w:rPr>
                <w:rFonts w:cs="Lucida Sans Unicode"/>
              </w:rPr>
            </w:pPr>
            <w:r w:rsidRPr="0071301F">
              <w:t>No changes</w:t>
            </w:r>
          </w:p>
        </w:tc>
      </w:tr>
      <w:tr w:rsidR="003C45B6" w:rsidRPr="00C0078B" w14:paraId="2117207A" w14:textId="77777777" w:rsidTr="00DB4770">
        <w:trPr>
          <w:trHeight w:val="273"/>
          <w:tblHeader/>
        </w:trPr>
        <w:tc>
          <w:tcPr>
            <w:tcW w:w="2563" w:type="dxa"/>
            <w:shd w:val="clear" w:color="auto" w:fill="auto"/>
          </w:tcPr>
          <w:p w14:paraId="258350FE" w14:textId="77777777" w:rsidR="003C45B6" w:rsidRDefault="003C45B6" w:rsidP="003C45B6">
            <w:pPr>
              <w:pStyle w:val="CoverSheet"/>
              <w:spacing w:before="0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Frequency of Meetings </w:t>
            </w:r>
          </w:p>
        </w:tc>
        <w:tc>
          <w:tcPr>
            <w:tcW w:w="7019" w:type="dxa"/>
            <w:shd w:val="clear" w:color="auto" w:fill="auto"/>
          </w:tcPr>
          <w:p w14:paraId="39C6F7A4" w14:textId="4B446CF2" w:rsidR="003C45B6" w:rsidRDefault="003C45B6" w:rsidP="003C45B6">
            <w:pPr>
              <w:widowControl w:val="0"/>
              <w:autoSpaceDE w:val="0"/>
              <w:autoSpaceDN w:val="0"/>
              <w:adjustRightInd w:val="0"/>
              <w:rPr>
                <w:rFonts w:cs="Lucida Sans Unicode"/>
              </w:rPr>
            </w:pPr>
            <w:r w:rsidRPr="0071301F">
              <w:t>No changes</w:t>
            </w:r>
          </w:p>
        </w:tc>
      </w:tr>
      <w:tr w:rsidR="003C45B6" w:rsidRPr="00C0078B" w14:paraId="7A61B289" w14:textId="77777777" w:rsidTr="00DB4770">
        <w:trPr>
          <w:trHeight w:val="273"/>
          <w:tblHeader/>
        </w:trPr>
        <w:tc>
          <w:tcPr>
            <w:tcW w:w="2563" w:type="dxa"/>
            <w:shd w:val="clear" w:color="auto" w:fill="auto"/>
          </w:tcPr>
          <w:p w14:paraId="28889889" w14:textId="2DD35835" w:rsidR="003C45B6" w:rsidRDefault="003C45B6" w:rsidP="003C45B6">
            <w:pPr>
              <w:pStyle w:val="CoverSheet"/>
              <w:spacing w:before="0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Reporting and Assurance Arrangements </w:t>
            </w:r>
          </w:p>
        </w:tc>
        <w:tc>
          <w:tcPr>
            <w:tcW w:w="7019" w:type="dxa"/>
            <w:shd w:val="clear" w:color="auto" w:fill="auto"/>
          </w:tcPr>
          <w:p w14:paraId="1B508096" w14:textId="762E9982" w:rsidR="003C45B6" w:rsidRDefault="003C45B6" w:rsidP="003C45B6">
            <w:pPr>
              <w:widowControl w:val="0"/>
              <w:autoSpaceDE w:val="0"/>
              <w:autoSpaceDN w:val="0"/>
              <w:adjustRightInd w:val="0"/>
              <w:rPr>
                <w:rFonts w:cs="Lucida Sans Unicode"/>
              </w:rPr>
            </w:pPr>
            <w:r w:rsidRPr="0071301F">
              <w:t>No changes</w:t>
            </w:r>
          </w:p>
        </w:tc>
      </w:tr>
    </w:tbl>
    <w:p w14:paraId="194110C9" w14:textId="77777777" w:rsidR="002102EF" w:rsidRDefault="002102EF" w:rsidP="002102EF">
      <w:pPr>
        <w:pStyle w:val="Heading1"/>
        <w:rPr>
          <w:szCs w:val="24"/>
          <w:highlight w:val="lightGray"/>
        </w:rPr>
      </w:pPr>
    </w:p>
    <w:p w14:paraId="213E59A1" w14:textId="77777777" w:rsidR="002102EF" w:rsidRDefault="002102EF">
      <w:pPr>
        <w:spacing w:after="200" w:line="276" w:lineRule="auto"/>
        <w:rPr>
          <w:rFonts w:eastAsiaTheme="majorEastAsia" w:cstheme="majorBidi"/>
          <w:b/>
          <w:bCs/>
          <w:szCs w:val="24"/>
          <w:highlight w:val="lightGray"/>
        </w:rPr>
      </w:pPr>
      <w:r>
        <w:rPr>
          <w:szCs w:val="24"/>
          <w:highlight w:val="lightGray"/>
        </w:rPr>
        <w:br w:type="page"/>
      </w:r>
    </w:p>
    <w:p w14:paraId="17BDA349" w14:textId="71797E38" w:rsidR="00AE1A84" w:rsidRDefault="00AE1A84" w:rsidP="002102EF">
      <w:pPr>
        <w:pStyle w:val="Heading1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Local Partnership Forum </w:t>
      </w:r>
    </w:p>
    <w:p w14:paraId="07379298" w14:textId="039C78B7" w:rsidR="00AE1A84" w:rsidRDefault="00AE1A84" w:rsidP="00AE1A84"/>
    <w:p w14:paraId="74890030" w14:textId="139EA183" w:rsidR="00AE1A84" w:rsidRPr="00F90294" w:rsidRDefault="00AE1A84" w:rsidP="002102EF">
      <w:pPr>
        <w:jc w:val="both"/>
      </w:pPr>
      <w:r>
        <w:t xml:space="preserve">The LPF terms of reference have been reviewed and the resulting revisions have been made in consultation with the </w:t>
      </w:r>
      <w:r w:rsidR="002102EF">
        <w:t>LPF</w:t>
      </w:r>
      <w:r>
        <w:t xml:space="preserve"> and support more efficient planning and governance.  Ultimately the changes being proposed, result in greater value being delivered through this group.</w:t>
      </w:r>
      <w:r w:rsidR="00C138DD">
        <w:t xml:space="preserve"> </w:t>
      </w:r>
      <w:r w:rsidR="00C138DD">
        <w:rPr>
          <w:rFonts w:cs="Arial"/>
        </w:rPr>
        <w:t xml:space="preserve">A full copy of the revised terms of reference are included at </w:t>
      </w:r>
      <w:r w:rsidR="00C138DD">
        <w:rPr>
          <w:rFonts w:cs="Arial"/>
          <w:b/>
        </w:rPr>
        <w:t xml:space="preserve">appendix 2. </w:t>
      </w:r>
    </w:p>
    <w:p w14:paraId="24CFAE38" w14:textId="2D415A04" w:rsidR="00AE1A84" w:rsidRDefault="00AE1A84" w:rsidP="002102EF">
      <w:pPr>
        <w:jc w:val="both"/>
      </w:pPr>
    </w:p>
    <w:p w14:paraId="73291360" w14:textId="09D2A00B" w:rsidR="002102EF" w:rsidRDefault="002102EF" w:rsidP="002102EF">
      <w:pPr>
        <w:jc w:val="both"/>
      </w:pPr>
      <w:r>
        <w:t>The key changes to the Terms of Reference are detailed below</w:t>
      </w:r>
      <w:r w:rsidR="00C138DD">
        <w:t>:</w:t>
      </w:r>
    </w:p>
    <w:p w14:paraId="09D94B21" w14:textId="3CB9083B" w:rsidR="002102EF" w:rsidRDefault="002102EF" w:rsidP="002102EF">
      <w:pPr>
        <w:jc w:val="both"/>
      </w:pPr>
    </w:p>
    <w:tbl>
      <w:tblPr>
        <w:tblStyle w:val="TableGrid"/>
        <w:tblW w:w="9582" w:type="dxa"/>
        <w:tblInd w:w="-431" w:type="dxa"/>
        <w:tblLook w:val="04A0" w:firstRow="1" w:lastRow="0" w:firstColumn="1" w:lastColumn="0" w:noHBand="0" w:noVBand="1"/>
      </w:tblPr>
      <w:tblGrid>
        <w:gridCol w:w="2563"/>
        <w:gridCol w:w="7019"/>
      </w:tblGrid>
      <w:tr w:rsidR="002102EF" w:rsidRPr="00C0078B" w14:paraId="53786C4A" w14:textId="77777777" w:rsidTr="002102EF">
        <w:trPr>
          <w:trHeight w:val="546"/>
          <w:tblHeader/>
        </w:trPr>
        <w:tc>
          <w:tcPr>
            <w:tcW w:w="2563" w:type="dxa"/>
            <w:shd w:val="clear" w:color="auto" w:fill="DBE5F1" w:themeFill="accent1" w:themeFillTint="33"/>
          </w:tcPr>
          <w:p w14:paraId="3202CDBB" w14:textId="77777777" w:rsidR="002102EF" w:rsidRPr="00C0078B" w:rsidRDefault="002102EF" w:rsidP="002C000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C0078B">
              <w:rPr>
                <w:rFonts w:cs="Arial"/>
                <w:b/>
              </w:rPr>
              <w:t>Section</w:t>
            </w:r>
          </w:p>
        </w:tc>
        <w:tc>
          <w:tcPr>
            <w:tcW w:w="7019" w:type="dxa"/>
            <w:shd w:val="clear" w:color="auto" w:fill="DBE5F1" w:themeFill="accent1" w:themeFillTint="33"/>
          </w:tcPr>
          <w:p w14:paraId="309B5E2B" w14:textId="77777777" w:rsidR="002102EF" w:rsidRPr="00C0078B" w:rsidRDefault="002102EF" w:rsidP="002C000B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C0078B">
              <w:rPr>
                <w:rFonts w:cs="Arial"/>
                <w:b/>
              </w:rPr>
              <w:t>Proposed Amendment</w:t>
            </w:r>
          </w:p>
        </w:tc>
      </w:tr>
      <w:tr w:rsidR="002102EF" w14:paraId="38DC04EA" w14:textId="77777777" w:rsidTr="002102EF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0E8D2179" w14:textId="534D6705" w:rsidR="002102EF" w:rsidRDefault="002102EF" w:rsidP="002C00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1.6</w:t>
            </w:r>
          </w:p>
          <w:p w14:paraId="4DDF3676" w14:textId="380E101E" w:rsidR="002102EF" w:rsidRPr="00515937" w:rsidRDefault="002102EF" w:rsidP="002C00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019" w:type="dxa"/>
            <w:shd w:val="clear" w:color="auto" w:fill="auto"/>
          </w:tcPr>
          <w:p w14:paraId="07393612" w14:textId="701667D8" w:rsidR="002102EF" w:rsidRDefault="002102EF" w:rsidP="002102EF">
            <w:r w:rsidRPr="00084DFD">
              <w:t>New section added to confirm the mechanism for resolving operational issues through an operatio</w:t>
            </w:r>
            <w:r w:rsidR="00AE012D">
              <w:t>nal group outside of this forum</w:t>
            </w:r>
          </w:p>
        </w:tc>
      </w:tr>
      <w:tr w:rsidR="002102EF" w14:paraId="10168E36" w14:textId="77777777" w:rsidTr="002102EF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26FFBC71" w14:textId="4246081E" w:rsidR="002102EF" w:rsidRDefault="002102EF" w:rsidP="002102EF">
            <w:r w:rsidRPr="00084DFD">
              <w:t xml:space="preserve">2.3 </w:t>
            </w:r>
          </w:p>
        </w:tc>
        <w:tc>
          <w:tcPr>
            <w:tcW w:w="7019" w:type="dxa"/>
            <w:shd w:val="clear" w:color="auto" w:fill="auto"/>
          </w:tcPr>
          <w:p w14:paraId="3BED0CF3" w14:textId="0EB94100" w:rsidR="002102EF" w:rsidRPr="00084DFD" w:rsidRDefault="002102EF" w:rsidP="002102EF">
            <w:r w:rsidRPr="00084DFD">
              <w:t>Updated to reflect the Board code of conduct/principles</w:t>
            </w:r>
          </w:p>
        </w:tc>
      </w:tr>
      <w:tr w:rsidR="002102EF" w14:paraId="0C756C69" w14:textId="77777777" w:rsidTr="002102EF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31BFE3B8" w14:textId="7D48AD1F" w:rsidR="002102EF" w:rsidRPr="00084DFD" w:rsidRDefault="002102EF" w:rsidP="002102EF">
            <w:r w:rsidRPr="00084DFD">
              <w:t>3.1</w:t>
            </w:r>
          </w:p>
        </w:tc>
        <w:tc>
          <w:tcPr>
            <w:tcW w:w="7019" w:type="dxa"/>
            <w:shd w:val="clear" w:color="auto" w:fill="auto"/>
          </w:tcPr>
          <w:p w14:paraId="298FCB42" w14:textId="58CB3AD0" w:rsidR="002102EF" w:rsidRPr="002102EF" w:rsidRDefault="002102EF" w:rsidP="002102EF">
            <w:pPr>
              <w:rPr>
                <w:rFonts w:ascii="Calibri" w:hAnsi="Calibri" w:cs="Calibri"/>
                <w:sz w:val="22"/>
              </w:rPr>
            </w:pPr>
            <w:r w:rsidRPr="002102EF">
              <w:rPr>
                <w:rFonts w:cs="Calibri"/>
                <w:szCs w:val="24"/>
              </w:rPr>
              <w:t>Increased frequenc</w:t>
            </w:r>
            <w:r w:rsidR="00AE012D">
              <w:rPr>
                <w:rFonts w:cs="Calibri"/>
                <w:szCs w:val="24"/>
              </w:rPr>
              <w:t>y from quarterly to bi-monthly</w:t>
            </w:r>
          </w:p>
        </w:tc>
      </w:tr>
      <w:tr w:rsidR="002102EF" w14:paraId="3703D2D2" w14:textId="77777777" w:rsidTr="002102EF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67F50B1C" w14:textId="170281B4" w:rsidR="002102EF" w:rsidRPr="00084DFD" w:rsidRDefault="002102EF" w:rsidP="002102EF">
            <w:r>
              <w:rPr>
                <w:rFonts w:cs="Calibri"/>
                <w:szCs w:val="24"/>
              </w:rPr>
              <w:t>3.2 &amp; 5.4</w:t>
            </w:r>
          </w:p>
        </w:tc>
        <w:tc>
          <w:tcPr>
            <w:tcW w:w="7019" w:type="dxa"/>
            <w:shd w:val="clear" w:color="auto" w:fill="auto"/>
          </w:tcPr>
          <w:p w14:paraId="3EB814D4" w14:textId="2C009144" w:rsidR="002102EF" w:rsidRPr="002102EF" w:rsidRDefault="002102EF" w:rsidP="002102EF">
            <w:pPr>
              <w:rPr>
                <w:rFonts w:cs="Calibri"/>
                <w:szCs w:val="24"/>
              </w:rPr>
            </w:pPr>
            <w:r w:rsidRPr="002102EF">
              <w:rPr>
                <w:rFonts w:cs="Calibri"/>
                <w:szCs w:val="24"/>
              </w:rPr>
              <w:t>Removed ref</w:t>
            </w:r>
            <w:r w:rsidR="00AE012D">
              <w:rPr>
                <w:rFonts w:cs="Calibri"/>
                <w:szCs w:val="24"/>
              </w:rPr>
              <w:t>erence to educational meetings</w:t>
            </w:r>
          </w:p>
        </w:tc>
      </w:tr>
      <w:tr w:rsidR="002102EF" w14:paraId="782BD710" w14:textId="77777777" w:rsidTr="002102EF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7BA27550" w14:textId="12329B4B" w:rsidR="002102EF" w:rsidRDefault="002102EF" w:rsidP="002102EF">
            <w:pPr>
              <w:rPr>
                <w:rFonts w:cs="Calibri"/>
                <w:szCs w:val="24"/>
              </w:rPr>
            </w:pPr>
            <w:r w:rsidRPr="00084DFD">
              <w:rPr>
                <w:szCs w:val="24"/>
              </w:rPr>
              <w:t>4.2</w:t>
            </w:r>
          </w:p>
        </w:tc>
        <w:tc>
          <w:tcPr>
            <w:tcW w:w="7019" w:type="dxa"/>
            <w:shd w:val="clear" w:color="auto" w:fill="auto"/>
          </w:tcPr>
          <w:p w14:paraId="227B8862" w14:textId="15B0E6AC" w:rsidR="002102EF" w:rsidRPr="002102EF" w:rsidRDefault="002102EF" w:rsidP="002102EF">
            <w:pPr>
              <w:rPr>
                <w:szCs w:val="24"/>
              </w:rPr>
            </w:pPr>
            <w:r w:rsidRPr="002102EF">
              <w:rPr>
                <w:szCs w:val="24"/>
              </w:rPr>
              <w:t xml:space="preserve">Updated to reflect the process for Policy Development Workshops </w:t>
            </w:r>
            <w:r w:rsidRPr="00AA046E">
              <w:t>and contribution of that forum to the joint review and development of HR</w:t>
            </w:r>
            <w:r w:rsidR="00C138DD">
              <w:t xml:space="preserve"> practices </w:t>
            </w:r>
          </w:p>
        </w:tc>
      </w:tr>
      <w:tr w:rsidR="002102EF" w14:paraId="09DACFF0" w14:textId="77777777" w:rsidTr="002102EF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196991FB" w14:textId="1172E118" w:rsidR="002102EF" w:rsidRPr="00084DFD" w:rsidRDefault="002102EF" w:rsidP="002102EF">
            <w:pPr>
              <w:rPr>
                <w:szCs w:val="24"/>
              </w:rPr>
            </w:pPr>
            <w:r w:rsidRPr="00084DFD">
              <w:rPr>
                <w:szCs w:val="24"/>
              </w:rPr>
              <w:t>4.4</w:t>
            </w:r>
          </w:p>
        </w:tc>
        <w:tc>
          <w:tcPr>
            <w:tcW w:w="7019" w:type="dxa"/>
            <w:shd w:val="clear" w:color="auto" w:fill="auto"/>
          </w:tcPr>
          <w:p w14:paraId="02120F1F" w14:textId="5E72EC51" w:rsidR="002102EF" w:rsidRPr="002102EF" w:rsidRDefault="002102EF" w:rsidP="002102EF">
            <w:pPr>
              <w:rPr>
                <w:szCs w:val="24"/>
              </w:rPr>
            </w:pPr>
            <w:r w:rsidRPr="002102EF">
              <w:rPr>
                <w:szCs w:val="24"/>
              </w:rPr>
              <w:t>Updated to confirm any matters which cannot be resolved will be re</w:t>
            </w:r>
            <w:r w:rsidR="00C138DD">
              <w:rPr>
                <w:szCs w:val="24"/>
              </w:rPr>
              <w:t>ferred to an appropriate forum</w:t>
            </w:r>
          </w:p>
        </w:tc>
      </w:tr>
      <w:tr w:rsidR="002102EF" w14:paraId="11EA09D5" w14:textId="77777777" w:rsidTr="002102EF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1E6447D3" w14:textId="77777777" w:rsidR="002102EF" w:rsidRPr="002102EF" w:rsidRDefault="002102EF" w:rsidP="002102EF">
            <w:pPr>
              <w:rPr>
                <w:szCs w:val="24"/>
              </w:rPr>
            </w:pPr>
            <w:r w:rsidRPr="002102EF">
              <w:rPr>
                <w:szCs w:val="24"/>
              </w:rPr>
              <w:t xml:space="preserve">Section 5 </w:t>
            </w:r>
          </w:p>
          <w:p w14:paraId="213C594B" w14:textId="7884DE6F" w:rsidR="002102EF" w:rsidRPr="002102EF" w:rsidRDefault="002102EF" w:rsidP="002102EF">
            <w:pPr>
              <w:rPr>
                <w:rFonts w:cs="Calibri"/>
                <w:szCs w:val="24"/>
              </w:rPr>
            </w:pPr>
          </w:p>
        </w:tc>
        <w:tc>
          <w:tcPr>
            <w:tcW w:w="7019" w:type="dxa"/>
            <w:shd w:val="clear" w:color="auto" w:fill="auto"/>
          </w:tcPr>
          <w:p w14:paraId="233A62B9" w14:textId="796352CF" w:rsidR="002102EF" w:rsidRPr="002102EF" w:rsidRDefault="002102EF" w:rsidP="002102EF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2102EF">
              <w:rPr>
                <w:szCs w:val="24"/>
              </w:rPr>
              <w:t>pdated with the details of LPF meetings: frequency, chair, Staff side and management side representatives</w:t>
            </w:r>
          </w:p>
        </w:tc>
      </w:tr>
      <w:tr w:rsidR="002102EF" w14:paraId="75812361" w14:textId="77777777" w:rsidTr="002102EF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1130DD61" w14:textId="5589944B" w:rsidR="002102EF" w:rsidRPr="00084DFD" w:rsidRDefault="002102EF" w:rsidP="002102EF">
            <w:pPr>
              <w:rPr>
                <w:szCs w:val="24"/>
              </w:rPr>
            </w:pPr>
            <w:r w:rsidRPr="00084DFD">
              <w:rPr>
                <w:rFonts w:cs="Calibri"/>
                <w:szCs w:val="24"/>
              </w:rPr>
              <w:t>5.1</w:t>
            </w:r>
          </w:p>
        </w:tc>
        <w:tc>
          <w:tcPr>
            <w:tcW w:w="7019" w:type="dxa"/>
            <w:shd w:val="clear" w:color="auto" w:fill="auto"/>
          </w:tcPr>
          <w:p w14:paraId="1AA98C89" w14:textId="083C2339" w:rsidR="002102EF" w:rsidRPr="002102EF" w:rsidRDefault="002102EF" w:rsidP="002102EF">
            <w:pPr>
              <w:rPr>
                <w:szCs w:val="24"/>
              </w:rPr>
            </w:pPr>
            <w:r w:rsidRPr="002102EF">
              <w:rPr>
                <w:rFonts w:cs="Calibri"/>
                <w:szCs w:val="24"/>
              </w:rPr>
              <w:t>Updated to reflect those key items for consideration will be included in an annual work plan (supporting efficiency in agenda management and ensuring rel</w:t>
            </w:r>
            <w:r w:rsidR="00AE012D">
              <w:rPr>
                <w:rFonts w:cs="Calibri"/>
                <w:szCs w:val="24"/>
              </w:rPr>
              <w:t>evant people are in attendance)</w:t>
            </w:r>
          </w:p>
        </w:tc>
      </w:tr>
      <w:tr w:rsidR="002102EF" w14:paraId="567F9FBB" w14:textId="77777777" w:rsidTr="002102EF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54FAB4F0" w14:textId="6D5E140B" w:rsidR="002102EF" w:rsidRPr="00084DFD" w:rsidRDefault="002102EF" w:rsidP="002102EF">
            <w:pPr>
              <w:rPr>
                <w:szCs w:val="24"/>
              </w:rPr>
            </w:pPr>
            <w:r>
              <w:t>6.1</w:t>
            </w:r>
          </w:p>
        </w:tc>
        <w:tc>
          <w:tcPr>
            <w:tcW w:w="7019" w:type="dxa"/>
            <w:shd w:val="clear" w:color="auto" w:fill="auto"/>
          </w:tcPr>
          <w:p w14:paraId="30FC34BA" w14:textId="6CB2E133" w:rsidR="002102EF" w:rsidRPr="002102EF" w:rsidRDefault="002102EF" w:rsidP="002102EF">
            <w:r>
              <w:t>Updated to include voting rights and governance forum</w:t>
            </w:r>
          </w:p>
        </w:tc>
      </w:tr>
      <w:tr w:rsidR="002102EF" w14:paraId="19A0B7FA" w14:textId="77777777" w:rsidTr="002102EF">
        <w:trPr>
          <w:trHeight w:val="282"/>
          <w:tblHeader/>
        </w:trPr>
        <w:tc>
          <w:tcPr>
            <w:tcW w:w="2563" w:type="dxa"/>
            <w:shd w:val="clear" w:color="auto" w:fill="auto"/>
          </w:tcPr>
          <w:p w14:paraId="6F8FA284" w14:textId="77777777" w:rsidR="002102EF" w:rsidRDefault="002102EF" w:rsidP="002102EF">
            <w:r>
              <w:t xml:space="preserve">6.3 </w:t>
            </w:r>
          </w:p>
          <w:p w14:paraId="606E6413" w14:textId="77777777" w:rsidR="002102EF" w:rsidRPr="00084DFD" w:rsidRDefault="002102EF" w:rsidP="002102EF">
            <w:pPr>
              <w:rPr>
                <w:szCs w:val="24"/>
              </w:rPr>
            </w:pPr>
          </w:p>
        </w:tc>
        <w:tc>
          <w:tcPr>
            <w:tcW w:w="7019" w:type="dxa"/>
            <w:shd w:val="clear" w:color="auto" w:fill="auto"/>
          </w:tcPr>
          <w:p w14:paraId="0FC2D9AD" w14:textId="77777777" w:rsidR="002102EF" w:rsidRDefault="002102EF" w:rsidP="002102EF">
            <w:r>
              <w:t xml:space="preserve">Updated with membership of LPF </w:t>
            </w:r>
          </w:p>
          <w:p w14:paraId="18C57FFE" w14:textId="77777777" w:rsidR="002102EF" w:rsidRDefault="002102EF" w:rsidP="002102EF">
            <w:pPr>
              <w:ind w:left="360"/>
            </w:pPr>
          </w:p>
          <w:p w14:paraId="28FE0D91" w14:textId="275591C2" w:rsidR="002102EF" w:rsidRDefault="002102EF" w:rsidP="002102EF">
            <w:r>
              <w:t>Staff Representatives updated with the maximum number of representatives required for each meeting</w:t>
            </w:r>
          </w:p>
          <w:p w14:paraId="343D04FC" w14:textId="77777777" w:rsidR="002102EF" w:rsidRDefault="002102EF" w:rsidP="002102EF"/>
          <w:p w14:paraId="060219B4" w14:textId="5B67B2A3" w:rsidR="002102EF" w:rsidRPr="002102EF" w:rsidRDefault="002102EF" w:rsidP="002102EF">
            <w:r>
              <w:t>Reporting and Assurance Arrangements updated to include an annual report to the Board on the activities of the LPF</w:t>
            </w:r>
          </w:p>
        </w:tc>
      </w:tr>
    </w:tbl>
    <w:p w14:paraId="3F271DE0" w14:textId="77777777" w:rsidR="00AE1A84" w:rsidRPr="00AE1A84" w:rsidRDefault="00AE1A84" w:rsidP="00AE1A84"/>
    <w:p w14:paraId="361CA632" w14:textId="0FF727C6" w:rsidR="00E07F66" w:rsidRPr="001C60B5" w:rsidRDefault="008E6140" w:rsidP="00937617">
      <w:pPr>
        <w:pStyle w:val="Heading1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 w:rsidR="00E07F66" w:rsidRPr="001C60B5">
        <w:rPr>
          <w:szCs w:val="24"/>
        </w:rPr>
        <w:t>Recommendation</w:t>
      </w:r>
    </w:p>
    <w:p w14:paraId="54B3190E" w14:textId="77777777" w:rsidR="00AE1A84" w:rsidRDefault="00AE1A84" w:rsidP="00AE1A84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14:paraId="75D51988" w14:textId="77777777" w:rsidR="00AE1A84" w:rsidRDefault="00AE1A84" w:rsidP="00AE1A8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The Board is asked to </w:t>
      </w:r>
      <w:r w:rsidRPr="00AE012D">
        <w:rPr>
          <w:b/>
          <w:szCs w:val="24"/>
        </w:rPr>
        <w:t>approve</w:t>
      </w:r>
      <w:r>
        <w:rPr>
          <w:szCs w:val="24"/>
        </w:rPr>
        <w:t xml:space="preserve"> the revised terms of reference for:</w:t>
      </w:r>
    </w:p>
    <w:p w14:paraId="0B416262" w14:textId="77777777" w:rsidR="00AE1A84" w:rsidRDefault="00AE1A84" w:rsidP="00AE1A8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People and Organisational Development Committee (Appendix 1)</w:t>
      </w:r>
    </w:p>
    <w:p w14:paraId="6667F356" w14:textId="77777777" w:rsidR="00AE1A84" w:rsidRDefault="00AE1A84" w:rsidP="00AE1A84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Local Partnership Forum (Appendix 2)</w:t>
      </w:r>
    </w:p>
    <w:p w14:paraId="3E9F6A5D" w14:textId="555FBBC3" w:rsidR="00A31294" w:rsidRDefault="00A31294" w:rsidP="00AE1A84">
      <w:pPr>
        <w:rPr>
          <w:szCs w:val="24"/>
        </w:rPr>
      </w:pPr>
    </w:p>
    <w:sectPr w:rsidR="00A31294" w:rsidSect="00E24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5BC3F" w14:textId="77777777" w:rsidR="009601B3" w:rsidRDefault="009601B3" w:rsidP="00497F39">
      <w:r>
        <w:separator/>
      </w:r>
    </w:p>
  </w:endnote>
  <w:endnote w:type="continuationSeparator" w:id="0">
    <w:p w14:paraId="1E48E9DF" w14:textId="77777777" w:rsidR="009601B3" w:rsidRDefault="009601B3" w:rsidP="004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13"/>
      <w:gridCol w:w="3008"/>
      <w:gridCol w:w="2995"/>
    </w:tblGrid>
    <w:tr w:rsidR="009601B3" w:rsidRPr="00511AFF" w14:paraId="361CA64F" w14:textId="77777777" w:rsidTr="003B7361">
      <w:tc>
        <w:tcPr>
          <w:tcW w:w="3100" w:type="dxa"/>
        </w:tcPr>
        <w:p w14:paraId="361CA64C" w14:textId="0BF5ED80" w:rsidR="009601B3" w:rsidRPr="00131826" w:rsidRDefault="009601B3" w:rsidP="005B564E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131826">
            <w:rPr>
              <w:b/>
              <w:sz w:val="20"/>
            </w:rPr>
            <w:t xml:space="preserve">Date: </w:t>
          </w:r>
          <w:r w:rsidRPr="00131826">
            <w:rPr>
              <w:sz w:val="20"/>
            </w:rPr>
            <w:t xml:space="preserve"> </w:t>
          </w:r>
          <w:r>
            <w:rPr>
              <w:sz w:val="20"/>
            </w:rPr>
            <w:t xml:space="preserve"> </w:t>
          </w:r>
          <w:r w:rsidR="00AE012D">
            <w:rPr>
              <w:sz w:val="20"/>
            </w:rPr>
            <w:t xml:space="preserve">24 </w:t>
          </w:r>
          <w:r w:rsidR="005B564E">
            <w:rPr>
              <w:sz w:val="20"/>
            </w:rPr>
            <w:t>November 2022</w:t>
          </w:r>
        </w:p>
      </w:tc>
      <w:tc>
        <w:tcPr>
          <w:tcW w:w="3100" w:type="dxa"/>
        </w:tcPr>
        <w:p w14:paraId="361CA64D" w14:textId="22F33468" w:rsidR="009601B3" w:rsidRPr="00131826" w:rsidRDefault="009601B3" w:rsidP="00F12F90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131826">
            <w:rPr>
              <w:b/>
              <w:sz w:val="20"/>
            </w:rPr>
            <w:t>Version:</w:t>
          </w:r>
          <w:r w:rsidR="00AE012D">
            <w:rPr>
              <w:sz w:val="20"/>
            </w:rPr>
            <w:t xml:space="preserve"> Final</w:t>
          </w:r>
        </w:p>
      </w:tc>
      <w:tc>
        <w:tcPr>
          <w:tcW w:w="3101" w:type="dxa"/>
        </w:tcPr>
        <w:p w14:paraId="361CA64E" w14:textId="3B522BAB" w:rsidR="009601B3" w:rsidRPr="00511AFF" w:rsidRDefault="009601B3" w:rsidP="003B7361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372917">
            <w:rPr>
              <w:rStyle w:val="PageNumber"/>
              <w:noProof/>
              <w:sz w:val="20"/>
            </w:rPr>
            <w:t>3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372917">
            <w:rPr>
              <w:rStyle w:val="PageNumber"/>
              <w:noProof/>
              <w:sz w:val="20"/>
            </w:rPr>
            <w:t>5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361CA650" w14:textId="77777777" w:rsidR="009601B3" w:rsidRPr="00FA7943" w:rsidRDefault="009601B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53513" w14:textId="77777777" w:rsidR="009601B3" w:rsidRDefault="009601B3" w:rsidP="00497F39">
      <w:r>
        <w:separator/>
      </w:r>
    </w:p>
  </w:footnote>
  <w:footnote w:type="continuationSeparator" w:id="0">
    <w:p w14:paraId="78906008" w14:textId="77777777" w:rsidR="009601B3" w:rsidRDefault="009601B3" w:rsidP="0049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5E1"/>
    <w:multiLevelType w:val="hybridMultilevel"/>
    <w:tmpl w:val="22B29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5B6C"/>
    <w:multiLevelType w:val="hybridMultilevel"/>
    <w:tmpl w:val="84D0B1E2"/>
    <w:lvl w:ilvl="0" w:tplc="7E3E733E">
      <w:numFmt w:val="bullet"/>
      <w:lvlText w:val="-"/>
      <w:lvlJc w:val="left"/>
      <w:pPr>
        <w:ind w:left="44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119C3FD3"/>
    <w:multiLevelType w:val="multilevel"/>
    <w:tmpl w:val="910857A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19772213"/>
    <w:multiLevelType w:val="multilevel"/>
    <w:tmpl w:val="BE789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4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1C911B76"/>
    <w:multiLevelType w:val="hybridMultilevel"/>
    <w:tmpl w:val="7B585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3612A"/>
    <w:multiLevelType w:val="hybridMultilevel"/>
    <w:tmpl w:val="A9444A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3971261"/>
    <w:multiLevelType w:val="hybridMultilevel"/>
    <w:tmpl w:val="C158E1A2"/>
    <w:lvl w:ilvl="0" w:tplc="4144302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051A1"/>
    <w:multiLevelType w:val="hybridMultilevel"/>
    <w:tmpl w:val="D87E1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423D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4232D8"/>
    <w:multiLevelType w:val="hybridMultilevel"/>
    <w:tmpl w:val="8AF66A92"/>
    <w:lvl w:ilvl="0" w:tplc="F5823668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817B9"/>
    <w:multiLevelType w:val="multilevel"/>
    <w:tmpl w:val="92D22412"/>
    <w:lvl w:ilvl="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46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6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6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6" w:hanging="2520"/>
      </w:pPr>
      <w:rPr>
        <w:rFonts w:hint="default"/>
      </w:rPr>
    </w:lvl>
  </w:abstractNum>
  <w:abstractNum w:abstractNumId="11" w15:restartNumberingAfterBreak="0">
    <w:nsid w:val="2EEA160F"/>
    <w:multiLevelType w:val="hybridMultilevel"/>
    <w:tmpl w:val="F4503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739F9"/>
    <w:multiLevelType w:val="hybridMultilevel"/>
    <w:tmpl w:val="03122EAA"/>
    <w:lvl w:ilvl="0" w:tplc="28FE11B8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F39EE"/>
    <w:multiLevelType w:val="multilevel"/>
    <w:tmpl w:val="388E2C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DC2810"/>
    <w:multiLevelType w:val="hybridMultilevel"/>
    <w:tmpl w:val="74F44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15A1C"/>
    <w:multiLevelType w:val="hybridMultilevel"/>
    <w:tmpl w:val="7DAEF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A4E46"/>
    <w:multiLevelType w:val="hybridMultilevel"/>
    <w:tmpl w:val="26A866E6"/>
    <w:lvl w:ilvl="0" w:tplc="61380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812DC"/>
    <w:multiLevelType w:val="hybridMultilevel"/>
    <w:tmpl w:val="53986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22CDA"/>
    <w:multiLevelType w:val="hybridMultilevel"/>
    <w:tmpl w:val="DBD63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D15F1A"/>
    <w:multiLevelType w:val="multilevel"/>
    <w:tmpl w:val="AC2CA644"/>
    <w:styleLink w:val="OutlinenumberedArialOutlinenumberedArial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01A132D"/>
    <w:multiLevelType w:val="hybridMultilevel"/>
    <w:tmpl w:val="F282E6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45214B"/>
    <w:multiLevelType w:val="multilevel"/>
    <w:tmpl w:val="4CD01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65704D6E"/>
    <w:multiLevelType w:val="multilevel"/>
    <w:tmpl w:val="53AA16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6BCE0567"/>
    <w:multiLevelType w:val="hybridMultilevel"/>
    <w:tmpl w:val="EFDA104A"/>
    <w:lvl w:ilvl="0" w:tplc="3BC2F962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F3D10"/>
    <w:multiLevelType w:val="hybridMultilevel"/>
    <w:tmpl w:val="2F424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73AAD"/>
    <w:multiLevelType w:val="hybridMultilevel"/>
    <w:tmpl w:val="8D740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252E9"/>
    <w:multiLevelType w:val="hybridMultilevel"/>
    <w:tmpl w:val="FE8614F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15BDC"/>
    <w:multiLevelType w:val="hybridMultilevel"/>
    <w:tmpl w:val="923A6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0014D"/>
    <w:multiLevelType w:val="hybridMultilevel"/>
    <w:tmpl w:val="1F3A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20276"/>
    <w:multiLevelType w:val="hybridMultilevel"/>
    <w:tmpl w:val="123285BA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7"/>
  </w:num>
  <w:num w:numId="4">
    <w:abstractNumId w:val="19"/>
  </w:num>
  <w:num w:numId="5">
    <w:abstractNumId w:val="18"/>
  </w:num>
  <w:num w:numId="6">
    <w:abstractNumId w:val="26"/>
  </w:num>
  <w:num w:numId="7">
    <w:abstractNumId w:val="24"/>
  </w:num>
  <w:num w:numId="8">
    <w:abstractNumId w:val="16"/>
  </w:num>
  <w:num w:numId="9">
    <w:abstractNumId w:val="6"/>
  </w:num>
  <w:num w:numId="10">
    <w:abstractNumId w:val="27"/>
  </w:num>
  <w:num w:numId="11">
    <w:abstractNumId w:val="10"/>
  </w:num>
  <w:num w:numId="12">
    <w:abstractNumId w:val="17"/>
  </w:num>
  <w:num w:numId="13">
    <w:abstractNumId w:val="5"/>
  </w:num>
  <w:num w:numId="14">
    <w:abstractNumId w:val="0"/>
  </w:num>
  <w:num w:numId="15">
    <w:abstractNumId w:val="1"/>
  </w:num>
  <w:num w:numId="16">
    <w:abstractNumId w:val="3"/>
  </w:num>
  <w:num w:numId="17">
    <w:abstractNumId w:val="25"/>
  </w:num>
  <w:num w:numId="18">
    <w:abstractNumId w:val="21"/>
  </w:num>
  <w:num w:numId="19">
    <w:abstractNumId w:val="29"/>
  </w:num>
  <w:num w:numId="20">
    <w:abstractNumId w:val="22"/>
  </w:num>
  <w:num w:numId="21">
    <w:abstractNumId w:val="23"/>
  </w:num>
  <w:num w:numId="22">
    <w:abstractNumId w:val="15"/>
  </w:num>
  <w:num w:numId="23">
    <w:abstractNumId w:val="9"/>
  </w:num>
  <w:num w:numId="24">
    <w:abstractNumId w:val="12"/>
  </w:num>
  <w:num w:numId="25">
    <w:abstractNumId w:val="11"/>
  </w:num>
  <w:num w:numId="26">
    <w:abstractNumId w:val="13"/>
  </w:num>
  <w:num w:numId="27">
    <w:abstractNumId w:val="2"/>
  </w:num>
  <w:num w:numId="28">
    <w:abstractNumId w:val="28"/>
  </w:num>
  <w:num w:numId="29">
    <w:abstractNumId w:val="14"/>
  </w:num>
  <w:num w:numId="3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A5"/>
    <w:rsid w:val="000037FD"/>
    <w:rsid w:val="0000561A"/>
    <w:rsid w:val="00022C5B"/>
    <w:rsid w:val="00033F78"/>
    <w:rsid w:val="00051CDC"/>
    <w:rsid w:val="00051E74"/>
    <w:rsid w:val="0005502D"/>
    <w:rsid w:val="00056DC2"/>
    <w:rsid w:val="00057CFB"/>
    <w:rsid w:val="00080FDF"/>
    <w:rsid w:val="00086CB8"/>
    <w:rsid w:val="00095710"/>
    <w:rsid w:val="0009647F"/>
    <w:rsid w:val="00097A37"/>
    <w:rsid w:val="00097ACD"/>
    <w:rsid w:val="000B1D28"/>
    <w:rsid w:val="000B306B"/>
    <w:rsid w:val="000D3DE1"/>
    <w:rsid w:val="000F24D2"/>
    <w:rsid w:val="000F46F4"/>
    <w:rsid w:val="000F5A72"/>
    <w:rsid w:val="001107EE"/>
    <w:rsid w:val="00121679"/>
    <w:rsid w:val="00123FD2"/>
    <w:rsid w:val="00126327"/>
    <w:rsid w:val="001272F6"/>
    <w:rsid w:val="0013075E"/>
    <w:rsid w:val="00131826"/>
    <w:rsid w:val="00133373"/>
    <w:rsid w:val="00141FC5"/>
    <w:rsid w:val="001451D5"/>
    <w:rsid w:val="0016543F"/>
    <w:rsid w:val="00170372"/>
    <w:rsid w:val="00177EC6"/>
    <w:rsid w:val="0018657C"/>
    <w:rsid w:val="001913AB"/>
    <w:rsid w:val="001B2A97"/>
    <w:rsid w:val="001B3428"/>
    <w:rsid w:val="001B6245"/>
    <w:rsid w:val="001C02C6"/>
    <w:rsid w:val="001C305C"/>
    <w:rsid w:val="001C60B5"/>
    <w:rsid w:val="001E5B78"/>
    <w:rsid w:val="00202AB8"/>
    <w:rsid w:val="002102EF"/>
    <w:rsid w:val="00211B9D"/>
    <w:rsid w:val="00214BA4"/>
    <w:rsid w:val="0022713F"/>
    <w:rsid w:val="002272E4"/>
    <w:rsid w:val="00250088"/>
    <w:rsid w:val="0025109C"/>
    <w:rsid w:val="00257CD2"/>
    <w:rsid w:val="00262C9F"/>
    <w:rsid w:val="00272C29"/>
    <w:rsid w:val="00273D26"/>
    <w:rsid w:val="0028571A"/>
    <w:rsid w:val="0029024F"/>
    <w:rsid w:val="002B0BC9"/>
    <w:rsid w:val="002B712E"/>
    <w:rsid w:val="002C0A83"/>
    <w:rsid w:val="002C170B"/>
    <w:rsid w:val="002D11B1"/>
    <w:rsid w:val="002E6258"/>
    <w:rsid w:val="002F22A2"/>
    <w:rsid w:val="003018F5"/>
    <w:rsid w:val="00303D21"/>
    <w:rsid w:val="00303F2C"/>
    <w:rsid w:val="00304FD0"/>
    <w:rsid w:val="00305721"/>
    <w:rsid w:val="00322D2E"/>
    <w:rsid w:val="00326EC6"/>
    <w:rsid w:val="00337864"/>
    <w:rsid w:val="00345CAF"/>
    <w:rsid w:val="003461AF"/>
    <w:rsid w:val="00364F55"/>
    <w:rsid w:val="00371966"/>
    <w:rsid w:val="00372917"/>
    <w:rsid w:val="003865B6"/>
    <w:rsid w:val="003A3414"/>
    <w:rsid w:val="003B40BB"/>
    <w:rsid w:val="003B4F18"/>
    <w:rsid w:val="003B7361"/>
    <w:rsid w:val="003B7B09"/>
    <w:rsid w:val="003C45B6"/>
    <w:rsid w:val="003C6952"/>
    <w:rsid w:val="003D3671"/>
    <w:rsid w:val="003D5328"/>
    <w:rsid w:val="003F3D59"/>
    <w:rsid w:val="003F3E7F"/>
    <w:rsid w:val="0040037A"/>
    <w:rsid w:val="00407604"/>
    <w:rsid w:val="004100D7"/>
    <w:rsid w:val="00411269"/>
    <w:rsid w:val="0042637D"/>
    <w:rsid w:val="00427779"/>
    <w:rsid w:val="004375CA"/>
    <w:rsid w:val="00455E24"/>
    <w:rsid w:val="0046169C"/>
    <w:rsid w:val="00480353"/>
    <w:rsid w:val="00493078"/>
    <w:rsid w:val="004939C2"/>
    <w:rsid w:val="00496B4F"/>
    <w:rsid w:val="00497F39"/>
    <w:rsid w:val="004A1249"/>
    <w:rsid w:val="004A4626"/>
    <w:rsid w:val="004A6253"/>
    <w:rsid w:val="004B31A5"/>
    <w:rsid w:val="004D632B"/>
    <w:rsid w:val="004E38CC"/>
    <w:rsid w:val="004F24A1"/>
    <w:rsid w:val="00504A87"/>
    <w:rsid w:val="00506C55"/>
    <w:rsid w:val="0052328C"/>
    <w:rsid w:val="00536FA4"/>
    <w:rsid w:val="00544C9E"/>
    <w:rsid w:val="00554429"/>
    <w:rsid w:val="00555155"/>
    <w:rsid w:val="0055720E"/>
    <w:rsid w:val="00561F54"/>
    <w:rsid w:val="00563B5C"/>
    <w:rsid w:val="00564789"/>
    <w:rsid w:val="005767ED"/>
    <w:rsid w:val="00577744"/>
    <w:rsid w:val="00590736"/>
    <w:rsid w:val="005926AB"/>
    <w:rsid w:val="005932A7"/>
    <w:rsid w:val="00593A31"/>
    <w:rsid w:val="005B4E75"/>
    <w:rsid w:val="005B564E"/>
    <w:rsid w:val="005C7D40"/>
    <w:rsid w:val="005D5FC4"/>
    <w:rsid w:val="005E33CB"/>
    <w:rsid w:val="005F3477"/>
    <w:rsid w:val="00600BE6"/>
    <w:rsid w:val="00607476"/>
    <w:rsid w:val="00610D30"/>
    <w:rsid w:val="00611958"/>
    <w:rsid w:val="00627AD2"/>
    <w:rsid w:val="006310BB"/>
    <w:rsid w:val="00657B25"/>
    <w:rsid w:val="00660772"/>
    <w:rsid w:val="00672175"/>
    <w:rsid w:val="00674776"/>
    <w:rsid w:val="00680248"/>
    <w:rsid w:val="00680CAE"/>
    <w:rsid w:val="006826C6"/>
    <w:rsid w:val="0068275A"/>
    <w:rsid w:val="0068334E"/>
    <w:rsid w:val="0068529F"/>
    <w:rsid w:val="006C4A51"/>
    <w:rsid w:val="006D0542"/>
    <w:rsid w:val="006E5611"/>
    <w:rsid w:val="006F14C6"/>
    <w:rsid w:val="006F654D"/>
    <w:rsid w:val="006F77A4"/>
    <w:rsid w:val="0071099D"/>
    <w:rsid w:val="00720EC2"/>
    <w:rsid w:val="00737008"/>
    <w:rsid w:val="007501DA"/>
    <w:rsid w:val="00754449"/>
    <w:rsid w:val="00756049"/>
    <w:rsid w:val="00761739"/>
    <w:rsid w:val="007623DA"/>
    <w:rsid w:val="00765DF2"/>
    <w:rsid w:val="007764AF"/>
    <w:rsid w:val="007774C7"/>
    <w:rsid w:val="00793C02"/>
    <w:rsid w:val="007A43DB"/>
    <w:rsid w:val="007A47F5"/>
    <w:rsid w:val="007B4060"/>
    <w:rsid w:val="007C45CC"/>
    <w:rsid w:val="007D01C9"/>
    <w:rsid w:val="007D03B8"/>
    <w:rsid w:val="007D04C7"/>
    <w:rsid w:val="007D79E4"/>
    <w:rsid w:val="007E45DA"/>
    <w:rsid w:val="007F7158"/>
    <w:rsid w:val="007F7EA7"/>
    <w:rsid w:val="008036D5"/>
    <w:rsid w:val="00805FAF"/>
    <w:rsid w:val="008123E5"/>
    <w:rsid w:val="00824D05"/>
    <w:rsid w:val="00832121"/>
    <w:rsid w:val="00833AA5"/>
    <w:rsid w:val="00851721"/>
    <w:rsid w:val="008524C0"/>
    <w:rsid w:val="00857182"/>
    <w:rsid w:val="008653E0"/>
    <w:rsid w:val="00872DD5"/>
    <w:rsid w:val="0087331D"/>
    <w:rsid w:val="00880111"/>
    <w:rsid w:val="008902AA"/>
    <w:rsid w:val="00890A9D"/>
    <w:rsid w:val="00893619"/>
    <w:rsid w:val="00897F8D"/>
    <w:rsid w:val="008A2D5F"/>
    <w:rsid w:val="008C12E0"/>
    <w:rsid w:val="008C745A"/>
    <w:rsid w:val="008D4CCD"/>
    <w:rsid w:val="008E334A"/>
    <w:rsid w:val="008E5907"/>
    <w:rsid w:val="008E6140"/>
    <w:rsid w:val="008F1F7E"/>
    <w:rsid w:val="008F5F50"/>
    <w:rsid w:val="00911572"/>
    <w:rsid w:val="00912C7B"/>
    <w:rsid w:val="00916053"/>
    <w:rsid w:val="00921F72"/>
    <w:rsid w:val="009220C8"/>
    <w:rsid w:val="009233B4"/>
    <w:rsid w:val="00923A14"/>
    <w:rsid w:val="009328E2"/>
    <w:rsid w:val="00937617"/>
    <w:rsid w:val="00941424"/>
    <w:rsid w:val="009539A0"/>
    <w:rsid w:val="009601B3"/>
    <w:rsid w:val="00961E2C"/>
    <w:rsid w:val="009725B2"/>
    <w:rsid w:val="00980587"/>
    <w:rsid w:val="00980F99"/>
    <w:rsid w:val="00981592"/>
    <w:rsid w:val="0098365C"/>
    <w:rsid w:val="00985A3A"/>
    <w:rsid w:val="009878C1"/>
    <w:rsid w:val="00987E54"/>
    <w:rsid w:val="009B0176"/>
    <w:rsid w:val="009B2519"/>
    <w:rsid w:val="009C0B0C"/>
    <w:rsid w:val="009D501F"/>
    <w:rsid w:val="009F7F6B"/>
    <w:rsid w:val="00A06B87"/>
    <w:rsid w:val="00A10A29"/>
    <w:rsid w:val="00A13215"/>
    <w:rsid w:val="00A250EA"/>
    <w:rsid w:val="00A258A8"/>
    <w:rsid w:val="00A25B36"/>
    <w:rsid w:val="00A279F5"/>
    <w:rsid w:val="00A31294"/>
    <w:rsid w:val="00A34009"/>
    <w:rsid w:val="00A34C2B"/>
    <w:rsid w:val="00A41559"/>
    <w:rsid w:val="00A435F1"/>
    <w:rsid w:val="00A53AC9"/>
    <w:rsid w:val="00A56D26"/>
    <w:rsid w:val="00A60C7E"/>
    <w:rsid w:val="00A60D6C"/>
    <w:rsid w:val="00A97191"/>
    <w:rsid w:val="00AB112A"/>
    <w:rsid w:val="00AC0FCB"/>
    <w:rsid w:val="00AC45EB"/>
    <w:rsid w:val="00AC5841"/>
    <w:rsid w:val="00AD5A9E"/>
    <w:rsid w:val="00AD7227"/>
    <w:rsid w:val="00AE012D"/>
    <w:rsid w:val="00AE1A84"/>
    <w:rsid w:val="00AE3D01"/>
    <w:rsid w:val="00AF3146"/>
    <w:rsid w:val="00AF47A0"/>
    <w:rsid w:val="00B00419"/>
    <w:rsid w:val="00B40F2B"/>
    <w:rsid w:val="00B41B6B"/>
    <w:rsid w:val="00B47936"/>
    <w:rsid w:val="00B509E3"/>
    <w:rsid w:val="00B52B29"/>
    <w:rsid w:val="00B71698"/>
    <w:rsid w:val="00B80218"/>
    <w:rsid w:val="00B832D1"/>
    <w:rsid w:val="00B936DE"/>
    <w:rsid w:val="00B94BB0"/>
    <w:rsid w:val="00BA3E2A"/>
    <w:rsid w:val="00BA5A60"/>
    <w:rsid w:val="00BB3531"/>
    <w:rsid w:val="00BB45CB"/>
    <w:rsid w:val="00BB7C8C"/>
    <w:rsid w:val="00BC39AE"/>
    <w:rsid w:val="00BC5B9C"/>
    <w:rsid w:val="00BC5FF9"/>
    <w:rsid w:val="00BF21DF"/>
    <w:rsid w:val="00BF3B6C"/>
    <w:rsid w:val="00BF3E39"/>
    <w:rsid w:val="00BF6C74"/>
    <w:rsid w:val="00C0078B"/>
    <w:rsid w:val="00C05D9F"/>
    <w:rsid w:val="00C138DD"/>
    <w:rsid w:val="00C1444B"/>
    <w:rsid w:val="00C17DDB"/>
    <w:rsid w:val="00C45255"/>
    <w:rsid w:val="00C51451"/>
    <w:rsid w:val="00C81292"/>
    <w:rsid w:val="00C84EE5"/>
    <w:rsid w:val="00C87F23"/>
    <w:rsid w:val="00C90ED6"/>
    <w:rsid w:val="00C9163D"/>
    <w:rsid w:val="00C94A10"/>
    <w:rsid w:val="00C96458"/>
    <w:rsid w:val="00CA4D3A"/>
    <w:rsid w:val="00CA4DA9"/>
    <w:rsid w:val="00CA5841"/>
    <w:rsid w:val="00CA7E0D"/>
    <w:rsid w:val="00CB0E6B"/>
    <w:rsid w:val="00CC37F8"/>
    <w:rsid w:val="00CC764D"/>
    <w:rsid w:val="00CD6990"/>
    <w:rsid w:val="00CE38BE"/>
    <w:rsid w:val="00CE6807"/>
    <w:rsid w:val="00CE6EB8"/>
    <w:rsid w:val="00CF7674"/>
    <w:rsid w:val="00D132DA"/>
    <w:rsid w:val="00D24595"/>
    <w:rsid w:val="00D258B8"/>
    <w:rsid w:val="00D25D84"/>
    <w:rsid w:val="00D26E48"/>
    <w:rsid w:val="00D34F08"/>
    <w:rsid w:val="00D41503"/>
    <w:rsid w:val="00D42345"/>
    <w:rsid w:val="00D45A01"/>
    <w:rsid w:val="00D54EFC"/>
    <w:rsid w:val="00D55785"/>
    <w:rsid w:val="00D572F6"/>
    <w:rsid w:val="00D60F40"/>
    <w:rsid w:val="00D64BA8"/>
    <w:rsid w:val="00D713DC"/>
    <w:rsid w:val="00D7168A"/>
    <w:rsid w:val="00D74461"/>
    <w:rsid w:val="00D87080"/>
    <w:rsid w:val="00DA2383"/>
    <w:rsid w:val="00DA7330"/>
    <w:rsid w:val="00DB4770"/>
    <w:rsid w:val="00DB6CBF"/>
    <w:rsid w:val="00DC499F"/>
    <w:rsid w:val="00DC594E"/>
    <w:rsid w:val="00DE2218"/>
    <w:rsid w:val="00DE7DF5"/>
    <w:rsid w:val="00E01426"/>
    <w:rsid w:val="00E02A10"/>
    <w:rsid w:val="00E07F66"/>
    <w:rsid w:val="00E11F44"/>
    <w:rsid w:val="00E20917"/>
    <w:rsid w:val="00E24001"/>
    <w:rsid w:val="00E263D4"/>
    <w:rsid w:val="00E333F3"/>
    <w:rsid w:val="00E33B6A"/>
    <w:rsid w:val="00E34127"/>
    <w:rsid w:val="00E343B1"/>
    <w:rsid w:val="00E34CEC"/>
    <w:rsid w:val="00E371EA"/>
    <w:rsid w:val="00E37B54"/>
    <w:rsid w:val="00E40307"/>
    <w:rsid w:val="00E42467"/>
    <w:rsid w:val="00E56DBB"/>
    <w:rsid w:val="00E57231"/>
    <w:rsid w:val="00E805CD"/>
    <w:rsid w:val="00E85420"/>
    <w:rsid w:val="00EA23FA"/>
    <w:rsid w:val="00EA4379"/>
    <w:rsid w:val="00EB0841"/>
    <w:rsid w:val="00EB383D"/>
    <w:rsid w:val="00EC6188"/>
    <w:rsid w:val="00EE1810"/>
    <w:rsid w:val="00EE565B"/>
    <w:rsid w:val="00EE7097"/>
    <w:rsid w:val="00EF229F"/>
    <w:rsid w:val="00EF2460"/>
    <w:rsid w:val="00EF7DBD"/>
    <w:rsid w:val="00F1076C"/>
    <w:rsid w:val="00F12F90"/>
    <w:rsid w:val="00F254D7"/>
    <w:rsid w:val="00F2582A"/>
    <w:rsid w:val="00F31C10"/>
    <w:rsid w:val="00F43ED8"/>
    <w:rsid w:val="00F47896"/>
    <w:rsid w:val="00F479A1"/>
    <w:rsid w:val="00F54A14"/>
    <w:rsid w:val="00F555A4"/>
    <w:rsid w:val="00F73280"/>
    <w:rsid w:val="00F95B15"/>
    <w:rsid w:val="00FA1E5C"/>
    <w:rsid w:val="00FA6227"/>
    <w:rsid w:val="00FA62CB"/>
    <w:rsid w:val="00FA7943"/>
    <w:rsid w:val="00FB67EB"/>
    <w:rsid w:val="00FC2859"/>
    <w:rsid w:val="00FC3291"/>
    <w:rsid w:val="00FC7FAE"/>
    <w:rsid w:val="00FD1D43"/>
    <w:rsid w:val="00FF1936"/>
    <w:rsid w:val="00FF1F6D"/>
    <w:rsid w:val="00FF256C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61CA599"/>
  <w15:docId w15:val="{27A0FE94-4202-45C9-BFBB-1971774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EF"/>
    <w:pPr>
      <w:spacing w:after="0" w:line="24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74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54D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4C9E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73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1E74"/>
    <w:rPr>
      <w:rFonts w:ascii="Verdana" w:eastAsiaTheme="majorEastAsia" w:hAnsi="Verdana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F39"/>
  </w:style>
  <w:style w:type="paragraph" w:styleId="Footer">
    <w:name w:val="footer"/>
    <w:basedOn w:val="Normal"/>
    <w:link w:val="Foot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F39"/>
  </w:style>
  <w:style w:type="paragraph" w:styleId="ListBullet">
    <w:name w:val="List Bullet"/>
    <w:basedOn w:val="Normal"/>
    <w:autoRedefine/>
    <w:rsid w:val="006F654D"/>
    <w:pPr>
      <w:ind w:left="53"/>
    </w:pPr>
    <w:rPr>
      <w:rFonts w:eastAsia="Times New Roman" w:cs="Times New Roman"/>
    </w:rPr>
  </w:style>
  <w:style w:type="character" w:styleId="PageNumber">
    <w:name w:val="page number"/>
    <w:basedOn w:val="DefaultParagraphFont"/>
    <w:rsid w:val="008524C0"/>
  </w:style>
  <w:style w:type="character" w:styleId="CommentReference">
    <w:name w:val="annotation reference"/>
    <w:basedOn w:val="DefaultParagraphFont"/>
    <w:uiPriority w:val="99"/>
    <w:semiHidden/>
    <w:unhideWhenUsed/>
    <w:rsid w:val="00F4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89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789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654D"/>
    <w:rPr>
      <w:rFonts w:ascii="Verdana" w:eastAsiaTheme="majorEastAsia" w:hAnsi="Verdana" w:cstheme="majorBidi"/>
      <w:b/>
      <w:bCs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D87080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EE7097"/>
  </w:style>
  <w:style w:type="character" w:customStyle="1" w:styleId="DateChar">
    <w:name w:val="Date Char"/>
    <w:basedOn w:val="DefaultParagraphFont"/>
    <w:link w:val="Date"/>
    <w:uiPriority w:val="99"/>
    <w:rsid w:val="00EE7097"/>
    <w:rPr>
      <w:rFonts w:ascii="Verdana" w:hAnsi="Verdana"/>
      <w:sz w:val="24"/>
    </w:rPr>
  </w:style>
  <w:style w:type="character" w:customStyle="1" w:styleId="Dropdown">
    <w:name w:val="Dropdown"/>
    <w:basedOn w:val="DefaultParagraphFont"/>
    <w:uiPriority w:val="1"/>
    <w:rsid w:val="007D79E4"/>
    <w:rPr>
      <w:rFonts w:ascii="Verdana" w:hAnsi="Verdana"/>
      <w:color w:val="auto"/>
      <w:sz w:val="24"/>
    </w:rPr>
  </w:style>
  <w:style w:type="paragraph" w:customStyle="1" w:styleId="Default">
    <w:name w:val="Default"/>
    <w:rsid w:val="005B4E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CoverSheet">
    <w:name w:val="Cover Sheet"/>
    <w:basedOn w:val="Normal"/>
    <w:rsid w:val="00851721"/>
    <w:pPr>
      <w:spacing w:before="120"/>
    </w:pPr>
    <w:rPr>
      <w:rFonts w:ascii="Arial" w:eastAsia="Times New Roman" w:hAnsi="Arial" w:cs="Arial"/>
      <w:szCs w:val="20"/>
    </w:rPr>
  </w:style>
  <w:style w:type="paragraph" w:customStyle="1" w:styleId="StyleOutlinenumberedArialOutlinenumberedArial11Outli">
    <w:name w:val="Style Outline numbered Arial + Outline numbered Arial 1...1 + Outli..."/>
    <w:basedOn w:val="Normal"/>
    <w:rsid w:val="00DB6C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Cs w:val="24"/>
    </w:rPr>
  </w:style>
  <w:style w:type="numbering" w:customStyle="1" w:styleId="OutlinenumberedArialOutlinenumberedArial11">
    <w:name w:val="Outline numbered Arial + Outline numbered Arial 1...1"/>
    <w:basedOn w:val="NoList"/>
    <w:rsid w:val="00E20917"/>
    <w:pPr>
      <w:numPr>
        <w:numId w:val="4"/>
      </w:numPr>
    </w:pPr>
  </w:style>
  <w:style w:type="paragraph" w:styleId="BodyText">
    <w:name w:val="Body Text"/>
    <w:basedOn w:val="Normal"/>
    <w:link w:val="BodyTextChar"/>
    <w:uiPriority w:val="1"/>
    <w:qFormat/>
    <w:rsid w:val="00170372"/>
    <w:pPr>
      <w:widowControl w:val="0"/>
      <w:autoSpaceDE w:val="0"/>
      <w:autoSpaceDN w:val="0"/>
    </w:pPr>
    <w:rPr>
      <w:rFonts w:eastAsia="Verdana" w:cs="Verdana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70372"/>
    <w:rPr>
      <w:rFonts w:ascii="Verdana" w:eastAsia="Verdana" w:hAnsi="Verdana" w:cs="Verdana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170372"/>
    <w:pPr>
      <w:widowControl w:val="0"/>
      <w:autoSpaceDE w:val="0"/>
      <w:autoSpaceDN w:val="0"/>
    </w:pPr>
    <w:rPr>
      <w:rFonts w:eastAsia="Verdana" w:cs="Verdana"/>
      <w:sz w:val="22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70372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howis.wales.nhs.uk/sitesplus/888/page/6454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wales.nhs.uk/governance-emanual/how-the-health-and-care-standards-are-s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1CEBAFED744FBDBE7668212525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1FFAD-DA6B-4E5F-9405-F00BD91B0A46}"/>
      </w:docPartPr>
      <w:docPartBody>
        <w:p w:rsidR="00942F3C" w:rsidRDefault="0098440F" w:rsidP="0098440F">
          <w:pPr>
            <w:pStyle w:val="B71CEBAFED744FBDBE7668212525C5EB1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0E25CCC5DD4F43AAA642CDCC18DD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29C5-85B6-4F9E-8653-A0627D765C50}"/>
      </w:docPartPr>
      <w:docPartBody>
        <w:p w:rsidR="00942F3C" w:rsidRDefault="0098440F" w:rsidP="0098440F">
          <w:pPr>
            <w:pStyle w:val="0E25CCC5DD4F43AAA642CDCC18DDB6A61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C04374CD51A040E4BEE1F4C1F2976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9C9B2-A251-47BA-B74D-C69A3BDD1888}"/>
      </w:docPartPr>
      <w:docPartBody>
        <w:p w:rsidR="00FF34A5" w:rsidRDefault="00AA293F" w:rsidP="00AA293F">
          <w:pPr>
            <w:pStyle w:val="C04374CD51A040E4BEE1F4C1F29763FE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2F3C"/>
    <w:rsid w:val="00252812"/>
    <w:rsid w:val="003D3909"/>
    <w:rsid w:val="003F4544"/>
    <w:rsid w:val="0045397F"/>
    <w:rsid w:val="004838BF"/>
    <w:rsid w:val="005A164A"/>
    <w:rsid w:val="005A5737"/>
    <w:rsid w:val="00760EAF"/>
    <w:rsid w:val="00884126"/>
    <w:rsid w:val="00895D61"/>
    <w:rsid w:val="008A7CA3"/>
    <w:rsid w:val="00942F3C"/>
    <w:rsid w:val="0095505F"/>
    <w:rsid w:val="0098440F"/>
    <w:rsid w:val="00A12BED"/>
    <w:rsid w:val="00AA293F"/>
    <w:rsid w:val="00B518DF"/>
    <w:rsid w:val="00B661DB"/>
    <w:rsid w:val="00CF449E"/>
    <w:rsid w:val="00E861E6"/>
    <w:rsid w:val="00F66F0C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05F"/>
    <w:rPr>
      <w:color w:val="808080"/>
    </w:rPr>
  </w:style>
  <w:style w:type="paragraph" w:customStyle="1" w:styleId="B71CEBAFED744FBDBE7668212525C5EB1">
    <w:name w:val="B71CEBAFED744FBDBE7668212525C5E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0E25CCC5DD4F43AAA642CDCC18DDB6A61">
    <w:name w:val="0E25CCC5DD4F43AAA642CDCC18DDB6A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C04374CD51A040E4BEE1F4C1F29763FE">
    <w:name w:val="C04374CD51A040E4BEE1F4C1F29763FE"/>
    <w:rsid w:val="00AA293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5055D04C02241AF4759873DF8334B" ma:contentTypeVersion="29" ma:contentTypeDescription="Document with Enterprise Keyword column." ma:contentTypeScope="" ma:versionID="157275ac0c35055e6a3a4cb3467c48e6">
  <xsd:schema xmlns:xsd="http://www.w3.org/2001/XMLSchema" xmlns:xs="http://www.w3.org/2001/XMLSchema" xmlns:p="http://schemas.microsoft.com/office/2006/metadata/properties" xmlns:ns1="http://schemas.microsoft.com/sharepoint/v3" xmlns:ns2="fd053438-771b-42ba-9d81-01aaf027653a" xmlns:ns3="573deb0b-1af8-4c22-839e-5226f9086661" xmlns:ns4="http://schemas.microsoft.com/sharepoint/v4" targetNamespace="http://schemas.microsoft.com/office/2006/metadata/properties" ma:root="true" ma:fieldsID="887349ad8097a8f58d1bb95b9d8028a8" ns1:_="" ns2:_="" ns3:_="" ns4:_="">
    <xsd:import namespace="http://schemas.microsoft.com/sharepoint/v3"/>
    <xsd:import namespace="fd053438-771b-42ba-9d81-01aaf027653a"/>
    <xsd:import namespace="573deb0b-1af8-4c22-839e-5226f90866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  <xsd:element ref="ns3:Archive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description="" ma:hidden="true" ma:internalName="EmailSender" ma:readOnly="false">
      <xsd:simpleType>
        <xsd:restriction base="dms:Note">
          <xsd:maxLength value="255"/>
        </xsd:restriction>
      </xsd:simpleType>
    </xsd:element>
    <xsd:element name="EmailTo" ma:index="12" nillable="true" ma:displayName="E-Mail To" ma:description="" ma:hidden="true" ma:internalName="EmailTo" ma:readOnly="false">
      <xsd:simpleType>
        <xsd:restriction base="dms:Note">
          <xsd:maxLength value="255"/>
        </xsd:restriction>
      </xsd:simpleType>
    </xsd:element>
    <xsd:element name="EmailCc" ma:index="13" nillable="true" ma:displayName="E-Mail Cc" ma:description="" ma:hidden="true" ma:internalName="EmailCc" ma:readOnly="false">
      <xsd:simpleType>
        <xsd:restriction base="dms:Note">
          <xsd:maxLength value="255"/>
        </xsd:restriction>
      </xsd:simpleType>
    </xsd:element>
    <xsd:element name="EmailFrom" ma:index="14" nillable="true" ma:displayName="E-Mail From" ma:description="" ma:hidden="true" ma:internalName="EmailFrom" ma:readOnly="false">
      <xsd:simpleType>
        <xsd:restriction base="dms:Text"/>
      </xsd:simpleType>
    </xsd:element>
    <xsd:element name="EmailSubject" ma:index="15" nillable="true" ma:displayName="E-Mail Subject" ma:description="" ma:hidden="true" ma:internalName="EmailSubjec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3438-771b-42ba-9d81-01aaf027653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eb0b-1af8-4c22-839e-5226f908666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Enterprise Keywords" ma:readOnly="false" ma:fieldId="{23f27201-bee3-471e-b2e7-b64fd8b7ca38}" ma:taxonomyMulti="true" ma:sspId="64f761c4-cb64-4933-b1ae-cbeaa3c9865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03c2ea0b-a94f-4569-805f-1911d84595fa}" ma:internalName="TaxCatchAll" ma:showField="CatchAllData" ma:web="fd053438-771b-42ba-9d81-01aaf0276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d" ma:index="10" nillable="true" ma:displayName="Archived" ma:default="0" ma:internalName="Archiv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description="" ma:hidden="true" ma:internalName="EmailHeader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TaxCatchAll xmlns="573deb0b-1af8-4c22-839e-5226f9086661">
      <Value>12</Value>
    </TaxCatchAll>
    <Archived xmlns="573deb0b-1af8-4c22-839e-5226f9086661">false</Archived>
    <EmailSubject xmlns="http://schemas.microsoft.com/sharepoint/v3" xsi:nil="true"/>
    <TaxKeywordTaxHTField xmlns="573deb0b-1af8-4c22-839e-5226f90866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 committee</TermName>
          <TermId xmlns="http://schemas.microsoft.com/office/infopath/2007/PartnerControls">4c59d375-e8fe-4895-99f7-de1ea7bd2bf6</TermId>
        </TermInfo>
      </Terms>
    </TaxKeywordTaxHTField>
    <EmailCc xmlns="http://schemas.microsoft.com/sharepoint/v3" xsi:nil="true"/>
    <_dlc_DocId xmlns="fd053438-771b-42ba-9d81-01aaf027653a">KN3KN54Q7VUQ-4-10</_dlc_DocId>
    <_dlc_DocIdUrl xmlns="fd053438-771b-42ba-9d81-01aaf027653a">
      <Url>https://phwsharepoint.cymru.nhs.uk/corporate/governance/_layouts/15/DocIdRedir.aspx?ID=KN3KN54Q7VUQ-4-10</Url>
      <Description>KN3KN54Q7VUQ-4-10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5339A-CF00-4DA8-8650-353C70535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053438-771b-42ba-9d81-01aaf027653a"/>
    <ds:schemaRef ds:uri="573deb0b-1af8-4c22-839e-5226f90866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2606F-CDE7-4DEF-90F7-815D06D30D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A5BFB1-DBC1-4C9C-BF71-FDBD58C908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E4FD6-408B-48BD-A088-9C453C496D1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73deb0b-1af8-4c22-839e-5226f9086661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fd053438-771b-42ba-9d81-01aaf027653a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460C2DF-62B7-4341-AC1A-F2EA5B9B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and Committe template 2019</vt:lpstr>
    </vt:vector>
  </TitlesOfParts>
  <Company>Public Health Wales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and Committe template 2019</dc:title>
  <dc:creator>Cathie Steele</dc:creator>
  <cp:keywords>board committee</cp:keywords>
  <cp:lastModifiedBy>Liz Blayney (Public Health Wales - No. 2 Capital Quarter)</cp:lastModifiedBy>
  <cp:revision>14</cp:revision>
  <cp:lastPrinted>2017-10-16T08:46:00Z</cp:lastPrinted>
  <dcterms:created xsi:type="dcterms:W3CDTF">2022-05-12T12:03:00Z</dcterms:created>
  <dcterms:modified xsi:type="dcterms:W3CDTF">2022-11-17T15:29:00Z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0x0101002085055D04C02241AF4759873DF8334B</vt:lpwstr>
  </property>
  <property fmtid="{D5CDD505-2E9C-101B-9397-08002B2CF9AE}" pid="3" name="_dlc_DocIdItemGuid">
    <vt:lpwstr>a1c43624-a7f3-40e9-a413-8921fd834b29</vt:lpwstr>
  </property>
  <property fmtid="{D5CDD505-2E9C-101B-9397-08002B2CF9AE}" pid="4" name="TaxKeyword">
    <vt:lpwstr>12;#board committee|4c59d375-e8fe-4895-99f7-de1ea7bd2bf6</vt:lpwstr>
  </property>
</Properties>
</file>