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345C06" w14:paraId="5F74B8E9" w14:textId="77777777" w:rsidTr="0013075E">
        <w:tc>
          <w:tcPr>
            <w:tcW w:w="5202" w:type="dxa"/>
            <w:gridSpan w:val="4"/>
            <w:vMerge w:val="restart"/>
          </w:tcPr>
          <w:p w14:paraId="5F74B8E6" w14:textId="77777777" w:rsidR="0013075E" w:rsidRPr="00345C06" w:rsidRDefault="0013075E" w:rsidP="00CF7674">
            <w:r w:rsidRPr="00345C06">
              <w:rPr>
                <w:b/>
                <w:noProof/>
                <w:lang w:eastAsia="en-GB"/>
              </w:rPr>
              <w:drawing>
                <wp:inline distT="0" distB="0" distL="0" distR="0" wp14:anchorId="5F74B989" wp14:editId="5F74B98A">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2"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14:paraId="5F74B8E7" w14:textId="77777777" w:rsidR="0013075E" w:rsidRPr="00345C06" w:rsidRDefault="0013075E" w:rsidP="00EE7097">
            <w:pPr>
              <w:jc w:val="right"/>
              <w:rPr>
                <w:b/>
                <w:szCs w:val="24"/>
              </w:rPr>
            </w:pPr>
            <w:r w:rsidRPr="00345C06">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14:paraId="5F74B8E8" w14:textId="04066E49" w:rsidR="0013075E" w:rsidRPr="00345C06" w:rsidRDefault="008B2A73" w:rsidP="00EE7097">
                <w:pPr>
                  <w:jc w:val="right"/>
                  <w:rPr>
                    <w:b/>
                    <w:szCs w:val="24"/>
                  </w:rPr>
                </w:pPr>
                <w:r>
                  <w:rPr>
                    <w:rStyle w:val="Dropdown"/>
                  </w:rPr>
                  <w:t>Board</w:t>
                </w:r>
              </w:p>
            </w:sdtContent>
          </w:sdt>
        </w:tc>
      </w:tr>
      <w:tr w:rsidR="0013075E" w:rsidRPr="00345C06" w14:paraId="5F74B8ED" w14:textId="77777777" w:rsidTr="0013075E">
        <w:tc>
          <w:tcPr>
            <w:tcW w:w="5202" w:type="dxa"/>
            <w:gridSpan w:val="4"/>
            <w:vMerge/>
          </w:tcPr>
          <w:p w14:paraId="5F74B8EA" w14:textId="77777777" w:rsidR="0013075E" w:rsidRPr="00345C06" w:rsidRDefault="0013075E" w:rsidP="00CF7674">
            <w:pPr>
              <w:rPr>
                <w:b/>
                <w:noProof/>
                <w:lang w:eastAsia="en-GB"/>
              </w:rPr>
            </w:pPr>
          </w:p>
        </w:tc>
        <w:tc>
          <w:tcPr>
            <w:tcW w:w="4040" w:type="dxa"/>
            <w:gridSpan w:val="3"/>
            <w:tcBorders>
              <w:top w:val="nil"/>
              <w:bottom w:val="nil"/>
            </w:tcBorders>
          </w:tcPr>
          <w:p w14:paraId="5F74B8EB" w14:textId="77777777" w:rsidR="00D34F08" w:rsidRPr="00345C06" w:rsidRDefault="00D34F08" w:rsidP="00EE7097">
            <w:pPr>
              <w:jc w:val="right"/>
              <w:rPr>
                <w:b/>
              </w:rPr>
            </w:pPr>
            <w:r w:rsidRPr="00345C06">
              <w:rPr>
                <w:b/>
              </w:rPr>
              <w:t>Date of Meeting</w:t>
            </w:r>
          </w:p>
          <w:p w14:paraId="5F74B8EC" w14:textId="735F8156" w:rsidR="0013075E" w:rsidRPr="00345C06" w:rsidRDefault="008B2A73" w:rsidP="008B2A73">
            <w:pPr>
              <w:jc w:val="right"/>
              <w:rPr>
                <w:color w:val="FF0000"/>
              </w:rPr>
            </w:pPr>
            <w:r>
              <w:t>2</w:t>
            </w:r>
            <w:r w:rsidR="00FA34E9" w:rsidRPr="00345C06">
              <w:t xml:space="preserve">4 </w:t>
            </w:r>
            <w:r>
              <w:t>September</w:t>
            </w:r>
            <w:r w:rsidR="00FA34E9" w:rsidRPr="00345C06">
              <w:t xml:space="preserve"> 2020</w:t>
            </w:r>
          </w:p>
        </w:tc>
      </w:tr>
      <w:tr w:rsidR="006460B0" w:rsidRPr="006460B0" w14:paraId="5F74B8F1" w14:textId="77777777" w:rsidTr="0013075E">
        <w:tc>
          <w:tcPr>
            <w:tcW w:w="5202" w:type="dxa"/>
            <w:gridSpan w:val="4"/>
            <w:vMerge/>
            <w:tcBorders>
              <w:bottom w:val="single" w:sz="4" w:space="0" w:color="auto"/>
            </w:tcBorders>
          </w:tcPr>
          <w:p w14:paraId="5F74B8EE" w14:textId="77777777" w:rsidR="0013075E" w:rsidRPr="00345C06" w:rsidRDefault="0013075E" w:rsidP="00CF7674">
            <w:pPr>
              <w:rPr>
                <w:b/>
                <w:noProof/>
                <w:lang w:eastAsia="en-GB"/>
              </w:rPr>
            </w:pPr>
          </w:p>
        </w:tc>
        <w:tc>
          <w:tcPr>
            <w:tcW w:w="4040" w:type="dxa"/>
            <w:gridSpan w:val="3"/>
            <w:tcBorders>
              <w:top w:val="nil"/>
              <w:bottom w:val="single" w:sz="4" w:space="0" w:color="auto"/>
            </w:tcBorders>
          </w:tcPr>
          <w:p w14:paraId="5F74B8EF" w14:textId="77777777" w:rsidR="0013075E" w:rsidRPr="006460B0" w:rsidRDefault="0013075E" w:rsidP="00EE7097">
            <w:pPr>
              <w:jc w:val="right"/>
              <w:rPr>
                <w:b/>
              </w:rPr>
            </w:pPr>
            <w:r w:rsidRPr="006460B0">
              <w:rPr>
                <w:b/>
              </w:rPr>
              <w:t>Agenda item:</w:t>
            </w:r>
          </w:p>
          <w:p w14:paraId="5F74B8F0" w14:textId="19EA6B53" w:rsidR="0013075E" w:rsidRPr="006460B0" w:rsidRDefault="006460B0" w:rsidP="00EE7097">
            <w:pPr>
              <w:jc w:val="right"/>
            </w:pPr>
            <w:r w:rsidRPr="006460B0">
              <w:t>5.7 24092020</w:t>
            </w:r>
          </w:p>
        </w:tc>
      </w:tr>
      <w:tr w:rsidR="00EE7097" w:rsidRPr="00345C06" w14:paraId="5F74B8F5" w14:textId="77777777" w:rsidTr="00407604">
        <w:tc>
          <w:tcPr>
            <w:tcW w:w="9242" w:type="dxa"/>
            <w:gridSpan w:val="7"/>
            <w:tcBorders>
              <w:left w:val="nil"/>
              <w:right w:val="nil"/>
            </w:tcBorders>
            <w:vAlign w:val="center"/>
          </w:tcPr>
          <w:p w14:paraId="5F74B8F2" w14:textId="77777777" w:rsidR="003B7B09" w:rsidRPr="00345C06" w:rsidRDefault="003B7B09" w:rsidP="00D34F08">
            <w:pPr>
              <w:rPr>
                <w:b/>
                <w:sz w:val="28"/>
              </w:rPr>
            </w:pPr>
          </w:p>
          <w:p w14:paraId="5F74B8F4" w14:textId="77777777" w:rsidR="00D34F08" w:rsidRPr="00345C06" w:rsidRDefault="00D34F08" w:rsidP="00FA34E9">
            <w:pPr>
              <w:jc w:val="center"/>
              <w:rPr>
                <w:b/>
                <w:sz w:val="28"/>
              </w:rPr>
            </w:pPr>
          </w:p>
        </w:tc>
      </w:tr>
      <w:tr w:rsidR="00EE7097" w:rsidRPr="00345C06" w14:paraId="5F74B8F7" w14:textId="77777777" w:rsidTr="00544C9E">
        <w:tc>
          <w:tcPr>
            <w:tcW w:w="9242" w:type="dxa"/>
            <w:gridSpan w:val="7"/>
            <w:vAlign w:val="center"/>
          </w:tcPr>
          <w:p w14:paraId="5F74B8F6" w14:textId="03485C04" w:rsidR="00EE7097" w:rsidRPr="00345C06" w:rsidRDefault="006E1B45" w:rsidP="004025CA">
            <w:pPr>
              <w:spacing w:after="120" w:line="276" w:lineRule="auto"/>
              <w:jc w:val="center"/>
              <w:rPr>
                <w:b/>
                <w:sz w:val="36"/>
                <w:szCs w:val="36"/>
              </w:rPr>
            </w:pPr>
            <w:r w:rsidRPr="00345C06">
              <w:rPr>
                <w:rFonts w:cs="Tahoma"/>
                <w:b/>
                <w:sz w:val="36"/>
                <w:szCs w:val="36"/>
              </w:rPr>
              <w:t>Public Health Wales</w:t>
            </w:r>
            <w:r w:rsidR="00F35656">
              <w:rPr>
                <w:rFonts w:cs="Tahoma"/>
                <w:b/>
                <w:sz w:val="36"/>
                <w:szCs w:val="36"/>
              </w:rPr>
              <w:t>’</w:t>
            </w:r>
            <w:r w:rsidR="004025CA">
              <w:rPr>
                <w:rFonts w:cs="Tahoma"/>
                <w:b/>
                <w:sz w:val="36"/>
                <w:szCs w:val="36"/>
              </w:rPr>
              <w:t xml:space="preserve"> preparations for </w:t>
            </w:r>
            <w:r w:rsidR="005F28FE">
              <w:rPr>
                <w:rFonts w:cs="Tahoma"/>
                <w:b/>
                <w:sz w:val="36"/>
                <w:szCs w:val="36"/>
              </w:rPr>
              <w:t xml:space="preserve">the </w:t>
            </w:r>
            <w:r w:rsidR="004025CA">
              <w:rPr>
                <w:rFonts w:cs="Tahoma"/>
                <w:b/>
                <w:sz w:val="36"/>
                <w:szCs w:val="36"/>
              </w:rPr>
              <w:t>end of UK</w:t>
            </w:r>
            <w:r w:rsidR="002048D5" w:rsidRPr="00345C06">
              <w:rPr>
                <w:rFonts w:cs="Tahoma"/>
                <w:b/>
                <w:sz w:val="36"/>
                <w:szCs w:val="36"/>
              </w:rPr>
              <w:t xml:space="preserve"> t</w:t>
            </w:r>
            <w:r w:rsidRPr="00345C06">
              <w:rPr>
                <w:rFonts w:cs="Tahoma"/>
                <w:b/>
                <w:sz w:val="36"/>
                <w:szCs w:val="36"/>
              </w:rPr>
              <w:t>ransition</w:t>
            </w:r>
            <w:r w:rsidR="0097574C">
              <w:rPr>
                <w:rFonts w:cs="Tahoma"/>
                <w:b/>
                <w:sz w:val="36"/>
                <w:szCs w:val="36"/>
              </w:rPr>
              <w:t xml:space="preserve"> period after </w:t>
            </w:r>
            <w:proofErr w:type="spellStart"/>
            <w:r w:rsidR="0097574C">
              <w:rPr>
                <w:rFonts w:cs="Tahoma"/>
                <w:b/>
                <w:sz w:val="36"/>
                <w:szCs w:val="36"/>
              </w:rPr>
              <w:t>Brexit</w:t>
            </w:r>
            <w:proofErr w:type="spellEnd"/>
          </w:p>
        </w:tc>
      </w:tr>
      <w:tr w:rsidR="00EE7097" w:rsidRPr="00345C06" w14:paraId="5F74B8FA" w14:textId="77777777" w:rsidTr="0013075E">
        <w:tc>
          <w:tcPr>
            <w:tcW w:w="2802" w:type="dxa"/>
            <w:gridSpan w:val="2"/>
          </w:tcPr>
          <w:p w14:paraId="5F74B8F8" w14:textId="77777777" w:rsidR="00EE7097" w:rsidRPr="00345C06" w:rsidRDefault="00EE7097">
            <w:pPr>
              <w:rPr>
                <w:b/>
                <w:szCs w:val="24"/>
              </w:rPr>
            </w:pPr>
            <w:r w:rsidRPr="00345C06">
              <w:rPr>
                <w:b/>
                <w:szCs w:val="24"/>
              </w:rPr>
              <w:t>Executive lead:</w:t>
            </w:r>
          </w:p>
        </w:tc>
        <w:tc>
          <w:tcPr>
            <w:tcW w:w="6440" w:type="dxa"/>
            <w:gridSpan w:val="5"/>
          </w:tcPr>
          <w:p w14:paraId="087A37DC" w14:textId="77777777" w:rsidR="00FA34E9" w:rsidRPr="00345C06" w:rsidRDefault="00FA34E9" w:rsidP="00FA34E9">
            <w:pPr>
              <w:rPr>
                <w:szCs w:val="24"/>
              </w:rPr>
            </w:pPr>
            <w:r w:rsidRPr="00345C06">
              <w:rPr>
                <w:szCs w:val="24"/>
              </w:rPr>
              <w:t xml:space="preserve">Dr Quentin Sandifer, Executive Director of Public Health Services </w:t>
            </w:r>
          </w:p>
          <w:p w14:paraId="5F74B8F9" w14:textId="741D1925" w:rsidR="00EE7097" w:rsidRPr="00345C06" w:rsidRDefault="00FA34E9" w:rsidP="00FA34E9">
            <w:pPr>
              <w:rPr>
                <w:szCs w:val="24"/>
              </w:rPr>
            </w:pPr>
            <w:r w:rsidRPr="00345C06">
              <w:rPr>
                <w:szCs w:val="24"/>
              </w:rPr>
              <w:t>Professor Mark Bellis, Director of Policy and International Health, WHO CC</w:t>
            </w:r>
          </w:p>
        </w:tc>
      </w:tr>
      <w:tr w:rsidR="00EE7097" w:rsidRPr="00345C06" w14:paraId="5F74B8FD" w14:textId="77777777" w:rsidTr="0013075E">
        <w:tc>
          <w:tcPr>
            <w:tcW w:w="2802" w:type="dxa"/>
            <w:gridSpan w:val="2"/>
          </w:tcPr>
          <w:p w14:paraId="5F74B8FB" w14:textId="77777777" w:rsidR="00EE7097" w:rsidRPr="00345C06" w:rsidRDefault="00EE7097">
            <w:pPr>
              <w:rPr>
                <w:b/>
                <w:szCs w:val="24"/>
              </w:rPr>
            </w:pPr>
            <w:r w:rsidRPr="00345C06">
              <w:rPr>
                <w:b/>
                <w:szCs w:val="24"/>
              </w:rPr>
              <w:t>Author:</w:t>
            </w:r>
          </w:p>
        </w:tc>
        <w:tc>
          <w:tcPr>
            <w:tcW w:w="6440" w:type="dxa"/>
            <w:gridSpan w:val="5"/>
          </w:tcPr>
          <w:p w14:paraId="53539D4B" w14:textId="77777777" w:rsidR="00FA34E9" w:rsidRPr="00345C06" w:rsidRDefault="00FA34E9" w:rsidP="00051E74">
            <w:pPr>
              <w:rPr>
                <w:szCs w:val="24"/>
              </w:rPr>
            </w:pPr>
            <w:r w:rsidRPr="00345C06">
              <w:rPr>
                <w:szCs w:val="24"/>
              </w:rPr>
              <w:t xml:space="preserve">Sumina Azam, Consultant in Public Health </w:t>
            </w:r>
          </w:p>
          <w:p w14:paraId="43B20A32" w14:textId="5608C55C" w:rsidR="00FA34E9" w:rsidRPr="00345C06" w:rsidRDefault="00FA34E9" w:rsidP="00051E74">
            <w:pPr>
              <w:rPr>
                <w:szCs w:val="24"/>
              </w:rPr>
            </w:pPr>
            <w:r w:rsidRPr="00345C06">
              <w:rPr>
                <w:szCs w:val="24"/>
              </w:rPr>
              <w:t>Mariana Dyakova, Consultant in Public Health</w:t>
            </w:r>
          </w:p>
          <w:p w14:paraId="5F74B8FC" w14:textId="309B3929" w:rsidR="00EE7097" w:rsidRPr="00345C06" w:rsidRDefault="00FA34E9" w:rsidP="00051E74">
            <w:pPr>
              <w:rPr>
                <w:szCs w:val="24"/>
              </w:rPr>
            </w:pPr>
            <w:r w:rsidRPr="00345C06">
              <w:rPr>
                <w:szCs w:val="24"/>
              </w:rPr>
              <w:t>Dr Quentin Sandifer, Executive Director of Public Health Services</w:t>
            </w:r>
          </w:p>
        </w:tc>
      </w:tr>
      <w:tr w:rsidR="00EE7097" w:rsidRPr="00345C06" w14:paraId="5F74B900" w14:textId="77777777" w:rsidTr="005B4E75">
        <w:trPr>
          <w:trHeight w:val="149"/>
        </w:trPr>
        <w:tc>
          <w:tcPr>
            <w:tcW w:w="2802" w:type="dxa"/>
            <w:gridSpan w:val="2"/>
            <w:tcBorders>
              <w:left w:val="nil"/>
              <w:right w:val="nil"/>
            </w:tcBorders>
          </w:tcPr>
          <w:p w14:paraId="5F74B8FE" w14:textId="77777777" w:rsidR="00EE7097" w:rsidRPr="00345C06" w:rsidRDefault="00EE7097">
            <w:pPr>
              <w:rPr>
                <w:b/>
                <w:sz w:val="12"/>
                <w:szCs w:val="12"/>
              </w:rPr>
            </w:pPr>
          </w:p>
        </w:tc>
        <w:tc>
          <w:tcPr>
            <w:tcW w:w="6440" w:type="dxa"/>
            <w:gridSpan w:val="5"/>
            <w:tcBorders>
              <w:left w:val="nil"/>
              <w:right w:val="nil"/>
            </w:tcBorders>
          </w:tcPr>
          <w:p w14:paraId="5F74B8FF" w14:textId="77777777" w:rsidR="00EE7097" w:rsidRPr="00345C06" w:rsidRDefault="00EE7097">
            <w:pPr>
              <w:rPr>
                <w:sz w:val="12"/>
                <w:szCs w:val="12"/>
              </w:rPr>
            </w:pPr>
          </w:p>
        </w:tc>
      </w:tr>
      <w:tr w:rsidR="00EE7097" w:rsidRPr="00345C06" w14:paraId="5F74B903" w14:textId="77777777" w:rsidTr="0013075E">
        <w:tc>
          <w:tcPr>
            <w:tcW w:w="2802" w:type="dxa"/>
            <w:gridSpan w:val="2"/>
          </w:tcPr>
          <w:p w14:paraId="5F74B901" w14:textId="77777777" w:rsidR="00EE7097" w:rsidRPr="00345C06" w:rsidRDefault="00EE7097">
            <w:pPr>
              <w:rPr>
                <w:b/>
                <w:szCs w:val="24"/>
              </w:rPr>
            </w:pPr>
            <w:r w:rsidRPr="00345C06">
              <w:rPr>
                <w:b/>
                <w:szCs w:val="24"/>
              </w:rPr>
              <w:t>Approval/Scrutiny route:</w:t>
            </w:r>
          </w:p>
        </w:tc>
        <w:tc>
          <w:tcPr>
            <w:tcW w:w="6440" w:type="dxa"/>
            <w:gridSpan w:val="5"/>
          </w:tcPr>
          <w:p w14:paraId="5F74B902" w14:textId="6DA1673B" w:rsidR="00EE7097" w:rsidRPr="00345C06" w:rsidRDefault="006460B0" w:rsidP="00CA5841">
            <w:pPr>
              <w:rPr>
                <w:szCs w:val="24"/>
              </w:rPr>
            </w:pPr>
            <w:r>
              <w:rPr>
                <w:szCs w:val="24"/>
              </w:rPr>
              <w:t xml:space="preserve">Business Executive Team – 14 September 2020 </w:t>
            </w:r>
            <w:r w:rsidR="001E5B78" w:rsidRPr="00345C06">
              <w:rPr>
                <w:szCs w:val="24"/>
              </w:rPr>
              <w:t xml:space="preserve"> </w:t>
            </w:r>
          </w:p>
        </w:tc>
      </w:tr>
      <w:tr w:rsidR="006C4A51" w:rsidRPr="00345C06" w14:paraId="5F74B905" w14:textId="77777777" w:rsidTr="005B4E75">
        <w:tc>
          <w:tcPr>
            <w:tcW w:w="9242" w:type="dxa"/>
            <w:gridSpan w:val="7"/>
            <w:tcBorders>
              <w:left w:val="nil"/>
              <w:bottom w:val="single" w:sz="4" w:space="0" w:color="auto"/>
              <w:right w:val="nil"/>
            </w:tcBorders>
          </w:tcPr>
          <w:p w14:paraId="5F74B904" w14:textId="77777777" w:rsidR="006C4A51" w:rsidRPr="00345C06" w:rsidRDefault="006C4A51">
            <w:pPr>
              <w:rPr>
                <w:b/>
                <w:sz w:val="12"/>
                <w:szCs w:val="12"/>
              </w:rPr>
            </w:pPr>
          </w:p>
        </w:tc>
      </w:tr>
      <w:tr w:rsidR="005B4E75" w:rsidRPr="00345C06" w14:paraId="5F74B907" w14:textId="77777777" w:rsidTr="005B4E75">
        <w:tc>
          <w:tcPr>
            <w:tcW w:w="9242" w:type="dxa"/>
            <w:gridSpan w:val="7"/>
            <w:tcBorders>
              <w:left w:val="single" w:sz="4" w:space="0" w:color="auto"/>
              <w:right w:val="single" w:sz="4" w:space="0" w:color="auto"/>
            </w:tcBorders>
          </w:tcPr>
          <w:p w14:paraId="5F74B906" w14:textId="77777777" w:rsidR="005B4E75" w:rsidRPr="00345C06" w:rsidRDefault="005B4E75">
            <w:pPr>
              <w:rPr>
                <w:b/>
                <w:szCs w:val="24"/>
              </w:rPr>
            </w:pPr>
            <w:r w:rsidRPr="00345C06">
              <w:rPr>
                <w:b/>
                <w:szCs w:val="24"/>
              </w:rPr>
              <w:t>Purpose</w:t>
            </w:r>
          </w:p>
        </w:tc>
      </w:tr>
      <w:tr w:rsidR="005B4E75" w:rsidRPr="00345C06" w14:paraId="5F74B90A" w14:textId="77777777" w:rsidTr="005B4E75">
        <w:tc>
          <w:tcPr>
            <w:tcW w:w="9242" w:type="dxa"/>
            <w:gridSpan w:val="7"/>
            <w:tcBorders>
              <w:left w:val="single" w:sz="4" w:space="0" w:color="auto"/>
              <w:right w:val="single" w:sz="4" w:space="0" w:color="auto"/>
            </w:tcBorders>
          </w:tcPr>
          <w:p w14:paraId="5F74B909" w14:textId="04562480" w:rsidR="001E5B78" w:rsidRPr="00345C06" w:rsidRDefault="004025CA" w:rsidP="004025CA">
            <w:pPr>
              <w:pStyle w:val="ListParagraph"/>
              <w:spacing w:after="120" w:line="276" w:lineRule="auto"/>
              <w:ind w:left="0"/>
              <w:jc w:val="both"/>
              <w:rPr>
                <w:color w:val="FF0000"/>
                <w:szCs w:val="24"/>
              </w:rPr>
            </w:pPr>
            <w:r w:rsidRPr="00D127D6">
              <w:rPr>
                <w:szCs w:val="24"/>
              </w:rPr>
              <w:t xml:space="preserve">To </w:t>
            </w:r>
            <w:r>
              <w:rPr>
                <w:rFonts w:cs="Tahoma"/>
                <w:szCs w:val="24"/>
              </w:rPr>
              <w:t xml:space="preserve">provide assurance on </w:t>
            </w:r>
            <w:r w:rsidRPr="00D127D6">
              <w:rPr>
                <w:rFonts w:cs="Tahoma"/>
                <w:szCs w:val="24"/>
              </w:rPr>
              <w:t>Public Health Wales</w:t>
            </w:r>
            <w:r>
              <w:rPr>
                <w:rFonts w:cs="Tahoma"/>
                <w:szCs w:val="24"/>
              </w:rPr>
              <w:t>’</w:t>
            </w:r>
            <w:r w:rsidRPr="00D127D6">
              <w:rPr>
                <w:rFonts w:cs="Tahoma"/>
                <w:szCs w:val="24"/>
              </w:rPr>
              <w:t xml:space="preserve"> </w:t>
            </w:r>
            <w:r>
              <w:rPr>
                <w:rFonts w:cs="Tahoma"/>
                <w:szCs w:val="24"/>
              </w:rPr>
              <w:t>preparations and response</w:t>
            </w:r>
            <w:r w:rsidRPr="00D127D6">
              <w:rPr>
                <w:rFonts w:cs="Tahoma"/>
                <w:szCs w:val="24"/>
              </w:rPr>
              <w:t xml:space="preserve"> to </w:t>
            </w:r>
            <w:r>
              <w:rPr>
                <w:rFonts w:cs="Tahoma"/>
                <w:szCs w:val="24"/>
              </w:rPr>
              <w:t>the ending of the UK</w:t>
            </w:r>
            <w:r w:rsidRPr="00D127D6">
              <w:rPr>
                <w:rFonts w:cs="Tahoma"/>
                <w:szCs w:val="24"/>
              </w:rPr>
              <w:t xml:space="preserve"> transition</w:t>
            </w:r>
            <w:r>
              <w:rPr>
                <w:rFonts w:cs="Tahoma"/>
                <w:szCs w:val="24"/>
              </w:rPr>
              <w:t xml:space="preserve"> period</w:t>
            </w:r>
            <w:r w:rsidR="0097574C">
              <w:rPr>
                <w:rFonts w:cs="Tahoma"/>
                <w:szCs w:val="24"/>
              </w:rPr>
              <w:t xml:space="preserve"> after </w:t>
            </w:r>
            <w:proofErr w:type="spellStart"/>
            <w:r w:rsidR="0097574C">
              <w:rPr>
                <w:rFonts w:cs="Tahoma"/>
                <w:szCs w:val="24"/>
              </w:rPr>
              <w:t>Brexit</w:t>
            </w:r>
            <w:proofErr w:type="spellEnd"/>
            <w:r w:rsidRPr="00D127D6">
              <w:rPr>
                <w:rFonts w:cs="Tahoma"/>
                <w:szCs w:val="24"/>
              </w:rPr>
              <w:t xml:space="preserve">, in the context of </w:t>
            </w:r>
            <w:r>
              <w:rPr>
                <w:rFonts w:cs="Tahoma"/>
                <w:szCs w:val="24"/>
              </w:rPr>
              <w:t>COVID</w:t>
            </w:r>
            <w:r w:rsidRPr="00D127D6">
              <w:rPr>
                <w:rFonts w:cs="Tahoma"/>
                <w:szCs w:val="24"/>
              </w:rPr>
              <w:t>-19 in three key areas of health securities/health protection; policy and evidence; and international health.</w:t>
            </w:r>
            <w:r w:rsidRPr="00D127D6">
              <w:rPr>
                <w:color w:val="FF0000"/>
                <w:szCs w:val="24"/>
              </w:rPr>
              <w:t xml:space="preserve">   </w:t>
            </w:r>
          </w:p>
        </w:tc>
      </w:tr>
      <w:tr w:rsidR="005B4E75" w:rsidRPr="00345C06" w14:paraId="5F74B90C" w14:textId="77777777" w:rsidTr="0000561A">
        <w:tc>
          <w:tcPr>
            <w:tcW w:w="9242" w:type="dxa"/>
            <w:gridSpan w:val="7"/>
            <w:tcBorders>
              <w:left w:val="nil"/>
              <w:right w:val="nil"/>
            </w:tcBorders>
          </w:tcPr>
          <w:p w14:paraId="5F74B90B" w14:textId="77777777" w:rsidR="005B4E75" w:rsidRPr="00345C06" w:rsidRDefault="005B4E75">
            <w:pPr>
              <w:rPr>
                <w:b/>
                <w:sz w:val="12"/>
                <w:szCs w:val="12"/>
              </w:rPr>
            </w:pPr>
          </w:p>
        </w:tc>
      </w:tr>
      <w:tr w:rsidR="00EE7097" w:rsidRPr="00345C06" w14:paraId="5F74B90E" w14:textId="77777777" w:rsidTr="00051E74">
        <w:tc>
          <w:tcPr>
            <w:tcW w:w="9242" w:type="dxa"/>
            <w:gridSpan w:val="7"/>
          </w:tcPr>
          <w:p w14:paraId="5F74B90D" w14:textId="72C58380" w:rsidR="00EE7097" w:rsidRPr="00345C06" w:rsidRDefault="0013075E" w:rsidP="00FA34E9">
            <w:pPr>
              <w:rPr>
                <w:b/>
                <w:szCs w:val="24"/>
              </w:rPr>
            </w:pPr>
            <w:r w:rsidRPr="00345C06">
              <w:rPr>
                <w:b/>
                <w:szCs w:val="24"/>
              </w:rPr>
              <w:t>Recommendation:</w:t>
            </w:r>
            <w:r w:rsidR="00E07F66" w:rsidRPr="00345C06">
              <w:rPr>
                <w:b/>
                <w:szCs w:val="24"/>
              </w:rPr>
              <w:t xml:space="preserve"> </w:t>
            </w:r>
          </w:p>
        </w:tc>
      </w:tr>
      <w:tr w:rsidR="005B4E75" w:rsidRPr="00345C06" w14:paraId="5F74B919" w14:textId="77777777" w:rsidTr="00D34F08">
        <w:tc>
          <w:tcPr>
            <w:tcW w:w="1848" w:type="dxa"/>
            <w:tcBorders>
              <w:bottom w:val="single" w:sz="4" w:space="0" w:color="auto"/>
            </w:tcBorders>
          </w:tcPr>
          <w:p w14:paraId="5F74B90F" w14:textId="77777777" w:rsidR="005B4E75" w:rsidRPr="00345C06" w:rsidRDefault="005B4E75" w:rsidP="00D34F08">
            <w:pPr>
              <w:jc w:val="center"/>
              <w:rPr>
                <w:szCs w:val="24"/>
              </w:rPr>
            </w:pPr>
            <w:r w:rsidRPr="00345C06">
              <w:rPr>
                <w:szCs w:val="24"/>
              </w:rPr>
              <w:t>APPROVE</w:t>
            </w:r>
          </w:p>
          <w:p w14:paraId="5F74B910" w14:textId="28976370" w:rsidR="005B4E75" w:rsidRPr="00345C06" w:rsidRDefault="00D45724" w:rsidP="00D34F08">
            <w:pPr>
              <w:jc w:val="center"/>
              <w:rPr>
                <w:szCs w:val="24"/>
              </w:rPr>
            </w:pPr>
            <w:r>
              <w:rPr>
                <w:szCs w:val="24"/>
              </w:rPr>
              <w:fldChar w:fldCharType="begin">
                <w:ffData>
                  <w:name w:val="Check1"/>
                  <w:enabled/>
                  <w:calcOnExit w:val="0"/>
                  <w:checkBox>
                    <w:sizeAuto/>
                    <w:default w:val="0"/>
                  </w:checkBox>
                </w:ffData>
              </w:fldChar>
            </w:r>
            <w:bookmarkStart w:id="0" w:name="Check1"/>
            <w:r>
              <w:rPr>
                <w:szCs w:val="24"/>
              </w:rPr>
              <w:instrText xml:space="preserve"> FORMCHECKBOX </w:instrText>
            </w:r>
            <w:r w:rsidR="001F0240">
              <w:rPr>
                <w:szCs w:val="24"/>
              </w:rPr>
            </w:r>
            <w:r w:rsidR="001F0240">
              <w:rPr>
                <w:szCs w:val="24"/>
              </w:rPr>
              <w:fldChar w:fldCharType="separate"/>
            </w:r>
            <w:r>
              <w:rPr>
                <w:szCs w:val="24"/>
              </w:rPr>
              <w:fldChar w:fldCharType="end"/>
            </w:r>
            <w:bookmarkEnd w:id="0"/>
          </w:p>
        </w:tc>
        <w:tc>
          <w:tcPr>
            <w:tcW w:w="1848" w:type="dxa"/>
            <w:gridSpan w:val="2"/>
            <w:tcBorders>
              <w:bottom w:val="single" w:sz="4" w:space="0" w:color="auto"/>
            </w:tcBorders>
          </w:tcPr>
          <w:p w14:paraId="5F74B911" w14:textId="77777777" w:rsidR="005B4E75" w:rsidRPr="00345C06" w:rsidRDefault="005B4E75" w:rsidP="00D34F08">
            <w:pPr>
              <w:jc w:val="center"/>
              <w:rPr>
                <w:szCs w:val="24"/>
              </w:rPr>
            </w:pPr>
            <w:r w:rsidRPr="00345C06">
              <w:rPr>
                <w:szCs w:val="24"/>
              </w:rPr>
              <w:t>CONSIDER</w:t>
            </w:r>
          </w:p>
          <w:p w14:paraId="5F74B912" w14:textId="2734DD9A" w:rsidR="005B4E75" w:rsidRPr="00345C06" w:rsidRDefault="00D45724" w:rsidP="00D34F08">
            <w:pPr>
              <w:jc w:val="center"/>
              <w:rPr>
                <w:szCs w:val="24"/>
              </w:rPr>
            </w:pPr>
            <w:r>
              <w:rPr>
                <w:szCs w:val="24"/>
              </w:rPr>
              <w:fldChar w:fldCharType="begin">
                <w:ffData>
                  <w:name w:val="Check2"/>
                  <w:enabled/>
                  <w:calcOnExit w:val="0"/>
                  <w:checkBox>
                    <w:sizeAuto/>
                    <w:default w:val="0"/>
                  </w:checkBox>
                </w:ffData>
              </w:fldChar>
            </w:r>
            <w:bookmarkStart w:id="1" w:name="Check2"/>
            <w:r>
              <w:rPr>
                <w:szCs w:val="24"/>
              </w:rPr>
              <w:instrText xml:space="preserve"> FORMCHECKBOX </w:instrText>
            </w:r>
            <w:r w:rsidR="001F0240">
              <w:rPr>
                <w:szCs w:val="24"/>
              </w:rPr>
            </w:r>
            <w:r w:rsidR="001F0240">
              <w:rPr>
                <w:szCs w:val="24"/>
              </w:rPr>
              <w:fldChar w:fldCharType="separate"/>
            </w:r>
            <w:r>
              <w:rPr>
                <w:szCs w:val="24"/>
              </w:rPr>
              <w:fldChar w:fldCharType="end"/>
            </w:r>
            <w:bookmarkEnd w:id="1"/>
          </w:p>
        </w:tc>
        <w:tc>
          <w:tcPr>
            <w:tcW w:w="1849" w:type="dxa"/>
            <w:gridSpan w:val="2"/>
            <w:tcBorders>
              <w:bottom w:val="single" w:sz="4" w:space="0" w:color="auto"/>
            </w:tcBorders>
          </w:tcPr>
          <w:p w14:paraId="5F74B913" w14:textId="77777777" w:rsidR="005B4E75" w:rsidRPr="00345C06" w:rsidRDefault="005B4E75" w:rsidP="00D34F08">
            <w:pPr>
              <w:jc w:val="center"/>
              <w:rPr>
                <w:szCs w:val="24"/>
              </w:rPr>
            </w:pPr>
            <w:r w:rsidRPr="00345C06">
              <w:rPr>
                <w:szCs w:val="24"/>
              </w:rPr>
              <w:t>RECOMMEND</w:t>
            </w:r>
          </w:p>
          <w:p w14:paraId="5F74B914" w14:textId="77777777" w:rsidR="005B4E75" w:rsidRPr="00345C06" w:rsidRDefault="007F7EA7" w:rsidP="00D34F08">
            <w:pPr>
              <w:jc w:val="center"/>
              <w:rPr>
                <w:szCs w:val="24"/>
              </w:rPr>
            </w:pPr>
            <w:r w:rsidRPr="00345C06">
              <w:rPr>
                <w:szCs w:val="24"/>
              </w:rPr>
              <w:fldChar w:fldCharType="begin">
                <w:ffData>
                  <w:name w:val="Check3"/>
                  <w:enabled/>
                  <w:calcOnExit w:val="0"/>
                  <w:checkBox>
                    <w:sizeAuto/>
                    <w:default w:val="0"/>
                  </w:checkBox>
                </w:ffData>
              </w:fldChar>
            </w:r>
            <w:bookmarkStart w:id="2" w:name="Check3"/>
            <w:r w:rsidR="005B4E75" w:rsidRPr="00345C06">
              <w:rPr>
                <w:szCs w:val="24"/>
              </w:rPr>
              <w:instrText xml:space="preserve"> FORMCHECKBOX </w:instrText>
            </w:r>
            <w:r w:rsidR="001F0240">
              <w:rPr>
                <w:szCs w:val="24"/>
              </w:rPr>
            </w:r>
            <w:r w:rsidR="001F0240">
              <w:rPr>
                <w:szCs w:val="24"/>
              </w:rPr>
              <w:fldChar w:fldCharType="separate"/>
            </w:r>
            <w:r w:rsidRPr="00345C06">
              <w:rPr>
                <w:szCs w:val="24"/>
              </w:rPr>
              <w:fldChar w:fldCharType="end"/>
            </w:r>
            <w:bookmarkEnd w:id="2"/>
          </w:p>
        </w:tc>
        <w:tc>
          <w:tcPr>
            <w:tcW w:w="1848" w:type="dxa"/>
            <w:tcBorders>
              <w:bottom w:val="single" w:sz="4" w:space="0" w:color="auto"/>
            </w:tcBorders>
          </w:tcPr>
          <w:p w14:paraId="5F74B915" w14:textId="77777777" w:rsidR="005B4E75" w:rsidRPr="00345C06" w:rsidRDefault="005B4E75" w:rsidP="00D34F08">
            <w:pPr>
              <w:jc w:val="center"/>
              <w:rPr>
                <w:szCs w:val="24"/>
              </w:rPr>
            </w:pPr>
            <w:r w:rsidRPr="00345C06">
              <w:rPr>
                <w:szCs w:val="24"/>
              </w:rPr>
              <w:t>ADOPT</w:t>
            </w:r>
          </w:p>
          <w:p w14:paraId="5F74B916" w14:textId="77777777" w:rsidR="005B4E75" w:rsidRPr="00345C06" w:rsidRDefault="007F7EA7" w:rsidP="00D34F08">
            <w:pPr>
              <w:jc w:val="center"/>
              <w:rPr>
                <w:szCs w:val="24"/>
              </w:rPr>
            </w:pPr>
            <w:r w:rsidRPr="00345C06">
              <w:rPr>
                <w:szCs w:val="24"/>
              </w:rPr>
              <w:fldChar w:fldCharType="begin">
                <w:ffData>
                  <w:name w:val="Check4"/>
                  <w:enabled/>
                  <w:calcOnExit w:val="0"/>
                  <w:checkBox>
                    <w:sizeAuto/>
                    <w:default w:val="0"/>
                  </w:checkBox>
                </w:ffData>
              </w:fldChar>
            </w:r>
            <w:bookmarkStart w:id="3" w:name="Check4"/>
            <w:r w:rsidR="005B4E75" w:rsidRPr="00345C06">
              <w:rPr>
                <w:szCs w:val="24"/>
              </w:rPr>
              <w:instrText xml:space="preserve"> FORMCHECKBOX </w:instrText>
            </w:r>
            <w:r w:rsidR="001F0240">
              <w:rPr>
                <w:szCs w:val="24"/>
              </w:rPr>
            </w:r>
            <w:r w:rsidR="001F0240">
              <w:rPr>
                <w:szCs w:val="24"/>
              </w:rPr>
              <w:fldChar w:fldCharType="separate"/>
            </w:r>
            <w:r w:rsidRPr="00345C06">
              <w:rPr>
                <w:szCs w:val="24"/>
              </w:rPr>
              <w:fldChar w:fldCharType="end"/>
            </w:r>
            <w:bookmarkEnd w:id="3"/>
          </w:p>
        </w:tc>
        <w:tc>
          <w:tcPr>
            <w:tcW w:w="1849" w:type="dxa"/>
            <w:tcBorders>
              <w:bottom w:val="single" w:sz="4" w:space="0" w:color="auto"/>
            </w:tcBorders>
          </w:tcPr>
          <w:p w14:paraId="5F74B917" w14:textId="77777777" w:rsidR="005B4E75" w:rsidRPr="00345C06" w:rsidRDefault="00141FC5" w:rsidP="00D34F08">
            <w:pPr>
              <w:jc w:val="center"/>
              <w:rPr>
                <w:szCs w:val="24"/>
              </w:rPr>
            </w:pPr>
            <w:r w:rsidRPr="00345C06">
              <w:rPr>
                <w:szCs w:val="24"/>
              </w:rPr>
              <w:t>ASSURANCE</w:t>
            </w:r>
          </w:p>
          <w:p w14:paraId="5F74B918" w14:textId="4D592088" w:rsidR="005B4E75" w:rsidRPr="00345C06" w:rsidRDefault="00D45724" w:rsidP="00D34F08">
            <w:pPr>
              <w:jc w:val="center"/>
              <w:rPr>
                <w:szCs w:val="24"/>
              </w:rPr>
            </w:pPr>
            <w:r>
              <w:rPr>
                <w:szCs w:val="24"/>
              </w:rPr>
              <w:fldChar w:fldCharType="begin">
                <w:ffData>
                  <w:name w:val="Check5"/>
                  <w:enabled/>
                  <w:calcOnExit w:val="0"/>
                  <w:checkBox>
                    <w:sizeAuto/>
                    <w:default w:val="1"/>
                  </w:checkBox>
                </w:ffData>
              </w:fldChar>
            </w:r>
            <w:bookmarkStart w:id="4" w:name="Check5"/>
            <w:r>
              <w:rPr>
                <w:szCs w:val="24"/>
              </w:rPr>
              <w:instrText xml:space="preserve"> FORMCHECKBOX </w:instrText>
            </w:r>
            <w:r w:rsidR="001F0240">
              <w:rPr>
                <w:szCs w:val="24"/>
              </w:rPr>
            </w:r>
            <w:r w:rsidR="001F0240">
              <w:rPr>
                <w:szCs w:val="24"/>
              </w:rPr>
              <w:fldChar w:fldCharType="separate"/>
            </w:r>
            <w:r>
              <w:rPr>
                <w:szCs w:val="24"/>
              </w:rPr>
              <w:fldChar w:fldCharType="end"/>
            </w:r>
            <w:bookmarkEnd w:id="4"/>
          </w:p>
        </w:tc>
      </w:tr>
      <w:tr w:rsidR="00EE7097" w:rsidRPr="00345C06" w14:paraId="5F74B920" w14:textId="77777777" w:rsidTr="00051E74">
        <w:tc>
          <w:tcPr>
            <w:tcW w:w="9242" w:type="dxa"/>
            <w:gridSpan w:val="7"/>
            <w:tcBorders>
              <w:bottom w:val="single" w:sz="4" w:space="0" w:color="auto"/>
            </w:tcBorders>
          </w:tcPr>
          <w:p w14:paraId="5F74B91A" w14:textId="7E1DA6F8" w:rsidR="00EE7097" w:rsidRPr="00345C06" w:rsidRDefault="00EE7097" w:rsidP="007D03B8">
            <w:pPr>
              <w:rPr>
                <w:szCs w:val="24"/>
              </w:rPr>
            </w:pPr>
            <w:r w:rsidRPr="00345C06">
              <w:rPr>
                <w:szCs w:val="24"/>
              </w:rPr>
              <w:t xml:space="preserve">The </w:t>
            </w:r>
            <w:r w:rsidR="007838C9">
              <w:rPr>
                <w:szCs w:val="24"/>
              </w:rPr>
              <w:t>Board</w:t>
            </w:r>
            <w:r w:rsidRPr="00345C06">
              <w:rPr>
                <w:szCs w:val="24"/>
              </w:rPr>
              <w:t xml:space="preserve"> is asked to: </w:t>
            </w:r>
          </w:p>
          <w:p w14:paraId="10696E89" w14:textId="31E360DC" w:rsidR="004025CA" w:rsidRPr="00D127D6" w:rsidRDefault="004025CA" w:rsidP="004025CA">
            <w:pPr>
              <w:pStyle w:val="ListParagraph"/>
              <w:numPr>
                <w:ilvl w:val="0"/>
                <w:numId w:val="30"/>
              </w:numPr>
              <w:spacing w:after="120" w:line="276" w:lineRule="auto"/>
              <w:jc w:val="both"/>
              <w:rPr>
                <w:rFonts w:cs="Tahoma"/>
                <w:szCs w:val="24"/>
              </w:rPr>
            </w:pPr>
            <w:r>
              <w:rPr>
                <w:rFonts w:cs="Tahoma"/>
                <w:szCs w:val="24"/>
              </w:rPr>
              <w:t xml:space="preserve">Receive </w:t>
            </w:r>
            <w:r w:rsidRPr="001F0240">
              <w:rPr>
                <w:rFonts w:cs="Tahoma"/>
                <w:b/>
                <w:szCs w:val="24"/>
              </w:rPr>
              <w:t>assurance</w:t>
            </w:r>
            <w:r>
              <w:rPr>
                <w:rFonts w:cs="Tahoma"/>
                <w:szCs w:val="24"/>
              </w:rPr>
              <w:t xml:space="preserve"> on </w:t>
            </w:r>
            <w:r w:rsidRPr="00D127D6">
              <w:rPr>
                <w:rFonts w:cs="Tahoma"/>
                <w:szCs w:val="24"/>
              </w:rPr>
              <w:t>Public Health Wales</w:t>
            </w:r>
            <w:r>
              <w:rPr>
                <w:rFonts w:cs="Tahoma"/>
                <w:szCs w:val="24"/>
              </w:rPr>
              <w:t>’</w:t>
            </w:r>
            <w:r w:rsidRPr="00D127D6">
              <w:rPr>
                <w:rFonts w:cs="Tahoma"/>
                <w:szCs w:val="24"/>
              </w:rPr>
              <w:t xml:space="preserve"> </w:t>
            </w:r>
            <w:r>
              <w:rPr>
                <w:rFonts w:cs="Tahoma"/>
                <w:szCs w:val="24"/>
              </w:rPr>
              <w:t xml:space="preserve">preparations and </w:t>
            </w:r>
            <w:r w:rsidRPr="00D127D6">
              <w:rPr>
                <w:rFonts w:cs="Tahoma"/>
                <w:szCs w:val="24"/>
              </w:rPr>
              <w:t xml:space="preserve">response to </w:t>
            </w:r>
            <w:r>
              <w:rPr>
                <w:rFonts w:cs="Tahoma"/>
                <w:szCs w:val="24"/>
              </w:rPr>
              <w:t xml:space="preserve">the ending of the UK </w:t>
            </w:r>
            <w:r w:rsidRPr="00D127D6">
              <w:rPr>
                <w:rFonts w:cs="Tahoma"/>
                <w:szCs w:val="24"/>
              </w:rPr>
              <w:t>transition</w:t>
            </w:r>
            <w:r w:rsidR="00D02E95">
              <w:rPr>
                <w:rFonts w:cs="Tahoma"/>
                <w:szCs w:val="24"/>
              </w:rPr>
              <w:t xml:space="preserve"> period after </w:t>
            </w:r>
            <w:proofErr w:type="spellStart"/>
            <w:r w:rsidR="00D02E95">
              <w:rPr>
                <w:rFonts w:cs="Tahoma"/>
                <w:szCs w:val="24"/>
              </w:rPr>
              <w:t>Brexit</w:t>
            </w:r>
            <w:proofErr w:type="spellEnd"/>
            <w:r>
              <w:rPr>
                <w:rFonts w:cs="Tahoma"/>
                <w:szCs w:val="24"/>
              </w:rPr>
              <w:t xml:space="preserve"> </w:t>
            </w:r>
            <w:r w:rsidRPr="00D127D6">
              <w:rPr>
                <w:rFonts w:cs="Tahoma"/>
                <w:szCs w:val="24"/>
              </w:rPr>
              <w:t>in three key areas of health securities/health protection; policy and evidence; and international health.</w:t>
            </w:r>
            <w:r w:rsidRPr="00D127D6">
              <w:rPr>
                <w:color w:val="FF0000"/>
                <w:szCs w:val="24"/>
              </w:rPr>
              <w:t xml:space="preserve">  </w:t>
            </w:r>
          </w:p>
          <w:p w14:paraId="5F74B91F" w14:textId="77777777" w:rsidR="00916053" w:rsidRPr="00345C06" w:rsidRDefault="00916053" w:rsidP="00FA34E9">
            <w:pPr>
              <w:pStyle w:val="ListParagraph"/>
              <w:ind w:left="851"/>
              <w:rPr>
                <w:szCs w:val="24"/>
              </w:rPr>
            </w:pPr>
          </w:p>
        </w:tc>
      </w:tr>
    </w:tbl>
    <w:p w14:paraId="5F74B921" w14:textId="77777777" w:rsidR="00916053" w:rsidRPr="00345C06" w:rsidRDefault="00916053">
      <w:r w:rsidRPr="00345C06">
        <w:br w:type="page"/>
      </w:r>
    </w:p>
    <w:tbl>
      <w:tblPr>
        <w:tblStyle w:val="TableGrid"/>
        <w:tblW w:w="0" w:type="auto"/>
        <w:tblLook w:val="04A0" w:firstRow="1" w:lastRow="0" w:firstColumn="1" w:lastColumn="0" w:noHBand="0" w:noVBand="1"/>
      </w:tblPr>
      <w:tblGrid>
        <w:gridCol w:w="3192"/>
        <w:gridCol w:w="5834"/>
      </w:tblGrid>
      <w:tr w:rsidR="00D713DC" w:rsidRPr="00345C06" w14:paraId="5F74B923" w14:textId="77777777" w:rsidTr="00480353">
        <w:tc>
          <w:tcPr>
            <w:tcW w:w="9026" w:type="dxa"/>
            <w:gridSpan w:val="2"/>
            <w:tcBorders>
              <w:left w:val="nil"/>
              <w:right w:val="nil"/>
            </w:tcBorders>
            <w:shd w:val="clear" w:color="auto" w:fill="auto"/>
          </w:tcPr>
          <w:p w14:paraId="5F74B922" w14:textId="77777777" w:rsidR="00D713DC" w:rsidRPr="00345C06" w:rsidRDefault="00D713DC">
            <w:pPr>
              <w:rPr>
                <w:b/>
                <w:sz w:val="12"/>
                <w:szCs w:val="12"/>
              </w:rPr>
            </w:pPr>
          </w:p>
        </w:tc>
      </w:tr>
      <w:tr w:rsidR="00EE7097" w:rsidRPr="00345C06" w14:paraId="5F74B929" w14:textId="77777777" w:rsidTr="00480353">
        <w:tc>
          <w:tcPr>
            <w:tcW w:w="9026" w:type="dxa"/>
            <w:gridSpan w:val="2"/>
            <w:shd w:val="clear" w:color="auto" w:fill="F2F2F2" w:themeFill="background1" w:themeFillShade="F2"/>
          </w:tcPr>
          <w:p w14:paraId="5F74B924" w14:textId="77777777" w:rsidR="00EE7097" w:rsidRPr="00345C06" w:rsidRDefault="00EE7097" w:rsidP="00680248">
            <w:pPr>
              <w:rPr>
                <w:szCs w:val="24"/>
              </w:rPr>
            </w:pPr>
            <w:r w:rsidRPr="00345C06">
              <w:rPr>
                <w:b/>
                <w:szCs w:val="24"/>
              </w:rPr>
              <w:t xml:space="preserve">Link to Public Health Wales </w:t>
            </w:r>
            <w:hyperlink r:id="rId13" w:history="1">
              <w:r w:rsidRPr="00345C06">
                <w:rPr>
                  <w:rStyle w:val="Hyperlink"/>
                  <w:b/>
                  <w:szCs w:val="24"/>
                </w:rPr>
                <w:t>Strategic Plan</w:t>
              </w:r>
            </w:hyperlink>
          </w:p>
          <w:p w14:paraId="5F74B925" w14:textId="77777777" w:rsidR="00EE7097" w:rsidRPr="00345C06" w:rsidRDefault="00EE7097" w:rsidP="00680248">
            <w:pPr>
              <w:rPr>
                <w:szCs w:val="24"/>
              </w:rPr>
            </w:pPr>
          </w:p>
          <w:p w14:paraId="5F74B926" w14:textId="77777777" w:rsidR="0013075E" w:rsidRPr="00345C06" w:rsidRDefault="00B52B29" w:rsidP="00EE7097">
            <w:pPr>
              <w:rPr>
                <w:szCs w:val="24"/>
              </w:rPr>
            </w:pPr>
            <w:r w:rsidRPr="00345C06">
              <w:rPr>
                <w:szCs w:val="24"/>
              </w:rPr>
              <w:t xml:space="preserve">Public Health Wales has an agreed strategic plan, which has identified seven strategic priorities and well-being objectives.  </w:t>
            </w:r>
          </w:p>
          <w:p w14:paraId="5F74B927" w14:textId="77777777" w:rsidR="00B52B29" w:rsidRPr="00345C06" w:rsidRDefault="00B52B29" w:rsidP="00EE7097">
            <w:pPr>
              <w:rPr>
                <w:bCs/>
                <w:szCs w:val="24"/>
              </w:rPr>
            </w:pPr>
          </w:p>
          <w:p w14:paraId="5F74B928" w14:textId="77777777" w:rsidR="00EE7097" w:rsidRPr="00345C06" w:rsidRDefault="00EE7097" w:rsidP="00EE7097">
            <w:pPr>
              <w:rPr>
                <w:szCs w:val="24"/>
              </w:rPr>
            </w:pPr>
            <w:r w:rsidRPr="00345C06">
              <w:rPr>
                <w:szCs w:val="24"/>
              </w:rPr>
              <w:t>This report contributes to the following:</w:t>
            </w:r>
          </w:p>
        </w:tc>
      </w:tr>
      <w:tr w:rsidR="00EE7097" w:rsidRPr="00345C06" w14:paraId="5F74B92C" w14:textId="77777777" w:rsidTr="00480353">
        <w:tc>
          <w:tcPr>
            <w:tcW w:w="3192" w:type="dxa"/>
            <w:shd w:val="clear" w:color="auto" w:fill="auto"/>
          </w:tcPr>
          <w:p w14:paraId="5F74B92A" w14:textId="77777777" w:rsidR="00EE7097" w:rsidRPr="00345C06" w:rsidRDefault="00B52B29" w:rsidP="00B52B29">
            <w:pPr>
              <w:rPr>
                <w:b/>
                <w:szCs w:val="24"/>
              </w:rPr>
            </w:pPr>
            <w:r w:rsidRPr="00345C06">
              <w:rPr>
                <w:b/>
                <w:szCs w:val="24"/>
              </w:rPr>
              <w:t>Strategic Priority/Well-being Objective</w:t>
            </w:r>
          </w:p>
        </w:tc>
        <w:tc>
          <w:tcPr>
            <w:tcW w:w="5834" w:type="dxa"/>
            <w:shd w:val="clear" w:color="auto" w:fill="auto"/>
          </w:tcPr>
          <w:p w14:paraId="5F74B92B" w14:textId="6D1903E3" w:rsidR="00EE7097" w:rsidRPr="00345C06" w:rsidRDefault="001F0240"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FA34E9" w:rsidRPr="00345C06">
                  <w:rPr>
                    <w:rStyle w:val="Dropdown"/>
                  </w:rPr>
                  <w:t>5 - Protecting the public from infection and environmental threats to health</w:t>
                </w:r>
              </w:sdtContent>
            </w:sdt>
          </w:p>
        </w:tc>
      </w:tr>
      <w:tr w:rsidR="005D5FC4" w:rsidRPr="00345C06" w14:paraId="5F74B92F" w14:textId="77777777" w:rsidTr="00480353">
        <w:tc>
          <w:tcPr>
            <w:tcW w:w="3192" w:type="dxa"/>
            <w:shd w:val="clear" w:color="auto" w:fill="auto"/>
          </w:tcPr>
          <w:p w14:paraId="5F74B92D" w14:textId="77777777" w:rsidR="005D5FC4" w:rsidRPr="00345C06" w:rsidRDefault="005D5FC4" w:rsidP="005D5FC4">
            <w:pPr>
              <w:rPr>
                <w:b/>
                <w:szCs w:val="24"/>
              </w:rPr>
            </w:pPr>
            <w:r w:rsidRPr="00345C06">
              <w:rPr>
                <w:b/>
                <w:szCs w:val="24"/>
              </w:rPr>
              <w:t>Strategic Priority/Well-being Objective</w:t>
            </w:r>
          </w:p>
        </w:tc>
        <w:tc>
          <w:tcPr>
            <w:tcW w:w="5834" w:type="dxa"/>
            <w:shd w:val="clear" w:color="auto" w:fill="auto"/>
          </w:tcPr>
          <w:p w14:paraId="5F74B92E" w14:textId="4ED2FB6E" w:rsidR="005D5FC4" w:rsidRPr="00345C06" w:rsidRDefault="001F0240" w:rsidP="005D5FC4">
            <w:pPr>
              <w:rPr>
                <w:szCs w:val="24"/>
              </w:rPr>
            </w:pPr>
            <w:sdt>
              <w:sdtPr>
                <w:rPr>
                  <w:rStyle w:val="Dropdown"/>
                </w:rPr>
                <w:alias w:val="Strategic Objective"/>
                <w:tag w:val="Strategic Objective"/>
                <w:id w:val="-973981063"/>
                <w:placeholder>
                  <w:docPart w:val="E19A39A2DC34427782303866B501EF52"/>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FA34E9" w:rsidRPr="00345C06">
                  <w:rPr>
                    <w:rStyle w:val="Dropdown"/>
                  </w:rPr>
                  <w:t>1 - Influencing the wider determinants of health</w:t>
                </w:r>
              </w:sdtContent>
            </w:sdt>
          </w:p>
        </w:tc>
      </w:tr>
      <w:tr w:rsidR="005D5FC4" w:rsidRPr="00345C06" w14:paraId="5F74B932" w14:textId="77777777" w:rsidTr="00480353">
        <w:tc>
          <w:tcPr>
            <w:tcW w:w="3192" w:type="dxa"/>
            <w:tcBorders>
              <w:bottom w:val="single" w:sz="4" w:space="0" w:color="auto"/>
            </w:tcBorders>
            <w:shd w:val="clear" w:color="auto" w:fill="auto"/>
          </w:tcPr>
          <w:p w14:paraId="5F74B930" w14:textId="77777777" w:rsidR="005D5FC4" w:rsidRPr="00345C06" w:rsidRDefault="005D5FC4" w:rsidP="005D5FC4">
            <w:pPr>
              <w:rPr>
                <w:b/>
                <w:szCs w:val="24"/>
              </w:rPr>
            </w:pPr>
            <w:r w:rsidRPr="00345C06">
              <w:rPr>
                <w:b/>
                <w:szCs w:val="24"/>
              </w:rPr>
              <w:t>Strategic Priority/Well-being Objective</w:t>
            </w:r>
          </w:p>
        </w:tc>
        <w:tc>
          <w:tcPr>
            <w:tcW w:w="5834" w:type="dxa"/>
            <w:tcBorders>
              <w:bottom w:val="single" w:sz="4" w:space="0" w:color="auto"/>
            </w:tcBorders>
            <w:shd w:val="clear" w:color="auto" w:fill="auto"/>
          </w:tcPr>
          <w:p w14:paraId="5F74B931" w14:textId="0BA36A3E" w:rsidR="005D5FC4" w:rsidRPr="00345C06" w:rsidRDefault="001F0240" w:rsidP="005D5FC4">
            <w:pPr>
              <w:rPr>
                <w:szCs w:val="24"/>
              </w:rPr>
            </w:pPr>
            <w:sdt>
              <w:sdtPr>
                <w:rPr>
                  <w:rStyle w:val="Dropdown"/>
                </w:rPr>
                <w:alias w:val="Strategic Objective"/>
                <w:tag w:val="Strategic Objective"/>
                <w:id w:val="-693302159"/>
                <w:placeholder>
                  <w:docPart w:val="4037A60F381647269327C3491F818BF7"/>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FA34E9" w:rsidRPr="00345C06">
                  <w:rPr>
                    <w:rStyle w:val="Dropdown"/>
                  </w:rPr>
                  <w:t>7 - Building and mobilising knowledge and skills to improve health and well-being across Wales</w:t>
                </w:r>
              </w:sdtContent>
            </w:sdt>
          </w:p>
        </w:tc>
      </w:tr>
      <w:tr w:rsidR="00EE7097" w:rsidRPr="00345C06" w14:paraId="5F74B934" w14:textId="77777777" w:rsidTr="00480353">
        <w:tc>
          <w:tcPr>
            <w:tcW w:w="9026" w:type="dxa"/>
            <w:gridSpan w:val="2"/>
            <w:tcBorders>
              <w:left w:val="nil"/>
              <w:right w:val="nil"/>
            </w:tcBorders>
            <w:shd w:val="clear" w:color="auto" w:fill="auto"/>
          </w:tcPr>
          <w:p w14:paraId="5F74B933" w14:textId="77777777" w:rsidR="00EE7097" w:rsidRPr="00345C06" w:rsidRDefault="00EE7097" w:rsidP="00211B9D">
            <w:pPr>
              <w:rPr>
                <w:b/>
                <w:sz w:val="12"/>
                <w:szCs w:val="12"/>
              </w:rPr>
            </w:pPr>
          </w:p>
        </w:tc>
      </w:tr>
      <w:tr w:rsidR="00EE7097" w:rsidRPr="00345C06" w14:paraId="5F74B937" w14:textId="77777777" w:rsidTr="00480353">
        <w:tc>
          <w:tcPr>
            <w:tcW w:w="9026" w:type="dxa"/>
            <w:gridSpan w:val="2"/>
            <w:shd w:val="clear" w:color="auto" w:fill="F2F2F2" w:themeFill="background1" w:themeFillShade="F2"/>
          </w:tcPr>
          <w:p w14:paraId="5F74B935" w14:textId="77777777" w:rsidR="00EE7097" w:rsidRPr="00345C06" w:rsidRDefault="00EE7097" w:rsidP="00211B9D">
            <w:pPr>
              <w:rPr>
                <w:i/>
                <w:color w:val="FF0000"/>
                <w:szCs w:val="24"/>
              </w:rPr>
            </w:pPr>
            <w:r w:rsidRPr="00345C06">
              <w:rPr>
                <w:b/>
                <w:szCs w:val="24"/>
              </w:rPr>
              <w:t xml:space="preserve">Summary impact analysis </w:t>
            </w:r>
            <w:r w:rsidRPr="00345C06">
              <w:rPr>
                <w:i/>
                <w:color w:val="FF0000"/>
                <w:szCs w:val="24"/>
              </w:rPr>
              <w:t xml:space="preserve"> </w:t>
            </w:r>
          </w:p>
          <w:p w14:paraId="5F74B936" w14:textId="77777777" w:rsidR="00EE7097" w:rsidRPr="00345C06" w:rsidRDefault="00EE7097" w:rsidP="00CA5841">
            <w:pPr>
              <w:rPr>
                <w:color w:val="FF0000"/>
                <w:szCs w:val="24"/>
              </w:rPr>
            </w:pPr>
          </w:p>
        </w:tc>
      </w:tr>
      <w:tr w:rsidR="00EE7097" w:rsidRPr="00345C06" w14:paraId="5F74B93E" w14:textId="77777777" w:rsidTr="00480353">
        <w:tc>
          <w:tcPr>
            <w:tcW w:w="3192" w:type="dxa"/>
          </w:tcPr>
          <w:p w14:paraId="5F74B938" w14:textId="77777777" w:rsidR="00EE7097" w:rsidRPr="00345C06" w:rsidRDefault="00EE7097" w:rsidP="00097ACD">
            <w:pPr>
              <w:rPr>
                <w:b/>
                <w:szCs w:val="24"/>
              </w:rPr>
            </w:pPr>
            <w:r w:rsidRPr="00345C06">
              <w:rPr>
                <w:b/>
                <w:szCs w:val="24"/>
              </w:rPr>
              <w:t>Equality and Health Impact Assessment</w:t>
            </w:r>
          </w:p>
        </w:tc>
        <w:tc>
          <w:tcPr>
            <w:tcW w:w="5834" w:type="dxa"/>
          </w:tcPr>
          <w:p w14:paraId="5F74B93D" w14:textId="4C66ED17" w:rsidR="00EE7097" w:rsidRPr="00345C06" w:rsidRDefault="00FA34E9" w:rsidP="00F35656">
            <w:pPr>
              <w:rPr>
                <w:i/>
                <w:color w:val="FF0000"/>
                <w:szCs w:val="24"/>
              </w:rPr>
            </w:pPr>
            <w:r w:rsidRPr="00345C06">
              <w:rPr>
                <w:szCs w:val="24"/>
              </w:rPr>
              <w:t xml:space="preserve">An Equality and Health Impact Assessment has not been undertaken for this paper as the contents are based on the findings of a series of Health Impact Assessments on </w:t>
            </w:r>
            <w:proofErr w:type="spellStart"/>
            <w:r w:rsidRPr="00345C06">
              <w:rPr>
                <w:szCs w:val="24"/>
              </w:rPr>
              <w:t>Brexit</w:t>
            </w:r>
            <w:proofErr w:type="spellEnd"/>
            <w:r w:rsidRPr="00345C06">
              <w:rPr>
                <w:szCs w:val="24"/>
              </w:rPr>
              <w:t xml:space="preserve"> and </w:t>
            </w:r>
            <w:r w:rsidR="00F35656">
              <w:rPr>
                <w:szCs w:val="24"/>
              </w:rPr>
              <w:t>COVID</w:t>
            </w:r>
            <w:r w:rsidRPr="00345C06">
              <w:rPr>
                <w:szCs w:val="24"/>
              </w:rPr>
              <w:t>-19</w:t>
            </w:r>
          </w:p>
        </w:tc>
      </w:tr>
      <w:tr w:rsidR="003A3414" w:rsidRPr="00345C06" w14:paraId="5F74B941" w14:textId="77777777" w:rsidTr="00480353">
        <w:tc>
          <w:tcPr>
            <w:tcW w:w="3192" w:type="dxa"/>
          </w:tcPr>
          <w:p w14:paraId="5F74B93F" w14:textId="77777777" w:rsidR="003A3414" w:rsidRPr="00345C06" w:rsidRDefault="003A3414">
            <w:pPr>
              <w:rPr>
                <w:b/>
                <w:szCs w:val="24"/>
              </w:rPr>
            </w:pPr>
            <w:r w:rsidRPr="00345C06">
              <w:rPr>
                <w:b/>
                <w:szCs w:val="24"/>
              </w:rPr>
              <w:t>Risk and Assurance</w:t>
            </w:r>
          </w:p>
        </w:tc>
        <w:tc>
          <w:tcPr>
            <w:tcW w:w="5834" w:type="dxa"/>
            <w:tcBorders>
              <w:bottom w:val="single" w:sz="4" w:space="0" w:color="auto"/>
            </w:tcBorders>
          </w:tcPr>
          <w:p w14:paraId="5F74B940" w14:textId="34644C28" w:rsidR="003A3414" w:rsidRPr="00862227" w:rsidRDefault="00862227" w:rsidP="003A3414">
            <w:pPr>
              <w:rPr>
                <w:szCs w:val="24"/>
              </w:rPr>
            </w:pPr>
            <w:proofErr w:type="spellStart"/>
            <w:r w:rsidRPr="00862227">
              <w:rPr>
                <w:szCs w:val="24"/>
              </w:rPr>
              <w:t>Brexit</w:t>
            </w:r>
            <w:proofErr w:type="spellEnd"/>
            <w:r w:rsidRPr="00862227">
              <w:rPr>
                <w:szCs w:val="24"/>
              </w:rPr>
              <w:t xml:space="preserve"> has been on the Corporate Risk Register and is recognised as a strategic risk to population wellbeing</w:t>
            </w:r>
          </w:p>
        </w:tc>
      </w:tr>
      <w:tr w:rsidR="00EE7097" w:rsidRPr="00345C06" w14:paraId="5F74B944" w14:textId="77777777" w:rsidTr="00480353">
        <w:trPr>
          <w:trHeight w:val="1030"/>
        </w:trPr>
        <w:tc>
          <w:tcPr>
            <w:tcW w:w="3192" w:type="dxa"/>
            <w:vMerge w:val="restart"/>
          </w:tcPr>
          <w:p w14:paraId="5F74B942" w14:textId="77777777" w:rsidR="00EE7097" w:rsidRPr="00345C06" w:rsidRDefault="00EE7097">
            <w:pPr>
              <w:rPr>
                <w:b/>
                <w:szCs w:val="24"/>
              </w:rPr>
            </w:pPr>
            <w:r w:rsidRPr="00345C06">
              <w:rPr>
                <w:b/>
                <w:szCs w:val="24"/>
              </w:rPr>
              <w:t>Health and Care Standards</w:t>
            </w:r>
          </w:p>
        </w:tc>
        <w:tc>
          <w:tcPr>
            <w:tcW w:w="5834" w:type="dxa"/>
            <w:tcBorders>
              <w:bottom w:val="nil"/>
            </w:tcBorders>
          </w:tcPr>
          <w:p w14:paraId="5F74B943" w14:textId="77777777" w:rsidR="00EE7097" w:rsidRPr="00345C06" w:rsidRDefault="00EE7097" w:rsidP="00126327">
            <w:pPr>
              <w:rPr>
                <w:szCs w:val="24"/>
              </w:rPr>
            </w:pPr>
            <w:r w:rsidRPr="00345C06">
              <w:rPr>
                <w:szCs w:val="24"/>
              </w:rPr>
              <w:t xml:space="preserve">This report supports and/or takes into account the </w:t>
            </w:r>
            <w:hyperlink r:id="rId14" w:history="1">
              <w:r w:rsidRPr="00345C06">
                <w:rPr>
                  <w:rStyle w:val="Hyperlink"/>
                  <w:color w:val="0000FF"/>
                  <w:szCs w:val="24"/>
                </w:rPr>
                <w:t>Health and Care Standards for NHS Wales</w:t>
              </w:r>
            </w:hyperlink>
            <w:r w:rsidRPr="00345C06">
              <w:rPr>
                <w:szCs w:val="24"/>
              </w:rPr>
              <w:t xml:space="preserve"> Quality Themes</w:t>
            </w:r>
            <w:r w:rsidRPr="00345C06">
              <w:rPr>
                <w:i/>
                <w:color w:val="FF0000"/>
                <w:szCs w:val="24"/>
              </w:rPr>
              <w:t xml:space="preserve"> </w:t>
            </w:r>
          </w:p>
        </w:tc>
      </w:tr>
      <w:tr w:rsidR="00E263D4" w:rsidRPr="00345C06" w14:paraId="5F74B947" w14:textId="77777777" w:rsidTr="00480353">
        <w:trPr>
          <w:trHeight w:val="281"/>
        </w:trPr>
        <w:tc>
          <w:tcPr>
            <w:tcW w:w="3192" w:type="dxa"/>
            <w:vMerge/>
          </w:tcPr>
          <w:p w14:paraId="5F74B945" w14:textId="77777777" w:rsidR="00E263D4" w:rsidRPr="00345C06"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5F74B946" w14:textId="688514DD" w:rsidR="00E263D4" w:rsidRPr="00345C06" w:rsidRDefault="006E1B45" w:rsidP="00E263D4">
                <w:pPr>
                  <w:ind w:left="436"/>
                  <w:rPr>
                    <w:szCs w:val="24"/>
                  </w:rPr>
                </w:pPr>
                <w:r w:rsidRPr="00345C06">
                  <w:rPr>
                    <w:rStyle w:val="Dropdown"/>
                  </w:rPr>
                  <w:t>Theme 2 - Safe Care</w:t>
                </w:r>
              </w:p>
            </w:sdtContent>
          </w:sdt>
        </w:tc>
      </w:tr>
      <w:tr w:rsidR="00EE7097" w:rsidRPr="00345C06" w14:paraId="5F74B94A" w14:textId="77777777" w:rsidTr="00480353">
        <w:trPr>
          <w:trHeight w:val="277"/>
        </w:trPr>
        <w:tc>
          <w:tcPr>
            <w:tcW w:w="3192" w:type="dxa"/>
            <w:vMerge/>
          </w:tcPr>
          <w:p w14:paraId="5F74B948" w14:textId="77777777" w:rsidR="00EE7097" w:rsidRPr="00345C06" w:rsidRDefault="00EE7097">
            <w:pPr>
              <w:rPr>
                <w:b/>
                <w:szCs w:val="24"/>
              </w:rPr>
            </w:pPr>
          </w:p>
        </w:tc>
        <w:tc>
          <w:tcPr>
            <w:tcW w:w="5834" w:type="dxa"/>
            <w:tcBorders>
              <w:top w:val="nil"/>
              <w:bottom w:val="nil"/>
            </w:tcBorders>
          </w:tcPr>
          <w:sdt>
            <w:sdtPr>
              <w:rPr>
                <w:rStyle w:val="Dropdown"/>
              </w:rPr>
              <w:alias w:val="Health and Care Standards"/>
              <w:tag w:val="Health and Care Standards"/>
              <w:id w:val="1886576"/>
              <w:placeholder>
                <w:docPart w:val="9B8CED89FE6E489186EB32EA798E74F5"/>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5F74B949" w14:textId="129E92E5" w:rsidR="00EE7097" w:rsidRPr="00345C06" w:rsidRDefault="006E1B45" w:rsidP="00BA3E2A">
                <w:pPr>
                  <w:ind w:left="436"/>
                  <w:rPr>
                    <w:szCs w:val="24"/>
                  </w:rPr>
                </w:pPr>
                <w:r w:rsidRPr="00345C06">
                  <w:rPr>
                    <w:rStyle w:val="Dropdown"/>
                  </w:rPr>
                  <w:t>Theme 3 - Effective Care</w:t>
                </w:r>
              </w:p>
            </w:sdtContent>
          </w:sdt>
        </w:tc>
      </w:tr>
      <w:tr w:rsidR="00EE7097" w:rsidRPr="00345C06" w14:paraId="5F74B94D" w14:textId="77777777" w:rsidTr="00480353">
        <w:trPr>
          <w:trHeight w:val="353"/>
        </w:trPr>
        <w:tc>
          <w:tcPr>
            <w:tcW w:w="3192" w:type="dxa"/>
            <w:vMerge/>
          </w:tcPr>
          <w:p w14:paraId="5F74B94B" w14:textId="77777777" w:rsidR="00EE7097" w:rsidRPr="00345C06" w:rsidRDefault="00EE7097">
            <w:pPr>
              <w:rPr>
                <w:b/>
                <w:szCs w:val="24"/>
              </w:rPr>
            </w:pPr>
          </w:p>
        </w:tc>
        <w:tc>
          <w:tcPr>
            <w:tcW w:w="5834" w:type="dxa"/>
            <w:tcBorders>
              <w:top w:val="nil"/>
            </w:tcBorders>
          </w:tcPr>
          <w:sdt>
            <w:sdtPr>
              <w:rPr>
                <w:rStyle w:val="Dropdown"/>
              </w:rPr>
              <w:alias w:val="Health and Care Standards"/>
              <w:tag w:val="Health and Care Standards"/>
              <w:id w:val="1886578"/>
              <w:placeholder>
                <w:docPart w:val="19A444ACBEA34578BA0CB31422DD2377"/>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5F74B94C" w14:textId="1D6BBA7B" w:rsidR="00EE7097" w:rsidRPr="00345C06" w:rsidRDefault="006E1B45" w:rsidP="00BA3E2A">
                <w:pPr>
                  <w:ind w:left="436"/>
                  <w:rPr>
                    <w:szCs w:val="24"/>
                  </w:rPr>
                </w:pPr>
                <w:r w:rsidRPr="00345C06">
                  <w:rPr>
                    <w:rStyle w:val="Dropdown"/>
                  </w:rPr>
                  <w:t>Theme 1 - Staying Healthy</w:t>
                </w:r>
              </w:p>
            </w:sdtContent>
          </w:sdt>
        </w:tc>
      </w:tr>
      <w:tr w:rsidR="00EE7097" w:rsidRPr="00345C06" w14:paraId="5F74B950" w14:textId="77777777" w:rsidTr="00480353">
        <w:tc>
          <w:tcPr>
            <w:tcW w:w="3192" w:type="dxa"/>
          </w:tcPr>
          <w:p w14:paraId="5F74B94E" w14:textId="77777777" w:rsidR="00EE7097" w:rsidRPr="00345C06" w:rsidRDefault="00EE7097">
            <w:pPr>
              <w:rPr>
                <w:b/>
                <w:szCs w:val="24"/>
              </w:rPr>
            </w:pPr>
            <w:r w:rsidRPr="00345C06">
              <w:rPr>
                <w:b/>
                <w:szCs w:val="24"/>
              </w:rPr>
              <w:t>Financial implications</w:t>
            </w:r>
          </w:p>
        </w:tc>
        <w:tc>
          <w:tcPr>
            <w:tcW w:w="5834" w:type="dxa"/>
          </w:tcPr>
          <w:p w14:paraId="5F74B94F" w14:textId="40750CDD" w:rsidR="00EE7097" w:rsidRPr="00345C06" w:rsidRDefault="00862227" w:rsidP="00F35656">
            <w:pPr>
              <w:rPr>
                <w:szCs w:val="24"/>
              </w:rPr>
            </w:pPr>
            <w:r w:rsidRPr="00862227">
              <w:rPr>
                <w:szCs w:val="24"/>
              </w:rPr>
              <w:t>Some proposed activities may have additional financial implications</w:t>
            </w:r>
            <w:r w:rsidR="00F35656">
              <w:rPr>
                <w:szCs w:val="24"/>
              </w:rPr>
              <w:t>;</w:t>
            </w:r>
            <w:r w:rsidRPr="00862227">
              <w:rPr>
                <w:szCs w:val="24"/>
              </w:rPr>
              <w:t xml:space="preserve"> activi</w:t>
            </w:r>
            <w:r w:rsidR="00F35656">
              <w:rPr>
                <w:szCs w:val="24"/>
              </w:rPr>
              <w:t xml:space="preserve">ty </w:t>
            </w:r>
            <w:r w:rsidRPr="00862227">
              <w:rPr>
                <w:szCs w:val="24"/>
              </w:rPr>
              <w:t xml:space="preserve">can be adjusted to resources available.  </w:t>
            </w:r>
          </w:p>
        </w:tc>
      </w:tr>
      <w:tr w:rsidR="00862227" w:rsidRPr="00862227" w14:paraId="5F74B953" w14:textId="77777777" w:rsidTr="00480353">
        <w:tc>
          <w:tcPr>
            <w:tcW w:w="3192" w:type="dxa"/>
          </w:tcPr>
          <w:p w14:paraId="5F74B951" w14:textId="77777777" w:rsidR="00EE7097" w:rsidRPr="00345C06" w:rsidRDefault="00EE7097">
            <w:pPr>
              <w:rPr>
                <w:b/>
                <w:szCs w:val="24"/>
              </w:rPr>
            </w:pPr>
            <w:r w:rsidRPr="00345C06">
              <w:rPr>
                <w:b/>
                <w:szCs w:val="24"/>
              </w:rPr>
              <w:t xml:space="preserve">People implications </w:t>
            </w:r>
          </w:p>
        </w:tc>
        <w:tc>
          <w:tcPr>
            <w:tcW w:w="5834" w:type="dxa"/>
            <w:tcBorders>
              <w:bottom w:val="single" w:sz="4" w:space="0" w:color="auto"/>
            </w:tcBorders>
          </w:tcPr>
          <w:p w14:paraId="5F74B952" w14:textId="1FFD652F" w:rsidR="00EE7097" w:rsidRPr="00862227" w:rsidRDefault="00862227" w:rsidP="005F28FE">
            <w:pPr>
              <w:rPr>
                <w:szCs w:val="24"/>
              </w:rPr>
            </w:pPr>
            <w:r w:rsidRPr="00862227">
              <w:rPr>
                <w:szCs w:val="24"/>
              </w:rPr>
              <w:t xml:space="preserve">Staff will prioritise this work alongside current work on </w:t>
            </w:r>
            <w:r w:rsidR="00F35656">
              <w:rPr>
                <w:szCs w:val="24"/>
              </w:rPr>
              <w:t>COVID</w:t>
            </w:r>
            <w:r w:rsidR="005F28FE">
              <w:rPr>
                <w:szCs w:val="24"/>
              </w:rPr>
              <w:t xml:space="preserve">-19. Additional capacity may be required for some actions; options such as </w:t>
            </w:r>
            <w:r w:rsidRPr="00862227">
              <w:rPr>
                <w:szCs w:val="24"/>
              </w:rPr>
              <w:t>the mutual aid process</w:t>
            </w:r>
            <w:r w:rsidR="005F28FE">
              <w:rPr>
                <w:szCs w:val="24"/>
              </w:rPr>
              <w:t xml:space="preserve"> will be explored</w:t>
            </w:r>
            <w:r w:rsidRPr="00862227">
              <w:rPr>
                <w:szCs w:val="24"/>
              </w:rPr>
              <w:t xml:space="preserve">. </w:t>
            </w:r>
          </w:p>
        </w:tc>
      </w:tr>
    </w:tbl>
    <w:p w14:paraId="5F74B954" w14:textId="77777777" w:rsidR="007D03B8" w:rsidRPr="00345C06" w:rsidRDefault="007D03B8" w:rsidP="006F654D">
      <w:pPr>
        <w:pStyle w:val="ListBullet"/>
        <w:rPr>
          <w:b/>
          <w:color w:val="FF0000"/>
          <w:szCs w:val="24"/>
        </w:rPr>
        <w:sectPr w:rsidR="007D03B8" w:rsidRPr="00345C06" w:rsidSect="008902AA">
          <w:footerReference w:type="default" r:id="rId15"/>
          <w:pgSz w:w="11906" w:h="16838"/>
          <w:pgMar w:top="1440" w:right="1440" w:bottom="1440" w:left="1440" w:header="708" w:footer="708" w:gutter="0"/>
          <w:cols w:space="708"/>
          <w:docGrid w:linePitch="360"/>
        </w:sectPr>
      </w:pPr>
    </w:p>
    <w:p w14:paraId="5F74B955" w14:textId="666B789A" w:rsidR="0087331D" w:rsidRPr="00D127D6" w:rsidRDefault="0087331D" w:rsidP="00D127D6">
      <w:pPr>
        <w:pStyle w:val="Heading1"/>
        <w:numPr>
          <w:ilvl w:val="0"/>
          <w:numId w:val="2"/>
        </w:numPr>
        <w:spacing w:before="0" w:after="120" w:line="276" w:lineRule="auto"/>
        <w:ind w:left="567" w:hanging="567"/>
        <w:rPr>
          <w:szCs w:val="24"/>
        </w:rPr>
      </w:pPr>
      <w:r w:rsidRPr="00D127D6">
        <w:rPr>
          <w:szCs w:val="24"/>
        </w:rPr>
        <w:lastRenderedPageBreak/>
        <w:t>Purpose</w:t>
      </w:r>
      <w:r w:rsidR="00051E74" w:rsidRPr="00D127D6">
        <w:rPr>
          <w:szCs w:val="24"/>
        </w:rPr>
        <w:t xml:space="preserve"> </w:t>
      </w:r>
    </w:p>
    <w:p w14:paraId="5F74B957" w14:textId="64DA694D" w:rsidR="0087331D" w:rsidRDefault="00B16000" w:rsidP="005411D3">
      <w:pPr>
        <w:pStyle w:val="ListParagraph"/>
        <w:spacing w:after="120" w:line="276" w:lineRule="auto"/>
        <w:ind w:left="0"/>
        <w:jc w:val="both"/>
        <w:rPr>
          <w:color w:val="FF0000"/>
          <w:szCs w:val="24"/>
        </w:rPr>
      </w:pPr>
      <w:r w:rsidRPr="00D127D6">
        <w:rPr>
          <w:szCs w:val="24"/>
        </w:rPr>
        <w:t xml:space="preserve">To </w:t>
      </w:r>
      <w:r w:rsidR="00CE7312">
        <w:rPr>
          <w:rFonts w:cs="Tahoma"/>
          <w:szCs w:val="24"/>
        </w:rPr>
        <w:t xml:space="preserve">provide assurance on </w:t>
      </w:r>
      <w:r w:rsidRPr="00D127D6">
        <w:rPr>
          <w:rFonts w:cs="Tahoma"/>
          <w:szCs w:val="24"/>
        </w:rPr>
        <w:t>Public Health Wales</w:t>
      </w:r>
      <w:r w:rsidR="00CE7312">
        <w:rPr>
          <w:rFonts w:cs="Tahoma"/>
          <w:szCs w:val="24"/>
        </w:rPr>
        <w:t>’</w:t>
      </w:r>
      <w:r w:rsidRPr="00D127D6">
        <w:rPr>
          <w:rFonts w:cs="Tahoma"/>
          <w:szCs w:val="24"/>
        </w:rPr>
        <w:t xml:space="preserve"> </w:t>
      </w:r>
      <w:r w:rsidR="004025CA">
        <w:rPr>
          <w:rFonts w:cs="Tahoma"/>
          <w:szCs w:val="24"/>
        </w:rPr>
        <w:t>preparations and response</w:t>
      </w:r>
      <w:r w:rsidRPr="00D127D6">
        <w:rPr>
          <w:rFonts w:cs="Tahoma"/>
          <w:szCs w:val="24"/>
        </w:rPr>
        <w:t xml:space="preserve"> to </w:t>
      </w:r>
      <w:r w:rsidR="004025CA">
        <w:rPr>
          <w:rFonts w:cs="Tahoma"/>
          <w:szCs w:val="24"/>
        </w:rPr>
        <w:t>the ending of the UK</w:t>
      </w:r>
      <w:r w:rsidRPr="00D127D6">
        <w:rPr>
          <w:rFonts w:cs="Tahoma"/>
          <w:szCs w:val="24"/>
        </w:rPr>
        <w:t xml:space="preserve"> transition</w:t>
      </w:r>
      <w:r w:rsidR="004025CA">
        <w:rPr>
          <w:rFonts w:cs="Tahoma"/>
          <w:szCs w:val="24"/>
        </w:rPr>
        <w:t xml:space="preserve"> period</w:t>
      </w:r>
      <w:r w:rsidR="00EC7519">
        <w:rPr>
          <w:rFonts w:cs="Tahoma"/>
          <w:szCs w:val="24"/>
        </w:rPr>
        <w:t xml:space="preserve"> after </w:t>
      </w:r>
      <w:proofErr w:type="spellStart"/>
      <w:r w:rsidR="00EC7519">
        <w:rPr>
          <w:rFonts w:cs="Tahoma"/>
          <w:szCs w:val="24"/>
        </w:rPr>
        <w:t>Brexit</w:t>
      </w:r>
      <w:proofErr w:type="spellEnd"/>
      <w:r w:rsidRPr="00D127D6">
        <w:rPr>
          <w:rFonts w:cs="Tahoma"/>
          <w:szCs w:val="24"/>
        </w:rPr>
        <w:t xml:space="preserve">, in the context of </w:t>
      </w:r>
      <w:r w:rsidR="00F35656">
        <w:rPr>
          <w:rFonts w:cs="Tahoma"/>
          <w:szCs w:val="24"/>
        </w:rPr>
        <w:t>COVID</w:t>
      </w:r>
      <w:r w:rsidRPr="00D127D6">
        <w:rPr>
          <w:rFonts w:cs="Tahoma"/>
          <w:szCs w:val="24"/>
        </w:rPr>
        <w:t>-19 in three key areas of health securities/health protection; policy and evidence; and international health.</w:t>
      </w:r>
      <w:r w:rsidRPr="00D127D6">
        <w:rPr>
          <w:color w:val="FF0000"/>
          <w:szCs w:val="24"/>
        </w:rPr>
        <w:t xml:space="preserve">   </w:t>
      </w:r>
    </w:p>
    <w:p w14:paraId="269CEDE5" w14:textId="77777777" w:rsidR="00D127D6" w:rsidRPr="00D127D6" w:rsidRDefault="00D127D6" w:rsidP="00D127D6">
      <w:pPr>
        <w:pStyle w:val="ListParagraph"/>
        <w:spacing w:after="120" w:line="276" w:lineRule="auto"/>
        <w:ind w:left="0"/>
        <w:rPr>
          <w:color w:val="FF0000"/>
          <w:szCs w:val="24"/>
        </w:rPr>
      </w:pPr>
    </w:p>
    <w:p w14:paraId="5F74B958" w14:textId="77777777" w:rsidR="0087331D" w:rsidRPr="00D127D6" w:rsidRDefault="0087331D" w:rsidP="00D127D6">
      <w:pPr>
        <w:pStyle w:val="Heading1"/>
        <w:numPr>
          <w:ilvl w:val="0"/>
          <w:numId w:val="2"/>
        </w:numPr>
        <w:spacing w:before="0" w:after="120" w:line="276" w:lineRule="auto"/>
        <w:ind w:left="567" w:hanging="567"/>
        <w:rPr>
          <w:szCs w:val="24"/>
        </w:rPr>
      </w:pPr>
      <w:r w:rsidRPr="00D127D6">
        <w:rPr>
          <w:szCs w:val="24"/>
        </w:rPr>
        <w:t>Background</w:t>
      </w:r>
    </w:p>
    <w:p w14:paraId="2F149968" w14:textId="2EC7C73F" w:rsidR="002048D5" w:rsidRPr="00D127D6" w:rsidRDefault="002048D5" w:rsidP="00D127D6">
      <w:pPr>
        <w:spacing w:after="120" w:line="276" w:lineRule="auto"/>
        <w:jc w:val="both"/>
        <w:rPr>
          <w:rFonts w:cs="Tahoma"/>
          <w:szCs w:val="24"/>
        </w:rPr>
      </w:pPr>
      <w:r w:rsidRPr="00D127D6">
        <w:rPr>
          <w:rFonts w:cs="Tahoma"/>
          <w:szCs w:val="24"/>
        </w:rPr>
        <w:t xml:space="preserve">Prior to the </w:t>
      </w:r>
      <w:r w:rsidR="00F35656">
        <w:rPr>
          <w:rFonts w:cs="Tahoma"/>
          <w:szCs w:val="24"/>
        </w:rPr>
        <w:t>COVID</w:t>
      </w:r>
      <w:r w:rsidRPr="00D127D6">
        <w:rPr>
          <w:rFonts w:cs="Tahoma"/>
          <w:szCs w:val="24"/>
        </w:rPr>
        <w:t xml:space="preserve">-19 pandemic, </w:t>
      </w:r>
      <w:r w:rsidR="00157E2A" w:rsidRPr="00D127D6">
        <w:rPr>
          <w:rFonts w:cs="Tahoma"/>
          <w:szCs w:val="24"/>
        </w:rPr>
        <w:t xml:space="preserve">Public Health Wales </w:t>
      </w:r>
      <w:r w:rsidR="00157E2A">
        <w:rPr>
          <w:rFonts w:cs="Tahoma"/>
          <w:szCs w:val="24"/>
        </w:rPr>
        <w:t xml:space="preserve">identified </w:t>
      </w:r>
      <w:r w:rsidRPr="00D127D6">
        <w:rPr>
          <w:rFonts w:cs="Tahoma"/>
          <w:szCs w:val="24"/>
        </w:rPr>
        <w:t xml:space="preserve">the </w:t>
      </w:r>
      <w:r w:rsidR="00F74A20">
        <w:rPr>
          <w:rFonts w:cs="Tahoma"/>
          <w:szCs w:val="24"/>
        </w:rPr>
        <w:t xml:space="preserve">UK’s </w:t>
      </w:r>
      <w:r w:rsidRPr="00D127D6">
        <w:rPr>
          <w:rFonts w:cs="Tahoma"/>
          <w:szCs w:val="24"/>
        </w:rPr>
        <w:t xml:space="preserve">exit from the European Union (EU) </w:t>
      </w:r>
      <w:r w:rsidR="00F74A20" w:rsidRPr="00D127D6">
        <w:rPr>
          <w:rFonts w:cs="Tahoma"/>
          <w:szCs w:val="24"/>
        </w:rPr>
        <w:t>(</w:t>
      </w:r>
      <w:proofErr w:type="spellStart"/>
      <w:r w:rsidR="00F74A20" w:rsidRPr="00D127D6">
        <w:rPr>
          <w:rFonts w:cs="Tahoma"/>
          <w:szCs w:val="24"/>
        </w:rPr>
        <w:t>Brexit</w:t>
      </w:r>
      <w:proofErr w:type="spellEnd"/>
      <w:r w:rsidR="00F74A20" w:rsidRPr="00D127D6">
        <w:rPr>
          <w:rFonts w:cs="Tahoma"/>
          <w:szCs w:val="24"/>
        </w:rPr>
        <w:t>)</w:t>
      </w:r>
      <w:r w:rsidR="00F74A20">
        <w:rPr>
          <w:rFonts w:cs="Tahoma"/>
          <w:szCs w:val="24"/>
        </w:rPr>
        <w:t xml:space="preserve"> </w:t>
      </w:r>
      <w:r w:rsidRPr="00D127D6">
        <w:rPr>
          <w:rFonts w:cs="Tahoma"/>
          <w:szCs w:val="24"/>
        </w:rPr>
        <w:t xml:space="preserve">as having a significant impact on population health, wellbeing and equity. </w:t>
      </w:r>
    </w:p>
    <w:p w14:paraId="444DF256" w14:textId="3CD6CACE" w:rsidR="002048D5" w:rsidRDefault="002048D5" w:rsidP="00D127D6">
      <w:pPr>
        <w:spacing w:after="120" w:line="276" w:lineRule="auto"/>
        <w:jc w:val="both"/>
        <w:rPr>
          <w:rFonts w:cs="Tahoma"/>
          <w:szCs w:val="24"/>
        </w:rPr>
      </w:pPr>
      <w:r w:rsidRPr="00D127D6">
        <w:rPr>
          <w:rFonts w:cs="Tahoma"/>
          <w:szCs w:val="24"/>
        </w:rPr>
        <w:t xml:space="preserve">On 31 January 2020, the UK left the EU and entered a transition period during which it would remain in the EU’s customs union and single market but would no longer be a member of the political structures and decision making. Since entering the transition period, the UK and EU have been carrying out negotiations on </w:t>
      </w:r>
      <w:r w:rsidR="00F82C1B">
        <w:rPr>
          <w:rFonts w:cs="Tahoma"/>
          <w:szCs w:val="24"/>
        </w:rPr>
        <w:t xml:space="preserve">the </w:t>
      </w:r>
      <w:r w:rsidR="00157E2A">
        <w:rPr>
          <w:rFonts w:cs="Tahoma"/>
          <w:szCs w:val="24"/>
        </w:rPr>
        <w:t xml:space="preserve">nature of the future relationship </w:t>
      </w:r>
      <w:r w:rsidR="005F28FE">
        <w:rPr>
          <w:rFonts w:cs="Tahoma"/>
          <w:szCs w:val="24"/>
        </w:rPr>
        <w:t xml:space="preserve">in </w:t>
      </w:r>
      <w:r w:rsidR="00157E2A">
        <w:rPr>
          <w:rFonts w:cs="Tahoma"/>
          <w:szCs w:val="24"/>
        </w:rPr>
        <w:t xml:space="preserve">areas such as trade, law enforcement, fisheries and level playing field for open and fair competition. </w:t>
      </w:r>
      <w:r w:rsidRPr="00D127D6">
        <w:rPr>
          <w:rFonts w:cs="Tahoma"/>
          <w:szCs w:val="24"/>
        </w:rPr>
        <w:t>The deadline for extending the transition period was 30 June 2020; the two sides now need to ratify a</w:t>
      </w:r>
      <w:r w:rsidR="00666BDA">
        <w:rPr>
          <w:rFonts w:cs="Tahoma"/>
          <w:szCs w:val="24"/>
        </w:rPr>
        <w:t xml:space="preserve">ny agreement </w:t>
      </w:r>
      <w:r w:rsidRPr="00D127D6">
        <w:rPr>
          <w:rFonts w:cs="Tahoma"/>
          <w:szCs w:val="24"/>
        </w:rPr>
        <w:t xml:space="preserve">by 31 December 2020 in order to begin 2021 under a new relationship. </w:t>
      </w:r>
    </w:p>
    <w:p w14:paraId="32C10BD8" w14:textId="77777777" w:rsidR="00D127D6" w:rsidRPr="00D127D6" w:rsidRDefault="00D127D6" w:rsidP="00D127D6">
      <w:pPr>
        <w:spacing w:after="120" w:line="276" w:lineRule="auto"/>
        <w:jc w:val="both"/>
        <w:rPr>
          <w:rFonts w:cs="Tahoma"/>
          <w:szCs w:val="24"/>
        </w:rPr>
      </w:pPr>
    </w:p>
    <w:p w14:paraId="5F74B95B" w14:textId="4498598F" w:rsidR="0087331D" w:rsidRPr="00D127D6" w:rsidRDefault="002048D5" w:rsidP="00D127D6">
      <w:pPr>
        <w:pStyle w:val="Heading1"/>
        <w:numPr>
          <w:ilvl w:val="0"/>
          <w:numId w:val="2"/>
        </w:numPr>
        <w:spacing w:before="0" w:after="120" w:line="276" w:lineRule="auto"/>
        <w:ind w:left="567" w:hanging="567"/>
        <w:rPr>
          <w:szCs w:val="24"/>
        </w:rPr>
      </w:pPr>
      <w:r w:rsidRPr="00D127D6">
        <w:rPr>
          <w:szCs w:val="24"/>
        </w:rPr>
        <w:t>Our role and approach to date</w:t>
      </w:r>
    </w:p>
    <w:p w14:paraId="1B8BEA73" w14:textId="652354F8" w:rsidR="002048D5" w:rsidRPr="00D127D6" w:rsidRDefault="002048D5" w:rsidP="00D127D6">
      <w:pPr>
        <w:spacing w:after="120" w:line="276" w:lineRule="auto"/>
        <w:jc w:val="both"/>
        <w:rPr>
          <w:rFonts w:cs="Tahoma"/>
          <w:szCs w:val="24"/>
        </w:rPr>
      </w:pPr>
      <w:r w:rsidRPr="00D127D6">
        <w:rPr>
          <w:rFonts w:cs="Tahoma"/>
          <w:szCs w:val="24"/>
        </w:rPr>
        <w:t xml:space="preserve">Since </w:t>
      </w:r>
      <w:r w:rsidRPr="001D0252">
        <w:rPr>
          <w:rFonts w:cs="Tahoma"/>
          <w:b/>
          <w:szCs w:val="24"/>
        </w:rPr>
        <w:t>June 2016</w:t>
      </w:r>
      <w:r w:rsidRPr="00D127D6">
        <w:rPr>
          <w:rFonts w:cs="Tahoma"/>
          <w:szCs w:val="24"/>
        </w:rPr>
        <w:t xml:space="preserve">, Public Health Wales has provided system leadership in relation to population wellbeing issues in the context of </w:t>
      </w:r>
      <w:proofErr w:type="spellStart"/>
      <w:r w:rsidRPr="00D127D6">
        <w:rPr>
          <w:rFonts w:cs="Tahoma"/>
          <w:szCs w:val="24"/>
        </w:rPr>
        <w:t>Brexit</w:t>
      </w:r>
      <w:proofErr w:type="spellEnd"/>
      <w:r w:rsidRPr="00D127D6">
        <w:rPr>
          <w:rFonts w:cs="Tahoma"/>
          <w:szCs w:val="24"/>
        </w:rPr>
        <w:t xml:space="preserve">. This has been carried out through a </w:t>
      </w:r>
      <w:proofErr w:type="spellStart"/>
      <w:r w:rsidRPr="00D127D6">
        <w:rPr>
          <w:rFonts w:cs="Tahoma"/>
          <w:szCs w:val="24"/>
        </w:rPr>
        <w:t>Brexit</w:t>
      </w:r>
      <w:proofErr w:type="spellEnd"/>
      <w:r w:rsidRPr="00D127D6">
        <w:rPr>
          <w:rFonts w:cs="Tahoma"/>
          <w:szCs w:val="24"/>
        </w:rPr>
        <w:t xml:space="preserve"> programme, which was established with four </w:t>
      </w:r>
      <w:proofErr w:type="spellStart"/>
      <w:r w:rsidRPr="00D127D6">
        <w:rPr>
          <w:rFonts w:cs="Tahoma"/>
          <w:szCs w:val="24"/>
        </w:rPr>
        <w:t>workstreams</w:t>
      </w:r>
      <w:proofErr w:type="spellEnd"/>
      <w:r w:rsidRPr="00D127D6">
        <w:rPr>
          <w:rFonts w:cs="Tahoma"/>
          <w:szCs w:val="24"/>
        </w:rPr>
        <w:t xml:space="preserve">: </w:t>
      </w:r>
    </w:p>
    <w:p w14:paraId="61ADF094" w14:textId="77777777" w:rsidR="002048D5" w:rsidRPr="00D127D6" w:rsidRDefault="002048D5" w:rsidP="00D127D6">
      <w:pPr>
        <w:numPr>
          <w:ilvl w:val="0"/>
          <w:numId w:val="22"/>
        </w:numPr>
        <w:spacing w:after="120" w:line="276" w:lineRule="auto"/>
        <w:jc w:val="both"/>
        <w:rPr>
          <w:rFonts w:cs="Tahoma"/>
          <w:szCs w:val="24"/>
        </w:rPr>
      </w:pPr>
      <w:r w:rsidRPr="00D127D6">
        <w:rPr>
          <w:rFonts w:cs="Tahoma"/>
          <w:szCs w:val="24"/>
        </w:rPr>
        <w:t>Emergency planning and business continuity</w:t>
      </w:r>
    </w:p>
    <w:p w14:paraId="68F33D72" w14:textId="77777777" w:rsidR="002048D5" w:rsidRPr="00D127D6" w:rsidRDefault="002048D5" w:rsidP="00D127D6">
      <w:pPr>
        <w:numPr>
          <w:ilvl w:val="0"/>
          <w:numId w:val="22"/>
        </w:numPr>
        <w:spacing w:after="120" w:line="276" w:lineRule="auto"/>
        <w:jc w:val="both"/>
        <w:rPr>
          <w:rFonts w:cs="Tahoma"/>
          <w:szCs w:val="24"/>
        </w:rPr>
      </w:pPr>
      <w:r w:rsidRPr="00D127D6">
        <w:rPr>
          <w:rFonts w:cs="Tahoma"/>
          <w:szCs w:val="24"/>
        </w:rPr>
        <w:t>Wider public health impacts</w:t>
      </w:r>
    </w:p>
    <w:p w14:paraId="56893CE4" w14:textId="77777777" w:rsidR="002048D5" w:rsidRPr="00D127D6" w:rsidRDefault="002048D5" w:rsidP="00D127D6">
      <w:pPr>
        <w:numPr>
          <w:ilvl w:val="0"/>
          <w:numId w:val="22"/>
        </w:numPr>
        <w:spacing w:after="120" w:line="276" w:lineRule="auto"/>
        <w:jc w:val="both"/>
        <w:rPr>
          <w:rFonts w:cs="Tahoma"/>
          <w:szCs w:val="24"/>
        </w:rPr>
      </w:pPr>
      <w:r w:rsidRPr="00D127D6">
        <w:rPr>
          <w:rFonts w:cs="Tahoma"/>
          <w:szCs w:val="24"/>
        </w:rPr>
        <w:t>Health security</w:t>
      </w:r>
    </w:p>
    <w:p w14:paraId="69F1E80B" w14:textId="77777777" w:rsidR="002048D5" w:rsidRPr="00D127D6" w:rsidRDefault="002048D5" w:rsidP="00D127D6">
      <w:pPr>
        <w:numPr>
          <w:ilvl w:val="0"/>
          <w:numId w:val="22"/>
        </w:numPr>
        <w:spacing w:after="120" w:line="276" w:lineRule="auto"/>
        <w:jc w:val="both"/>
        <w:rPr>
          <w:rFonts w:cs="Tahoma"/>
          <w:szCs w:val="24"/>
        </w:rPr>
      </w:pPr>
      <w:r w:rsidRPr="00D127D6">
        <w:rPr>
          <w:rFonts w:cs="Tahoma"/>
          <w:szCs w:val="24"/>
        </w:rPr>
        <w:t>People and resources</w:t>
      </w:r>
    </w:p>
    <w:p w14:paraId="057B294C" w14:textId="77777777" w:rsidR="002048D5" w:rsidRPr="00D127D6" w:rsidRDefault="002048D5" w:rsidP="005411D3">
      <w:pPr>
        <w:spacing w:after="120" w:line="276" w:lineRule="auto"/>
        <w:jc w:val="both"/>
        <w:rPr>
          <w:rFonts w:cs="Tahoma"/>
          <w:szCs w:val="24"/>
        </w:rPr>
      </w:pPr>
      <w:r w:rsidRPr="00D127D6">
        <w:rPr>
          <w:rFonts w:cs="Tahoma"/>
          <w:szCs w:val="24"/>
        </w:rPr>
        <w:t>Since June 2016, Public Health Wales’ role has included:</w:t>
      </w:r>
    </w:p>
    <w:p w14:paraId="60EBF44A" w14:textId="77777777" w:rsidR="002048D5" w:rsidRPr="00D127D6" w:rsidRDefault="002048D5" w:rsidP="005411D3">
      <w:pPr>
        <w:pStyle w:val="ListParagraph"/>
        <w:numPr>
          <w:ilvl w:val="0"/>
          <w:numId w:val="24"/>
        </w:numPr>
        <w:spacing w:after="120" w:line="276" w:lineRule="auto"/>
        <w:contextualSpacing w:val="0"/>
        <w:jc w:val="both"/>
        <w:rPr>
          <w:rFonts w:cs="Tahoma"/>
          <w:szCs w:val="24"/>
        </w:rPr>
      </w:pPr>
      <w:r w:rsidRPr="00D127D6">
        <w:rPr>
          <w:rFonts w:cs="Tahoma"/>
          <w:szCs w:val="24"/>
        </w:rPr>
        <w:t xml:space="preserve">Providing system leadership in relation to health securities and health protection, including working with UK Government and other Devolved Nations </w:t>
      </w:r>
    </w:p>
    <w:p w14:paraId="5707B71D" w14:textId="77777777" w:rsidR="002048D5" w:rsidRPr="00D127D6" w:rsidRDefault="002048D5" w:rsidP="005411D3">
      <w:pPr>
        <w:pStyle w:val="ListParagraph"/>
        <w:numPr>
          <w:ilvl w:val="0"/>
          <w:numId w:val="24"/>
        </w:numPr>
        <w:spacing w:after="120" w:line="276" w:lineRule="auto"/>
        <w:contextualSpacing w:val="0"/>
        <w:jc w:val="both"/>
        <w:rPr>
          <w:rFonts w:cs="Tahoma"/>
          <w:szCs w:val="24"/>
        </w:rPr>
      </w:pPr>
      <w:r w:rsidRPr="00D127D6">
        <w:rPr>
          <w:rFonts w:cs="Tahoma"/>
          <w:szCs w:val="24"/>
        </w:rPr>
        <w:t>Leading work on behalf of the Welsh civil contingencies system, as part of preparations for a potential ‘no-deal’</w:t>
      </w:r>
    </w:p>
    <w:p w14:paraId="5E08B384" w14:textId="77777777" w:rsidR="002048D5" w:rsidRPr="00D127D6" w:rsidRDefault="002048D5" w:rsidP="005411D3">
      <w:pPr>
        <w:pStyle w:val="ListParagraph"/>
        <w:numPr>
          <w:ilvl w:val="0"/>
          <w:numId w:val="24"/>
        </w:numPr>
        <w:spacing w:after="120" w:line="276" w:lineRule="auto"/>
        <w:contextualSpacing w:val="0"/>
        <w:jc w:val="both"/>
        <w:rPr>
          <w:rFonts w:cs="Tahoma"/>
          <w:szCs w:val="24"/>
        </w:rPr>
      </w:pPr>
      <w:r w:rsidRPr="00D127D6">
        <w:rPr>
          <w:rFonts w:cs="Tahoma"/>
          <w:szCs w:val="24"/>
        </w:rPr>
        <w:lastRenderedPageBreak/>
        <w:t>Enhancing and expanding our international role, learning and collaborations through developing new and strengthening existing partnerships, including:</w:t>
      </w:r>
    </w:p>
    <w:p w14:paraId="0EDBC2F2" w14:textId="08A704E2" w:rsidR="002048D5" w:rsidRPr="00D127D6" w:rsidRDefault="00F35656" w:rsidP="005411D3">
      <w:pPr>
        <w:pStyle w:val="ListParagraph"/>
        <w:numPr>
          <w:ilvl w:val="1"/>
          <w:numId w:val="24"/>
        </w:numPr>
        <w:spacing w:after="120" w:line="276" w:lineRule="auto"/>
        <w:contextualSpacing w:val="0"/>
        <w:jc w:val="both"/>
        <w:rPr>
          <w:rFonts w:cs="Tahoma"/>
          <w:szCs w:val="24"/>
        </w:rPr>
      </w:pPr>
      <w:r>
        <w:rPr>
          <w:rFonts w:cs="Tahoma"/>
          <w:szCs w:val="24"/>
        </w:rPr>
        <w:t>Being d</w:t>
      </w:r>
      <w:r w:rsidR="002048D5" w:rsidRPr="00D127D6">
        <w:rPr>
          <w:rFonts w:cs="Tahoma"/>
          <w:szCs w:val="24"/>
        </w:rPr>
        <w:t>esignated a World Health Organization (WHO) Collaborating Centre on Investment for Health and Wellbeing (WHO CC)</w:t>
      </w:r>
      <w:r w:rsidR="00B16000" w:rsidRPr="00D127D6">
        <w:rPr>
          <w:rFonts w:cs="Tahoma"/>
          <w:szCs w:val="24"/>
        </w:rPr>
        <w:t>,</w:t>
      </w:r>
      <w:r w:rsidR="002048D5" w:rsidRPr="00D127D6">
        <w:rPr>
          <w:rFonts w:cs="Tahoma"/>
          <w:szCs w:val="24"/>
        </w:rPr>
        <w:t xml:space="preserve"> opening further international opportunities </w:t>
      </w:r>
    </w:p>
    <w:p w14:paraId="5EB07654" w14:textId="51A5BE50" w:rsidR="002048D5" w:rsidRPr="004C4729" w:rsidRDefault="002048D5" w:rsidP="004C4729">
      <w:pPr>
        <w:pStyle w:val="ListParagraph"/>
        <w:numPr>
          <w:ilvl w:val="1"/>
          <w:numId w:val="24"/>
        </w:numPr>
        <w:spacing w:after="120" w:line="276" w:lineRule="auto"/>
        <w:contextualSpacing w:val="0"/>
        <w:jc w:val="both"/>
        <w:rPr>
          <w:rFonts w:cs="Tahoma"/>
          <w:szCs w:val="24"/>
        </w:rPr>
      </w:pPr>
      <w:r w:rsidRPr="004C4729">
        <w:rPr>
          <w:rFonts w:cs="Tahoma"/>
          <w:szCs w:val="24"/>
        </w:rPr>
        <w:t>Enabl</w:t>
      </w:r>
      <w:r w:rsidR="00F35656" w:rsidRPr="004C4729">
        <w:rPr>
          <w:rFonts w:cs="Tahoma"/>
          <w:szCs w:val="24"/>
        </w:rPr>
        <w:t>ing</w:t>
      </w:r>
      <w:r w:rsidRPr="004C4729">
        <w:rPr>
          <w:rFonts w:cs="Tahoma"/>
          <w:szCs w:val="24"/>
        </w:rPr>
        <w:t xml:space="preserve">, promoting and supporting Wales’ international role as an </w:t>
      </w:r>
      <w:r w:rsidRPr="004C4729">
        <w:rPr>
          <w:rFonts w:cs="Tahoma"/>
          <w:i/>
          <w:szCs w:val="24"/>
        </w:rPr>
        <w:t>Influencer Nation</w:t>
      </w:r>
      <w:r w:rsidRPr="004C4729">
        <w:rPr>
          <w:rFonts w:cs="Tahoma"/>
          <w:szCs w:val="24"/>
        </w:rPr>
        <w:t xml:space="preserve"> for health equity, through</w:t>
      </w:r>
      <w:r w:rsidR="004C4729" w:rsidRPr="004C4729">
        <w:rPr>
          <w:rFonts w:cs="Tahoma"/>
          <w:szCs w:val="24"/>
        </w:rPr>
        <w:t xml:space="preserve"> f</w:t>
      </w:r>
      <w:r w:rsidRPr="004C4729">
        <w:rPr>
          <w:rFonts w:cs="Tahoma"/>
          <w:szCs w:val="24"/>
        </w:rPr>
        <w:t>acilitating a Memorandum of Understanding (MOU) between Welsh Government and WHO Regional Office for Europe</w:t>
      </w:r>
      <w:r w:rsidR="004C4729" w:rsidRPr="004C4729">
        <w:rPr>
          <w:rFonts w:cs="Tahoma"/>
          <w:szCs w:val="24"/>
        </w:rPr>
        <w:t xml:space="preserve"> and </w:t>
      </w:r>
      <w:r w:rsidR="004C4729">
        <w:rPr>
          <w:rFonts w:cs="Tahoma"/>
          <w:szCs w:val="24"/>
        </w:rPr>
        <w:t>e</w:t>
      </w:r>
      <w:r w:rsidRPr="004C4729">
        <w:rPr>
          <w:rFonts w:cs="Tahoma"/>
          <w:szCs w:val="24"/>
        </w:rPr>
        <w:t>stablish</w:t>
      </w:r>
      <w:r w:rsidR="004C4729">
        <w:rPr>
          <w:rFonts w:cs="Tahoma"/>
          <w:szCs w:val="24"/>
        </w:rPr>
        <w:t>ing</w:t>
      </w:r>
      <w:r w:rsidRPr="004C4729">
        <w:rPr>
          <w:rFonts w:cs="Tahoma"/>
          <w:szCs w:val="24"/>
        </w:rPr>
        <w:t xml:space="preserve"> a Welsh Health Equity Status Report initiative (</w:t>
      </w:r>
      <w:proofErr w:type="spellStart"/>
      <w:r w:rsidRPr="004C4729">
        <w:rPr>
          <w:rFonts w:cs="Tahoma"/>
          <w:szCs w:val="24"/>
        </w:rPr>
        <w:t>WHESRi</w:t>
      </w:r>
      <w:proofErr w:type="spellEnd"/>
      <w:r w:rsidRPr="004C4729">
        <w:rPr>
          <w:rFonts w:cs="Tahoma"/>
          <w:szCs w:val="24"/>
        </w:rPr>
        <w:t xml:space="preserve">) </w:t>
      </w:r>
      <w:r w:rsidR="004C4729">
        <w:rPr>
          <w:rFonts w:cs="Tahoma"/>
          <w:szCs w:val="24"/>
        </w:rPr>
        <w:t xml:space="preserve">to </w:t>
      </w:r>
      <w:r w:rsidRPr="004C4729">
        <w:rPr>
          <w:rFonts w:cs="Tahoma"/>
          <w:szCs w:val="24"/>
        </w:rPr>
        <w:t>inform sustainable solutions for policy action and investment</w:t>
      </w:r>
    </w:p>
    <w:p w14:paraId="32B86535" w14:textId="77777777" w:rsidR="002048D5" w:rsidRPr="00D127D6" w:rsidRDefault="002048D5" w:rsidP="005411D3">
      <w:pPr>
        <w:pStyle w:val="ListParagraph"/>
        <w:numPr>
          <w:ilvl w:val="1"/>
          <w:numId w:val="24"/>
        </w:numPr>
        <w:spacing w:after="120" w:line="276" w:lineRule="auto"/>
        <w:contextualSpacing w:val="0"/>
        <w:jc w:val="both"/>
        <w:rPr>
          <w:rFonts w:cs="Tahoma"/>
          <w:szCs w:val="24"/>
        </w:rPr>
      </w:pPr>
      <w:r w:rsidRPr="00D127D6">
        <w:rPr>
          <w:rFonts w:cs="Tahoma"/>
          <w:szCs w:val="24"/>
        </w:rPr>
        <w:t>Fostered Wales/WHO collaboration, organising two high level WHO visits to Wales; supported Ljubljana Statement on Health Equity; and enabled Welsh Ministerial participation in the Ljubljana Conference on Health Equity and the WHO Regional Committee for Europe in 2019</w:t>
      </w:r>
    </w:p>
    <w:p w14:paraId="670F8349" w14:textId="2C0A6904" w:rsidR="002048D5" w:rsidRPr="00D127D6" w:rsidRDefault="002048D5" w:rsidP="005411D3">
      <w:pPr>
        <w:pStyle w:val="ListParagraph"/>
        <w:numPr>
          <w:ilvl w:val="1"/>
          <w:numId w:val="24"/>
        </w:numPr>
        <w:spacing w:after="120" w:line="276" w:lineRule="auto"/>
        <w:contextualSpacing w:val="0"/>
        <w:jc w:val="both"/>
        <w:rPr>
          <w:rFonts w:cs="Tahoma"/>
          <w:szCs w:val="24"/>
        </w:rPr>
      </w:pPr>
      <w:r w:rsidRPr="00D127D6">
        <w:rPr>
          <w:rFonts w:cs="Tahoma"/>
          <w:szCs w:val="24"/>
        </w:rPr>
        <w:t>Strengthen</w:t>
      </w:r>
      <w:r w:rsidR="004C4729">
        <w:rPr>
          <w:rFonts w:cs="Tahoma"/>
          <w:szCs w:val="24"/>
        </w:rPr>
        <w:t>ing</w:t>
      </w:r>
      <w:r w:rsidRPr="00D127D6">
        <w:rPr>
          <w:rFonts w:cs="Tahoma"/>
          <w:szCs w:val="24"/>
        </w:rPr>
        <w:t xml:space="preserve"> Wales’ role and impact in the global Violence Prevention agenda, through undertaking UK data coordination role for the WHO; co-authored a Practical Handbook with WHO, UNICEF and UNESCO; and contribut</w:t>
      </w:r>
      <w:r w:rsidR="004C4729">
        <w:rPr>
          <w:rFonts w:cs="Tahoma"/>
          <w:szCs w:val="24"/>
        </w:rPr>
        <w:t>ed</w:t>
      </w:r>
      <w:r w:rsidRPr="00D127D6">
        <w:rPr>
          <w:rFonts w:cs="Tahoma"/>
          <w:szCs w:val="24"/>
        </w:rPr>
        <w:t xml:space="preserve"> to publications and workshops</w:t>
      </w:r>
    </w:p>
    <w:p w14:paraId="592C69F9" w14:textId="120FD309" w:rsidR="002048D5" w:rsidRPr="00D127D6" w:rsidRDefault="002048D5" w:rsidP="005411D3">
      <w:pPr>
        <w:pStyle w:val="ListParagraph"/>
        <w:numPr>
          <w:ilvl w:val="1"/>
          <w:numId w:val="24"/>
        </w:numPr>
        <w:spacing w:after="120" w:line="276" w:lineRule="auto"/>
        <w:contextualSpacing w:val="0"/>
        <w:jc w:val="both"/>
        <w:rPr>
          <w:rFonts w:cs="Tahoma"/>
          <w:szCs w:val="24"/>
        </w:rPr>
      </w:pPr>
      <w:r w:rsidRPr="00D127D6">
        <w:rPr>
          <w:rFonts w:cs="Tahoma"/>
          <w:szCs w:val="24"/>
        </w:rPr>
        <w:t>Gain</w:t>
      </w:r>
      <w:r w:rsidR="004C4729">
        <w:rPr>
          <w:rFonts w:cs="Tahoma"/>
          <w:szCs w:val="24"/>
        </w:rPr>
        <w:t>ing</w:t>
      </w:r>
      <w:r w:rsidRPr="00D127D6">
        <w:rPr>
          <w:rFonts w:cs="Tahoma"/>
          <w:szCs w:val="24"/>
        </w:rPr>
        <w:t xml:space="preserve"> a leading role in the International Association of National Public Health Institutes (IANPHI), chairing its European Region and taking an active part in its network of 114 members in 99 countries</w:t>
      </w:r>
    </w:p>
    <w:p w14:paraId="17EA6939" w14:textId="495CA409" w:rsidR="002048D5" w:rsidRPr="00D127D6" w:rsidRDefault="002048D5" w:rsidP="005411D3">
      <w:pPr>
        <w:pStyle w:val="ListParagraph"/>
        <w:numPr>
          <w:ilvl w:val="1"/>
          <w:numId w:val="24"/>
        </w:numPr>
        <w:spacing w:after="120" w:line="276" w:lineRule="auto"/>
        <w:contextualSpacing w:val="0"/>
        <w:jc w:val="both"/>
        <w:rPr>
          <w:rFonts w:cs="Tahoma"/>
          <w:szCs w:val="24"/>
        </w:rPr>
      </w:pPr>
      <w:r w:rsidRPr="00D127D6">
        <w:rPr>
          <w:rFonts w:cs="Tahoma"/>
          <w:szCs w:val="24"/>
        </w:rPr>
        <w:t>Maintain</w:t>
      </w:r>
      <w:r w:rsidR="004C4729">
        <w:rPr>
          <w:rFonts w:cs="Tahoma"/>
          <w:szCs w:val="24"/>
        </w:rPr>
        <w:t>ing</w:t>
      </w:r>
      <w:r w:rsidRPr="00D127D6">
        <w:rPr>
          <w:rFonts w:cs="Tahoma"/>
          <w:szCs w:val="24"/>
        </w:rPr>
        <w:t xml:space="preserve"> and advanc</w:t>
      </w:r>
      <w:r w:rsidR="004C4729">
        <w:rPr>
          <w:rFonts w:cs="Tahoma"/>
          <w:szCs w:val="24"/>
        </w:rPr>
        <w:t>ing</w:t>
      </w:r>
      <w:r w:rsidRPr="00D127D6">
        <w:rPr>
          <w:rFonts w:cs="Tahoma"/>
          <w:szCs w:val="24"/>
        </w:rPr>
        <w:t xml:space="preserve"> active participation in the WHO European Regions for Health Network, </w:t>
      </w:r>
      <w:proofErr w:type="spellStart"/>
      <w:r w:rsidRPr="00D127D6">
        <w:rPr>
          <w:rFonts w:cs="Tahoma"/>
          <w:szCs w:val="24"/>
        </w:rPr>
        <w:t>EuroHealthNet</w:t>
      </w:r>
      <w:proofErr w:type="spellEnd"/>
      <w:r w:rsidRPr="00D127D6">
        <w:rPr>
          <w:rFonts w:cs="Tahoma"/>
          <w:szCs w:val="24"/>
        </w:rPr>
        <w:t xml:space="preserve"> and other key international networks and registries </w:t>
      </w:r>
    </w:p>
    <w:p w14:paraId="16D37B8A" w14:textId="1B6792B6" w:rsidR="002048D5" w:rsidRPr="00D127D6" w:rsidRDefault="002048D5" w:rsidP="005411D3">
      <w:pPr>
        <w:pStyle w:val="ListParagraph"/>
        <w:numPr>
          <w:ilvl w:val="1"/>
          <w:numId w:val="24"/>
        </w:numPr>
        <w:spacing w:after="120" w:line="276" w:lineRule="auto"/>
        <w:contextualSpacing w:val="0"/>
        <w:jc w:val="both"/>
        <w:rPr>
          <w:rFonts w:cs="Tahoma"/>
          <w:szCs w:val="24"/>
        </w:rPr>
      </w:pPr>
      <w:r w:rsidRPr="00D127D6">
        <w:rPr>
          <w:rFonts w:cs="Tahoma"/>
          <w:szCs w:val="24"/>
        </w:rPr>
        <w:t>Increas</w:t>
      </w:r>
      <w:r w:rsidR="004C4729">
        <w:rPr>
          <w:rFonts w:cs="Tahoma"/>
          <w:szCs w:val="24"/>
        </w:rPr>
        <w:t>ing</w:t>
      </w:r>
      <w:r w:rsidRPr="00D127D6">
        <w:rPr>
          <w:rFonts w:cs="Tahoma"/>
          <w:szCs w:val="24"/>
        </w:rPr>
        <w:t xml:space="preserve"> visibility and strengthen</w:t>
      </w:r>
      <w:r w:rsidR="004C4729">
        <w:rPr>
          <w:rFonts w:cs="Tahoma"/>
          <w:szCs w:val="24"/>
        </w:rPr>
        <w:t>ing</w:t>
      </w:r>
      <w:r w:rsidRPr="00D127D6">
        <w:rPr>
          <w:rFonts w:cs="Tahoma"/>
          <w:szCs w:val="24"/>
        </w:rPr>
        <w:t xml:space="preserve"> relationships with our UK partners and networks, as well as with the Wales for Africa Programme through our International Health Coordination Centre (IHCC) </w:t>
      </w:r>
    </w:p>
    <w:p w14:paraId="719EC511" w14:textId="77777777" w:rsidR="00E55718" w:rsidRPr="00D127D6" w:rsidRDefault="00E55718" w:rsidP="00E55718">
      <w:pPr>
        <w:numPr>
          <w:ilvl w:val="0"/>
          <w:numId w:val="24"/>
        </w:numPr>
        <w:spacing w:after="120" w:line="276" w:lineRule="auto"/>
        <w:jc w:val="both"/>
        <w:rPr>
          <w:rFonts w:cs="Tahoma"/>
          <w:szCs w:val="24"/>
        </w:rPr>
      </w:pPr>
      <w:r w:rsidRPr="00D127D6">
        <w:rPr>
          <w:rFonts w:cs="Tahoma"/>
          <w:szCs w:val="24"/>
        </w:rPr>
        <w:t>Develop</w:t>
      </w:r>
      <w:r>
        <w:rPr>
          <w:rFonts w:cs="Tahoma"/>
          <w:szCs w:val="24"/>
        </w:rPr>
        <w:t>ing</w:t>
      </w:r>
      <w:r w:rsidRPr="00D127D6">
        <w:rPr>
          <w:rFonts w:cs="Tahoma"/>
          <w:szCs w:val="24"/>
        </w:rPr>
        <w:t xml:space="preserve"> an Addendum to the </w:t>
      </w:r>
      <w:r w:rsidRPr="00F35656">
        <w:rPr>
          <w:rFonts w:cs="Tahoma"/>
          <w:i/>
          <w:szCs w:val="24"/>
        </w:rPr>
        <w:t xml:space="preserve">International Health Strategy: the Potential Implications of </w:t>
      </w:r>
      <w:proofErr w:type="spellStart"/>
      <w:r w:rsidRPr="00F35656">
        <w:rPr>
          <w:rFonts w:cs="Tahoma"/>
          <w:i/>
          <w:szCs w:val="24"/>
        </w:rPr>
        <w:t>Brexit</w:t>
      </w:r>
      <w:proofErr w:type="spellEnd"/>
      <w:r w:rsidRPr="00F35656">
        <w:rPr>
          <w:rFonts w:cs="Tahoma"/>
          <w:i/>
          <w:szCs w:val="24"/>
        </w:rPr>
        <w:t xml:space="preserve"> for </w:t>
      </w:r>
      <w:bookmarkStart w:id="5" w:name="_Toc521568270"/>
      <w:r w:rsidRPr="00F35656">
        <w:rPr>
          <w:rFonts w:cs="Tahoma"/>
          <w:i/>
          <w:szCs w:val="24"/>
        </w:rPr>
        <w:t>Public Health Wales International Health Strategy 2017–2027</w:t>
      </w:r>
      <w:bookmarkEnd w:id="5"/>
      <w:r w:rsidRPr="00D127D6">
        <w:rPr>
          <w:rFonts w:cs="Tahoma"/>
          <w:szCs w:val="24"/>
        </w:rPr>
        <w:t xml:space="preserve"> (2019), outlining key challenges and ways forward </w:t>
      </w:r>
    </w:p>
    <w:p w14:paraId="4A3709B7" w14:textId="77777777" w:rsidR="002048D5" w:rsidRPr="00D127D6" w:rsidRDefault="002048D5" w:rsidP="005411D3">
      <w:pPr>
        <w:pStyle w:val="ListParagraph"/>
        <w:numPr>
          <w:ilvl w:val="0"/>
          <w:numId w:val="24"/>
        </w:numPr>
        <w:spacing w:after="120" w:line="276" w:lineRule="auto"/>
        <w:contextualSpacing w:val="0"/>
        <w:jc w:val="both"/>
        <w:rPr>
          <w:rFonts w:cs="Tahoma"/>
          <w:szCs w:val="24"/>
        </w:rPr>
      </w:pPr>
      <w:r w:rsidRPr="00D127D6">
        <w:rPr>
          <w:rFonts w:cs="Tahoma"/>
          <w:szCs w:val="24"/>
        </w:rPr>
        <w:lastRenderedPageBreak/>
        <w:t xml:space="preserve">Providing research and evidence to inform key decision makers and the wider system including </w:t>
      </w:r>
    </w:p>
    <w:p w14:paraId="3C7C8E3E" w14:textId="77777777" w:rsidR="002048D5" w:rsidRPr="00D127D6" w:rsidRDefault="002048D5" w:rsidP="005411D3">
      <w:pPr>
        <w:pStyle w:val="ListParagraph"/>
        <w:numPr>
          <w:ilvl w:val="1"/>
          <w:numId w:val="21"/>
        </w:numPr>
        <w:spacing w:after="120" w:line="276" w:lineRule="auto"/>
        <w:contextualSpacing w:val="0"/>
        <w:jc w:val="both"/>
        <w:rPr>
          <w:rFonts w:cs="Tahoma"/>
          <w:szCs w:val="24"/>
        </w:rPr>
      </w:pPr>
      <w:r w:rsidRPr="00D127D6">
        <w:rPr>
          <w:rFonts w:cs="Tahoma"/>
          <w:i/>
          <w:szCs w:val="24"/>
        </w:rPr>
        <w:t xml:space="preserve">The Public Health Implications of </w:t>
      </w:r>
      <w:proofErr w:type="spellStart"/>
      <w:r w:rsidRPr="00D127D6">
        <w:rPr>
          <w:rFonts w:cs="Tahoma"/>
          <w:i/>
          <w:szCs w:val="24"/>
        </w:rPr>
        <w:t>Brexit</w:t>
      </w:r>
      <w:proofErr w:type="spellEnd"/>
      <w:r w:rsidRPr="00D127D6">
        <w:rPr>
          <w:rFonts w:cs="Tahoma"/>
          <w:i/>
          <w:szCs w:val="24"/>
        </w:rPr>
        <w:t xml:space="preserve"> in Wales: A Health Impact Assessment Approach</w:t>
      </w:r>
      <w:r w:rsidRPr="00D127D6">
        <w:rPr>
          <w:rFonts w:cs="Tahoma"/>
          <w:szCs w:val="24"/>
        </w:rPr>
        <w:t xml:space="preserve"> (January 2019), followed by a rapid review and update (September 2019)</w:t>
      </w:r>
    </w:p>
    <w:p w14:paraId="1169B56C" w14:textId="77777777" w:rsidR="002048D5" w:rsidRPr="00D127D6" w:rsidRDefault="002048D5" w:rsidP="005411D3">
      <w:pPr>
        <w:pStyle w:val="ListParagraph"/>
        <w:numPr>
          <w:ilvl w:val="1"/>
          <w:numId w:val="21"/>
        </w:numPr>
        <w:spacing w:after="120" w:line="276" w:lineRule="auto"/>
        <w:contextualSpacing w:val="0"/>
        <w:jc w:val="both"/>
        <w:rPr>
          <w:rFonts w:cs="Tahoma"/>
          <w:szCs w:val="24"/>
        </w:rPr>
      </w:pPr>
      <w:r w:rsidRPr="00D127D6">
        <w:rPr>
          <w:rFonts w:cs="Tahoma"/>
          <w:i/>
          <w:szCs w:val="24"/>
        </w:rPr>
        <w:t>Supporting farming communities at times of uncertainty</w:t>
      </w:r>
      <w:r w:rsidRPr="00D127D6">
        <w:rPr>
          <w:rFonts w:cs="Tahoma"/>
          <w:szCs w:val="24"/>
        </w:rPr>
        <w:t xml:space="preserve"> (2019)</w:t>
      </w:r>
    </w:p>
    <w:p w14:paraId="1F619BFF" w14:textId="77777777" w:rsidR="002048D5" w:rsidRPr="00D127D6" w:rsidRDefault="002048D5" w:rsidP="005411D3">
      <w:pPr>
        <w:pStyle w:val="ListParagraph"/>
        <w:numPr>
          <w:ilvl w:val="1"/>
          <w:numId w:val="21"/>
        </w:numPr>
        <w:spacing w:after="120" w:line="276" w:lineRule="auto"/>
        <w:contextualSpacing w:val="0"/>
        <w:jc w:val="both"/>
        <w:rPr>
          <w:rFonts w:cs="Tahoma"/>
          <w:szCs w:val="24"/>
        </w:rPr>
      </w:pPr>
      <w:r w:rsidRPr="00D127D6">
        <w:rPr>
          <w:rFonts w:cs="Tahoma"/>
          <w:i/>
          <w:szCs w:val="24"/>
        </w:rPr>
        <w:t xml:space="preserve">The health and wellbeing of young people in Wales. Do they think </w:t>
      </w:r>
      <w:proofErr w:type="spellStart"/>
      <w:r w:rsidRPr="00D127D6">
        <w:rPr>
          <w:rFonts w:cs="Tahoma"/>
          <w:i/>
          <w:szCs w:val="24"/>
        </w:rPr>
        <w:t>Brexit</w:t>
      </w:r>
      <w:proofErr w:type="spellEnd"/>
      <w:r w:rsidRPr="00D127D6">
        <w:rPr>
          <w:rFonts w:cs="Tahoma"/>
          <w:i/>
          <w:szCs w:val="24"/>
        </w:rPr>
        <w:t xml:space="preserve"> will make a difference?</w:t>
      </w:r>
      <w:r w:rsidRPr="00D127D6">
        <w:rPr>
          <w:rFonts w:cs="Tahoma"/>
          <w:szCs w:val="24"/>
        </w:rPr>
        <w:t xml:space="preserve"> (2019)</w:t>
      </w:r>
    </w:p>
    <w:p w14:paraId="7EAA3C1B" w14:textId="77777777" w:rsidR="002048D5" w:rsidRPr="00D127D6" w:rsidRDefault="002048D5" w:rsidP="005411D3">
      <w:pPr>
        <w:pStyle w:val="ListParagraph"/>
        <w:numPr>
          <w:ilvl w:val="1"/>
          <w:numId w:val="21"/>
        </w:numPr>
        <w:spacing w:after="120" w:line="276" w:lineRule="auto"/>
        <w:contextualSpacing w:val="0"/>
        <w:jc w:val="both"/>
        <w:rPr>
          <w:rFonts w:cs="Tahoma"/>
          <w:szCs w:val="24"/>
        </w:rPr>
      </w:pPr>
      <w:r w:rsidRPr="00D127D6">
        <w:rPr>
          <w:rFonts w:cs="Tahoma"/>
          <w:i/>
          <w:szCs w:val="24"/>
        </w:rPr>
        <w:t xml:space="preserve">Regional funding for Wales after </w:t>
      </w:r>
      <w:proofErr w:type="spellStart"/>
      <w:r w:rsidRPr="00D127D6">
        <w:rPr>
          <w:rFonts w:cs="Tahoma"/>
          <w:i/>
          <w:szCs w:val="24"/>
        </w:rPr>
        <w:t>Brexit</w:t>
      </w:r>
      <w:proofErr w:type="spellEnd"/>
      <w:r w:rsidRPr="00D127D6">
        <w:rPr>
          <w:rFonts w:cs="Tahoma"/>
          <w:i/>
          <w:szCs w:val="24"/>
        </w:rPr>
        <w:t>. Understanding what the ending of access to European Union Structural Funds will mean for the health and wellbeing of local areas</w:t>
      </w:r>
      <w:r w:rsidRPr="00D127D6">
        <w:rPr>
          <w:rFonts w:cs="Tahoma"/>
          <w:szCs w:val="24"/>
        </w:rPr>
        <w:t xml:space="preserve"> (publication pending).</w:t>
      </w:r>
    </w:p>
    <w:p w14:paraId="5E49596B" w14:textId="0013FC94" w:rsidR="002048D5" w:rsidRPr="00D127D6" w:rsidRDefault="002048D5" w:rsidP="005411D3">
      <w:pPr>
        <w:pStyle w:val="ListParagraph"/>
        <w:numPr>
          <w:ilvl w:val="0"/>
          <w:numId w:val="21"/>
        </w:numPr>
        <w:spacing w:after="120" w:line="276" w:lineRule="auto"/>
        <w:ind w:left="714" w:hanging="357"/>
        <w:contextualSpacing w:val="0"/>
        <w:jc w:val="both"/>
        <w:rPr>
          <w:rFonts w:cs="Tahoma"/>
          <w:szCs w:val="24"/>
        </w:rPr>
      </w:pPr>
      <w:r w:rsidRPr="00D127D6">
        <w:rPr>
          <w:rFonts w:cs="Tahoma"/>
          <w:szCs w:val="24"/>
        </w:rPr>
        <w:t>Strengthening public health knowledge</w:t>
      </w:r>
      <w:r w:rsidR="00B16000" w:rsidRPr="00D127D6">
        <w:rPr>
          <w:rFonts w:cs="Tahoma"/>
          <w:szCs w:val="24"/>
        </w:rPr>
        <w:t xml:space="preserve"> and</w:t>
      </w:r>
      <w:r w:rsidRPr="00D127D6">
        <w:rPr>
          <w:rFonts w:cs="Tahoma"/>
          <w:szCs w:val="24"/>
        </w:rPr>
        <w:t xml:space="preserve"> skills required to understand the negotiation of future trade deals through a Health and Trade Symposium; and a Trade Agreements and Health Masterclass (November 2019)</w:t>
      </w:r>
    </w:p>
    <w:p w14:paraId="27CC67E0" w14:textId="77777777" w:rsidR="001D0252" w:rsidRPr="00D127D6" w:rsidRDefault="001D0252" w:rsidP="001D0252">
      <w:pPr>
        <w:spacing w:after="120" w:line="276" w:lineRule="auto"/>
        <w:jc w:val="both"/>
        <w:rPr>
          <w:rFonts w:cs="Tahoma"/>
          <w:szCs w:val="24"/>
        </w:rPr>
      </w:pPr>
      <w:r w:rsidRPr="00D127D6">
        <w:rPr>
          <w:rFonts w:cs="Tahoma"/>
          <w:szCs w:val="24"/>
        </w:rPr>
        <w:t xml:space="preserve">In </w:t>
      </w:r>
      <w:r w:rsidRPr="001D0252">
        <w:rPr>
          <w:rFonts w:cs="Tahoma"/>
          <w:b/>
          <w:szCs w:val="24"/>
        </w:rPr>
        <w:t>May 2019</w:t>
      </w:r>
      <w:r w:rsidRPr="00D127D6">
        <w:rPr>
          <w:rFonts w:cs="Tahoma"/>
          <w:szCs w:val="24"/>
        </w:rPr>
        <w:t xml:space="preserve">, an end of phase review was carried out, which resulted in </w:t>
      </w:r>
    </w:p>
    <w:p w14:paraId="67B9C727" w14:textId="77777777" w:rsidR="001D0252" w:rsidRPr="00D127D6" w:rsidRDefault="001D0252" w:rsidP="001D0252">
      <w:pPr>
        <w:numPr>
          <w:ilvl w:val="0"/>
          <w:numId w:val="23"/>
        </w:numPr>
        <w:spacing w:after="120" w:line="276" w:lineRule="auto"/>
        <w:jc w:val="both"/>
        <w:rPr>
          <w:rFonts w:cs="Tahoma"/>
          <w:szCs w:val="24"/>
        </w:rPr>
      </w:pPr>
      <w:r w:rsidRPr="00D127D6">
        <w:rPr>
          <w:rFonts w:cs="Tahoma"/>
          <w:szCs w:val="24"/>
        </w:rPr>
        <w:t xml:space="preserve">Ongoing </w:t>
      </w:r>
      <w:proofErr w:type="spellStart"/>
      <w:r w:rsidRPr="00D127D6">
        <w:rPr>
          <w:rFonts w:cs="Tahoma"/>
          <w:szCs w:val="24"/>
        </w:rPr>
        <w:t>Brexit</w:t>
      </w:r>
      <w:proofErr w:type="spellEnd"/>
      <w:r w:rsidRPr="00D127D6">
        <w:rPr>
          <w:rFonts w:cs="Tahoma"/>
          <w:szCs w:val="24"/>
        </w:rPr>
        <w:t xml:space="preserve"> preparatory work being embedded as part of business as usual e.g. </w:t>
      </w:r>
      <w:proofErr w:type="spellStart"/>
      <w:r w:rsidRPr="00D127D6">
        <w:rPr>
          <w:rFonts w:cs="Tahoma"/>
          <w:szCs w:val="24"/>
        </w:rPr>
        <w:t>Brexit</w:t>
      </w:r>
      <w:proofErr w:type="spellEnd"/>
      <w:r w:rsidRPr="00D127D6">
        <w:rPr>
          <w:rFonts w:cs="Tahoma"/>
          <w:szCs w:val="24"/>
        </w:rPr>
        <w:t xml:space="preserve"> was considered by each of the Strategic Priority groups and embedded in IMTP and operational plans</w:t>
      </w:r>
    </w:p>
    <w:p w14:paraId="5D1A07A5" w14:textId="77777777" w:rsidR="001D0252" w:rsidRPr="00D127D6" w:rsidRDefault="001D0252" w:rsidP="001D0252">
      <w:pPr>
        <w:numPr>
          <w:ilvl w:val="0"/>
          <w:numId w:val="23"/>
        </w:numPr>
        <w:spacing w:after="120" w:line="276" w:lineRule="auto"/>
        <w:jc w:val="both"/>
        <w:rPr>
          <w:rFonts w:cs="Tahoma"/>
          <w:szCs w:val="24"/>
        </w:rPr>
      </w:pPr>
      <w:r w:rsidRPr="00D127D6">
        <w:rPr>
          <w:rFonts w:cs="Tahoma"/>
          <w:szCs w:val="24"/>
        </w:rPr>
        <w:t>The development of ‘No deal” activation plans, with the intention of being implemented if needed in September 2019</w:t>
      </w:r>
    </w:p>
    <w:p w14:paraId="4AA43509" w14:textId="77777777" w:rsidR="001D0252" w:rsidRPr="00D127D6" w:rsidRDefault="001D0252" w:rsidP="001D0252">
      <w:pPr>
        <w:numPr>
          <w:ilvl w:val="0"/>
          <w:numId w:val="23"/>
        </w:numPr>
        <w:spacing w:after="120" w:line="276" w:lineRule="auto"/>
        <w:jc w:val="both"/>
        <w:rPr>
          <w:rFonts w:cs="Tahoma"/>
          <w:szCs w:val="24"/>
        </w:rPr>
      </w:pPr>
      <w:r w:rsidRPr="00D127D6">
        <w:rPr>
          <w:rFonts w:cs="Tahoma"/>
          <w:szCs w:val="24"/>
        </w:rPr>
        <w:t>A ‘stock take’ of organisational emergency planning and business continuity arrangements</w:t>
      </w:r>
    </w:p>
    <w:p w14:paraId="3EF84905" w14:textId="3AA5820D" w:rsidR="002048D5" w:rsidRPr="00D127D6" w:rsidRDefault="002048D5" w:rsidP="005411D3">
      <w:pPr>
        <w:spacing w:after="120" w:line="276" w:lineRule="auto"/>
        <w:jc w:val="both"/>
        <w:rPr>
          <w:rFonts w:cs="Tahoma"/>
          <w:szCs w:val="24"/>
        </w:rPr>
      </w:pPr>
      <w:r w:rsidRPr="00D127D6">
        <w:rPr>
          <w:rFonts w:cs="Tahoma"/>
          <w:szCs w:val="24"/>
        </w:rPr>
        <w:t xml:space="preserve">Following the successful passage of the Withdrawal Agreement Act, the preparatory work for a potential ‘no-deal’ on </w:t>
      </w:r>
      <w:r w:rsidRPr="001D0252">
        <w:rPr>
          <w:rFonts w:cs="Tahoma"/>
          <w:b/>
          <w:szCs w:val="24"/>
        </w:rPr>
        <w:t>31 January 2020</w:t>
      </w:r>
      <w:r w:rsidRPr="00D127D6">
        <w:rPr>
          <w:rFonts w:cs="Tahoma"/>
          <w:szCs w:val="24"/>
        </w:rPr>
        <w:t xml:space="preserve"> was de-escalated.</w:t>
      </w:r>
    </w:p>
    <w:p w14:paraId="19C46FA3" w14:textId="0C13A120" w:rsidR="002048D5" w:rsidRPr="00D127D6" w:rsidRDefault="002048D5" w:rsidP="005411D3">
      <w:pPr>
        <w:spacing w:after="120" w:line="276" w:lineRule="auto"/>
        <w:jc w:val="both"/>
        <w:rPr>
          <w:szCs w:val="24"/>
        </w:rPr>
      </w:pPr>
    </w:p>
    <w:p w14:paraId="6819114E" w14:textId="004A8E92" w:rsidR="00345C06" w:rsidRPr="00D127D6" w:rsidRDefault="00345C06" w:rsidP="005411D3">
      <w:pPr>
        <w:spacing w:after="120" w:line="276" w:lineRule="auto"/>
        <w:jc w:val="both"/>
        <w:rPr>
          <w:b/>
          <w:szCs w:val="24"/>
        </w:rPr>
      </w:pPr>
      <w:r w:rsidRPr="00D127D6">
        <w:rPr>
          <w:b/>
          <w:szCs w:val="24"/>
        </w:rPr>
        <w:t>4</w:t>
      </w:r>
      <w:r w:rsidRPr="00D127D6">
        <w:rPr>
          <w:b/>
          <w:szCs w:val="24"/>
        </w:rPr>
        <w:tab/>
        <w:t>Our future role</w:t>
      </w:r>
    </w:p>
    <w:p w14:paraId="162D884D" w14:textId="4B40C763" w:rsidR="00345C06" w:rsidRPr="00D127D6" w:rsidRDefault="00345C06" w:rsidP="005411D3">
      <w:pPr>
        <w:spacing w:after="120" w:line="276" w:lineRule="auto"/>
        <w:jc w:val="both"/>
        <w:rPr>
          <w:rFonts w:cs="Tahoma"/>
          <w:szCs w:val="24"/>
        </w:rPr>
      </w:pPr>
      <w:r w:rsidRPr="00D127D6">
        <w:rPr>
          <w:rFonts w:cs="Tahoma"/>
          <w:szCs w:val="24"/>
        </w:rPr>
        <w:t xml:space="preserve">With the passing of the deadline </w:t>
      </w:r>
      <w:r w:rsidR="000003C4">
        <w:rPr>
          <w:rFonts w:cs="Tahoma"/>
          <w:szCs w:val="24"/>
        </w:rPr>
        <w:t>to extend</w:t>
      </w:r>
      <w:r w:rsidRPr="00D127D6">
        <w:rPr>
          <w:rFonts w:cs="Tahoma"/>
          <w:szCs w:val="24"/>
        </w:rPr>
        <w:t xml:space="preserve"> the</w:t>
      </w:r>
      <w:r w:rsidR="000003C4">
        <w:rPr>
          <w:rFonts w:cs="Tahoma"/>
          <w:szCs w:val="24"/>
        </w:rPr>
        <w:t xml:space="preserve"> UK</w:t>
      </w:r>
      <w:r w:rsidRPr="00D127D6">
        <w:rPr>
          <w:rFonts w:cs="Tahoma"/>
          <w:szCs w:val="24"/>
        </w:rPr>
        <w:t xml:space="preserve"> transition period, there is </w:t>
      </w:r>
      <w:r w:rsidR="00E55718">
        <w:rPr>
          <w:rFonts w:cs="Tahoma"/>
          <w:szCs w:val="24"/>
        </w:rPr>
        <w:t xml:space="preserve">a </w:t>
      </w:r>
      <w:r w:rsidRPr="00D127D6">
        <w:rPr>
          <w:rFonts w:cs="Tahoma"/>
          <w:szCs w:val="24"/>
        </w:rPr>
        <w:t xml:space="preserve">need for Public Health Wales to reassess its preparations for </w:t>
      </w:r>
      <w:r w:rsidR="00EA7139">
        <w:rPr>
          <w:rFonts w:cs="Tahoma"/>
          <w:szCs w:val="24"/>
        </w:rPr>
        <w:t xml:space="preserve">the </w:t>
      </w:r>
      <w:r w:rsidR="000003C4">
        <w:rPr>
          <w:rFonts w:cs="Tahoma"/>
          <w:szCs w:val="24"/>
        </w:rPr>
        <w:t>possibility of a ‘no deal’ future relationship scenario</w:t>
      </w:r>
      <w:r w:rsidRPr="00D127D6">
        <w:rPr>
          <w:rFonts w:cs="Tahoma"/>
          <w:szCs w:val="24"/>
        </w:rPr>
        <w:t xml:space="preserve">. In addition, it is important to consider our organisational role during trade negotiations with non-EU countries. This should be carried out with the lens of </w:t>
      </w:r>
      <w:r w:rsidR="00F35656">
        <w:rPr>
          <w:rFonts w:cs="Tahoma"/>
          <w:szCs w:val="24"/>
        </w:rPr>
        <w:t>COVID</w:t>
      </w:r>
      <w:r w:rsidRPr="00D127D6">
        <w:rPr>
          <w:rFonts w:cs="Tahoma"/>
          <w:szCs w:val="24"/>
        </w:rPr>
        <w:t xml:space="preserve">-19, which has exacerbated and highlighted a range of issues such as increasing poverty and inequity, rising concerns about unemployment, worsening population mental wellbeing and impacts on specific groups such as those </w:t>
      </w:r>
      <w:r w:rsidRPr="00D127D6">
        <w:rPr>
          <w:rFonts w:cs="Tahoma"/>
          <w:szCs w:val="24"/>
        </w:rPr>
        <w:lastRenderedPageBreak/>
        <w:t xml:space="preserve">with a low income, children and young people and people from BAME </w:t>
      </w:r>
      <w:r w:rsidR="00B16000" w:rsidRPr="00D127D6">
        <w:rPr>
          <w:rFonts w:cs="Tahoma"/>
          <w:szCs w:val="24"/>
        </w:rPr>
        <w:t>backgrounds</w:t>
      </w:r>
      <w:r w:rsidRPr="00D127D6">
        <w:rPr>
          <w:rFonts w:cs="Tahoma"/>
          <w:szCs w:val="24"/>
        </w:rPr>
        <w:t xml:space="preserve">. </w:t>
      </w:r>
    </w:p>
    <w:p w14:paraId="6BD29F4D" w14:textId="4E5631D9" w:rsidR="00345C06" w:rsidRPr="00D127D6" w:rsidRDefault="00345C06" w:rsidP="005411D3">
      <w:pPr>
        <w:spacing w:after="120" w:line="276" w:lineRule="auto"/>
        <w:jc w:val="both"/>
        <w:rPr>
          <w:rFonts w:cs="Tahoma"/>
          <w:szCs w:val="24"/>
        </w:rPr>
      </w:pPr>
      <w:r w:rsidRPr="00D127D6">
        <w:rPr>
          <w:rFonts w:cs="Tahoma"/>
          <w:szCs w:val="24"/>
        </w:rPr>
        <w:t xml:space="preserve">The following section </w:t>
      </w:r>
      <w:r w:rsidR="004C4729">
        <w:rPr>
          <w:rFonts w:cs="Tahoma"/>
          <w:szCs w:val="24"/>
        </w:rPr>
        <w:t>summarise</w:t>
      </w:r>
      <w:r w:rsidRPr="00D127D6">
        <w:rPr>
          <w:rFonts w:cs="Tahoma"/>
          <w:szCs w:val="24"/>
        </w:rPr>
        <w:t xml:space="preserve"> Public Health Wales</w:t>
      </w:r>
      <w:r w:rsidR="004C4729">
        <w:rPr>
          <w:rFonts w:cs="Tahoma"/>
          <w:szCs w:val="24"/>
        </w:rPr>
        <w:t>’</w:t>
      </w:r>
      <w:r w:rsidRPr="00D127D6">
        <w:rPr>
          <w:rFonts w:cs="Tahoma"/>
          <w:szCs w:val="24"/>
        </w:rPr>
        <w:t xml:space="preserve"> </w:t>
      </w:r>
      <w:r w:rsidR="004C4729">
        <w:rPr>
          <w:rFonts w:cs="Tahoma"/>
          <w:szCs w:val="24"/>
        </w:rPr>
        <w:t>plans to</w:t>
      </w:r>
      <w:r w:rsidRPr="00D127D6">
        <w:rPr>
          <w:rFonts w:cs="Tahoma"/>
          <w:szCs w:val="24"/>
        </w:rPr>
        <w:t xml:space="preserve"> respon</w:t>
      </w:r>
      <w:r w:rsidR="004C4729">
        <w:rPr>
          <w:rFonts w:cs="Tahoma"/>
          <w:szCs w:val="24"/>
        </w:rPr>
        <w:t>d</w:t>
      </w:r>
      <w:r w:rsidRPr="00D127D6">
        <w:rPr>
          <w:rFonts w:cs="Tahoma"/>
          <w:szCs w:val="24"/>
        </w:rPr>
        <w:t xml:space="preserve"> to growing concerns related to </w:t>
      </w:r>
      <w:r w:rsidR="00924226">
        <w:rPr>
          <w:rFonts w:cs="Tahoma"/>
          <w:szCs w:val="24"/>
        </w:rPr>
        <w:t>UK</w:t>
      </w:r>
      <w:r w:rsidRPr="00D127D6">
        <w:rPr>
          <w:rFonts w:cs="Tahoma"/>
          <w:szCs w:val="24"/>
        </w:rPr>
        <w:t xml:space="preserve"> transition, in the context of </w:t>
      </w:r>
      <w:r w:rsidR="00F35656">
        <w:rPr>
          <w:rFonts w:cs="Tahoma"/>
          <w:szCs w:val="24"/>
        </w:rPr>
        <w:t>COVID</w:t>
      </w:r>
      <w:r w:rsidRPr="00D127D6">
        <w:rPr>
          <w:rFonts w:cs="Tahoma"/>
          <w:szCs w:val="24"/>
        </w:rPr>
        <w:t>-19.</w:t>
      </w:r>
      <w:r w:rsidR="00056CD5">
        <w:rPr>
          <w:rFonts w:cs="Tahoma"/>
          <w:szCs w:val="24"/>
        </w:rPr>
        <w:t xml:space="preserve"> Some </w:t>
      </w:r>
      <w:r w:rsidR="00163FE5">
        <w:rPr>
          <w:rFonts w:cs="Tahoma"/>
          <w:szCs w:val="24"/>
        </w:rPr>
        <w:t>actions are</w:t>
      </w:r>
      <w:r w:rsidR="00056CD5">
        <w:rPr>
          <w:rFonts w:cs="Tahoma"/>
          <w:szCs w:val="24"/>
        </w:rPr>
        <w:t xml:space="preserve"> dependent on capacity and resources; </w:t>
      </w:r>
      <w:r w:rsidR="00163FE5" w:rsidRPr="002077A2">
        <w:rPr>
          <w:rFonts w:cs="Tahoma"/>
          <w:szCs w:val="24"/>
        </w:rPr>
        <w:t xml:space="preserve">it is anticipated that this </w:t>
      </w:r>
      <w:r w:rsidR="00056CD5" w:rsidRPr="002077A2">
        <w:rPr>
          <w:rFonts w:cs="Tahoma"/>
          <w:szCs w:val="24"/>
        </w:rPr>
        <w:t xml:space="preserve">work </w:t>
      </w:r>
      <w:r w:rsidR="00163FE5" w:rsidRPr="002077A2">
        <w:rPr>
          <w:rFonts w:cs="Tahoma"/>
          <w:szCs w:val="24"/>
        </w:rPr>
        <w:t xml:space="preserve">will be </w:t>
      </w:r>
      <w:r w:rsidR="00056CD5" w:rsidRPr="002077A2">
        <w:rPr>
          <w:rFonts w:cs="Tahoma"/>
          <w:szCs w:val="24"/>
        </w:rPr>
        <w:t>align</w:t>
      </w:r>
      <w:r w:rsidR="00163FE5" w:rsidRPr="002077A2">
        <w:rPr>
          <w:rFonts w:cs="Tahoma"/>
          <w:szCs w:val="24"/>
        </w:rPr>
        <w:t>ed</w:t>
      </w:r>
      <w:r w:rsidR="00056CD5" w:rsidRPr="002077A2">
        <w:rPr>
          <w:rFonts w:cs="Tahoma"/>
          <w:szCs w:val="24"/>
        </w:rPr>
        <w:t xml:space="preserve"> </w:t>
      </w:r>
      <w:r w:rsidR="00163FE5" w:rsidRPr="002077A2">
        <w:rPr>
          <w:rFonts w:cs="Tahoma"/>
          <w:szCs w:val="24"/>
        </w:rPr>
        <w:t xml:space="preserve">and integrated with the emerging </w:t>
      </w:r>
      <w:proofErr w:type="spellStart"/>
      <w:r w:rsidR="00163FE5" w:rsidRPr="002077A2">
        <w:rPr>
          <w:rFonts w:cs="Tahoma"/>
          <w:szCs w:val="24"/>
        </w:rPr>
        <w:t>workplan</w:t>
      </w:r>
      <w:proofErr w:type="spellEnd"/>
      <w:r w:rsidR="00163FE5" w:rsidRPr="002077A2">
        <w:rPr>
          <w:rFonts w:cs="Tahoma"/>
          <w:szCs w:val="24"/>
        </w:rPr>
        <w:t xml:space="preserve"> of the COVID-19 Population Health Strategic Group</w:t>
      </w:r>
      <w:r w:rsidR="00924226" w:rsidRPr="002077A2">
        <w:rPr>
          <w:rFonts w:cs="Tahoma"/>
          <w:szCs w:val="24"/>
        </w:rPr>
        <w:t xml:space="preserve"> and the Health Protection </w:t>
      </w:r>
      <w:r w:rsidR="003B7599" w:rsidRPr="002077A2">
        <w:rPr>
          <w:rFonts w:cs="Tahoma"/>
          <w:szCs w:val="24"/>
        </w:rPr>
        <w:t>Group</w:t>
      </w:r>
      <w:r w:rsidR="00163FE5" w:rsidRPr="002077A2">
        <w:rPr>
          <w:rFonts w:cs="Tahoma"/>
          <w:szCs w:val="24"/>
        </w:rPr>
        <w:t>.</w:t>
      </w:r>
      <w:r w:rsidR="00163FE5">
        <w:rPr>
          <w:rFonts w:cs="Tahoma"/>
          <w:szCs w:val="24"/>
        </w:rPr>
        <w:t xml:space="preserve"> </w:t>
      </w:r>
    </w:p>
    <w:p w14:paraId="5F74B966" w14:textId="75EBF76E" w:rsidR="00680CAE" w:rsidRPr="00D127D6" w:rsidRDefault="00680CAE" w:rsidP="005411D3">
      <w:pPr>
        <w:spacing w:after="120" w:line="276" w:lineRule="auto"/>
        <w:jc w:val="both"/>
        <w:rPr>
          <w:color w:val="FF0000"/>
          <w:szCs w:val="24"/>
        </w:rPr>
      </w:pPr>
    </w:p>
    <w:p w14:paraId="78801F09" w14:textId="41B61012" w:rsidR="00345C06" w:rsidRPr="00D127D6" w:rsidRDefault="00345C06" w:rsidP="005411D3">
      <w:pPr>
        <w:spacing w:after="120" w:line="276" w:lineRule="auto"/>
        <w:jc w:val="both"/>
        <w:rPr>
          <w:b/>
          <w:szCs w:val="24"/>
        </w:rPr>
      </w:pPr>
      <w:r w:rsidRPr="00D127D6">
        <w:rPr>
          <w:b/>
          <w:szCs w:val="24"/>
        </w:rPr>
        <w:t>4.1</w:t>
      </w:r>
      <w:r w:rsidRPr="00D127D6">
        <w:rPr>
          <w:b/>
          <w:szCs w:val="24"/>
        </w:rPr>
        <w:tab/>
        <w:t xml:space="preserve"> </w:t>
      </w:r>
      <w:r w:rsidR="00BD0ED1">
        <w:rPr>
          <w:b/>
          <w:szCs w:val="24"/>
        </w:rPr>
        <w:t xml:space="preserve">Public Health Wales’ Preparedness and System Leadership for </w:t>
      </w:r>
      <w:r w:rsidRPr="00D127D6">
        <w:rPr>
          <w:b/>
          <w:szCs w:val="24"/>
        </w:rPr>
        <w:t xml:space="preserve">Health </w:t>
      </w:r>
      <w:r w:rsidR="00BD0ED1">
        <w:rPr>
          <w:b/>
          <w:szCs w:val="24"/>
        </w:rPr>
        <w:t>S</w:t>
      </w:r>
      <w:r w:rsidRPr="00D127D6">
        <w:rPr>
          <w:b/>
          <w:szCs w:val="24"/>
        </w:rPr>
        <w:t>ecurities/</w:t>
      </w:r>
      <w:r w:rsidR="00BD0ED1">
        <w:rPr>
          <w:b/>
          <w:szCs w:val="24"/>
        </w:rPr>
        <w:t>H</w:t>
      </w:r>
      <w:r w:rsidRPr="00D127D6">
        <w:rPr>
          <w:b/>
          <w:szCs w:val="24"/>
        </w:rPr>
        <w:t xml:space="preserve">ealth </w:t>
      </w:r>
      <w:r w:rsidR="00BD0ED1">
        <w:rPr>
          <w:b/>
          <w:szCs w:val="24"/>
        </w:rPr>
        <w:t>P</w:t>
      </w:r>
      <w:r w:rsidRPr="00D127D6">
        <w:rPr>
          <w:b/>
          <w:szCs w:val="24"/>
        </w:rPr>
        <w:t>rotection</w:t>
      </w:r>
    </w:p>
    <w:p w14:paraId="2C74753A" w14:textId="33353F09" w:rsidR="00345C06" w:rsidRDefault="00345C06" w:rsidP="005411D3">
      <w:pPr>
        <w:spacing w:after="120" w:line="276" w:lineRule="auto"/>
        <w:jc w:val="both"/>
        <w:rPr>
          <w:rFonts w:cs="Tahoma"/>
          <w:szCs w:val="24"/>
        </w:rPr>
      </w:pPr>
      <w:r w:rsidRPr="00D127D6">
        <w:rPr>
          <w:rFonts w:cs="Tahoma"/>
          <w:szCs w:val="24"/>
        </w:rPr>
        <w:t xml:space="preserve">The UK’s exit from the EU is taking place at the same time as the entire European continent is grappling with the biggest public health emergency the world has faced in more than a century. The challenges and impacts arising from COVID-19 demonstrate powerfully the case for international collaboration. </w:t>
      </w:r>
    </w:p>
    <w:p w14:paraId="1CC0185C" w14:textId="3AD9A8F3" w:rsidR="00BD0ED1" w:rsidRPr="00D127D6" w:rsidRDefault="00BD0ED1" w:rsidP="005411D3">
      <w:pPr>
        <w:spacing w:after="120" w:line="276" w:lineRule="auto"/>
        <w:jc w:val="both"/>
        <w:rPr>
          <w:rFonts w:cs="Tahoma"/>
          <w:szCs w:val="24"/>
        </w:rPr>
      </w:pPr>
      <w:r>
        <w:rPr>
          <w:rFonts w:cs="Tahoma"/>
          <w:szCs w:val="24"/>
        </w:rPr>
        <w:t>Public Health Wales will formally restart its preparedness work in September 2020</w:t>
      </w:r>
      <w:r w:rsidR="00CD4F4C">
        <w:rPr>
          <w:rFonts w:cs="Tahoma"/>
          <w:szCs w:val="24"/>
        </w:rPr>
        <w:t>,</w:t>
      </w:r>
      <w:r>
        <w:rPr>
          <w:rFonts w:cs="Tahoma"/>
          <w:szCs w:val="24"/>
        </w:rPr>
        <w:t xml:space="preserve"> through to re-establishment of our internal </w:t>
      </w:r>
      <w:proofErr w:type="spellStart"/>
      <w:r>
        <w:rPr>
          <w:rFonts w:cs="Tahoma"/>
          <w:szCs w:val="24"/>
        </w:rPr>
        <w:t>Brexit</w:t>
      </w:r>
      <w:proofErr w:type="spellEnd"/>
      <w:r>
        <w:rPr>
          <w:rFonts w:cs="Tahoma"/>
          <w:szCs w:val="24"/>
        </w:rPr>
        <w:t xml:space="preserve"> Programme and the Health Securities Group that we lead on behalf of Welsh Government. </w:t>
      </w:r>
    </w:p>
    <w:p w14:paraId="0AC1F68F" w14:textId="509A77E1" w:rsidR="00345C06" w:rsidRPr="00D127D6" w:rsidRDefault="00BD0ED1" w:rsidP="005411D3">
      <w:pPr>
        <w:spacing w:after="120" w:line="276" w:lineRule="auto"/>
        <w:jc w:val="both"/>
        <w:rPr>
          <w:rFonts w:cs="Tahoma"/>
          <w:szCs w:val="24"/>
        </w:rPr>
      </w:pPr>
      <w:r>
        <w:rPr>
          <w:rFonts w:cs="Tahoma"/>
          <w:szCs w:val="24"/>
        </w:rPr>
        <w:t xml:space="preserve">The Health Securities Group, which includes representatives from key public sector organisations across Wales (e.g. Food Standards Agency, Welsh Local Government Association), will meet for the first time on 14 September. </w:t>
      </w:r>
      <w:r w:rsidR="00345C06" w:rsidRPr="00D127D6">
        <w:rPr>
          <w:rFonts w:cs="Tahoma"/>
          <w:szCs w:val="24"/>
        </w:rPr>
        <w:t>Public Health Wales has maintained close contact with the other UK countries as well as the Republic of Ireland throughout 2020, the most recent meeting taking place on 28 July 2020. The collective view of the four UK public health agencies is that the previously assessed risks to health security have not changed and therefore previous mitigations apply. These are both internal, for example, assuring supplies, and external, for example, maintaining bilateral and multilateral relationships with other national public health institutes in Europe.</w:t>
      </w:r>
      <w:r>
        <w:rPr>
          <w:rFonts w:cs="Tahoma"/>
          <w:szCs w:val="24"/>
        </w:rPr>
        <w:t xml:space="preserve"> Work will be undertaken during October and November to review these risks, with appropriate internal and external input, and ensure appropriate mitigations are in place, where possible. </w:t>
      </w:r>
    </w:p>
    <w:p w14:paraId="4E1C802C" w14:textId="5E0843E4" w:rsidR="00345C06" w:rsidRDefault="00345C06" w:rsidP="005411D3">
      <w:pPr>
        <w:spacing w:after="120" w:line="276" w:lineRule="auto"/>
        <w:jc w:val="both"/>
        <w:rPr>
          <w:rFonts w:cs="Tahoma"/>
          <w:szCs w:val="24"/>
        </w:rPr>
      </w:pPr>
      <w:r w:rsidRPr="00D127D6">
        <w:rPr>
          <w:rFonts w:cs="Tahoma"/>
          <w:szCs w:val="24"/>
        </w:rPr>
        <w:t>Public Health Wales has planned an internal programme of business impact and risk-based business continuity assessment over the next three months alongside reassessment of stocks and supplies, and contingency planning for critical supplies like culture media.</w:t>
      </w:r>
      <w:r w:rsidR="00BD0ED1">
        <w:rPr>
          <w:rFonts w:cs="Tahoma"/>
          <w:szCs w:val="24"/>
        </w:rPr>
        <w:t xml:space="preserve"> This will be led by a Senior Responsible Officer and managed through a formal programme of work. A </w:t>
      </w:r>
      <w:r w:rsidR="00BD0ED1">
        <w:rPr>
          <w:rFonts w:cs="Tahoma"/>
          <w:szCs w:val="24"/>
        </w:rPr>
        <w:lastRenderedPageBreak/>
        <w:t>plan is being finalised, which is informed by Public Health Wales’ ‘No-Deal’ Activation Plan agreed in July 2019. This focuses on three key stages for our preparedness:</w:t>
      </w:r>
    </w:p>
    <w:p w14:paraId="7E216ED8" w14:textId="1A8439C2" w:rsidR="00BD0ED1" w:rsidRDefault="00BD0ED1" w:rsidP="00961990">
      <w:pPr>
        <w:pStyle w:val="ListParagraph"/>
        <w:numPr>
          <w:ilvl w:val="0"/>
          <w:numId w:val="30"/>
        </w:numPr>
        <w:spacing w:after="120" w:line="276" w:lineRule="auto"/>
        <w:jc w:val="both"/>
        <w:rPr>
          <w:rFonts w:cs="Tahoma"/>
          <w:szCs w:val="24"/>
        </w:rPr>
      </w:pPr>
      <w:r>
        <w:rPr>
          <w:rFonts w:cs="Tahoma"/>
          <w:szCs w:val="24"/>
        </w:rPr>
        <w:t>Planning (September – November 2020)</w:t>
      </w:r>
    </w:p>
    <w:p w14:paraId="5DA8963A" w14:textId="5F36784D" w:rsidR="00BD0ED1" w:rsidRDefault="00BD0ED1" w:rsidP="00961990">
      <w:pPr>
        <w:pStyle w:val="ListParagraph"/>
        <w:numPr>
          <w:ilvl w:val="0"/>
          <w:numId w:val="30"/>
        </w:numPr>
        <w:spacing w:after="120" w:line="276" w:lineRule="auto"/>
        <w:jc w:val="both"/>
        <w:rPr>
          <w:rFonts w:cs="Tahoma"/>
          <w:szCs w:val="24"/>
        </w:rPr>
      </w:pPr>
      <w:r>
        <w:rPr>
          <w:rFonts w:cs="Tahoma"/>
          <w:szCs w:val="24"/>
        </w:rPr>
        <w:t>Shadow Response (4 weeks from 31 December)</w:t>
      </w:r>
    </w:p>
    <w:p w14:paraId="47B20B9F" w14:textId="1AEA1B78" w:rsidR="00BD0ED1" w:rsidRPr="00BD0ED1" w:rsidRDefault="00BD0ED1" w:rsidP="00961990">
      <w:pPr>
        <w:pStyle w:val="ListParagraph"/>
        <w:numPr>
          <w:ilvl w:val="0"/>
          <w:numId w:val="30"/>
        </w:numPr>
        <w:spacing w:after="120" w:line="276" w:lineRule="auto"/>
        <w:jc w:val="both"/>
        <w:rPr>
          <w:rFonts w:cs="Tahoma"/>
          <w:szCs w:val="24"/>
        </w:rPr>
      </w:pPr>
      <w:r>
        <w:rPr>
          <w:rFonts w:cs="Tahoma"/>
          <w:szCs w:val="24"/>
        </w:rPr>
        <w:t>Response (2 weeks from 31 December)</w:t>
      </w:r>
    </w:p>
    <w:p w14:paraId="366E08FA" w14:textId="77777777" w:rsidR="00345C06" w:rsidRPr="00D127D6" w:rsidRDefault="00345C06" w:rsidP="005411D3">
      <w:pPr>
        <w:spacing w:after="120" w:line="276" w:lineRule="auto"/>
        <w:jc w:val="both"/>
        <w:rPr>
          <w:rFonts w:cs="Tahoma"/>
          <w:szCs w:val="24"/>
        </w:rPr>
      </w:pPr>
      <w:r w:rsidRPr="00D127D6">
        <w:rPr>
          <w:rFonts w:cs="Tahoma"/>
          <w:szCs w:val="24"/>
        </w:rPr>
        <w:t>At the UK level the two key issues of interest remain as before: access to the European Warning and Reporting System (EWRS) – EU partners see the mutual benefit in this – and any future relationship with the European Centres for Disease Control and Prevention (ECDC).</w:t>
      </w:r>
    </w:p>
    <w:p w14:paraId="5F74B967" w14:textId="5AC60DF4" w:rsidR="00680CAE" w:rsidRPr="00D127D6" w:rsidRDefault="00680CAE" w:rsidP="005411D3">
      <w:pPr>
        <w:spacing w:after="120" w:line="276" w:lineRule="auto"/>
        <w:jc w:val="both"/>
        <w:rPr>
          <w:color w:val="FF0000"/>
          <w:szCs w:val="24"/>
        </w:rPr>
      </w:pPr>
    </w:p>
    <w:p w14:paraId="7B12208E" w14:textId="0E7C0507" w:rsidR="00345C06" w:rsidRPr="00D127D6" w:rsidRDefault="00345C06" w:rsidP="005411D3">
      <w:pPr>
        <w:spacing w:after="120" w:line="276" w:lineRule="auto"/>
        <w:jc w:val="both"/>
        <w:rPr>
          <w:b/>
          <w:szCs w:val="24"/>
        </w:rPr>
      </w:pPr>
      <w:r w:rsidRPr="00D127D6">
        <w:rPr>
          <w:b/>
          <w:szCs w:val="24"/>
        </w:rPr>
        <w:t>4.2</w:t>
      </w:r>
      <w:r w:rsidRPr="00D127D6">
        <w:rPr>
          <w:b/>
          <w:szCs w:val="24"/>
        </w:rPr>
        <w:tab/>
        <w:t>Policy and evidence</w:t>
      </w:r>
    </w:p>
    <w:p w14:paraId="593E6EAF" w14:textId="6B029A95" w:rsidR="00345C06" w:rsidRPr="00D127D6" w:rsidRDefault="00345C06" w:rsidP="005411D3">
      <w:pPr>
        <w:spacing w:after="120" w:line="276" w:lineRule="auto"/>
        <w:jc w:val="both"/>
        <w:rPr>
          <w:rFonts w:cs="Tahoma"/>
          <w:szCs w:val="24"/>
        </w:rPr>
      </w:pPr>
      <w:r w:rsidRPr="00D127D6">
        <w:rPr>
          <w:rFonts w:cs="Tahoma"/>
          <w:szCs w:val="24"/>
        </w:rPr>
        <w:t>There is a growing appreciation of the importance of rapidly strengthening knowledge and understanding within the public health workforce and the wider system in Wales</w:t>
      </w:r>
      <w:r w:rsidR="00B164A0">
        <w:rPr>
          <w:rFonts w:cs="Tahoma"/>
          <w:szCs w:val="24"/>
        </w:rPr>
        <w:t>,</w:t>
      </w:r>
      <w:r w:rsidR="00EF5883">
        <w:rPr>
          <w:rFonts w:cs="Tahoma"/>
          <w:szCs w:val="24"/>
        </w:rPr>
        <w:t xml:space="preserve"> regarding</w:t>
      </w:r>
      <w:r w:rsidRPr="00D127D6">
        <w:rPr>
          <w:rFonts w:cs="Tahoma"/>
          <w:szCs w:val="24"/>
        </w:rPr>
        <w:t xml:space="preserve"> a</w:t>
      </w:r>
      <w:r w:rsidR="00EF5883">
        <w:rPr>
          <w:rFonts w:cs="Tahoma"/>
          <w:szCs w:val="24"/>
        </w:rPr>
        <w:t xml:space="preserve">reas such as the </w:t>
      </w:r>
      <w:proofErr w:type="spellStart"/>
      <w:r w:rsidR="00EF5883">
        <w:rPr>
          <w:rFonts w:cs="Tahoma"/>
          <w:szCs w:val="24"/>
        </w:rPr>
        <w:t>Brexit</w:t>
      </w:r>
      <w:proofErr w:type="spellEnd"/>
      <w:r w:rsidR="00EF5883">
        <w:rPr>
          <w:rFonts w:cs="Tahoma"/>
          <w:szCs w:val="24"/>
        </w:rPr>
        <w:t xml:space="preserve"> process;</w:t>
      </w:r>
      <w:r w:rsidRPr="00D127D6">
        <w:rPr>
          <w:rFonts w:cs="Tahoma"/>
          <w:szCs w:val="24"/>
        </w:rPr>
        <w:t xml:space="preserve"> trade and trade deals</w:t>
      </w:r>
      <w:r w:rsidR="00EF5883">
        <w:rPr>
          <w:rFonts w:cs="Tahoma"/>
          <w:szCs w:val="24"/>
        </w:rPr>
        <w:t>;</w:t>
      </w:r>
      <w:r w:rsidRPr="00D127D6">
        <w:rPr>
          <w:rFonts w:cs="Tahoma"/>
          <w:szCs w:val="24"/>
        </w:rPr>
        <w:t xml:space="preserve"> and </w:t>
      </w:r>
      <w:r w:rsidR="00EF5883">
        <w:rPr>
          <w:rFonts w:cs="Tahoma"/>
          <w:szCs w:val="24"/>
        </w:rPr>
        <w:t xml:space="preserve">the </w:t>
      </w:r>
      <w:r w:rsidRPr="00D127D6">
        <w:rPr>
          <w:rFonts w:cs="Tahoma"/>
          <w:szCs w:val="24"/>
        </w:rPr>
        <w:t xml:space="preserve">potential implications for Welsh population health and wellbeing. This needs to be </w:t>
      </w:r>
      <w:r w:rsidR="0072746C">
        <w:rPr>
          <w:rFonts w:cs="Tahoma"/>
          <w:szCs w:val="24"/>
        </w:rPr>
        <w:t xml:space="preserve">undertaken </w:t>
      </w:r>
      <w:r w:rsidRPr="00D127D6">
        <w:rPr>
          <w:rFonts w:cs="Tahoma"/>
          <w:szCs w:val="24"/>
        </w:rPr>
        <w:t xml:space="preserve">in the context of </w:t>
      </w:r>
      <w:r w:rsidR="00F35656">
        <w:rPr>
          <w:rFonts w:cs="Tahoma"/>
          <w:szCs w:val="24"/>
        </w:rPr>
        <w:t>COVID</w:t>
      </w:r>
      <w:r w:rsidRPr="00D127D6">
        <w:rPr>
          <w:rFonts w:cs="Tahoma"/>
          <w:szCs w:val="24"/>
        </w:rPr>
        <w:t xml:space="preserve">-19 and </w:t>
      </w:r>
      <w:r w:rsidR="00F35656">
        <w:rPr>
          <w:rFonts w:cs="Tahoma"/>
          <w:szCs w:val="24"/>
        </w:rPr>
        <w:t>COVID</w:t>
      </w:r>
      <w:r w:rsidRPr="00D127D6">
        <w:rPr>
          <w:rFonts w:cs="Tahoma"/>
          <w:szCs w:val="24"/>
        </w:rPr>
        <w:t xml:space="preserve">-19 recovery planning and will need to utilise data and intelligence already available from both within the organisation and stakeholder organisations. </w:t>
      </w:r>
    </w:p>
    <w:p w14:paraId="4B29043D" w14:textId="0E7D9C28" w:rsidR="00345C06" w:rsidRPr="00D127D6" w:rsidRDefault="00345C06" w:rsidP="005411D3">
      <w:pPr>
        <w:spacing w:after="120" w:line="276" w:lineRule="auto"/>
        <w:jc w:val="both"/>
        <w:rPr>
          <w:rFonts w:cs="Tahoma"/>
          <w:szCs w:val="24"/>
        </w:rPr>
      </w:pPr>
      <w:r w:rsidRPr="00D127D6">
        <w:rPr>
          <w:rFonts w:cs="Tahoma"/>
          <w:szCs w:val="24"/>
        </w:rPr>
        <w:t>A broad approach to addressing this (capacity and resources allowing), is the production of a suite of documents</w:t>
      </w:r>
      <w:r w:rsidR="003B7599">
        <w:rPr>
          <w:rFonts w:cs="Tahoma"/>
          <w:szCs w:val="24"/>
        </w:rPr>
        <w:t>,</w:t>
      </w:r>
      <w:r w:rsidRPr="00D127D6">
        <w:rPr>
          <w:rFonts w:cs="Tahoma"/>
          <w:szCs w:val="24"/>
        </w:rPr>
        <w:t xml:space="preserve"> which cumulatively strengthen knowledge and understanding over the coming months:</w:t>
      </w:r>
    </w:p>
    <w:p w14:paraId="7F946ACD" w14:textId="1284F995" w:rsidR="00345C06" w:rsidRPr="00D127D6" w:rsidRDefault="00345C06" w:rsidP="005411D3">
      <w:pPr>
        <w:pStyle w:val="ListParagraph"/>
        <w:numPr>
          <w:ilvl w:val="0"/>
          <w:numId w:val="26"/>
        </w:numPr>
        <w:spacing w:after="120" w:line="276" w:lineRule="auto"/>
        <w:jc w:val="both"/>
        <w:rPr>
          <w:rFonts w:cs="Tahoma"/>
          <w:szCs w:val="24"/>
        </w:rPr>
      </w:pPr>
      <w:r w:rsidRPr="00D127D6">
        <w:rPr>
          <w:rFonts w:cs="Tahoma"/>
          <w:szCs w:val="24"/>
        </w:rPr>
        <w:t xml:space="preserve">Undertaking a </w:t>
      </w:r>
      <w:r w:rsidRPr="00D127D6">
        <w:rPr>
          <w:rFonts w:cs="Tahoma"/>
          <w:b/>
          <w:szCs w:val="24"/>
        </w:rPr>
        <w:t>rapid review and analysis</w:t>
      </w:r>
      <w:r w:rsidRPr="00D127D6">
        <w:rPr>
          <w:rFonts w:cs="Tahoma"/>
          <w:szCs w:val="24"/>
        </w:rPr>
        <w:t xml:space="preserve"> of population impacts of </w:t>
      </w:r>
      <w:proofErr w:type="spellStart"/>
      <w:r w:rsidRPr="00D127D6">
        <w:rPr>
          <w:rFonts w:cs="Tahoma"/>
          <w:szCs w:val="24"/>
        </w:rPr>
        <w:t>Brexit</w:t>
      </w:r>
      <w:proofErr w:type="spellEnd"/>
      <w:r w:rsidRPr="00D127D6">
        <w:rPr>
          <w:rFonts w:cs="Tahoma"/>
          <w:szCs w:val="24"/>
        </w:rPr>
        <w:t xml:space="preserve"> </w:t>
      </w:r>
      <w:r w:rsidR="0072746C">
        <w:rPr>
          <w:rFonts w:cs="Tahoma"/>
          <w:szCs w:val="24"/>
        </w:rPr>
        <w:t>on</w:t>
      </w:r>
      <w:r w:rsidRPr="00D127D6">
        <w:rPr>
          <w:rFonts w:cs="Tahoma"/>
          <w:szCs w:val="24"/>
        </w:rPr>
        <w:t xml:space="preserve"> health and wellbeing. This would provide an update </w:t>
      </w:r>
      <w:r w:rsidR="005411D3">
        <w:rPr>
          <w:rFonts w:cs="Tahoma"/>
          <w:szCs w:val="24"/>
        </w:rPr>
        <w:t>on</w:t>
      </w:r>
      <w:r w:rsidRPr="00D127D6">
        <w:rPr>
          <w:rFonts w:cs="Tahoma"/>
          <w:szCs w:val="24"/>
        </w:rPr>
        <w:t xml:space="preserve"> previous Health Impact Assessment (HIA) reports</w:t>
      </w:r>
      <w:r w:rsidR="005F28FE">
        <w:rPr>
          <w:rFonts w:cs="Tahoma"/>
          <w:szCs w:val="24"/>
        </w:rPr>
        <w:t xml:space="preserve"> (underway)</w:t>
      </w:r>
    </w:p>
    <w:p w14:paraId="22A250EE" w14:textId="2A54BD82" w:rsidR="00345C06" w:rsidRPr="00457131" w:rsidRDefault="00345C06" w:rsidP="00457131">
      <w:pPr>
        <w:pStyle w:val="ListParagraph"/>
        <w:numPr>
          <w:ilvl w:val="0"/>
          <w:numId w:val="26"/>
        </w:numPr>
        <w:spacing w:after="120" w:line="276" w:lineRule="auto"/>
        <w:jc w:val="both"/>
        <w:rPr>
          <w:rFonts w:cs="Tahoma"/>
          <w:szCs w:val="24"/>
        </w:rPr>
      </w:pPr>
      <w:r w:rsidRPr="00457131">
        <w:rPr>
          <w:rFonts w:cs="Tahoma"/>
          <w:szCs w:val="24"/>
        </w:rPr>
        <w:t xml:space="preserve">A series of </w:t>
      </w:r>
      <w:r w:rsidRPr="00457131">
        <w:rPr>
          <w:rFonts w:cs="Tahoma"/>
          <w:b/>
          <w:szCs w:val="24"/>
        </w:rPr>
        <w:t>policy briefs</w:t>
      </w:r>
      <w:r w:rsidRPr="00457131">
        <w:rPr>
          <w:rFonts w:cs="Tahoma"/>
          <w:szCs w:val="24"/>
        </w:rPr>
        <w:t>, on topic areas such as</w:t>
      </w:r>
      <w:r w:rsidR="00457131" w:rsidRPr="00457131">
        <w:rPr>
          <w:rFonts w:cs="Tahoma"/>
          <w:szCs w:val="24"/>
        </w:rPr>
        <w:t xml:space="preserve"> </w:t>
      </w:r>
      <w:r w:rsidR="00457131">
        <w:rPr>
          <w:rFonts w:cs="Tahoma"/>
          <w:szCs w:val="24"/>
        </w:rPr>
        <w:t xml:space="preserve">the impacts of </w:t>
      </w:r>
      <w:r w:rsidRPr="00457131">
        <w:rPr>
          <w:rFonts w:cs="Tahoma"/>
          <w:szCs w:val="24"/>
        </w:rPr>
        <w:t xml:space="preserve"> trading using World Trade Organisation terms for Welsh population health and wellbeing</w:t>
      </w:r>
      <w:r w:rsidR="00457131">
        <w:rPr>
          <w:rFonts w:cs="Tahoma"/>
          <w:szCs w:val="24"/>
        </w:rPr>
        <w:t xml:space="preserve">; and </w:t>
      </w:r>
      <w:r w:rsidRPr="00457131">
        <w:rPr>
          <w:rFonts w:cs="Tahoma"/>
          <w:szCs w:val="24"/>
        </w:rPr>
        <w:t xml:space="preserve">mitigation measures for communities that are likely to be </w:t>
      </w:r>
      <w:r w:rsidR="00457131">
        <w:rPr>
          <w:rFonts w:cs="Tahoma"/>
          <w:szCs w:val="24"/>
        </w:rPr>
        <w:t xml:space="preserve">most </w:t>
      </w:r>
      <w:r w:rsidRPr="00457131">
        <w:rPr>
          <w:rFonts w:cs="Tahoma"/>
          <w:szCs w:val="24"/>
        </w:rPr>
        <w:t xml:space="preserve">affected by </w:t>
      </w:r>
      <w:r w:rsidR="00C26C1D">
        <w:rPr>
          <w:rFonts w:cs="Tahoma"/>
          <w:szCs w:val="24"/>
        </w:rPr>
        <w:t xml:space="preserve">dual impacts of </w:t>
      </w:r>
      <w:r w:rsidRPr="00457131">
        <w:rPr>
          <w:rFonts w:cs="Tahoma"/>
          <w:szCs w:val="24"/>
        </w:rPr>
        <w:t xml:space="preserve">altered trade patterns </w:t>
      </w:r>
      <w:r w:rsidR="00C26C1D">
        <w:rPr>
          <w:rFonts w:cs="Tahoma"/>
          <w:szCs w:val="24"/>
        </w:rPr>
        <w:t>and the wider harms of</w:t>
      </w:r>
      <w:r w:rsidRPr="00457131">
        <w:rPr>
          <w:rFonts w:cs="Tahoma"/>
          <w:szCs w:val="24"/>
        </w:rPr>
        <w:t xml:space="preserve"> </w:t>
      </w:r>
      <w:r w:rsidR="00F35656" w:rsidRPr="00457131">
        <w:rPr>
          <w:rFonts w:cs="Tahoma"/>
          <w:szCs w:val="24"/>
        </w:rPr>
        <w:t>COVID</w:t>
      </w:r>
      <w:r w:rsidRPr="00457131">
        <w:rPr>
          <w:rFonts w:cs="Tahoma"/>
          <w:szCs w:val="24"/>
        </w:rPr>
        <w:t xml:space="preserve">-19  </w:t>
      </w:r>
    </w:p>
    <w:p w14:paraId="48077248" w14:textId="3C3B8BF6" w:rsidR="00345C06" w:rsidRPr="00D127D6" w:rsidRDefault="00345C06" w:rsidP="005411D3">
      <w:pPr>
        <w:pStyle w:val="ListParagraph"/>
        <w:numPr>
          <w:ilvl w:val="0"/>
          <w:numId w:val="26"/>
        </w:numPr>
        <w:spacing w:after="120" w:line="276" w:lineRule="auto"/>
        <w:jc w:val="both"/>
        <w:rPr>
          <w:rFonts w:cs="Tahoma"/>
          <w:szCs w:val="24"/>
        </w:rPr>
      </w:pPr>
      <w:r w:rsidRPr="00D127D6">
        <w:rPr>
          <w:rFonts w:cs="Tahoma"/>
          <w:szCs w:val="24"/>
        </w:rPr>
        <w:t>“</w:t>
      </w:r>
      <w:r w:rsidRPr="00D127D6">
        <w:rPr>
          <w:rFonts w:cs="Tahoma"/>
          <w:b/>
          <w:szCs w:val="24"/>
        </w:rPr>
        <w:t>Insight reports</w:t>
      </w:r>
      <w:r w:rsidRPr="00D127D6">
        <w:rPr>
          <w:rFonts w:cs="Tahoma"/>
          <w:szCs w:val="24"/>
        </w:rPr>
        <w:t xml:space="preserve">” on </w:t>
      </w:r>
      <w:r w:rsidR="00C26C1D">
        <w:rPr>
          <w:rFonts w:cs="Tahoma"/>
          <w:szCs w:val="24"/>
        </w:rPr>
        <w:t xml:space="preserve">topic </w:t>
      </w:r>
      <w:r w:rsidRPr="00D127D6">
        <w:rPr>
          <w:rFonts w:cs="Tahoma"/>
          <w:szCs w:val="24"/>
        </w:rPr>
        <w:t>areas identified from the initial r</w:t>
      </w:r>
      <w:r w:rsidR="00C26C1D">
        <w:rPr>
          <w:rFonts w:cs="Tahoma"/>
          <w:szCs w:val="24"/>
        </w:rPr>
        <w:t>apid review and analysis. These insight reports will aim to</w:t>
      </w:r>
      <w:r w:rsidRPr="00D127D6">
        <w:rPr>
          <w:rFonts w:cs="Tahoma"/>
          <w:szCs w:val="24"/>
        </w:rPr>
        <w:t xml:space="preserve"> identify solutions at a policy and practical level, draw</w:t>
      </w:r>
      <w:r w:rsidR="00C26C1D">
        <w:rPr>
          <w:rFonts w:cs="Tahoma"/>
          <w:szCs w:val="24"/>
        </w:rPr>
        <w:t>ing</w:t>
      </w:r>
      <w:r w:rsidRPr="00D127D6">
        <w:rPr>
          <w:rFonts w:cs="Tahoma"/>
          <w:szCs w:val="24"/>
        </w:rPr>
        <w:t xml:space="preserve"> from international literature and evidence.  </w:t>
      </w:r>
    </w:p>
    <w:p w14:paraId="60B81A5B" w14:textId="0B5A9CE9" w:rsidR="00345C06" w:rsidRPr="00D127D6" w:rsidRDefault="00345C06" w:rsidP="005411D3">
      <w:pPr>
        <w:pStyle w:val="ListParagraph"/>
        <w:numPr>
          <w:ilvl w:val="0"/>
          <w:numId w:val="26"/>
        </w:numPr>
        <w:spacing w:after="120" w:line="276" w:lineRule="auto"/>
        <w:jc w:val="both"/>
        <w:rPr>
          <w:rFonts w:cs="Tahoma"/>
          <w:szCs w:val="24"/>
        </w:rPr>
      </w:pPr>
      <w:r w:rsidRPr="00D127D6">
        <w:rPr>
          <w:rFonts w:cs="Tahoma"/>
          <w:szCs w:val="24"/>
        </w:rPr>
        <w:t xml:space="preserve">Increasing </w:t>
      </w:r>
      <w:r w:rsidRPr="00D127D6">
        <w:rPr>
          <w:rFonts w:cs="Tahoma"/>
          <w:b/>
          <w:szCs w:val="24"/>
        </w:rPr>
        <w:t>knowledge and skills</w:t>
      </w:r>
      <w:r w:rsidRPr="00D127D6">
        <w:rPr>
          <w:rFonts w:cs="Tahoma"/>
          <w:szCs w:val="24"/>
        </w:rPr>
        <w:t xml:space="preserve"> regarding trade and trade deals, for example through a webinar/online workshop. Trade and trade agreements were identified in the </w:t>
      </w:r>
      <w:proofErr w:type="spellStart"/>
      <w:r w:rsidRPr="00D127D6">
        <w:rPr>
          <w:rFonts w:cs="Tahoma"/>
          <w:szCs w:val="24"/>
        </w:rPr>
        <w:t>Brexit</w:t>
      </w:r>
      <w:proofErr w:type="spellEnd"/>
      <w:r w:rsidRPr="00D127D6">
        <w:rPr>
          <w:rFonts w:cs="Tahoma"/>
          <w:szCs w:val="24"/>
        </w:rPr>
        <w:t xml:space="preserve"> HIA as a key determinant of health. Although negotiations will be led by UK Government, Welsh </w:t>
      </w:r>
      <w:r w:rsidRPr="00D127D6">
        <w:rPr>
          <w:rFonts w:cs="Tahoma"/>
          <w:szCs w:val="24"/>
        </w:rPr>
        <w:lastRenderedPageBreak/>
        <w:t xml:space="preserve">Government will </w:t>
      </w:r>
      <w:r w:rsidR="00056CD5">
        <w:rPr>
          <w:rFonts w:cs="Tahoma"/>
          <w:szCs w:val="24"/>
        </w:rPr>
        <w:t xml:space="preserve">have </w:t>
      </w:r>
      <w:r w:rsidR="00056CD5" w:rsidRPr="00D127D6">
        <w:rPr>
          <w:rFonts w:cs="Tahoma"/>
          <w:szCs w:val="24"/>
        </w:rPr>
        <w:t xml:space="preserve">its own position </w:t>
      </w:r>
      <w:r w:rsidR="00056CD5">
        <w:rPr>
          <w:rFonts w:cs="Tahoma"/>
          <w:szCs w:val="24"/>
        </w:rPr>
        <w:t xml:space="preserve">and will </w:t>
      </w:r>
      <w:r w:rsidRPr="00D127D6">
        <w:rPr>
          <w:rFonts w:cs="Tahoma"/>
          <w:szCs w:val="24"/>
        </w:rPr>
        <w:t xml:space="preserve">continue to seek to influence such discussions. Of note, Public Health Wales has previously been asked to provide rapid public health evidence to inform various Welsh Government positions on trade negotiations; these requests have spanned across the domains of public health (and the organisation), with short timeframes for response. </w:t>
      </w:r>
    </w:p>
    <w:p w14:paraId="11D80BF9" w14:textId="73497C46" w:rsidR="00345C06" w:rsidRPr="00D127D6" w:rsidRDefault="00345C06" w:rsidP="005411D3">
      <w:pPr>
        <w:pStyle w:val="ListParagraph"/>
        <w:numPr>
          <w:ilvl w:val="0"/>
          <w:numId w:val="26"/>
        </w:numPr>
        <w:spacing w:after="120" w:line="276" w:lineRule="auto"/>
        <w:jc w:val="both"/>
        <w:rPr>
          <w:rFonts w:cs="Tahoma"/>
          <w:szCs w:val="24"/>
        </w:rPr>
      </w:pPr>
      <w:r w:rsidRPr="00D127D6">
        <w:rPr>
          <w:rFonts w:cs="Tahoma"/>
          <w:szCs w:val="24"/>
        </w:rPr>
        <w:t xml:space="preserve">As part of the </w:t>
      </w:r>
      <w:r w:rsidR="00F35656">
        <w:rPr>
          <w:rFonts w:cs="Tahoma"/>
          <w:szCs w:val="24"/>
        </w:rPr>
        <w:t>COVID</w:t>
      </w:r>
      <w:r w:rsidRPr="00D127D6">
        <w:rPr>
          <w:rFonts w:cs="Tahoma"/>
          <w:szCs w:val="24"/>
        </w:rPr>
        <w:t xml:space="preserve">-19 health protection plan approved by Welsh Government, there is a commitment to conduct an analysis of the potential impacts of </w:t>
      </w:r>
      <w:proofErr w:type="spellStart"/>
      <w:r w:rsidRPr="00D127D6">
        <w:rPr>
          <w:rFonts w:cs="Tahoma"/>
          <w:szCs w:val="24"/>
        </w:rPr>
        <w:t>Brexit</w:t>
      </w:r>
      <w:proofErr w:type="spellEnd"/>
      <w:r w:rsidRPr="00D127D6">
        <w:rPr>
          <w:rFonts w:cs="Tahoma"/>
          <w:szCs w:val="24"/>
        </w:rPr>
        <w:t xml:space="preserve">, </w:t>
      </w:r>
      <w:r w:rsidR="00F35656">
        <w:rPr>
          <w:rFonts w:cs="Tahoma"/>
          <w:szCs w:val="24"/>
        </w:rPr>
        <w:t>COVID</w:t>
      </w:r>
      <w:r w:rsidRPr="00D127D6">
        <w:rPr>
          <w:rFonts w:cs="Tahoma"/>
          <w:szCs w:val="24"/>
        </w:rPr>
        <w:t xml:space="preserve">-19 and climate change. This report will utilise </w:t>
      </w:r>
      <w:r w:rsidR="00F64A23">
        <w:rPr>
          <w:rFonts w:cs="Tahoma"/>
          <w:szCs w:val="24"/>
        </w:rPr>
        <w:t>emerging evidence</w:t>
      </w:r>
      <w:r w:rsidRPr="00D127D6">
        <w:rPr>
          <w:rFonts w:cs="Tahoma"/>
          <w:szCs w:val="24"/>
        </w:rPr>
        <w:t xml:space="preserve"> from </w:t>
      </w:r>
      <w:r w:rsidR="00F64A23">
        <w:rPr>
          <w:rFonts w:cs="Tahoma"/>
          <w:szCs w:val="24"/>
        </w:rPr>
        <w:t xml:space="preserve">the </w:t>
      </w:r>
      <w:r w:rsidRPr="00D127D6">
        <w:rPr>
          <w:rFonts w:cs="Tahoma"/>
          <w:szCs w:val="24"/>
        </w:rPr>
        <w:t>above</w:t>
      </w:r>
      <w:r w:rsidR="00F64A23">
        <w:rPr>
          <w:rFonts w:cs="Tahoma"/>
          <w:szCs w:val="24"/>
        </w:rPr>
        <w:t xml:space="preserve"> actions</w:t>
      </w:r>
      <w:r w:rsidRPr="00D127D6">
        <w:rPr>
          <w:rFonts w:cs="Tahoma"/>
          <w:szCs w:val="24"/>
        </w:rPr>
        <w:t xml:space="preserve">, as well as drawing upon HIAs on </w:t>
      </w:r>
      <w:r w:rsidR="00F35656">
        <w:rPr>
          <w:rFonts w:cs="Tahoma"/>
          <w:szCs w:val="24"/>
        </w:rPr>
        <w:t>COVID</w:t>
      </w:r>
      <w:r w:rsidRPr="00D127D6">
        <w:rPr>
          <w:rFonts w:cs="Tahoma"/>
          <w:szCs w:val="24"/>
        </w:rPr>
        <w:t xml:space="preserve">-19 (currently underway) and climate change (currently underway). The report will integrate knowledge and will help to identify and plan support for those most affected by multiple issues, whilst also recognising potential opportunities from this </w:t>
      </w:r>
      <w:r w:rsidRPr="00D127D6">
        <w:rPr>
          <w:rFonts w:cs="Tahoma"/>
          <w:b/>
          <w:szCs w:val="24"/>
        </w:rPr>
        <w:t>triple challenge</w:t>
      </w:r>
      <w:r w:rsidRPr="00D127D6">
        <w:rPr>
          <w:rFonts w:cs="Tahoma"/>
          <w:szCs w:val="24"/>
        </w:rPr>
        <w:t xml:space="preserve"> (e.g. invest</w:t>
      </w:r>
      <w:r w:rsidR="00F64A23">
        <w:rPr>
          <w:rFonts w:cs="Tahoma"/>
          <w:szCs w:val="24"/>
        </w:rPr>
        <w:t>ment</w:t>
      </w:r>
      <w:r w:rsidRPr="00D127D6">
        <w:rPr>
          <w:rFonts w:cs="Tahoma"/>
          <w:szCs w:val="24"/>
        </w:rPr>
        <w:t xml:space="preserve"> in </w:t>
      </w:r>
      <w:r w:rsidR="00F64A23">
        <w:rPr>
          <w:rFonts w:cs="Tahoma"/>
          <w:szCs w:val="24"/>
        </w:rPr>
        <w:t>environmentally sustainable recovery models</w:t>
      </w:r>
      <w:r w:rsidRPr="00D127D6">
        <w:rPr>
          <w:rFonts w:cs="Tahoma"/>
          <w:szCs w:val="24"/>
        </w:rPr>
        <w:t>).</w:t>
      </w:r>
    </w:p>
    <w:p w14:paraId="28500D0D" w14:textId="23664B2F" w:rsidR="00345C06" w:rsidRPr="00D127D6" w:rsidRDefault="00345C06" w:rsidP="005411D3">
      <w:pPr>
        <w:pStyle w:val="ListParagraph"/>
        <w:numPr>
          <w:ilvl w:val="0"/>
          <w:numId w:val="26"/>
        </w:numPr>
        <w:spacing w:after="120" w:line="276" w:lineRule="auto"/>
        <w:jc w:val="both"/>
        <w:rPr>
          <w:rFonts w:cs="Tahoma"/>
          <w:szCs w:val="24"/>
        </w:rPr>
      </w:pPr>
      <w:r w:rsidRPr="00D127D6">
        <w:rPr>
          <w:rFonts w:cs="Tahoma"/>
          <w:szCs w:val="24"/>
        </w:rPr>
        <w:t xml:space="preserve">The </w:t>
      </w:r>
      <w:proofErr w:type="spellStart"/>
      <w:r w:rsidRPr="00D127D6">
        <w:rPr>
          <w:rFonts w:cs="Tahoma"/>
          <w:szCs w:val="24"/>
        </w:rPr>
        <w:t>Brexit</w:t>
      </w:r>
      <w:proofErr w:type="spellEnd"/>
      <w:r w:rsidRPr="00D127D6">
        <w:rPr>
          <w:rFonts w:cs="Tahoma"/>
          <w:szCs w:val="24"/>
        </w:rPr>
        <w:t xml:space="preserve"> HIA identified research priority areas such as mental well-being, community resilience and cohesion, and specific groups and communities such as children, rural communities and </w:t>
      </w:r>
      <w:r w:rsidR="002E7BE0">
        <w:rPr>
          <w:rFonts w:cs="Tahoma"/>
          <w:szCs w:val="24"/>
        </w:rPr>
        <w:t xml:space="preserve">those from </w:t>
      </w:r>
      <w:r w:rsidRPr="00D127D6">
        <w:rPr>
          <w:rFonts w:cs="Tahoma"/>
          <w:szCs w:val="24"/>
        </w:rPr>
        <w:t xml:space="preserve">BAME </w:t>
      </w:r>
      <w:r w:rsidR="002E7BE0">
        <w:rPr>
          <w:rFonts w:cs="Tahoma"/>
          <w:szCs w:val="24"/>
        </w:rPr>
        <w:t>backgrounds</w:t>
      </w:r>
      <w:r w:rsidRPr="00D127D6">
        <w:rPr>
          <w:rFonts w:cs="Tahoma"/>
          <w:szCs w:val="24"/>
        </w:rPr>
        <w:t xml:space="preserve">; ongoing analysis of evidence is likely to identify further research needs. Although capacity is very limited to undertake </w:t>
      </w:r>
      <w:proofErr w:type="spellStart"/>
      <w:r w:rsidRPr="00D127D6">
        <w:rPr>
          <w:rFonts w:cs="Tahoma"/>
          <w:b/>
          <w:szCs w:val="24"/>
        </w:rPr>
        <w:t>Brexit</w:t>
      </w:r>
      <w:proofErr w:type="spellEnd"/>
      <w:r w:rsidRPr="00D127D6">
        <w:rPr>
          <w:rFonts w:cs="Tahoma"/>
          <w:b/>
          <w:szCs w:val="24"/>
        </w:rPr>
        <w:t xml:space="preserve"> research</w:t>
      </w:r>
      <w:r w:rsidRPr="00D127D6">
        <w:rPr>
          <w:rFonts w:cs="Tahoma"/>
          <w:szCs w:val="24"/>
        </w:rPr>
        <w:t xml:space="preserve">, this may become increasingly important due to emerging evidence or following urgent requests, for example from Welsh Government. </w:t>
      </w:r>
    </w:p>
    <w:p w14:paraId="2701BE6F" w14:textId="38F8DE7C" w:rsidR="00345C06" w:rsidRPr="00D127D6" w:rsidRDefault="00345C06" w:rsidP="005411D3">
      <w:pPr>
        <w:spacing w:after="120" w:line="276" w:lineRule="auto"/>
        <w:jc w:val="both"/>
        <w:rPr>
          <w:b/>
          <w:szCs w:val="24"/>
        </w:rPr>
      </w:pPr>
    </w:p>
    <w:p w14:paraId="3E7C0933" w14:textId="6995FD71" w:rsidR="00345C06" w:rsidRPr="00D127D6" w:rsidRDefault="00345C06" w:rsidP="005411D3">
      <w:pPr>
        <w:spacing w:after="120" w:line="276" w:lineRule="auto"/>
        <w:jc w:val="both"/>
        <w:rPr>
          <w:b/>
          <w:szCs w:val="24"/>
        </w:rPr>
      </w:pPr>
      <w:r w:rsidRPr="00D127D6">
        <w:rPr>
          <w:b/>
          <w:szCs w:val="24"/>
        </w:rPr>
        <w:t>4.3</w:t>
      </w:r>
      <w:r w:rsidRPr="00D127D6">
        <w:rPr>
          <w:b/>
          <w:szCs w:val="24"/>
        </w:rPr>
        <w:tab/>
      </w:r>
      <w:proofErr w:type="spellStart"/>
      <w:r w:rsidRPr="00D127D6">
        <w:rPr>
          <w:b/>
          <w:szCs w:val="24"/>
        </w:rPr>
        <w:t>Brexit</w:t>
      </w:r>
      <w:proofErr w:type="spellEnd"/>
      <w:r w:rsidRPr="00D127D6">
        <w:rPr>
          <w:b/>
          <w:szCs w:val="24"/>
        </w:rPr>
        <w:t xml:space="preserve"> and international relations</w:t>
      </w:r>
    </w:p>
    <w:p w14:paraId="5E23EB19" w14:textId="77777777" w:rsidR="00345C06" w:rsidRPr="00D127D6" w:rsidRDefault="00345C06" w:rsidP="005411D3">
      <w:pPr>
        <w:spacing w:after="120" w:line="276" w:lineRule="auto"/>
        <w:jc w:val="both"/>
        <w:rPr>
          <w:rFonts w:cs="Tahoma"/>
          <w:szCs w:val="24"/>
        </w:rPr>
      </w:pPr>
      <w:r w:rsidRPr="00D127D6">
        <w:rPr>
          <w:rFonts w:cs="Tahoma"/>
          <w:szCs w:val="24"/>
        </w:rPr>
        <w:t xml:space="preserve">Public Health Wales’ role, vision and impact on the European and global health agenda, as well as benefits and opportunities from international work, are challenged by </w:t>
      </w:r>
      <w:proofErr w:type="spellStart"/>
      <w:r w:rsidRPr="00D127D6">
        <w:rPr>
          <w:rFonts w:cs="Tahoma"/>
          <w:szCs w:val="24"/>
        </w:rPr>
        <w:t>Brexit</w:t>
      </w:r>
      <w:proofErr w:type="spellEnd"/>
      <w:r w:rsidRPr="00D127D6">
        <w:rPr>
          <w:rFonts w:cs="Tahoma"/>
          <w:szCs w:val="24"/>
        </w:rPr>
        <w:t xml:space="preserve">. It is vital to maintain and strengthen further our international partnerships, mitigating </w:t>
      </w:r>
      <w:proofErr w:type="spellStart"/>
      <w:r w:rsidRPr="00D127D6">
        <w:rPr>
          <w:rFonts w:cs="Tahoma"/>
          <w:szCs w:val="24"/>
        </w:rPr>
        <w:t>Brexit</w:t>
      </w:r>
      <w:proofErr w:type="spellEnd"/>
      <w:r w:rsidRPr="00D127D6">
        <w:rPr>
          <w:rFonts w:cs="Tahoma"/>
          <w:szCs w:val="24"/>
        </w:rPr>
        <w:t xml:space="preserve"> threats and enhancing opportunities. Areas where further work would be beneficial (capacity and resources dependent) include:</w:t>
      </w:r>
    </w:p>
    <w:p w14:paraId="22FF16DE" w14:textId="2774FA01" w:rsidR="00345C06" w:rsidRPr="00D127D6" w:rsidRDefault="00345C06" w:rsidP="005411D3">
      <w:pPr>
        <w:pStyle w:val="ListParagraph"/>
        <w:numPr>
          <w:ilvl w:val="0"/>
          <w:numId w:val="28"/>
        </w:numPr>
        <w:spacing w:after="120" w:line="276" w:lineRule="auto"/>
        <w:ind w:left="714" w:hanging="357"/>
        <w:contextualSpacing w:val="0"/>
        <w:jc w:val="both"/>
        <w:rPr>
          <w:rFonts w:cs="Tahoma"/>
          <w:szCs w:val="24"/>
        </w:rPr>
      </w:pPr>
      <w:r w:rsidRPr="00D127D6">
        <w:rPr>
          <w:rFonts w:cs="Tahoma"/>
          <w:szCs w:val="24"/>
        </w:rPr>
        <w:t>Enhance and utilise the full potential of our existing strategic partnerships, particularly with WHO and IANPHI:</w:t>
      </w:r>
    </w:p>
    <w:p w14:paraId="2F1D14FF" w14:textId="2B02C42C" w:rsidR="00345C06" w:rsidRPr="00D127D6" w:rsidRDefault="00163FE5" w:rsidP="00F64A23">
      <w:pPr>
        <w:pStyle w:val="ListParagraph"/>
        <w:numPr>
          <w:ilvl w:val="0"/>
          <w:numId w:val="27"/>
        </w:numPr>
        <w:spacing w:after="120" w:line="276" w:lineRule="auto"/>
        <w:ind w:left="1134" w:hanging="357"/>
        <w:contextualSpacing w:val="0"/>
        <w:jc w:val="both"/>
        <w:rPr>
          <w:rFonts w:cs="Tahoma"/>
          <w:szCs w:val="24"/>
        </w:rPr>
      </w:pPr>
      <w:r>
        <w:rPr>
          <w:rFonts w:cs="Tahoma"/>
          <w:szCs w:val="24"/>
        </w:rPr>
        <w:t>S</w:t>
      </w:r>
      <w:r w:rsidR="00345C06" w:rsidRPr="00D127D6">
        <w:rPr>
          <w:rFonts w:cs="Tahoma"/>
          <w:szCs w:val="24"/>
        </w:rPr>
        <w:t xml:space="preserve">upport and deliver on the MOU between WHO and Welsh Government, strengthening Wales’ Influencer role and impact </w:t>
      </w:r>
    </w:p>
    <w:p w14:paraId="09BB4605" w14:textId="31E223D9" w:rsidR="00345C06" w:rsidRPr="00D127D6" w:rsidRDefault="00345C06" w:rsidP="00F64A23">
      <w:pPr>
        <w:pStyle w:val="ListParagraph"/>
        <w:numPr>
          <w:ilvl w:val="0"/>
          <w:numId w:val="27"/>
        </w:numPr>
        <w:spacing w:after="120" w:line="276" w:lineRule="auto"/>
        <w:ind w:left="1134" w:hanging="357"/>
        <w:contextualSpacing w:val="0"/>
        <w:jc w:val="both"/>
        <w:rPr>
          <w:rFonts w:cs="Tahoma"/>
          <w:szCs w:val="24"/>
        </w:rPr>
      </w:pPr>
      <w:r w:rsidRPr="00D127D6">
        <w:rPr>
          <w:rFonts w:cs="Tahoma"/>
          <w:szCs w:val="24"/>
        </w:rPr>
        <w:t xml:space="preserve">Progress the </w:t>
      </w:r>
      <w:proofErr w:type="spellStart"/>
      <w:r w:rsidRPr="00D127D6">
        <w:rPr>
          <w:rFonts w:cs="Tahoma"/>
          <w:szCs w:val="24"/>
        </w:rPr>
        <w:t>WHESRi</w:t>
      </w:r>
      <w:proofErr w:type="spellEnd"/>
      <w:r w:rsidRPr="00D127D6">
        <w:rPr>
          <w:rFonts w:cs="Tahoma"/>
          <w:szCs w:val="24"/>
        </w:rPr>
        <w:t>, developing a Health Equity Solution Platform and other products, as part of a global Health Equity Alliance</w:t>
      </w:r>
    </w:p>
    <w:p w14:paraId="7079D6F3" w14:textId="77777777" w:rsidR="00345C06" w:rsidRPr="00D127D6" w:rsidRDefault="00345C06" w:rsidP="00F64A23">
      <w:pPr>
        <w:pStyle w:val="ListParagraph"/>
        <w:numPr>
          <w:ilvl w:val="0"/>
          <w:numId w:val="27"/>
        </w:numPr>
        <w:spacing w:after="120" w:line="276" w:lineRule="auto"/>
        <w:ind w:left="1134" w:hanging="357"/>
        <w:contextualSpacing w:val="0"/>
        <w:jc w:val="both"/>
        <w:rPr>
          <w:rFonts w:cs="Tahoma"/>
          <w:szCs w:val="24"/>
        </w:rPr>
      </w:pPr>
      <w:r w:rsidRPr="00D127D6">
        <w:rPr>
          <w:rFonts w:cs="Tahoma"/>
          <w:szCs w:val="24"/>
        </w:rPr>
        <w:lastRenderedPageBreak/>
        <w:t>Continue and expand the WHO CC leading role on investment for health and wellbeing, sustainable development and building individual, community and system resilience, and social value</w:t>
      </w:r>
    </w:p>
    <w:p w14:paraId="0D381DC5" w14:textId="77777777" w:rsidR="00345C06" w:rsidRPr="00D127D6" w:rsidRDefault="00345C06" w:rsidP="00F64A23">
      <w:pPr>
        <w:pStyle w:val="ListParagraph"/>
        <w:numPr>
          <w:ilvl w:val="0"/>
          <w:numId w:val="27"/>
        </w:numPr>
        <w:spacing w:after="120" w:line="276" w:lineRule="auto"/>
        <w:ind w:left="1134" w:hanging="357"/>
        <w:contextualSpacing w:val="0"/>
        <w:jc w:val="both"/>
        <w:rPr>
          <w:rFonts w:cs="Tahoma"/>
          <w:szCs w:val="24"/>
        </w:rPr>
      </w:pPr>
      <w:r w:rsidRPr="00D127D6">
        <w:rPr>
          <w:rFonts w:cs="Tahoma"/>
          <w:szCs w:val="24"/>
        </w:rPr>
        <w:t>Utilise our active leadership role in IANPHI, learning, sharing and innovating</w:t>
      </w:r>
    </w:p>
    <w:p w14:paraId="3CDABAD9" w14:textId="77777777" w:rsidR="00345C06" w:rsidRPr="00D127D6" w:rsidRDefault="00345C06" w:rsidP="00F64A23">
      <w:pPr>
        <w:pStyle w:val="ListParagraph"/>
        <w:numPr>
          <w:ilvl w:val="0"/>
          <w:numId w:val="27"/>
        </w:numPr>
        <w:spacing w:after="120" w:line="276" w:lineRule="auto"/>
        <w:ind w:left="1134" w:hanging="357"/>
        <w:contextualSpacing w:val="0"/>
        <w:jc w:val="both"/>
        <w:rPr>
          <w:rFonts w:cs="Tahoma"/>
          <w:szCs w:val="24"/>
        </w:rPr>
      </w:pPr>
      <w:r w:rsidRPr="00D127D6">
        <w:rPr>
          <w:rFonts w:cs="Tahoma"/>
          <w:szCs w:val="24"/>
        </w:rPr>
        <w:t xml:space="preserve">Maintain active membership in the WHO Regions for Health Network and </w:t>
      </w:r>
      <w:proofErr w:type="spellStart"/>
      <w:r w:rsidRPr="00D127D6">
        <w:rPr>
          <w:rFonts w:cs="Tahoma"/>
          <w:szCs w:val="24"/>
        </w:rPr>
        <w:t>EuroHealthNet</w:t>
      </w:r>
      <w:proofErr w:type="spellEnd"/>
      <w:r w:rsidRPr="00D127D6">
        <w:rPr>
          <w:rFonts w:cs="Tahoma"/>
          <w:szCs w:val="24"/>
        </w:rPr>
        <w:t xml:space="preserve">, learning from and sharing experience and opportunities </w:t>
      </w:r>
    </w:p>
    <w:p w14:paraId="2E3EFE16" w14:textId="46F92F0B" w:rsidR="00345C06" w:rsidRPr="00D127D6" w:rsidRDefault="00345C06" w:rsidP="005411D3">
      <w:pPr>
        <w:pStyle w:val="ListParagraph"/>
        <w:numPr>
          <w:ilvl w:val="0"/>
          <w:numId w:val="28"/>
        </w:numPr>
        <w:spacing w:after="120" w:line="276" w:lineRule="auto"/>
        <w:ind w:left="714" w:hanging="357"/>
        <w:contextualSpacing w:val="0"/>
        <w:jc w:val="both"/>
        <w:rPr>
          <w:rFonts w:cs="Tahoma"/>
          <w:szCs w:val="24"/>
        </w:rPr>
      </w:pPr>
      <w:r w:rsidRPr="00D127D6">
        <w:rPr>
          <w:rFonts w:cs="Tahoma"/>
          <w:szCs w:val="24"/>
        </w:rPr>
        <w:t>Strengthen and expand our strategic partnerships and utilise funding opportunities</w:t>
      </w:r>
      <w:r w:rsidR="00AB5DB9">
        <w:rPr>
          <w:rFonts w:cs="Tahoma"/>
          <w:szCs w:val="24"/>
        </w:rPr>
        <w:t xml:space="preserve"> </w:t>
      </w:r>
      <w:r w:rsidR="00AB5DB9" w:rsidRPr="00D127D6">
        <w:rPr>
          <w:rFonts w:cs="Tahoma"/>
          <w:szCs w:val="24"/>
        </w:rPr>
        <w:t>across the UK</w:t>
      </w:r>
      <w:r w:rsidRPr="00D127D6">
        <w:rPr>
          <w:rFonts w:cs="Tahoma"/>
          <w:szCs w:val="24"/>
        </w:rPr>
        <w:t xml:space="preserve">, including with Public Health England, the Faculty of Public Health, </w:t>
      </w:r>
      <w:r w:rsidR="00DD4052">
        <w:rPr>
          <w:rFonts w:cs="Tahoma"/>
          <w:szCs w:val="24"/>
        </w:rPr>
        <w:t xml:space="preserve">and </w:t>
      </w:r>
      <w:r w:rsidRPr="00D127D6">
        <w:rPr>
          <w:rFonts w:cs="Tahoma"/>
          <w:szCs w:val="24"/>
        </w:rPr>
        <w:t xml:space="preserve">the </w:t>
      </w:r>
      <w:r w:rsidR="00DD4052">
        <w:rPr>
          <w:lang w:val="en"/>
        </w:rPr>
        <w:t>Foreign, Commonwealth &amp; Development Office</w:t>
      </w:r>
      <w:r w:rsidRPr="00D127D6">
        <w:rPr>
          <w:rFonts w:cs="Tahoma"/>
          <w:szCs w:val="24"/>
        </w:rPr>
        <w:t xml:space="preserve">. </w:t>
      </w:r>
    </w:p>
    <w:p w14:paraId="41A65102" w14:textId="35C71703" w:rsidR="00345C06" w:rsidRPr="00D127D6" w:rsidRDefault="00345C06" w:rsidP="005411D3">
      <w:pPr>
        <w:pStyle w:val="ListParagraph"/>
        <w:numPr>
          <w:ilvl w:val="0"/>
          <w:numId w:val="28"/>
        </w:numPr>
        <w:spacing w:after="120" w:line="276" w:lineRule="auto"/>
        <w:ind w:left="714" w:hanging="357"/>
        <w:contextualSpacing w:val="0"/>
        <w:jc w:val="both"/>
        <w:rPr>
          <w:rFonts w:cs="Tahoma"/>
          <w:szCs w:val="24"/>
        </w:rPr>
      </w:pPr>
      <w:r w:rsidRPr="00D127D6">
        <w:rPr>
          <w:rFonts w:cs="Tahoma"/>
          <w:szCs w:val="24"/>
        </w:rPr>
        <w:t xml:space="preserve">Expand and develop new international links and opportunities, for example with bi-lateral collaborations </w:t>
      </w:r>
    </w:p>
    <w:p w14:paraId="247E8A5A" w14:textId="77777777" w:rsidR="00345C06" w:rsidRPr="00D127D6" w:rsidRDefault="00345C06" w:rsidP="005411D3">
      <w:pPr>
        <w:pStyle w:val="ListParagraph"/>
        <w:numPr>
          <w:ilvl w:val="0"/>
          <w:numId w:val="28"/>
        </w:numPr>
        <w:spacing w:after="120" w:line="276" w:lineRule="auto"/>
        <w:ind w:left="714" w:hanging="357"/>
        <w:contextualSpacing w:val="0"/>
        <w:jc w:val="both"/>
        <w:rPr>
          <w:rFonts w:cs="Tahoma"/>
          <w:szCs w:val="24"/>
        </w:rPr>
      </w:pPr>
      <w:r w:rsidRPr="00D127D6">
        <w:rPr>
          <w:rFonts w:cs="Tahoma"/>
          <w:szCs w:val="24"/>
        </w:rPr>
        <w:t>Ensure opportunities for staff development and mitigate workforce issues</w:t>
      </w:r>
    </w:p>
    <w:p w14:paraId="258E6342" w14:textId="77777777" w:rsidR="00345C06" w:rsidRPr="00D127D6" w:rsidRDefault="00345C06" w:rsidP="005411D3">
      <w:pPr>
        <w:pStyle w:val="ListParagraph"/>
        <w:numPr>
          <w:ilvl w:val="0"/>
          <w:numId w:val="28"/>
        </w:numPr>
        <w:spacing w:after="120" w:line="276" w:lineRule="auto"/>
        <w:jc w:val="both"/>
        <w:rPr>
          <w:rFonts w:cs="Tahoma"/>
          <w:szCs w:val="24"/>
        </w:rPr>
      </w:pPr>
      <w:r w:rsidRPr="00D127D6">
        <w:rPr>
          <w:rFonts w:cs="Tahoma"/>
          <w:szCs w:val="24"/>
        </w:rPr>
        <w:t xml:space="preserve">Update our Addendum to the International Health Strategy, looking into further implications, threats and opportunities, e.g. horizon scanning </w:t>
      </w:r>
    </w:p>
    <w:p w14:paraId="6282962B" w14:textId="77777777" w:rsidR="00345C06" w:rsidRPr="00D127D6" w:rsidRDefault="00345C06" w:rsidP="005411D3">
      <w:pPr>
        <w:spacing w:after="120" w:line="276" w:lineRule="auto"/>
        <w:jc w:val="both"/>
        <w:rPr>
          <w:rFonts w:cs="Tahoma"/>
          <w:szCs w:val="24"/>
        </w:rPr>
      </w:pPr>
    </w:p>
    <w:p w14:paraId="5F74B968" w14:textId="54598616" w:rsidR="00051E74" w:rsidRPr="00D127D6" w:rsidRDefault="00B936DE" w:rsidP="00D127D6">
      <w:pPr>
        <w:pStyle w:val="Heading2"/>
        <w:numPr>
          <w:ilvl w:val="0"/>
          <w:numId w:val="29"/>
        </w:numPr>
        <w:spacing w:after="120" w:line="276" w:lineRule="auto"/>
        <w:ind w:left="284" w:hanging="284"/>
        <w:rPr>
          <w:szCs w:val="24"/>
        </w:rPr>
      </w:pPr>
      <w:r w:rsidRPr="00D127D6">
        <w:rPr>
          <w:szCs w:val="24"/>
        </w:rPr>
        <w:t>Well</w:t>
      </w:r>
      <w:r w:rsidR="00EA23FA" w:rsidRPr="00D127D6">
        <w:rPr>
          <w:szCs w:val="24"/>
        </w:rPr>
        <w:t>-</w:t>
      </w:r>
      <w:r w:rsidRPr="00D127D6">
        <w:rPr>
          <w:szCs w:val="24"/>
        </w:rPr>
        <w:t xml:space="preserve">being of Future Generations </w:t>
      </w:r>
      <w:r w:rsidR="00371966" w:rsidRPr="00D127D6">
        <w:rPr>
          <w:szCs w:val="24"/>
        </w:rPr>
        <w:t xml:space="preserve">(Wales) </w:t>
      </w:r>
      <w:r w:rsidRPr="00D127D6">
        <w:rPr>
          <w:szCs w:val="24"/>
        </w:rPr>
        <w:t>Act</w:t>
      </w:r>
      <w:r w:rsidR="00371966" w:rsidRPr="00D127D6">
        <w:rPr>
          <w:szCs w:val="24"/>
        </w:rPr>
        <w:t xml:space="preserve"> 2015</w:t>
      </w:r>
    </w:p>
    <w:p w14:paraId="5F74B96B" w14:textId="77777777" w:rsidR="00FA62CB" w:rsidRPr="00D127D6" w:rsidRDefault="00FA62CB" w:rsidP="00D127D6">
      <w:pPr>
        <w:spacing w:after="120" w:line="276" w:lineRule="auto"/>
        <w:ind w:left="567"/>
        <w:rPr>
          <w:szCs w:val="24"/>
        </w:rP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873"/>
      </w:tblGrid>
      <w:tr w:rsidR="00893619" w:rsidRPr="00D127D6" w14:paraId="5F74B972" w14:textId="77777777" w:rsidTr="00893619">
        <w:tc>
          <w:tcPr>
            <w:tcW w:w="3369" w:type="dxa"/>
          </w:tcPr>
          <w:p w14:paraId="5F74B970" w14:textId="77777777" w:rsidR="00893619" w:rsidRPr="00D127D6" w:rsidRDefault="00893619" w:rsidP="00D127D6">
            <w:pPr>
              <w:spacing w:after="120" w:line="276" w:lineRule="auto"/>
              <w:jc w:val="center"/>
              <w:rPr>
                <w:rFonts w:cs="Arial"/>
                <w:szCs w:val="24"/>
              </w:rPr>
            </w:pPr>
            <w:r w:rsidRPr="00D127D6">
              <w:rPr>
                <w:rFonts w:cs="Arial"/>
                <w:noProof/>
                <w:szCs w:val="24"/>
                <w:lang w:eastAsia="en-GB"/>
              </w:rPr>
              <w:drawing>
                <wp:inline distT="0" distB="0" distL="0" distR="0" wp14:anchorId="5F74B98B" wp14:editId="5F74B98C">
                  <wp:extent cx="1993265" cy="861375"/>
                  <wp:effectExtent l="0" t="0" r="0" b="0"/>
                  <wp:docPr id="26" name="Picture 5" descr="Long Term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g Term - icon + wording"/>
                          <pic:cNvPicPr>
                            <a:picLocks noChangeAspect="1" noChangeArrowheads="1"/>
                          </pic:cNvPicPr>
                        </pic:nvPicPr>
                        <pic:blipFill>
                          <a:blip r:embed="rId16" cstate="print"/>
                          <a:srcRect l="20309" t="9271" r="17880" b="10596"/>
                          <a:stretch>
                            <a:fillRect/>
                          </a:stretch>
                        </pic:blipFill>
                        <pic:spPr bwMode="auto">
                          <a:xfrm>
                            <a:off x="0" y="0"/>
                            <a:ext cx="1993265" cy="861375"/>
                          </a:xfrm>
                          <a:prstGeom prst="rect">
                            <a:avLst/>
                          </a:prstGeom>
                          <a:noFill/>
                          <a:ln w="9525">
                            <a:noFill/>
                            <a:miter lim="800000"/>
                            <a:headEnd/>
                            <a:tailEnd/>
                          </a:ln>
                        </pic:spPr>
                      </pic:pic>
                    </a:graphicData>
                  </a:graphic>
                </wp:inline>
              </w:drawing>
            </w:r>
          </w:p>
        </w:tc>
        <w:tc>
          <w:tcPr>
            <w:tcW w:w="5873" w:type="dxa"/>
          </w:tcPr>
          <w:p w14:paraId="5F74B971" w14:textId="14F026F0" w:rsidR="00893619" w:rsidRPr="00A71385" w:rsidRDefault="00A71385" w:rsidP="00A71385">
            <w:pPr>
              <w:spacing w:after="120" w:line="276" w:lineRule="auto"/>
              <w:rPr>
                <w:rFonts w:cs="Arial"/>
                <w:szCs w:val="24"/>
              </w:rPr>
            </w:pPr>
            <w:r w:rsidRPr="00A71385">
              <w:rPr>
                <w:rFonts w:cs="Arial"/>
                <w:szCs w:val="24"/>
              </w:rPr>
              <w:t>The focus of the report is to improve population health and wellbeing for the short, medium and longer term.</w:t>
            </w:r>
            <w:r w:rsidR="00893619" w:rsidRPr="00A71385">
              <w:rPr>
                <w:rFonts w:cs="Arial"/>
                <w:szCs w:val="24"/>
              </w:rPr>
              <w:t xml:space="preserve"> </w:t>
            </w:r>
          </w:p>
        </w:tc>
      </w:tr>
      <w:tr w:rsidR="00893619" w:rsidRPr="00D127D6" w14:paraId="5F74B975" w14:textId="77777777" w:rsidTr="00893619">
        <w:tc>
          <w:tcPr>
            <w:tcW w:w="3369" w:type="dxa"/>
          </w:tcPr>
          <w:p w14:paraId="5F74B973" w14:textId="77777777" w:rsidR="00893619" w:rsidRPr="00D127D6" w:rsidRDefault="00893619" w:rsidP="00D127D6">
            <w:pPr>
              <w:spacing w:after="120" w:line="276" w:lineRule="auto"/>
              <w:jc w:val="center"/>
              <w:rPr>
                <w:rFonts w:cs="Arial"/>
                <w:szCs w:val="24"/>
              </w:rPr>
            </w:pPr>
            <w:r w:rsidRPr="00D127D6">
              <w:rPr>
                <w:rFonts w:cs="Arial"/>
                <w:noProof/>
                <w:szCs w:val="24"/>
                <w:lang w:eastAsia="en-GB"/>
              </w:rPr>
              <w:drawing>
                <wp:inline distT="0" distB="0" distL="0" distR="0" wp14:anchorId="5F74B98D" wp14:editId="5F74B98E">
                  <wp:extent cx="1992731" cy="857250"/>
                  <wp:effectExtent l="0" t="0" r="7519" b="0"/>
                  <wp:docPr id="27" name="Picture 1" descr="Preven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ention - icon + wording"/>
                          <pic:cNvPicPr>
                            <a:picLocks noChangeAspect="1" noChangeArrowheads="1"/>
                          </pic:cNvPicPr>
                        </pic:nvPicPr>
                        <pic:blipFill>
                          <a:blip r:embed="rId17" cstate="print"/>
                          <a:srcRect l="22958" t="11920" r="18542" b="12582"/>
                          <a:stretch>
                            <a:fillRect/>
                          </a:stretch>
                        </pic:blipFill>
                        <pic:spPr bwMode="auto">
                          <a:xfrm>
                            <a:off x="0" y="0"/>
                            <a:ext cx="1997555" cy="859325"/>
                          </a:xfrm>
                          <a:prstGeom prst="rect">
                            <a:avLst/>
                          </a:prstGeom>
                          <a:noFill/>
                          <a:ln w="9525">
                            <a:noFill/>
                            <a:miter lim="800000"/>
                            <a:headEnd/>
                            <a:tailEnd/>
                          </a:ln>
                        </pic:spPr>
                      </pic:pic>
                    </a:graphicData>
                  </a:graphic>
                </wp:inline>
              </w:drawing>
            </w:r>
          </w:p>
        </w:tc>
        <w:tc>
          <w:tcPr>
            <w:tcW w:w="5873" w:type="dxa"/>
          </w:tcPr>
          <w:p w14:paraId="5F74B974" w14:textId="47F0F6C3" w:rsidR="00893619" w:rsidRPr="00A71385" w:rsidRDefault="00A71385" w:rsidP="00163FE5">
            <w:pPr>
              <w:spacing w:after="120" w:line="276" w:lineRule="auto"/>
              <w:rPr>
                <w:rFonts w:cs="Arial"/>
                <w:szCs w:val="24"/>
              </w:rPr>
            </w:pPr>
            <w:r w:rsidRPr="00A71385">
              <w:rPr>
                <w:rFonts w:cs="Arial"/>
                <w:szCs w:val="24"/>
              </w:rPr>
              <w:t xml:space="preserve">The work programme seeks to prevent and mitigate any negative impacts of </w:t>
            </w:r>
            <w:proofErr w:type="spellStart"/>
            <w:r w:rsidRPr="00A71385">
              <w:rPr>
                <w:rFonts w:cs="Arial"/>
                <w:szCs w:val="24"/>
              </w:rPr>
              <w:t>Brexit</w:t>
            </w:r>
            <w:proofErr w:type="spellEnd"/>
            <w:r w:rsidR="00893619" w:rsidRPr="00A71385">
              <w:rPr>
                <w:rFonts w:cs="Arial"/>
                <w:szCs w:val="24"/>
              </w:rPr>
              <w:t xml:space="preserve">. </w:t>
            </w:r>
          </w:p>
        </w:tc>
      </w:tr>
      <w:tr w:rsidR="00893619" w:rsidRPr="00D127D6" w14:paraId="5F74B978" w14:textId="77777777" w:rsidTr="00893619">
        <w:tc>
          <w:tcPr>
            <w:tcW w:w="3369" w:type="dxa"/>
          </w:tcPr>
          <w:p w14:paraId="5F74B976" w14:textId="77777777" w:rsidR="00893619" w:rsidRPr="00D127D6" w:rsidRDefault="00893619" w:rsidP="00D127D6">
            <w:pPr>
              <w:spacing w:after="120" w:line="276" w:lineRule="auto"/>
              <w:jc w:val="center"/>
              <w:rPr>
                <w:rFonts w:cs="Arial"/>
                <w:szCs w:val="24"/>
              </w:rPr>
            </w:pPr>
            <w:r w:rsidRPr="00D127D6">
              <w:rPr>
                <w:rFonts w:cs="Arial"/>
                <w:noProof/>
                <w:szCs w:val="24"/>
                <w:lang w:eastAsia="en-GB"/>
              </w:rPr>
              <w:drawing>
                <wp:inline distT="0" distB="0" distL="0" distR="0" wp14:anchorId="5F74B98F" wp14:editId="5F74B990">
                  <wp:extent cx="2050677" cy="800100"/>
                  <wp:effectExtent l="0" t="0" r="0" b="0"/>
                  <wp:docPr id="8" name="Picture 2" descr="Integ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on - icon + wording"/>
                          <pic:cNvPicPr>
                            <a:picLocks noChangeAspect="1" noChangeArrowheads="1"/>
                          </pic:cNvPicPr>
                        </pic:nvPicPr>
                        <pic:blipFill>
                          <a:blip r:embed="rId18" cstate="print"/>
                          <a:srcRect l="16556" t="11258" r="16115" b="9933"/>
                          <a:stretch>
                            <a:fillRect/>
                          </a:stretch>
                        </pic:blipFill>
                        <pic:spPr bwMode="auto">
                          <a:xfrm>
                            <a:off x="0" y="0"/>
                            <a:ext cx="2053354" cy="801144"/>
                          </a:xfrm>
                          <a:prstGeom prst="rect">
                            <a:avLst/>
                          </a:prstGeom>
                          <a:noFill/>
                          <a:ln w="9525">
                            <a:noFill/>
                            <a:miter lim="800000"/>
                            <a:headEnd/>
                            <a:tailEnd/>
                          </a:ln>
                        </pic:spPr>
                      </pic:pic>
                    </a:graphicData>
                  </a:graphic>
                </wp:inline>
              </w:drawing>
            </w:r>
          </w:p>
        </w:tc>
        <w:tc>
          <w:tcPr>
            <w:tcW w:w="5873" w:type="dxa"/>
          </w:tcPr>
          <w:p w14:paraId="5F74B977" w14:textId="2389CD80" w:rsidR="00893619" w:rsidRPr="00A71385" w:rsidRDefault="00A71385" w:rsidP="00A71385">
            <w:pPr>
              <w:spacing w:after="120" w:line="276" w:lineRule="auto"/>
              <w:rPr>
                <w:rFonts w:cs="Arial"/>
                <w:szCs w:val="24"/>
              </w:rPr>
            </w:pPr>
            <w:r w:rsidRPr="00A71385">
              <w:rPr>
                <w:rFonts w:cs="Arial"/>
                <w:szCs w:val="24"/>
              </w:rPr>
              <w:t xml:space="preserve">The impacts of </w:t>
            </w:r>
            <w:proofErr w:type="spellStart"/>
            <w:r w:rsidRPr="00A71385">
              <w:rPr>
                <w:rFonts w:cs="Arial"/>
                <w:szCs w:val="24"/>
              </w:rPr>
              <w:t>Brexit</w:t>
            </w:r>
            <w:proofErr w:type="spellEnd"/>
            <w:r w:rsidRPr="00A71385">
              <w:rPr>
                <w:rFonts w:cs="Arial"/>
                <w:szCs w:val="24"/>
              </w:rPr>
              <w:t xml:space="preserve"> are being viewed from an integrated perspective, with consideration of the wider determinants of wellbeing.</w:t>
            </w:r>
            <w:r w:rsidR="00893619" w:rsidRPr="00A71385">
              <w:rPr>
                <w:rFonts w:cs="Arial"/>
                <w:szCs w:val="24"/>
              </w:rPr>
              <w:t xml:space="preserve"> </w:t>
            </w:r>
          </w:p>
        </w:tc>
      </w:tr>
      <w:tr w:rsidR="00893619" w:rsidRPr="00D127D6" w14:paraId="5F74B97B" w14:textId="77777777" w:rsidTr="00893619">
        <w:tc>
          <w:tcPr>
            <w:tcW w:w="3369" w:type="dxa"/>
          </w:tcPr>
          <w:p w14:paraId="5F74B979" w14:textId="77777777" w:rsidR="00893619" w:rsidRPr="00D127D6" w:rsidRDefault="00893619" w:rsidP="00D127D6">
            <w:pPr>
              <w:spacing w:after="120" w:line="276" w:lineRule="auto"/>
              <w:jc w:val="center"/>
              <w:rPr>
                <w:rFonts w:cs="Arial"/>
                <w:szCs w:val="24"/>
              </w:rPr>
            </w:pPr>
            <w:r w:rsidRPr="00D127D6">
              <w:rPr>
                <w:rFonts w:cs="Arial"/>
                <w:noProof/>
                <w:szCs w:val="24"/>
                <w:lang w:eastAsia="en-GB"/>
              </w:rPr>
              <w:lastRenderedPageBreak/>
              <w:drawing>
                <wp:inline distT="0" distB="0" distL="0" distR="0" wp14:anchorId="5F74B991" wp14:editId="5F74B992">
                  <wp:extent cx="1857697" cy="704850"/>
                  <wp:effectExtent l="19050" t="0" r="9203" b="0"/>
                  <wp:docPr id="29" name="Picture 6" descr="Collabo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boration - icon + wording"/>
                          <pic:cNvPicPr>
                            <a:picLocks noChangeAspect="1" noChangeArrowheads="1"/>
                          </pic:cNvPicPr>
                        </pic:nvPicPr>
                        <pic:blipFill>
                          <a:blip r:embed="rId19" cstate="print"/>
                          <a:srcRect l="17661" t="10596" r="13687" b="11258"/>
                          <a:stretch>
                            <a:fillRect/>
                          </a:stretch>
                        </pic:blipFill>
                        <pic:spPr bwMode="auto">
                          <a:xfrm>
                            <a:off x="0" y="0"/>
                            <a:ext cx="1860549" cy="705932"/>
                          </a:xfrm>
                          <a:prstGeom prst="rect">
                            <a:avLst/>
                          </a:prstGeom>
                          <a:noFill/>
                          <a:ln w="9525">
                            <a:noFill/>
                            <a:miter lim="800000"/>
                            <a:headEnd/>
                            <a:tailEnd/>
                          </a:ln>
                        </pic:spPr>
                      </pic:pic>
                    </a:graphicData>
                  </a:graphic>
                </wp:inline>
              </w:drawing>
            </w:r>
          </w:p>
        </w:tc>
        <w:tc>
          <w:tcPr>
            <w:tcW w:w="5873" w:type="dxa"/>
            <w:shd w:val="clear" w:color="auto" w:fill="auto"/>
          </w:tcPr>
          <w:p w14:paraId="5F74B97A" w14:textId="0AFDE41A" w:rsidR="00893619" w:rsidRPr="00A71385" w:rsidRDefault="00A71385" w:rsidP="00D127D6">
            <w:pPr>
              <w:spacing w:after="120" w:line="276" w:lineRule="auto"/>
              <w:rPr>
                <w:rFonts w:cs="Arial"/>
                <w:szCs w:val="24"/>
              </w:rPr>
            </w:pPr>
            <w:r w:rsidRPr="00A71385">
              <w:rPr>
                <w:rFonts w:cs="Arial"/>
                <w:szCs w:val="24"/>
              </w:rPr>
              <w:t xml:space="preserve">The paper has been developed through collaborative discussions across Directorates. </w:t>
            </w:r>
            <w:r w:rsidR="00893619" w:rsidRPr="00A71385">
              <w:rPr>
                <w:rFonts w:cs="Arial"/>
                <w:szCs w:val="24"/>
              </w:rPr>
              <w:t xml:space="preserve"> </w:t>
            </w:r>
          </w:p>
        </w:tc>
      </w:tr>
      <w:tr w:rsidR="00893619" w:rsidRPr="00D127D6" w14:paraId="5F74B97E" w14:textId="77777777" w:rsidTr="00893619">
        <w:tc>
          <w:tcPr>
            <w:tcW w:w="3369" w:type="dxa"/>
          </w:tcPr>
          <w:p w14:paraId="5F74B97C" w14:textId="77777777" w:rsidR="00893619" w:rsidRPr="00D127D6" w:rsidRDefault="00893619" w:rsidP="00D127D6">
            <w:pPr>
              <w:spacing w:after="120" w:line="276" w:lineRule="auto"/>
              <w:jc w:val="center"/>
              <w:rPr>
                <w:rFonts w:cs="Arial"/>
                <w:szCs w:val="24"/>
              </w:rPr>
            </w:pPr>
            <w:r w:rsidRPr="00D127D6">
              <w:rPr>
                <w:rFonts w:cs="Arial"/>
                <w:noProof/>
                <w:szCs w:val="24"/>
                <w:lang w:eastAsia="en-GB"/>
              </w:rPr>
              <w:drawing>
                <wp:inline distT="0" distB="0" distL="0" distR="0" wp14:anchorId="5F74B993" wp14:editId="5F74B994">
                  <wp:extent cx="1904332" cy="733425"/>
                  <wp:effectExtent l="0" t="0" r="0" b="0"/>
                  <wp:docPr id="30" name="Picture 3" descr="Involvement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olvement - icon + wording"/>
                          <pic:cNvPicPr>
                            <a:picLocks noChangeAspect="1" noChangeArrowheads="1"/>
                          </pic:cNvPicPr>
                        </pic:nvPicPr>
                        <pic:blipFill>
                          <a:blip r:embed="rId20" cstate="print"/>
                          <a:srcRect l="19205" t="11920" r="15453" b="12582"/>
                          <a:stretch>
                            <a:fillRect/>
                          </a:stretch>
                        </pic:blipFill>
                        <pic:spPr bwMode="auto">
                          <a:xfrm>
                            <a:off x="0" y="0"/>
                            <a:ext cx="1904332" cy="733425"/>
                          </a:xfrm>
                          <a:prstGeom prst="rect">
                            <a:avLst/>
                          </a:prstGeom>
                          <a:noFill/>
                          <a:ln w="9525">
                            <a:noFill/>
                            <a:miter lim="800000"/>
                            <a:headEnd/>
                            <a:tailEnd/>
                          </a:ln>
                        </pic:spPr>
                      </pic:pic>
                    </a:graphicData>
                  </a:graphic>
                </wp:inline>
              </w:drawing>
            </w:r>
          </w:p>
        </w:tc>
        <w:tc>
          <w:tcPr>
            <w:tcW w:w="5873" w:type="dxa"/>
          </w:tcPr>
          <w:p w14:paraId="5F74B97D" w14:textId="52D45B56" w:rsidR="00893619" w:rsidRPr="00A71385" w:rsidRDefault="00A71385" w:rsidP="00A71385">
            <w:pPr>
              <w:spacing w:after="120" w:line="276" w:lineRule="auto"/>
              <w:rPr>
                <w:rFonts w:cs="Arial"/>
                <w:szCs w:val="24"/>
              </w:rPr>
            </w:pPr>
            <w:r w:rsidRPr="00A71385">
              <w:rPr>
                <w:rFonts w:cs="Arial"/>
                <w:szCs w:val="24"/>
              </w:rPr>
              <w:t xml:space="preserve">Much of the work programme is based on the findings of a HIA, which has involved key stakeholder. </w:t>
            </w:r>
            <w:r w:rsidR="00893619" w:rsidRPr="00A71385">
              <w:rPr>
                <w:rFonts w:cs="Arial"/>
                <w:szCs w:val="24"/>
              </w:rPr>
              <w:t xml:space="preserve"> </w:t>
            </w:r>
          </w:p>
        </w:tc>
      </w:tr>
      <w:tr w:rsidR="00D127D6" w:rsidRPr="00D127D6" w14:paraId="4DAB61D7" w14:textId="77777777" w:rsidTr="00893619">
        <w:tc>
          <w:tcPr>
            <w:tcW w:w="3369" w:type="dxa"/>
          </w:tcPr>
          <w:p w14:paraId="79CA19B1" w14:textId="77777777" w:rsidR="00D127D6" w:rsidRPr="00D127D6" w:rsidRDefault="00D127D6" w:rsidP="00D127D6">
            <w:pPr>
              <w:spacing w:after="120" w:line="276" w:lineRule="auto"/>
              <w:jc w:val="center"/>
              <w:rPr>
                <w:rFonts w:cs="Arial"/>
                <w:noProof/>
                <w:szCs w:val="24"/>
                <w:lang w:eastAsia="en-GB"/>
              </w:rPr>
            </w:pPr>
          </w:p>
        </w:tc>
        <w:tc>
          <w:tcPr>
            <w:tcW w:w="5873" w:type="dxa"/>
          </w:tcPr>
          <w:p w14:paraId="594881E0" w14:textId="77777777" w:rsidR="00D127D6" w:rsidRPr="00D127D6" w:rsidRDefault="00D127D6" w:rsidP="00D127D6">
            <w:pPr>
              <w:spacing w:after="120" w:line="276" w:lineRule="auto"/>
              <w:rPr>
                <w:rFonts w:cs="Arial"/>
                <w:i/>
                <w:color w:val="FF0000"/>
                <w:szCs w:val="24"/>
              </w:rPr>
            </w:pPr>
          </w:p>
        </w:tc>
      </w:tr>
    </w:tbl>
    <w:p w14:paraId="5F74B97F" w14:textId="0065A900" w:rsidR="00E07F66" w:rsidRPr="00D127D6" w:rsidRDefault="00E07F66" w:rsidP="00D127D6">
      <w:pPr>
        <w:pStyle w:val="Heading1"/>
        <w:numPr>
          <w:ilvl w:val="0"/>
          <w:numId w:val="29"/>
        </w:numPr>
        <w:spacing w:before="0" w:after="120" w:line="276" w:lineRule="auto"/>
        <w:ind w:left="567" w:hanging="567"/>
        <w:rPr>
          <w:szCs w:val="24"/>
        </w:rPr>
      </w:pPr>
      <w:r w:rsidRPr="00D127D6">
        <w:rPr>
          <w:szCs w:val="24"/>
        </w:rPr>
        <w:t>Recommendation</w:t>
      </w:r>
    </w:p>
    <w:p w14:paraId="498A7A5D" w14:textId="5EF6CFFB" w:rsidR="00345C06" w:rsidRPr="00D127D6" w:rsidRDefault="00345C06" w:rsidP="00D127D6">
      <w:pPr>
        <w:spacing w:after="120" w:line="276" w:lineRule="auto"/>
        <w:jc w:val="both"/>
        <w:rPr>
          <w:rFonts w:cs="Tahoma"/>
          <w:szCs w:val="24"/>
        </w:rPr>
      </w:pPr>
      <w:r w:rsidRPr="00D127D6">
        <w:rPr>
          <w:rFonts w:cs="Tahoma"/>
          <w:szCs w:val="24"/>
        </w:rPr>
        <w:t xml:space="preserve">The </w:t>
      </w:r>
      <w:r w:rsidR="00176E8D">
        <w:rPr>
          <w:rFonts w:cs="Tahoma"/>
          <w:szCs w:val="24"/>
        </w:rPr>
        <w:t>Board</w:t>
      </w:r>
      <w:r w:rsidRPr="00D127D6">
        <w:rPr>
          <w:rFonts w:cs="Tahoma"/>
          <w:szCs w:val="24"/>
        </w:rPr>
        <w:t xml:space="preserve"> is asked to:</w:t>
      </w:r>
    </w:p>
    <w:p w14:paraId="6F7E63E7" w14:textId="362F8B35" w:rsidR="00345C06" w:rsidRPr="00D127D6" w:rsidRDefault="001F0240" w:rsidP="00D127D6">
      <w:pPr>
        <w:pStyle w:val="ListParagraph"/>
        <w:numPr>
          <w:ilvl w:val="0"/>
          <w:numId w:val="30"/>
        </w:numPr>
        <w:spacing w:after="120" w:line="276" w:lineRule="auto"/>
        <w:jc w:val="both"/>
        <w:rPr>
          <w:rFonts w:cs="Tahoma"/>
          <w:szCs w:val="24"/>
        </w:rPr>
      </w:pPr>
      <w:r>
        <w:rPr>
          <w:rFonts w:cs="Tahoma"/>
          <w:szCs w:val="24"/>
        </w:rPr>
        <w:t xml:space="preserve">Receive </w:t>
      </w:r>
      <w:bookmarkStart w:id="6" w:name="_GoBack"/>
      <w:bookmarkEnd w:id="6"/>
      <w:r w:rsidR="00176E8D" w:rsidRPr="006460B0">
        <w:rPr>
          <w:rFonts w:cs="Tahoma"/>
          <w:b/>
          <w:szCs w:val="24"/>
        </w:rPr>
        <w:t>assurance</w:t>
      </w:r>
      <w:r w:rsidR="00176E8D">
        <w:rPr>
          <w:rFonts w:cs="Tahoma"/>
          <w:szCs w:val="24"/>
        </w:rPr>
        <w:t xml:space="preserve"> on </w:t>
      </w:r>
      <w:r w:rsidR="00176E8D" w:rsidRPr="00D127D6">
        <w:rPr>
          <w:rFonts w:cs="Tahoma"/>
          <w:szCs w:val="24"/>
        </w:rPr>
        <w:t>Public Health Wales</w:t>
      </w:r>
      <w:r w:rsidR="00176E8D">
        <w:rPr>
          <w:rFonts w:cs="Tahoma"/>
          <w:szCs w:val="24"/>
        </w:rPr>
        <w:t>’</w:t>
      </w:r>
      <w:r w:rsidR="00176E8D" w:rsidRPr="00D127D6">
        <w:rPr>
          <w:rFonts w:cs="Tahoma"/>
          <w:szCs w:val="24"/>
        </w:rPr>
        <w:t xml:space="preserve"> </w:t>
      </w:r>
      <w:r w:rsidR="00176E8D">
        <w:rPr>
          <w:rFonts w:cs="Tahoma"/>
          <w:szCs w:val="24"/>
        </w:rPr>
        <w:t xml:space="preserve">preparations and </w:t>
      </w:r>
      <w:r w:rsidR="00176E8D" w:rsidRPr="00D127D6">
        <w:rPr>
          <w:rFonts w:cs="Tahoma"/>
          <w:szCs w:val="24"/>
        </w:rPr>
        <w:t xml:space="preserve">response to </w:t>
      </w:r>
      <w:r w:rsidR="00176E8D">
        <w:rPr>
          <w:rFonts w:cs="Tahoma"/>
          <w:szCs w:val="24"/>
        </w:rPr>
        <w:t xml:space="preserve">the ending of </w:t>
      </w:r>
      <w:r w:rsidR="004025CA">
        <w:rPr>
          <w:rFonts w:cs="Tahoma"/>
          <w:szCs w:val="24"/>
        </w:rPr>
        <w:t xml:space="preserve">the UK </w:t>
      </w:r>
      <w:r w:rsidR="00176E8D" w:rsidRPr="00D127D6">
        <w:rPr>
          <w:rFonts w:cs="Tahoma"/>
          <w:szCs w:val="24"/>
        </w:rPr>
        <w:t>transition</w:t>
      </w:r>
      <w:r w:rsidR="00EC7519">
        <w:rPr>
          <w:rFonts w:cs="Tahoma"/>
          <w:szCs w:val="24"/>
        </w:rPr>
        <w:t xml:space="preserve"> period after </w:t>
      </w:r>
      <w:proofErr w:type="spellStart"/>
      <w:r w:rsidR="00EC7519">
        <w:rPr>
          <w:rFonts w:cs="Tahoma"/>
          <w:szCs w:val="24"/>
        </w:rPr>
        <w:t>Brexit</w:t>
      </w:r>
      <w:proofErr w:type="spellEnd"/>
      <w:r w:rsidR="00176E8D" w:rsidRPr="00D127D6">
        <w:rPr>
          <w:rFonts w:cs="Tahoma"/>
          <w:szCs w:val="24"/>
        </w:rPr>
        <w:t xml:space="preserve">, in the context of </w:t>
      </w:r>
      <w:r w:rsidR="00176E8D">
        <w:rPr>
          <w:rFonts w:cs="Tahoma"/>
          <w:szCs w:val="24"/>
        </w:rPr>
        <w:t>COVID</w:t>
      </w:r>
      <w:r w:rsidR="00176E8D" w:rsidRPr="00D127D6">
        <w:rPr>
          <w:rFonts w:cs="Tahoma"/>
          <w:szCs w:val="24"/>
        </w:rPr>
        <w:t>-19</w:t>
      </w:r>
      <w:r w:rsidR="00176E8D">
        <w:rPr>
          <w:rFonts w:cs="Tahoma"/>
          <w:szCs w:val="24"/>
        </w:rPr>
        <w:t xml:space="preserve"> </w:t>
      </w:r>
      <w:r w:rsidR="00176E8D" w:rsidRPr="00D127D6">
        <w:rPr>
          <w:rFonts w:cs="Tahoma"/>
          <w:szCs w:val="24"/>
        </w:rPr>
        <w:t>in three key areas of health securities/health protection; policy and evidence; and international health.</w:t>
      </w:r>
      <w:r w:rsidR="00176E8D" w:rsidRPr="00D127D6">
        <w:rPr>
          <w:color w:val="FF0000"/>
          <w:szCs w:val="24"/>
        </w:rPr>
        <w:t xml:space="preserve">  </w:t>
      </w:r>
    </w:p>
    <w:p w14:paraId="5F74B988" w14:textId="77777777" w:rsidR="00506C55" w:rsidRPr="00345C06" w:rsidRDefault="00506C55" w:rsidP="00680CAE">
      <w:pPr>
        <w:rPr>
          <w:color w:val="FF0000"/>
          <w:szCs w:val="24"/>
        </w:rPr>
      </w:pPr>
    </w:p>
    <w:sectPr w:rsidR="00506C55" w:rsidRPr="00345C06"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10738" w14:textId="77777777" w:rsidR="003A6197" w:rsidRDefault="003A6197" w:rsidP="00497F39">
      <w:r>
        <w:separator/>
      </w:r>
    </w:p>
  </w:endnote>
  <w:endnote w:type="continuationSeparator" w:id="0">
    <w:p w14:paraId="0C2D00D8" w14:textId="77777777" w:rsidR="003A6197" w:rsidRDefault="003A6197"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7"/>
      <w:gridCol w:w="2994"/>
    </w:tblGrid>
    <w:tr w:rsidR="007623DA" w:rsidRPr="00511AFF" w14:paraId="5F74B99C" w14:textId="77777777" w:rsidTr="003B7361">
      <w:tc>
        <w:tcPr>
          <w:tcW w:w="3100" w:type="dxa"/>
        </w:tcPr>
        <w:p w14:paraId="5F74B999" w14:textId="6742F6A8" w:rsidR="007623DA" w:rsidRPr="00B16000" w:rsidRDefault="007623DA" w:rsidP="008B2A73">
          <w:pPr>
            <w:pStyle w:val="Footer"/>
            <w:tabs>
              <w:tab w:val="right" w:pos="9090"/>
            </w:tabs>
            <w:jc w:val="center"/>
            <w:rPr>
              <w:b/>
              <w:sz w:val="20"/>
            </w:rPr>
          </w:pPr>
          <w:r w:rsidRPr="00B16000">
            <w:rPr>
              <w:b/>
              <w:sz w:val="20"/>
            </w:rPr>
            <w:t xml:space="preserve">Date: </w:t>
          </w:r>
          <w:r w:rsidRPr="00B16000">
            <w:rPr>
              <w:sz w:val="20"/>
            </w:rPr>
            <w:t xml:space="preserve"> </w:t>
          </w:r>
          <w:r w:rsidR="006460B0">
            <w:rPr>
              <w:sz w:val="20"/>
            </w:rPr>
            <w:t>11</w:t>
          </w:r>
          <w:r w:rsidR="00B16000" w:rsidRPr="00B16000">
            <w:rPr>
              <w:sz w:val="20"/>
            </w:rPr>
            <w:t xml:space="preserve"> </w:t>
          </w:r>
          <w:r w:rsidR="008B2A73">
            <w:rPr>
              <w:sz w:val="20"/>
            </w:rPr>
            <w:t>September</w:t>
          </w:r>
          <w:r w:rsidR="00B16000" w:rsidRPr="00B16000">
            <w:rPr>
              <w:sz w:val="20"/>
            </w:rPr>
            <w:t xml:space="preserve"> 2020</w:t>
          </w:r>
        </w:p>
      </w:tc>
      <w:tc>
        <w:tcPr>
          <w:tcW w:w="3100" w:type="dxa"/>
        </w:tcPr>
        <w:p w14:paraId="5F74B99A" w14:textId="1615158F" w:rsidR="007623DA" w:rsidRPr="00B16000" w:rsidRDefault="007623DA" w:rsidP="00B16000">
          <w:pPr>
            <w:pStyle w:val="Footer"/>
            <w:tabs>
              <w:tab w:val="center" w:pos="1433"/>
              <w:tab w:val="right" w:pos="2866"/>
              <w:tab w:val="right" w:pos="9090"/>
            </w:tabs>
            <w:jc w:val="center"/>
            <w:rPr>
              <w:b/>
              <w:sz w:val="20"/>
            </w:rPr>
          </w:pPr>
          <w:r w:rsidRPr="00B16000">
            <w:rPr>
              <w:b/>
              <w:sz w:val="20"/>
            </w:rPr>
            <w:t>Version:</w:t>
          </w:r>
          <w:r w:rsidRPr="00B16000">
            <w:rPr>
              <w:sz w:val="20"/>
            </w:rPr>
            <w:t xml:space="preserve"> </w:t>
          </w:r>
          <w:r w:rsidR="00BD0ED1">
            <w:rPr>
              <w:sz w:val="20"/>
            </w:rPr>
            <w:t>2</w:t>
          </w:r>
        </w:p>
      </w:tc>
      <w:tc>
        <w:tcPr>
          <w:tcW w:w="3101" w:type="dxa"/>
        </w:tcPr>
        <w:p w14:paraId="5F74B99B" w14:textId="611849F9" w:rsidR="007623DA" w:rsidRPr="00B16000" w:rsidRDefault="007623DA" w:rsidP="003B7361">
          <w:pPr>
            <w:pStyle w:val="Footer"/>
            <w:tabs>
              <w:tab w:val="clear" w:pos="4513"/>
              <w:tab w:val="center" w:pos="4500"/>
              <w:tab w:val="right" w:pos="9090"/>
            </w:tabs>
            <w:jc w:val="center"/>
            <w:rPr>
              <w:b/>
              <w:sz w:val="20"/>
            </w:rPr>
          </w:pPr>
          <w:r w:rsidRPr="00B16000">
            <w:rPr>
              <w:b/>
              <w:sz w:val="20"/>
            </w:rPr>
            <w:t xml:space="preserve">Page: </w:t>
          </w:r>
          <w:r w:rsidRPr="00B16000">
            <w:rPr>
              <w:rStyle w:val="PageNumber"/>
              <w:sz w:val="20"/>
            </w:rPr>
            <w:fldChar w:fldCharType="begin"/>
          </w:r>
          <w:r w:rsidRPr="00B16000">
            <w:rPr>
              <w:rStyle w:val="PageNumber"/>
              <w:sz w:val="20"/>
            </w:rPr>
            <w:instrText xml:space="preserve"> PAGE </w:instrText>
          </w:r>
          <w:r w:rsidRPr="00B16000">
            <w:rPr>
              <w:rStyle w:val="PageNumber"/>
              <w:sz w:val="20"/>
            </w:rPr>
            <w:fldChar w:fldCharType="separate"/>
          </w:r>
          <w:r w:rsidR="001F0240">
            <w:rPr>
              <w:rStyle w:val="PageNumber"/>
              <w:noProof/>
              <w:sz w:val="20"/>
            </w:rPr>
            <w:t>10</w:t>
          </w:r>
          <w:r w:rsidRPr="00B16000">
            <w:rPr>
              <w:rStyle w:val="PageNumber"/>
              <w:sz w:val="20"/>
            </w:rPr>
            <w:fldChar w:fldCharType="end"/>
          </w:r>
          <w:r w:rsidRPr="00B16000">
            <w:rPr>
              <w:rStyle w:val="PageNumber"/>
              <w:sz w:val="20"/>
            </w:rPr>
            <w:t xml:space="preserve"> of </w:t>
          </w:r>
          <w:r w:rsidRPr="00B16000">
            <w:rPr>
              <w:rStyle w:val="PageNumber"/>
              <w:sz w:val="20"/>
            </w:rPr>
            <w:fldChar w:fldCharType="begin"/>
          </w:r>
          <w:r w:rsidRPr="00B16000">
            <w:rPr>
              <w:rStyle w:val="PageNumber"/>
              <w:sz w:val="20"/>
            </w:rPr>
            <w:instrText xml:space="preserve"> NUMPAGES </w:instrText>
          </w:r>
          <w:r w:rsidRPr="00B16000">
            <w:rPr>
              <w:rStyle w:val="PageNumber"/>
              <w:sz w:val="20"/>
            </w:rPr>
            <w:fldChar w:fldCharType="separate"/>
          </w:r>
          <w:r w:rsidR="001F0240">
            <w:rPr>
              <w:rStyle w:val="PageNumber"/>
              <w:noProof/>
              <w:sz w:val="20"/>
            </w:rPr>
            <w:t>10</w:t>
          </w:r>
          <w:r w:rsidRPr="00B16000">
            <w:rPr>
              <w:rStyle w:val="PageNumber"/>
              <w:sz w:val="20"/>
            </w:rPr>
            <w:fldChar w:fldCharType="end"/>
          </w:r>
        </w:p>
      </w:tc>
    </w:tr>
  </w:tbl>
  <w:p w14:paraId="5F74B99D" w14:textId="77777777"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1A4E8" w14:textId="77777777" w:rsidR="003A6197" w:rsidRDefault="003A6197" w:rsidP="00497F39">
      <w:r>
        <w:separator/>
      </w:r>
    </w:p>
  </w:footnote>
  <w:footnote w:type="continuationSeparator" w:id="0">
    <w:p w14:paraId="20DE786B" w14:textId="77777777" w:rsidR="003A6197" w:rsidRDefault="003A6197"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6D57"/>
    <w:multiLevelType w:val="hybridMultilevel"/>
    <w:tmpl w:val="F5683664"/>
    <w:lvl w:ilvl="0" w:tplc="0809000D">
      <w:start w:val="1"/>
      <w:numFmt w:val="bullet"/>
      <w:lvlText w:val=""/>
      <w:lvlJc w:val="left"/>
      <w:pPr>
        <w:tabs>
          <w:tab w:val="num" w:pos="720"/>
        </w:tabs>
        <w:ind w:left="720" w:hanging="360"/>
      </w:pPr>
      <w:rPr>
        <w:rFonts w:ascii="Wingdings" w:hAnsi="Wingdings" w:hint="default"/>
      </w:rPr>
    </w:lvl>
    <w:lvl w:ilvl="1" w:tplc="86E471A6">
      <w:start w:val="110"/>
      <w:numFmt w:val="bullet"/>
      <w:lvlText w:val="o"/>
      <w:lvlJc w:val="left"/>
      <w:pPr>
        <w:tabs>
          <w:tab w:val="num" w:pos="1440"/>
        </w:tabs>
        <w:ind w:left="1440" w:hanging="360"/>
      </w:pPr>
      <w:rPr>
        <w:rFonts w:ascii="Courier New" w:hAnsi="Courier New" w:hint="default"/>
      </w:rPr>
    </w:lvl>
    <w:lvl w:ilvl="2" w:tplc="8E200D82" w:tentative="1">
      <w:start w:val="1"/>
      <w:numFmt w:val="bullet"/>
      <w:lvlText w:val="•"/>
      <w:lvlJc w:val="left"/>
      <w:pPr>
        <w:tabs>
          <w:tab w:val="num" w:pos="2160"/>
        </w:tabs>
        <w:ind w:left="2160" w:hanging="360"/>
      </w:pPr>
      <w:rPr>
        <w:rFonts w:ascii="Arial" w:hAnsi="Arial" w:hint="default"/>
      </w:rPr>
    </w:lvl>
    <w:lvl w:ilvl="3" w:tplc="90163E1C" w:tentative="1">
      <w:start w:val="1"/>
      <w:numFmt w:val="bullet"/>
      <w:lvlText w:val="•"/>
      <w:lvlJc w:val="left"/>
      <w:pPr>
        <w:tabs>
          <w:tab w:val="num" w:pos="2880"/>
        </w:tabs>
        <w:ind w:left="2880" w:hanging="360"/>
      </w:pPr>
      <w:rPr>
        <w:rFonts w:ascii="Arial" w:hAnsi="Arial" w:hint="default"/>
      </w:rPr>
    </w:lvl>
    <w:lvl w:ilvl="4" w:tplc="2D6044FC" w:tentative="1">
      <w:start w:val="1"/>
      <w:numFmt w:val="bullet"/>
      <w:lvlText w:val="•"/>
      <w:lvlJc w:val="left"/>
      <w:pPr>
        <w:tabs>
          <w:tab w:val="num" w:pos="3600"/>
        </w:tabs>
        <w:ind w:left="3600" w:hanging="360"/>
      </w:pPr>
      <w:rPr>
        <w:rFonts w:ascii="Arial" w:hAnsi="Arial" w:hint="default"/>
      </w:rPr>
    </w:lvl>
    <w:lvl w:ilvl="5" w:tplc="FAD8D3F6" w:tentative="1">
      <w:start w:val="1"/>
      <w:numFmt w:val="bullet"/>
      <w:lvlText w:val="•"/>
      <w:lvlJc w:val="left"/>
      <w:pPr>
        <w:tabs>
          <w:tab w:val="num" w:pos="4320"/>
        </w:tabs>
        <w:ind w:left="4320" w:hanging="360"/>
      </w:pPr>
      <w:rPr>
        <w:rFonts w:ascii="Arial" w:hAnsi="Arial" w:hint="default"/>
      </w:rPr>
    </w:lvl>
    <w:lvl w:ilvl="6" w:tplc="2B083D4A" w:tentative="1">
      <w:start w:val="1"/>
      <w:numFmt w:val="bullet"/>
      <w:lvlText w:val="•"/>
      <w:lvlJc w:val="left"/>
      <w:pPr>
        <w:tabs>
          <w:tab w:val="num" w:pos="5040"/>
        </w:tabs>
        <w:ind w:left="5040" w:hanging="360"/>
      </w:pPr>
      <w:rPr>
        <w:rFonts w:ascii="Arial" w:hAnsi="Arial" w:hint="default"/>
      </w:rPr>
    </w:lvl>
    <w:lvl w:ilvl="7" w:tplc="B156BBD8" w:tentative="1">
      <w:start w:val="1"/>
      <w:numFmt w:val="bullet"/>
      <w:lvlText w:val="•"/>
      <w:lvlJc w:val="left"/>
      <w:pPr>
        <w:tabs>
          <w:tab w:val="num" w:pos="5760"/>
        </w:tabs>
        <w:ind w:left="5760" w:hanging="360"/>
      </w:pPr>
      <w:rPr>
        <w:rFonts w:ascii="Arial" w:hAnsi="Arial" w:hint="default"/>
      </w:rPr>
    </w:lvl>
    <w:lvl w:ilvl="8" w:tplc="FAB475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05635"/>
    <w:multiLevelType w:val="hybridMultilevel"/>
    <w:tmpl w:val="D5A6F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7923A0"/>
    <w:multiLevelType w:val="hybridMultilevel"/>
    <w:tmpl w:val="521A2926"/>
    <w:lvl w:ilvl="0" w:tplc="2222CA6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153CD5"/>
    <w:multiLevelType w:val="hybridMultilevel"/>
    <w:tmpl w:val="150CC22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EF06262"/>
    <w:multiLevelType w:val="hybridMultilevel"/>
    <w:tmpl w:val="5D9CAF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7E485A"/>
    <w:multiLevelType w:val="hybridMultilevel"/>
    <w:tmpl w:val="DAC2DA10"/>
    <w:lvl w:ilvl="0" w:tplc="0809000F">
      <w:start w:val="1"/>
      <w:numFmt w:val="decimal"/>
      <w:lvlText w:val="%1."/>
      <w:lvlJc w:val="left"/>
      <w:pPr>
        <w:tabs>
          <w:tab w:val="num" w:pos="720"/>
        </w:tabs>
        <w:ind w:left="720" w:hanging="360"/>
      </w:pPr>
      <w:rPr>
        <w:rFonts w:hint="default"/>
      </w:rPr>
    </w:lvl>
    <w:lvl w:ilvl="1" w:tplc="86E471A6">
      <w:start w:val="110"/>
      <w:numFmt w:val="bullet"/>
      <w:lvlText w:val="o"/>
      <w:lvlJc w:val="left"/>
      <w:pPr>
        <w:tabs>
          <w:tab w:val="num" w:pos="1440"/>
        </w:tabs>
        <w:ind w:left="1440" w:hanging="360"/>
      </w:pPr>
      <w:rPr>
        <w:rFonts w:ascii="Courier New" w:hAnsi="Courier New" w:hint="default"/>
      </w:rPr>
    </w:lvl>
    <w:lvl w:ilvl="2" w:tplc="8E200D82" w:tentative="1">
      <w:start w:val="1"/>
      <w:numFmt w:val="bullet"/>
      <w:lvlText w:val="•"/>
      <w:lvlJc w:val="left"/>
      <w:pPr>
        <w:tabs>
          <w:tab w:val="num" w:pos="2160"/>
        </w:tabs>
        <w:ind w:left="2160" w:hanging="360"/>
      </w:pPr>
      <w:rPr>
        <w:rFonts w:ascii="Arial" w:hAnsi="Arial" w:hint="default"/>
      </w:rPr>
    </w:lvl>
    <w:lvl w:ilvl="3" w:tplc="90163E1C" w:tentative="1">
      <w:start w:val="1"/>
      <w:numFmt w:val="bullet"/>
      <w:lvlText w:val="•"/>
      <w:lvlJc w:val="left"/>
      <w:pPr>
        <w:tabs>
          <w:tab w:val="num" w:pos="2880"/>
        </w:tabs>
        <w:ind w:left="2880" w:hanging="360"/>
      </w:pPr>
      <w:rPr>
        <w:rFonts w:ascii="Arial" w:hAnsi="Arial" w:hint="default"/>
      </w:rPr>
    </w:lvl>
    <w:lvl w:ilvl="4" w:tplc="2D6044FC" w:tentative="1">
      <w:start w:val="1"/>
      <w:numFmt w:val="bullet"/>
      <w:lvlText w:val="•"/>
      <w:lvlJc w:val="left"/>
      <w:pPr>
        <w:tabs>
          <w:tab w:val="num" w:pos="3600"/>
        </w:tabs>
        <w:ind w:left="3600" w:hanging="360"/>
      </w:pPr>
      <w:rPr>
        <w:rFonts w:ascii="Arial" w:hAnsi="Arial" w:hint="default"/>
      </w:rPr>
    </w:lvl>
    <w:lvl w:ilvl="5" w:tplc="FAD8D3F6" w:tentative="1">
      <w:start w:val="1"/>
      <w:numFmt w:val="bullet"/>
      <w:lvlText w:val="•"/>
      <w:lvlJc w:val="left"/>
      <w:pPr>
        <w:tabs>
          <w:tab w:val="num" w:pos="4320"/>
        </w:tabs>
        <w:ind w:left="4320" w:hanging="360"/>
      </w:pPr>
      <w:rPr>
        <w:rFonts w:ascii="Arial" w:hAnsi="Arial" w:hint="default"/>
      </w:rPr>
    </w:lvl>
    <w:lvl w:ilvl="6" w:tplc="2B083D4A" w:tentative="1">
      <w:start w:val="1"/>
      <w:numFmt w:val="bullet"/>
      <w:lvlText w:val="•"/>
      <w:lvlJc w:val="left"/>
      <w:pPr>
        <w:tabs>
          <w:tab w:val="num" w:pos="5040"/>
        </w:tabs>
        <w:ind w:left="5040" w:hanging="360"/>
      </w:pPr>
      <w:rPr>
        <w:rFonts w:ascii="Arial" w:hAnsi="Arial" w:hint="default"/>
      </w:rPr>
    </w:lvl>
    <w:lvl w:ilvl="7" w:tplc="B156BBD8" w:tentative="1">
      <w:start w:val="1"/>
      <w:numFmt w:val="bullet"/>
      <w:lvlText w:val="•"/>
      <w:lvlJc w:val="left"/>
      <w:pPr>
        <w:tabs>
          <w:tab w:val="num" w:pos="5760"/>
        </w:tabs>
        <w:ind w:left="5760" w:hanging="360"/>
      </w:pPr>
      <w:rPr>
        <w:rFonts w:ascii="Arial" w:hAnsi="Arial" w:hint="default"/>
      </w:rPr>
    </w:lvl>
    <w:lvl w:ilvl="8" w:tplc="FAB475B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6D4664"/>
    <w:multiLevelType w:val="hybridMultilevel"/>
    <w:tmpl w:val="3778508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B4E3C"/>
    <w:multiLevelType w:val="hybridMultilevel"/>
    <w:tmpl w:val="15E083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7" w15:restartNumberingAfterBreak="0">
    <w:nsid w:val="7AA029E2"/>
    <w:multiLevelType w:val="hybridMultilevel"/>
    <w:tmpl w:val="240C61E0"/>
    <w:lvl w:ilvl="0" w:tplc="37423FF0">
      <w:start w:val="3"/>
      <w:numFmt w:val="bullet"/>
      <w:lvlText w:val="-"/>
      <w:lvlJc w:val="left"/>
      <w:pPr>
        <w:ind w:left="1434" w:hanging="360"/>
      </w:pPr>
      <w:rPr>
        <w:rFonts w:ascii="Trebuchet MS" w:eastAsiaTheme="minorHAnsi" w:hAnsi="Trebuchet MS" w:cs="Tahoma"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8"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FC73F49"/>
    <w:multiLevelType w:val="hybridMultilevel"/>
    <w:tmpl w:val="216CB258"/>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8"/>
  </w:num>
  <w:num w:numId="4">
    <w:abstractNumId w:val="20"/>
  </w:num>
  <w:num w:numId="5">
    <w:abstractNumId w:val="2"/>
  </w:num>
  <w:num w:numId="6">
    <w:abstractNumId w:val="10"/>
  </w:num>
  <w:num w:numId="7">
    <w:abstractNumId w:val="9"/>
  </w:num>
  <w:num w:numId="8">
    <w:abstractNumId w:val="19"/>
  </w:num>
  <w:num w:numId="9">
    <w:abstractNumId w:val="22"/>
  </w:num>
  <w:num w:numId="10">
    <w:abstractNumId w:val="7"/>
  </w:num>
  <w:num w:numId="11">
    <w:abstractNumId w:val="23"/>
  </w:num>
  <w:num w:numId="12">
    <w:abstractNumId w:val="6"/>
  </w:num>
  <w:num w:numId="13">
    <w:abstractNumId w:val="12"/>
  </w:num>
  <w:num w:numId="14">
    <w:abstractNumId w:val="14"/>
  </w:num>
  <w:num w:numId="15">
    <w:abstractNumId w:val="5"/>
  </w:num>
  <w:num w:numId="16">
    <w:abstractNumId w:val="26"/>
  </w:num>
  <w:num w:numId="17">
    <w:abstractNumId w:val="21"/>
  </w:num>
  <w:num w:numId="18">
    <w:abstractNumId w:val="25"/>
  </w:num>
  <w:num w:numId="19">
    <w:abstractNumId w:val="24"/>
  </w:num>
  <w:num w:numId="20">
    <w:abstractNumId w:val="4"/>
  </w:num>
  <w:num w:numId="21">
    <w:abstractNumId w:val="8"/>
  </w:num>
  <w:num w:numId="22">
    <w:abstractNumId w:val="16"/>
  </w:num>
  <w:num w:numId="23">
    <w:abstractNumId w:val="0"/>
  </w:num>
  <w:num w:numId="24">
    <w:abstractNumId w:val="17"/>
  </w:num>
  <w:num w:numId="25">
    <w:abstractNumId w:val="1"/>
  </w:num>
  <w:num w:numId="26">
    <w:abstractNumId w:val="29"/>
  </w:num>
  <w:num w:numId="27">
    <w:abstractNumId w:val="27"/>
  </w:num>
  <w:num w:numId="28">
    <w:abstractNumId w:val="18"/>
  </w:num>
  <w:num w:numId="29">
    <w:abstractNumId w:val="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03C4"/>
    <w:rsid w:val="000037FD"/>
    <w:rsid w:val="0000561A"/>
    <w:rsid w:val="00025C2F"/>
    <w:rsid w:val="00051CDC"/>
    <w:rsid w:val="00051E74"/>
    <w:rsid w:val="0005502D"/>
    <w:rsid w:val="00056CD5"/>
    <w:rsid w:val="00057CFB"/>
    <w:rsid w:val="00097ACD"/>
    <w:rsid w:val="000B306B"/>
    <w:rsid w:val="000F46F4"/>
    <w:rsid w:val="000F5A72"/>
    <w:rsid w:val="001107EE"/>
    <w:rsid w:val="00121679"/>
    <w:rsid w:val="00123FD2"/>
    <w:rsid w:val="00126327"/>
    <w:rsid w:val="001272F6"/>
    <w:rsid w:val="0013075E"/>
    <w:rsid w:val="00133373"/>
    <w:rsid w:val="001409CA"/>
    <w:rsid w:val="00141FC5"/>
    <w:rsid w:val="00157E2A"/>
    <w:rsid w:val="00163FE5"/>
    <w:rsid w:val="00176E8D"/>
    <w:rsid w:val="001B2A97"/>
    <w:rsid w:val="001B3428"/>
    <w:rsid w:val="001C02C6"/>
    <w:rsid w:val="001C305C"/>
    <w:rsid w:val="001C60B5"/>
    <w:rsid w:val="001D0252"/>
    <w:rsid w:val="001E5B78"/>
    <w:rsid w:val="001F0240"/>
    <w:rsid w:val="00202AB8"/>
    <w:rsid w:val="002048D5"/>
    <w:rsid w:val="002077A2"/>
    <w:rsid w:val="0021092C"/>
    <w:rsid w:val="00211B9D"/>
    <w:rsid w:val="00214BA4"/>
    <w:rsid w:val="0022713F"/>
    <w:rsid w:val="00250088"/>
    <w:rsid w:val="00257A3D"/>
    <w:rsid w:val="00257CD2"/>
    <w:rsid w:val="00273D26"/>
    <w:rsid w:val="002B0BC9"/>
    <w:rsid w:val="002B712E"/>
    <w:rsid w:val="002C0A83"/>
    <w:rsid w:val="002C170B"/>
    <w:rsid w:val="002D11B1"/>
    <w:rsid w:val="002E6258"/>
    <w:rsid w:val="002E7BE0"/>
    <w:rsid w:val="003018F5"/>
    <w:rsid w:val="00304FD0"/>
    <w:rsid w:val="00305721"/>
    <w:rsid w:val="00322D2E"/>
    <w:rsid w:val="00326EC6"/>
    <w:rsid w:val="00337864"/>
    <w:rsid w:val="00345C06"/>
    <w:rsid w:val="00345CAF"/>
    <w:rsid w:val="003461AF"/>
    <w:rsid w:val="00371966"/>
    <w:rsid w:val="00381E23"/>
    <w:rsid w:val="003A3414"/>
    <w:rsid w:val="003A6197"/>
    <w:rsid w:val="003B40BB"/>
    <w:rsid w:val="003B7361"/>
    <w:rsid w:val="003B7599"/>
    <w:rsid w:val="003B7B09"/>
    <w:rsid w:val="003C6952"/>
    <w:rsid w:val="003F3D59"/>
    <w:rsid w:val="003F3E7F"/>
    <w:rsid w:val="0040037A"/>
    <w:rsid w:val="004025CA"/>
    <w:rsid w:val="00407604"/>
    <w:rsid w:val="00427779"/>
    <w:rsid w:val="004375CA"/>
    <w:rsid w:val="004465C7"/>
    <w:rsid w:val="00457131"/>
    <w:rsid w:val="0046169C"/>
    <w:rsid w:val="00480353"/>
    <w:rsid w:val="004939C2"/>
    <w:rsid w:val="00497F39"/>
    <w:rsid w:val="004A4626"/>
    <w:rsid w:val="004A6253"/>
    <w:rsid w:val="004B31A5"/>
    <w:rsid w:val="004C4729"/>
    <w:rsid w:val="004D632B"/>
    <w:rsid w:val="004F24A1"/>
    <w:rsid w:val="00504A87"/>
    <w:rsid w:val="00506C55"/>
    <w:rsid w:val="0052328C"/>
    <w:rsid w:val="00536FA4"/>
    <w:rsid w:val="005411D3"/>
    <w:rsid w:val="00544C9E"/>
    <w:rsid w:val="00554429"/>
    <w:rsid w:val="0055720E"/>
    <w:rsid w:val="00564789"/>
    <w:rsid w:val="005767ED"/>
    <w:rsid w:val="00577744"/>
    <w:rsid w:val="00590736"/>
    <w:rsid w:val="005B4E75"/>
    <w:rsid w:val="005C5B0A"/>
    <w:rsid w:val="005C7D40"/>
    <w:rsid w:val="005D5FC4"/>
    <w:rsid w:val="005E33CB"/>
    <w:rsid w:val="005F28FE"/>
    <w:rsid w:val="00607476"/>
    <w:rsid w:val="00611958"/>
    <w:rsid w:val="006310BB"/>
    <w:rsid w:val="006460B0"/>
    <w:rsid w:val="00657B25"/>
    <w:rsid w:val="00660772"/>
    <w:rsid w:val="00666BDA"/>
    <w:rsid w:val="00672175"/>
    <w:rsid w:val="00680248"/>
    <w:rsid w:val="00680CAE"/>
    <w:rsid w:val="0068275A"/>
    <w:rsid w:val="0068334E"/>
    <w:rsid w:val="006C4A51"/>
    <w:rsid w:val="006D0542"/>
    <w:rsid w:val="006D6A6E"/>
    <w:rsid w:val="006E1B45"/>
    <w:rsid w:val="006F654D"/>
    <w:rsid w:val="0072746C"/>
    <w:rsid w:val="00737008"/>
    <w:rsid w:val="00754449"/>
    <w:rsid w:val="007623DA"/>
    <w:rsid w:val="007774C7"/>
    <w:rsid w:val="007838C9"/>
    <w:rsid w:val="007A47F5"/>
    <w:rsid w:val="007D01C9"/>
    <w:rsid w:val="007D03B8"/>
    <w:rsid w:val="007D04C7"/>
    <w:rsid w:val="007D79E4"/>
    <w:rsid w:val="007E45DA"/>
    <w:rsid w:val="007F7EA7"/>
    <w:rsid w:val="008036D5"/>
    <w:rsid w:val="00805FAF"/>
    <w:rsid w:val="00824D05"/>
    <w:rsid w:val="008524C0"/>
    <w:rsid w:val="00857182"/>
    <w:rsid w:val="00862227"/>
    <w:rsid w:val="008653E0"/>
    <w:rsid w:val="00872DD5"/>
    <w:rsid w:val="0087331D"/>
    <w:rsid w:val="00880111"/>
    <w:rsid w:val="008814DC"/>
    <w:rsid w:val="008902AA"/>
    <w:rsid w:val="00890A9D"/>
    <w:rsid w:val="00893619"/>
    <w:rsid w:val="008A2D5F"/>
    <w:rsid w:val="008B2A73"/>
    <w:rsid w:val="008C12E0"/>
    <w:rsid w:val="008C745A"/>
    <w:rsid w:val="008D4CCD"/>
    <w:rsid w:val="008F1F7E"/>
    <w:rsid w:val="00911572"/>
    <w:rsid w:val="00912C7B"/>
    <w:rsid w:val="00916053"/>
    <w:rsid w:val="00921F72"/>
    <w:rsid w:val="009233B4"/>
    <w:rsid w:val="00923A14"/>
    <w:rsid w:val="00924226"/>
    <w:rsid w:val="009328E2"/>
    <w:rsid w:val="00961990"/>
    <w:rsid w:val="00961E2C"/>
    <w:rsid w:val="0097574C"/>
    <w:rsid w:val="00980587"/>
    <w:rsid w:val="00980F99"/>
    <w:rsid w:val="0098365C"/>
    <w:rsid w:val="009878C1"/>
    <w:rsid w:val="00987E54"/>
    <w:rsid w:val="009938A6"/>
    <w:rsid w:val="009B2519"/>
    <w:rsid w:val="009C0B0C"/>
    <w:rsid w:val="009D0667"/>
    <w:rsid w:val="009F7F6B"/>
    <w:rsid w:val="00A06B87"/>
    <w:rsid w:val="00A250EA"/>
    <w:rsid w:val="00A25B36"/>
    <w:rsid w:val="00A279F5"/>
    <w:rsid w:val="00A34009"/>
    <w:rsid w:val="00A435F1"/>
    <w:rsid w:val="00A56D26"/>
    <w:rsid w:val="00A60C7E"/>
    <w:rsid w:val="00A60D6C"/>
    <w:rsid w:val="00A71385"/>
    <w:rsid w:val="00AB112A"/>
    <w:rsid w:val="00AB5DB9"/>
    <w:rsid w:val="00AC45EB"/>
    <w:rsid w:val="00AC5841"/>
    <w:rsid w:val="00AD7227"/>
    <w:rsid w:val="00AE3D01"/>
    <w:rsid w:val="00AF3146"/>
    <w:rsid w:val="00B00419"/>
    <w:rsid w:val="00B16000"/>
    <w:rsid w:val="00B164A0"/>
    <w:rsid w:val="00B47936"/>
    <w:rsid w:val="00B509E3"/>
    <w:rsid w:val="00B52B29"/>
    <w:rsid w:val="00B80218"/>
    <w:rsid w:val="00B936DE"/>
    <w:rsid w:val="00B94BB0"/>
    <w:rsid w:val="00BA3E2A"/>
    <w:rsid w:val="00BC39AE"/>
    <w:rsid w:val="00BC5B9C"/>
    <w:rsid w:val="00BD0ED1"/>
    <w:rsid w:val="00BF3E39"/>
    <w:rsid w:val="00C05D9F"/>
    <w:rsid w:val="00C1444B"/>
    <w:rsid w:val="00C17DDB"/>
    <w:rsid w:val="00C26C1D"/>
    <w:rsid w:val="00C84EE5"/>
    <w:rsid w:val="00C87F23"/>
    <w:rsid w:val="00C9163D"/>
    <w:rsid w:val="00CA4D3A"/>
    <w:rsid w:val="00CA4DA9"/>
    <w:rsid w:val="00CA5841"/>
    <w:rsid w:val="00CA7E0D"/>
    <w:rsid w:val="00CB0E6B"/>
    <w:rsid w:val="00CC764D"/>
    <w:rsid w:val="00CD4F4C"/>
    <w:rsid w:val="00CE6807"/>
    <w:rsid w:val="00CE6EB8"/>
    <w:rsid w:val="00CE7312"/>
    <w:rsid w:val="00CF7674"/>
    <w:rsid w:val="00D02E95"/>
    <w:rsid w:val="00D127D6"/>
    <w:rsid w:val="00D25D84"/>
    <w:rsid w:val="00D26E48"/>
    <w:rsid w:val="00D34F08"/>
    <w:rsid w:val="00D41503"/>
    <w:rsid w:val="00D45724"/>
    <w:rsid w:val="00D45A01"/>
    <w:rsid w:val="00D55785"/>
    <w:rsid w:val="00D60F40"/>
    <w:rsid w:val="00D64BA8"/>
    <w:rsid w:val="00D713DC"/>
    <w:rsid w:val="00D74461"/>
    <w:rsid w:val="00D87080"/>
    <w:rsid w:val="00DA2383"/>
    <w:rsid w:val="00DC594E"/>
    <w:rsid w:val="00DD4052"/>
    <w:rsid w:val="00DE2218"/>
    <w:rsid w:val="00DE7DF5"/>
    <w:rsid w:val="00DF60B6"/>
    <w:rsid w:val="00E01426"/>
    <w:rsid w:val="00E02A10"/>
    <w:rsid w:val="00E07F66"/>
    <w:rsid w:val="00E11F44"/>
    <w:rsid w:val="00E24001"/>
    <w:rsid w:val="00E263D4"/>
    <w:rsid w:val="00E333F3"/>
    <w:rsid w:val="00E343B1"/>
    <w:rsid w:val="00E371EA"/>
    <w:rsid w:val="00E37B54"/>
    <w:rsid w:val="00E55000"/>
    <w:rsid w:val="00E55718"/>
    <w:rsid w:val="00E56DBB"/>
    <w:rsid w:val="00E805CD"/>
    <w:rsid w:val="00E9495C"/>
    <w:rsid w:val="00EA23FA"/>
    <w:rsid w:val="00EA4379"/>
    <w:rsid w:val="00EA7139"/>
    <w:rsid w:val="00EB0841"/>
    <w:rsid w:val="00EC6188"/>
    <w:rsid w:val="00EC7519"/>
    <w:rsid w:val="00EE1810"/>
    <w:rsid w:val="00EE7097"/>
    <w:rsid w:val="00EF229F"/>
    <w:rsid w:val="00EF5883"/>
    <w:rsid w:val="00F2582A"/>
    <w:rsid w:val="00F31C10"/>
    <w:rsid w:val="00F35656"/>
    <w:rsid w:val="00F47896"/>
    <w:rsid w:val="00F479A1"/>
    <w:rsid w:val="00F64A23"/>
    <w:rsid w:val="00F74A20"/>
    <w:rsid w:val="00F82C1B"/>
    <w:rsid w:val="00F95B15"/>
    <w:rsid w:val="00FA34E9"/>
    <w:rsid w:val="00FA62CB"/>
    <w:rsid w:val="00FA7943"/>
    <w:rsid w:val="00FB67EB"/>
    <w:rsid w:val="00FC2859"/>
    <w:rsid w:val="00FC7FAE"/>
    <w:rsid w:val="00FD1D43"/>
    <w:rsid w:val="00FF1936"/>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74B8E6"/>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
    <w:basedOn w:val="Normal"/>
    <w:link w:val="ListParagraphChar"/>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2048D5"/>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owis.wales.nhs.uk/sitesplus/888/page/64548"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ales.nhs.uk/governance-emanual/how-the-health-and-care-standards-are-s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9B8CED89FE6E489186EB32EA798E74F5"/>
        <w:category>
          <w:name w:val="General"/>
          <w:gallery w:val="placeholder"/>
        </w:category>
        <w:types>
          <w:type w:val="bbPlcHdr"/>
        </w:types>
        <w:behaviors>
          <w:behavior w:val="content"/>
        </w:behaviors>
        <w:guid w:val="{56AD932B-BF98-4DAC-B615-EED0FFC427B6}"/>
      </w:docPartPr>
      <w:docPartBody>
        <w:p w:rsidR="00942F3C" w:rsidRDefault="0098440F" w:rsidP="0098440F">
          <w:pPr>
            <w:pStyle w:val="9B8CED89FE6E489186EB32EA798E74F51"/>
          </w:pPr>
          <w:r w:rsidRPr="001C60B5">
            <w:rPr>
              <w:rStyle w:val="PlaceholderText"/>
              <w:szCs w:val="24"/>
            </w:rPr>
            <w:t>Choose an item.</w:t>
          </w:r>
        </w:p>
      </w:docPartBody>
    </w:docPart>
    <w:docPart>
      <w:docPartPr>
        <w:name w:val="19A444ACBEA34578BA0CB31422DD2377"/>
        <w:category>
          <w:name w:val="General"/>
          <w:gallery w:val="placeholder"/>
        </w:category>
        <w:types>
          <w:type w:val="bbPlcHdr"/>
        </w:types>
        <w:behaviors>
          <w:behavior w:val="content"/>
        </w:behaviors>
        <w:guid w:val="{A4BEB4AF-8624-42C7-80AB-0B70F3C62545}"/>
      </w:docPartPr>
      <w:docPartBody>
        <w:p w:rsidR="00942F3C" w:rsidRDefault="0098440F" w:rsidP="0098440F">
          <w:pPr>
            <w:pStyle w:val="19A444ACBEA34578BA0CB31422DD23771"/>
          </w:pPr>
          <w:r w:rsidRPr="001C60B5">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
      <w:docPartPr>
        <w:name w:val="E19A39A2DC34427782303866B501EF52"/>
        <w:category>
          <w:name w:val="General"/>
          <w:gallery w:val="placeholder"/>
        </w:category>
        <w:types>
          <w:type w:val="bbPlcHdr"/>
        </w:types>
        <w:behaviors>
          <w:behavior w:val="content"/>
        </w:behaviors>
        <w:guid w:val="{F7EC3352-105C-477C-838D-AD061A4E5EC1}"/>
      </w:docPartPr>
      <w:docPartBody>
        <w:p w:rsidR="00CF449E" w:rsidRDefault="004838BF" w:rsidP="004838BF">
          <w:pPr>
            <w:pStyle w:val="E19A39A2DC34427782303866B501EF52"/>
          </w:pPr>
          <w:r w:rsidRPr="0013075E">
            <w:rPr>
              <w:rStyle w:val="PlaceholderText"/>
              <w:szCs w:val="24"/>
            </w:rPr>
            <w:t>Choose an item.</w:t>
          </w:r>
        </w:p>
      </w:docPartBody>
    </w:docPart>
    <w:docPart>
      <w:docPartPr>
        <w:name w:val="4037A60F381647269327C3491F818BF7"/>
        <w:category>
          <w:name w:val="General"/>
          <w:gallery w:val="placeholder"/>
        </w:category>
        <w:types>
          <w:type w:val="bbPlcHdr"/>
        </w:types>
        <w:behaviors>
          <w:behavior w:val="content"/>
        </w:behaviors>
        <w:guid w:val="{DEAF250B-3D28-4BAE-AC23-C8CCE9FB5415}"/>
      </w:docPartPr>
      <w:docPartBody>
        <w:p w:rsidR="00CF449E" w:rsidRDefault="004838BF" w:rsidP="004838BF">
          <w:pPr>
            <w:pStyle w:val="4037A60F381647269327C3491F818BF7"/>
          </w:pPr>
          <w:r w:rsidRPr="0013075E">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42F3C"/>
    <w:rsid w:val="00096059"/>
    <w:rsid w:val="003D3909"/>
    <w:rsid w:val="00404A09"/>
    <w:rsid w:val="0045397F"/>
    <w:rsid w:val="004838BF"/>
    <w:rsid w:val="005A164A"/>
    <w:rsid w:val="00760EAF"/>
    <w:rsid w:val="008574C6"/>
    <w:rsid w:val="00884126"/>
    <w:rsid w:val="00895D61"/>
    <w:rsid w:val="00942F3C"/>
    <w:rsid w:val="0098440F"/>
    <w:rsid w:val="00A12BED"/>
    <w:rsid w:val="00AA293F"/>
    <w:rsid w:val="00B518DF"/>
    <w:rsid w:val="00B661DB"/>
    <w:rsid w:val="00CF449E"/>
    <w:rsid w:val="00E861E6"/>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TaxCatchAll xmlns="573deb0b-1af8-4c22-839e-5226f9086661">
      <Value>12</Value>
    </TaxCatchAll>
    <Archived xmlns="573deb0b-1af8-4c22-839e-5226f9086661">false</Archived>
    <EmailSubject xmlns="http://schemas.microsoft.com/sharepoint/v3" xsi:nil="true"/>
    <TaxKeywordTaxHTField xmlns="573deb0b-1af8-4c22-839e-5226f9086661">
      <Terms xmlns="http://schemas.microsoft.com/office/infopath/2007/PartnerControls">
        <TermInfo xmlns="http://schemas.microsoft.com/office/infopath/2007/PartnerControls">
          <TermName xmlns="http://schemas.microsoft.com/office/infopath/2007/PartnerControls">board committee</TermName>
          <TermId xmlns="http://schemas.microsoft.com/office/infopath/2007/PartnerControls">4c59d375-e8fe-4895-99f7-de1ea7bd2bf6</TermId>
        </TermInfo>
      </Terms>
    </TaxKeywordTaxHTField>
    <EmailCc xmlns="http://schemas.microsoft.com/sharepoint/v3" xsi:nil="true"/>
    <_dlc_DocId xmlns="fd053438-771b-42ba-9d81-01aaf027653a">KN3KN54Q7VUQ-4-10</_dlc_DocId>
    <_dlc_DocIdUrl xmlns="fd053438-771b-42ba-9d81-01aaf027653a">
      <Url>https://phwsharepoint.cymru.nhs.uk/corporate/governance/_layouts/15/DocIdRedir.aspx?ID=KN3KN54Q7VUQ-4-10</Url>
      <Description>KN3KN54Q7VUQ-4-10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085055D04C02241AF4759873DF8334B" ma:contentTypeVersion="29" ma:contentTypeDescription="Document with Enterprise Keyword column." ma:contentTypeScope="" ma:versionID="157275ac0c35055e6a3a4cb3467c48e6">
  <xsd:schema xmlns:xsd="http://www.w3.org/2001/XMLSchema" xmlns:xs="http://www.w3.org/2001/XMLSchema" xmlns:p="http://schemas.microsoft.com/office/2006/metadata/properties" xmlns:ns1="http://schemas.microsoft.com/sharepoint/v3" xmlns:ns2="fd053438-771b-42ba-9d81-01aaf027653a" xmlns:ns3="573deb0b-1af8-4c22-839e-5226f9086661" xmlns:ns4="http://schemas.microsoft.com/sharepoint/v4" targetNamespace="http://schemas.microsoft.com/office/2006/metadata/properties" ma:root="true" ma:fieldsID="887349ad8097a8f58d1bb95b9d8028a8" ns1:_="" ns2:_="" ns3:_="" ns4:_="">
    <xsd:import namespace="http://schemas.microsoft.com/sharepoint/v3"/>
    <xsd:import namespace="fd053438-771b-42ba-9d81-01aaf027653a"/>
    <xsd:import namespace="573deb0b-1af8-4c22-839e-5226f908666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element ref="ns3:Archived"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description="" ma:hidden="true" ma:internalName="EmailSender" ma:readOnly="false">
      <xsd:simpleType>
        <xsd:restriction base="dms:Note">
          <xsd:maxLength value="255"/>
        </xsd:restriction>
      </xsd:simpleType>
    </xsd:element>
    <xsd:element name="EmailTo" ma:index="12" nillable="true" ma:displayName="E-Mail To" ma:description="" ma:hidden="true" ma:internalName="EmailTo" ma:readOnly="false">
      <xsd:simpleType>
        <xsd:restriction base="dms:Note">
          <xsd:maxLength value="255"/>
        </xsd:restriction>
      </xsd:simpleType>
    </xsd:element>
    <xsd:element name="EmailCc" ma:index="13" nillable="true" ma:displayName="E-Mail Cc" ma:description="" ma:hidden="true" ma:internalName="EmailCc" ma:readOnly="false">
      <xsd:simpleType>
        <xsd:restriction base="dms:Note">
          <xsd:maxLength value="255"/>
        </xsd:restriction>
      </xsd:simpleType>
    </xsd:element>
    <xsd:element name="EmailFrom" ma:index="14" nillable="true" ma:displayName="E-Mail From" ma:description="" ma:hidden="true" ma:internalName="EmailFrom" ma:readOnly="false">
      <xsd:simpleType>
        <xsd:restriction base="dms:Text"/>
      </xsd:simpleType>
    </xsd:element>
    <xsd:element name="EmailSubject" ma:index="15" nillable="true" ma:displayName="E-Mail Subject" ma:description="" ma:hidden="true" ma:internalName="EmailSub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53438-771b-42ba-9d81-01aaf027653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3deb0b-1af8-4c22-839e-5226f9086661" elementFormDefault="qualified">
    <xsd:import namespace="http://schemas.microsoft.com/office/2006/documentManagement/types"/>
    <xsd:import namespace="http://schemas.microsoft.com/office/infopath/2007/PartnerControls"/>
    <xsd:element name="TaxKeywordTaxHTField" ma:index="7" nillable="true" ma:taxonomy="true" ma:internalName="TaxKeywordTaxHTField" ma:taxonomyFieldName="TaxKeyword" ma:displayName="Enterprise Keywords" ma:readOnly="false" ma:fieldId="{23f27201-bee3-471e-b2e7-b64fd8b7ca38}" ma:taxonomyMulti="true" ma:sspId="64f761c4-cb64-4933-b1ae-cbeaa3c9865a"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03c2ea0b-a94f-4569-805f-1911d84595fa}" ma:internalName="TaxCatchAll" ma:showField="CatchAllData" ma:web="fd053438-771b-42ba-9d81-01aaf027653a">
      <xsd:complexType>
        <xsd:complexContent>
          <xsd:extension base="dms:MultiChoiceLookup">
            <xsd:sequence>
              <xsd:element name="Value" type="dms:Lookup" maxOccurs="unbounded" minOccurs="0" nillable="true"/>
            </xsd:sequence>
          </xsd:extension>
        </xsd:complexContent>
      </xsd:complexType>
    </xsd:element>
    <xsd:element name="Archived" ma:index="10" nillable="true" ma:displayName="Archived" ma:default="0" ma:internalName="Archiv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description="" ma:hidden="true" ma:internalName="EmailHeader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E4FD6-408B-48BD-A088-9C453C496D1C}">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573deb0b-1af8-4c22-839e-5226f9086661"/>
    <ds:schemaRef ds:uri="fd053438-771b-42ba-9d81-01aaf027653a"/>
  </ds:schemaRefs>
</ds:datastoreItem>
</file>

<file path=customXml/itemProps2.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3.xml><?xml version="1.0" encoding="utf-8"?>
<ds:datastoreItem xmlns:ds="http://schemas.openxmlformats.org/officeDocument/2006/customXml" ds:itemID="{9752606F-CDE7-4DEF-90F7-815D06D30DF2}">
  <ds:schemaRefs>
    <ds:schemaRef ds:uri="http://schemas.microsoft.com/sharepoint/events"/>
  </ds:schemaRefs>
</ds:datastoreItem>
</file>

<file path=customXml/itemProps4.xml><?xml version="1.0" encoding="utf-8"?>
<ds:datastoreItem xmlns:ds="http://schemas.openxmlformats.org/officeDocument/2006/customXml" ds:itemID="{94A5339A-CF00-4DA8-8650-353C70535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053438-771b-42ba-9d81-01aaf027653a"/>
    <ds:schemaRef ds:uri="573deb0b-1af8-4c22-839e-5226f90866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CD6601-C3FB-42DC-A190-E81FE783F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10</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Board and Committe template 2019</vt:lpstr>
    </vt:vector>
  </TitlesOfParts>
  <Company>Public Health Wales</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creator>Cathie Steele</dc:creator>
  <cp:keywords>board committee</cp:keywords>
  <cp:lastModifiedBy>Helen Bushell (Public Health Wales - No. 2 Capital Quarter)</cp:lastModifiedBy>
  <cp:revision>30</cp:revision>
  <cp:lastPrinted>2017-10-16T08:46:00Z</cp:lastPrinted>
  <dcterms:created xsi:type="dcterms:W3CDTF">2020-09-08T06:08:00Z</dcterms:created>
  <dcterms:modified xsi:type="dcterms:W3CDTF">2020-09-17T20:32:00Z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0x0101002085055D04C02241AF4759873DF8334B</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ies>
</file>