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848"/>
        <w:gridCol w:w="954"/>
        <w:gridCol w:w="894"/>
        <w:gridCol w:w="1506"/>
        <w:gridCol w:w="338"/>
        <w:gridCol w:w="1748"/>
        <w:gridCol w:w="1728"/>
      </w:tblGrid>
      <w:tr w:rsidR="0013075E" w:rsidRPr="008F1F7E" w14:paraId="4D4873D1" w14:textId="77777777" w:rsidTr="000A1C84">
        <w:tc>
          <w:tcPr>
            <w:tcW w:w="5202" w:type="dxa"/>
            <w:gridSpan w:val="4"/>
            <w:vMerge w:val="restart"/>
          </w:tcPr>
          <w:p w14:paraId="3D5558A5" w14:textId="77777777" w:rsidR="0013075E" w:rsidRPr="008F1F7E" w:rsidRDefault="0013075E" w:rsidP="00CF7674">
            <w:r w:rsidRPr="008F1F7E">
              <w:rPr>
                <w:b/>
                <w:noProof/>
                <w:lang w:eastAsia="en-GB"/>
              </w:rPr>
              <w:drawing>
                <wp:inline distT="0" distB="0" distL="0" distR="0" wp14:anchorId="3FE20D69" wp14:editId="5E294F22">
                  <wp:extent cx="3122083" cy="734018"/>
                  <wp:effectExtent l="19050" t="0" r="2117" b="0"/>
                  <wp:docPr id="4"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8"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3814" w:type="dxa"/>
            <w:gridSpan w:val="3"/>
            <w:tcBorders>
              <w:bottom w:val="nil"/>
            </w:tcBorders>
          </w:tcPr>
          <w:p w14:paraId="0E36753B" w14:textId="77777777" w:rsidR="0013075E" w:rsidRPr="00D34F08" w:rsidRDefault="0013075E" w:rsidP="00EE7097">
            <w:pPr>
              <w:jc w:val="right"/>
              <w:rPr>
                <w:b/>
                <w:szCs w:val="24"/>
              </w:rPr>
            </w:pPr>
            <w:r w:rsidRPr="00D34F08">
              <w:rPr>
                <w:b/>
                <w:szCs w:val="24"/>
              </w:rPr>
              <w:t>Name of Meeting</w:t>
            </w:r>
          </w:p>
          <w:sdt>
            <w:sdtPr>
              <w:rPr>
                <w:rStyle w:val="Dropdown"/>
              </w:rPr>
              <w:alias w:val="Name of meeting"/>
              <w:tag w:val="Name of meeting"/>
              <w:id w:val="1886526"/>
              <w:placeholder>
                <w:docPart w:val="B71CEBAFED744FBDBE7668212525C5EB"/>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Other (stated below)" w:value="Other (stated below)"/>
              </w:dropDownList>
            </w:sdtPr>
            <w:sdtEndPr>
              <w:rPr>
                <w:rStyle w:val="DefaultParagraphFont"/>
                <w:b/>
                <w:sz w:val="22"/>
                <w:szCs w:val="24"/>
              </w:rPr>
            </w:sdtEndPr>
            <w:sdtContent>
              <w:p w14:paraId="5A3C1041" w14:textId="5A1A283C" w:rsidR="0013075E" w:rsidRPr="00EE7097" w:rsidRDefault="00936CFA" w:rsidP="00EE7097">
                <w:pPr>
                  <w:jc w:val="right"/>
                  <w:rPr>
                    <w:b/>
                    <w:szCs w:val="24"/>
                  </w:rPr>
                </w:pPr>
                <w:r>
                  <w:rPr>
                    <w:rStyle w:val="Dropdown"/>
                  </w:rPr>
                  <w:t>Audit and Corporate Governance Committee</w:t>
                </w:r>
              </w:p>
            </w:sdtContent>
          </w:sdt>
        </w:tc>
      </w:tr>
      <w:tr w:rsidR="0013075E" w:rsidRPr="008F1F7E" w14:paraId="2841001A" w14:textId="77777777" w:rsidTr="000A1C84">
        <w:tc>
          <w:tcPr>
            <w:tcW w:w="5202" w:type="dxa"/>
            <w:gridSpan w:val="4"/>
            <w:vMerge/>
          </w:tcPr>
          <w:p w14:paraId="6F8FE979" w14:textId="77777777" w:rsidR="0013075E" w:rsidRPr="008F1F7E" w:rsidRDefault="0013075E" w:rsidP="00CF7674">
            <w:pPr>
              <w:rPr>
                <w:b/>
                <w:noProof/>
                <w:lang w:eastAsia="en-GB"/>
              </w:rPr>
            </w:pPr>
          </w:p>
        </w:tc>
        <w:tc>
          <w:tcPr>
            <w:tcW w:w="3814" w:type="dxa"/>
            <w:gridSpan w:val="3"/>
            <w:tcBorders>
              <w:top w:val="nil"/>
              <w:bottom w:val="nil"/>
            </w:tcBorders>
          </w:tcPr>
          <w:p w14:paraId="7EFCAAE8" w14:textId="77777777" w:rsidR="00D34F08" w:rsidRPr="00D34F08" w:rsidRDefault="00D34F08" w:rsidP="00EE7097">
            <w:pPr>
              <w:jc w:val="right"/>
              <w:rPr>
                <w:b/>
              </w:rPr>
            </w:pPr>
            <w:r w:rsidRPr="00D34F08">
              <w:rPr>
                <w:b/>
              </w:rPr>
              <w:t>Date of Meeting</w:t>
            </w:r>
          </w:p>
          <w:p w14:paraId="3E359279" w14:textId="1D503F6B" w:rsidR="005242D6" w:rsidRPr="00297CF8" w:rsidRDefault="00936CFA" w:rsidP="00015B9D">
            <w:pPr>
              <w:jc w:val="right"/>
            </w:pPr>
            <w:r>
              <w:t>16</w:t>
            </w:r>
            <w:r w:rsidR="009546C9">
              <w:t xml:space="preserve"> March 202</w:t>
            </w:r>
            <w:r w:rsidR="00015B9D">
              <w:t>3</w:t>
            </w:r>
          </w:p>
        </w:tc>
      </w:tr>
      <w:tr w:rsidR="0013075E" w:rsidRPr="008F1F7E" w14:paraId="6E7F2E33" w14:textId="77777777" w:rsidTr="000A1C84">
        <w:tc>
          <w:tcPr>
            <w:tcW w:w="5202" w:type="dxa"/>
            <w:gridSpan w:val="4"/>
            <w:vMerge/>
            <w:tcBorders>
              <w:bottom w:val="single" w:sz="4" w:space="0" w:color="auto"/>
            </w:tcBorders>
          </w:tcPr>
          <w:p w14:paraId="60ADBE9C" w14:textId="77777777" w:rsidR="0013075E" w:rsidRPr="008F1F7E" w:rsidRDefault="0013075E" w:rsidP="00CF7674">
            <w:pPr>
              <w:rPr>
                <w:b/>
                <w:noProof/>
                <w:lang w:eastAsia="en-GB"/>
              </w:rPr>
            </w:pPr>
          </w:p>
        </w:tc>
        <w:tc>
          <w:tcPr>
            <w:tcW w:w="3814" w:type="dxa"/>
            <w:gridSpan w:val="3"/>
            <w:tcBorders>
              <w:top w:val="nil"/>
              <w:bottom w:val="single" w:sz="4" w:space="0" w:color="auto"/>
            </w:tcBorders>
          </w:tcPr>
          <w:p w14:paraId="0476465C" w14:textId="77777777" w:rsidR="0013075E" w:rsidRPr="00F41E83" w:rsidRDefault="0013075E" w:rsidP="00EE7097">
            <w:pPr>
              <w:jc w:val="right"/>
              <w:rPr>
                <w:b/>
              </w:rPr>
            </w:pPr>
            <w:r w:rsidRPr="00F41E83">
              <w:rPr>
                <w:b/>
              </w:rPr>
              <w:t>Agenda item:</w:t>
            </w:r>
          </w:p>
          <w:p w14:paraId="4875E92D" w14:textId="326CF0D8" w:rsidR="00CB5D33" w:rsidRPr="004B31C9" w:rsidRDefault="00A84D72" w:rsidP="00CB5D33">
            <w:pPr>
              <w:pStyle w:val="TableParagraph"/>
              <w:spacing w:line="291" w:lineRule="exact"/>
              <w:ind w:left="-10"/>
              <w:jc w:val="right"/>
              <w:rPr>
                <w:sz w:val="24"/>
              </w:rPr>
            </w:pPr>
            <w:r>
              <w:rPr>
                <w:sz w:val="24"/>
              </w:rPr>
              <w:t>5.3</w:t>
            </w:r>
          </w:p>
        </w:tc>
      </w:tr>
      <w:tr w:rsidR="00EE7097" w:rsidRPr="008F1F7E" w14:paraId="77B54D93" w14:textId="77777777" w:rsidTr="000A1C84">
        <w:tc>
          <w:tcPr>
            <w:tcW w:w="9016" w:type="dxa"/>
            <w:gridSpan w:val="7"/>
            <w:tcBorders>
              <w:left w:val="nil"/>
              <w:right w:val="nil"/>
            </w:tcBorders>
            <w:vAlign w:val="center"/>
          </w:tcPr>
          <w:p w14:paraId="201C45FA" w14:textId="77777777" w:rsidR="00D34F08" w:rsidRPr="00912C7B" w:rsidRDefault="00D34F08" w:rsidP="00E5448C">
            <w:pPr>
              <w:rPr>
                <w:b/>
                <w:sz w:val="28"/>
              </w:rPr>
            </w:pPr>
          </w:p>
        </w:tc>
      </w:tr>
      <w:tr w:rsidR="00EE7097" w:rsidRPr="008F1F7E" w14:paraId="74B82504" w14:textId="77777777" w:rsidTr="000A1C84">
        <w:tc>
          <w:tcPr>
            <w:tcW w:w="9016" w:type="dxa"/>
            <w:gridSpan w:val="7"/>
            <w:vAlign w:val="center"/>
          </w:tcPr>
          <w:p w14:paraId="016E04BB" w14:textId="3FC05AFB" w:rsidR="00EE7097" w:rsidRPr="00D475D0" w:rsidRDefault="00E5448C" w:rsidP="00FE1C03">
            <w:pPr>
              <w:jc w:val="center"/>
              <w:rPr>
                <w:rFonts w:eastAsia="Calibri" w:cs="Times New Roman"/>
                <w:b/>
                <w:sz w:val="40"/>
                <w:szCs w:val="52"/>
              </w:rPr>
            </w:pPr>
            <w:r w:rsidRPr="00E5448C">
              <w:rPr>
                <w:rFonts w:eastAsia="Calibri" w:cs="Times New Roman"/>
                <w:b/>
                <w:sz w:val="40"/>
                <w:szCs w:val="52"/>
              </w:rPr>
              <w:t xml:space="preserve">Audit </w:t>
            </w:r>
            <w:r w:rsidR="00FE1C03">
              <w:rPr>
                <w:rFonts w:eastAsia="Calibri" w:cs="Times New Roman"/>
                <w:b/>
                <w:sz w:val="40"/>
                <w:szCs w:val="52"/>
              </w:rPr>
              <w:t>Recommendations Tracker</w:t>
            </w:r>
          </w:p>
        </w:tc>
      </w:tr>
      <w:tr w:rsidR="00EE7097" w:rsidRPr="001C60B5" w14:paraId="6B22BC06" w14:textId="77777777" w:rsidTr="000A1C84">
        <w:tc>
          <w:tcPr>
            <w:tcW w:w="2802" w:type="dxa"/>
            <w:gridSpan w:val="2"/>
          </w:tcPr>
          <w:p w14:paraId="5770F54D" w14:textId="77777777" w:rsidR="00EE7097" w:rsidRPr="001C60B5" w:rsidRDefault="00EE7097">
            <w:pPr>
              <w:rPr>
                <w:b/>
                <w:szCs w:val="24"/>
              </w:rPr>
            </w:pPr>
            <w:r w:rsidRPr="001C60B5">
              <w:rPr>
                <w:b/>
                <w:szCs w:val="24"/>
              </w:rPr>
              <w:t>Executive lead:</w:t>
            </w:r>
          </w:p>
        </w:tc>
        <w:tc>
          <w:tcPr>
            <w:tcW w:w="6214" w:type="dxa"/>
            <w:gridSpan w:val="5"/>
          </w:tcPr>
          <w:p w14:paraId="237F711A" w14:textId="77777777" w:rsidR="00EE7097" w:rsidRPr="00D34F08" w:rsidRDefault="00015B9D">
            <w:pPr>
              <w:rPr>
                <w:color w:val="FF0000"/>
                <w:szCs w:val="24"/>
              </w:rPr>
            </w:pPr>
            <w:r>
              <w:rPr>
                <w:szCs w:val="24"/>
              </w:rPr>
              <w:t>Liz Blayney</w:t>
            </w:r>
            <w:r w:rsidR="00F41E83">
              <w:rPr>
                <w:szCs w:val="24"/>
              </w:rPr>
              <w:t>,</w:t>
            </w:r>
            <w:r>
              <w:rPr>
                <w:szCs w:val="24"/>
              </w:rPr>
              <w:t xml:space="preserve"> Acting</w:t>
            </w:r>
            <w:r w:rsidR="00F41E83">
              <w:rPr>
                <w:szCs w:val="24"/>
              </w:rPr>
              <w:t xml:space="preserve"> Board Secretary and Head of Board Business </w:t>
            </w:r>
            <w:r w:rsidR="00EB245D">
              <w:rPr>
                <w:szCs w:val="24"/>
              </w:rPr>
              <w:t>Unit</w:t>
            </w:r>
          </w:p>
        </w:tc>
      </w:tr>
      <w:tr w:rsidR="000A1C84" w:rsidRPr="001C60B5" w14:paraId="1DF224E6" w14:textId="77777777" w:rsidTr="000A1C84">
        <w:tc>
          <w:tcPr>
            <w:tcW w:w="2802" w:type="dxa"/>
            <w:gridSpan w:val="2"/>
          </w:tcPr>
          <w:p w14:paraId="2E941A42" w14:textId="77777777" w:rsidR="000A1C84" w:rsidRPr="001C60B5" w:rsidRDefault="000A1C84" w:rsidP="000A1C84">
            <w:pPr>
              <w:rPr>
                <w:b/>
                <w:szCs w:val="24"/>
              </w:rPr>
            </w:pPr>
            <w:r w:rsidRPr="001C60B5">
              <w:rPr>
                <w:b/>
                <w:szCs w:val="24"/>
              </w:rPr>
              <w:t>Author</w:t>
            </w:r>
            <w:r w:rsidR="00046673">
              <w:rPr>
                <w:b/>
                <w:szCs w:val="24"/>
              </w:rPr>
              <w:t>s</w:t>
            </w:r>
            <w:r w:rsidRPr="001C60B5">
              <w:rPr>
                <w:b/>
                <w:szCs w:val="24"/>
              </w:rPr>
              <w:t>:</w:t>
            </w:r>
          </w:p>
        </w:tc>
        <w:tc>
          <w:tcPr>
            <w:tcW w:w="6214" w:type="dxa"/>
            <w:gridSpan w:val="5"/>
          </w:tcPr>
          <w:p w14:paraId="02C014FF" w14:textId="77777777" w:rsidR="000A1C84" w:rsidRPr="001C60B5" w:rsidRDefault="00015B9D" w:rsidP="008844EF">
            <w:pPr>
              <w:rPr>
                <w:color w:val="FF0000"/>
                <w:szCs w:val="24"/>
              </w:rPr>
            </w:pPr>
            <w:r>
              <w:rPr>
                <w:szCs w:val="24"/>
              </w:rPr>
              <w:t>Liz Blayney, Acting Board Secretary and Head of Board Business Unit</w:t>
            </w:r>
          </w:p>
        </w:tc>
      </w:tr>
      <w:tr w:rsidR="000A1C84" w:rsidRPr="001C60B5" w14:paraId="6B9DB999" w14:textId="77777777" w:rsidTr="000A1C84">
        <w:trPr>
          <w:trHeight w:val="149"/>
        </w:trPr>
        <w:tc>
          <w:tcPr>
            <w:tcW w:w="2802" w:type="dxa"/>
            <w:gridSpan w:val="2"/>
            <w:tcBorders>
              <w:left w:val="nil"/>
              <w:right w:val="nil"/>
            </w:tcBorders>
          </w:tcPr>
          <w:p w14:paraId="6D7E501D" w14:textId="77777777" w:rsidR="000A1C84" w:rsidRPr="005B4E75" w:rsidRDefault="000A1C84" w:rsidP="000A1C84">
            <w:pPr>
              <w:rPr>
                <w:b/>
                <w:sz w:val="12"/>
                <w:szCs w:val="12"/>
              </w:rPr>
            </w:pPr>
          </w:p>
        </w:tc>
        <w:tc>
          <w:tcPr>
            <w:tcW w:w="6214" w:type="dxa"/>
            <w:gridSpan w:val="5"/>
            <w:tcBorders>
              <w:left w:val="nil"/>
              <w:right w:val="nil"/>
            </w:tcBorders>
          </w:tcPr>
          <w:p w14:paraId="21D46119" w14:textId="77777777" w:rsidR="000A1C84" w:rsidRPr="005B4E75" w:rsidRDefault="000A1C84" w:rsidP="000A1C84">
            <w:pPr>
              <w:rPr>
                <w:sz w:val="12"/>
                <w:szCs w:val="12"/>
              </w:rPr>
            </w:pPr>
          </w:p>
        </w:tc>
      </w:tr>
      <w:tr w:rsidR="000A1C84" w:rsidRPr="001C60B5" w14:paraId="42385C90" w14:textId="77777777" w:rsidTr="000A1C84">
        <w:tc>
          <w:tcPr>
            <w:tcW w:w="2802" w:type="dxa"/>
            <w:gridSpan w:val="2"/>
          </w:tcPr>
          <w:p w14:paraId="1CE6014B" w14:textId="77777777" w:rsidR="000A1C84" w:rsidRPr="001C60B5" w:rsidRDefault="000A1C84" w:rsidP="000A1C84">
            <w:pPr>
              <w:rPr>
                <w:b/>
                <w:szCs w:val="24"/>
              </w:rPr>
            </w:pPr>
            <w:r w:rsidRPr="001C60B5">
              <w:rPr>
                <w:b/>
                <w:szCs w:val="24"/>
              </w:rPr>
              <w:t>Approval/Scrutiny route:</w:t>
            </w:r>
          </w:p>
        </w:tc>
        <w:tc>
          <w:tcPr>
            <w:tcW w:w="6214" w:type="dxa"/>
            <w:gridSpan w:val="5"/>
          </w:tcPr>
          <w:p w14:paraId="3ECC6480" w14:textId="77777777" w:rsidR="000A1C84" w:rsidRPr="00E5448C" w:rsidRDefault="00015B9D" w:rsidP="000A1C84">
            <w:pPr>
              <w:autoSpaceDE w:val="0"/>
              <w:autoSpaceDN w:val="0"/>
              <w:adjustRightInd w:val="0"/>
              <w:spacing w:after="140" w:line="241" w:lineRule="atLeast"/>
              <w:jc w:val="both"/>
              <w:rPr>
                <w:szCs w:val="24"/>
              </w:rPr>
            </w:pPr>
            <w:r>
              <w:rPr>
                <w:szCs w:val="24"/>
              </w:rPr>
              <w:t>Liz Blayney, Acting Board Secretary and Head of Board Business Unit</w:t>
            </w:r>
          </w:p>
        </w:tc>
      </w:tr>
      <w:tr w:rsidR="000A1C84" w:rsidRPr="001C60B5" w14:paraId="52FD85DB" w14:textId="77777777" w:rsidTr="000A1C84">
        <w:tc>
          <w:tcPr>
            <w:tcW w:w="9016" w:type="dxa"/>
            <w:gridSpan w:val="7"/>
            <w:tcBorders>
              <w:left w:val="nil"/>
              <w:bottom w:val="single" w:sz="4" w:space="0" w:color="auto"/>
              <w:right w:val="nil"/>
            </w:tcBorders>
          </w:tcPr>
          <w:p w14:paraId="0743E6E5" w14:textId="77777777" w:rsidR="000A1C84" w:rsidRPr="005B4E75" w:rsidRDefault="000A1C84" w:rsidP="000A1C84">
            <w:pPr>
              <w:rPr>
                <w:b/>
                <w:sz w:val="12"/>
                <w:szCs w:val="12"/>
              </w:rPr>
            </w:pPr>
          </w:p>
        </w:tc>
      </w:tr>
      <w:tr w:rsidR="000A1C84" w:rsidRPr="001C60B5" w14:paraId="4FC138D5" w14:textId="77777777" w:rsidTr="000A1C84">
        <w:tc>
          <w:tcPr>
            <w:tcW w:w="9016" w:type="dxa"/>
            <w:gridSpan w:val="7"/>
            <w:tcBorders>
              <w:left w:val="single" w:sz="4" w:space="0" w:color="auto"/>
              <w:right w:val="single" w:sz="4" w:space="0" w:color="auto"/>
            </w:tcBorders>
          </w:tcPr>
          <w:p w14:paraId="6304F1E8" w14:textId="77777777" w:rsidR="000A1C84" w:rsidRPr="001C60B5" w:rsidRDefault="000A1C84" w:rsidP="000A1C84">
            <w:pPr>
              <w:rPr>
                <w:b/>
                <w:szCs w:val="24"/>
              </w:rPr>
            </w:pPr>
            <w:r>
              <w:rPr>
                <w:b/>
                <w:szCs w:val="24"/>
              </w:rPr>
              <w:t>Purpose</w:t>
            </w:r>
          </w:p>
        </w:tc>
      </w:tr>
      <w:tr w:rsidR="000A1C84" w:rsidRPr="001C60B5" w14:paraId="2CCBFD35" w14:textId="77777777" w:rsidTr="000A1C84">
        <w:tc>
          <w:tcPr>
            <w:tcW w:w="9016" w:type="dxa"/>
            <w:gridSpan w:val="7"/>
            <w:tcBorders>
              <w:left w:val="single" w:sz="4" w:space="0" w:color="auto"/>
              <w:right w:val="single" w:sz="4" w:space="0" w:color="auto"/>
            </w:tcBorders>
          </w:tcPr>
          <w:p w14:paraId="3AFEF6FB" w14:textId="77777777" w:rsidR="00936CFA" w:rsidRPr="00E5448C" w:rsidRDefault="00936CFA" w:rsidP="00936CFA">
            <w:pPr>
              <w:jc w:val="both"/>
              <w:rPr>
                <w:rFonts w:eastAsia="Calibri" w:cs="Times New Roman"/>
                <w:szCs w:val="24"/>
              </w:rPr>
            </w:pPr>
            <w:r w:rsidRPr="00E5448C">
              <w:rPr>
                <w:rFonts w:eastAsia="Calibri" w:cs="Times New Roman"/>
                <w:szCs w:val="24"/>
              </w:rPr>
              <w:t xml:space="preserve">The </w:t>
            </w:r>
            <w:r>
              <w:rPr>
                <w:rFonts w:eastAsia="Calibri" w:cs="Times New Roman"/>
                <w:szCs w:val="24"/>
              </w:rPr>
              <w:t>Business Executive Team</w:t>
            </w:r>
            <w:r w:rsidRPr="00E5448C">
              <w:rPr>
                <w:rFonts w:eastAsia="Calibri" w:cs="Times New Roman"/>
                <w:szCs w:val="24"/>
              </w:rPr>
              <w:t xml:space="preserve"> receives the Au</w:t>
            </w:r>
            <w:r>
              <w:rPr>
                <w:rFonts w:eastAsia="Calibri" w:cs="Times New Roman"/>
                <w:szCs w:val="24"/>
              </w:rPr>
              <w:t xml:space="preserve">dit Action Log to track </w:t>
            </w:r>
            <w:r w:rsidRPr="00E5448C">
              <w:rPr>
                <w:rFonts w:eastAsia="Calibri" w:cs="Times New Roman"/>
                <w:szCs w:val="24"/>
              </w:rPr>
              <w:t xml:space="preserve">progress against agreed management actions in response to the recommendations of audit reviews. </w:t>
            </w:r>
          </w:p>
          <w:p w14:paraId="6255CAE8" w14:textId="77777777" w:rsidR="00936CFA" w:rsidRPr="00E5448C" w:rsidRDefault="00936CFA" w:rsidP="00936CFA">
            <w:pPr>
              <w:rPr>
                <w:rFonts w:eastAsia="Calibri" w:cs="Times New Roman"/>
                <w:szCs w:val="24"/>
              </w:rPr>
            </w:pPr>
          </w:p>
          <w:p w14:paraId="42AE1E44" w14:textId="3B2BF336" w:rsidR="000A1C84" w:rsidRPr="005B4E75" w:rsidRDefault="00936CFA" w:rsidP="00936CFA">
            <w:pPr>
              <w:jc w:val="both"/>
              <w:rPr>
                <w:color w:val="FF0000"/>
                <w:szCs w:val="24"/>
              </w:rPr>
            </w:pPr>
            <w:r w:rsidRPr="00E5448C">
              <w:rPr>
                <w:szCs w:val="24"/>
              </w:rPr>
              <w:t xml:space="preserve">The purpose of this report is to </w:t>
            </w:r>
            <w:r>
              <w:rPr>
                <w:szCs w:val="24"/>
              </w:rPr>
              <w:t>provide an update to the Audit and Corporate Governance Committee for assurance, to highlight and</w:t>
            </w:r>
            <w:r w:rsidRPr="00E5448C">
              <w:rPr>
                <w:szCs w:val="24"/>
              </w:rPr>
              <w:t xml:space="preserve"> </w:t>
            </w:r>
            <w:r>
              <w:rPr>
                <w:szCs w:val="24"/>
              </w:rPr>
              <w:t>bring to the Committees attention</w:t>
            </w:r>
            <w:r w:rsidRPr="00E5448C">
              <w:rPr>
                <w:szCs w:val="24"/>
              </w:rPr>
              <w:t xml:space="preserve"> the amendments made to the Audit Acti</w:t>
            </w:r>
            <w:r>
              <w:rPr>
                <w:szCs w:val="24"/>
              </w:rPr>
              <w:t>on Log, which were approved by the Business Executive Team on 07 March 2023.</w:t>
            </w:r>
          </w:p>
        </w:tc>
      </w:tr>
      <w:tr w:rsidR="000A1C84" w:rsidRPr="001C60B5" w14:paraId="0DBBF089" w14:textId="77777777" w:rsidTr="000A1C84">
        <w:tc>
          <w:tcPr>
            <w:tcW w:w="9016" w:type="dxa"/>
            <w:gridSpan w:val="7"/>
            <w:tcBorders>
              <w:left w:val="nil"/>
              <w:right w:val="nil"/>
            </w:tcBorders>
          </w:tcPr>
          <w:p w14:paraId="28BDA050" w14:textId="77777777" w:rsidR="000A1C84" w:rsidRPr="005B4E75" w:rsidRDefault="000A1C84" w:rsidP="000A1C84">
            <w:pPr>
              <w:rPr>
                <w:b/>
                <w:sz w:val="12"/>
                <w:szCs w:val="12"/>
              </w:rPr>
            </w:pPr>
          </w:p>
        </w:tc>
      </w:tr>
      <w:tr w:rsidR="000A1C84" w:rsidRPr="001C60B5" w14:paraId="7FA9CA89" w14:textId="77777777" w:rsidTr="000A1C84">
        <w:tc>
          <w:tcPr>
            <w:tcW w:w="9016" w:type="dxa"/>
            <w:gridSpan w:val="7"/>
          </w:tcPr>
          <w:p w14:paraId="7E077894" w14:textId="77777777" w:rsidR="000A1C84" w:rsidRPr="0013075E" w:rsidRDefault="000A1C84" w:rsidP="000A1C84">
            <w:pPr>
              <w:rPr>
                <w:b/>
                <w:szCs w:val="24"/>
              </w:rPr>
            </w:pPr>
            <w:r>
              <w:rPr>
                <w:b/>
                <w:szCs w:val="24"/>
              </w:rPr>
              <w:t>Recommendation:</w:t>
            </w:r>
          </w:p>
        </w:tc>
      </w:tr>
      <w:tr w:rsidR="000A1C84" w:rsidRPr="001C60B5" w14:paraId="2B6DC506" w14:textId="77777777" w:rsidTr="000A1C84">
        <w:tc>
          <w:tcPr>
            <w:tcW w:w="1848" w:type="dxa"/>
            <w:tcBorders>
              <w:bottom w:val="single" w:sz="4" w:space="0" w:color="auto"/>
            </w:tcBorders>
          </w:tcPr>
          <w:p w14:paraId="2FCBE4E1" w14:textId="77777777" w:rsidR="000A1C84" w:rsidRPr="007A47F5" w:rsidRDefault="000A1C84" w:rsidP="000A1C84">
            <w:pPr>
              <w:jc w:val="center"/>
              <w:rPr>
                <w:szCs w:val="24"/>
              </w:rPr>
            </w:pPr>
            <w:r w:rsidRPr="007A47F5">
              <w:rPr>
                <w:szCs w:val="24"/>
              </w:rPr>
              <w:t>APPROVE</w:t>
            </w:r>
          </w:p>
          <w:p w14:paraId="3C185000" w14:textId="77777777" w:rsidR="000A1C84" w:rsidRPr="007A47F5" w:rsidRDefault="000A1C84" w:rsidP="000A1C84">
            <w:pPr>
              <w:jc w:val="center"/>
              <w:rPr>
                <w:rFonts w:ascii="Wingdings" w:hAnsi="Wingdings"/>
                <w:szCs w:val="24"/>
              </w:rPr>
            </w:pPr>
            <w:r>
              <w:rPr>
                <w:rFonts w:ascii="Wingdings" w:hAnsi="Wingdings"/>
                <w:szCs w:val="24"/>
              </w:rPr>
              <w:fldChar w:fldCharType="begin">
                <w:ffData>
                  <w:name w:val="Check1"/>
                  <w:enabled/>
                  <w:calcOnExit w:val="0"/>
                  <w:checkBox>
                    <w:sizeAuto/>
                    <w:default w:val="1"/>
                  </w:checkBox>
                </w:ffData>
              </w:fldChar>
            </w:r>
            <w:bookmarkStart w:id="0" w:name="Check1"/>
            <w:r>
              <w:rPr>
                <w:rFonts w:ascii="Wingdings" w:hAnsi="Wingdings"/>
                <w:szCs w:val="24"/>
              </w:rPr>
              <w:instrText xml:space="preserve"> FORMCHECKBOX </w:instrText>
            </w:r>
            <w:r w:rsidR="00101551">
              <w:rPr>
                <w:rFonts w:ascii="Wingdings" w:hAnsi="Wingdings"/>
                <w:szCs w:val="24"/>
              </w:rPr>
            </w:r>
            <w:r w:rsidR="00101551">
              <w:rPr>
                <w:rFonts w:ascii="Wingdings" w:hAnsi="Wingdings"/>
                <w:szCs w:val="24"/>
              </w:rPr>
              <w:fldChar w:fldCharType="separate"/>
            </w:r>
            <w:r>
              <w:rPr>
                <w:rFonts w:ascii="Wingdings" w:hAnsi="Wingdings"/>
                <w:szCs w:val="24"/>
              </w:rPr>
              <w:fldChar w:fldCharType="end"/>
            </w:r>
            <w:bookmarkEnd w:id="0"/>
          </w:p>
        </w:tc>
        <w:tc>
          <w:tcPr>
            <w:tcW w:w="1848" w:type="dxa"/>
            <w:gridSpan w:val="2"/>
            <w:tcBorders>
              <w:bottom w:val="single" w:sz="4" w:space="0" w:color="auto"/>
            </w:tcBorders>
          </w:tcPr>
          <w:p w14:paraId="0BC1D5B0" w14:textId="77777777" w:rsidR="000A1C84" w:rsidRDefault="000A1C84" w:rsidP="000A1C84">
            <w:pPr>
              <w:jc w:val="center"/>
              <w:rPr>
                <w:szCs w:val="24"/>
              </w:rPr>
            </w:pPr>
            <w:r w:rsidRPr="007A47F5">
              <w:rPr>
                <w:szCs w:val="24"/>
              </w:rPr>
              <w:t>CONSIDER</w:t>
            </w:r>
          </w:p>
          <w:p w14:paraId="262F7191" w14:textId="77777777" w:rsidR="000A1C84" w:rsidRPr="007A47F5" w:rsidRDefault="000A1C84" w:rsidP="000A1C84">
            <w:pPr>
              <w:jc w:val="center"/>
              <w:rPr>
                <w:szCs w:val="24"/>
              </w:rPr>
            </w:pPr>
            <w:r>
              <w:rPr>
                <w:szCs w:val="24"/>
              </w:rPr>
              <w:fldChar w:fldCharType="begin">
                <w:ffData>
                  <w:name w:val="Check2"/>
                  <w:enabled/>
                  <w:calcOnExit w:val="0"/>
                  <w:checkBox>
                    <w:sizeAuto/>
                    <w:default w:val="1"/>
                  </w:checkBox>
                </w:ffData>
              </w:fldChar>
            </w:r>
            <w:bookmarkStart w:id="1" w:name="Check2"/>
            <w:r>
              <w:rPr>
                <w:szCs w:val="24"/>
              </w:rPr>
              <w:instrText xml:space="preserve"> FORMCHECKBOX </w:instrText>
            </w:r>
            <w:r w:rsidR="00101551">
              <w:rPr>
                <w:szCs w:val="24"/>
              </w:rPr>
            </w:r>
            <w:r w:rsidR="00101551">
              <w:rPr>
                <w:szCs w:val="24"/>
              </w:rPr>
              <w:fldChar w:fldCharType="separate"/>
            </w:r>
            <w:r>
              <w:rPr>
                <w:szCs w:val="24"/>
              </w:rPr>
              <w:fldChar w:fldCharType="end"/>
            </w:r>
            <w:bookmarkEnd w:id="1"/>
          </w:p>
        </w:tc>
        <w:tc>
          <w:tcPr>
            <w:tcW w:w="1844" w:type="dxa"/>
            <w:gridSpan w:val="2"/>
            <w:tcBorders>
              <w:bottom w:val="single" w:sz="4" w:space="0" w:color="auto"/>
            </w:tcBorders>
          </w:tcPr>
          <w:p w14:paraId="05249D19" w14:textId="77777777" w:rsidR="000A1C84" w:rsidRDefault="000A1C84" w:rsidP="000A1C84">
            <w:pPr>
              <w:jc w:val="center"/>
              <w:rPr>
                <w:szCs w:val="24"/>
              </w:rPr>
            </w:pPr>
            <w:r w:rsidRPr="007A47F5">
              <w:rPr>
                <w:szCs w:val="24"/>
              </w:rPr>
              <w:t>RECOMMEND</w:t>
            </w:r>
          </w:p>
          <w:p w14:paraId="68AB7E41" w14:textId="77777777" w:rsidR="000A1C84" w:rsidRPr="007A47F5" w:rsidRDefault="000A1C84" w:rsidP="000A1C84">
            <w:pPr>
              <w:jc w:val="center"/>
              <w:rPr>
                <w:szCs w:val="24"/>
              </w:rPr>
            </w:pPr>
            <w:r>
              <w:rPr>
                <w:szCs w:val="24"/>
              </w:rPr>
              <w:fldChar w:fldCharType="begin">
                <w:ffData>
                  <w:name w:val="Check3"/>
                  <w:enabled/>
                  <w:calcOnExit w:val="0"/>
                  <w:checkBox>
                    <w:sizeAuto/>
                    <w:default w:val="0"/>
                  </w:checkBox>
                </w:ffData>
              </w:fldChar>
            </w:r>
            <w:bookmarkStart w:id="2" w:name="Check3"/>
            <w:r>
              <w:rPr>
                <w:szCs w:val="24"/>
              </w:rPr>
              <w:instrText xml:space="preserve"> FORMCHECKBOX </w:instrText>
            </w:r>
            <w:r w:rsidR="00101551">
              <w:rPr>
                <w:szCs w:val="24"/>
              </w:rPr>
            </w:r>
            <w:r w:rsidR="00101551">
              <w:rPr>
                <w:szCs w:val="24"/>
              </w:rPr>
              <w:fldChar w:fldCharType="separate"/>
            </w:r>
            <w:r>
              <w:rPr>
                <w:szCs w:val="24"/>
              </w:rPr>
              <w:fldChar w:fldCharType="end"/>
            </w:r>
            <w:bookmarkEnd w:id="2"/>
          </w:p>
        </w:tc>
        <w:tc>
          <w:tcPr>
            <w:tcW w:w="1748" w:type="dxa"/>
            <w:tcBorders>
              <w:bottom w:val="single" w:sz="4" w:space="0" w:color="auto"/>
            </w:tcBorders>
          </w:tcPr>
          <w:p w14:paraId="161769F8" w14:textId="77777777" w:rsidR="000A1C84" w:rsidRDefault="000A1C84" w:rsidP="000A1C84">
            <w:pPr>
              <w:jc w:val="center"/>
              <w:rPr>
                <w:szCs w:val="24"/>
              </w:rPr>
            </w:pPr>
            <w:r w:rsidRPr="007A47F5">
              <w:rPr>
                <w:szCs w:val="24"/>
              </w:rPr>
              <w:t>ADOPT</w:t>
            </w:r>
          </w:p>
          <w:p w14:paraId="1B490738" w14:textId="77777777" w:rsidR="000A1C84" w:rsidRPr="007A47F5" w:rsidRDefault="000A1C84" w:rsidP="000A1C84">
            <w:pPr>
              <w:jc w:val="center"/>
              <w:rPr>
                <w:szCs w:val="24"/>
              </w:rPr>
            </w:pPr>
            <w:r>
              <w:rPr>
                <w:szCs w:val="24"/>
              </w:rPr>
              <w:fldChar w:fldCharType="begin">
                <w:ffData>
                  <w:name w:val="Check4"/>
                  <w:enabled/>
                  <w:calcOnExit w:val="0"/>
                  <w:checkBox>
                    <w:sizeAuto/>
                    <w:default w:val="0"/>
                  </w:checkBox>
                </w:ffData>
              </w:fldChar>
            </w:r>
            <w:bookmarkStart w:id="3" w:name="Check4"/>
            <w:r>
              <w:rPr>
                <w:szCs w:val="24"/>
              </w:rPr>
              <w:instrText xml:space="preserve"> FORMCHECKBOX </w:instrText>
            </w:r>
            <w:r w:rsidR="00101551">
              <w:rPr>
                <w:szCs w:val="24"/>
              </w:rPr>
            </w:r>
            <w:r w:rsidR="00101551">
              <w:rPr>
                <w:szCs w:val="24"/>
              </w:rPr>
              <w:fldChar w:fldCharType="separate"/>
            </w:r>
            <w:r>
              <w:rPr>
                <w:szCs w:val="24"/>
              </w:rPr>
              <w:fldChar w:fldCharType="end"/>
            </w:r>
            <w:bookmarkEnd w:id="3"/>
          </w:p>
        </w:tc>
        <w:tc>
          <w:tcPr>
            <w:tcW w:w="1728" w:type="dxa"/>
            <w:tcBorders>
              <w:bottom w:val="single" w:sz="4" w:space="0" w:color="auto"/>
            </w:tcBorders>
          </w:tcPr>
          <w:p w14:paraId="5BA6A4B1" w14:textId="77777777" w:rsidR="000A1C84" w:rsidRDefault="000A1C84" w:rsidP="000A1C84">
            <w:pPr>
              <w:jc w:val="center"/>
              <w:rPr>
                <w:szCs w:val="24"/>
              </w:rPr>
            </w:pPr>
            <w:r w:rsidRPr="007A47F5">
              <w:rPr>
                <w:szCs w:val="24"/>
              </w:rPr>
              <w:t>NOTE</w:t>
            </w:r>
          </w:p>
          <w:p w14:paraId="230900BB" w14:textId="77777777" w:rsidR="000A1C84" w:rsidRPr="007A47F5" w:rsidRDefault="000A1C84" w:rsidP="000A1C84">
            <w:pPr>
              <w:jc w:val="center"/>
              <w:rPr>
                <w:szCs w:val="24"/>
              </w:rPr>
            </w:pPr>
            <w:r>
              <w:rPr>
                <w:szCs w:val="24"/>
              </w:rPr>
              <w:fldChar w:fldCharType="begin">
                <w:ffData>
                  <w:name w:val="Check5"/>
                  <w:enabled/>
                  <w:calcOnExit w:val="0"/>
                  <w:checkBox>
                    <w:sizeAuto/>
                    <w:default w:val="0"/>
                  </w:checkBox>
                </w:ffData>
              </w:fldChar>
            </w:r>
            <w:bookmarkStart w:id="4" w:name="Check5"/>
            <w:r>
              <w:rPr>
                <w:szCs w:val="24"/>
              </w:rPr>
              <w:instrText xml:space="preserve"> FORMCHECKBOX </w:instrText>
            </w:r>
            <w:r w:rsidR="00101551">
              <w:rPr>
                <w:szCs w:val="24"/>
              </w:rPr>
            </w:r>
            <w:r w:rsidR="00101551">
              <w:rPr>
                <w:szCs w:val="24"/>
              </w:rPr>
              <w:fldChar w:fldCharType="separate"/>
            </w:r>
            <w:r>
              <w:rPr>
                <w:szCs w:val="24"/>
              </w:rPr>
              <w:fldChar w:fldCharType="end"/>
            </w:r>
            <w:bookmarkEnd w:id="4"/>
          </w:p>
        </w:tc>
      </w:tr>
      <w:tr w:rsidR="000A1C84" w:rsidRPr="001C60B5" w14:paraId="154CCB85" w14:textId="77777777" w:rsidTr="000A1C84">
        <w:tc>
          <w:tcPr>
            <w:tcW w:w="9016" w:type="dxa"/>
            <w:gridSpan w:val="7"/>
            <w:tcBorders>
              <w:bottom w:val="single" w:sz="4" w:space="0" w:color="auto"/>
            </w:tcBorders>
          </w:tcPr>
          <w:p w14:paraId="6298D52F" w14:textId="77777777" w:rsidR="00936CFA" w:rsidRPr="001C60B5" w:rsidRDefault="00936CFA" w:rsidP="00936CFA">
            <w:pPr>
              <w:rPr>
                <w:szCs w:val="24"/>
              </w:rPr>
            </w:pPr>
            <w:r>
              <w:rPr>
                <w:szCs w:val="24"/>
              </w:rPr>
              <w:t>The Committee is asked to</w:t>
            </w:r>
          </w:p>
          <w:p w14:paraId="1C3768FC" w14:textId="77777777" w:rsidR="00936CFA" w:rsidRPr="00421898" w:rsidRDefault="00936CFA" w:rsidP="00936CFA">
            <w:pPr>
              <w:numPr>
                <w:ilvl w:val="0"/>
                <w:numId w:val="21"/>
              </w:numPr>
              <w:ind w:left="426"/>
              <w:contextualSpacing/>
              <w:rPr>
                <w:rFonts w:eastAsia="Calibri" w:cs="Times New Roman"/>
                <w:color w:val="FF0000"/>
              </w:rPr>
            </w:pPr>
            <w:r>
              <w:rPr>
                <w:rFonts w:eastAsia="Calibri" w:cs="Times New Roman"/>
                <w:b/>
              </w:rPr>
              <w:t>Consider</w:t>
            </w:r>
            <w:r w:rsidRPr="00E5448C">
              <w:rPr>
                <w:rFonts w:eastAsia="Calibri" w:cs="Times New Roman"/>
                <w:b/>
              </w:rPr>
              <w:t xml:space="preserve"> </w:t>
            </w:r>
            <w:r w:rsidRPr="00E5448C">
              <w:rPr>
                <w:rFonts w:eastAsia="Calibri" w:cs="Times New Roman"/>
              </w:rPr>
              <w:t>the</w:t>
            </w:r>
            <w:r>
              <w:rPr>
                <w:rFonts w:eastAsia="Calibri" w:cs="Times New Roman"/>
              </w:rPr>
              <w:t xml:space="preserve"> progress updates and proposed</w:t>
            </w:r>
            <w:r w:rsidRPr="00E5448C">
              <w:rPr>
                <w:rFonts w:eastAsia="Calibri" w:cs="Times New Roman"/>
              </w:rPr>
              <w:t xml:space="preserve"> ame</w:t>
            </w:r>
            <w:r>
              <w:rPr>
                <w:rFonts w:eastAsia="Calibri" w:cs="Times New Roman"/>
              </w:rPr>
              <w:t xml:space="preserve">ndments to the Audit Action Log, and take assurance on the progress with the implementation of actions from Audit activity. </w:t>
            </w:r>
          </w:p>
          <w:p w14:paraId="14C34E29" w14:textId="7A64DF18" w:rsidR="00936CFA" w:rsidRPr="00E5448C" w:rsidRDefault="00936CFA" w:rsidP="00936CFA">
            <w:pPr>
              <w:numPr>
                <w:ilvl w:val="0"/>
                <w:numId w:val="21"/>
              </w:numPr>
              <w:ind w:left="426" w:right="-188"/>
              <w:contextualSpacing/>
              <w:rPr>
                <w:rFonts w:eastAsia="Calibri" w:cs="Times New Roman"/>
                <w:color w:val="FF0000"/>
              </w:rPr>
            </w:pPr>
            <w:r>
              <w:rPr>
                <w:rFonts w:eastAsia="Calibri" w:cs="Times New Roman"/>
                <w:b/>
              </w:rPr>
              <w:t>Note</w:t>
            </w:r>
            <w:r w:rsidRPr="00E5448C">
              <w:rPr>
                <w:rFonts w:eastAsia="Calibri" w:cs="Times New Roman"/>
              </w:rPr>
              <w:t xml:space="preserve"> the</w:t>
            </w:r>
            <w:r w:rsidRPr="00E5448C">
              <w:rPr>
                <w:rFonts w:eastAsia="Calibri" w:cs="Times New Roman"/>
                <w:color w:val="FF0000"/>
              </w:rPr>
              <w:t xml:space="preserve"> </w:t>
            </w:r>
            <w:r>
              <w:rPr>
                <w:rFonts w:eastAsia="Calibri" w:cs="Times New Roman"/>
              </w:rPr>
              <w:t xml:space="preserve">amendments to the Audit Action Log, approved by the Business Executive Team on 07 March 2023. </w:t>
            </w:r>
            <w:r w:rsidRPr="00E5448C">
              <w:rPr>
                <w:rFonts w:eastAsia="Calibri" w:cs="Times New Roman"/>
              </w:rPr>
              <w:t xml:space="preserve"> </w:t>
            </w:r>
            <w:r>
              <w:rPr>
                <w:rFonts w:eastAsia="Calibri" w:cs="Times New Roman"/>
              </w:rPr>
              <w:t>(</w:t>
            </w:r>
            <w:r>
              <w:rPr>
                <w:rFonts w:eastAsia="Calibri" w:cs="Times New Roman"/>
                <w:b/>
              </w:rPr>
              <w:t xml:space="preserve">Appendix 1a) </w:t>
            </w:r>
            <w:r>
              <w:rPr>
                <w:rFonts w:eastAsia="Calibri" w:cs="Times New Roman"/>
              </w:rPr>
              <w:t>(summarised in</w:t>
            </w:r>
            <w:r w:rsidRPr="00E5448C">
              <w:rPr>
                <w:rFonts w:eastAsia="Calibri" w:cs="Times New Roman"/>
              </w:rPr>
              <w:t xml:space="preserve"> Section </w:t>
            </w:r>
            <w:r>
              <w:rPr>
                <w:rFonts w:eastAsia="Calibri" w:cs="Times New Roman"/>
              </w:rPr>
              <w:t xml:space="preserve">3.1 of this report) </w:t>
            </w:r>
          </w:p>
          <w:p w14:paraId="239A40BB" w14:textId="4614B984" w:rsidR="00936CFA" w:rsidRDefault="00936CFA" w:rsidP="00936CFA">
            <w:pPr>
              <w:numPr>
                <w:ilvl w:val="0"/>
                <w:numId w:val="21"/>
              </w:numPr>
              <w:ind w:left="426"/>
              <w:contextualSpacing/>
              <w:rPr>
                <w:rFonts w:eastAsia="Calibri" w:cs="Times New Roman"/>
              </w:rPr>
            </w:pPr>
            <w:r>
              <w:rPr>
                <w:rFonts w:eastAsia="Calibri" w:cs="Times New Roman"/>
                <w:b/>
              </w:rPr>
              <w:t>Note</w:t>
            </w:r>
            <w:r w:rsidRPr="00E5448C">
              <w:rPr>
                <w:rFonts w:eastAsia="Calibri" w:cs="Times New Roman"/>
                <w:b/>
              </w:rPr>
              <w:t xml:space="preserve"> </w:t>
            </w:r>
            <w:r w:rsidRPr="00E5448C">
              <w:rPr>
                <w:rFonts w:eastAsia="Calibri" w:cs="Times New Roman"/>
              </w:rPr>
              <w:t xml:space="preserve">the completion of the actions detailed in </w:t>
            </w:r>
            <w:r>
              <w:rPr>
                <w:rFonts w:eastAsia="Calibri" w:cs="Times New Roman"/>
              </w:rPr>
              <w:t xml:space="preserve">Appendix 1b (summarised in </w:t>
            </w:r>
            <w:r w:rsidRPr="00E5448C">
              <w:rPr>
                <w:rFonts w:eastAsia="Calibri" w:cs="Times New Roman"/>
              </w:rPr>
              <w:t>Section</w:t>
            </w:r>
            <w:r>
              <w:rPr>
                <w:rFonts w:eastAsia="Calibri" w:cs="Times New Roman"/>
              </w:rPr>
              <w:t xml:space="preserve"> 3.2), approved by the Business Executive Team on 07 March 2023.</w:t>
            </w:r>
          </w:p>
          <w:p w14:paraId="2A6239B6" w14:textId="77777777" w:rsidR="000A1C84" w:rsidRPr="00916053" w:rsidRDefault="000A1C84" w:rsidP="00890412">
            <w:pPr>
              <w:contextualSpacing/>
              <w:rPr>
                <w:szCs w:val="24"/>
              </w:rPr>
            </w:pPr>
          </w:p>
        </w:tc>
      </w:tr>
    </w:tbl>
    <w:p w14:paraId="3E285CF9" w14:textId="77777777" w:rsidR="00916053" w:rsidRDefault="00916053">
      <w:r>
        <w:br w:type="page"/>
      </w:r>
    </w:p>
    <w:tbl>
      <w:tblPr>
        <w:tblStyle w:val="TableGrid"/>
        <w:tblW w:w="0" w:type="auto"/>
        <w:tblLook w:val="04A0" w:firstRow="1" w:lastRow="0" w:firstColumn="1" w:lastColumn="0" w:noHBand="0" w:noVBand="1"/>
      </w:tblPr>
      <w:tblGrid>
        <w:gridCol w:w="3192"/>
        <w:gridCol w:w="5834"/>
      </w:tblGrid>
      <w:tr w:rsidR="00D713DC" w:rsidRPr="001C60B5" w14:paraId="296C52D7" w14:textId="77777777" w:rsidTr="00480353">
        <w:tc>
          <w:tcPr>
            <w:tcW w:w="9026" w:type="dxa"/>
            <w:gridSpan w:val="2"/>
            <w:tcBorders>
              <w:left w:val="nil"/>
              <w:right w:val="nil"/>
            </w:tcBorders>
            <w:shd w:val="clear" w:color="auto" w:fill="auto"/>
          </w:tcPr>
          <w:p w14:paraId="2D838404" w14:textId="77777777" w:rsidR="00D713DC" w:rsidRPr="005B4E75" w:rsidRDefault="00D713DC">
            <w:pPr>
              <w:rPr>
                <w:b/>
                <w:sz w:val="12"/>
                <w:szCs w:val="12"/>
              </w:rPr>
            </w:pPr>
          </w:p>
        </w:tc>
      </w:tr>
      <w:tr w:rsidR="00EE7097" w:rsidRPr="001C60B5" w14:paraId="7831E424" w14:textId="77777777" w:rsidTr="00480353">
        <w:tc>
          <w:tcPr>
            <w:tcW w:w="9026" w:type="dxa"/>
            <w:gridSpan w:val="2"/>
            <w:shd w:val="clear" w:color="auto" w:fill="F2F2F2" w:themeFill="background1" w:themeFillShade="F2"/>
          </w:tcPr>
          <w:p w14:paraId="3BB2BD39" w14:textId="77777777" w:rsidR="00EE7097" w:rsidRPr="001C60B5" w:rsidRDefault="00EE7097" w:rsidP="00680248">
            <w:pPr>
              <w:rPr>
                <w:szCs w:val="24"/>
              </w:rPr>
            </w:pPr>
            <w:r w:rsidRPr="001C60B5">
              <w:rPr>
                <w:b/>
                <w:szCs w:val="24"/>
              </w:rPr>
              <w:t xml:space="preserve">Link to Public Health Wales </w:t>
            </w:r>
            <w:hyperlink r:id="rId9" w:history="1">
              <w:r w:rsidRPr="001C60B5">
                <w:rPr>
                  <w:rStyle w:val="Hyperlink"/>
                  <w:b/>
                  <w:szCs w:val="24"/>
                </w:rPr>
                <w:t>Strategic Plan</w:t>
              </w:r>
            </w:hyperlink>
          </w:p>
          <w:p w14:paraId="5312199C" w14:textId="77777777" w:rsidR="00EE7097" w:rsidRPr="001C60B5" w:rsidRDefault="00EE7097" w:rsidP="00680248">
            <w:pPr>
              <w:rPr>
                <w:szCs w:val="24"/>
              </w:rPr>
            </w:pPr>
          </w:p>
          <w:p w14:paraId="786D50B5" w14:textId="77777777" w:rsidR="00EE7097" w:rsidRPr="001C60B5" w:rsidRDefault="00EE7097" w:rsidP="00CA5841">
            <w:pPr>
              <w:rPr>
                <w:bCs/>
                <w:szCs w:val="24"/>
              </w:rPr>
            </w:pPr>
            <w:r w:rsidRPr="001C60B5">
              <w:rPr>
                <w:szCs w:val="24"/>
              </w:rPr>
              <w:t>Public Health Wales has an agreed strategic plan</w:t>
            </w:r>
            <w:r w:rsidR="00EB0841">
              <w:rPr>
                <w:szCs w:val="24"/>
              </w:rPr>
              <w:t>,</w:t>
            </w:r>
            <w:r w:rsidR="00C05D9F">
              <w:rPr>
                <w:szCs w:val="24"/>
              </w:rPr>
              <w:t xml:space="preserve"> which has identified seven strategic priorities.  </w:t>
            </w:r>
          </w:p>
          <w:p w14:paraId="14BE2432" w14:textId="77777777" w:rsidR="0013075E" w:rsidRDefault="0013075E" w:rsidP="00EE7097">
            <w:pPr>
              <w:rPr>
                <w:bCs/>
                <w:szCs w:val="24"/>
              </w:rPr>
            </w:pPr>
          </w:p>
          <w:p w14:paraId="5D7F5021" w14:textId="77777777" w:rsidR="00EE7097" w:rsidRPr="001C60B5" w:rsidRDefault="00EE7097" w:rsidP="00EE7097">
            <w:pPr>
              <w:rPr>
                <w:szCs w:val="24"/>
              </w:rPr>
            </w:pPr>
            <w:r w:rsidRPr="001C60B5">
              <w:rPr>
                <w:szCs w:val="24"/>
              </w:rPr>
              <w:t>This report contributes to the following:</w:t>
            </w:r>
          </w:p>
        </w:tc>
      </w:tr>
      <w:tr w:rsidR="00EE7097" w:rsidRPr="001C60B5" w14:paraId="30B9CD1F" w14:textId="77777777" w:rsidTr="00480353">
        <w:tc>
          <w:tcPr>
            <w:tcW w:w="3192" w:type="dxa"/>
            <w:shd w:val="clear" w:color="auto" w:fill="auto"/>
          </w:tcPr>
          <w:p w14:paraId="2D0A3755" w14:textId="77777777" w:rsidR="00EE7097" w:rsidRPr="001C60B5" w:rsidRDefault="00EE7097" w:rsidP="00D72F00">
            <w:pPr>
              <w:rPr>
                <w:b/>
                <w:szCs w:val="24"/>
              </w:rPr>
            </w:pPr>
            <w:r w:rsidRPr="001C60B5">
              <w:rPr>
                <w:b/>
                <w:szCs w:val="24"/>
              </w:rPr>
              <w:t xml:space="preserve">Strategic </w:t>
            </w:r>
            <w:r w:rsidR="00480353">
              <w:rPr>
                <w:b/>
                <w:szCs w:val="24"/>
              </w:rPr>
              <w:t>Priority</w:t>
            </w:r>
          </w:p>
        </w:tc>
        <w:tc>
          <w:tcPr>
            <w:tcW w:w="5834" w:type="dxa"/>
            <w:shd w:val="clear" w:color="auto" w:fill="auto"/>
          </w:tcPr>
          <w:p w14:paraId="7BF99443" w14:textId="77777777" w:rsidR="00EE7097" w:rsidRPr="0013075E" w:rsidRDefault="00101551" w:rsidP="00554429">
            <w:pPr>
              <w:rPr>
                <w:szCs w:val="24"/>
              </w:rPr>
            </w:pPr>
            <w:sdt>
              <w:sdtPr>
                <w:rPr>
                  <w:rStyle w:val="Dropdown"/>
                </w:rPr>
                <w:alias w:val="Strategic Objective"/>
                <w:tag w:val="Strategic Objective"/>
                <w:id w:val="1886465"/>
                <w:placeholder>
                  <w:docPart w:val="0E25CCC5DD4F43AAA642CDCC18DDB6A6"/>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dropDownList>
              </w:sdtPr>
              <w:sdtEndPr>
                <w:rPr>
                  <w:rStyle w:val="DefaultParagraphFont"/>
                  <w:sz w:val="22"/>
                  <w:szCs w:val="24"/>
                </w:rPr>
              </w:sdtEndPr>
              <w:sdtContent>
                <w:r w:rsidR="00E5448C">
                  <w:rPr>
                    <w:rStyle w:val="Dropdown"/>
                  </w:rPr>
                  <w:t>7 - Building and mobilising knowledge and skills to improve health and well-being across Wales</w:t>
                </w:r>
              </w:sdtContent>
            </w:sdt>
          </w:p>
        </w:tc>
      </w:tr>
      <w:tr w:rsidR="00EE7097" w:rsidRPr="001C60B5" w14:paraId="66AF7B16" w14:textId="77777777" w:rsidTr="00480353">
        <w:tc>
          <w:tcPr>
            <w:tcW w:w="9026" w:type="dxa"/>
            <w:gridSpan w:val="2"/>
            <w:tcBorders>
              <w:left w:val="nil"/>
              <w:right w:val="nil"/>
            </w:tcBorders>
            <w:shd w:val="clear" w:color="auto" w:fill="auto"/>
          </w:tcPr>
          <w:p w14:paraId="62FEDEA0" w14:textId="77777777" w:rsidR="00EE7097" w:rsidRPr="005B4E75" w:rsidRDefault="00EE7097" w:rsidP="00211B9D">
            <w:pPr>
              <w:rPr>
                <w:b/>
                <w:sz w:val="12"/>
                <w:szCs w:val="12"/>
              </w:rPr>
            </w:pPr>
          </w:p>
        </w:tc>
      </w:tr>
      <w:tr w:rsidR="00EE7097" w:rsidRPr="001C60B5" w14:paraId="3AF14877" w14:textId="77777777" w:rsidTr="00480353">
        <w:tc>
          <w:tcPr>
            <w:tcW w:w="9026" w:type="dxa"/>
            <w:gridSpan w:val="2"/>
            <w:shd w:val="clear" w:color="auto" w:fill="F2F2F2" w:themeFill="background1" w:themeFillShade="F2"/>
          </w:tcPr>
          <w:p w14:paraId="7511E876" w14:textId="77777777" w:rsidR="00EE7097" w:rsidRPr="001C60B5" w:rsidRDefault="00EE7097" w:rsidP="00211B9D">
            <w:pPr>
              <w:rPr>
                <w:i/>
                <w:color w:val="FF0000"/>
                <w:szCs w:val="24"/>
              </w:rPr>
            </w:pPr>
            <w:r w:rsidRPr="001C60B5">
              <w:rPr>
                <w:b/>
                <w:szCs w:val="24"/>
              </w:rPr>
              <w:t xml:space="preserve">Summary impact analysis </w:t>
            </w:r>
            <w:r w:rsidRPr="001C60B5">
              <w:rPr>
                <w:i/>
                <w:color w:val="FF0000"/>
                <w:szCs w:val="24"/>
              </w:rPr>
              <w:t xml:space="preserve"> </w:t>
            </w:r>
          </w:p>
          <w:p w14:paraId="4B0FDF2B" w14:textId="77777777" w:rsidR="00EE7097" w:rsidRPr="001C60B5" w:rsidRDefault="00EE7097" w:rsidP="00CA5841">
            <w:pPr>
              <w:rPr>
                <w:color w:val="FF0000"/>
                <w:szCs w:val="24"/>
              </w:rPr>
            </w:pPr>
          </w:p>
        </w:tc>
      </w:tr>
      <w:tr w:rsidR="00EE7097" w:rsidRPr="001C60B5" w14:paraId="2D98E3AF" w14:textId="77777777" w:rsidTr="00480353">
        <w:tc>
          <w:tcPr>
            <w:tcW w:w="3192" w:type="dxa"/>
          </w:tcPr>
          <w:p w14:paraId="5575E0E2" w14:textId="77777777" w:rsidR="00EE7097" w:rsidRPr="001C60B5" w:rsidRDefault="00EE7097" w:rsidP="00097ACD">
            <w:pPr>
              <w:rPr>
                <w:b/>
                <w:szCs w:val="24"/>
              </w:rPr>
            </w:pPr>
            <w:r w:rsidRPr="001C60B5">
              <w:rPr>
                <w:b/>
                <w:szCs w:val="24"/>
              </w:rPr>
              <w:t>Equality and Health Impact Assessment</w:t>
            </w:r>
          </w:p>
        </w:tc>
        <w:tc>
          <w:tcPr>
            <w:tcW w:w="5834" w:type="dxa"/>
          </w:tcPr>
          <w:p w14:paraId="26412E45" w14:textId="77777777" w:rsidR="00EE7097" w:rsidRPr="00126327" w:rsidRDefault="00E5448C" w:rsidP="005C1BED">
            <w:pPr>
              <w:rPr>
                <w:i/>
                <w:color w:val="FF0000"/>
                <w:szCs w:val="24"/>
              </w:rPr>
            </w:pPr>
            <w:r w:rsidRPr="00E5448C">
              <w:rPr>
                <w:szCs w:val="24"/>
              </w:rPr>
              <w:t xml:space="preserve">An EHIA is not required for this report. </w:t>
            </w:r>
            <w:r w:rsidR="005C1BED">
              <w:rPr>
                <w:szCs w:val="24"/>
              </w:rPr>
              <w:t>It should be noted that</w:t>
            </w:r>
            <w:r w:rsidRPr="00E5448C">
              <w:rPr>
                <w:szCs w:val="24"/>
              </w:rPr>
              <w:t xml:space="preserve"> many of the areas of work reported on are likely to have had EHIAs undertaken.</w:t>
            </w:r>
            <w:r w:rsidR="00126327" w:rsidRPr="00E5448C">
              <w:rPr>
                <w:szCs w:val="24"/>
              </w:rPr>
              <w:t xml:space="preserve">  </w:t>
            </w:r>
          </w:p>
        </w:tc>
      </w:tr>
      <w:tr w:rsidR="003A3414" w:rsidRPr="001C60B5" w14:paraId="51F58569" w14:textId="77777777" w:rsidTr="00480353">
        <w:tc>
          <w:tcPr>
            <w:tcW w:w="3192" w:type="dxa"/>
          </w:tcPr>
          <w:p w14:paraId="5D638983" w14:textId="77777777" w:rsidR="003A3414" w:rsidRPr="001C60B5" w:rsidRDefault="003A3414">
            <w:pPr>
              <w:rPr>
                <w:b/>
                <w:szCs w:val="24"/>
              </w:rPr>
            </w:pPr>
            <w:r>
              <w:rPr>
                <w:b/>
                <w:szCs w:val="24"/>
              </w:rPr>
              <w:t>Risk and Assurance</w:t>
            </w:r>
          </w:p>
        </w:tc>
        <w:tc>
          <w:tcPr>
            <w:tcW w:w="5834" w:type="dxa"/>
            <w:tcBorders>
              <w:bottom w:val="single" w:sz="4" w:space="0" w:color="auto"/>
            </w:tcBorders>
          </w:tcPr>
          <w:p w14:paraId="4E9F57BB" w14:textId="77777777" w:rsidR="003A3414" w:rsidRPr="003A3414" w:rsidRDefault="00E5448C" w:rsidP="008342BD">
            <w:pPr>
              <w:rPr>
                <w:color w:val="FF0000"/>
                <w:szCs w:val="24"/>
              </w:rPr>
            </w:pPr>
            <w:r w:rsidRPr="005C1BED">
              <w:rPr>
                <w:szCs w:val="24"/>
              </w:rPr>
              <w:t>A</w:t>
            </w:r>
            <w:r w:rsidR="005C1BED" w:rsidRPr="005C1BED">
              <w:rPr>
                <w:szCs w:val="24"/>
              </w:rPr>
              <w:t xml:space="preserve"> number of individual audit reviews and actions are referenced in the Board Assurance Framework and Risk Registers.</w:t>
            </w:r>
          </w:p>
        </w:tc>
      </w:tr>
      <w:tr w:rsidR="00EE7097" w:rsidRPr="001C60B5" w14:paraId="0569CE44" w14:textId="77777777" w:rsidTr="00480353">
        <w:trPr>
          <w:trHeight w:val="1030"/>
        </w:trPr>
        <w:tc>
          <w:tcPr>
            <w:tcW w:w="3192" w:type="dxa"/>
            <w:vMerge w:val="restart"/>
          </w:tcPr>
          <w:p w14:paraId="530BFD3D" w14:textId="77777777" w:rsidR="00EE7097" w:rsidRPr="001C60B5" w:rsidRDefault="00EE7097">
            <w:pPr>
              <w:rPr>
                <w:b/>
                <w:szCs w:val="24"/>
              </w:rPr>
            </w:pPr>
            <w:r w:rsidRPr="001C60B5">
              <w:rPr>
                <w:b/>
                <w:szCs w:val="24"/>
              </w:rPr>
              <w:t>Health and Care Standards</w:t>
            </w:r>
          </w:p>
        </w:tc>
        <w:tc>
          <w:tcPr>
            <w:tcW w:w="5834" w:type="dxa"/>
            <w:tcBorders>
              <w:bottom w:val="nil"/>
            </w:tcBorders>
          </w:tcPr>
          <w:p w14:paraId="0DFEDCD0" w14:textId="77777777" w:rsidR="00EE7097" w:rsidRPr="001C60B5" w:rsidRDefault="00EE7097" w:rsidP="00126327">
            <w:pPr>
              <w:rPr>
                <w:szCs w:val="24"/>
              </w:rPr>
            </w:pPr>
            <w:r w:rsidRPr="001C60B5">
              <w:rPr>
                <w:szCs w:val="24"/>
              </w:rPr>
              <w:t xml:space="preserve">This report supports and/or takes into account the </w:t>
            </w:r>
            <w:hyperlink r:id="rId10" w:history="1">
              <w:r w:rsidRPr="001C60B5">
                <w:rPr>
                  <w:rStyle w:val="Hyperlink"/>
                  <w:color w:val="0000FF"/>
                  <w:szCs w:val="24"/>
                </w:rPr>
                <w:t>Health and Care Standards for NHS Wales</w:t>
              </w:r>
            </w:hyperlink>
            <w:r w:rsidRPr="001C60B5">
              <w:rPr>
                <w:szCs w:val="24"/>
              </w:rPr>
              <w:t xml:space="preserve"> Quality Themes</w:t>
            </w:r>
            <w:r w:rsidRPr="001C60B5">
              <w:rPr>
                <w:i/>
                <w:color w:val="FF0000"/>
                <w:szCs w:val="24"/>
              </w:rPr>
              <w:t xml:space="preserve"> </w:t>
            </w:r>
          </w:p>
        </w:tc>
      </w:tr>
      <w:tr w:rsidR="00BA3E2A" w:rsidRPr="001C60B5" w14:paraId="76ED7B83" w14:textId="77777777" w:rsidTr="00480353">
        <w:trPr>
          <w:trHeight w:val="281"/>
        </w:trPr>
        <w:tc>
          <w:tcPr>
            <w:tcW w:w="3192" w:type="dxa"/>
            <w:vMerge/>
          </w:tcPr>
          <w:p w14:paraId="471AAABE" w14:textId="77777777" w:rsidR="00BA3E2A" w:rsidRPr="001C60B5" w:rsidRDefault="00BA3E2A">
            <w:pPr>
              <w:rPr>
                <w:b/>
                <w:szCs w:val="24"/>
              </w:rPr>
            </w:pPr>
          </w:p>
        </w:tc>
        <w:tc>
          <w:tcPr>
            <w:tcW w:w="5834" w:type="dxa"/>
            <w:tcBorders>
              <w:top w:val="nil"/>
              <w:bottom w:val="nil"/>
            </w:tcBorders>
          </w:tcPr>
          <w:sdt>
            <w:sdtPr>
              <w:rPr>
                <w:rStyle w:val="Dropdown"/>
              </w:rPr>
              <w:alias w:val="Health and Care Standards"/>
              <w:tag w:val="Health and Care Standards"/>
              <w:id w:val="29471429"/>
              <w:placeholder>
                <w:docPart w:val="B5E75E7293A34274978C09F7D4B5735C"/>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dropDownList>
            </w:sdtPr>
            <w:sdtEndPr>
              <w:rPr>
                <w:rStyle w:val="DefaultParagraphFont"/>
                <w:color w:val="808080"/>
                <w:sz w:val="22"/>
                <w:szCs w:val="24"/>
              </w:rPr>
            </w:sdtEndPr>
            <w:sdtContent>
              <w:p w14:paraId="65152306" w14:textId="77777777" w:rsidR="00BA3E2A" w:rsidRPr="001C60B5" w:rsidRDefault="00E5448C" w:rsidP="00BA3E2A">
                <w:pPr>
                  <w:ind w:left="436"/>
                  <w:rPr>
                    <w:szCs w:val="24"/>
                  </w:rPr>
                </w:pPr>
                <w:r>
                  <w:rPr>
                    <w:rStyle w:val="Dropdown"/>
                  </w:rPr>
                  <w:t>Governance, Leadership and Accountability</w:t>
                </w:r>
              </w:p>
            </w:sdtContent>
          </w:sdt>
        </w:tc>
      </w:tr>
      <w:tr w:rsidR="00EE7097" w:rsidRPr="001C60B5" w14:paraId="48D4029B" w14:textId="77777777" w:rsidTr="00480353">
        <w:tc>
          <w:tcPr>
            <w:tcW w:w="3192" w:type="dxa"/>
          </w:tcPr>
          <w:p w14:paraId="0FA844BB" w14:textId="77777777" w:rsidR="00EE7097" w:rsidRPr="001C60B5" w:rsidRDefault="00EE7097">
            <w:pPr>
              <w:rPr>
                <w:b/>
                <w:szCs w:val="24"/>
              </w:rPr>
            </w:pPr>
            <w:r w:rsidRPr="001C60B5">
              <w:rPr>
                <w:b/>
                <w:szCs w:val="24"/>
              </w:rPr>
              <w:t>Financial implications</w:t>
            </w:r>
          </w:p>
        </w:tc>
        <w:tc>
          <w:tcPr>
            <w:tcW w:w="5834" w:type="dxa"/>
          </w:tcPr>
          <w:p w14:paraId="45618264" w14:textId="77777777" w:rsidR="00EE7097" w:rsidRPr="00126327" w:rsidRDefault="00E5448C" w:rsidP="00E5448C">
            <w:pPr>
              <w:rPr>
                <w:szCs w:val="24"/>
              </w:rPr>
            </w:pPr>
            <w:r w:rsidRPr="00E5448C">
              <w:rPr>
                <w:szCs w:val="24"/>
              </w:rPr>
              <w:t xml:space="preserve">The report has no direct financial implications, although individual updates may </w:t>
            </w:r>
            <w:r>
              <w:rPr>
                <w:szCs w:val="24"/>
              </w:rPr>
              <w:t>include details of</w:t>
            </w:r>
            <w:r w:rsidRPr="00E5448C">
              <w:rPr>
                <w:szCs w:val="24"/>
              </w:rPr>
              <w:t xml:space="preserve"> impacts.</w:t>
            </w:r>
          </w:p>
        </w:tc>
      </w:tr>
      <w:tr w:rsidR="00E5448C" w:rsidRPr="001C60B5" w14:paraId="716F6FBD" w14:textId="77777777" w:rsidTr="00480353">
        <w:tc>
          <w:tcPr>
            <w:tcW w:w="3192" w:type="dxa"/>
          </w:tcPr>
          <w:p w14:paraId="0874CAB4" w14:textId="77777777" w:rsidR="00E5448C" w:rsidRPr="001C60B5" w:rsidRDefault="00E5448C" w:rsidP="00E5448C">
            <w:pPr>
              <w:rPr>
                <w:b/>
                <w:szCs w:val="24"/>
              </w:rPr>
            </w:pPr>
            <w:r w:rsidRPr="001C60B5">
              <w:rPr>
                <w:b/>
                <w:szCs w:val="24"/>
              </w:rPr>
              <w:t xml:space="preserve">People implications </w:t>
            </w:r>
          </w:p>
        </w:tc>
        <w:tc>
          <w:tcPr>
            <w:tcW w:w="5834" w:type="dxa"/>
            <w:tcBorders>
              <w:bottom w:val="single" w:sz="4" w:space="0" w:color="auto"/>
            </w:tcBorders>
          </w:tcPr>
          <w:p w14:paraId="03911F6E" w14:textId="77777777" w:rsidR="00E5448C" w:rsidRPr="00126327" w:rsidRDefault="00E5448C" w:rsidP="00E5448C">
            <w:pPr>
              <w:rPr>
                <w:color w:val="FF0000"/>
                <w:szCs w:val="24"/>
              </w:rPr>
            </w:pPr>
            <w:r w:rsidRPr="00E5448C">
              <w:rPr>
                <w:szCs w:val="24"/>
              </w:rPr>
              <w:t xml:space="preserve">The report has no direct </w:t>
            </w:r>
            <w:r>
              <w:rPr>
                <w:szCs w:val="24"/>
              </w:rPr>
              <w:t>people</w:t>
            </w:r>
            <w:r w:rsidRPr="00E5448C">
              <w:rPr>
                <w:szCs w:val="24"/>
              </w:rPr>
              <w:t xml:space="preserve"> implications, although individual updates may include details of impacts.</w:t>
            </w:r>
          </w:p>
        </w:tc>
      </w:tr>
    </w:tbl>
    <w:p w14:paraId="5B1E8904" w14:textId="77777777" w:rsidR="007D03B8" w:rsidRPr="001C60B5" w:rsidRDefault="007D03B8" w:rsidP="006F654D">
      <w:pPr>
        <w:pStyle w:val="ListBullet"/>
        <w:rPr>
          <w:b/>
          <w:color w:val="FF0000"/>
          <w:szCs w:val="24"/>
        </w:rPr>
        <w:sectPr w:rsidR="007D03B8" w:rsidRPr="001C60B5" w:rsidSect="008902AA">
          <w:footerReference w:type="default" r:id="rId11"/>
          <w:pgSz w:w="11906" w:h="16838"/>
          <w:pgMar w:top="1440" w:right="1440" w:bottom="1440" w:left="1440" w:header="708" w:footer="708" w:gutter="0"/>
          <w:cols w:space="708"/>
          <w:docGrid w:linePitch="360"/>
        </w:sectPr>
      </w:pPr>
    </w:p>
    <w:p w14:paraId="3D7B32E6" w14:textId="77777777" w:rsidR="0087331D" w:rsidRPr="001C60B5" w:rsidRDefault="00CE679D" w:rsidP="005C1BED">
      <w:pPr>
        <w:pStyle w:val="Heading1"/>
        <w:numPr>
          <w:ilvl w:val="0"/>
          <w:numId w:val="2"/>
        </w:numPr>
        <w:spacing w:before="0"/>
        <w:ind w:left="567" w:hanging="567"/>
        <w:rPr>
          <w:szCs w:val="24"/>
        </w:rPr>
      </w:pPr>
      <w:r>
        <w:rPr>
          <w:szCs w:val="24"/>
        </w:rPr>
        <w:lastRenderedPageBreak/>
        <w:t>P</w:t>
      </w:r>
      <w:r w:rsidR="0087331D" w:rsidRPr="001C60B5">
        <w:rPr>
          <w:szCs w:val="24"/>
        </w:rPr>
        <w:t>urpose</w:t>
      </w:r>
      <w:r w:rsidR="00051E74" w:rsidRPr="001C60B5">
        <w:rPr>
          <w:szCs w:val="24"/>
        </w:rPr>
        <w:t xml:space="preserve"> / situation</w:t>
      </w:r>
    </w:p>
    <w:p w14:paraId="3A5C703B" w14:textId="77777777" w:rsidR="0087331D" w:rsidRPr="001C60B5" w:rsidRDefault="0087331D" w:rsidP="0087331D">
      <w:pPr>
        <w:pStyle w:val="ListParagraph"/>
        <w:rPr>
          <w:szCs w:val="24"/>
        </w:rPr>
      </w:pPr>
    </w:p>
    <w:p w14:paraId="2F0F8BBF" w14:textId="77777777" w:rsidR="00936CFA" w:rsidRPr="00936CFA" w:rsidRDefault="00936CFA" w:rsidP="00936CFA">
      <w:pPr>
        <w:jc w:val="both"/>
        <w:rPr>
          <w:rFonts w:eastAsia="Calibri" w:cs="Times New Roman"/>
          <w:szCs w:val="24"/>
        </w:rPr>
      </w:pPr>
      <w:r w:rsidRPr="00936CFA">
        <w:rPr>
          <w:rFonts w:eastAsia="Calibri" w:cs="Times New Roman"/>
          <w:szCs w:val="24"/>
        </w:rPr>
        <w:t xml:space="preserve">The Business Executive Team receives the Audit Action Log to track progress against agreed management actions in response to the recommendations of audit reviews. </w:t>
      </w:r>
    </w:p>
    <w:p w14:paraId="0270E8DF" w14:textId="77777777" w:rsidR="00936CFA" w:rsidRPr="00936CFA" w:rsidRDefault="00936CFA" w:rsidP="00936CFA">
      <w:pPr>
        <w:rPr>
          <w:rFonts w:eastAsia="Calibri" w:cs="Times New Roman"/>
          <w:szCs w:val="24"/>
        </w:rPr>
      </w:pPr>
    </w:p>
    <w:p w14:paraId="40A25541" w14:textId="79FE5493" w:rsidR="00936CFA" w:rsidRPr="00936CFA" w:rsidRDefault="00936CFA" w:rsidP="00936CFA">
      <w:pPr>
        <w:jc w:val="both"/>
        <w:rPr>
          <w:szCs w:val="24"/>
        </w:rPr>
      </w:pPr>
      <w:r w:rsidRPr="00936CFA">
        <w:rPr>
          <w:szCs w:val="24"/>
        </w:rPr>
        <w:t xml:space="preserve">The purpose of this report is to provide an update to the Audit and Corporate Governance Committee for assurance, to highlight and attention to the amendments made to the Audit Action Log, which were approved by the Business Executive Team on </w:t>
      </w:r>
      <w:r>
        <w:rPr>
          <w:szCs w:val="24"/>
        </w:rPr>
        <w:t>07 March 2023</w:t>
      </w:r>
      <w:r w:rsidRPr="00936CFA">
        <w:rPr>
          <w:szCs w:val="24"/>
        </w:rPr>
        <w:t>.</w:t>
      </w:r>
    </w:p>
    <w:p w14:paraId="49EA5E77" w14:textId="77777777" w:rsidR="0087331D" w:rsidRPr="001C60B5" w:rsidRDefault="0087331D" w:rsidP="002B712E">
      <w:pPr>
        <w:pStyle w:val="Heading1"/>
        <w:numPr>
          <w:ilvl w:val="0"/>
          <w:numId w:val="2"/>
        </w:numPr>
        <w:ind w:left="567" w:hanging="567"/>
        <w:rPr>
          <w:szCs w:val="24"/>
        </w:rPr>
      </w:pPr>
      <w:r w:rsidRPr="001C60B5">
        <w:rPr>
          <w:szCs w:val="24"/>
        </w:rPr>
        <w:t>Background</w:t>
      </w:r>
    </w:p>
    <w:p w14:paraId="3F36DE5C" w14:textId="77777777" w:rsidR="0087331D" w:rsidRPr="001C60B5" w:rsidRDefault="0087331D" w:rsidP="0087331D">
      <w:pPr>
        <w:pStyle w:val="ListParagraph"/>
        <w:rPr>
          <w:szCs w:val="24"/>
        </w:rPr>
      </w:pPr>
    </w:p>
    <w:p w14:paraId="2333F59A" w14:textId="77777777" w:rsidR="00936CFA" w:rsidRDefault="00936CFA" w:rsidP="00936CFA">
      <w:pPr>
        <w:jc w:val="both"/>
      </w:pPr>
      <w:r w:rsidRPr="00901C84">
        <w:t xml:space="preserve">The Audit Action Log enables the tracking of progress against agreed management actions. </w:t>
      </w:r>
      <w:r>
        <w:t>The Audit and Corporate Governance Committee</w:t>
      </w:r>
      <w:r w:rsidRPr="00901C84">
        <w:t xml:space="preserve"> has oversight of the log, to receive assurance on progress and timeliness of the implementation of actions identified through audit activity.</w:t>
      </w:r>
    </w:p>
    <w:p w14:paraId="1B61DE01" w14:textId="77777777" w:rsidR="00936CFA" w:rsidRPr="00901C84" w:rsidRDefault="00936CFA" w:rsidP="00936CFA">
      <w:pPr>
        <w:pStyle w:val="ListParagraph"/>
        <w:ind w:left="360"/>
        <w:jc w:val="both"/>
      </w:pPr>
    </w:p>
    <w:p w14:paraId="148E83AA" w14:textId="77777777" w:rsidR="00936CFA" w:rsidRDefault="00936CFA" w:rsidP="00936CFA">
      <w:pPr>
        <w:jc w:val="both"/>
      </w:pPr>
      <w:r w:rsidRPr="00901C84">
        <w:t xml:space="preserve">The Business Executive Team are responsible for monitoring the Audit Action Log and approve any changes to deadline dates, and the closure of any completed actions. </w:t>
      </w:r>
      <w:r>
        <w:t xml:space="preserve"> </w:t>
      </w:r>
      <w:r w:rsidRPr="00F84A59">
        <w:t xml:space="preserve">The Audit Action Log is be reported to the Business Executive Team a minimum of quarterly for monitoring and to approve any changes to deadline dates, and the closure of any completed actions. The Executive Lead for each report will and will liaise with their team and update the log quarterly, to in accordance with the timescales set.  </w:t>
      </w:r>
    </w:p>
    <w:p w14:paraId="3A5DC62F" w14:textId="77777777" w:rsidR="00936CFA" w:rsidRPr="00F84A59" w:rsidRDefault="00936CFA" w:rsidP="00936CFA">
      <w:pPr>
        <w:pStyle w:val="ListParagraph"/>
        <w:ind w:left="360"/>
        <w:jc w:val="both"/>
      </w:pPr>
    </w:p>
    <w:p w14:paraId="3A88C01B" w14:textId="77777777" w:rsidR="00936CFA" w:rsidRPr="00901C84" w:rsidRDefault="00936CFA" w:rsidP="00936CFA">
      <w:pPr>
        <w:jc w:val="both"/>
      </w:pPr>
      <w:r w:rsidRPr="00901C84">
        <w:t xml:space="preserve">The Audit action Log </w:t>
      </w:r>
      <w:r>
        <w:t>is</w:t>
      </w:r>
      <w:r w:rsidRPr="00901C84">
        <w:t xml:space="preserve"> </w:t>
      </w:r>
      <w:r>
        <w:t xml:space="preserve">then to </w:t>
      </w:r>
      <w:r w:rsidRPr="00901C84">
        <w:t xml:space="preserve">be reported in full to the </w:t>
      </w:r>
      <w:r>
        <w:t>Audit and Corporate Governance Committee</w:t>
      </w:r>
      <w:r w:rsidRPr="00901C84">
        <w:t xml:space="preserve"> at least twice yearly, along with a covering report highlighting any risks / issues, and a summary of changes since the last review. </w:t>
      </w:r>
    </w:p>
    <w:p w14:paraId="5CFAD226" w14:textId="6B21E348" w:rsidR="00E5448C" w:rsidRPr="00E5448C" w:rsidRDefault="00E5448C" w:rsidP="00E5448C">
      <w:pPr>
        <w:pStyle w:val="Heading1"/>
        <w:numPr>
          <w:ilvl w:val="0"/>
          <w:numId w:val="2"/>
        </w:numPr>
        <w:ind w:left="567" w:hanging="567"/>
        <w:rPr>
          <w:szCs w:val="24"/>
        </w:rPr>
      </w:pPr>
      <w:r>
        <w:t xml:space="preserve">Updates </w:t>
      </w:r>
      <w:r w:rsidR="00936CFA">
        <w:t>to the Audit Action Log</w:t>
      </w:r>
    </w:p>
    <w:p w14:paraId="1D5CD725" w14:textId="77777777" w:rsidR="00E5448C" w:rsidRDefault="00E5448C" w:rsidP="00E5448C"/>
    <w:p w14:paraId="4B0251CC" w14:textId="77777777" w:rsidR="00936CFA" w:rsidRPr="00E5448C" w:rsidRDefault="00936CFA" w:rsidP="00936CFA">
      <w:pPr>
        <w:jc w:val="both"/>
        <w:rPr>
          <w:rFonts w:eastAsia="Calibri" w:cs="Times New Roman"/>
        </w:rPr>
      </w:pPr>
      <w:r w:rsidRPr="00E5448C">
        <w:rPr>
          <w:rFonts w:eastAsia="Calibri" w:cs="Times New Roman"/>
        </w:rPr>
        <w:t xml:space="preserve">Arrangements </w:t>
      </w:r>
      <w:r>
        <w:rPr>
          <w:rFonts w:eastAsia="Calibri" w:cs="Times New Roman"/>
        </w:rPr>
        <w:t xml:space="preserve">are in place to ensure that the Executive Lead provides </w:t>
      </w:r>
      <w:r w:rsidRPr="00E5448C">
        <w:rPr>
          <w:rFonts w:eastAsia="Calibri" w:cs="Times New Roman"/>
        </w:rPr>
        <w:t>progress updates</w:t>
      </w:r>
      <w:r>
        <w:rPr>
          <w:rFonts w:eastAsia="Calibri" w:cs="Times New Roman"/>
        </w:rPr>
        <w:t xml:space="preserve"> on a quarterly basis.  The Executive Lead</w:t>
      </w:r>
      <w:r w:rsidRPr="00E5448C">
        <w:rPr>
          <w:rFonts w:eastAsia="Calibri" w:cs="Times New Roman"/>
        </w:rPr>
        <w:t xml:space="preserve"> </w:t>
      </w:r>
      <w:r>
        <w:rPr>
          <w:rFonts w:eastAsia="Calibri" w:cs="Times New Roman"/>
        </w:rPr>
        <w:t xml:space="preserve">liaises </w:t>
      </w:r>
      <w:r w:rsidRPr="00E5448C">
        <w:rPr>
          <w:rFonts w:eastAsia="Calibri" w:cs="Times New Roman"/>
        </w:rPr>
        <w:t xml:space="preserve">with their team to ensure </w:t>
      </w:r>
      <w:r>
        <w:rPr>
          <w:rFonts w:eastAsia="Calibri" w:cs="Times New Roman"/>
        </w:rPr>
        <w:t>updating of their</w:t>
      </w:r>
      <w:r w:rsidRPr="00E5448C">
        <w:rPr>
          <w:rFonts w:eastAsia="Calibri" w:cs="Times New Roman"/>
        </w:rPr>
        <w:t xml:space="preserve"> actions in accordance with the timescales set.  </w:t>
      </w:r>
    </w:p>
    <w:p w14:paraId="3308DDE5" w14:textId="77777777" w:rsidR="00936CFA" w:rsidRPr="00E5448C" w:rsidRDefault="00936CFA" w:rsidP="00936CFA">
      <w:pPr>
        <w:rPr>
          <w:rFonts w:eastAsia="Calibri" w:cs="Times New Roman"/>
        </w:rPr>
      </w:pPr>
    </w:p>
    <w:p w14:paraId="04DB93E2" w14:textId="76356B69" w:rsidR="00E5448C" w:rsidRDefault="00936CFA" w:rsidP="00936CFA">
      <w:pPr>
        <w:rPr>
          <w:rFonts w:eastAsia="Calibri" w:cs="Times New Roman"/>
        </w:rPr>
      </w:pPr>
      <w:r w:rsidRPr="00E5448C">
        <w:rPr>
          <w:rFonts w:eastAsia="Calibri" w:cs="Times New Roman"/>
        </w:rPr>
        <w:t xml:space="preserve">The Audit </w:t>
      </w:r>
      <w:r>
        <w:rPr>
          <w:rFonts w:eastAsia="Calibri" w:cs="Times New Roman"/>
        </w:rPr>
        <w:t>Tracker</w:t>
      </w:r>
      <w:r w:rsidRPr="00E5448C">
        <w:rPr>
          <w:rFonts w:eastAsia="Calibri" w:cs="Times New Roman"/>
        </w:rPr>
        <w:t xml:space="preserve"> attached to this report (</w:t>
      </w:r>
      <w:r w:rsidRPr="00E5448C">
        <w:rPr>
          <w:rFonts w:eastAsia="Calibri" w:cs="Times New Roman"/>
          <w:b/>
        </w:rPr>
        <w:t>Appendix 1</w:t>
      </w:r>
      <w:r w:rsidRPr="00E5448C">
        <w:rPr>
          <w:rFonts w:eastAsia="Calibri" w:cs="Times New Roman"/>
        </w:rPr>
        <w:t xml:space="preserve">) incorporates all updates provided </w:t>
      </w:r>
      <w:r w:rsidRPr="00C05A68">
        <w:rPr>
          <w:rFonts w:eastAsia="Calibri" w:cs="Times New Roman"/>
        </w:rPr>
        <w:t xml:space="preserve">up to </w:t>
      </w:r>
      <w:r w:rsidR="00C05A68">
        <w:rPr>
          <w:rFonts w:eastAsia="Calibri" w:cs="Times New Roman"/>
        </w:rPr>
        <w:t>28 February 2023</w:t>
      </w:r>
      <w:r w:rsidR="001F6625" w:rsidRPr="00C05A68">
        <w:rPr>
          <w:rFonts w:eastAsia="Calibri" w:cs="Times New Roman"/>
        </w:rPr>
        <w:t>.</w:t>
      </w:r>
      <w:r w:rsidR="00E5448C" w:rsidRPr="00C05A68">
        <w:rPr>
          <w:rFonts w:eastAsia="Calibri" w:cs="Times New Roman"/>
        </w:rPr>
        <w:t xml:space="preserve"> </w:t>
      </w:r>
    </w:p>
    <w:p w14:paraId="76C4F0C8" w14:textId="77777777" w:rsidR="00E5448C" w:rsidRDefault="00E5448C" w:rsidP="00CE679D">
      <w:pPr>
        <w:rPr>
          <w:rFonts w:eastAsia="Calibri" w:cs="Times New Roman"/>
        </w:rPr>
      </w:pPr>
    </w:p>
    <w:p w14:paraId="0FD1F89A" w14:textId="77777777" w:rsidR="008D21D1" w:rsidRDefault="008D21D1" w:rsidP="00CE679D">
      <w:pPr>
        <w:rPr>
          <w:rFonts w:eastAsia="Calibri" w:cs="Times New Roman"/>
        </w:rPr>
      </w:pPr>
    </w:p>
    <w:p w14:paraId="053AE139" w14:textId="77777777" w:rsidR="008D21D1" w:rsidRDefault="008D21D1" w:rsidP="00CE679D">
      <w:pPr>
        <w:rPr>
          <w:rFonts w:eastAsia="Calibri" w:cs="Times New Roman"/>
        </w:rPr>
        <w:sectPr w:rsidR="008D21D1" w:rsidSect="00E24001">
          <w:pgSz w:w="11906" w:h="16838"/>
          <w:pgMar w:top="1440" w:right="1440" w:bottom="1440" w:left="1440" w:header="708" w:footer="708" w:gutter="0"/>
          <w:cols w:space="708"/>
          <w:docGrid w:linePitch="360"/>
        </w:sectPr>
      </w:pPr>
    </w:p>
    <w:p w14:paraId="3EDF00CE" w14:textId="3A3B210C" w:rsidR="00E5448C" w:rsidRPr="00E5448C" w:rsidRDefault="00421898" w:rsidP="00E5448C">
      <w:pPr>
        <w:keepNext/>
        <w:ind w:left="1009" w:hanging="1009"/>
        <w:outlineLvl w:val="0"/>
        <w:rPr>
          <w:rFonts w:eastAsia="Times New Roman" w:cs="Times New Roman"/>
          <w:b/>
          <w:kern w:val="28"/>
          <w:szCs w:val="24"/>
        </w:rPr>
      </w:pPr>
      <w:r>
        <w:rPr>
          <w:rFonts w:eastAsia="Times New Roman" w:cs="Times New Roman"/>
          <w:b/>
          <w:kern w:val="28"/>
          <w:szCs w:val="24"/>
        </w:rPr>
        <w:lastRenderedPageBreak/>
        <w:t xml:space="preserve">3.1 </w:t>
      </w:r>
      <w:r w:rsidR="00E5448C" w:rsidRPr="00E5448C">
        <w:rPr>
          <w:rFonts w:eastAsia="Times New Roman" w:cs="Times New Roman"/>
          <w:b/>
          <w:kern w:val="28"/>
          <w:szCs w:val="24"/>
        </w:rPr>
        <w:t>Revised Implementation Date</w:t>
      </w:r>
    </w:p>
    <w:p w14:paraId="0C2EA20D" w14:textId="77777777" w:rsidR="00E5448C" w:rsidRPr="00E5448C" w:rsidRDefault="00E5448C" w:rsidP="00E5448C">
      <w:pPr>
        <w:rPr>
          <w:rFonts w:eastAsia="Calibri" w:cs="Times New Roman"/>
          <w:szCs w:val="24"/>
        </w:rPr>
      </w:pPr>
    </w:p>
    <w:p w14:paraId="504DB960" w14:textId="549B4893" w:rsidR="00936CFA" w:rsidRDefault="00936CFA" w:rsidP="00936CFA">
      <w:pPr>
        <w:rPr>
          <w:rFonts w:eastAsia="Calibri" w:cs="Times New Roman"/>
          <w:szCs w:val="24"/>
        </w:rPr>
      </w:pPr>
      <w:r>
        <w:rPr>
          <w:rFonts w:eastAsia="Calibri" w:cs="Times New Roman"/>
          <w:szCs w:val="24"/>
        </w:rPr>
        <w:t>At the meeting on 07 March 2023, the Business Executive Team approved the following requests for a</w:t>
      </w:r>
      <w:r w:rsidRPr="00E5448C">
        <w:rPr>
          <w:rFonts w:eastAsia="Calibri" w:cs="Times New Roman"/>
          <w:szCs w:val="24"/>
        </w:rPr>
        <w:t xml:space="preserve"> revised implementation date</w:t>
      </w:r>
      <w:r>
        <w:rPr>
          <w:rFonts w:eastAsia="Calibri" w:cs="Times New Roman"/>
          <w:szCs w:val="24"/>
        </w:rPr>
        <w:t>s</w:t>
      </w:r>
      <w:r w:rsidRPr="00E5448C">
        <w:rPr>
          <w:rFonts w:eastAsia="Calibri" w:cs="Times New Roman"/>
          <w:szCs w:val="24"/>
        </w:rPr>
        <w:t xml:space="preserve"> for the actions</w:t>
      </w:r>
      <w:r>
        <w:rPr>
          <w:rFonts w:eastAsia="Calibri" w:cs="Times New Roman"/>
          <w:szCs w:val="24"/>
        </w:rPr>
        <w:t xml:space="preserve"> (</w:t>
      </w:r>
      <w:r w:rsidRPr="00E805C5">
        <w:rPr>
          <w:rFonts w:eastAsia="Calibri" w:cs="Times New Roman"/>
          <w:b/>
          <w:szCs w:val="24"/>
        </w:rPr>
        <w:t>Appendix 1a</w:t>
      </w:r>
      <w:r>
        <w:rPr>
          <w:rFonts w:eastAsia="Calibri" w:cs="Times New Roman"/>
          <w:szCs w:val="24"/>
        </w:rPr>
        <w:t>)</w:t>
      </w:r>
      <w:r w:rsidRPr="00E5448C">
        <w:rPr>
          <w:rFonts w:eastAsia="Calibri" w:cs="Times New Roman"/>
          <w:szCs w:val="24"/>
        </w:rPr>
        <w:t>:</w:t>
      </w:r>
    </w:p>
    <w:p w14:paraId="77DD5AB9" w14:textId="77777777" w:rsidR="00DF2987" w:rsidRDefault="00DF2987" w:rsidP="00421898">
      <w:pPr>
        <w:rPr>
          <w:rFonts w:eastAsia="Calibri" w:cs="Times New Roman"/>
          <w:szCs w:val="24"/>
        </w:rPr>
      </w:pPr>
    </w:p>
    <w:tbl>
      <w:tblPr>
        <w:tblStyle w:val="TableGrid"/>
        <w:tblW w:w="9776" w:type="dxa"/>
        <w:tblLook w:val="04A0" w:firstRow="1" w:lastRow="0" w:firstColumn="1" w:lastColumn="0" w:noHBand="0" w:noVBand="1"/>
      </w:tblPr>
      <w:tblGrid>
        <w:gridCol w:w="1696"/>
        <w:gridCol w:w="1505"/>
        <w:gridCol w:w="3891"/>
        <w:gridCol w:w="1172"/>
        <w:gridCol w:w="1512"/>
      </w:tblGrid>
      <w:tr w:rsidR="00936CFA" w14:paraId="0A438705" w14:textId="77777777" w:rsidTr="00B44E3D">
        <w:tc>
          <w:tcPr>
            <w:tcW w:w="1696" w:type="dxa"/>
          </w:tcPr>
          <w:p w14:paraId="2ED82486" w14:textId="77777777" w:rsidR="00936CFA" w:rsidRPr="00A56F7B" w:rsidRDefault="00936CFA" w:rsidP="00B44E3D">
            <w:pPr>
              <w:jc w:val="center"/>
              <w:rPr>
                <w:rFonts w:eastAsia="Calibri"/>
                <w:sz w:val="20"/>
                <w:szCs w:val="20"/>
              </w:rPr>
            </w:pPr>
            <w:r w:rsidRPr="00A56F7B">
              <w:rPr>
                <w:rFonts w:eastAsia="Calibri"/>
                <w:b/>
                <w:sz w:val="20"/>
                <w:szCs w:val="20"/>
              </w:rPr>
              <w:t>Audit Review</w:t>
            </w:r>
            <w:r>
              <w:rPr>
                <w:rFonts w:eastAsia="Calibri"/>
                <w:b/>
                <w:sz w:val="20"/>
                <w:szCs w:val="20"/>
              </w:rPr>
              <w:t xml:space="preserve"> and Ref.</w:t>
            </w:r>
          </w:p>
        </w:tc>
        <w:tc>
          <w:tcPr>
            <w:tcW w:w="1505" w:type="dxa"/>
          </w:tcPr>
          <w:p w14:paraId="34FDFAA7" w14:textId="77777777" w:rsidR="00936CFA" w:rsidRPr="008D21D1" w:rsidRDefault="00936CFA" w:rsidP="00B44E3D">
            <w:pPr>
              <w:jc w:val="center"/>
              <w:rPr>
                <w:rFonts w:eastAsia="Calibri"/>
                <w:b/>
                <w:sz w:val="20"/>
                <w:szCs w:val="20"/>
              </w:rPr>
            </w:pPr>
            <w:r w:rsidRPr="008D21D1">
              <w:rPr>
                <w:rFonts w:eastAsia="Calibri"/>
                <w:b/>
                <w:sz w:val="20"/>
                <w:szCs w:val="20"/>
              </w:rPr>
              <w:t>Report Rating</w:t>
            </w:r>
          </w:p>
        </w:tc>
        <w:tc>
          <w:tcPr>
            <w:tcW w:w="3891" w:type="dxa"/>
          </w:tcPr>
          <w:p w14:paraId="0E85A792" w14:textId="77777777" w:rsidR="00936CFA" w:rsidRPr="00A56F7B" w:rsidRDefault="00936CFA" w:rsidP="00B44E3D">
            <w:pPr>
              <w:jc w:val="both"/>
              <w:rPr>
                <w:rFonts w:eastAsia="Calibri"/>
                <w:b/>
                <w:sz w:val="20"/>
                <w:szCs w:val="20"/>
              </w:rPr>
            </w:pPr>
            <w:r w:rsidRPr="00A56F7B">
              <w:rPr>
                <w:rFonts w:eastAsia="Calibri"/>
                <w:b/>
                <w:sz w:val="20"/>
                <w:szCs w:val="20"/>
              </w:rPr>
              <w:t>Management Action</w:t>
            </w:r>
          </w:p>
          <w:p w14:paraId="387A49C8" w14:textId="77777777" w:rsidR="00936CFA" w:rsidRPr="00A56F7B" w:rsidRDefault="00936CFA" w:rsidP="00B44E3D">
            <w:pPr>
              <w:jc w:val="both"/>
              <w:rPr>
                <w:rFonts w:eastAsia="Calibri"/>
                <w:b/>
                <w:sz w:val="20"/>
                <w:szCs w:val="20"/>
              </w:rPr>
            </w:pPr>
            <w:r w:rsidRPr="00A56F7B">
              <w:rPr>
                <w:rFonts w:eastAsia="Calibri"/>
                <w:b/>
                <w:sz w:val="20"/>
                <w:szCs w:val="20"/>
              </w:rPr>
              <w:t>(abridged)</w:t>
            </w:r>
          </w:p>
        </w:tc>
        <w:tc>
          <w:tcPr>
            <w:tcW w:w="1172" w:type="dxa"/>
          </w:tcPr>
          <w:p w14:paraId="466D4AE8" w14:textId="77777777" w:rsidR="00936CFA" w:rsidRPr="00A56F7B" w:rsidRDefault="00936CFA" w:rsidP="00B44E3D">
            <w:pPr>
              <w:rPr>
                <w:rFonts w:eastAsia="Calibri"/>
                <w:sz w:val="20"/>
                <w:szCs w:val="20"/>
              </w:rPr>
            </w:pPr>
            <w:r w:rsidRPr="00A56F7B">
              <w:rPr>
                <w:rFonts w:eastAsia="Calibri"/>
                <w:b/>
                <w:sz w:val="20"/>
                <w:szCs w:val="20"/>
              </w:rPr>
              <w:t>Original date</w:t>
            </w:r>
          </w:p>
        </w:tc>
        <w:tc>
          <w:tcPr>
            <w:tcW w:w="1512" w:type="dxa"/>
          </w:tcPr>
          <w:p w14:paraId="69DF8A88" w14:textId="77777777" w:rsidR="00936CFA" w:rsidRPr="00A56F7B" w:rsidRDefault="00936CFA" w:rsidP="00B44E3D">
            <w:pPr>
              <w:jc w:val="both"/>
              <w:rPr>
                <w:rFonts w:eastAsia="Calibri"/>
                <w:b/>
                <w:sz w:val="20"/>
                <w:szCs w:val="20"/>
              </w:rPr>
            </w:pPr>
            <w:r>
              <w:rPr>
                <w:rFonts w:eastAsia="Calibri"/>
                <w:b/>
                <w:sz w:val="20"/>
                <w:szCs w:val="20"/>
              </w:rPr>
              <w:t>R</w:t>
            </w:r>
            <w:r w:rsidRPr="00A56F7B">
              <w:rPr>
                <w:rFonts w:eastAsia="Calibri"/>
                <w:b/>
                <w:sz w:val="20"/>
                <w:szCs w:val="20"/>
              </w:rPr>
              <w:t>evised implement</w:t>
            </w:r>
            <w:r>
              <w:rPr>
                <w:rFonts w:eastAsia="Calibri"/>
                <w:b/>
                <w:sz w:val="20"/>
                <w:szCs w:val="20"/>
              </w:rPr>
              <w:t>-</w:t>
            </w:r>
            <w:proofErr w:type="spellStart"/>
            <w:r w:rsidRPr="00A56F7B">
              <w:rPr>
                <w:rFonts w:eastAsia="Calibri"/>
                <w:b/>
                <w:sz w:val="20"/>
                <w:szCs w:val="20"/>
              </w:rPr>
              <w:t>ation</w:t>
            </w:r>
            <w:proofErr w:type="spellEnd"/>
            <w:r w:rsidRPr="00A56F7B">
              <w:rPr>
                <w:rFonts w:eastAsia="Calibri"/>
                <w:b/>
                <w:sz w:val="20"/>
                <w:szCs w:val="20"/>
              </w:rPr>
              <w:t xml:space="preserve"> date</w:t>
            </w:r>
          </w:p>
          <w:p w14:paraId="3FD284F5" w14:textId="77777777" w:rsidR="00936CFA" w:rsidRPr="00A56F7B" w:rsidRDefault="00936CFA" w:rsidP="00B44E3D">
            <w:pPr>
              <w:rPr>
                <w:rFonts w:eastAsia="Calibri"/>
                <w:b/>
                <w:sz w:val="20"/>
                <w:szCs w:val="20"/>
              </w:rPr>
            </w:pPr>
          </w:p>
        </w:tc>
      </w:tr>
      <w:tr w:rsidR="00936CFA" w14:paraId="1DEC45D2" w14:textId="77777777" w:rsidTr="00B44E3D">
        <w:tc>
          <w:tcPr>
            <w:tcW w:w="1696" w:type="dxa"/>
            <w:vAlign w:val="center"/>
          </w:tcPr>
          <w:p w14:paraId="5B9F8064" w14:textId="77777777" w:rsidR="00936CFA" w:rsidRPr="0093798A" w:rsidRDefault="00936CFA" w:rsidP="00B44E3D">
            <w:pPr>
              <w:jc w:val="center"/>
              <w:rPr>
                <w:rFonts w:eastAsia="Times New Roman" w:cs="Arial"/>
                <w:bCs/>
                <w:color w:val="000000"/>
                <w:sz w:val="20"/>
                <w:szCs w:val="20"/>
                <w:lang w:eastAsia="en-GB"/>
              </w:rPr>
            </w:pPr>
            <w:r>
              <w:rPr>
                <w:rFonts w:eastAsia="Times New Roman" w:cs="Arial"/>
                <w:bCs/>
                <w:color w:val="000000"/>
                <w:sz w:val="20"/>
                <w:szCs w:val="20"/>
                <w:lang w:eastAsia="en-GB"/>
              </w:rPr>
              <w:t>IT Business Continuity</w:t>
            </w:r>
          </w:p>
        </w:tc>
        <w:tc>
          <w:tcPr>
            <w:tcW w:w="1505" w:type="dxa"/>
            <w:vAlign w:val="center"/>
          </w:tcPr>
          <w:p w14:paraId="110D514D" w14:textId="77777777" w:rsidR="00936CFA" w:rsidRPr="0093798A" w:rsidRDefault="00936CFA" w:rsidP="00B44E3D">
            <w:pPr>
              <w:jc w:val="center"/>
              <w:rPr>
                <w:rFonts w:eastAsia="Times New Roman" w:cs="Arial"/>
                <w:bCs/>
                <w:color w:val="000000"/>
                <w:sz w:val="20"/>
                <w:szCs w:val="20"/>
                <w:lang w:eastAsia="en-GB"/>
              </w:rPr>
            </w:pPr>
            <w:r>
              <w:rPr>
                <w:rFonts w:eastAsia="Times New Roman" w:cs="Arial"/>
                <w:bCs/>
                <w:color w:val="000000"/>
                <w:sz w:val="20"/>
                <w:szCs w:val="20"/>
                <w:lang w:eastAsia="en-GB"/>
              </w:rPr>
              <w:t>Reasonable</w:t>
            </w:r>
          </w:p>
        </w:tc>
        <w:tc>
          <w:tcPr>
            <w:tcW w:w="3891" w:type="dxa"/>
            <w:vAlign w:val="center"/>
          </w:tcPr>
          <w:p w14:paraId="46F4A9B3" w14:textId="77777777" w:rsidR="00936CFA" w:rsidRPr="0093798A" w:rsidRDefault="00936CFA" w:rsidP="00B44E3D">
            <w:pPr>
              <w:rPr>
                <w:rFonts w:eastAsia="Times New Roman" w:cs="Arial"/>
                <w:sz w:val="20"/>
                <w:szCs w:val="20"/>
                <w:lang w:eastAsia="en-GB"/>
              </w:rPr>
            </w:pPr>
            <w:r w:rsidRPr="00E3457A">
              <w:rPr>
                <w:rFonts w:eastAsia="Times New Roman" w:cs="Arial"/>
                <w:sz w:val="20"/>
                <w:szCs w:val="20"/>
                <w:lang w:eastAsia="en-GB"/>
              </w:rPr>
              <w:t xml:space="preserve">Management note the finding and will update the documentation with </w:t>
            </w:r>
            <w:proofErr w:type="gramStart"/>
            <w:r w:rsidRPr="00E3457A">
              <w:rPr>
                <w:rFonts w:eastAsia="Times New Roman" w:cs="Arial"/>
                <w:sz w:val="20"/>
                <w:szCs w:val="20"/>
                <w:lang w:eastAsia="en-GB"/>
              </w:rPr>
              <w:t>lessons  learned</w:t>
            </w:r>
            <w:proofErr w:type="gramEnd"/>
            <w:r w:rsidRPr="00E3457A">
              <w:rPr>
                <w:rFonts w:eastAsia="Times New Roman" w:cs="Arial"/>
                <w:sz w:val="20"/>
                <w:szCs w:val="20"/>
                <w:lang w:eastAsia="en-GB"/>
              </w:rPr>
              <w:t xml:space="preserve"> as part of the pandemic.</w:t>
            </w:r>
          </w:p>
        </w:tc>
        <w:tc>
          <w:tcPr>
            <w:tcW w:w="1172" w:type="dxa"/>
            <w:vAlign w:val="center"/>
          </w:tcPr>
          <w:p w14:paraId="331F10BE" w14:textId="77777777" w:rsidR="00936CFA" w:rsidRPr="00E3457A" w:rsidRDefault="00936CFA" w:rsidP="00B44E3D">
            <w:pPr>
              <w:jc w:val="center"/>
              <w:rPr>
                <w:rFonts w:eastAsia="Times New Roman" w:cs="Arial"/>
                <w:b/>
                <w:bCs/>
                <w:sz w:val="20"/>
                <w:szCs w:val="20"/>
                <w:lang w:eastAsia="en-GB"/>
              </w:rPr>
            </w:pPr>
            <w:r w:rsidRPr="00E3457A">
              <w:rPr>
                <w:rFonts w:eastAsia="Times New Roman" w:cs="Arial"/>
                <w:b/>
                <w:bCs/>
                <w:sz w:val="20"/>
                <w:szCs w:val="20"/>
                <w:lang w:eastAsia="en-GB"/>
              </w:rPr>
              <w:t>31 Aug 21</w:t>
            </w:r>
          </w:p>
        </w:tc>
        <w:tc>
          <w:tcPr>
            <w:tcW w:w="1512" w:type="dxa"/>
            <w:vAlign w:val="center"/>
          </w:tcPr>
          <w:p w14:paraId="49D22543" w14:textId="77777777" w:rsidR="00936CFA" w:rsidRPr="00E3457A" w:rsidRDefault="00936CFA" w:rsidP="00B44E3D">
            <w:pPr>
              <w:jc w:val="center"/>
              <w:rPr>
                <w:rFonts w:eastAsia="Times New Roman" w:cs="Arial"/>
                <w:b/>
                <w:bCs/>
                <w:sz w:val="20"/>
                <w:szCs w:val="20"/>
                <w:lang w:eastAsia="en-GB"/>
              </w:rPr>
            </w:pPr>
            <w:r w:rsidRPr="00E3457A">
              <w:rPr>
                <w:rFonts w:eastAsia="Times New Roman" w:cs="Arial"/>
                <w:b/>
                <w:bCs/>
                <w:sz w:val="20"/>
                <w:szCs w:val="20"/>
                <w:lang w:eastAsia="en-GB"/>
              </w:rPr>
              <w:t>28 Feb 23</w:t>
            </w:r>
          </w:p>
        </w:tc>
      </w:tr>
      <w:tr w:rsidR="00936CFA" w14:paraId="195B3326" w14:textId="77777777" w:rsidTr="00B44E3D">
        <w:tc>
          <w:tcPr>
            <w:tcW w:w="1696" w:type="dxa"/>
            <w:vAlign w:val="center"/>
          </w:tcPr>
          <w:p w14:paraId="0C3F51E6" w14:textId="77777777" w:rsidR="00936CFA" w:rsidRPr="00E3457A" w:rsidRDefault="00936CFA" w:rsidP="00B44E3D">
            <w:pPr>
              <w:jc w:val="center"/>
              <w:rPr>
                <w:rFonts w:eastAsia="Times New Roman" w:cs="Arial"/>
                <w:bCs/>
                <w:color w:val="000000"/>
                <w:sz w:val="20"/>
                <w:szCs w:val="20"/>
                <w:lang w:eastAsia="en-GB"/>
              </w:rPr>
            </w:pPr>
            <w:r w:rsidRPr="00E3457A">
              <w:rPr>
                <w:rFonts w:eastAsia="Times New Roman" w:cs="Arial"/>
                <w:bCs/>
                <w:color w:val="000000"/>
                <w:sz w:val="20"/>
                <w:szCs w:val="20"/>
                <w:lang w:eastAsia="en-GB"/>
              </w:rPr>
              <w:t>Concerns and Grievance</w:t>
            </w:r>
            <w:r w:rsidRPr="00E3457A">
              <w:rPr>
                <w:rFonts w:eastAsia="Times New Roman" w:cs="Arial"/>
                <w:bCs/>
                <w:color w:val="000000"/>
                <w:sz w:val="20"/>
                <w:szCs w:val="20"/>
                <w:lang w:eastAsia="en-GB"/>
              </w:rPr>
              <w:br/>
              <w:t>Final Report</w:t>
            </w:r>
          </w:p>
          <w:p w14:paraId="74359867" w14:textId="77777777" w:rsidR="00936CFA" w:rsidRPr="00E3457A" w:rsidRDefault="00936CFA" w:rsidP="00B44E3D">
            <w:pPr>
              <w:jc w:val="center"/>
              <w:rPr>
                <w:rFonts w:eastAsia="Times New Roman" w:cs="Arial"/>
                <w:bCs/>
                <w:color w:val="000000"/>
                <w:sz w:val="20"/>
                <w:szCs w:val="20"/>
                <w:lang w:eastAsia="en-GB"/>
              </w:rPr>
            </w:pPr>
          </w:p>
        </w:tc>
        <w:tc>
          <w:tcPr>
            <w:tcW w:w="1505" w:type="dxa"/>
            <w:vAlign w:val="center"/>
          </w:tcPr>
          <w:p w14:paraId="47249BEE" w14:textId="77777777" w:rsidR="00936CFA" w:rsidRPr="0093798A" w:rsidRDefault="00936CFA" w:rsidP="00B44E3D">
            <w:pPr>
              <w:jc w:val="center"/>
              <w:rPr>
                <w:rFonts w:eastAsia="Times New Roman" w:cs="Arial"/>
                <w:bCs/>
                <w:sz w:val="20"/>
                <w:szCs w:val="20"/>
                <w:lang w:eastAsia="en-GB"/>
              </w:rPr>
            </w:pPr>
            <w:r>
              <w:rPr>
                <w:rFonts w:eastAsia="Times New Roman" w:cs="Arial"/>
                <w:bCs/>
                <w:color w:val="000000"/>
                <w:sz w:val="20"/>
                <w:szCs w:val="20"/>
                <w:lang w:eastAsia="en-GB"/>
              </w:rPr>
              <w:t>Reasonable</w:t>
            </w:r>
          </w:p>
        </w:tc>
        <w:tc>
          <w:tcPr>
            <w:tcW w:w="3891" w:type="dxa"/>
            <w:vAlign w:val="center"/>
          </w:tcPr>
          <w:p w14:paraId="627EE4AE" w14:textId="77777777" w:rsidR="00936CFA" w:rsidRPr="0093798A" w:rsidRDefault="00936CFA" w:rsidP="00B44E3D">
            <w:pPr>
              <w:rPr>
                <w:rFonts w:eastAsia="Times New Roman" w:cs="Arial"/>
                <w:sz w:val="20"/>
                <w:szCs w:val="20"/>
                <w:lang w:eastAsia="en-GB"/>
              </w:rPr>
            </w:pPr>
            <w:r w:rsidRPr="00E3457A">
              <w:rPr>
                <w:rFonts w:eastAsia="Times New Roman" w:cs="Arial"/>
                <w:sz w:val="20"/>
                <w:szCs w:val="20"/>
                <w:lang w:eastAsia="en-GB"/>
              </w:rPr>
              <w:t>Guidance will be produced and made available to staff via the Intranet page and for managers via training opportunities.</w:t>
            </w:r>
          </w:p>
        </w:tc>
        <w:tc>
          <w:tcPr>
            <w:tcW w:w="1172" w:type="dxa"/>
            <w:vAlign w:val="center"/>
          </w:tcPr>
          <w:p w14:paraId="3917E4A4" w14:textId="77777777" w:rsidR="00936CFA" w:rsidRPr="0093798A" w:rsidRDefault="00936CFA" w:rsidP="00B44E3D">
            <w:pPr>
              <w:spacing w:after="240"/>
              <w:jc w:val="center"/>
              <w:rPr>
                <w:rFonts w:eastAsia="Times New Roman" w:cs="Arial"/>
                <w:b/>
                <w:bCs/>
                <w:sz w:val="20"/>
                <w:szCs w:val="20"/>
                <w:lang w:eastAsia="en-GB"/>
              </w:rPr>
            </w:pPr>
            <w:r>
              <w:rPr>
                <w:rFonts w:eastAsia="Times New Roman" w:cs="Arial"/>
                <w:b/>
                <w:bCs/>
                <w:sz w:val="20"/>
                <w:szCs w:val="20"/>
                <w:lang w:eastAsia="en-GB"/>
              </w:rPr>
              <w:t>31 May 22</w:t>
            </w:r>
          </w:p>
        </w:tc>
        <w:tc>
          <w:tcPr>
            <w:tcW w:w="1512" w:type="dxa"/>
            <w:vAlign w:val="center"/>
          </w:tcPr>
          <w:p w14:paraId="64AB43F6" w14:textId="77777777" w:rsidR="00936CFA" w:rsidRPr="00E3457A" w:rsidRDefault="00936CFA" w:rsidP="00B44E3D">
            <w:pPr>
              <w:jc w:val="center"/>
              <w:rPr>
                <w:rFonts w:eastAsia="Times New Roman" w:cs="Arial"/>
                <w:b/>
                <w:bCs/>
                <w:sz w:val="20"/>
                <w:szCs w:val="20"/>
                <w:lang w:eastAsia="en-GB"/>
              </w:rPr>
            </w:pPr>
            <w:r w:rsidRPr="00E3457A">
              <w:rPr>
                <w:rFonts w:eastAsia="Times New Roman" w:cs="Arial"/>
                <w:b/>
                <w:bCs/>
                <w:sz w:val="20"/>
                <w:szCs w:val="20"/>
                <w:lang w:eastAsia="en-GB"/>
              </w:rPr>
              <w:t>31 Oct 22</w:t>
            </w:r>
          </w:p>
        </w:tc>
      </w:tr>
      <w:tr w:rsidR="00936CFA" w14:paraId="2FC7060C" w14:textId="77777777" w:rsidTr="00B44E3D">
        <w:tc>
          <w:tcPr>
            <w:tcW w:w="1696" w:type="dxa"/>
            <w:vMerge w:val="restart"/>
            <w:vAlign w:val="center"/>
          </w:tcPr>
          <w:p w14:paraId="5AC5F92B" w14:textId="77777777" w:rsidR="00936CFA" w:rsidRPr="00E3457A" w:rsidRDefault="00936CFA" w:rsidP="00B44E3D">
            <w:pPr>
              <w:jc w:val="center"/>
              <w:rPr>
                <w:rFonts w:eastAsia="Times New Roman" w:cs="Arial"/>
                <w:bCs/>
                <w:color w:val="000000"/>
                <w:sz w:val="20"/>
                <w:szCs w:val="20"/>
                <w:lang w:eastAsia="en-GB"/>
              </w:rPr>
            </w:pPr>
            <w:r w:rsidRPr="00E3457A">
              <w:rPr>
                <w:rFonts w:eastAsia="Times New Roman" w:cs="Arial"/>
                <w:bCs/>
                <w:color w:val="000000"/>
                <w:sz w:val="20"/>
                <w:szCs w:val="20"/>
                <w:lang w:eastAsia="en-GB"/>
              </w:rPr>
              <w:t xml:space="preserve">Review of Quality Governance Arrangements </w:t>
            </w:r>
          </w:p>
          <w:p w14:paraId="77F4C195" w14:textId="77777777" w:rsidR="00936CFA" w:rsidRPr="00E3457A" w:rsidRDefault="00936CFA" w:rsidP="00B44E3D">
            <w:pPr>
              <w:jc w:val="center"/>
              <w:rPr>
                <w:rFonts w:eastAsia="Times New Roman" w:cs="Arial"/>
                <w:bCs/>
                <w:color w:val="000000"/>
                <w:sz w:val="20"/>
                <w:szCs w:val="20"/>
                <w:lang w:eastAsia="en-GB"/>
              </w:rPr>
            </w:pPr>
          </w:p>
        </w:tc>
        <w:tc>
          <w:tcPr>
            <w:tcW w:w="1505" w:type="dxa"/>
            <w:vMerge w:val="restart"/>
            <w:vAlign w:val="center"/>
          </w:tcPr>
          <w:p w14:paraId="03B35E9A" w14:textId="77777777" w:rsidR="00936CFA" w:rsidRPr="0093798A" w:rsidRDefault="00936CFA" w:rsidP="00B44E3D">
            <w:pPr>
              <w:jc w:val="center"/>
              <w:rPr>
                <w:rFonts w:eastAsia="Times New Roman" w:cs="Arial"/>
                <w:bCs/>
                <w:sz w:val="20"/>
                <w:szCs w:val="20"/>
                <w:lang w:eastAsia="en-GB"/>
              </w:rPr>
            </w:pPr>
            <w:r>
              <w:rPr>
                <w:rFonts w:eastAsia="Times New Roman" w:cs="Arial"/>
                <w:bCs/>
                <w:sz w:val="20"/>
                <w:szCs w:val="20"/>
                <w:lang w:eastAsia="en-GB"/>
              </w:rPr>
              <w:t>N/A</w:t>
            </w:r>
          </w:p>
        </w:tc>
        <w:tc>
          <w:tcPr>
            <w:tcW w:w="3891" w:type="dxa"/>
            <w:vAlign w:val="center"/>
          </w:tcPr>
          <w:p w14:paraId="1340FBF6" w14:textId="77777777" w:rsidR="00936CFA" w:rsidRPr="0093798A" w:rsidRDefault="00936CFA" w:rsidP="00B44E3D">
            <w:pPr>
              <w:rPr>
                <w:rFonts w:eastAsia="Times New Roman" w:cs="Arial"/>
                <w:color w:val="000000"/>
                <w:sz w:val="20"/>
                <w:szCs w:val="20"/>
                <w:lang w:eastAsia="en-GB"/>
              </w:rPr>
            </w:pPr>
            <w:r w:rsidRPr="00E3457A">
              <w:rPr>
                <w:rFonts w:eastAsia="Times New Roman" w:cs="Arial"/>
                <w:color w:val="000000"/>
                <w:sz w:val="20"/>
                <w:szCs w:val="20"/>
                <w:lang w:eastAsia="en-GB"/>
              </w:rPr>
              <w:t>Relating to the process for Local Directorate Procedures, and SOPS, guidance on the appropriate governance arrangements within Directorates will be developed to ensure a consistent approach to the development, dissemination, and testing compliance of Local Procedures. This will be developed in conjunction to the current work being undertaken in this area within the Integrated Governance Model.</w:t>
            </w:r>
          </w:p>
        </w:tc>
        <w:tc>
          <w:tcPr>
            <w:tcW w:w="1172" w:type="dxa"/>
            <w:vAlign w:val="center"/>
          </w:tcPr>
          <w:p w14:paraId="3F0EC0D1" w14:textId="77777777" w:rsidR="00936CFA" w:rsidRPr="00E3457A" w:rsidRDefault="00936CFA" w:rsidP="00B44E3D">
            <w:pPr>
              <w:jc w:val="center"/>
              <w:rPr>
                <w:rFonts w:eastAsia="Times New Roman" w:cs="Arial"/>
                <w:b/>
                <w:bCs/>
                <w:sz w:val="20"/>
                <w:szCs w:val="20"/>
                <w:lang w:eastAsia="en-GB"/>
              </w:rPr>
            </w:pPr>
            <w:r w:rsidRPr="00E3457A">
              <w:rPr>
                <w:rFonts w:eastAsia="Times New Roman" w:cs="Arial"/>
                <w:b/>
                <w:bCs/>
                <w:sz w:val="20"/>
                <w:szCs w:val="20"/>
                <w:lang w:eastAsia="en-GB"/>
              </w:rPr>
              <w:t>1 Oct 22</w:t>
            </w:r>
          </w:p>
        </w:tc>
        <w:tc>
          <w:tcPr>
            <w:tcW w:w="1512" w:type="dxa"/>
            <w:vAlign w:val="center"/>
          </w:tcPr>
          <w:p w14:paraId="3407F176" w14:textId="77777777" w:rsidR="00936CFA" w:rsidRPr="00E3457A" w:rsidRDefault="00936CFA" w:rsidP="00B44E3D">
            <w:pPr>
              <w:jc w:val="center"/>
              <w:rPr>
                <w:rFonts w:eastAsia="Times New Roman" w:cs="Arial"/>
                <w:b/>
                <w:bCs/>
                <w:sz w:val="20"/>
                <w:szCs w:val="20"/>
                <w:lang w:eastAsia="en-GB"/>
              </w:rPr>
            </w:pPr>
            <w:r w:rsidRPr="00E3457A">
              <w:rPr>
                <w:rFonts w:eastAsia="Times New Roman" w:cs="Arial"/>
                <w:b/>
                <w:bCs/>
                <w:sz w:val="20"/>
                <w:szCs w:val="20"/>
                <w:lang w:eastAsia="en-GB"/>
              </w:rPr>
              <w:t>31 Dec 22</w:t>
            </w:r>
          </w:p>
        </w:tc>
      </w:tr>
      <w:tr w:rsidR="00936CFA" w14:paraId="3E3944CB" w14:textId="77777777" w:rsidTr="00B44E3D">
        <w:tc>
          <w:tcPr>
            <w:tcW w:w="1696" w:type="dxa"/>
            <w:vMerge/>
            <w:vAlign w:val="center"/>
          </w:tcPr>
          <w:p w14:paraId="013FCD76" w14:textId="77777777" w:rsidR="00936CFA" w:rsidRPr="0093798A" w:rsidRDefault="00936CFA" w:rsidP="00B44E3D">
            <w:pPr>
              <w:jc w:val="center"/>
              <w:rPr>
                <w:rFonts w:eastAsia="Times New Roman" w:cs="Arial"/>
                <w:bCs/>
                <w:sz w:val="20"/>
                <w:szCs w:val="20"/>
                <w:lang w:eastAsia="en-GB"/>
              </w:rPr>
            </w:pPr>
          </w:p>
        </w:tc>
        <w:tc>
          <w:tcPr>
            <w:tcW w:w="1505" w:type="dxa"/>
            <w:vMerge/>
            <w:vAlign w:val="center"/>
          </w:tcPr>
          <w:p w14:paraId="07B9C5D8" w14:textId="77777777" w:rsidR="00936CFA" w:rsidRPr="0093798A" w:rsidRDefault="00936CFA" w:rsidP="00B44E3D">
            <w:pPr>
              <w:jc w:val="center"/>
              <w:rPr>
                <w:rFonts w:eastAsia="Times New Roman" w:cs="Arial"/>
                <w:bCs/>
                <w:color w:val="000000"/>
                <w:sz w:val="20"/>
                <w:szCs w:val="20"/>
                <w:lang w:eastAsia="en-GB"/>
              </w:rPr>
            </w:pPr>
          </w:p>
        </w:tc>
        <w:tc>
          <w:tcPr>
            <w:tcW w:w="3891" w:type="dxa"/>
            <w:vAlign w:val="center"/>
          </w:tcPr>
          <w:p w14:paraId="7CE795C1" w14:textId="77777777" w:rsidR="00936CFA" w:rsidRPr="0093798A" w:rsidRDefault="00936CFA" w:rsidP="00B44E3D">
            <w:pPr>
              <w:rPr>
                <w:rFonts w:eastAsia="Times New Roman" w:cs="Arial"/>
                <w:sz w:val="20"/>
                <w:szCs w:val="20"/>
                <w:lang w:eastAsia="en-GB"/>
              </w:rPr>
            </w:pPr>
            <w:r w:rsidRPr="00E3457A">
              <w:rPr>
                <w:rFonts w:eastAsia="Times New Roman" w:cs="Arial"/>
                <w:sz w:val="20"/>
                <w:szCs w:val="20"/>
                <w:lang w:eastAsia="en-GB"/>
              </w:rPr>
              <w:t>The Trust has successfully implemented the majority of the Once for Wales Concerns Management (</w:t>
            </w:r>
            <w:proofErr w:type="spellStart"/>
            <w:r w:rsidRPr="00E3457A">
              <w:rPr>
                <w:rFonts w:eastAsia="Times New Roman" w:cs="Arial"/>
                <w:sz w:val="20"/>
                <w:szCs w:val="20"/>
                <w:lang w:eastAsia="en-GB"/>
              </w:rPr>
              <w:t>Datix</w:t>
            </w:r>
            <w:proofErr w:type="spellEnd"/>
            <w:r w:rsidRPr="00E3457A">
              <w:rPr>
                <w:rFonts w:eastAsia="Times New Roman" w:cs="Arial"/>
                <w:sz w:val="20"/>
                <w:szCs w:val="20"/>
                <w:lang w:eastAsia="en-GB"/>
              </w:rPr>
              <w:t xml:space="preserve"> Cloud) System but, as with the rest of NHS Wales, is awaiting test release of the Risks Module. This is scheduled for September 2022 with implementation due in January 2023. The roll out of the Risks module will include user training for a system which is expected to be more intuitive and easier to use. In the interim, a training needs analysis to improve the consistency of the use of the current </w:t>
            </w:r>
            <w:proofErr w:type="spellStart"/>
            <w:r w:rsidRPr="00E3457A">
              <w:rPr>
                <w:rFonts w:eastAsia="Times New Roman" w:cs="Arial"/>
                <w:sz w:val="20"/>
                <w:szCs w:val="20"/>
                <w:lang w:eastAsia="en-GB"/>
              </w:rPr>
              <w:t>Datix</w:t>
            </w:r>
            <w:proofErr w:type="spellEnd"/>
            <w:r w:rsidRPr="00E3457A">
              <w:rPr>
                <w:rFonts w:eastAsia="Times New Roman" w:cs="Arial"/>
                <w:sz w:val="20"/>
                <w:szCs w:val="20"/>
                <w:lang w:eastAsia="en-GB"/>
              </w:rPr>
              <w:t xml:space="preserve"> Risks Module will be carried out.</w:t>
            </w:r>
          </w:p>
        </w:tc>
        <w:tc>
          <w:tcPr>
            <w:tcW w:w="1172" w:type="dxa"/>
            <w:vAlign w:val="center"/>
          </w:tcPr>
          <w:p w14:paraId="5B6911D9" w14:textId="77777777" w:rsidR="00936CFA" w:rsidRPr="00BE69E5" w:rsidRDefault="00936CFA" w:rsidP="00B44E3D">
            <w:pPr>
              <w:jc w:val="center"/>
              <w:rPr>
                <w:rFonts w:eastAsia="Times New Roman" w:cs="Arial"/>
                <w:b/>
                <w:bCs/>
                <w:sz w:val="20"/>
                <w:szCs w:val="20"/>
                <w:lang w:eastAsia="en-GB"/>
              </w:rPr>
            </w:pPr>
            <w:r>
              <w:rPr>
                <w:rFonts w:eastAsia="Times New Roman" w:cs="Arial"/>
                <w:b/>
                <w:bCs/>
                <w:sz w:val="20"/>
                <w:szCs w:val="20"/>
                <w:lang w:eastAsia="en-GB"/>
              </w:rPr>
              <w:t>Nov 22</w:t>
            </w:r>
          </w:p>
        </w:tc>
        <w:tc>
          <w:tcPr>
            <w:tcW w:w="1512" w:type="dxa"/>
            <w:vAlign w:val="center"/>
          </w:tcPr>
          <w:p w14:paraId="68DE964F" w14:textId="77777777" w:rsidR="00936CFA" w:rsidRPr="00E3457A" w:rsidRDefault="00936CFA" w:rsidP="00B44E3D">
            <w:pPr>
              <w:jc w:val="center"/>
              <w:rPr>
                <w:rFonts w:eastAsia="Times New Roman" w:cs="Arial"/>
                <w:b/>
                <w:bCs/>
                <w:sz w:val="20"/>
                <w:szCs w:val="20"/>
                <w:lang w:eastAsia="en-GB"/>
              </w:rPr>
            </w:pPr>
            <w:r w:rsidRPr="00E3457A">
              <w:rPr>
                <w:rFonts w:eastAsia="Times New Roman" w:cs="Arial"/>
                <w:b/>
                <w:bCs/>
                <w:sz w:val="20"/>
                <w:szCs w:val="20"/>
                <w:lang w:eastAsia="en-GB"/>
              </w:rPr>
              <w:t>31 Mar 23</w:t>
            </w:r>
          </w:p>
        </w:tc>
      </w:tr>
      <w:tr w:rsidR="00936CFA" w14:paraId="25FDA199" w14:textId="77777777" w:rsidTr="00B44E3D">
        <w:tc>
          <w:tcPr>
            <w:tcW w:w="1696" w:type="dxa"/>
            <w:vMerge/>
            <w:vAlign w:val="center"/>
          </w:tcPr>
          <w:p w14:paraId="3610EF65" w14:textId="77777777" w:rsidR="00936CFA" w:rsidRPr="0093798A" w:rsidRDefault="00936CFA" w:rsidP="00B44E3D">
            <w:pPr>
              <w:jc w:val="center"/>
              <w:rPr>
                <w:rFonts w:eastAsia="Times New Roman" w:cs="Arial"/>
                <w:bCs/>
                <w:sz w:val="20"/>
                <w:szCs w:val="20"/>
                <w:lang w:eastAsia="en-GB"/>
              </w:rPr>
            </w:pPr>
          </w:p>
        </w:tc>
        <w:tc>
          <w:tcPr>
            <w:tcW w:w="1505" w:type="dxa"/>
            <w:vMerge/>
            <w:vAlign w:val="center"/>
          </w:tcPr>
          <w:p w14:paraId="42BCD2C1" w14:textId="77777777" w:rsidR="00936CFA" w:rsidRPr="0093798A" w:rsidRDefault="00936CFA" w:rsidP="00B44E3D">
            <w:pPr>
              <w:jc w:val="center"/>
              <w:rPr>
                <w:rFonts w:eastAsia="Times New Roman" w:cs="Arial"/>
                <w:bCs/>
                <w:color w:val="000000"/>
                <w:sz w:val="20"/>
                <w:szCs w:val="20"/>
                <w:lang w:eastAsia="en-GB"/>
              </w:rPr>
            </w:pPr>
          </w:p>
        </w:tc>
        <w:tc>
          <w:tcPr>
            <w:tcW w:w="3891" w:type="dxa"/>
            <w:vAlign w:val="center"/>
          </w:tcPr>
          <w:p w14:paraId="60EE0084" w14:textId="77777777" w:rsidR="00936CFA" w:rsidRPr="00E3457A" w:rsidRDefault="00936CFA" w:rsidP="00B44E3D">
            <w:pPr>
              <w:rPr>
                <w:rFonts w:eastAsia="Times New Roman" w:cs="Arial"/>
                <w:sz w:val="20"/>
                <w:szCs w:val="20"/>
                <w:lang w:eastAsia="en-GB"/>
              </w:rPr>
            </w:pPr>
            <w:r w:rsidRPr="00E805C5">
              <w:rPr>
                <w:rFonts w:eastAsia="Times New Roman" w:cs="Arial"/>
                <w:sz w:val="20"/>
                <w:szCs w:val="20"/>
                <w:lang w:eastAsia="en-GB"/>
              </w:rPr>
              <w:t xml:space="preserve">An implementation plan has been developed for several improvement deliverables to the Quality and Clinical Audit programme. Key  objectives include: Facilitating the sharing of learning from completed audits across the organisation: • In </w:t>
            </w:r>
            <w:r w:rsidRPr="00E805C5">
              <w:rPr>
                <w:rFonts w:eastAsia="Times New Roman" w:cs="Arial"/>
                <w:sz w:val="20"/>
                <w:szCs w:val="20"/>
                <w:lang w:eastAsia="en-GB"/>
              </w:rPr>
              <w:lastRenderedPageBreak/>
              <w:t>the interim, the staff intranet (SharePoint) will be used</w:t>
            </w:r>
          </w:p>
        </w:tc>
        <w:tc>
          <w:tcPr>
            <w:tcW w:w="1172" w:type="dxa"/>
            <w:vAlign w:val="center"/>
          </w:tcPr>
          <w:p w14:paraId="2596AFF5" w14:textId="77777777" w:rsidR="00936CFA" w:rsidRDefault="00936CFA" w:rsidP="00B44E3D">
            <w:pPr>
              <w:jc w:val="center"/>
              <w:rPr>
                <w:rFonts w:eastAsia="Times New Roman" w:cs="Arial"/>
                <w:b/>
                <w:bCs/>
                <w:sz w:val="20"/>
                <w:szCs w:val="20"/>
                <w:lang w:eastAsia="en-GB"/>
              </w:rPr>
            </w:pPr>
            <w:r>
              <w:rPr>
                <w:rFonts w:eastAsia="Times New Roman" w:cs="Arial"/>
                <w:b/>
                <w:bCs/>
                <w:sz w:val="20"/>
                <w:szCs w:val="20"/>
                <w:lang w:eastAsia="en-GB"/>
              </w:rPr>
              <w:lastRenderedPageBreak/>
              <w:t>Aug 22</w:t>
            </w:r>
          </w:p>
        </w:tc>
        <w:tc>
          <w:tcPr>
            <w:tcW w:w="1512" w:type="dxa"/>
            <w:vAlign w:val="center"/>
          </w:tcPr>
          <w:p w14:paraId="20E901FA" w14:textId="77777777" w:rsidR="00936CFA" w:rsidRPr="00E3457A" w:rsidRDefault="00936CFA" w:rsidP="00B44E3D">
            <w:pPr>
              <w:jc w:val="center"/>
              <w:rPr>
                <w:rFonts w:eastAsia="Times New Roman" w:cs="Arial"/>
                <w:b/>
                <w:bCs/>
                <w:sz w:val="20"/>
                <w:szCs w:val="20"/>
                <w:lang w:eastAsia="en-GB"/>
              </w:rPr>
            </w:pPr>
            <w:r>
              <w:rPr>
                <w:rFonts w:eastAsia="Times New Roman" w:cs="Arial"/>
                <w:b/>
                <w:bCs/>
                <w:sz w:val="20"/>
                <w:szCs w:val="20"/>
                <w:lang w:eastAsia="en-GB"/>
              </w:rPr>
              <w:t>30 Nov 22</w:t>
            </w:r>
          </w:p>
        </w:tc>
      </w:tr>
      <w:tr w:rsidR="00936CFA" w14:paraId="69B8DEEC" w14:textId="77777777" w:rsidTr="00B44E3D">
        <w:tc>
          <w:tcPr>
            <w:tcW w:w="1696" w:type="dxa"/>
            <w:vMerge/>
            <w:vAlign w:val="center"/>
          </w:tcPr>
          <w:p w14:paraId="0E2D32E4" w14:textId="77777777" w:rsidR="00936CFA" w:rsidRPr="0093798A" w:rsidRDefault="00936CFA" w:rsidP="00B44E3D">
            <w:pPr>
              <w:jc w:val="center"/>
              <w:rPr>
                <w:rFonts w:eastAsia="Times New Roman" w:cs="Arial"/>
                <w:bCs/>
                <w:sz w:val="20"/>
                <w:szCs w:val="20"/>
                <w:lang w:eastAsia="en-GB"/>
              </w:rPr>
            </w:pPr>
          </w:p>
        </w:tc>
        <w:tc>
          <w:tcPr>
            <w:tcW w:w="1505" w:type="dxa"/>
            <w:vMerge/>
            <w:vAlign w:val="center"/>
          </w:tcPr>
          <w:p w14:paraId="7706132A" w14:textId="77777777" w:rsidR="00936CFA" w:rsidRPr="0093798A" w:rsidRDefault="00936CFA" w:rsidP="00B44E3D">
            <w:pPr>
              <w:jc w:val="center"/>
              <w:rPr>
                <w:rFonts w:eastAsia="Times New Roman" w:cs="Arial"/>
                <w:bCs/>
                <w:color w:val="000000"/>
                <w:sz w:val="20"/>
                <w:szCs w:val="20"/>
                <w:lang w:eastAsia="en-GB"/>
              </w:rPr>
            </w:pPr>
          </w:p>
        </w:tc>
        <w:tc>
          <w:tcPr>
            <w:tcW w:w="3891" w:type="dxa"/>
            <w:vAlign w:val="center"/>
          </w:tcPr>
          <w:p w14:paraId="3F1A3742" w14:textId="77777777" w:rsidR="00936CFA" w:rsidRPr="00E3457A" w:rsidRDefault="00936CFA" w:rsidP="00B44E3D">
            <w:pPr>
              <w:rPr>
                <w:rFonts w:eastAsia="Times New Roman" w:cs="Arial"/>
                <w:sz w:val="20"/>
                <w:szCs w:val="20"/>
                <w:lang w:eastAsia="en-GB"/>
              </w:rPr>
            </w:pPr>
            <w:r w:rsidRPr="00E3457A">
              <w:rPr>
                <w:rFonts w:eastAsia="Times New Roman" w:cs="Arial"/>
                <w:sz w:val="20"/>
                <w:szCs w:val="20"/>
                <w:lang w:eastAsia="en-GB"/>
              </w:rPr>
              <w:t>Review current assurance mechanisms for Service User Experience, to ensure our systems provide for the amplification of citizen voice and capturing learning and improvements in line with the requirements of the Quality &amp; Engagement Act</w:t>
            </w:r>
          </w:p>
        </w:tc>
        <w:tc>
          <w:tcPr>
            <w:tcW w:w="1172" w:type="dxa"/>
            <w:vAlign w:val="center"/>
          </w:tcPr>
          <w:p w14:paraId="6BC6A256" w14:textId="77777777" w:rsidR="00936CFA" w:rsidRDefault="00936CFA" w:rsidP="00B44E3D">
            <w:pPr>
              <w:jc w:val="center"/>
              <w:rPr>
                <w:rFonts w:eastAsia="Times New Roman" w:cs="Arial"/>
                <w:b/>
                <w:bCs/>
                <w:sz w:val="20"/>
                <w:szCs w:val="20"/>
                <w:lang w:eastAsia="en-GB"/>
              </w:rPr>
            </w:pPr>
            <w:r>
              <w:rPr>
                <w:rFonts w:eastAsia="Times New Roman" w:cs="Arial"/>
                <w:b/>
                <w:bCs/>
                <w:sz w:val="20"/>
                <w:szCs w:val="20"/>
                <w:lang w:eastAsia="en-GB"/>
              </w:rPr>
              <w:t>1 Oct 22</w:t>
            </w:r>
          </w:p>
        </w:tc>
        <w:tc>
          <w:tcPr>
            <w:tcW w:w="1512" w:type="dxa"/>
            <w:vAlign w:val="center"/>
          </w:tcPr>
          <w:p w14:paraId="3E4EA265" w14:textId="77777777" w:rsidR="00936CFA" w:rsidRPr="00E3457A" w:rsidRDefault="00936CFA" w:rsidP="00B44E3D">
            <w:pPr>
              <w:jc w:val="center"/>
              <w:rPr>
                <w:rFonts w:eastAsia="Times New Roman" w:cs="Arial"/>
                <w:b/>
                <w:bCs/>
                <w:sz w:val="20"/>
                <w:szCs w:val="20"/>
                <w:lang w:eastAsia="en-GB"/>
              </w:rPr>
            </w:pPr>
            <w:r w:rsidRPr="00E3457A">
              <w:rPr>
                <w:rFonts w:eastAsia="Times New Roman" w:cs="Arial"/>
                <w:b/>
                <w:bCs/>
                <w:sz w:val="20"/>
                <w:szCs w:val="20"/>
                <w:lang w:eastAsia="en-GB"/>
              </w:rPr>
              <w:t>31 Mar 23</w:t>
            </w:r>
          </w:p>
        </w:tc>
      </w:tr>
    </w:tbl>
    <w:p w14:paraId="5F90B59E" w14:textId="77777777" w:rsidR="00FA3E0F" w:rsidRDefault="00FA3E0F" w:rsidP="00E5448C">
      <w:pPr>
        <w:keepNext/>
        <w:ind w:left="1009" w:hanging="1009"/>
        <w:outlineLvl w:val="0"/>
        <w:rPr>
          <w:rFonts w:eastAsia="Times New Roman" w:cs="Times New Roman"/>
          <w:b/>
          <w:kern w:val="28"/>
          <w:szCs w:val="20"/>
        </w:rPr>
      </w:pPr>
    </w:p>
    <w:p w14:paraId="304C3637" w14:textId="3ACE7A00" w:rsidR="00E5448C" w:rsidRPr="00E5448C" w:rsidRDefault="00421898" w:rsidP="00E5448C">
      <w:pPr>
        <w:keepNext/>
        <w:ind w:left="1009" w:hanging="1009"/>
        <w:outlineLvl w:val="0"/>
        <w:rPr>
          <w:rFonts w:eastAsia="Times New Roman" w:cs="Times New Roman"/>
          <w:b/>
          <w:kern w:val="28"/>
          <w:szCs w:val="20"/>
        </w:rPr>
      </w:pPr>
      <w:r>
        <w:rPr>
          <w:rFonts w:eastAsia="Times New Roman" w:cs="Times New Roman"/>
          <w:b/>
          <w:kern w:val="28"/>
          <w:szCs w:val="20"/>
        </w:rPr>
        <w:t>3.2 A</w:t>
      </w:r>
      <w:r w:rsidR="00E5448C" w:rsidRPr="00E5448C">
        <w:rPr>
          <w:rFonts w:eastAsia="Times New Roman" w:cs="Times New Roman"/>
          <w:b/>
          <w:kern w:val="28"/>
          <w:szCs w:val="20"/>
        </w:rPr>
        <w:t xml:space="preserve">ctions </w:t>
      </w:r>
      <w:r w:rsidR="00936CFA">
        <w:rPr>
          <w:rFonts w:eastAsia="Times New Roman" w:cs="Times New Roman"/>
          <w:b/>
          <w:kern w:val="28"/>
          <w:szCs w:val="20"/>
        </w:rPr>
        <w:t xml:space="preserve">Completed and Approved for </w:t>
      </w:r>
      <w:r w:rsidR="00A33700">
        <w:rPr>
          <w:rFonts w:eastAsia="Times New Roman" w:cs="Times New Roman"/>
          <w:b/>
          <w:kern w:val="28"/>
          <w:szCs w:val="20"/>
        </w:rPr>
        <w:t>Closure</w:t>
      </w:r>
    </w:p>
    <w:p w14:paraId="76C8BB36" w14:textId="77777777" w:rsidR="00E5448C" w:rsidRPr="00E5448C" w:rsidRDefault="00E5448C" w:rsidP="00E5448C">
      <w:pPr>
        <w:rPr>
          <w:rFonts w:eastAsia="Calibri" w:cs="Times New Roman"/>
        </w:rPr>
      </w:pPr>
    </w:p>
    <w:p w14:paraId="4B476350" w14:textId="392F6D4B" w:rsidR="00936CFA" w:rsidRDefault="00936CFA" w:rsidP="00936CFA">
      <w:pPr>
        <w:jc w:val="both"/>
        <w:rPr>
          <w:rFonts w:eastAsia="Calibri" w:cs="Times New Roman"/>
        </w:rPr>
      </w:pPr>
      <w:r>
        <w:rPr>
          <w:rFonts w:eastAsia="Calibri" w:cs="Times New Roman"/>
          <w:szCs w:val="24"/>
        </w:rPr>
        <w:t>At the meeting on 7 March 2023, the Business Executive Team approved the following</w:t>
      </w:r>
      <w:r w:rsidRPr="00E5448C">
        <w:rPr>
          <w:rFonts w:eastAsia="Calibri" w:cs="Times New Roman"/>
        </w:rPr>
        <w:t xml:space="preserve"> actions </w:t>
      </w:r>
      <w:r>
        <w:rPr>
          <w:rFonts w:eastAsia="Calibri" w:cs="Times New Roman"/>
        </w:rPr>
        <w:t>be closed</w:t>
      </w:r>
      <w:r w:rsidRPr="00E5448C">
        <w:rPr>
          <w:rFonts w:eastAsia="Calibri" w:cs="Times New Roman"/>
        </w:rPr>
        <w:t xml:space="preserve">. Please note that summary details are provided </w:t>
      </w:r>
      <w:r>
        <w:rPr>
          <w:rFonts w:eastAsia="Calibri" w:cs="Times New Roman"/>
        </w:rPr>
        <w:t xml:space="preserve">below and for </w:t>
      </w:r>
      <w:r w:rsidRPr="00E5448C">
        <w:rPr>
          <w:rFonts w:eastAsia="Calibri" w:cs="Times New Roman"/>
        </w:rPr>
        <w:t xml:space="preserve">further information </w:t>
      </w:r>
      <w:r>
        <w:rPr>
          <w:rFonts w:eastAsia="Calibri" w:cs="Times New Roman"/>
        </w:rPr>
        <w:t>reference should be made to the</w:t>
      </w:r>
      <w:r w:rsidRPr="00E5448C">
        <w:rPr>
          <w:rFonts w:eastAsia="Calibri" w:cs="Times New Roman"/>
        </w:rPr>
        <w:t xml:space="preserve"> Audit Action Log </w:t>
      </w:r>
      <w:r>
        <w:rPr>
          <w:rFonts w:eastAsia="Calibri" w:cs="Times New Roman"/>
        </w:rPr>
        <w:t xml:space="preserve">provided as </w:t>
      </w:r>
      <w:r w:rsidRPr="00E5448C">
        <w:rPr>
          <w:rFonts w:eastAsia="Calibri" w:cs="Times New Roman"/>
          <w:b/>
        </w:rPr>
        <w:t>Appendix</w:t>
      </w:r>
      <w:r>
        <w:rPr>
          <w:rFonts w:eastAsia="Calibri" w:cs="Times New Roman"/>
          <w:b/>
        </w:rPr>
        <w:t xml:space="preserve"> 1b</w:t>
      </w:r>
      <w:r w:rsidRPr="00E5448C">
        <w:rPr>
          <w:rFonts w:eastAsia="Calibri" w:cs="Times New Roman"/>
        </w:rPr>
        <w:t>.</w:t>
      </w:r>
    </w:p>
    <w:p w14:paraId="0D23210A" w14:textId="77777777" w:rsidR="003A24F7" w:rsidRDefault="003A24F7" w:rsidP="00E5448C">
      <w:pPr>
        <w:rPr>
          <w:rFonts w:eastAsia="Calibri" w:cs="Times New Roman"/>
        </w:rPr>
      </w:pPr>
    </w:p>
    <w:p w14:paraId="17B7270C" w14:textId="77777777" w:rsidR="003A24F7" w:rsidRPr="00E5448C" w:rsidRDefault="003A24F7" w:rsidP="00E5448C">
      <w:pPr>
        <w:rPr>
          <w:rFonts w:eastAsia="Calibri" w:cs="Times New Roman"/>
        </w:rPr>
      </w:pPr>
    </w:p>
    <w:tbl>
      <w:tblPr>
        <w:tblStyle w:val="TableGrid"/>
        <w:tblW w:w="9242" w:type="dxa"/>
        <w:tblInd w:w="-5" w:type="dxa"/>
        <w:tblLook w:val="04A0" w:firstRow="1" w:lastRow="0" w:firstColumn="1" w:lastColumn="0" w:noHBand="0" w:noVBand="1"/>
      </w:tblPr>
      <w:tblGrid>
        <w:gridCol w:w="3445"/>
        <w:gridCol w:w="5797"/>
      </w:tblGrid>
      <w:tr w:rsidR="00E806B1" w:rsidRPr="00E5448C" w14:paraId="74BF1728" w14:textId="77777777" w:rsidTr="00E806B1">
        <w:tc>
          <w:tcPr>
            <w:tcW w:w="3445" w:type="dxa"/>
          </w:tcPr>
          <w:p w14:paraId="0DEAC807" w14:textId="0B67A5F5" w:rsidR="00E806B1" w:rsidRPr="003A24F7" w:rsidRDefault="00101551" w:rsidP="00E806B1">
            <w:pPr>
              <w:spacing w:before="120" w:after="120"/>
              <w:rPr>
                <w:rFonts w:cs="Arial"/>
                <w:bCs/>
              </w:rPr>
            </w:pPr>
            <w:r>
              <w:rPr>
                <w:rFonts w:eastAsia="Calibri"/>
                <w:b/>
              </w:rPr>
              <w:t>`</w:t>
            </w:r>
            <w:r w:rsidR="00E806B1" w:rsidRPr="00E5448C">
              <w:rPr>
                <w:rFonts w:eastAsia="Calibri"/>
                <w:b/>
              </w:rPr>
              <w:t>Audit Review</w:t>
            </w:r>
          </w:p>
        </w:tc>
        <w:tc>
          <w:tcPr>
            <w:tcW w:w="5797" w:type="dxa"/>
          </w:tcPr>
          <w:p w14:paraId="0308695F" w14:textId="734621CF" w:rsidR="00E806B1" w:rsidRPr="00E806B1" w:rsidRDefault="00E806B1" w:rsidP="00E806B1">
            <w:pPr>
              <w:rPr>
                <w:rFonts w:cs="Arial"/>
                <w:bCs/>
              </w:rPr>
            </w:pPr>
            <w:r w:rsidRPr="00E5448C">
              <w:rPr>
                <w:rFonts w:eastAsia="Calibri"/>
                <w:b/>
              </w:rPr>
              <w:t>Action(s)</w:t>
            </w:r>
          </w:p>
        </w:tc>
      </w:tr>
      <w:tr w:rsidR="00E806B1" w:rsidRPr="00E5448C" w14:paraId="268F9E63" w14:textId="77777777" w:rsidTr="00E806B1">
        <w:tc>
          <w:tcPr>
            <w:tcW w:w="3445" w:type="dxa"/>
          </w:tcPr>
          <w:p w14:paraId="61E85BD5" w14:textId="6A75D8E4" w:rsidR="00E806B1" w:rsidRPr="00A33700" w:rsidRDefault="00E806B1" w:rsidP="00E806B1">
            <w:pPr>
              <w:spacing w:before="120" w:after="120"/>
              <w:rPr>
                <w:rFonts w:eastAsia="Calibri"/>
              </w:rPr>
            </w:pPr>
            <w:r>
              <w:rPr>
                <w:rFonts w:cs="Arial"/>
                <w:bCs/>
              </w:rPr>
              <w:t>Taking Care of the Carers</w:t>
            </w:r>
          </w:p>
        </w:tc>
        <w:tc>
          <w:tcPr>
            <w:tcW w:w="5797" w:type="dxa"/>
          </w:tcPr>
          <w:p w14:paraId="71ECDAB7" w14:textId="35C0130F" w:rsidR="00E806B1" w:rsidRPr="00E806B1" w:rsidRDefault="00E806B1" w:rsidP="00E806B1">
            <w:pPr>
              <w:spacing w:before="120" w:after="120"/>
              <w:rPr>
                <w:rFonts w:eastAsia="Calibri"/>
              </w:rPr>
            </w:pPr>
            <w:r>
              <w:rPr>
                <w:rFonts w:eastAsia="Calibri"/>
              </w:rPr>
              <w:t>444</w:t>
            </w:r>
          </w:p>
        </w:tc>
      </w:tr>
      <w:tr w:rsidR="00E806B1" w:rsidRPr="00E5448C" w14:paraId="629BF709" w14:textId="77777777" w:rsidTr="00E806B1">
        <w:tc>
          <w:tcPr>
            <w:tcW w:w="3445" w:type="dxa"/>
          </w:tcPr>
          <w:p w14:paraId="3B398F96" w14:textId="24A80310" w:rsidR="00E806B1" w:rsidRPr="00F06258" w:rsidRDefault="00E806B1" w:rsidP="00E806B1">
            <w:pPr>
              <w:rPr>
                <w:rFonts w:eastAsia="Calibri"/>
              </w:rPr>
            </w:pPr>
            <w:r>
              <w:rPr>
                <w:rFonts w:eastAsia="Calibri"/>
              </w:rPr>
              <w:t>Review of Quality Governance Arrangements</w:t>
            </w:r>
          </w:p>
        </w:tc>
        <w:tc>
          <w:tcPr>
            <w:tcW w:w="5797" w:type="dxa"/>
          </w:tcPr>
          <w:p w14:paraId="2A463640" w14:textId="3F56B6EE" w:rsidR="00E806B1" w:rsidRPr="00E806B1" w:rsidRDefault="00E806B1" w:rsidP="00E806B1">
            <w:pPr>
              <w:rPr>
                <w:rFonts w:cs="Arial"/>
                <w:bCs/>
              </w:rPr>
            </w:pPr>
            <w:r>
              <w:rPr>
                <w:rFonts w:eastAsia="Calibri"/>
              </w:rPr>
              <w:t>448, 449, 450, 451, 452, 453, 454, 463, 473</w:t>
            </w:r>
          </w:p>
        </w:tc>
      </w:tr>
      <w:tr w:rsidR="00E806B1" w:rsidRPr="00E5448C" w14:paraId="1352EC55" w14:textId="77777777" w:rsidTr="00E806B1">
        <w:tc>
          <w:tcPr>
            <w:tcW w:w="3445" w:type="dxa"/>
          </w:tcPr>
          <w:p w14:paraId="685E9A07" w14:textId="7CB4A48B" w:rsidR="00E806B1" w:rsidRPr="00F06258" w:rsidRDefault="00E806B1" w:rsidP="00E806B1">
            <w:pPr>
              <w:rPr>
                <w:rFonts w:eastAsia="Calibri"/>
              </w:rPr>
            </w:pPr>
            <w:r>
              <w:rPr>
                <w:rFonts w:cs="Arial"/>
                <w:bCs/>
              </w:rPr>
              <w:t>Local Public Health Teams</w:t>
            </w:r>
          </w:p>
        </w:tc>
        <w:tc>
          <w:tcPr>
            <w:tcW w:w="5797" w:type="dxa"/>
          </w:tcPr>
          <w:p w14:paraId="3280D407" w14:textId="391971C4" w:rsidR="00E806B1" w:rsidRPr="00E806B1" w:rsidRDefault="00E806B1" w:rsidP="00E806B1">
            <w:pPr>
              <w:spacing w:before="120" w:after="120"/>
              <w:rPr>
                <w:rFonts w:eastAsia="Calibri"/>
              </w:rPr>
            </w:pPr>
            <w:r>
              <w:rPr>
                <w:rFonts w:eastAsia="Calibri"/>
              </w:rPr>
              <w:t>478, 479, 480</w:t>
            </w:r>
          </w:p>
        </w:tc>
      </w:tr>
      <w:tr w:rsidR="00E806B1" w:rsidRPr="00E5448C" w14:paraId="1A6E84DD" w14:textId="77777777" w:rsidTr="00E806B1">
        <w:tc>
          <w:tcPr>
            <w:tcW w:w="3445" w:type="dxa"/>
          </w:tcPr>
          <w:p w14:paraId="6F413FE9" w14:textId="28E8F530" w:rsidR="00E806B1" w:rsidRPr="00F06258" w:rsidRDefault="00E806B1" w:rsidP="00E806B1">
            <w:pPr>
              <w:rPr>
                <w:rFonts w:eastAsia="Calibri"/>
              </w:rPr>
            </w:pPr>
            <w:r w:rsidRPr="00F2708D">
              <w:rPr>
                <w:rFonts w:cs="Arial"/>
                <w:bCs/>
              </w:rPr>
              <w:t>Network and Information Directive (Cyber Security)</w:t>
            </w:r>
          </w:p>
        </w:tc>
        <w:tc>
          <w:tcPr>
            <w:tcW w:w="5797" w:type="dxa"/>
          </w:tcPr>
          <w:p w14:paraId="353DAEFA" w14:textId="5118997B" w:rsidR="00E806B1" w:rsidRPr="00E806B1" w:rsidRDefault="00E806B1" w:rsidP="00E806B1">
            <w:pPr>
              <w:spacing w:before="120" w:after="120"/>
              <w:rPr>
                <w:rFonts w:eastAsia="Calibri"/>
              </w:rPr>
            </w:pPr>
            <w:r>
              <w:rPr>
                <w:rFonts w:eastAsia="Calibri"/>
              </w:rPr>
              <w:t>481, 482</w:t>
            </w:r>
          </w:p>
        </w:tc>
      </w:tr>
      <w:tr w:rsidR="00E806B1" w:rsidRPr="00E5448C" w14:paraId="0F4A0CD1" w14:textId="77777777" w:rsidTr="00E806B1">
        <w:tc>
          <w:tcPr>
            <w:tcW w:w="3445" w:type="dxa"/>
          </w:tcPr>
          <w:p w14:paraId="1E841F31" w14:textId="37C4F666" w:rsidR="00E806B1" w:rsidRPr="00F06258" w:rsidRDefault="00E806B1" w:rsidP="00E806B1">
            <w:pPr>
              <w:rPr>
                <w:rFonts w:eastAsia="Calibri"/>
              </w:rPr>
            </w:pPr>
            <w:r>
              <w:rPr>
                <w:rFonts w:cs="Arial"/>
                <w:bCs/>
              </w:rPr>
              <w:t>Information Governance Toolkit</w:t>
            </w:r>
          </w:p>
        </w:tc>
        <w:tc>
          <w:tcPr>
            <w:tcW w:w="5797" w:type="dxa"/>
          </w:tcPr>
          <w:p w14:paraId="4DAD6009" w14:textId="5F3DBCC9" w:rsidR="00E806B1" w:rsidRPr="00E806B1" w:rsidRDefault="00E806B1" w:rsidP="00E806B1">
            <w:pPr>
              <w:spacing w:before="120" w:after="120"/>
              <w:rPr>
                <w:rFonts w:eastAsia="Calibri"/>
              </w:rPr>
            </w:pPr>
            <w:r>
              <w:rPr>
                <w:rFonts w:eastAsia="Calibri"/>
              </w:rPr>
              <w:t>484, 486, 487</w:t>
            </w:r>
          </w:p>
        </w:tc>
      </w:tr>
      <w:tr w:rsidR="00E806B1" w:rsidRPr="00E5448C" w14:paraId="427241DC" w14:textId="77777777" w:rsidTr="00E806B1">
        <w:tc>
          <w:tcPr>
            <w:tcW w:w="3445" w:type="dxa"/>
          </w:tcPr>
          <w:p w14:paraId="25E27B0B" w14:textId="5E804289" w:rsidR="00E806B1" w:rsidRPr="00F06258" w:rsidRDefault="00E806B1" w:rsidP="00E806B1">
            <w:pPr>
              <w:rPr>
                <w:rFonts w:eastAsia="Calibri"/>
              </w:rPr>
            </w:pPr>
            <w:r>
              <w:rPr>
                <w:rFonts w:cs="Arial"/>
                <w:bCs/>
              </w:rPr>
              <w:t>Workforce Sickness Absence Monitoring</w:t>
            </w:r>
          </w:p>
        </w:tc>
        <w:tc>
          <w:tcPr>
            <w:tcW w:w="5797" w:type="dxa"/>
          </w:tcPr>
          <w:p w14:paraId="4E378190" w14:textId="0CFE3700" w:rsidR="00E806B1" w:rsidRPr="00E806B1" w:rsidRDefault="00E806B1" w:rsidP="00E806B1">
            <w:pPr>
              <w:spacing w:before="120" w:after="120"/>
              <w:rPr>
                <w:rFonts w:eastAsia="Calibri"/>
              </w:rPr>
            </w:pPr>
            <w:r>
              <w:rPr>
                <w:rFonts w:eastAsia="Calibri"/>
              </w:rPr>
              <w:t>490, 491, 492, 493, 494, 495, 496, 497</w:t>
            </w:r>
          </w:p>
        </w:tc>
      </w:tr>
      <w:tr w:rsidR="00E806B1" w:rsidRPr="00E5448C" w14:paraId="194D5239" w14:textId="77777777" w:rsidTr="00E806B1">
        <w:tc>
          <w:tcPr>
            <w:tcW w:w="3445" w:type="dxa"/>
          </w:tcPr>
          <w:p w14:paraId="345578E1" w14:textId="3ECCB59C" w:rsidR="00E806B1" w:rsidRPr="00F06258" w:rsidRDefault="00E806B1" w:rsidP="00E806B1">
            <w:pPr>
              <w:rPr>
                <w:rFonts w:eastAsia="Calibri"/>
              </w:rPr>
            </w:pPr>
            <w:r>
              <w:rPr>
                <w:rFonts w:cs="Arial"/>
                <w:bCs/>
              </w:rPr>
              <w:t>Audit of Accounts</w:t>
            </w:r>
          </w:p>
        </w:tc>
        <w:tc>
          <w:tcPr>
            <w:tcW w:w="5797" w:type="dxa"/>
          </w:tcPr>
          <w:p w14:paraId="4E0B0F0D" w14:textId="53ADDD59" w:rsidR="00E806B1" w:rsidRPr="00E806B1" w:rsidRDefault="00E806B1" w:rsidP="00E806B1">
            <w:pPr>
              <w:spacing w:before="120" w:after="120"/>
              <w:rPr>
                <w:rFonts w:eastAsia="Calibri"/>
              </w:rPr>
            </w:pPr>
            <w:r>
              <w:rPr>
                <w:rFonts w:eastAsia="Calibri"/>
              </w:rPr>
              <w:t>498, 499</w:t>
            </w:r>
          </w:p>
        </w:tc>
      </w:tr>
      <w:tr w:rsidR="00893619" w:rsidRPr="00277F27" w14:paraId="548C4B7C" w14:textId="77777777" w:rsidTr="00E80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5" w:type="dxa"/>
          </w:tcPr>
          <w:p w14:paraId="1B04A85A" w14:textId="77777777" w:rsidR="00893619" w:rsidRPr="00277F27" w:rsidRDefault="00893619" w:rsidP="00A62FD1">
            <w:pPr>
              <w:spacing w:before="120" w:after="120"/>
              <w:jc w:val="center"/>
              <w:rPr>
                <w:rFonts w:cs="Arial"/>
                <w:szCs w:val="24"/>
              </w:rPr>
            </w:pPr>
            <w:bookmarkStart w:id="5" w:name="_GoBack"/>
            <w:r w:rsidRPr="00277F27">
              <w:rPr>
                <w:rFonts w:cs="Arial"/>
                <w:noProof/>
                <w:szCs w:val="24"/>
                <w:lang w:eastAsia="en-GB"/>
              </w:rPr>
              <w:drawing>
                <wp:inline distT="0" distB="0" distL="0" distR="0" wp14:anchorId="71CDAAF5" wp14:editId="7A247083">
                  <wp:extent cx="1993265" cy="861375"/>
                  <wp:effectExtent l="0" t="0" r="0" b="0"/>
                  <wp:docPr id="26" name="Picture 5" descr="Long Term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ng Term - icon + wording"/>
                          <pic:cNvPicPr>
                            <a:picLocks noChangeAspect="1" noChangeArrowheads="1"/>
                          </pic:cNvPicPr>
                        </pic:nvPicPr>
                        <pic:blipFill>
                          <a:blip r:embed="rId12" cstate="print"/>
                          <a:srcRect l="20309" t="9271" r="17880" b="10596"/>
                          <a:stretch>
                            <a:fillRect/>
                          </a:stretch>
                        </pic:blipFill>
                        <pic:spPr bwMode="auto">
                          <a:xfrm>
                            <a:off x="0" y="0"/>
                            <a:ext cx="1993265" cy="861375"/>
                          </a:xfrm>
                          <a:prstGeom prst="rect">
                            <a:avLst/>
                          </a:prstGeom>
                          <a:noFill/>
                          <a:ln w="9525">
                            <a:noFill/>
                            <a:miter lim="800000"/>
                            <a:headEnd/>
                            <a:tailEnd/>
                          </a:ln>
                        </pic:spPr>
                      </pic:pic>
                    </a:graphicData>
                  </a:graphic>
                </wp:inline>
              </w:drawing>
            </w:r>
          </w:p>
        </w:tc>
        <w:tc>
          <w:tcPr>
            <w:tcW w:w="5797" w:type="dxa"/>
          </w:tcPr>
          <w:p w14:paraId="1CBB327B" w14:textId="77777777" w:rsidR="00893619" w:rsidRPr="00CE679D" w:rsidRDefault="00CE679D" w:rsidP="00893619">
            <w:pPr>
              <w:spacing w:line="276" w:lineRule="auto"/>
              <w:rPr>
                <w:rFonts w:cs="Arial"/>
                <w:szCs w:val="24"/>
              </w:rPr>
            </w:pPr>
            <w:r w:rsidRPr="00CE679D">
              <w:rPr>
                <w:rFonts w:cs="Arial"/>
                <w:szCs w:val="24"/>
              </w:rPr>
              <w:t>The action plans put in place to address the various audits</w:t>
            </w:r>
            <w:r>
              <w:rPr>
                <w:rFonts w:cs="Arial"/>
                <w:szCs w:val="24"/>
              </w:rPr>
              <w:t xml:space="preserve"> recommendations</w:t>
            </w:r>
            <w:r w:rsidRPr="00CE679D">
              <w:rPr>
                <w:rFonts w:cs="Arial"/>
                <w:szCs w:val="24"/>
              </w:rPr>
              <w:t xml:space="preserve"> have long-term implications for the organisation, its governance and the provision of its services.</w:t>
            </w:r>
            <w:r w:rsidR="00893619" w:rsidRPr="00CE679D">
              <w:rPr>
                <w:rFonts w:cs="Arial"/>
                <w:szCs w:val="24"/>
              </w:rPr>
              <w:t xml:space="preserve"> </w:t>
            </w:r>
          </w:p>
        </w:tc>
      </w:tr>
      <w:bookmarkEnd w:id="5"/>
      <w:tr w:rsidR="00893619" w:rsidRPr="00277F27" w14:paraId="2C86EE94" w14:textId="77777777" w:rsidTr="00E80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5" w:type="dxa"/>
          </w:tcPr>
          <w:p w14:paraId="2538B3BB" w14:textId="77777777" w:rsidR="00893619" w:rsidRPr="00277F27" w:rsidRDefault="00893619" w:rsidP="00893619">
            <w:pPr>
              <w:spacing w:before="120" w:after="120"/>
              <w:jc w:val="center"/>
              <w:rPr>
                <w:rFonts w:cs="Arial"/>
                <w:szCs w:val="24"/>
              </w:rPr>
            </w:pPr>
            <w:r w:rsidRPr="00277F27">
              <w:rPr>
                <w:rFonts w:cs="Arial"/>
                <w:noProof/>
                <w:szCs w:val="24"/>
                <w:lang w:eastAsia="en-GB"/>
              </w:rPr>
              <w:drawing>
                <wp:inline distT="0" distB="0" distL="0" distR="0" wp14:anchorId="62FD4700" wp14:editId="2999BD1E">
                  <wp:extent cx="1992731" cy="857250"/>
                  <wp:effectExtent l="0" t="0" r="7519" b="0"/>
                  <wp:docPr id="27" name="Picture 1" descr="Preven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ention - icon + wording"/>
                          <pic:cNvPicPr>
                            <a:picLocks noChangeAspect="1" noChangeArrowheads="1"/>
                          </pic:cNvPicPr>
                        </pic:nvPicPr>
                        <pic:blipFill>
                          <a:blip r:embed="rId13" cstate="print"/>
                          <a:srcRect l="22958" t="11920" r="18542" b="12582"/>
                          <a:stretch>
                            <a:fillRect/>
                          </a:stretch>
                        </pic:blipFill>
                        <pic:spPr bwMode="auto">
                          <a:xfrm>
                            <a:off x="0" y="0"/>
                            <a:ext cx="1997555" cy="859325"/>
                          </a:xfrm>
                          <a:prstGeom prst="rect">
                            <a:avLst/>
                          </a:prstGeom>
                          <a:noFill/>
                          <a:ln w="9525">
                            <a:noFill/>
                            <a:miter lim="800000"/>
                            <a:headEnd/>
                            <a:tailEnd/>
                          </a:ln>
                        </pic:spPr>
                      </pic:pic>
                    </a:graphicData>
                  </a:graphic>
                </wp:inline>
              </w:drawing>
            </w:r>
          </w:p>
        </w:tc>
        <w:tc>
          <w:tcPr>
            <w:tcW w:w="5797" w:type="dxa"/>
          </w:tcPr>
          <w:p w14:paraId="0B53E50E" w14:textId="77777777" w:rsidR="00893619" w:rsidRPr="00CE679D" w:rsidRDefault="00CE679D" w:rsidP="00CE679D">
            <w:pPr>
              <w:spacing w:line="276" w:lineRule="auto"/>
              <w:rPr>
                <w:rFonts w:cs="Arial"/>
                <w:szCs w:val="24"/>
              </w:rPr>
            </w:pPr>
            <w:r w:rsidRPr="00CE679D">
              <w:rPr>
                <w:rFonts w:cs="Arial"/>
                <w:szCs w:val="24"/>
              </w:rPr>
              <w:t xml:space="preserve">The action plans put in place to address the various audits </w:t>
            </w:r>
            <w:r>
              <w:rPr>
                <w:rFonts w:cs="Arial"/>
                <w:szCs w:val="24"/>
              </w:rPr>
              <w:t>recommendations strengthen the</w:t>
            </w:r>
            <w:r w:rsidRPr="00CE679D">
              <w:rPr>
                <w:rFonts w:cs="Arial"/>
                <w:szCs w:val="24"/>
              </w:rPr>
              <w:t xml:space="preserve"> governance an</w:t>
            </w:r>
            <w:r>
              <w:rPr>
                <w:rFonts w:cs="Arial"/>
                <w:szCs w:val="24"/>
              </w:rPr>
              <w:t xml:space="preserve">d </w:t>
            </w:r>
            <w:r w:rsidRPr="00CE679D">
              <w:rPr>
                <w:rFonts w:cs="Arial"/>
                <w:szCs w:val="24"/>
              </w:rPr>
              <w:t>provision of its services.</w:t>
            </w:r>
          </w:p>
        </w:tc>
      </w:tr>
      <w:tr w:rsidR="00893619" w:rsidRPr="00277F27" w14:paraId="54FA06DC" w14:textId="77777777" w:rsidTr="00E80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5" w:type="dxa"/>
          </w:tcPr>
          <w:p w14:paraId="4F7B68D9" w14:textId="77777777" w:rsidR="00893619" w:rsidRPr="00277F27" w:rsidRDefault="00893619" w:rsidP="00893619">
            <w:pPr>
              <w:spacing w:before="120" w:after="120"/>
              <w:jc w:val="center"/>
              <w:rPr>
                <w:rFonts w:cs="Arial"/>
                <w:szCs w:val="24"/>
              </w:rPr>
            </w:pPr>
            <w:r w:rsidRPr="00277F27">
              <w:rPr>
                <w:rFonts w:cs="Arial"/>
                <w:noProof/>
                <w:szCs w:val="24"/>
                <w:lang w:eastAsia="en-GB"/>
              </w:rPr>
              <w:lastRenderedPageBreak/>
              <w:drawing>
                <wp:inline distT="0" distB="0" distL="0" distR="0" wp14:anchorId="09F8F3E1" wp14:editId="2EB0B942">
                  <wp:extent cx="2050677" cy="800100"/>
                  <wp:effectExtent l="0" t="0" r="0" b="0"/>
                  <wp:docPr id="8" name="Picture 2" descr="Integra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gration - icon + wording"/>
                          <pic:cNvPicPr>
                            <a:picLocks noChangeAspect="1" noChangeArrowheads="1"/>
                          </pic:cNvPicPr>
                        </pic:nvPicPr>
                        <pic:blipFill>
                          <a:blip r:embed="rId14" cstate="print"/>
                          <a:srcRect l="16556" t="11258" r="16115" b="9933"/>
                          <a:stretch>
                            <a:fillRect/>
                          </a:stretch>
                        </pic:blipFill>
                        <pic:spPr bwMode="auto">
                          <a:xfrm>
                            <a:off x="0" y="0"/>
                            <a:ext cx="2053354" cy="801144"/>
                          </a:xfrm>
                          <a:prstGeom prst="rect">
                            <a:avLst/>
                          </a:prstGeom>
                          <a:noFill/>
                          <a:ln w="9525">
                            <a:noFill/>
                            <a:miter lim="800000"/>
                            <a:headEnd/>
                            <a:tailEnd/>
                          </a:ln>
                        </pic:spPr>
                      </pic:pic>
                    </a:graphicData>
                  </a:graphic>
                </wp:inline>
              </w:drawing>
            </w:r>
          </w:p>
        </w:tc>
        <w:tc>
          <w:tcPr>
            <w:tcW w:w="5797" w:type="dxa"/>
          </w:tcPr>
          <w:p w14:paraId="4C7238CE" w14:textId="77777777" w:rsidR="00893619" w:rsidRPr="00CE679D" w:rsidRDefault="00CE679D" w:rsidP="00893619">
            <w:pPr>
              <w:spacing w:line="276" w:lineRule="auto"/>
              <w:rPr>
                <w:rFonts w:cs="Arial"/>
                <w:szCs w:val="24"/>
              </w:rPr>
            </w:pPr>
            <w:r w:rsidRPr="00CE679D">
              <w:rPr>
                <w:rFonts w:cs="Arial"/>
                <w:szCs w:val="24"/>
              </w:rPr>
              <w:t xml:space="preserve">The action plans put in place to address the various audits </w:t>
            </w:r>
            <w:r>
              <w:rPr>
                <w:rFonts w:cs="Arial"/>
                <w:szCs w:val="24"/>
              </w:rPr>
              <w:t>recommendations strengthen the</w:t>
            </w:r>
            <w:r w:rsidRPr="00CE679D">
              <w:rPr>
                <w:rFonts w:cs="Arial"/>
                <w:szCs w:val="24"/>
              </w:rPr>
              <w:t xml:space="preserve"> governance an</w:t>
            </w:r>
            <w:r>
              <w:rPr>
                <w:rFonts w:cs="Arial"/>
                <w:szCs w:val="24"/>
              </w:rPr>
              <w:t xml:space="preserve">d </w:t>
            </w:r>
            <w:r w:rsidRPr="00CE679D">
              <w:rPr>
                <w:rFonts w:cs="Arial"/>
                <w:szCs w:val="24"/>
              </w:rPr>
              <w:t>provision of its services.</w:t>
            </w:r>
          </w:p>
        </w:tc>
      </w:tr>
      <w:tr w:rsidR="00893619" w:rsidRPr="00277F27" w14:paraId="06A0AC6C" w14:textId="77777777" w:rsidTr="00E80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5" w:type="dxa"/>
          </w:tcPr>
          <w:p w14:paraId="16E5FF77" w14:textId="77777777" w:rsidR="00893619" w:rsidRPr="00277F27" w:rsidRDefault="00893619" w:rsidP="00893619">
            <w:pPr>
              <w:spacing w:before="120" w:after="120"/>
              <w:jc w:val="center"/>
              <w:rPr>
                <w:rFonts w:cs="Arial"/>
                <w:szCs w:val="24"/>
              </w:rPr>
            </w:pPr>
            <w:r w:rsidRPr="00277F27">
              <w:rPr>
                <w:rFonts w:cs="Arial"/>
                <w:noProof/>
                <w:szCs w:val="24"/>
                <w:lang w:eastAsia="en-GB"/>
              </w:rPr>
              <w:drawing>
                <wp:inline distT="0" distB="0" distL="0" distR="0" wp14:anchorId="4CBFED7F" wp14:editId="7A06F6C7">
                  <wp:extent cx="1857697" cy="704850"/>
                  <wp:effectExtent l="19050" t="0" r="9203" b="0"/>
                  <wp:docPr id="29" name="Picture 6" descr="Collabora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laboration - icon + wording"/>
                          <pic:cNvPicPr>
                            <a:picLocks noChangeAspect="1" noChangeArrowheads="1"/>
                          </pic:cNvPicPr>
                        </pic:nvPicPr>
                        <pic:blipFill>
                          <a:blip r:embed="rId15" cstate="print"/>
                          <a:srcRect l="17661" t="10596" r="13687" b="11258"/>
                          <a:stretch>
                            <a:fillRect/>
                          </a:stretch>
                        </pic:blipFill>
                        <pic:spPr bwMode="auto">
                          <a:xfrm>
                            <a:off x="0" y="0"/>
                            <a:ext cx="1860549" cy="705932"/>
                          </a:xfrm>
                          <a:prstGeom prst="rect">
                            <a:avLst/>
                          </a:prstGeom>
                          <a:noFill/>
                          <a:ln w="9525">
                            <a:noFill/>
                            <a:miter lim="800000"/>
                            <a:headEnd/>
                            <a:tailEnd/>
                          </a:ln>
                        </pic:spPr>
                      </pic:pic>
                    </a:graphicData>
                  </a:graphic>
                </wp:inline>
              </w:drawing>
            </w:r>
          </w:p>
        </w:tc>
        <w:tc>
          <w:tcPr>
            <w:tcW w:w="5797" w:type="dxa"/>
            <w:shd w:val="clear" w:color="auto" w:fill="auto"/>
          </w:tcPr>
          <w:p w14:paraId="10862E08" w14:textId="2460512E" w:rsidR="00893619" w:rsidRPr="00CE679D" w:rsidRDefault="00E35E31" w:rsidP="00E35E31">
            <w:pPr>
              <w:spacing w:line="276" w:lineRule="auto"/>
              <w:rPr>
                <w:rFonts w:cs="Arial"/>
                <w:szCs w:val="24"/>
              </w:rPr>
            </w:pPr>
            <w:r>
              <w:rPr>
                <w:rFonts w:cs="Arial"/>
                <w:szCs w:val="24"/>
              </w:rPr>
              <w:t>The management responses to audit reviews were developed</w:t>
            </w:r>
            <w:r w:rsidR="00893619" w:rsidRPr="00CE679D">
              <w:rPr>
                <w:rFonts w:cs="Arial"/>
                <w:szCs w:val="24"/>
              </w:rPr>
              <w:t xml:space="preserve"> </w:t>
            </w:r>
            <w:r>
              <w:rPr>
                <w:rFonts w:cs="Arial"/>
                <w:szCs w:val="24"/>
              </w:rPr>
              <w:t xml:space="preserve">in collaboration with staff across the </w:t>
            </w:r>
            <w:proofErr w:type="spellStart"/>
            <w:r>
              <w:rPr>
                <w:rFonts w:cs="Arial"/>
                <w:szCs w:val="24"/>
              </w:rPr>
              <w:t>organisation.</w:t>
            </w:r>
            <w:r w:rsidR="009E0B0D">
              <w:rPr>
                <w:rFonts w:cs="Arial"/>
                <w:szCs w:val="24"/>
              </w:rPr>
              <w:t>s</w:t>
            </w:r>
            <w:proofErr w:type="spellEnd"/>
          </w:p>
        </w:tc>
      </w:tr>
      <w:tr w:rsidR="00893619" w:rsidRPr="00277F27" w14:paraId="300DE4E8" w14:textId="77777777" w:rsidTr="00E80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5" w:type="dxa"/>
          </w:tcPr>
          <w:p w14:paraId="5D035199" w14:textId="77777777" w:rsidR="00893619" w:rsidRPr="00277F27" w:rsidRDefault="00893619" w:rsidP="00893619">
            <w:pPr>
              <w:spacing w:before="120" w:after="120"/>
              <w:jc w:val="center"/>
              <w:rPr>
                <w:rFonts w:cs="Arial"/>
                <w:szCs w:val="24"/>
              </w:rPr>
            </w:pPr>
            <w:r w:rsidRPr="00277F27">
              <w:rPr>
                <w:rFonts w:cs="Arial"/>
                <w:noProof/>
                <w:szCs w:val="24"/>
                <w:lang w:eastAsia="en-GB"/>
              </w:rPr>
              <w:drawing>
                <wp:inline distT="0" distB="0" distL="0" distR="0" wp14:anchorId="783621BB" wp14:editId="4FB9036F">
                  <wp:extent cx="1904332" cy="733425"/>
                  <wp:effectExtent l="0" t="0" r="0" b="0"/>
                  <wp:docPr id="30" name="Picture 3" descr="Involvement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olvement - icon + wording"/>
                          <pic:cNvPicPr>
                            <a:picLocks noChangeAspect="1" noChangeArrowheads="1"/>
                          </pic:cNvPicPr>
                        </pic:nvPicPr>
                        <pic:blipFill>
                          <a:blip r:embed="rId16" cstate="print"/>
                          <a:srcRect l="19205" t="11920" r="15453" b="12582"/>
                          <a:stretch>
                            <a:fillRect/>
                          </a:stretch>
                        </pic:blipFill>
                        <pic:spPr bwMode="auto">
                          <a:xfrm>
                            <a:off x="0" y="0"/>
                            <a:ext cx="1904332" cy="733425"/>
                          </a:xfrm>
                          <a:prstGeom prst="rect">
                            <a:avLst/>
                          </a:prstGeom>
                          <a:noFill/>
                          <a:ln w="9525">
                            <a:noFill/>
                            <a:miter lim="800000"/>
                            <a:headEnd/>
                            <a:tailEnd/>
                          </a:ln>
                        </pic:spPr>
                      </pic:pic>
                    </a:graphicData>
                  </a:graphic>
                </wp:inline>
              </w:drawing>
            </w:r>
          </w:p>
        </w:tc>
        <w:tc>
          <w:tcPr>
            <w:tcW w:w="5797" w:type="dxa"/>
          </w:tcPr>
          <w:p w14:paraId="635E346B" w14:textId="77777777" w:rsidR="00893619" w:rsidRPr="00CE679D" w:rsidRDefault="00E35E31" w:rsidP="00893619">
            <w:pPr>
              <w:spacing w:line="276" w:lineRule="auto"/>
              <w:rPr>
                <w:rFonts w:cs="Arial"/>
                <w:szCs w:val="24"/>
              </w:rPr>
            </w:pPr>
            <w:r>
              <w:rPr>
                <w:rFonts w:cs="Arial"/>
                <w:szCs w:val="24"/>
              </w:rPr>
              <w:t>Responses have been provided by staff in the relevant areas across the organisation.</w:t>
            </w:r>
            <w:r w:rsidR="00893619" w:rsidRPr="00CE679D">
              <w:rPr>
                <w:rFonts w:cs="Arial"/>
                <w:szCs w:val="24"/>
              </w:rPr>
              <w:t xml:space="preserve"> </w:t>
            </w:r>
          </w:p>
        </w:tc>
      </w:tr>
    </w:tbl>
    <w:p w14:paraId="201371AC" w14:textId="77777777" w:rsidR="00E07F66" w:rsidRPr="001C60B5" w:rsidRDefault="00E07F66" w:rsidP="00E07F66">
      <w:pPr>
        <w:pStyle w:val="Heading1"/>
        <w:numPr>
          <w:ilvl w:val="0"/>
          <w:numId w:val="2"/>
        </w:numPr>
        <w:rPr>
          <w:szCs w:val="24"/>
        </w:rPr>
      </w:pPr>
      <w:r w:rsidRPr="001C60B5">
        <w:rPr>
          <w:szCs w:val="24"/>
        </w:rPr>
        <w:t>Recommendation</w:t>
      </w:r>
    </w:p>
    <w:p w14:paraId="24FCA1B6" w14:textId="77777777" w:rsidR="00E07F66" w:rsidRPr="001C60B5" w:rsidRDefault="00E07F66" w:rsidP="00E07F66">
      <w:pPr>
        <w:rPr>
          <w:szCs w:val="24"/>
        </w:rPr>
      </w:pPr>
    </w:p>
    <w:p w14:paraId="675DDB34" w14:textId="77777777" w:rsidR="00537AFA" w:rsidRPr="001C60B5" w:rsidRDefault="00537AFA" w:rsidP="00537AFA">
      <w:pPr>
        <w:rPr>
          <w:szCs w:val="24"/>
        </w:rPr>
      </w:pPr>
      <w:r>
        <w:rPr>
          <w:szCs w:val="24"/>
        </w:rPr>
        <w:t>The Committee is asked to</w:t>
      </w:r>
    </w:p>
    <w:p w14:paraId="16AF5094" w14:textId="77777777" w:rsidR="00537AFA" w:rsidRPr="00421898" w:rsidRDefault="00537AFA" w:rsidP="00537AFA">
      <w:pPr>
        <w:numPr>
          <w:ilvl w:val="0"/>
          <w:numId w:val="21"/>
        </w:numPr>
        <w:ind w:left="426"/>
        <w:contextualSpacing/>
        <w:rPr>
          <w:rFonts w:eastAsia="Calibri" w:cs="Times New Roman"/>
          <w:color w:val="FF0000"/>
        </w:rPr>
      </w:pPr>
      <w:r>
        <w:rPr>
          <w:rFonts w:eastAsia="Calibri" w:cs="Times New Roman"/>
          <w:b/>
        </w:rPr>
        <w:t>Consider</w:t>
      </w:r>
      <w:r w:rsidRPr="00E5448C">
        <w:rPr>
          <w:rFonts w:eastAsia="Calibri" w:cs="Times New Roman"/>
          <w:b/>
        </w:rPr>
        <w:t xml:space="preserve"> </w:t>
      </w:r>
      <w:r w:rsidRPr="00E5448C">
        <w:rPr>
          <w:rFonts w:eastAsia="Calibri" w:cs="Times New Roman"/>
        </w:rPr>
        <w:t>the</w:t>
      </w:r>
      <w:r>
        <w:rPr>
          <w:rFonts w:eastAsia="Calibri" w:cs="Times New Roman"/>
        </w:rPr>
        <w:t xml:space="preserve"> progress updates and proposed</w:t>
      </w:r>
      <w:r w:rsidRPr="00E5448C">
        <w:rPr>
          <w:rFonts w:eastAsia="Calibri" w:cs="Times New Roman"/>
        </w:rPr>
        <w:t xml:space="preserve"> ame</w:t>
      </w:r>
      <w:r>
        <w:rPr>
          <w:rFonts w:eastAsia="Calibri" w:cs="Times New Roman"/>
        </w:rPr>
        <w:t xml:space="preserve">ndments to the Audit Action Log, and take assurance on the progress with the implementation of actions from Audit activity. </w:t>
      </w:r>
    </w:p>
    <w:p w14:paraId="5EB30CD0" w14:textId="77777777" w:rsidR="00537AFA" w:rsidRPr="00E5448C" w:rsidRDefault="00537AFA" w:rsidP="00537AFA">
      <w:pPr>
        <w:numPr>
          <w:ilvl w:val="0"/>
          <w:numId w:val="21"/>
        </w:numPr>
        <w:ind w:left="426" w:right="-188"/>
        <w:contextualSpacing/>
        <w:rPr>
          <w:rFonts w:eastAsia="Calibri" w:cs="Times New Roman"/>
          <w:color w:val="FF0000"/>
        </w:rPr>
      </w:pPr>
      <w:r>
        <w:rPr>
          <w:rFonts w:eastAsia="Calibri" w:cs="Times New Roman"/>
          <w:b/>
        </w:rPr>
        <w:t>Note</w:t>
      </w:r>
      <w:r w:rsidRPr="00E5448C">
        <w:rPr>
          <w:rFonts w:eastAsia="Calibri" w:cs="Times New Roman"/>
        </w:rPr>
        <w:t xml:space="preserve"> the</w:t>
      </w:r>
      <w:r w:rsidRPr="00E5448C">
        <w:rPr>
          <w:rFonts w:eastAsia="Calibri" w:cs="Times New Roman"/>
          <w:color w:val="FF0000"/>
        </w:rPr>
        <w:t xml:space="preserve"> </w:t>
      </w:r>
      <w:r>
        <w:rPr>
          <w:rFonts w:eastAsia="Calibri" w:cs="Times New Roman"/>
        </w:rPr>
        <w:t xml:space="preserve">amendments to the Audit Action Log, approved by the Business Executive Team on 07 March 2023. </w:t>
      </w:r>
      <w:r w:rsidRPr="00E5448C">
        <w:rPr>
          <w:rFonts w:eastAsia="Calibri" w:cs="Times New Roman"/>
        </w:rPr>
        <w:t xml:space="preserve"> </w:t>
      </w:r>
      <w:r>
        <w:rPr>
          <w:rFonts w:eastAsia="Calibri" w:cs="Times New Roman"/>
        </w:rPr>
        <w:t>(</w:t>
      </w:r>
      <w:r>
        <w:rPr>
          <w:rFonts w:eastAsia="Calibri" w:cs="Times New Roman"/>
          <w:b/>
        </w:rPr>
        <w:t xml:space="preserve">Appendix 1a) </w:t>
      </w:r>
      <w:r>
        <w:rPr>
          <w:rFonts w:eastAsia="Calibri" w:cs="Times New Roman"/>
        </w:rPr>
        <w:t>(summarised in</w:t>
      </w:r>
      <w:r w:rsidRPr="00E5448C">
        <w:rPr>
          <w:rFonts w:eastAsia="Calibri" w:cs="Times New Roman"/>
        </w:rPr>
        <w:t xml:space="preserve"> Section </w:t>
      </w:r>
      <w:r>
        <w:rPr>
          <w:rFonts w:eastAsia="Calibri" w:cs="Times New Roman"/>
        </w:rPr>
        <w:t xml:space="preserve">3.1 of this report) </w:t>
      </w:r>
    </w:p>
    <w:p w14:paraId="15FF799B" w14:textId="77777777" w:rsidR="00537AFA" w:rsidRDefault="00537AFA" w:rsidP="00537AFA">
      <w:pPr>
        <w:numPr>
          <w:ilvl w:val="0"/>
          <w:numId w:val="21"/>
        </w:numPr>
        <w:ind w:left="426"/>
        <w:contextualSpacing/>
        <w:rPr>
          <w:rFonts w:eastAsia="Calibri" w:cs="Times New Roman"/>
        </w:rPr>
      </w:pPr>
      <w:r>
        <w:rPr>
          <w:rFonts w:eastAsia="Calibri" w:cs="Times New Roman"/>
          <w:b/>
        </w:rPr>
        <w:t>Note</w:t>
      </w:r>
      <w:r w:rsidRPr="00E5448C">
        <w:rPr>
          <w:rFonts w:eastAsia="Calibri" w:cs="Times New Roman"/>
          <w:b/>
        </w:rPr>
        <w:t xml:space="preserve"> </w:t>
      </w:r>
      <w:r w:rsidRPr="00E5448C">
        <w:rPr>
          <w:rFonts w:eastAsia="Calibri" w:cs="Times New Roman"/>
        </w:rPr>
        <w:t xml:space="preserve">the completion of the actions detailed in </w:t>
      </w:r>
      <w:r>
        <w:rPr>
          <w:rFonts w:eastAsia="Calibri" w:cs="Times New Roman"/>
        </w:rPr>
        <w:t xml:space="preserve">Appendix 1b (summarised in </w:t>
      </w:r>
      <w:r w:rsidRPr="00E5448C">
        <w:rPr>
          <w:rFonts w:eastAsia="Calibri" w:cs="Times New Roman"/>
        </w:rPr>
        <w:t>Section</w:t>
      </w:r>
      <w:r>
        <w:rPr>
          <w:rFonts w:eastAsia="Calibri" w:cs="Times New Roman"/>
        </w:rPr>
        <w:t xml:space="preserve"> 3.2), approved by the Business Executive Team on 07 March 2023.</w:t>
      </w:r>
    </w:p>
    <w:p w14:paraId="3610DC59" w14:textId="77777777" w:rsidR="00F63E86" w:rsidRDefault="00F63E86" w:rsidP="00F63E86">
      <w:pPr>
        <w:rPr>
          <w:rFonts w:eastAsia="Calibri" w:cs="Times New Roman"/>
          <w:i/>
        </w:rPr>
      </w:pPr>
    </w:p>
    <w:sectPr w:rsidR="00F63E86" w:rsidSect="00421898">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EEE40" w14:textId="77777777" w:rsidR="00D1339E" w:rsidRDefault="00D1339E" w:rsidP="00497F39">
      <w:r>
        <w:separator/>
      </w:r>
    </w:p>
  </w:endnote>
  <w:endnote w:type="continuationSeparator" w:id="0">
    <w:p w14:paraId="6B210690" w14:textId="77777777" w:rsidR="00D1339E" w:rsidRDefault="00D1339E" w:rsidP="0049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3014"/>
      <w:gridCol w:w="3002"/>
    </w:tblGrid>
    <w:tr w:rsidR="007623DA" w:rsidRPr="00511AFF" w14:paraId="3B176779" w14:textId="77777777" w:rsidTr="003B7361">
      <w:tc>
        <w:tcPr>
          <w:tcW w:w="3100" w:type="dxa"/>
        </w:tcPr>
        <w:p w14:paraId="0E5DB239" w14:textId="77777777" w:rsidR="007623DA" w:rsidRPr="00E5448C" w:rsidRDefault="007623DA" w:rsidP="00C14FF5">
          <w:pPr>
            <w:pStyle w:val="Footer"/>
            <w:tabs>
              <w:tab w:val="right" w:pos="9090"/>
            </w:tabs>
            <w:jc w:val="center"/>
            <w:rPr>
              <w:b/>
              <w:sz w:val="20"/>
            </w:rPr>
          </w:pPr>
          <w:r w:rsidRPr="00E5448C">
            <w:rPr>
              <w:b/>
              <w:sz w:val="20"/>
            </w:rPr>
            <w:t xml:space="preserve">Date: </w:t>
          </w:r>
          <w:r w:rsidRPr="00E5448C">
            <w:rPr>
              <w:sz w:val="20"/>
            </w:rPr>
            <w:t xml:space="preserve"> </w:t>
          </w:r>
          <w:r w:rsidR="00C14FF5">
            <w:rPr>
              <w:sz w:val="20"/>
            </w:rPr>
            <w:t>7 March 2023</w:t>
          </w:r>
        </w:p>
      </w:tc>
      <w:tc>
        <w:tcPr>
          <w:tcW w:w="3100" w:type="dxa"/>
        </w:tcPr>
        <w:p w14:paraId="3B8AFC44" w14:textId="77777777" w:rsidR="007623DA" w:rsidRPr="00E5448C" w:rsidRDefault="007623DA" w:rsidP="00083853">
          <w:pPr>
            <w:pStyle w:val="Footer"/>
            <w:tabs>
              <w:tab w:val="center" w:pos="1433"/>
              <w:tab w:val="right" w:pos="2866"/>
              <w:tab w:val="right" w:pos="9090"/>
            </w:tabs>
            <w:jc w:val="center"/>
            <w:rPr>
              <w:b/>
              <w:sz w:val="20"/>
            </w:rPr>
          </w:pPr>
          <w:r w:rsidRPr="00E5448C">
            <w:rPr>
              <w:b/>
              <w:sz w:val="20"/>
            </w:rPr>
            <w:t>Version:</w:t>
          </w:r>
          <w:r w:rsidRPr="00E5448C">
            <w:rPr>
              <w:sz w:val="20"/>
            </w:rPr>
            <w:t xml:space="preserve"> </w:t>
          </w:r>
          <w:r w:rsidR="00083853">
            <w:rPr>
              <w:sz w:val="20"/>
            </w:rPr>
            <w:t>1.0</w:t>
          </w:r>
        </w:p>
      </w:tc>
      <w:tc>
        <w:tcPr>
          <w:tcW w:w="3101" w:type="dxa"/>
        </w:tcPr>
        <w:p w14:paraId="5DFC8216" w14:textId="4EC67905" w:rsidR="007623DA" w:rsidRPr="00511AFF" w:rsidRDefault="007623DA" w:rsidP="003B7361">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sidR="00101551">
            <w:rPr>
              <w:rStyle w:val="PageNumber"/>
              <w:noProof/>
              <w:sz w:val="20"/>
            </w:rPr>
            <w:t>1</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sidR="00101551">
            <w:rPr>
              <w:rStyle w:val="PageNumber"/>
              <w:noProof/>
              <w:sz w:val="20"/>
            </w:rPr>
            <w:t>6</w:t>
          </w:r>
          <w:r w:rsidRPr="00511AFF">
            <w:rPr>
              <w:rStyle w:val="PageNumber"/>
              <w:sz w:val="20"/>
            </w:rPr>
            <w:fldChar w:fldCharType="end"/>
          </w:r>
        </w:p>
      </w:tc>
    </w:tr>
  </w:tbl>
  <w:p w14:paraId="0BE972DD" w14:textId="77777777" w:rsidR="007623DA" w:rsidRPr="00FA7943" w:rsidRDefault="007623DA">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6"/>
      <w:gridCol w:w="3239"/>
      <w:gridCol w:w="3238"/>
    </w:tblGrid>
    <w:tr w:rsidR="00FD7AF2" w:rsidRPr="00511AFF" w14:paraId="7EE603CC" w14:textId="77777777" w:rsidTr="005A660C">
      <w:trPr>
        <w:trHeight w:val="286"/>
      </w:trPr>
      <w:tc>
        <w:tcPr>
          <w:tcW w:w="3236" w:type="dxa"/>
        </w:tcPr>
        <w:p w14:paraId="09777772" w14:textId="29CEB880" w:rsidR="00FD7AF2" w:rsidRPr="00E5448C" w:rsidRDefault="00FD7AF2" w:rsidP="00537AFA">
          <w:pPr>
            <w:pStyle w:val="Footer"/>
            <w:tabs>
              <w:tab w:val="right" w:pos="9090"/>
            </w:tabs>
            <w:jc w:val="center"/>
            <w:rPr>
              <w:b/>
              <w:sz w:val="20"/>
            </w:rPr>
          </w:pPr>
          <w:r w:rsidRPr="00E5448C">
            <w:rPr>
              <w:b/>
              <w:sz w:val="20"/>
            </w:rPr>
            <w:t xml:space="preserve">Date: </w:t>
          </w:r>
          <w:r w:rsidRPr="00E5448C">
            <w:rPr>
              <w:sz w:val="20"/>
            </w:rPr>
            <w:t xml:space="preserve"> </w:t>
          </w:r>
          <w:r w:rsidR="00537AFA">
            <w:rPr>
              <w:sz w:val="20"/>
            </w:rPr>
            <w:t>09</w:t>
          </w:r>
          <w:r w:rsidR="003B4724">
            <w:rPr>
              <w:sz w:val="20"/>
            </w:rPr>
            <w:t xml:space="preserve"> March 2023</w:t>
          </w:r>
        </w:p>
      </w:tc>
      <w:tc>
        <w:tcPr>
          <w:tcW w:w="3239" w:type="dxa"/>
        </w:tcPr>
        <w:p w14:paraId="472E0E3B" w14:textId="77777777" w:rsidR="00FD7AF2" w:rsidRPr="00E5448C" w:rsidRDefault="00FD7AF2" w:rsidP="00FE177D">
          <w:pPr>
            <w:pStyle w:val="Footer"/>
            <w:tabs>
              <w:tab w:val="center" w:pos="1433"/>
              <w:tab w:val="right" w:pos="2866"/>
              <w:tab w:val="right" w:pos="9090"/>
            </w:tabs>
            <w:jc w:val="center"/>
            <w:rPr>
              <w:b/>
              <w:sz w:val="20"/>
            </w:rPr>
          </w:pPr>
          <w:r w:rsidRPr="00E5448C">
            <w:rPr>
              <w:b/>
              <w:sz w:val="20"/>
            </w:rPr>
            <w:t>Version:</w:t>
          </w:r>
          <w:r w:rsidRPr="00E5448C">
            <w:rPr>
              <w:sz w:val="20"/>
            </w:rPr>
            <w:t xml:space="preserve"> </w:t>
          </w:r>
          <w:r w:rsidR="006B3840">
            <w:rPr>
              <w:sz w:val="20"/>
            </w:rPr>
            <w:t>1</w:t>
          </w:r>
          <w:r w:rsidR="00FD6BBA">
            <w:rPr>
              <w:sz w:val="20"/>
            </w:rPr>
            <w:t>.0</w:t>
          </w:r>
        </w:p>
      </w:tc>
      <w:tc>
        <w:tcPr>
          <w:tcW w:w="3238" w:type="dxa"/>
        </w:tcPr>
        <w:p w14:paraId="4CE4C1A7" w14:textId="540D784A" w:rsidR="00FD7AF2" w:rsidRPr="00511AFF" w:rsidRDefault="00FD7AF2" w:rsidP="005A660C">
          <w:pPr>
            <w:pStyle w:val="Footer"/>
            <w:tabs>
              <w:tab w:val="clear" w:pos="4513"/>
              <w:tab w:val="center" w:pos="4500"/>
              <w:tab w:val="center" w:pos="7404"/>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sidR="00101551">
            <w:rPr>
              <w:rStyle w:val="PageNumber"/>
              <w:noProof/>
              <w:sz w:val="20"/>
            </w:rPr>
            <w:t>6</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sidR="00101551">
            <w:rPr>
              <w:rStyle w:val="PageNumber"/>
              <w:noProof/>
              <w:sz w:val="20"/>
            </w:rPr>
            <w:t>6</w:t>
          </w:r>
          <w:r w:rsidRPr="00511AFF">
            <w:rPr>
              <w:rStyle w:val="PageNumber"/>
              <w:sz w:val="20"/>
            </w:rPr>
            <w:fldChar w:fldCharType="end"/>
          </w:r>
        </w:p>
      </w:tc>
    </w:tr>
  </w:tbl>
  <w:p w14:paraId="592CAB09" w14:textId="77777777" w:rsidR="00FD7AF2" w:rsidRPr="00FA7943" w:rsidRDefault="00FD7AF2">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C9EA5" w14:textId="77777777" w:rsidR="00D1339E" w:rsidRDefault="00D1339E" w:rsidP="00497F39">
      <w:r>
        <w:separator/>
      </w:r>
    </w:p>
  </w:footnote>
  <w:footnote w:type="continuationSeparator" w:id="0">
    <w:p w14:paraId="66F90D71" w14:textId="77777777" w:rsidR="00D1339E" w:rsidRDefault="00D1339E" w:rsidP="00497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B3DB7"/>
    <w:multiLevelType w:val="singleLevel"/>
    <w:tmpl w:val="7E309B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AB3FA6"/>
    <w:multiLevelType w:val="hybridMultilevel"/>
    <w:tmpl w:val="12C8E2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83A45"/>
    <w:multiLevelType w:val="hybridMultilevel"/>
    <w:tmpl w:val="2C44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7535F"/>
    <w:multiLevelType w:val="hybridMultilevel"/>
    <w:tmpl w:val="7BA62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AB956A7"/>
    <w:multiLevelType w:val="hybridMultilevel"/>
    <w:tmpl w:val="2176E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C74834"/>
    <w:multiLevelType w:val="hybridMultilevel"/>
    <w:tmpl w:val="4AF88016"/>
    <w:lvl w:ilvl="0" w:tplc="3ABA4EDE">
      <w:start w:val="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151DC"/>
    <w:multiLevelType w:val="hybridMultilevel"/>
    <w:tmpl w:val="45B0FD90"/>
    <w:lvl w:ilvl="0" w:tplc="3ABA4EDE">
      <w:start w:val="4"/>
      <w:numFmt w:val="bullet"/>
      <w:lvlText w:val="-"/>
      <w:lvlJc w:val="left"/>
      <w:pPr>
        <w:ind w:left="360" w:hanging="360"/>
      </w:pPr>
      <w:rPr>
        <w:rFonts w:ascii="Verdana" w:eastAsiaTheme="minorHAnsi" w:hAnsi="Verdan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CD0A03"/>
    <w:multiLevelType w:val="hybridMultilevel"/>
    <w:tmpl w:val="426A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64804"/>
    <w:multiLevelType w:val="hybridMultilevel"/>
    <w:tmpl w:val="C5447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581F22"/>
    <w:multiLevelType w:val="hybridMultilevel"/>
    <w:tmpl w:val="127EF3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38F6C5A"/>
    <w:multiLevelType w:val="hybridMultilevel"/>
    <w:tmpl w:val="6C7A1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003C4D"/>
    <w:multiLevelType w:val="hybridMultilevel"/>
    <w:tmpl w:val="21A632F4"/>
    <w:lvl w:ilvl="0" w:tplc="3550992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01A132D"/>
    <w:multiLevelType w:val="hybridMultilevel"/>
    <w:tmpl w:val="CA70D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0991BFC"/>
    <w:multiLevelType w:val="hybridMultilevel"/>
    <w:tmpl w:val="BE16E2AC"/>
    <w:lvl w:ilvl="0" w:tplc="675CC8F6">
      <w:start w:val="1"/>
      <w:numFmt w:val="bullet"/>
      <w:lvlText w:val=""/>
      <w:lvlJc w:val="left"/>
      <w:pPr>
        <w:ind w:left="795" w:hanging="360"/>
      </w:pPr>
      <w:rPr>
        <w:rFonts w:ascii="Symbol" w:hAnsi="Symbol" w:hint="default"/>
        <w:color w:val="auto"/>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5" w15:restartNumberingAfterBreak="0">
    <w:nsid w:val="61D44148"/>
    <w:multiLevelType w:val="hybridMultilevel"/>
    <w:tmpl w:val="6FCA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BB3BEC"/>
    <w:multiLevelType w:val="hybridMultilevel"/>
    <w:tmpl w:val="0B484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881CE6"/>
    <w:multiLevelType w:val="multilevel"/>
    <w:tmpl w:val="AB16D936"/>
    <w:lvl w:ilvl="0">
      <w:start w:val="3"/>
      <w:numFmt w:val="decimal"/>
      <w:lvlText w:val="%1"/>
      <w:lvlJc w:val="left"/>
      <w:pPr>
        <w:ind w:left="430" w:hanging="43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3141" w:hanging="144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489" w:hanging="2520"/>
      </w:pPr>
      <w:rPr>
        <w:rFonts w:hint="default"/>
      </w:rPr>
    </w:lvl>
    <w:lvl w:ilvl="8">
      <w:start w:val="1"/>
      <w:numFmt w:val="decimal"/>
      <w:lvlText w:val="%1.%2.%3.%4.%5.%6.%7.%8.%9"/>
      <w:lvlJc w:val="left"/>
      <w:pPr>
        <w:ind w:left="7416" w:hanging="2880"/>
      </w:pPr>
      <w:rPr>
        <w:rFonts w:hint="default"/>
      </w:rPr>
    </w:lvl>
  </w:abstractNum>
  <w:abstractNum w:abstractNumId="18"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6FC234F1"/>
    <w:multiLevelType w:val="hybridMultilevel"/>
    <w:tmpl w:val="635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131D8D"/>
    <w:multiLevelType w:val="hybridMultilevel"/>
    <w:tmpl w:val="9536E07C"/>
    <w:lvl w:ilvl="0" w:tplc="EC5C0FD4">
      <w:start w:val="1"/>
      <w:numFmt w:val="decimal"/>
      <w:lvlText w:val="%1)"/>
      <w:lvlJc w:val="left"/>
      <w:pPr>
        <w:ind w:left="413" w:hanging="360"/>
      </w:pPr>
      <w:rPr>
        <w:rFonts w:hint="default"/>
      </w:rPr>
    </w:lvl>
    <w:lvl w:ilvl="1" w:tplc="08090019" w:tentative="1">
      <w:start w:val="1"/>
      <w:numFmt w:val="lowerLetter"/>
      <w:lvlText w:val="%2."/>
      <w:lvlJc w:val="left"/>
      <w:pPr>
        <w:ind w:left="1133" w:hanging="360"/>
      </w:pPr>
    </w:lvl>
    <w:lvl w:ilvl="2" w:tplc="0809001B" w:tentative="1">
      <w:start w:val="1"/>
      <w:numFmt w:val="lowerRoman"/>
      <w:lvlText w:val="%3."/>
      <w:lvlJc w:val="right"/>
      <w:pPr>
        <w:ind w:left="1853" w:hanging="180"/>
      </w:pPr>
    </w:lvl>
    <w:lvl w:ilvl="3" w:tplc="0809000F" w:tentative="1">
      <w:start w:val="1"/>
      <w:numFmt w:val="decimal"/>
      <w:lvlText w:val="%4."/>
      <w:lvlJc w:val="left"/>
      <w:pPr>
        <w:ind w:left="2573" w:hanging="360"/>
      </w:pPr>
    </w:lvl>
    <w:lvl w:ilvl="4" w:tplc="08090019" w:tentative="1">
      <w:start w:val="1"/>
      <w:numFmt w:val="lowerLetter"/>
      <w:lvlText w:val="%5."/>
      <w:lvlJc w:val="left"/>
      <w:pPr>
        <w:ind w:left="3293" w:hanging="360"/>
      </w:pPr>
    </w:lvl>
    <w:lvl w:ilvl="5" w:tplc="0809001B" w:tentative="1">
      <w:start w:val="1"/>
      <w:numFmt w:val="lowerRoman"/>
      <w:lvlText w:val="%6."/>
      <w:lvlJc w:val="right"/>
      <w:pPr>
        <w:ind w:left="4013" w:hanging="180"/>
      </w:pPr>
    </w:lvl>
    <w:lvl w:ilvl="6" w:tplc="0809000F" w:tentative="1">
      <w:start w:val="1"/>
      <w:numFmt w:val="decimal"/>
      <w:lvlText w:val="%7."/>
      <w:lvlJc w:val="left"/>
      <w:pPr>
        <w:ind w:left="4733" w:hanging="360"/>
      </w:pPr>
    </w:lvl>
    <w:lvl w:ilvl="7" w:tplc="08090019" w:tentative="1">
      <w:start w:val="1"/>
      <w:numFmt w:val="lowerLetter"/>
      <w:lvlText w:val="%8."/>
      <w:lvlJc w:val="left"/>
      <w:pPr>
        <w:ind w:left="5453" w:hanging="360"/>
      </w:pPr>
    </w:lvl>
    <w:lvl w:ilvl="8" w:tplc="0809001B" w:tentative="1">
      <w:start w:val="1"/>
      <w:numFmt w:val="lowerRoman"/>
      <w:lvlText w:val="%9."/>
      <w:lvlJc w:val="right"/>
      <w:pPr>
        <w:ind w:left="6173" w:hanging="180"/>
      </w:pPr>
    </w:lvl>
  </w:abstractNum>
  <w:abstractNum w:abstractNumId="21" w15:restartNumberingAfterBreak="0">
    <w:nsid w:val="7F7C15E8"/>
    <w:multiLevelType w:val="hybridMultilevel"/>
    <w:tmpl w:val="239098EA"/>
    <w:lvl w:ilvl="0" w:tplc="3ABA4ED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21"/>
  </w:num>
  <w:num w:numId="4">
    <w:abstractNumId w:val="12"/>
  </w:num>
  <w:num w:numId="5">
    <w:abstractNumId w:val="0"/>
  </w:num>
  <w:num w:numId="6">
    <w:abstractNumId w:val="6"/>
  </w:num>
  <w:num w:numId="7">
    <w:abstractNumId w:val="5"/>
  </w:num>
  <w:num w:numId="8">
    <w:abstractNumId w:val="11"/>
  </w:num>
  <w:num w:numId="9">
    <w:abstractNumId w:val="15"/>
  </w:num>
  <w:num w:numId="10">
    <w:abstractNumId w:val="4"/>
  </w:num>
  <w:num w:numId="11">
    <w:abstractNumId w:val="16"/>
  </w:num>
  <w:num w:numId="12">
    <w:abstractNumId w:val="3"/>
  </w:num>
  <w:num w:numId="13">
    <w:abstractNumId w:val="8"/>
  </w:num>
  <w:num w:numId="14">
    <w:abstractNumId w:val="10"/>
  </w:num>
  <w:num w:numId="15">
    <w:abstractNumId w:val="2"/>
  </w:num>
  <w:num w:numId="16">
    <w:abstractNumId w:val="20"/>
  </w:num>
  <w:num w:numId="17">
    <w:abstractNumId w:val="13"/>
  </w:num>
  <w:num w:numId="18">
    <w:abstractNumId w:val="19"/>
  </w:num>
  <w:num w:numId="19">
    <w:abstractNumId w:val="18"/>
  </w:num>
  <w:num w:numId="20">
    <w:abstractNumId w:val="1"/>
  </w:num>
  <w:num w:numId="21">
    <w:abstractNumId w:val="1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A5"/>
    <w:rsid w:val="000037FD"/>
    <w:rsid w:val="0000561A"/>
    <w:rsid w:val="00005678"/>
    <w:rsid w:val="0001336B"/>
    <w:rsid w:val="00014AC2"/>
    <w:rsid w:val="00015B9D"/>
    <w:rsid w:val="00046673"/>
    <w:rsid w:val="00051CDC"/>
    <w:rsid w:val="00051E74"/>
    <w:rsid w:val="00057CFB"/>
    <w:rsid w:val="00083853"/>
    <w:rsid w:val="0009174A"/>
    <w:rsid w:val="00097ACD"/>
    <w:rsid w:val="000A1C84"/>
    <w:rsid w:val="000B1391"/>
    <w:rsid w:val="000B306B"/>
    <w:rsid w:val="000D7447"/>
    <w:rsid w:val="000F0EBD"/>
    <w:rsid w:val="000F46F4"/>
    <w:rsid w:val="000F5A72"/>
    <w:rsid w:val="00101551"/>
    <w:rsid w:val="0011130A"/>
    <w:rsid w:val="00121679"/>
    <w:rsid w:val="00123FD2"/>
    <w:rsid w:val="00126327"/>
    <w:rsid w:val="001272F6"/>
    <w:rsid w:val="0013075E"/>
    <w:rsid w:val="00133373"/>
    <w:rsid w:val="00142E6B"/>
    <w:rsid w:val="00154699"/>
    <w:rsid w:val="00167296"/>
    <w:rsid w:val="001837A1"/>
    <w:rsid w:val="001B2A97"/>
    <w:rsid w:val="001B3428"/>
    <w:rsid w:val="001C02C6"/>
    <w:rsid w:val="001C305C"/>
    <w:rsid w:val="001C405D"/>
    <w:rsid w:val="001C60B5"/>
    <w:rsid w:val="001D0D9B"/>
    <w:rsid w:val="001E1AD5"/>
    <w:rsid w:val="001F6625"/>
    <w:rsid w:val="001F730F"/>
    <w:rsid w:val="00202AB8"/>
    <w:rsid w:val="00211B9D"/>
    <w:rsid w:val="00214BA4"/>
    <w:rsid w:val="0022713F"/>
    <w:rsid w:val="00250088"/>
    <w:rsid w:val="002504A4"/>
    <w:rsid w:val="002510E7"/>
    <w:rsid w:val="00257CD2"/>
    <w:rsid w:val="00260DDE"/>
    <w:rsid w:val="00267911"/>
    <w:rsid w:val="00273D26"/>
    <w:rsid w:val="002753B3"/>
    <w:rsid w:val="0027708F"/>
    <w:rsid w:val="00296664"/>
    <w:rsid w:val="00297CF8"/>
    <w:rsid w:val="002B0BC9"/>
    <w:rsid w:val="002B712E"/>
    <w:rsid w:val="002C0A83"/>
    <w:rsid w:val="002C170B"/>
    <w:rsid w:val="002C6A6B"/>
    <w:rsid w:val="002D11B1"/>
    <w:rsid w:val="002E6258"/>
    <w:rsid w:val="003013A3"/>
    <w:rsid w:val="003018F5"/>
    <w:rsid w:val="00304FD0"/>
    <w:rsid w:val="00305721"/>
    <w:rsid w:val="003147DA"/>
    <w:rsid w:val="00322403"/>
    <w:rsid w:val="00322D2E"/>
    <w:rsid w:val="00326EC6"/>
    <w:rsid w:val="003372E1"/>
    <w:rsid w:val="00337864"/>
    <w:rsid w:val="003404F6"/>
    <w:rsid w:val="00345FE3"/>
    <w:rsid w:val="003461AF"/>
    <w:rsid w:val="00352570"/>
    <w:rsid w:val="00361B9A"/>
    <w:rsid w:val="00371966"/>
    <w:rsid w:val="00391645"/>
    <w:rsid w:val="00395ACE"/>
    <w:rsid w:val="003A24F7"/>
    <w:rsid w:val="003A3414"/>
    <w:rsid w:val="003B40BB"/>
    <w:rsid w:val="003B4724"/>
    <w:rsid w:val="003B7361"/>
    <w:rsid w:val="003B7B09"/>
    <w:rsid w:val="003C6952"/>
    <w:rsid w:val="003C7514"/>
    <w:rsid w:val="003E304D"/>
    <w:rsid w:val="003F3D59"/>
    <w:rsid w:val="003F3E7F"/>
    <w:rsid w:val="003F7581"/>
    <w:rsid w:val="0040037A"/>
    <w:rsid w:val="004065DD"/>
    <w:rsid w:val="00407604"/>
    <w:rsid w:val="00421898"/>
    <w:rsid w:val="00427779"/>
    <w:rsid w:val="004375CA"/>
    <w:rsid w:val="0044165A"/>
    <w:rsid w:val="00446F82"/>
    <w:rsid w:val="0046169C"/>
    <w:rsid w:val="00476DD1"/>
    <w:rsid w:val="00480353"/>
    <w:rsid w:val="004939C2"/>
    <w:rsid w:val="0049791D"/>
    <w:rsid w:val="00497F39"/>
    <w:rsid w:val="004A4626"/>
    <w:rsid w:val="004A4F1A"/>
    <w:rsid w:val="004A6253"/>
    <w:rsid w:val="004B2058"/>
    <w:rsid w:val="004B31A5"/>
    <w:rsid w:val="004B31C9"/>
    <w:rsid w:val="004D632B"/>
    <w:rsid w:val="004F24A1"/>
    <w:rsid w:val="004F410B"/>
    <w:rsid w:val="00504A87"/>
    <w:rsid w:val="00506C55"/>
    <w:rsid w:val="00516EBA"/>
    <w:rsid w:val="0052328C"/>
    <w:rsid w:val="005242D6"/>
    <w:rsid w:val="00524594"/>
    <w:rsid w:val="00536FA4"/>
    <w:rsid w:val="00537AFA"/>
    <w:rsid w:val="005418C9"/>
    <w:rsid w:val="00541E50"/>
    <w:rsid w:val="00544C9E"/>
    <w:rsid w:val="005461E6"/>
    <w:rsid w:val="00553DFE"/>
    <w:rsid w:val="00554429"/>
    <w:rsid w:val="0055720E"/>
    <w:rsid w:val="00564789"/>
    <w:rsid w:val="005767ED"/>
    <w:rsid w:val="00577744"/>
    <w:rsid w:val="00590736"/>
    <w:rsid w:val="00594006"/>
    <w:rsid w:val="005A660C"/>
    <w:rsid w:val="005B4E75"/>
    <w:rsid w:val="005C1BED"/>
    <w:rsid w:val="005C7D40"/>
    <w:rsid w:val="005D1976"/>
    <w:rsid w:val="005D1D72"/>
    <w:rsid w:val="005E33CB"/>
    <w:rsid w:val="00606AF3"/>
    <w:rsid w:val="00607476"/>
    <w:rsid w:val="00611958"/>
    <w:rsid w:val="006178BB"/>
    <w:rsid w:val="006310BB"/>
    <w:rsid w:val="00646298"/>
    <w:rsid w:val="00657B25"/>
    <w:rsid w:val="00660772"/>
    <w:rsid w:val="00661078"/>
    <w:rsid w:val="00662098"/>
    <w:rsid w:val="00670182"/>
    <w:rsid w:val="00672175"/>
    <w:rsid w:val="00680248"/>
    <w:rsid w:val="00680CAE"/>
    <w:rsid w:val="00682212"/>
    <w:rsid w:val="0068275A"/>
    <w:rsid w:val="0068334E"/>
    <w:rsid w:val="00697D40"/>
    <w:rsid w:val="006A05B6"/>
    <w:rsid w:val="006A1944"/>
    <w:rsid w:val="006B3840"/>
    <w:rsid w:val="006C3E4D"/>
    <w:rsid w:val="006C4A51"/>
    <w:rsid w:val="006C5696"/>
    <w:rsid w:val="006E3346"/>
    <w:rsid w:val="006F654D"/>
    <w:rsid w:val="0072079C"/>
    <w:rsid w:val="00723EC1"/>
    <w:rsid w:val="007366F7"/>
    <w:rsid w:val="00737008"/>
    <w:rsid w:val="00754449"/>
    <w:rsid w:val="007623DA"/>
    <w:rsid w:val="007774C7"/>
    <w:rsid w:val="0079005B"/>
    <w:rsid w:val="007A47F5"/>
    <w:rsid w:val="007B702B"/>
    <w:rsid w:val="007C4422"/>
    <w:rsid w:val="007C6A8A"/>
    <w:rsid w:val="007D01C9"/>
    <w:rsid w:val="007D03B8"/>
    <w:rsid w:val="007D04C7"/>
    <w:rsid w:val="007D79E4"/>
    <w:rsid w:val="007E22CE"/>
    <w:rsid w:val="007E2A19"/>
    <w:rsid w:val="007F7EA7"/>
    <w:rsid w:val="008027F8"/>
    <w:rsid w:val="008036D5"/>
    <w:rsid w:val="00805FAF"/>
    <w:rsid w:val="00810FAE"/>
    <w:rsid w:val="00813197"/>
    <w:rsid w:val="008132B4"/>
    <w:rsid w:val="00824A4C"/>
    <w:rsid w:val="00824D05"/>
    <w:rsid w:val="008342BD"/>
    <w:rsid w:val="00836120"/>
    <w:rsid w:val="00845173"/>
    <w:rsid w:val="008524C0"/>
    <w:rsid w:val="008617B0"/>
    <w:rsid w:val="008653E0"/>
    <w:rsid w:val="00871F53"/>
    <w:rsid w:val="0087331D"/>
    <w:rsid w:val="00875D6E"/>
    <w:rsid w:val="00880111"/>
    <w:rsid w:val="008844EF"/>
    <w:rsid w:val="008850B6"/>
    <w:rsid w:val="008902AA"/>
    <w:rsid w:val="00890412"/>
    <w:rsid w:val="00890A9D"/>
    <w:rsid w:val="00893123"/>
    <w:rsid w:val="00893619"/>
    <w:rsid w:val="008939E6"/>
    <w:rsid w:val="008A2D5F"/>
    <w:rsid w:val="008C12E0"/>
    <w:rsid w:val="008C6828"/>
    <w:rsid w:val="008C745A"/>
    <w:rsid w:val="008D21D1"/>
    <w:rsid w:val="008D4CCD"/>
    <w:rsid w:val="008D551E"/>
    <w:rsid w:val="008E60BC"/>
    <w:rsid w:val="008F01B8"/>
    <w:rsid w:val="008F1F7E"/>
    <w:rsid w:val="00910DAE"/>
    <w:rsid w:val="00911572"/>
    <w:rsid w:val="00912C7B"/>
    <w:rsid w:val="00916053"/>
    <w:rsid w:val="00921F72"/>
    <w:rsid w:val="00922E7F"/>
    <w:rsid w:val="009233B4"/>
    <w:rsid w:val="00923A14"/>
    <w:rsid w:val="009328E2"/>
    <w:rsid w:val="00936CFA"/>
    <w:rsid w:val="0094199D"/>
    <w:rsid w:val="009546C9"/>
    <w:rsid w:val="00961E2C"/>
    <w:rsid w:val="00980587"/>
    <w:rsid w:val="00980F99"/>
    <w:rsid w:val="0098365C"/>
    <w:rsid w:val="00985D20"/>
    <w:rsid w:val="009878C1"/>
    <w:rsid w:val="00987E54"/>
    <w:rsid w:val="009971EF"/>
    <w:rsid w:val="009A3184"/>
    <w:rsid w:val="009B2519"/>
    <w:rsid w:val="009C0B0C"/>
    <w:rsid w:val="009E0B0D"/>
    <w:rsid w:val="009F7E36"/>
    <w:rsid w:val="009F7F6B"/>
    <w:rsid w:val="00A06789"/>
    <w:rsid w:val="00A142DF"/>
    <w:rsid w:val="00A25B36"/>
    <w:rsid w:val="00A25B7A"/>
    <w:rsid w:val="00A2796D"/>
    <w:rsid w:val="00A279F5"/>
    <w:rsid w:val="00A33700"/>
    <w:rsid w:val="00A34009"/>
    <w:rsid w:val="00A41832"/>
    <w:rsid w:val="00A435F1"/>
    <w:rsid w:val="00A56D26"/>
    <w:rsid w:val="00A56F7B"/>
    <w:rsid w:val="00A60D6C"/>
    <w:rsid w:val="00A6215B"/>
    <w:rsid w:val="00A7528F"/>
    <w:rsid w:val="00A84D72"/>
    <w:rsid w:val="00A86E5F"/>
    <w:rsid w:val="00A86EA6"/>
    <w:rsid w:val="00A86FCD"/>
    <w:rsid w:val="00A871AB"/>
    <w:rsid w:val="00AA2467"/>
    <w:rsid w:val="00AB112A"/>
    <w:rsid w:val="00AB1D8E"/>
    <w:rsid w:val="00AC45EB"/>
    <w:rsid w:val="00AC5841"/>
    <w:rsid w:val="00AC6EA7"/>
    <w:rsid w:val="00AD7227"/>
    <w:rsid w:val="00AE063E"/>
    <w:rsid w:val="00AE3D01"/>
    <w:rsid w:val="00AF3146"/>
    <w:rsid w:val="00B00419"/>
    <w:rsid w:val="00B175DB"/>
    <w:rsid w:val="00B43013"/>
    <w:rsid w:val="00B45D4B"/>
    <w:rsid w:val="00B47936"/>
    <w:rsid w:val="00B509E3"/>
    <w:rsid w:val="00B62289"/>
    <w:rsid w:val="00B65F2D"/>
    <w:rsid w:val="00B67B4A"/>
    <w:rsid w:val="00B76D7B"/>
    <w:rsid w:val="00B80218"/>
    <w:rsid w:val="00B8295A"/>
    <w:rsid w:val="00B936DE"/>
    <w:rsid w:val="00B94BB0"/>
    <w:rsid w:val="00BA3E2A"/>
    <w:rsid w:val="00BA4646"/>
    <w:rsid w:val="00BC39AE"/>
    <w:rsid w:val="00BC5B9C"/>
    <w:rsid w:val="00BE69E5"/>
    <w:rsid w:val="00BF07C7"/>
    <w:rsid w:val="00BF3E39"/>
    <w:rsid w:val="00BF6A70"/>
    <w:rsid w:val="00C028E0"/>
    <w:rsid w:val="00C05A68"/>
    <w:rsid w:val="00C05D9F"/>
    <w:rsid w:val="00C11EDA"/>
    <w:rsid w:val="00C131FD"/>
    <w:rsid w:val="00C1444B"/>
    <w:rsid w:val="00C14FF5"/>
    <w:rsid w:val="00C17DDB"/>
    <w:rsid w:val="00C3150C"/>
    <w:rsid w:val="00C43F96"/>
    <w:rsid w:val="00C47EE7"/>
    <w:rsid w:val="00C87F23"/>
    <w:rsid w:val="00C9163D"/>
    <w:rsid w:val="00C91961"/>
    <w:rsid w:val="00CA4D3A"/>
    <w:rsid w:val="00CA4DA9"/>
    <w:rsid w:val="00CA5841"/>
    <w:rsid w:val="00CA7E0D"/>
    <w:rsid w:val="00CB0E6B"/>
    <w:rsid w:val="00CB5D33"/>
    <w:rsid w:val="00CC764D"/>
    <w:rsid w:val="00CD129E"/>
    <w:rsid w:val="00CD799F"/>
    <w:rsid w:val="00CE679D"/>
    <w:rsid w:val="00CE6EB8"/>
    <w:rsid w:val="00CF7674"/>
    <w:rsid w:val="00D06FB6"/>
    <w:rsid w:val="00D1136F"/>
    <w:rsid w:val="00D11AD1"/>
    <w:rsid w:val="00D1339E"/>
    <w:rsid w:val="00D162C7"/>
    <w:rsid w:val="00D22853"/>
    <w:rsid w:val="00D25D84"/>
    <w:rsid w:val="00D26E48"/>
    <w:rsid w:val="00D34F08"/>
    <w:rsid w:val="00D41503"/>
    <w:rsid w:val="00D45A01"/>
    <w:rsid w:val="00D475D0"/>
    <w:rsid w:val="00D55785"/>
    <w:rsid w:val="00D60F40"/>
    <w:rsid w:val="00D64BA8"/>
    <w:rsid w:val="00D64D43"/>
    <w:rsid w:val="00D713DC"/>
    <w:rsid w:val="00D72F00"/>
    <w:rsid w:val="00D74461"/>
    <w:rsid w:val="00D87080"/>
    <w:rsid w:val="00D95757"/>
    <w:rsid w:val="00DA2383"/>
    <w:rsid w:val="00DB1FB5"/>
    <w:rsid w:val="00DC594E"/>
    <w:rsid w:val="00DD3D71"/>
    <w:rsid w:val="00DD67A9"/>
    <w:rsid w:val="00DE7DF5"/>
    <w:rsid w:val="00DF0A45"/>
    <w:rsid w:val="00DF2987"/>
    <w:rsid w:val="00E0082C"/>
    <w:rsid w:val="00E01426"/>
    <w:rsid w:val="00E02A10"/>
    <w:rsid w:val="00E071A5"/>
    <w:rsid w:val="00E07F66"/>
    <w:rsid w:val="00E11F44"/>
    <w:rsid w:val="00E24001"/>
    <w:rsid w:val="00E33185"/>
    <w:rsid w:val="00E333F3"/>
    <w:rsid w:val="00E343B1"/>
    <w:rsid w:val="00E35E31"/>
    <w:rsid w:val="00E371EA"/>
    <w:rsid w:val="00E37B54"/>
    <w:rsid w:val="00E43AC8"/>
    <w:rsid w:val="00E5448C"/>
    <w:rsid w:val="00E56DBB"/>
    <w:rsid w:val="00E805CD"/>
    <w:rsid w:val="00E806B1"/>
    <w:rsid w:val="00E8303E"/>
    <w:rsid w:val="00E84C2C"/>
    <w:rsid w:val="00E90892"/>
    <w:rsid w:val="00EA23FA"/>
    <w:rsid w:val="00EA4379"/>
    <w:rsid w:val="00EB0841"/>
    <w:rsid w:val="00EB245D"/>
    <w:rsid w:val="00EC6188"/>
    <w:rsid w:val="00EE1810"/>
    <w:rsid w:val="00EE7097"/>
    <w:rsid w:val="00F2582A"/>
    <w:rsid w:val="00F2708D"/>
    <w:rsid w:val="00F31C10"/>
    <w:rsid w:val="00F41E83"/>
    <w:rsid w:val="00F47896"/>
    <w:rsid w:val="00F479A1"/>
    <w:rsid w:val="00F506D5"/>
    <w:rsid w:val="00F509D5"/>
    <w:rsid w:val="00F63E86"/>
    <w:rsid w:val="00F75D0D"/>
    <w:rsid w:val="00F80C35"/>
    <w:rsid w:val="00F95B15"/>
    <w:rsid w:val="00F97D8B"/>
    <w:rsid w:val="00FA3E0F"/>
    <w:rsid w:val="00FA7943"/>
    <w:rsid w:val="00FB1E29"/>
    <w:rsid w:val="00FB67EB"/>
    <w:rsid w:val="00FC2859"/>
    <w:rsid w:val="00FC4EF8"/>
    <w:rsid w:val="00FC5AD5"/>
    <w:rsid w:val="00FC74CF"/>
    <w:rsid w:val="00FC7FAE"/>
    <w:rsid w:val="00FD1D43"/>
    <w:rsid w:val="00FD532E"/>
    <w:rsid w:val="00FD6BBA"/>
    <w:rsid w:val="00FD7AF2"/>
    <w:rsid w:val="00FE177D"/>
    <w:rsid w:val="00FE1C03"/>
    <w:rsid w:val="00FE38E2"/>
    <w:rsid w:val="00FF256C"/>
    <w:rsid w:val="00FF6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48127A67"/>
  <w15:docId w15:val="{27A0FE94-4202-45C9-BFBB-19717749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AE"/>
    <w:pPr>
      <w:spacing w:after="0" w:line="240" w:lineRule="auto"/>
    </w:pPr>
    <w:rPr>
      <w:rFonts w:ascii="Verdana" w:hAnsi="Verdana"/>
      <w:sz w:val="24"/>
    </w:rPr>
  </w:style>
  <w:style w:type="paragraph" w:styleId="Heading1">
    <w:name w:val="heading 1"/>
    <w:basedOn w:val="Normal"/>
    <w:next w:val="Normal"/>
    <w:link w:val="Heading1Char"/>
    <w:uiPriority w:val="9"/>
    <w:qFormat/>
    <w:rsid w:val="00051E74"/>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F654D"/>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674"/>
    <w:rPr>
      <w:rFonts w:ascii="Tahoma" w:hAnsi="Tahoma" w:cs="Tahoma"/>
      <w:sz w:val="16"/>
      <w:szCs w:val="16"/>
    </w:rPr>
  </w:style>
  <w:style w:type="character" w:customStyle="1" w:styleId="BalloonTextChar">
    <w:name w:val="Balloon Text Char"/>
    <w:basedOn w:val="DefaultParagraphFont"/>
    <w:link w:val="BalloonText"/>
    <w:uiPriority w:val="99"/>
    <w:semiHidden/>
    <w:rsid w:val="00CF7674"/>
    <w:rPr>
      <w:rFonts w:ascii="Tahoma" w:hAnsi="Tahoma" w:cs="Tahoma"/>
      <w:sz w:val="16"/>
      <w:szCs w:val="16"/>
    </w:rPr>
  </w:style>
  <w:style w:type="character" w:styleId="Hyperlink">
    <w:name w:val="Hyperlink"/>
    <w:basedOn w:val="DefaultParagraphFont"/>
    <w:uiPriority w:val="99"/>
    <w:unhideWhenUsed/>
    <w:rsid w:val="00544C9E"/>
    <w:rPr>
      <w:color w:val="0000FF" w:themeColor="hyperlink"/>
      <w:u w:val="single"/>
    </w:rPr>
  </w:style>
  <w:style w:type="paragraph" w:styleId="ListParagraph">
    <w:name w:val="List Paragraph"/>
    <w:basedOn w:val="Normal"/>
    <w:uiPriority w:val="34"/>
    <w:qFormat/>
    <w:rsid w:val="0087331D"/>
    <w:pPr>
      <w:ind w:left="720"/>
      <w:contextualSpacing/>
    </w:pPr>
  </w:style>
  <w:style w:type="character" w:customStyle="1" w:styleId="Heading1Char">
    <w:name w:val="Heading 1 Char"/>
    <w:basedOn w:val="DefaultParagraphFont"/>
    <w:link w:val="Heading1"/>
    <w:uiPriority w:val="9"/>
    <w:rsid w:val="00051E74"/>
    <w:rPr>
      <w:rFonts w:ascii="Verdana" w:eastAsiaTheme="majorEastAsia" w:hAnsi="Verdana" w:cstheme="majorBidi"/>
      <w:b/>
      <w:bCs/>
      <w:sz w:val="24"/>
      <w:szCs w:val="28"/>
    </w:rPr>
  </w:style>
  <w:style w:type="paragraph" w:styleId="Header">
    <w:name w:val="header"/>
    <w:basedOn w:val="Normal"/>
    <w:link w:val="HeaderChar"/>
    <w:uiPriority w:val="99"/>
    <w:unhideWhenUsed/>
    <w:rsid w:val="00497F39"/>
    <w:pPr>
      <w:tabs>
        <w:tab w:val="center" w:pos="4513"/>
        <w:tab w:val="right" w:pos="9026"/>
      </w:tabs>
    </w:pPr>
  </w:style>
  <w:style w:type="character" w:customStyle="1" w:styleId="HeaderChar">
    <w:name w:val="Header Char"/>
    <w:basedOn w:val="DefaultParagraphFont"/>
    <w:link w:val="Header"/>
    <w:uiPriority w:val="99"/>
    <w:rsid w:val="00497F39"/>
  </w:style>
  <w:style w:type="paragraph" w:styleId="Footer">
    <w:name w:val="footer"/>
    <w:basedOn w:val="Normal"/>
    <w:link w:val="FooterChar"/>
    <w:uiPriority w:val="99"/>
    <w:unhideWhenUsed/>
    <w:rsid w:val="00497F39"/>
    <w:pPr>
      <w:tabs>
        <w:tab w:val="center" w:pos="4513"/>
        <w:tab w:val="right" w:pos="9026"/>
      </w:tabs>
    </w:pPr>
  </w:style>
  <w:style w:type="character" w:customStyle="1" w:styleId="FooterChar">
    <w:name w:val="Footer Char"/>
    <w:basedOn w:val="DefaultParagraphFont"/>
    <w:link w:val="Footer"/>
    <w:uiPriority w:val="99"/>
    <w:rsid w:val="00497F39"/>
  </w:style>
  <w:style w:type="paragraph" w:styleId="ListBullet">
    <w:name w:val="List Bullet"/>
    <w:basedOn w:val="Normal"/>
    <w:autoRedefine/>
    <w:rsid w:val="006F654D"/>
    <w:pPr>
      <w:ind w:left="53"/>
    </w:pPr>
    <w:rPr>
      <w:rFonts w:eastAsia="Times New Roman" w:cs="Times New Roman"/>
    </w:rPr>
  </w:style>
  <w:style w:type="character" w:styleId="PageNumber">
    <w:name w:val="page number"/>
    <w:basedOn w:val="DefaultParagraphFont"/>
    <w:rsid w:val="008524C0"/>
  </w:style>
  <w:style w:type="character" w:styleId="CommentReference">
    <w:name w:val="annotation reference"/>
    <w:basedOn w:val="DefaultParagraphFont"/>
    <w:uiPriority w:val="99"/>
    <w:semiHidden/>
    <w:unhideWhenUsed/>
    <w:rsid w:val="00F47896"/>
    <w:rPr>
      <w:sz w:val="16"/>
      <w:szCs w:val="16"/>
    </w:rPr>
  </w:style>
  <w:style w:type="paragraph" w:styleId="CommentText">
    <w:name w:val="annotation text"/>
    <w:basedOn w:val="Normal"/>
    <w:link w:val="CommentTextChar"/>
    <w:uiPriority w:val="99"/>
    <w:unhideWhenUsed/>
    <w:rsid w:val="00F47896"/>
    <w:rPr>
      <w:sz w:val="20"/>
      <w:szCs w:val="20"/>
    </w:rPr>
  </w:style>
  <w:style w:type="character" w:customStyle="1" w:styleId="CommentTextChar">
    <w:name w:val="Comment Text Char"/>
    <w:basedOn w:val="DefaultParagraphFont"/>
    <w:link w:val="CommentText"/>
    <w:uiPriority w:val="99"/>
    <w:rsid w:val="00F47896"/>
    <w:rPr>
      <w:sz w:val="20"/>
      <w:szCs w:val="20"/>
    </w:rPr>
  </w:style>
  <w:style w:type="paragraph" w:styleId="CommentSubject">
    <w:name w:val="annotation subject"/>
    <w:basedOn w:val="CommentText"/>
    <w:next w:val="CommentText"/>
    <w:link w:val="CommentSubjectChar"/>
    <w:uiPriority w:val="99"/>
    <w:semiHidden/>
    <w:unhideWhenUsed/>
    <w:rsid w:val="00F47896"/>
    <w:rPr>
      <w:b/>
      <w:bCs/>
    </w:rPr>
  </w:style>
  <w:style w:type="character" w:customStyle="1" w:styleId="CommentSubjectChar">
    <w:name w:val="Comment Subject Char"/>
    <w:basedOn w:val="CommentTextChar"/>
    <w:link w:val="CommentSubject"/>
    <w:uiPriority w:val="99"/>
    <w:semiHidden/>
    <w:rsid w:val="00F47896"/>
    <w:rPr>
      <w:b/>
      <w:bCs/>
      <w:sz w:val="20"/>
      <w:szCs w:val="20"/>
    </w:rPr>
  </w:style>
  <w:style w:type="character" w:styleId="FollowedHyperlink">
    <w:name w:val="FollowedHyperlink"/>
    <w:basedOn w:val="DefaultParagraphFont"/>
    <w:uiPriority w:val="99"/>
    <w:semiHidden/>
    <w:unhideWhenUsed/>
    <w:rsid w:val="00F47896"/>
    <w:rPr>
      <w:color w:val="800080" w:themeColor="followedHyperlink"/>
      <w:u w:val="single"/>
    </w:rPr>
  </w:style>
  <w:style w:type="character" w:customStyle="1" w:styleId="Heading2Char">
    <w:name w:val="Heading 2 Char"/>
    <w:basedOn w:val="DefaultParagraphFont"/>
    <w:link w:val="Heading2"/>
    <w:uiPriority w:val="9"/>
    <w:rsid w:val="006F654D"/>
    <w:rPr>
      <w:rFonts w:ascii="Verdana" w:eastAsiaTheme="majorEastAsia" w:hAnsi="Verdana" w:cstheme="majorBidi"/>
      <w:b/>
      <w:bCs/>
      <w:sz w:val="24"/>
      <w:szCs w:val="26"/>
    </w:rPr>
  </w:style>
  <w:style w:type="character" w:styleId="PlaceholderText">
    <w:name w:val="Placeholder Text"/>
    <w:basedOn w:val="DefaultParagraphFont"/>
    <w:uiPriority w:val="99"/>
    <w:semiHidden/>
    <w:rsid w:val="00D87080"/>
    <w:rPr>
      <w:color w:val="808080"/>
    </w:rPr>
  </w:style>
  <w:style w:type="paragraph" w:styleId="Date">
    <w:name w:val="Date"/>
    <w:basedOn w:val="Normal"/>
    <w:next w:val="Normal"/>
    <w:link w:val="DateChar"/>
    <w:uiPriority w:val="99"/>
    <w:unhideWhenUsed/>
    <w:rsid w:val="00EE7097"/>
  </w:style>
  <w:style w:type="character" w:customStyle="1" w:styleId="DateChar">
    <w:name w:val="Date Char"/>
    <w:basedOn w:val="DefaultParagraphFont"/>
    <w:link w:val="Date"/>
    <w:uiPriority w:val="99"/>
    <w:rsid w:val="00EE7097"/>
    <w:rPr>
      <w:rFonts w:ascii="Verdana" w:hAnsi="Verdana"/>
      <w:sz w:val="24"/>
    </w:rPr>
  </w:style>
  <w:style w:type="character" w:customStyle="1" w:styleId="Dropdown">
    <w:name w:val="Dropdown"/>
    <w:basedOn w:val="DefaultParagraphFont"/>
    <w:uiPriority w:val="1"/>
    <w:rsid w:val="007D79E4"/>
    <w:rPr>
      <w:rFonts w:ascii="Verdana" w:hAnsi="Verdana"/>
      <w:color w:val="auto"/>
      <w:sz w:val="24"/>
    </w:rPr>
  </w:style>
  <w:style w:type="paragraph" w:customStyle="1" w:styleId="Default">
    <w:name w:val="Default"/>
    <w:rsid w:val="005B4E75"/>
    <w:pPr>
      <w:autoSpaceDE w:val="0"/>
      <w:autoSpaceDN w:val="0"/>
      <w:adjustRightInd w:val="0"/>
      <w:spacing w:after="0" w:line="240" w:lineRule="auto"/>
    </w:pPr>
    <w:rPr>
      <w:rFonts w:ascii="Verdana" w:hAnsi="Verdana" w:cs="Verdana"/>
      <w:color w:val="000000"/>
      <w:sz w:val="24"/>
      <w:szCs w:val="24"/>
    </w:rPr>
  </w:style>
  <w:style w:type="paragraph" w:customStyle="1" w:styleId="Pa8">
    <w:name w:val="Pa8"/>
    <w:basedOn w:val="Normal"/>
    <w:next w:val="Normal"/>
    <w:uiPriority w:val="99"/>
    <w:rsid w:val="00E5448C"/>
    <w:pPr>
      <w:autoSpaceDE w:val="0"/>
      <w:autoSpaceDN w:val="0"/>
      <w:adjustRightInd w:val="0"/>
      <w:spacing w:line="241" w:lineRule="atLeast"/>
    </w:pPr>
    <w:rPr>
      <w:rFonts w:ascii="Helvetica 45 Light" w:hAnsi="Helvetica 45 Light"/>
      <w:szCs w:val="24"/>
    </w:rPr>
  </w:style>
  <w:style w:type="table" w:customStyle="1" w:styleId="TableGrid1">
    <w:name w:val="Table Grid1"/>
    <w:basedOn w:val="TableNormal"/>
    <w:next w:val="TableGrid"/>
    <w:uiPriority w:val="59"/>
    <w:rsid w:val="00E5448C"/>
    <w:pPr>
      <w:spacing w:after="0" w:line="240" w:lineRule="auto"/>
    </w:pPr>
    <w:rPr>
      <w:rFonts w:ascii="Verdana" w:hAnsi="Verdan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5448C"/>
    <w:pPr>
      <w:spacing w:after="0" w:line="240" w:lineRule="auto"/>
    </w:pPr>
    <w:rPr>
      <w:rFonts w:ascii="Verdana" w:hAnsi="Verdan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5448C"/>
    <w:pPr>
      <w:spacing w:after="0" w:line="240" w:lineRule="auto"/>
    </w:pPr>
    <w:rPr>
      <w:rFonts w:ascii="Verdana" w:hAnsi="Verdan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5448C"/>
    <w:pPr>
      <w:spacing w:after="0" w:line="240" w:lineRule="auto"/>
    </w:pPr>
    <w:rPr>
      <w:rFonts w:ascii="Verdana" w:hAnsi="Verdan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B31C9"/>
    <w:pPr>
      <w:widowControl w:val="0"/>
      <w:autoSpaceDE w:val="0"/>
      <w:autoSpaceDN w:val="0"/>
      <w:ind w:left="107"/>
    </w:pPr>
    <w:rPr>
      <w:rFonts w:eastAsia="Verdana" w:cs="Verdana"/>
      <w:sz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8053">
      <w:bodyDiv w:val="1"/>
      <w:marLeft w:val="0"/>
      <w:marRight w:val="0"/>
      <w:marTop w:val="0"/>
      <w:marBottom w:val="0"/>
      <w:divBdr>
        <w:top w:val="none" w:sz="0" w:space="0" w:color="auto"/>
        <w:left w:val="none" w:sz="0" w:space="0" w:color="auto"/>
        <w:bottom w:val="none" w:sz="0" w:space="0" w:color="auto"/>
        <w:right w:val="none" w:sz="0" w:space="0" w:color="auto"/>
      </w:divBdr>
    </w:div>
    <w:div w:id="333266261">
      <w:bodyDiv w:val="1"/>
      <w:marLeft w:val="0"/>
      <w:marRight w:val="0"/>
      <w:marTop w:val="0"/>
      <w:marBottom w:val="0"/>
      <w:divBdr>
        <w:top w:val="none" w:sz="0" w:space="0" w:color="auto"/>
        <w:left w:val="none" w:sz="0" w:space="0" w:color="auto"/>
        <w:bottom w:val="none" w:sz="0" w:space="0" w:color="auto"/>
        <w:right w:val="none" w:sz="0" w:space="0" w:color="auto"/>
      </w:divBdr>
    </w:div>
    <w:div w:id="388260532">
      <w:bodyDiv w:val="1"/>
      <w:marLeft w:val="0"/>
      <w:marRight w:val="0"/>
      <w:marTop w:val="0"/>
      <w:marBottom w:val="0"/>
      <w:divBdr>
        <w:top w:val="none" w:sz="0" w:space="0" w:color="auto"/>
        <w:left w:val="none" w:sz="0" w:space="0" w:color="auto"/>
        <w:bottom w:val="none" w:sz="0" w:space="0" w:color="auto"/>
        <w:right w:val="none" w:sz="0" w:space="0" w:color="auto"/>
      </w:divBdr>
    </w:div>
    <w:div w:id="392778000">
      <w:bodyDiv w:val="1"/>
      <w:marLeft w:val="0"/>
      <w:marRight w:val="0"/>
      <w:marTop w:val="0"/>
      <w:marBottom w:val="0"/>
      <w:divBdr>
        <w:top w:val="none" w:sz="0" w:space="0" w:color="auto"/>
        <w:left w:val="none" w:sz="0" w:space="0" w:color="auto"/>
        <w:bottom w:val="none" w:sz="0" w:space="0" w:color="auto"/>
        <w:right w:val="none" w:sz="0" w:space="0" w:color="auto"/>
      </w:divBdr>
    </w:div>
    <w:div w:id="414203912">
      <w:bodyDiv w:val="1"/>
      <w:marLeft w:val="0"/>
      <w:marRight w:val="0"/>
      <w:marTop w:val="0"/>
      <w:marBottom w:val="0"/>
      <w:divBdr>
        <w:top w:val="none" w:sz="0" w:space="0" w:color="auto"/>
        <w:left w:val="none" w:sz="0" w:space="0" w:color="auto"/>
        <w:bottom w:val="none" w:sz="0" w:space="0" w:color="auto"/>
        <w:right w:val="none" w:sz="0" w:space="0" w:color="auto"/>
      </w:divBdr>
    </w:div>
    <w:div w:id="422187433">
      <w:bodyDiv w:val="1"/>
      <w:marLeft w:val="0"/>
      <w:marRight w:val="0"/>
      <w:marTop w:val="0"/>
      <w:marBottom w:val="0"/>
      <w:divBdr>
        <w:top w:val="none" w:sz="0" w:space="0" w:color="auto"/>
        <w:left w:val="none" w:sz="0" w:space="0" w:color="auto"/>
        <w:bottom w:val="none" w:sz="0" w:space="0" w:color="auto"/>
        <w:right w:val="none" w:sz="0" w:space="0" w:color="auto"/>
      </w:divBdr>
    </w:div>
    <w:div w:id="484787019">
      <w:bodyDiv w:val="1"/>
      <w:marLeft w:val="0"/>
      <w:marRight w:val="0"/>
      <w:marTop w:val="0"/>
      <w:marBottom w:val="0"/>
      <w:divBdr>
        <w:top w:val="none" w:sz="0" w:space="0" w:color="auto"/>
        <w:left w:val="none" w:sz="0" w:space="0" w:color="auto"/>
        <w:bottom w:val="none" w:sz="0" w:space="0" w:color="auto"/>
        <w:right w:val="none" w:sz="0" w:space="0" w:color="auto"/>
      </w:divBdr>
    </w:div>
    <w:div w:id="564950011">
      <w:bodyDiv w:val="1"/>
      <w:marLeft w:val="0"/>
      <w:marRight w:val="0"/>
      <w:marTop w:val="0"/>
      <w:marBottom w:val="0"/>
      <w:divBdr>
        <w:top w:val="none" w:sz="0" w:space="0" w:color="auto"/>
        <w:left w:val="none" w:sz="0" w:space="0" w:color="auto"/>
        <w:bottom w:val="none" w:sz="0" w:space="0" w:color="auto"/>
        <w:right w:val="none" w:sz="0" w:space="0" w:color="auto"/>
      </w:divBdr>
    </w:div>
    <w:div w:id="691227232">
      <w:bodyDiv w:val="1"/>
      <w:marLeft w:val="0"/>
      <w:marRight w:val="0"/>
      <w:marTop w:val="0"/>
      <w:marBottom w:val="0"/>
      <w:divBdr>
        <w:top w:val="none" w:sz="0" w:space="0" w:color="auto"/>
        <w:left w:val="none" w:sz="0" w:space="0" w:color="auto"/>
        <w:bottom w:val="none" w:sz="0" w:space="0" w:color="auto"/>
        <w:right w:val="none" w:sz="0" w:space="0" w:color="auto"/>
      </w:divBdr>
    </w:div>
    <w:div w:id="784957192">
      <w:bodyDiv w:val="1"/>
      <w:marLeft w:val="0"/>
      <w:marRight w:val="0"/>
      <w:marTop w:val="0"/>
      <w:marBottom w:val="0"/>
      <w:divBdr>
        <w:top w:val="none" w:sz="0" w:space="0" w:color="auto"/>
        <w:left w:val="none" w:sz="0" w:space="0" w:color="auto"/>
        <w:bottom w:val="none" w:sz="0" w:space="0" w:color="auto"/>
        <w:right w:val="none" w:sz="0" w:space="0" w:color="auto"/>
      </w:divBdr>
    </w:div>
    <w:div w:id="843015564">
      <w:bodyDiv w:val="1"/>
      <w:marLeft w:val="0"/>
      <w:marRight w:val="0"/>
      <w:marTop w:val="0"/>
      <w:marBottom w:val="0"/>
      <w:divBdr>
        <w:top w:val="none" w:sz="0" w:space="0" w:color="auto"/>
        <w:left w:val="none" w:sz="0" w:space="0" w:color="auto"/>
        <w:bottom w:val="none" w:sz="0" w:space="0" w:color="auto"/>
        <w:right w:val="none" w:sz="0" w:space="0" w:color="auto"/>
      </w:divBdr>
    </w:div>
    <w:div w:id="877013330">
      <w:bodyDiv w:val="1"/>
      <w:marLeft w:val="0"/>
      <w:marRight w:val="0"/>
      <w:marTop w:val="0"/>
      <w:marBottom w:val="0"/>
      <w:divBdr>
        <w:top w:val="none" w:sz="0" w:space="0" w:color="auto"/>
        <w:left w:val="none" w:sz="0" w:space="0" w:color="auto"/>
        <w:bottom w:val="none" w:sz="0" w:space="0" w:color="auto"/>
        <w:right w:val="none" w:sz="0" w:space="0" w:color="auto"/>
      </w:divBdr>
    </w:div>
    <w:div w:id="914822359">
      <w:bodyDiv w:val="1"/>
      <w:marLeft w:val="0"/>
      <w:marRight w:val="0"/>
      <w:marTop w:val="0"/>
      <w:marBottom w:val="0"/>
      <w:divBdr>
        <w:top w:val="none" w:sz="0" w:space="0" w:color="auto"/>
        <w:left w:val="none" w:sz="0" w:space="0" w:color="auto"/>
        <w:bottom w:val="none" w:sz="0" w:space="0" w:color="auto"/>
        <w:right w:val="none" w:sz="0" w:space="0" w:color="auto"/>
      </w:divBdr>
    </w:div>
    <w:div w:id="946817198">
      <w:bodyDiv w:val="1"/>
      <w:marLeft w:val="0"/>
      <w:marRight w:val="0"/>
      <w:marTop w:val="0"/>
      <w:marBottom w:val="0"/>
      <w:divBdr>
        <w:top w:val="none" w:sz="0" w:space="0" w:color="auto"/>
        <w:left w:val="none" w:sz="0" w:space="0" w:color="auto"/>
        <w:bottom w:val="none" w:sz="0" w:space="0" w:color="auto"/>
        <w:right w:val="none" w:sz="0" w:space="0" w:color="auto"/>
      </w:divBdr>
    </w:div>
    <w:div w:id="1041782752">
      <w:bodyDiv w:val="1"/>
      <w:marLeft w:val="0"/>
      <w:marRight w:val="0"/>
      <w:marTop w:val="0"/>
      <w:marBottom w:val="0"/>
      <w:divBdr>
        <w:top w:val="none" w:sz="0" w:space="0" w:color="auto"/>
        <w:left w:val="none" w:sz="0" w:space="0" w:color="auto"/>
        <w:bottom w:val="none" w:sz="0" w:space="0" w:color="auto"/>
        <w:right w:val="none" w:sz="0" w:space="0" w:color="auto"/>
      </w:divBdr>
    </w:div>
    <w:div w:id="1193376566">
      <w:bodyDiv w:val="1"/>
      <w:marLeft w:val="0"/>
      <w:marRight w:val="0"/>
      <w:marTop w:val="0"/>
      <w:marBottom w:val="0"/>
      <w:divBdr>
        <w:top w:val="none" w:sz="0" w:space="0" w:color="auto"/>
        <w:left w:val="none" w:sz="0" w:space="0" w:color="auto"/>
        <w:bottom w:val="none" w:sz="0" w:space="0" w:color="auto"/>
        <w:right w:val="none" w:sz="0" w:space="0" w:color="auto"/>
      </w:divBdr>
    </w:div>
    <w:div w:id="1210998181">
      <w:bodyDiv w:val="1"/>
      <w:marLeft w:val="0"/>
      <w:marRight w:val="0"/>
      <w:marTop w:val="0"/>
      <w:marBottom w:val="0"/>
      <w:divBdr>
        <w:top w:val="none" w:sz="0" w:space="0" w:color="auto"/>
        <w:left w:val="none" w:sz="0" w:space="0" w:color="auto"/>
        <w:bottom w:val="none" w:sz="0" w:space="0" w:color="auto"/>
        <w:right w:val="none" w:sz="0" w:space="0" w:color="auto"/>
      </w:divBdr>
    </w:div>
    <w:div w:id="1257250024">
      <w:bodyDiv w:val="1"/>
      <w:marLeft w:val="0"/>
      <w:marRight w:val="0"/>
      <w:marTop w:val="0"/>
      <w:marBottom w:val="0"/>
      <w:divBdr>
        <w:top w:val="none" w:sz="0" w:space="0" w:color="auto"/>
        <w:left w:val="none" w:sz="0" w:space="0" w:color="auto"/>
        <w:bottom w:val="none" w:sz="0" w:space="0" w:color="auto"/>
        <w:right w:val="none" w:sz="0" w:space="0" w:color="auto"/>
      </w:divBdr>
    </w:div>
    <w:div w:id="1261721206">
      <w:bodyDiv w:val="1"/>
      <w:marLeft w:val="0"/>
      <w:marRight w:val="0"/>
      <w:marTop w:val="0"/>
      <w:marBottom w:val="0"/>
      <w:divBdr>
        <w:top w:val="none" w:sz="0" w:space="0" w:color="auto"/>
        <w:left w:val="none" w:sz="0" w:space="0" w:color="auto"/>
        <w:bottom w:val="none" w:sz="0" w:space="0" w:color="auto"/>
        <w:right w:val="none" w:sz="0" w:space="0" w:color="auto"/>
      </w:divBdr>
    </w:div>
    <w:div w:id="1362391649">
      <w:bodyDiv w:val="1"/>
      <w:marLeft w:val="0"/>
      <w:marRight w:val="0"/>
      <w:marTop w:val="0"/>
      <w:marBottom w:val="0"/>
      <w:divBdr>
        <w:top w:val="none" w:sz="0" w:space="0" w:color="auto"/>
        <w:left w:val="none" w:sz="0" w:space="0" w:color="auto"/>
        <w:bottom w:val="none" w:sz="0" w:space="0" w:color="auto"/>
        <w:right w:val="none" w:sz="0" w:space="0" w:color="auto"/>
      </w:divBdr>
    </w:div>
    <w:div w:id="1461917595">
      <w:bodyDiv w:val="1"/>
      <w:marLeft w:val="0"/>
      <w:marRight w:val="0"/>
      <w:marTop w:val="0"/>
      <w:marBottom w:val="0"/>
      <w:divBdr>
        <w:top w:val="none" w:sz="0" w:space="0" w:color="auto"/>
        <w:left w:val="none" w:sz="0" w:space="0" w:color="auto"/>
        <w:bottom w:val="none" w:sz="0" w:space="0" w:color="auto"/>
        <w:right w:val="none" w:sz="0" w:space="0" w:color="auto"/>
      </w:divBdr>
    </w:div>
    <w:div w:id="1513182142">
      <w:bodyDiv w:val="1"/>
      <w:marLeft w:val="0"/>
      <w:marRight w:val="0"/>
      <w:marTop w:val="0"/>
      <w:marBottom w:val="0"/>
      <w:divBdr>
        <w:top w:val="none" w:sz="0" w:space="0" w:color="auto"/>
        <w:left w:val="none" w:sz="0" w:space="0" w:color="auto"/>
        <w:bottom w:val="none" w:sz="0" w:space="0" w:color="auto"/>
        <w:right w:val="none" w:sz="0" w:space="0" w:color="auto"/>
      </w:divBdr>
    </w:div>
    <w:div w:id="1524710280">
      <w:bodyDiv w:val="1"/>
      <w:marLeft w:val="0"/>
      <w:marRight w:val="0"/>
      <w:marTop w:val="0"/>
      <w:marBottom w:val="0"/>
      <w:divBdr>
        <w:top w:val="none" w:sz="0" w:space="0" w:color="auto"/>
        <w:left w:val="none" w:sz="0" w:space="0" w:color="auto"/>
        <w:bottom w:val="none" w:sz="0" w:space="0" w:color="auto"/>
        <w:right w:val="none" w:sz="0" w:space="0" w:color="auto"/>
      </w:divBdr>
    </w:div>
    <w:div w:id="1679387134">
      <w:bodyDiv w:val="1"/>
      <w:marLeft w:val="0"/>
      <w:marRight w:val="0"/>
      <w:marTop w:val="0"/>
      <w:marBottom w:val="0"/>
      <w:divBdr>
        <w:top w:val="none" w:sz="0" w:space="0" w:color="auto"/>
        <w:left w:val="none" w:sz="0" w:space="0" w:color="auto"/>
        <w:bottom w:val="none" w:sz="0" w:space="0" w:color="auto"/>
        <w:right w:val="none" w:sz="0" w:space="0" w:color="auto"/>
      </w:divBdr>
    </w:div>
    <w:div w:id="1839418182">
      <w:bodyDiv w:val="1"/>
      <w:marLeft w:val="0"/>
      <w:marRight w:val="0"/>
      <w:marTop w:val="0"/>
      <w:marBottom w:val="0"/>
      <w:divBdr>
        <w:top w:val="none" w:sz="0" w:space="0" w:color="auto"/>
        <w:left w:val="none" w:sz="0" w:space="0" w:color="auto"/>
        <w:bottom w:val="none" w:sz="0" w:space="0" w:color="auto"/>
        <w:right w:val="none" w:sz="0" w:space="0" w:color="auto"/>
      </w:divBdr>
    </w:div>
    <w:div w:id="1875266796">
      <w:bodyDiv w:val="1"/>
      <w:marLeft w:val="0"/>
      <w:marRight w:val="0"/>
      <w:marTop w:val="0"/>
      <w:marBottom w:val="0"/>
      <w:divBdr>
        <w:top w:val="none" w:sz="0" w:space="0" w:color="auto"/>
        <w:left w:val="none" w:sz="0" w:space="0" w:color="auto"/>
        <w:bottom w:val="none" w:sz="0" w:space="0" w:color="auto"/>
        <w:right w:val="none" w:sz="0" w:space="0" w:color="auto"/>
      </w:divBdr>
    </w:div>
    <w:div w:id="1883832758">
      <w:bodyDiv w:val="1"/>
      <w:marLeft w:val="0"/>
      <w:marRight w:val="0"/>
      <w:marTop w:val="0"/>
      <w:marBottom w:val="0"/>
      <w:divBdr>
        <w:top w:val="none" w:sz="0" w:space="0" w:color="auto"/>
        <w:left w:val="none" w:sz="0" w:space="0" w:color="auto"/>
        <w:bottom w:val="none" w:sz="0" w:space="0" w:color="auto"/>
        <w:right w:val="none" w:sz="0" w:space="0" w:color="auto"/>
      </w:divBdr>
    </w:div>
    <w:div w:id="2051567957">
      <w:bodyDiv w:val="1"/>
      <w:marLeft w:val="0"/>
      <w:marRight w:val="0"/>
      <w:marTop w:val="0"/>
      <w:marBottom w:val="0"/>
      <w:divBdr>
        <w:top w:val="none" w:sz="0" w:space="0" w:color="auto"/>
        <w:left w:val="none" w:sz="0" w:space="0" w:color="auto"/>
        <w:bottom w:val="none" w:sz="0" w:space="0" w:color="auto"/>
        <w:right w:val="none" w:sz="0" w:space="0" w:color="auto"/>
      </w:divBdr>
    </w:div>
    <w:div w:id="2056390017">
      <w:bodyDiv w:val="1"/>
      <w:marLeft w:val="0"/>
      <w:marRight w:val="0"/>
      <w:marTop w:val="0"/>
      <w:marBottom w:val="0"/>
      <w:divBdr>
        <w:top w:val="none" w:sz="0" w:space="0" w:color="auto"/>
        <w:left w:val="none" w:sz="0" w:space="0" w:color="auto"/>
        <w:bottom w:val="none" w:sz="0" w:space="0" w:color="auto"/>
        <w:right w:val="none" w:sz="0" w:space="0" w:color="auto"/>
      </w:divBdr>
    </w:div>
    <w:div w:id="2074766460">
      <w:bodyDiv w:val="1"/>
      <w:marLeft w:val="0"/>
      <w:marRight w:val="0"/>
      <w:marTop w:val="0"/>
      <w:marBottom w:val="0"/>
      <w:divBdr>
        <w:top w:val="none" w:sz="0" w:space="0" w:color="auto"/>
        <w:left w:val="none" w:sz="0" w:space="0" w:color="auto"/>
        <w:bottom w:val="none" w:sz="0" w:space="0" w:color="auto"/>
        <w:right w:val="none" w:sz="0" w:space="0" w:color="auto"/>
      </w:divBdr>
    </w:div>
    <w:div w:id="209821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ww.wales.nhs.uk/governance-emanual/how-the-health-and-care-standards-are-st"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howis.wales.nhs.uk/sitesplus/888/page/64548" TargetMode="Externa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1CEBAFED744FBDBE7668212525C5EB"/>
        <w:category>
          <w:name w:val="General"/>
          <w:gallery w:val="placeholder"/>
        </w:category>
        <w:types>
          <w:type w:val="bbPlcHdr"/>
        </w:types>
        <w:behaviors>
          <w:behavior w:val="content"/>
        </w:behaviors>
        <w:guid w:val="{2941FFAD-DA6B-4E5F-9405-F00BD91B0A46}"/>
      </w:docPartPr>
      <w:docPartBody>
        <w:p w:rsidR="00942F3C" w:rsidRDefault="0098440F" w:rsidP="0098440F">
          <w:pPr>
            <w:pStyle w:val="B71CEBAFED744FBDBE7668212525C5EB1"/>
          </w:pPr>
          <w:r w:rsidRPr="007D79E4">
            <w:rPr>
              <w:rStyle w:val="PlaceholderText"/>
              <w:szCs w:val="24"/>
            </w:rPr>
            <w:t>Choose an item.</w:t>
          </w:r>
        </w:p>
      </w:docPartBody>
    </w:docPart>
    <w:docPart>
      <w:docPartPr>
        <w:name w:val="0E25CCC5DD4F43AAA642CDCC18DDB6A6"/>
        <w:category>
          <w:name w:val="General"/>
          <w:gallery w:val="placeholder"/>
        </w:category>
        <w:types>
          <w:type w:val="bbPlcHdr"/>
        </w:types>
        <w:behaviors>
          <w:behavior w:val="content"/>
        </w:behaviors>
        <w:guid w:val="{42DF29C5-85B6-4F9E-8653-A0627D765C50}"/>
      </w:docPartPr>
      <w:docPartBody>
        <w:p w:rsidR="00942F3C" w:rsidRDefault="0098440F" w:rsidP="0098440F">
          <w:pPr>
            <w:pStyle w:val="0E25CCC5DD4F43AAA642CDCC18DDB6A61"/>
          </w:pPr>
          <w:r w:rsidRPr="0013075E">
            <w:rPr>
              <w:rStyle w:val="PlaceholderText"/>
              <w:szCs w:val="24"/>
            </w:rPr>
            <w:t>Choose an item.</w:t>
          </w:r>
        </w:p>
      </w:docPartBody>
    </w:docPart>
    <w:docPart>
      <w:docPartPr>
        <w:name w:val="B5E75E7293A34274978C09F7D4B5735C"/>
        <w:category>
          <w:name w:val="General"/>
          <w:gallery w:val="placeholder"/>
        </w:category>
        <w:types>
          <w:type w:val="bbPlcHdr"/>
        </w:types>
        <w:behaviors>
          <w:behavior w:val="content"/>
        </w:behaviors>
        <w:guid w:val="{2018C20D-3C19-42B5-A7D4-F7FA91935E49}"/>
      </w:docPartPr>
      <w:docPartBody>
        <w:p w:rsidR="00884126" w:rsidRDefault="0098440F" w:rsidP="0098440F">
          <w:pPr>
            <w:pStyle w:val="B5E75E7293A34274978C09F7D4B5735C1"/>
          </w:pPr>
          <w:r w:rsidRPr="001C60B5">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942F3C"/>
    <w:rsid w:val="005A164A"/>
    <w:rsid w:val="005D03BF"/>
    <w:rsid w:val="00760EAF"/>
    <w:rsid w:val="00884126"/>
    <w:rsid w:val="00895D61"/>
    <w:rsid w:val="00942F3C"/>
    <w:rsid w:val="0098440F"/>
    <w:rsid w:val="00A12BED"/>
    <w:rsid w:val="00B518DF"/>
    <w:rsid w:val="00B661DB"/>
    <w:rsid w:val="00BE4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0EAF"/>
    <w:rPr>
      <w:color w:val="808080"/>
    </w:rPr>
  </w:style>
  <w:style w:type="paragraph" w:customStyle="1" w:styleId="B71CEBAFED744FBDBE7668212525C5EB">
    <w:name w:val="B71CEBAFED744FBDBE7668212525C5EB"/>
    <w:rsid w:val="00942F3C"/>
  </w:style>
  <w:style w:type="paragraph" w:customStyle="1" w:styleId="0E25CCC5DD4F43AAA642CDCC18DDB6A6">
    <w:name w:val="0E25CCC5DD4F43AAA642CDCC18DDB6A6"/>
    <w:rsid w:val="00942F3C"/>
  </w:style>
  <w:style w:type="paragraph" w:customStyle="1" w:styleId="E728F56A42F140A7861FAC2D6EC403FB">
    <w:name w:val="E728F56A42F140A7861FAC2D6EC403FB"/>
    <w:rsid w:val="00942F3C"/>
  </w:style>
  <w:style w:type="paragraph" w:customStyle="1" w:styleId="C3826F269E5A473DAA5766AD56AE5566">
    <w:name w:val="C3826F269E5A473DAA5766AD56AE5566"/>
    <w:rsid w:val="00942F3C"/>
  </w:style>
  <w:style w:type="paragraph" w:customStyle="1" w:styleId="B75A7526F7D84CA2961C6F54688F4FA1">
    <w:name w:val="B75A7526F7D84CA2961C6F54688F4FA1"/>
    <w:rsid w:val="00942F3C"/>
  </w:style>
  <w:style w:type="paragraph" w:customStyle="1" w:styleId="9B8CED89FE6E489186EB32EA798E74F5">
    <w:name w:val="9B8CED89FE6E489186EB32EA798E74F5"/>
    <w:rsid w:val="00942F3C"/>
  </w:style>
  <w:style w:type="paragraph" w:customStyle="1" w:styleId="19A444ACBEA34578BA0CB31422DD2377">
    <w:name w:val="19A444ACBEA34578BA0CB31422DD2377"/>
    <w:rsid w:val="00942F3C"/>
  </w:style>
  <w:style w:type="paragraph" w:customStyle="1" w:styleId="6E50E95D2E43462FBFE7700481AFD396">
    <w:name w:val="6E50E95D2E43462FBFE7700481AFD396"/>
    <w:rsid w:val="00942F3C"/>
  </w:style>
  <w:style w:type="paragraph" w:customStyle="1" w:styleId="909A9F0FBCB944E9A4061B5A549C2BCF">
    <w:name w:val="909A9F0FBCB944E9A4061B5A549C2BCF"/>
    <w:rsid w:val="00942F3C"/>
  </w:style>
  <w:style w:type="paragraph" w:customStyle="1" w:styleId="F6834E3914FE4DD799970AFA163D778F">
    <w:name w:val="F6834E3914FE4DD799970AFA163D778F"/>
    <w:rsid w:val="00942F3C"/>
  </w:style>
  <w:style w:type="paragraph" w:customStyle="1" w:styleId="913BF181E62D408491740A566E17A0A4">
    <w:name w:val="913BF181E62D408491740A566E17A0A4"/>
    <w:rsid w:val="00942F3C"/>
  </w:style>
  <w:style w:type="paragraph" w:customStyle="1" w:styleId="B5E75E7293A34274978C09F7D4B5735C">
    <w:name w:val="B5E75E7293A34274978C09F7D4B5735C"/>
    <w:rsid w:val="00942F3C"/>
  </w:style>
  <w:style w:type="paragraph" w:customStyle="1" w:styleId="E478EFCE71904737AFBE49A1FD0AA882">
    <w:name w:val="E478EFCE71904737AFBE49A1FD0AA882"/>
    <w:rsid w:val="00942F3C"/>
  </w:style>
  <w:style w:type="paragraph" w:customStyle="1" w:styleId="7DDA5CB04D724A5ABF7EAC622872D4FA">
    <w:name w:val="7DDA5CB04D724A5ABF7EAC622872D4FA"/>
    <w:rsid w:val="00942F3C"/>
  </w:style>
  <w:style w:type="paragraph" w:customStyle="1" w:styleId="E58BB02786A64DC3902FB28155850BE6">
    <w:name w:val="E58BB02786A64DC3902FB28155850BE6"/>
    <w:rsid w:val="00942F3C"/>
  </w:style>
  <w:style w:type="paragraph" w:customStyle="1" w:styleId="8952B08D80D8485F8616604608967B5A">
    <w:name w:val="8952B08D80D8485F8616604608967B5A"/>
    <w:rsid w:val="0098440F"/>
    <w:pPr>
      <w:spacing w:after="160" w:line="259" w:lineRule="auto"/>
    </w:pPr>
  </w:style>
  <w:style w:type="paragraph" w:customStyle="1" w:styleId="9CC72616DDE34070956E56C2D18E4A4C">
    <w:name w:val="9CC72616DDE34070956E56C2D18E4A4C"/>
    <w:rsid w:val="0098440F"/>
    <w:pPr>
      <w:spacing w:after="160" w:line="259" w:lineRule="auto"/>
    </w:pPr>
  </w:style>
  <w:style w:type="paragraph" w:customStyle="1" w:styleId="2A98DF3B7D804AE5BB859F2C34349FD5">
    <w:name w:val="2A98DF3B7D804AE5BB859F2C34349FD5"/>
    <w:rsid w:val="0098440F"/>
    <w:pPr>
      <w:spacing w:after="160" w:line="259" w:lineRule="auto"/>
    </w:pPr>
  </w:style>
  <w:style w:type="paragraph" w:customStyle="1" w:styleId="80D911A8548C4A20B0918E044529BA12">
    <w:name w:val="80D911A8548C4A20B0918E044529BA12"/>
    <w:rsid w:val="0098440F"/>
    <w:pPr>
      <w:spacing w:after="160" w:line="259" w:lineRule="auto"/>
    </w:pPr>
  </w:style>
  <w:style w:type="paragraph" w:customStyle="1" w:styleId="398517B14D714148931AD0451FF0A872">
    <w:name w:val="398517B14D714148931AD0451FF0A872"/>
    <w:rsid w:val="0098440F"/>
    <w:pPr>
      <w:spacing w:after="160" w:line="259" w:lineRule="auto"/>
    </w:pPr>
  </w:style>
  <w:style w:type="paragraph" w:customStyle="1" w:styleId="B71CEBAFED744FBDBE7668212525C5EB1">
    <w:name w:val="B71CEBAFED744FBDBE7668212525C5EB1"/>
    <w:rsid w:val="0098440F"/>
    <w:pPr>
      <w:spacing w:after="0" w:line="240" w:lineRule="auto"/>
    </w:pPr>
    <w:rPr>
      <w:rFonts w:ascii="Verdana" w:eastAsiaTheme="minorHAnsi" w:hAnsi="Verdana"/>
      <w:sz w:val="24"/>
      <w:lang w:eastAsia="en-US"/>
    </w:rPr>
  </w:style>
  <w:style w:type="paragraph" w:customStyle="1" w:styleId="0E25CCC5DD4F43AAA642CDCC18DDB6A61">
    <w:name w:val="0E25CCC5DD4F43AAA642CDCC18DDB6A61"/>
    <w:rsid w:val="0098440F"/>
    <w:pPr>
      <w:spacing w:after="0" w:line="240" w:lineRule="auto"/>
    </w:pPr>
    <w:rPr>
      <w:rFonts w:ascii="Verdana" w:eastAsiaTheme="minorHAnsi" w:hAnsi="Verdana"/>
      <w:sz w:val="24"/>
      <w:lang w:eastAsia="en-US"/>
    </w:rPr>
  </w:style>
  <w:style w:type="paragraph" w:customStyle="1" w:styleId="E728F56A42F140A7861FAC2D6EC403FB1">
    <w:name w:val="E728F56A42F140A7861FAC2D6EC403FB1"/>
    <w:rsid w:val="0098440F"/>
    <w:pPr>
      <w:spacing w:after="0" w:line="240" w:lineRule="auto"/>
    </w:pPr>
    <w:rPr>
      <w:rFonts w:ascii="Verdana" w:eastAsiaTheme="minorHAnsi" w:hAnsi="Verdana"/>
      <w:sz w:val="24"/>
      <w:lang w:eastAsia="en-US"/>
    </w:rPr>
  </w:style>
  <w:style w:type="paragraph" w:customStyle="1" w:styleId="C3826F269E5A473DAA5766AD56AE55661">
    <w:name w:val="C3826F269E5A473DAA5766AD56AE55661"/>
    <w:rsid w:val="0098440F"/>
    <w:pPr>
      <w:spacing w:after="0" w:line="240" w:lineRule="auto"/>
    </w:pPr>
    <w:rPr>
      <w:rFonts w:ascii="Verdana" w:eastAsiaTheme="minorHAnsi" w:hAnsi="Verdana"/>
      <w:sz w:val="24"/>
      <w:lang w:eastAsia="en-US"/>
    </w:rPr>
  </w:style>
  <w:style w:type="paragraph" w:customStyle="1" w:styleId="B5E75E7293A34274978C09F7D4B5735C1">
    <w:name w:val="B5E75E7293A34274978C09F7D4B5735C1"/>
    <w:rsid w:val="0098440F"/>
    <w:pPr>
      <w:spacing w:after="0" w:line="240" w:lineRule="auto"/>
    </w:pPr>
    <w:rPr>
      <w:rFonts w:ascii="Verdana" w:eastAsiaTheme="minorHAnsi" w:hAnsi="Verdana"/>
      <w:sz w:val="24"/>
      <w:lang w:eastAsia="en-US"/>
    </w:rPr>
  </w:style>
  <w:style w:type="paragraph" w:customStyle="1" w:styleId="9B8CED89FE6E489186EB32EA798E74F51">
    <w:name w:val="9B8CED89FE6E489186EB32EA798E74F51"/>
    <w:rsid w:val="0098440F"/>
    <w:pPr>
      <w:spacing w:after="0" w:line="240" w:lineRule="auto"/>
    </w:pPr>
    <w:rPr>
      <w:rFonts w:ascii="Verdana" w:eastAsiaTheme="minorHAnsi" w:hAnsi="Verdana"/>
      <w:sz w:val="24"/>
      <w:lang w:eastAsia="en-US"/>
    </w:rPr>
  </w:style>
  <w:style w:type="paragraph" w:customStyle="1" w:styleId="19A444ACBEA34578BA0CB31422DD23771">
    <w:name w:val="19A444ACBEA34578BA0CB31422DD23771"/>
    <w:rsid w:val="0098440F"/>
    <w:pPr>
      <w:spacing w:after="0" w:line="240" w:lineRule="auto"/>
    </w:pPr>
    <w:rPr>
      <w:rFonts w:ascii="Verdana" w:eastAsiaTheme="minorHAnsi" w:hAnsi="Verdana"/>
      <w:sz w:val="24"/>
      <w:lang w:eastAsia="en-US"/>
    </w:rPr>
  </w:style>
  <w:style w:type="paragraph" w:customStyle="1" w:styleId="8952B08D80D8485F8616604608967B5A1">
    <w:name w:val="8952B08D80D8485F8616604608967B5A1"/>
    <w:rsid w:val="0098440F"/>
    <w:pPr>
      <w:spacing w:after="0" w:line="240" w:lineRule="auto"/>
    </w:pPr>
    <w:rPr>
      <w:rFonts w:ascii="Verdana" w:eastAsiaTheme="minorHAnsi" w:hAnsi="Verdana"/>
      <w:sz w:val="24"/>
      <w:lang w:eastAsia="en-US"/>
    </w:rPr>
  </w:style>
  <w:style w:type="paragraph" w:customStyle="1" w:styleId="80D911A8548C4A20B0918E044529BA121">
    <w:name w:val="80D911A8548C4A20B0918E044529BA121"/>
    <w:rsid w:val="0098440F"/>
    <w:pPr>
      <w:spacing w:after="0" w:line="240" w:lineRule="auto"/>
    </w:pPr>
    <w:rPr>
      <w:rFonts w:ascii="Verdana" w:eastAsiaTheme="minorHAnsi" w:hAnsi="Verdana"/>
      <w:sz w:val="24"/>
      <w:lang w:eastAsia="en-US"/>
    </w:rPr>
  </w:style>
  <w:style w:type="paragraph" w:customStyle="1" w:styleId="398517B14D714148931AD0451FF0A8721">
    <w:name w:val="398517B14D714148931AD0451FF0A8721"/>
    <w:rsid w:val="0098440F"/>
    <w:pPr>
      <w:spacing w:after="0" w:line="240" w:lineRule="auto"/>
    </w:pPr>
    <w:rPr>
      <w:rFonts w:ascii="Verdana" w:eastAsiaTheme="minorHAnsi" w:hAnsi="Verdana"/>
      <w:sz w:val="24"/>
      <w:lang w:eastAsia="en-US"/>
    </w:rPr>
  </w:style>
  <w:style w:type="paragraph" w:customStyle="1" w:styleId="4C6AAE8593DC4F618353CDFCD416CA79">
    <w:name w:val="4C6AAE8593DC4F618353CDFCD416CA79"/>
    <w:rsid w:val="00760EAF"/>
    <w:pPr>
      <w:spacing w:after="160" w:line="259" w:lineRule="auto"/>
    </w:pPr>
  </w:style>
  <w:style w:type="paragraph" w:customStyle="1" w:styleId="04161E0AAEEB4A8D8206571FD0CE6466">
    <w:name w:val="04161E0AAEEB4A8D8206571FD0CE6466"/>
    <w:rsid w:val="00760EAF"/>
    <w:pPr>
      <w:spacing w:after="160" w:line="259" w:lineRule="auto"/>
    </w:pPr>
  </w:style>
  <w:style w:type="paragraph" w:customStyle="1" w:styleId="81B00BAB8DF44AD2AB7819CCAAFC9EC8">
    <w:name w:val="81B00BAB8DF44AD2AB7819CCAAFC9EC8"/>
    <w:rsid w:val="00760EAF"/>
    <w:pPr>
      <w:spacing w:after="160" w:line="259" w:lineRule="auto"/>
    </w:pPr>
  </w:style>
  <w:style w:type="paragraph" w:customStyle="1" w:styleId="0ECE6A1159A64539822741CFAE2C9B30">
    <w:name w:val="0ECE6A1159A64539822741CFAE2C9B30"/>
    <w:rsid w:val="00760EAF"/>
    <w:pPr>
      <w:spacing w:after="160" w:line="259" w:lineRule="auto"/>
    </w:pPr>
  </w:style>
  <w:style w:type="paragraph" w:customStyle="1" w:styleId="5A5F231099F942BDB087759F1EF38FEA">
    <w:name w:val="5A5F231099F942BDB087759F1EF38FEA"/>
    <w:rsid w:val="00760EAF"/>
    <w:pPr>
      <w:spacing w:after="160" w:line="259" w:lineRule="auto"/>
    </w:pPr>
  </w:style>
  <w:style w:type="paragraph" w:customStyle="1" w:styleId="95C6797B0A2E4F0B84E72883EFECD809">
    <w:name w:val="95C6797B0A2E4F0B84E72883EFECD809"/>
    <w:rsid w:val="00760EA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D027A0-16BA-4D97-9912-DED9604D4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1311</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Public Health Wales</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Cathie Steele</dc:creator>
  <cp:lastModifiedBy>Andrew Morton (Public Health Wales - No. 2 Capital Quarter)</cp:lastModifiedBy>
  <cp:revision>5</cp:revision>
  <cp:lastPrinted>2017-10-16T08:46:00Z</cp:lastPrinted>
  <dcterms:created xsi:type="dcterms:W3CDTF">2023-03-09T16:13:00Z</dcterms:created>
  <dcterms:modified xsi:type="dcterms:W3CDTF">2023-03-13T14:38:00Z</dcterms:modified>
</cp:coreProperties>
</file>